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84419" w14:textId="77777777" w:rsidR="00754C9A" w:rsidRDefault="00754C9A" w:rsidP="00441B6F">
      <w:pPr>
        <w:pStyle w:val="Title"/>
        <w:spacing w:after="0"/>
        <w:jc w:val="both"/>
        <w:rPr>
          <w:rFonts w:ascii="Arial" w:hAnsi="Arial" w:cs="Arial"/>
        </w:rPr>
      </w:pPr>
    </w:p>
    <w:p w14:paraId="61593864" w14:textId="77777777" w:rsidR="009429A8" w:rsidRDefault="009429A8" w:rsidP="00441B6F">
      <w:pPr>
        <w:pStyle w:val="Author"/>
        <w:spacing w:line="240" w:lineRule="auto"/>
        <w:jc w:val="both"/>
        <w:rPr>
          <w:rFonts w:ascii="Times New Roman" w:hAnsi="Times New Roman"/>
          <w:sz w:val="20"/>
        </w:rPr>
      </w:pPr>
      <w:r w:rsidRPr="007B1647">
        <w:rPr>
          <w:rFonts w:ascii="Times New Roman" w:hAnsi="Times New Roman"/>
          <w:sz w:val="20"/>
        </w:rPr>
        <w:t>Original Research Article</w:t>
      </w:r>
    </w:p>
    <w:p w14:paraId="21F7578D" w14:textId="77777777" w:rsidR="00996012" w:rsidRDefault="00996012" w:rsidP="00441B6F">
      <w:pPr>
        <w:pStyle w:val="Author"/>
        <w:spacing w:line="240" w:lineRule="auto"/>
        <w:jc w:val="both"/>
        <w:rPr>
          <w:rFonts w:ascii="Arial" w:hAnsi="Arial" w:cs="Arial"/>
          <w:bCs/>
          <w:iCs/>
          <w:kern w:val="28"/>
          <w:sz w:val="36"/>
        </w:rPr>
      </w:pPr>
    </w:p>
    <w:p w14:paraId="36D52ED8" w14:textId="77777777" w:rsidR="00A258C3" w:rsidRDefault="00C21651" w:rsidP="00441B6F">
      <w:pPr>
        <w:pStyle w:val="Author"/>
        <w:spacing w:line="240" w:lineRule="auto"/>
        <w:jc w:val="both"/>
        <w:rPr>
          <w:rFonts w:ascii="Arial" w:hAnsi="Arial" w:cs="Arial"/>
          <w:bCs/>
          <w:iCs/>
          <w:kern w:val="28"/>
          <w:sz w:val="36"/>
        </w:rPr>
      </w:pPr>
      <w:bookmarkStart w:id="0" w:name="_Hlk225415315"/>
      <w:r w:rsidRPr="00C21651">
        <w:rPr>
          <w:rFonts w:ascii="Arial" w:hAnsi="Arial" w:cs="Arial"/>
          <w:bCs/>
          <w:iCs/>
          <w:kern w:val="28"/>
          <w:sz w:val="36"/>
        </w:rPr>
        <w:t>An Assessment of Local Governance Procedures and Urban Housing Stakeholders’ Actions in Bamenda, Northwest Region of Cameroon</w:t>
      </w:r>
    </w:p>
    <w:bookmarkEnd w:id="0"/>
    <w:p w14:paraId="2B72D821" w14:textId="77777777" w:rsidR="00D00F7D" w:rsidRPr="00790ADA" w:rsidRDefault="00D00F7D" w:rsidP="00441B6F">
      <w:pPr>
        <w:pStyle w:val="Author"/>
        <w:spacing w:line="240" w:lineRule="auto"/>
        <w:jc w:val="both"/>
        <w:rPr>
          <w:rFonts w:ascii="Arial" w:hAnsi="Arial" w:cs="Arial"/>
          <w:sz w:val="36"/>
        </w:rPr>
      </w:pPr>
    </w:p>
    <w:p w14:paraId="374B92B5" w14:textId="77777777" w:rsidR="00B01FCD" w:rsidRPr="00FB3A86" w:rsidRDefault="00607AFE" w:rsidP="00441B6F">
      <w:pPr>
        <w:pStyle w:val="Copyright"/>
        <w:spacing w:after="0" w:line="240" w:lineRule="auto"/>
        <w:jc w:val="both"/>
        <w:rPr>
          <w:rFonts w:ascii="Arial" w:hAnsi="Arial" w:cs="Arial"/>
        </w:rPr>
        <w:sectPr w:rsidR="00B01FCD" w:rsidRPr="00FB3A86" w:rsidSect="007B278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E914715" wp14:editId="6660D21C">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93A2CC1"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Pr>
          <w:rFonts w:ascii="Arial" w:hAnsi="Arial" w:cs="Arial"/>
        </w:rPr>
        <w:t>.</w:t>
      </w:r>
    </w:p>
    <w:p w14:paraId="69480C95"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3A41EE">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162B8EA" w14:textId="77777777" w:rsidTr="001E44FE">
        <w:tc>
          <w:tcPr>
            <w:tcW w:w="9576" w:type="dxa"/>
            <w:shd w:val="clear" w:color="auto" w:fill="F2F2F2"/>
          </w:tcPr>
          <w:p w14:paraId="23E6EEC8" w14:textId="1C6F89A0" w:rsidR="00C020C2" w:rsidRDefault="00C020C2" w:rsidP="00441B6F">
            <w:pPr>
              <w:pStyle w:val="Body"/>
              <w:spacing w:after="0"/>
              <w:rPr>
                <w:rFonts w:ascii="Arial" w:eastAsia="Calibri" w:hAnsi="Arial" w:cs="Arial"/>
                <w:b/>
                <w:szCs w:val="22"/>
              </w:rPr>
            </w:pPr>
            <w:r w:rsidRPr="00837EEC">
              <w:rPr>
                <w:rFonts w:ascii="Arial" w:eastAsia="Calibri" w:hAnsi="Arial" w:cs="Arial"/>
                <w:b/>
                <w:szCs w:val="22"/>
                <w:highlight w:val="yellow"/>
              </w:rPr>
              <w:t xml:space="preserve">Background: </w:t>
            </w:r>
            <w:r w:rsidRPr="00837EEC">
              <w:rPr>
                <w:rFonts w:ascii="Arial" w:eastAsia="Calibri" w:hAnsi="Arial" w:cs="Arial"/>
                <w:szCs w:val="22"/>
                <w:highlight w:val="yellow"/>
              </w:rPr>
              <w:t xml:space="preserve">Urban housing challenges have intensified due to rapid </w:t>
            </w:r>
            <w:proofErr w:type="spellStart"/>
            <w:r w:rsidRPr="00837EEC">
              <w:rPr>
                <w:rFonts w:ascii="Arial" w:eastAsia="Calibri" w:hAnsi="Arial" w:cs="Arial"/>
                <w:szCs w:val="22"/>
                <w:highlight w:val="yellow"/>
              </w:rPr>
              <w:t>urbanisation</w:t>
            </w:r>
            <w:proofErr w:type="spellEnd"/>
            <w:r w:rsidRPr="00837EEC">
              <w:rPr>
                <w:rFonts w:ascii="Arial" w:eastAsia="Calibri" w:hAnsi="Arial" w:cs="Arial"/>
                <w:szCs w:val="22"/>
                <w:highlight w:val="yellow"/>
              </w:rPr>
              <w:t xml:space="preserve"> </w:t>
            </w:r>
            <w:r w:rsidRPr="00837EEC">
              <w:rPr>
                <w:rFonts w:ascii="Arial" w:eastAsia="Calibri" w:hAnsi="Arial" w:cs="Arial"/>
                <w:szCs w:val="22"/>
                <w:highlight w:val="yellow"/>
              </w:rPr>
              <w:t>and weak governance systems. This study critically examines local governance procedures and urban housing stakeholders’ actions in Bamenda, Cameroon</w:t>
            </w:r>
            <w:r w:rsidRPr="00837EEC">
              <w:rPr>
                <w:rFonts w:ascii="Arial" w:eastAsia="Calibri" w:hAnsi="Arial" w:cs="Arial"/>
                <w:szCs w:val="22"/>
                <w:highlight w:val="yellow"/>
              </w:rPr>
              <w:t>,</w:t>
            </w:r>
            <w:r w:rsidRPr="00837EEC">
              <w:rPr>
                <w:rFonts w:ascii="Arial" w:eastAsia="Calibri" w:hAnsi="Arial" w:cs="Arial"/>
                <w:szCs w:val="22"/>
                <w:highlight w:val="yellow"/>
              </w:rPr>
              <w:t xml:space="preserve"> within the context of </w:t>
            </w:r>
            <w:proofErr w:type="spellStart"/>
            <w:r w:rsidRPr="00837EEC">
              <w:rPr>
                <w:rFonts w:ascii="Arial" w:eastAsia="Calibri" w:hAnsi="Arial" w:cs="Arial"/>
                <w:szCs w:val="22"/>
                <w:highlight w:val="yellow"/>
              </w:rPr>
              <w:t>decentralisation</w:t>
            </w:r>
            <w:proofErr w:type="spellEnd"/>
            <w:r w:rsidRPr="00837EEC">
              <w:rPr>
                <w:rFonts w:ascii="Arial" w:eastAsia="Calibri" w:hAnsi="Arial" w:cs="Arial"/>
                <w:szCs w:val="22"/>
                <w:highlight w:val="yellow"/>
              </w:rPr>
              <w:t xml:space="preserve"> </w:t>
            </w:r>
            <w:r w:rsidRPr="00837EEC">
              <w:rPr>
                <w:rFonts w:ascii="Arial" w:eastAsia="Calibri" w:hAnsi="Arial" w:cs="Arial"/>
                <w:szCs w:val="22"/>
                <w:highlight w:val="yellow"/>
              </w:rPr>
              <w:t>policy implementation</w:t>
            </w:r>
            <w:r w:rsidRPr="002E069F">
              <w:rPr>
                <w:rFonts w:ascii="Arial" w:eastAsia="Calibri" w:hAnsi="Arial" w:cs="Arial"/>
                <w:szCs w:val="22"/>
              </w:rPr>
              <w:t xml:space="preserve">. </w:t>
            </w:r>
          </w:p>
          <w:p w14:paraId="0C17A060" w14:textId="2C59F24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 </w:t>
            </w:r>
            <w:r w:rsidR="002E069F" w:rsidRPr="002E069F">
              <w:rPr>
                <w:rFonts w:ascii="Arial" w:eastAsia="Calibri" w:hAnsi="Arial" w:cs="Arial"/>
                <w:szCs w:val="22"/>
              </w:rPr>
              <w:t>The research assesses the effectiveness of various stakeholder</w:t>
            </w:r>
            <w:r w:rsidR="002E069F">
              <w:rPr>
                <w:rFonts w:ascii="Arial" w:eastAsia="Calibri" w:hAnsi="Arial" w:cs="Arial"/>
                <w:szCs w:val="22"/>
              </w:rPr>
              <w:t>s’</w:t>
            </w:r>
            <w:r w:rsidR="002E069F" w:rsidRPr="002E069F">
              <w:rPr>
                <w:rFonts w:ascii="Arial" w:eastAsia="Calibri" w:hAnsi="Arial" w:cs="Arial"/>
                <w:szCs w:val="22"/>
              </w:rPr>
              <w:t xml:space="preserve"> actions in achieving sustainable urban housing standards and evaluates differences in their approaches.</w:t>
            </w:r>
          </w:p>
          <w:p w14:paraId="01703A1A" w14:textId="11AF83C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92273E">
              <w:rPr>
                <w:rFonts w:ascii="Arial" w:eastAsia="Calibri" w:hAnsi="Arial" w:cs="Arial"/>
                <w:szCs w:val="22"/>
              </w:rPr>
              <w:t>A mixed-method</w:t>
            </w:r>
            <w:r w:rsidR="002E069F" w:rsidRPr="002E069F">
              <w:rPr>
                <w:rFonts w:ascii="Arial" w:eastAsia="Calibri" w:hAnsi="Arial" w:cs="Arial"/>
                <w:szCs w:val="22"/>
              </w:rPr>
              <w:t xml:space="preserve"> approach was employed</w:t>
            </w:r>
            <w:r w:rsidR="00C020C2">
              <w:rPr>
                <w:rFonts w:ascii="Arial" w:eastAsia="Calibri" w:hAnsi="Arial" w:cs="Arial"/>
                <w:szCs w:val="22"/>
              </w:rPr>
              <w:t>,</w:t>
            </w:r>
            <w:r w:rsidR="002E069F">
              <w:rPr>
                <w:rFonts w:ascii="Arial" w:eastAsia="Calibri" w:hAnsi="Arial" w:cs="Arial"/>
                <w:szCs w:val="22"/>
              </w:rPr>
              <w:t xml:space="preserve"> combining </w:t>
            </w:r>
            <w:r w:rsidR="0092273E">
              <w:rPr>
                <w:rFonts w:ascii="Arial" w:eastAsia="Calibri" w:hAnsi="Arial" w:cs="Arial"/>
                <w:szCs w:val="22"/>
              </w:rPr>
              <w:t xml:space="preserve">quantitative </w:t>
            </w:r>
            <w:r w:rsidR="002E069F">
              <w:rPr>
                <w:rFonts w:ascii="Arial" w:eastAsia="Calibri" w:hAnsi="Arial" w:cs="Arial"/>
                <w:szCs w:val="22"/>
              </w:rPr>
              <w:t xml:space="preserve">and </w:t>
            </w:r>
            <w:r w:rsidR="0092273E">
              <w:rPr>
                <w:rFonts w:ascii="Arial" w:eastAsia="Calibri" w:hAnsi="Arial" w:cs="Arial"/>
                <w:szCs w:val="22"/>
              </w:rPr>
              <w:t>qualitative</w:t>
            </w:r>
            <w:r w:rsidR="002E069F">
              <w:rPr>
                <w:rFonts w:ascii="Arial" w:eastAsia="Calibri" w:hAnsi="Arial" w:cs="Arial"/>
                <w:szCs w:val="22"/>
              </w:rPr>
              <w:t xml:space="preserve"> data. </w:t>
            </w:r>
          </w:p>
          <w:p w14:paraId="4971A5E7" w14:textId="155F2CC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2E069F">
              <w:rPr>
                <w:rFonts w:ascii="Arial" w:eastAsia="Calibri" w:hAnsi="Arial" w:cs="Arial"/>
                <w:szCs w:val="22"/>
              </w:rPr>
              <w:t>The</w:t>
            </w:r>
            <w:r w:rsidR="0092273E">
              <w:rPr>
                <w:rFonts w:ascii="Arial" w:eastAsia="Calibri" w:hAnsi="Arial" w:cs="Arial"/>
                <w:szCs w:val="22"/>
              </w:rPr>
              <w:t xml:space="preserve"> study was conducted in Bamenda, the largest city </w:t>
            </w:r>
            <w:r w:rsidR="00D34594">
              <w:rPr>
                <w:rFonts w:ascii="Arial" w:eastAsia="Calibri" w:hAnsi="Arial" w:cs="Arial"/>
                <w:szCs w:val="22"/>
              </w:rPr>
              <w:t>and regional</w:t>
            </w:r>
            <w:r w:rsidR="00AC3C64">
              <w:rPr>
                <w:rFonts w:ascii="Arial" w:eastAsia="Calibri" w:hAnsi="Arial" w:cs="Arial"/>
                <w:szCs w:val="22"/>
              </w:rPr>
              <w:t xml:space="preserve"> headquarters of the </w:t>
            </w:r>
            <w:r w:rsidR="002E069F">
              <w:rPr>
                <w:rFonts w:ascii="Arial" w:eastAsia="Calibri" w:hAnsi="Arial" w:cs="Arial"/>
                <w:szCs w:val="22"/>
              </w:rPr>
              <w:t>Northwest Region of Cameroon</w:t>
            </w:r>
            <w:r w:rsidR="00C020C2">
              <w:rPr>
                <w:rFonts w:ascii="Arial" w:eastAsia="Calibri" w:hAnsi="Arial" w:cs="Arial"/>
                <w:szCs w:val="22"/>
              </w:rPr>
              <w:t>,</w:t>
            </w:r>
            <w:r w:rsidR="002E069F">
              <w:rPr>
                <w:rFonts w:ascii="Arial" w:eastAsia="Calibri" w:hAnsi="Arial" w:cs="Arial"/>
                <w:szCs w:val="22"/>
              </w:rPr>
              <w:t xml:space="preserve"> from </w:t>
            </w:r>
            <w:r w:rsidR="002E069F" w:rsidRPr="002E069F">
              <w:rPr>
                <w:rFonts w:ascii="Arial" w:eastAsia="Calibri" w:hAnsi="Arial" w:cs="Arial"/>
                <w:szCs w:val="22"/>
              </w:rPr>
              <w:t xml:space="preserve">June 2023 </w:t>
            </w:r>
            <w:r w:rsidR="00C020C2">
              <w:rPr>
                <w:rFonts w:ascii="Arial" w:eastAsia="Calibri" w:hAnsi="Arial" w:cs="Arial"/>
                <w:szCs w:val="22"/>
              </w:rPr>
              <w:t>to</w:t>
            </w:r>
            <w:r w:rsidR="00C020C2" w:rsidRPr="002E069F">
              <w:rPr>
                <w:rFonts w:ascii="Arial" w:eastAsia="Calibri" w:hAnsi="Arial" w:cs="Arial"/>
                <w:szCs w:val="22"/>
              </w:rPr>
              <w:t xml:space="preserve"> </w:t>
            </w:r>
            <w:r w:rsidR="002E069F" w:rsidRPr="002E069F">
              <w:rPr>
                <w:rFonts w:ascii="Arial" w:eastAsia="Calibri" w:hAnsi="Arial" w:cs="Arial"/>
                <w:szCs w:val="22"/>
              </w:rPr>
              <w:t>August 2024</w:t>
            </w:r>
            <w:r w:rsidR="002E069F">
              <w:rPr>
                <w:rFonts w:ascii="Arial" w:eastAsia="Calibri" w:hAnsi="Arial" w:cs="Arial"/>
                <w:szCs w:val="22"/>
              </w:rPr>
              <w:t xml:space="preserve">. </w:t>
            </w:r>
          </w:p>
          <w:p w14:paraId="27F65A13" w14:textId="5497192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2E069F">
              <w:rPr>
                <w:rFonts w:ascii="Arial" w:eastAsia="Calibri" w:hAnsi="Arial" w:cs="Arial"/>
                <w:szCs w:val="22"/>
              </w:rPr>
              <w:t xml:space="preserve">Relevant data </w:t>
            </w:r>
            <w:r w:rsidR="00C020C2">
              <w:rPr>
                <w:rFonts w:ascii="Arial" w:eastAsia="Calibri" w:hAnsi="Arial" w:cs="Arial"/>
                <w:szCs w:val="22"/>
              </w:rPr>
              <w:t>were</w:t>
            </w:r>
            <w:r w:rsidR="00C020C2">
              <w:rPr>
                <w:rFonts w:ascii="Arial" w:eastAsia="Calibri" w:hAnsi="Arial" w:cs="Arial"/>
                <w:szCs w:val="22"/>
              </w:rPr>
              <w:t xml:space="preserve"> </w:t>
            </w:r>
            <w:r w:rsidR="00C020C2">
              <w:rPr>
                <w:rFonts w:ascii="Arial" w:eastAsia="Calibri" w:hAnsi="Arial" w:cs="Arial"/>
                <w:szCs w:val="22"/>
              </w:rPr>
              <w:t>obtained</w:t>
            </w:r>
            <w:r w:rsidR="002E069F">
              <w:rPr>
                <w:rFonts w:ascii="Arial" w:eastAsia="Calibri" w:hAnsi="Arial" w:cs="Arial"/>
                <w:szCs w:val="22"/>
              </w:rPr>
              <w:t xml:space="preserve"> from primary and secondary sources. Primary sources made use of </w:t>
            </w:r>
            <w:r w:rsidR="002E069F" w:rsidRPr="002E069F">
              <w:rPr>
                <w:rFonts w:ascii="Arial" w:eastAsia="Calibri" w:hAnsi="Arial" w:cs="Arial"/>
                <w:szCs w:val="22"/>
              </w:rPr>
              <w:t>surveys of 520 respond</w:t>
            </w:r>
            <w:r w:rsidR="002E069F">
              <w:rPr>
                <w:rFonts w:ascii="Arial" w:eastAsia="Calibri" w:hAnsi="Arial" w:cs="Arial"/>
                <w:szCs w:val="22"/>
              </w:rPr>
              <w:t xml:space="preserve">ents, key informant interviews </w:t>
            </w:r>
            <w:r w:rsidR="002E069F" w:rsidRPr="002E069F">
              <w:rPr>
                <w:rFonts w:ascii="Arial" w:eastAsia="Calibri" w:hAnsi="Arial" w:cs="Arial"/>
                <w:szCs w:val="22"/>
              </w:rPr>
              <w:t>and spatial analysis.</w:t>
            </w:r>
            <w:r w:rsidR="002E069F">
              <w:rPr>
                <w:rFonts w:ascii="Arial" w:eastAsia="Calibri" w:hAnsi="Arial" w:cs="Arial"/>
                <w:szCs w:val="22"/>
              </w:rPr>
              <w:t xml:space="preserve"> </w:t>
            </w:r>
            <w:r w:rsidR="00AC3C64" w:rsidRPr="00AC3C64">
              <w:rPr>
                <w:rFonts w:ascii="Arial" w:eastAsia="Calibri" w:hAnsi="Arial" w:cs="Arial"/>
                <w:szCs w:val="22"/>
              </w:rPr>
              <w:t>Secondary data sources included municipal records, government policy documents, NGO reports and academic publications related to</w:t>
            </w:r>
            <w:r w:rsidR="00AC3C64">
              <w:rPr>
                <w:rFonts w:ascii="Arial" w:eastAsia="Calibri" w:hAnsi="Arial" w:cs="Arial"/>
                <w:szCs w:val="22"/>
              </w:rPr>
              <w:t xml:space="preserve"> the subject matter. </w:t>
            </w:r>
          </w:p>
          <w:p w14:paraId="30EA50F6" w14:textId="43ACBEEA"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92273E" w:rsidRPr="0092273E">
              <w:rPr>
                <w:rFonts w:ascii="Arial" w:eastAsia="Calibri" w:hAnsi="Arial" w:cs="Arial"/>
                <w:szCs w:val="22"/>
              </w:rPr>
              <w:t>Findings reveal that the Bamenda City Council emerges as the most dominant stakeholder (41.73%), with combined stakeholder approaches showing the highest success rates of 34.91%. The evolution of stakeholder actions from 2010-2024 demonstrates a shift from material prescription strategies (70.83% pre-2010) to enforcement-based approaches, with strict supervision increasing to 42.45% between 2016</w:t>
            </w:r>
            <w:r w:rsidR="00C020C2">
              <w:rPr>
                <w:rFonts w:ascii="Arial" w:eastAsia="Calibri" w:hAnsi="Arial" w:cs="Arial"/>
                <w:szCs w:val="22"/>
              </w:rPr>
              <w:t xml:space="preserve"> and </w:t>
            </w:r>
            <w:r w:rsidR="0092273E" w:rsidRPr="0092273E">
              <w:rPr>
                <w:rFonts w:ascii="Arial" w:eastAsia="Calibri" w:hAnsi="Arial" w:cs="Arial"/>
                <w:szCs w:val="22"/>
              </w:rPr>
              <w:t>2020. Major barriers include insufficient funding, lack of political will, and poor coordination.</w:t>
            </w:r>
          </w:p>
          <w:p w14:paraId="2830C0D7" w14:textId="5524F75D" w:rsidR="00505F06" w:rsidRPr="00BA1B01" w:rsidRDefault="00BA1B01" w:rsidP="0092273E">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92273E" w:rsidRPr="0092273E">
              <w:rPr>
                <w:rFonts w:ascii="Arial" w:eastAsia="Calibri" w:hAnsi="Arial" w:cs="Arial"/>
                <w:szCs w:val="22"/>
              </w:rPr>
              <w:t xml:space="preserve">The study </w:t>
            </w:r>
            <w:r w:rsidR="0092273E">
              <w:rPr>
                <w:rFonts w:ascii="Arial" w:eastAsia="Calibri" w:hAnsi="Arial" w:cs="Arial"/>
                <w:szCs w:val="22"/>
              </w:rPr>
              <w:t>concludes that</w:t>
            </w:r>
            <w:r w:rsidR="0092273E" w:rsidRPr="0092273E">
              <w:rPr>
                <w:rFonts w:ascii="Arial" w:eastAsia="Calibri" w:hAnsi="Arial" w:cs="Arial"/>
                <w:szCs w:val="22"/>
              </w:rPr>
              <w:t xml:space="preserve"> enhanced stakeholder</w:t>
            </w:r>
            <w:r w:rsidR="0092273E">
              <w:rPr>
                <w:rFonts w:ascii="Arial" w:eastAsia="Calibri" w:hAnsi="Arial" w:cs="Arial"/>
                <w:szCs w:val="22"/>
              </w:rPr>
              <w:t>s’</w:t>
            </w:r>
            <w:r w:rsidR="0092273E" w:rsidRPr="0092273E">
              <w:rPr>
                <w:rFonts w:ascii="Arial" w:eastAsia="Calibri" w:hAnsi="Arial" w:cs="Arial"/>
                <w:szCs w:val="22"/>
              </w:rPr>
              <w:t xml:space="preserve"> coordination</w:t>
            </w:r>
            <w:r w:rsidR="0092273E">
              <w:rPr>
                <w:rFonts w:ascii="Arial" w:eastAsia="Calibri" w:hAnsi="Arial" w:cs="Arial"/>
                <w:szCs w:val="22"/>
              </w:rPr>
              <w:t xml:space="preserve">, </w:t>
            </w:r>
            <w:r w:rsidR="0092273E" w:rsidRPr="0092273E">
              <w:rPr>
                <w:rFonts w:ascii="Arial" w:eastAsia="Calibri" w:hAnsi="Arial" w:cs="Arial"/>
                <w:szCs w:val="22"/>
              </w:rPr>
              <w:t>increased fun</w:t>
            </w:r>
            <w:r w:rsidR="0092273E">
              <w:rPr>
                <w:rFonts w:ascii="Arial" w:eastAsia="Calibri" w:hAnsi="Arial" w:cs="Arial"/>
                <w:szCs w:val="22"/>
              </w:rPr>
              <w:t>ding mechanisms and strengthening of</w:t>
            </w:r>
            <w:r w:rsidR="0092273E" w:rsidRPr="0092273E">
              <w:rPr>
                <w:rFonts w:ascii="Arial" w:eastAsia="Calibri" w:hAnsi="Arial" w:cs="Arial"/>
                <w:szCs w:val="22"/>
              </w:rPr>
              <w:t xml:space="preserve"> community participation </w:t>
            </w:r>
            <w:r w:rsidR="0092273E">
              <w:rPr>
                <w:rFonts w:ascii="Arial" w:eastAsia="Calibri" w:hAnsi="Arial" w:cs="Arial"/>
                <w:szCs w:val="22"/>
              </w:rPr>
              <w:t>could</w:t>
            </w:r>
            <w:r w:rsidR="0092273E" w:rsidRPr="0092273E">
              <w:rPr>
                <w:rFonts w:ascii="Arial" w:eastAsia="Calibri" w:hAnsi="Arial" w:cs="Arial"/>
                <w:szCs w:val="22"/>
              </w:rPr>
              <w:t xml:space="preserve"> improve urban housing outcomes in the context of </w:t>
            </w:r>
            <w:proofErr w:type="spellStart"/>
            <w:r w:rsidR="00C020C2">
              <w:rPr>
                <w:rFonts w:ascii="Arial" w:eastAsia="Calibri" w:hAnsi="Arial" w:cs="Arial"/>
                <w:szCs w:val="22"/>
              </w:rPr>
              <w:t>decentralisation</w:t>
            </w:r>
            <w:proofErr w:type="spellEnd"/>
            <w:r w:rsidR="0092273E" w:rsidRPr="0092273E">
              <w:rPr>
                <w:rFonts w:ascii="Arial" w:eastAsia="Calibri" w:hAnsi="Arial" w:cs="Arial"/>
                <w:szCs w:val="22"/>
              </w:rPr>
              <w:t>.</w:t>
            </w:r>
          </w:p>
        </w:tc>
      </w:tr>
    </w:tbl>
    <w:p w14:paraId="735CEDC7" w14:textId="77777777" w:rsidR="00636EB2" w:rsidRDefault="00636EB2" w:rsidP="00441B6F">
      <w:pPr>
        <w:pStyle w:val="Body"/>
        <w:spacing w:after="0"/>
        <w:rPr>
          <w:rFonts w:ascii="Arial" w:hAnsi="Arial" w:cs="Arial"/>
          <w:i/>
        </w:rPr>
      </w:pPr>
    </w:p>
    <w:p w14:paraId="4F1AE666" w14:textId="06329B42" w:rsidR="00A24E7E" w:rsidRDefault="00A24E7E" w:rsidP="00441B6F">
      <w:pPr>
        <w:pStyle w:val="Body"/>
        <w:spacing w:after="0"/>
        <w:rPr>
          <w:rFonts w:ascii="Arial" w:hAnsi="Arial" w:cs="Arial"/>
          <w:i/>
        </w:rPr>
      </w:pPr>
      <w:r>
        <w:rPr>
          <w:rFonts w:ascii="Arial" w:hAnsi="Arial" w:cs="Arial"/>
          <w:i/>
        </w:rPr>
        <w:t xml:space="preserve">Keywords: </w:t>
      </w:r>
      <w:r w:rsidR="0092273E" w:rsidRPr="0092273E">
        <w:rPr>
          <w:rFonts w:ascii="Arial" w:hAnsi="Arial" w:cs="Arial"/>
          <w:i/>
        </w:rPr>
        <w:t xml:space="preserve">Urban housing, local governance, decentralization, stakeholder actions, urban planning, housing standards </w:t>
      </w:r>
      <w:r w:rsidR="0066510A">
        <w:rPr>
          <w:rFonts w:ascii="Arial" w:hAnsi="Arial" w:cs="Arial"/>
          <w:i/>
        </w:rPr>
        <w:t xml:space="preserve"> </w:t>
      </w:r>
    </w:p>
    <w:p w14:paraId="5605C1AD" w14:textId="77777777" w:rsidR="00505F06" w:rsidRPr="00A24E7E" w:rsidRDefault="00505F06" w:rsidP="00441B6F">
      <w:pPr>
        <w:pStyle w:val="Body"/>
        <w:spacing w:after="0"/>
        <w:rPr>
          <w:rFonts w:ascii="Arial" w:hAnsi="Arial" w:cs="Arial"/>
          <w:i/>
        </w:rPr>
      </w:pPr>
    </w:p>
    <w:p w14:paraId="35E3F5E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55D2930" w14:textId="77777777" w:rsidR="00790ADA" w:rsidRPr="00FB3A86" w:rsidRDefault="00790ADA" w:rsidP="00441B6F">
      <w:pPr>
        <w:pStyle w:val="AbstHead"/>
        <w:spacing w:after="0"/>
        <w:jc w:val="both"/>
        <w:rPr>
          <w:rFonts w:ascii="Arial" w:hAnsi="Arial" w:cs="Arial"/>
        </w:rPr>
      </w:pPr>
    </w:p>
    <w:p w14:paraId="6201C57E" w14:textId="5E7AD8BD" w:rsidR="00D00F7D" w:rsidRPr="00D00F7D" w:rsidRDefault="00D00F7D" w:rsidP="00D00F7D">
      <w:pPr>
        <w:pStyle w:val="Body"/>
        <w:rPr>
          <w:rFonts w:ascii="Arial" w:hAnsi="Arial" w:cs="Arial"/>
        </w:rPr>
      </w:pPr>
      <w:r w:rsidRPr="00D00F7D">
        <w:rPr>
          <w:rFonts w:ascii="Arial" w:hAnsi="Arial" w:cs="Arial"/>
        </w:rPr>
        <w:t xml:space="preserve">Urban housing provision in sub-Saharan Africa faces unprecedented challenges as cities experience rapid population growth without commensurate infrastructure development. </w:t>
      </w:r>
      <w:r w:rsidR="009E08F6" w:rsidRPr="00837EEC">
        <w:rPr>
          <w:rFonts w:ascii="Arial" w:hAnsi="Arial" w:cs="Arial"/>
          <w:highlight w:val="yellow"/>
        </w:rPr>
        <w:t xml:space="preserve">Affordability remains a critical concern, as a substantial portion of the urban population cannot access formal housing due to high costs and inadequate financing mechanisms. Similarly, accessibility challenges persist, with low-income households frequently </w:t>
      </w:r>
      <w:proofErr w:type="spellStart"/>
      <w:r w:rsidR="009E08F6" w:rsidRPr="00837EEC">
        <w:rPr>
          <w:rFonts w:ascii="Arial" w:hAnsi="Arial" w:cs="Arial"/>
          <w:highlight w:val="yellow"/>
        </w:rPr>
        <w:t>marginalised</w:t>
      </w:r>
      <w:proofErr w:type="spellEnd"/>
      <w:r w:rsidR="009E08F6" w:rsidRPr="00837EEC">
        <w:rPr>
          <w:rFonts w:ascii="Arial" w:hAnsi="Arial" w:cs="Arial"/>
          <w:highlight w:val="yellow"/>
        </w:rPr>
        <w:t xml:space="preserve"> from formal housing schemes, while sustainability considerations are often compromised by short-term planning horizons and the prevalence of informal construction </w:t>
      </w:r>
      <w:r w:rsidR="009E08F6" w:rsidRPr="00837EEC">
        <w:rPr>
          <w:rFonts w:ascii="Arial" w:hAnsi="Arial" w:cs="Arial"/>
          <w:highlight w:val="yellow"/>
        </w:rPr>
        <w:lastRenderedPageBreak/>
        <w:t>practices</w:t>
      </w:r>
      <w:r w:rsidR="009E08F6" w:rsidRPr="00837EEC">
        <w:rPr>
          <w:rFonts w:ascii="Arial" w:hAnsi="Arial" w:cs="Arial"/>
          <w:highlight w:val="yellow"/>
        </w:rPr>
        <w:t xml:space="preserve"> (</w:t>
      </w:r>
      <w:r w:rsidR="009E08F6" w:rsidRPr="00837EEC">
        <w:rPr>
          <w:highlight w:val="yellow"/>
        </w:rPr>
        <w:t>K</w:t>
      </w:r>
      <w:r w:rsidR="009E08F6" w:rsidRPr="00837EEC">
        <w:rPr>
          <w:highlight w:val="yellow"/>
        </w:rPr>
        <w:t xml:space="preserve">ombe, 2022; </w:t>
      </w:r>
      <w:proofErr w:type="spellStart"/>
      <w:r w:rsidR="009E08F6" w:rsidRPr="00837EEC">
        <w:rPr>
          <w:highlight w:val="yellow"/>
        </w:rPr>
        <w:t>Uduokhai</w:t>
      </w:r>
      <w:proofErr w:type="spellEnd"/>
      <w:r w:rsidR="009E08F6" w:rsidRPr="00837EEC">
        <w:rPr>
          <w:highlight w:val="yellow"/>
        </w:rPr>
        <w:t xml:space="preserve"> et al., 2023)</w:t>
      </w:r>
      <w:r w:rsidR="009E08F6" w:rsidRPr="00837EEC">
        <w:rPr>
          <w:rFonts w:ascii="Arial" w:hAnsi="Arial" w:cs="Arial"/>
          <w:highlight w:val="yellow"/>
        </w:rPr>
        <w:t>.</w:t>
      </w:r>
      <w:r w:rsidR="009E08F6" w:rsidRPr="009E08F6">
        <w:rPr>
          <w:rFonts w:ascii="Arial" w:hAnsi="Arial" w:cs="Arial"/>
        </w:rPr>
        <w:t xml:space="preserve"> </w:t>
      </w:r>
      <w:r w:rsidRPr="00D00F7D">
        <w:rPr>
          <w:rFonts w:ascii="Arial" w:hAnsi="Arial" w:cs="Arial"/>
        </w:rPr>
        <w:t xml:space="preserve">The United Nations projects that Africa's urban population will triple by 2050, placing enormous pressure on existing housing stock and urban services (UN-Habitat, 2008). In Cameroon, </w:t>
      </w:r>
      <w:proofErr w:type="spellStart"/>
      <w:r w:rsidR="00C020C2">
        <w:rPr>
          <w:rFonts w:ascii="Arial" w:hAnsi="Arial" w:cs="Arial"/>
        </w:rPr>
        <w:t>urbanisation</w:t>
      </w:r>
      <w:proofErr w:type="spellEnd"/>
      <w:r w:rsidR="00C020C2" w:rsidRPr="00D00F7D">
        <w:rPr>
          <w:rFonts w:ascii="Arial" w:hAnsi="Arial" w:cs="Arial"/>
        </w:rPr>
        <w:t xml:space="preserve"> </w:t>
      </w:r>
      <w:r w:rsidRPr="00D00F7D">
        <w:rPr>
          <w:rFonts w:ascii="Arial" w:hAnsi="Arial" w:cs="Arial"/>
        </w:rPr>
        <w:t>rates have accelerated since the 1990s, with cities like Bamenda experiencing significant demographic and spatial expansion that often outpaces planning capacity and governance systems (</w:t>
      </w:r>
      <w:proofErr w:type="spellStart"/>
      <w:r w:rsidRPr="00D00F7D">
        <w:rPr>
          <w:rFonts w:ascii="Arial" w:hAnsi="Arial" w:cs="Arial"/>
        </w:rPr>
        <w:t>Maluh</w:t>
      </w:r>
      <w:proofErr w:type="spellEnd"/>
      <w:r w:rsidRPr="00D00F7D">
        <w:rPr>
          <w:rFonts w:ascii="Arial" w:hAnsi="Arial" w:cs="Arial"/>
        </w:rPr>
        <w:t xml:space="preserve"> et al., 2020).</w:t>
      </w:r>
    </w:p>
    <w:p w14:paraId="79024F4F" w14:textId="20AD6FF6" w:rsidR="00D00F7D" w:rsidRPr="00D00F7D" w:rsidRDefault="00D00F7D" w:rsidP="00D00F7D">
      <w:pPr>
        <w:pStyle w:val="Body"/>
        <w:rPr>
          <w:rFonts w:ascii="Arial" w:hAnsi="Arial" w:cs="Arial"/>
        </w:rPr>
      </w:pPr>
      <w:r w:rsidRPr="00D00F7D">
        <w:rPr>
          <w:rFonts w:ascii="Arial" w:hAnsi="Arial" w:cs="Arial"/>
        </w:rPr>
        <w:t xml:space="preserve">The concept of local governance has gained prominence in urban development discourse, particularly through </w:t>
      </w:r>
      <w:proofErr w:type="spellStart"/>
      <w:r w:rsidR="00C020C2">
        <w:rPr>
          <w:rFonts w:ascii="Arial" w:hAnsi="Arial" w:cs="Arial"/>
        </w:rPr>
        <w:t>decentralisation</w:t>
      </w:r>
      <w:proofErr w:type="spellEnd"/>
      <w:r w:rsidR="00C020C2" w:rsidRPr="00D00F7D">
        <w:rPr>
          <w:rFonts w:ascii="Arial" w:hAnsi="Arial" w:cs="Arial"/>
        </w:rPr>
        <w:t xml:space="preserve"> </w:t>
      </w:r>
      <w:r w:rsidRPr="00D00F7D">
        <w:rPr>
          <w:rFonts w:ascii="Arial" w:hAnsi="Arial" w:cs="Arial"/>
        </w:rPr>
        <w:t>policies aimed at bringing decision-making closer to communities. Local governance encompasses the formal and informal institutions, processes, and relationships through which local actors articulate their interests, exercise their rights, and mediate their differences at the community level (Kelkar, 2022). In the context of urban housing, local governance involves multiple stakeholders</w:t>
      </w:r>
      <w:r w:rsidR="00C020C2">
        <w:rPr>
          <w:rFonts w:ascii="Arial" w:hAnsi="Arial" w:cs="Arial"/>
        </w:rPr>
        <w:t>,</w:t>
      </w:r>
      <w:r w:rsidRPr="00D00F7D">
        <w:rPr>
          <w:rFonts w:ascii="Arial" w:hAnsi="Arial" w:cs="Arial"/>
        </w:rPr>
        <w:t xml:space="preserve"> including municipal authorities, government agencies, non-governmental </w:t>
      </w:r>
      <w:proofErr w:type="spellStart"/>
      <w:r w:rsidR="00C020C2">
        <w:rPr>
          <w:rFonts w:ascii="Arial" w:hAnsi="Arial" w:cs="Arial"/>
        </w:rPr>
        <w:t>organisations</w:t>
      </w:r>
      <w:proofErr w:type="spellEnd"/>
      <w:r w:rsidRPr="00D00F7D">
        <w:rPr>
          <w:rFonts w:ascii="Arial" w:hAnsi="Arial" w:cs="Arial"/>
        </w:rPr>
        <w:t>, and community members</w:t>
      </w:r>
      <w:r w:rsidR="00C020C2">
        <w:rPr>
          <w:rFonts w:ascii="Arial" w:hAnsi="Arial" w:cs="Arial"/>
        </w:rPr>
        <w:t>,</w:t>
      </w:r>
      <w:r w:rsidRPr="00D00F7D">
        <w:rPr>
          <w:rFonts w:ascii="Arial" w:hAnsi="Arial" w:cs="Arial"/>
        </w:rPr>
        <w:t xml:space="preserve"> working collectively to address housing challenges (Szemz</w:t>
      </w:r>
      <w:r w:rsidRPr="00D00F7D">
        <w:rPr>
          <w:rFonts w:ascii="Arial" w:hAnsi="Arial" w:cs="Arial" w:hint="eastAsia"/>
        </w:rPr>
        <w:t>ő</w:t>
      </w:r>
      <w:r w:rsidRPr="00D00F7D">
        <w:rPr>
          <w:rFonts w:ascii="Arial" w:hAnsi="Arial" w:cs="Arial"/>
        </w:rPr>
        <w:t xml:space="preserve"> et al., 2019).</w:t>
      </w:r>
    </w:p>
    <w:p w14:paraId="68A9700D" w14:textId="38AD06C3" w:rsidR="00D00F7D" w:rsidRPr="00D00F7D" w:rsidRDefault="00D00F7D" w:rsidP="00D00F7D">
      <w:pPr>
        <w:pStyle w:val="Body"/>
        <w:rPr>
          <w:rFonts w:ascii="Arial" w:hAnsi="Arial" w:cs="Arial"/>
        </w:rPr>
      </w:pPr>
      <w:r w:rsidRPr="00D00F7D">
        <w:rPr>
          <w:rFonts w:ascii="Arial" w:hAnsi="Arial" w:cs="Arial"/>
        </w:rPr>
        <w:t xml:space="preserve">Contemporary research </w:t>
      </w:r>
      <w:proofErr w:type="spellStart"/>
      <w:r w:rsidR="00810D7C">
        <w:rPr>
          <w:rFonts w:ascii="Arial" w:hAnsi="Arial" w:cs="Arial"/>
        </w:rPr>
        <w:t>emphasises</w:t>
      </w:r>
      <w:proofErr w:type="spellEnd"/>
      <w:r w:rsidR="00810D7C" w:rsidRPr="00D00F7D">
        <w:rPr>
          <w:rFonts w:ascii="Arial" w:hAnsi="Arial" w:cs="Arial"/>
        </w:rPr>
        <w:t xml:space="preserve"> </w:t>
      </w:r>
      <w:r w:rsidRPr="00D00F7D">
        <w:rPr>
          <w:rFonts w:ascii="Arial" w:hAnsi="Arial" w:cs="Arial"/>
        </w:rPr>
        <w:t xml:space="preserve">the critical role of stakeholder engagement in urban housing governance. Studies from different African contexts demonstrate that effective housing outcomes depend on inclusive participation of diverse actors in decision-making </w:t>
      </w:r>
      <w:r w:rsidR="007E71E2">
        <w:rPr>
          <w:rFonts w:ascii="Arial" w:hAnsi="Arial" w:cs="Arial"/>
        </w:rPr>
        <w:t>processes. Jacobs and Baud (2016</w:t>
      </w:r>
      <w:r w:rsidRPr="00D00F7D">
        <w:rPr>
          <w:rFonts w:ascii="Arial" w:hAnsi="Arial" w:cs="Arial"/>
        </w:rPr>
        <w:t>) examined stakeholder politics and knowledge use in the N2 Gateway housing project in Cape Town, revealing how power dynamics among different actors influence housing delivery outcomes. Similarly, Somers and Baud (2013) analyzed citizen participation in Brazil's Minha Casa, Minha Vida housing program, highlighting the importance of local decision-making processes in housing project success.</w:t>
      </w:r>
    </w:p>
    <w:p w14:paraId="473C815B" w14:textId="77777777" w:rsidR="00D00F7D" w:rsidRPr="00D00F7D" w:rsidRDefault="00D00F7D" w:rsidP="00D00F7D">
      <w:pPr>
        <w:pStyle w:val="Body"/>
        <w:rPr>
          <w:rFonts w:ascii="Arial" w:hAnsi="Arial" w:cs="Arial"/>
        </w:rPr>
      </w:pPr>
      <w:r w:rsidRPr="00D00F7D">
        <w:rPr>
          <w:rFonts w:ascii="Arial" w:hAnsi="Arial" w:cs="Arial"/>
        </w:rPr>
        <w:t>The stakeholder approach to urban housing governance recognizes that housing provision involves multiple actors with varying interests, capacities, and responsibilities. These stakeholders include formal institutions such as municipal councils and government agencies, as well as informal networks involving traditional authorities, community organizations, and private sector actors. Understanding how these stakeholders interact, coordinate their actions, and achieve housing outcomes is crucial for improving urban governance effectiveness (Mhlongo et al., 2024). Research from Malaysia demonstrates that exploring housing governance requires comprehensive understanding of multi-stakeholder interactions and institutional frameworks (Teoh et al., 2018).</w:t>
      </w:r>
    </w:p>
    <w:p w14:paraId="773B69B4" w14:textId="6C1EAA84" w:rsidR="00D00F7D" w:rsidRPr="00D00F7D" w:rsidRDefault="00D00F7D" w:rsidP="00D00F7D">
      <w:pPr>
        <w:pStyle w:val="Body"/>
        <w:rPr>
          <w:rFonts w:ascii="Arial" w:hAnsi="Arial" w:cs="Arial"/>
        </w:rPr>
      </w:pPr>
      <w:r w:rsidRPr="00D00F7D">
        <w:rPr>
          <w:rFonts w:ascii="Arial" w:hAnsi="Arial" w:cs="Arial"/>
        </w:rPr>
        <w:t xml:space="preserve">Cameroon's </w:t>
      </w:r>
      <w:proofErr w:type="spellStart"/>
      <w:r w:rsidR="00810D7C">
        <w:rPr>
          <w:rFonts w:ascii="Arial" w:hAnsi="Arial" w:cs="Arial"/>
        </w:rPr>
        <w:t>decentralisation</w:t>
      </w:r>
      <w:proofErr w:type="spellEnd"/>
      <w:r w:rsidR="00810D7C" w:rsidRPr="00D00F7D">
        <w:rPr>
          <w:rFonts w:ascii="Arial" w:hAnsi="Arial" w:cs="Arial"/>
        </w:rPr>
        <w:t xml:space="preserve"> </w:t>
      </w:r>
      <w:r w:rsidRPr="00D00F7D">
        <w:rPr>
          <w:rFonts w:ascii="Arial" w:hAnsi="Arial" w:cs="Arial"/>
        </w:rPr>
        <w:t xml:space="preserve">process, initiated through the 1996 Constitution and operationalized through Laws No. 2004/17 and 2004/18, transferred significant responsibilities to local government councils, including urban planning and housing development oversight. </w:t>
      </w:r>
      <w:r w:rsidR="00810D7C" w:rsidRPr="00837EEC">
        <w:rPr>
          <w:rFonts w:ascii="Arial" w:hAnsi="Arial" w:cs="Arial"/>
          <w:highlight w:val="yellow"/>
        </w:rPr>
        <w:t xml:space="preserve">The issue of </w:t>
      </w:r>
      <w:proofErr w:type="spellStart"/>
      <w:r w:rsidR="00810D7C" w:rsidRPr="00837EEC">
        <w:rPr>
          <w:rFonts w:ascii="Arial" w:hAnsi="Arial" w:cs="Arial"/>
          <w:highlight w:val="yellow"/>
        </w:rPr>
        <w:t>decentralisation</w:t>
      </w:r>
      <w:proofErr w:type="spellEnd"/>
      <w:r w:rsidR="00810D7C" w:rsidRPr="00837EEC">
        <w:rPr>
          <w:rFonts w:ascii="Arial" w:hAnsi="Arial" w:cs="Arial"/>
          <w:highlight w:val="yellow"/>
        </w:rPr>
        <w:t xml:space="preserve"> is one of the most pressing topics in modern public administration, as it directly affects the development of local communities, ensuring their financial autonomy and </w:t>
      </w:r>
      <w:proofErr w:type="spellStart"/>
      <w:r w:rsidR="00810D7C" w:rsidRPr="00837EEC">
        <w:rPr>
          <w:rFonts w:ascii="Arial" w:hAnsi="Arial" w:cs="Arial"/>
          <w:highlight w:val="yellow"/>
        </w:rPr>
        <w:t>democratisation</w:t>
      </w:r>
      <w:proofErr w:type="spellEnd"/>
      <w:r w:rsidR="00810D7C" w:rsidRPr="00837EEC">
        <w:rPr>
          <w:rFonts w:ascii="Arial" w:hAnsi="Arial" w:cs="Arial"/>
          <w:highlight w:val="yellow"/>
        </w:rPr>
        <w:t xml:space="preserve"> of </w:t>
      </w:r>
      <w:r w:rsidR="009E08F6" w:rsidRPr="00837EEC">
        <w:rPr>
          <w:rFonts w:ascii="Arial" w:hAnsi="Arial" w:cs="Arial"/>
          <w:highlight w:val="yellow"/>
        </w:rPr>
        <w:t xml:space="preserve">the </w:t>
      </w:r>
      <w:r w:rsidR="00810D7C" w:rsidRPr="00837EEC">
        <w:rPr>
          <w:rFonts w:ascii="Arial" w:hAnsi="Arial" w:cs="Arial"/>
          <w:highlight w:val="yellow"/>
        </w:rPr>
        <w:t>management process</w:t>
      </w:r>
      <w:r w:rsidR="009E08F6" w:rsidRPr="00837EEC">
        <w:rPr>
          <w:rFonts w:ascii="Arial" w:hAnsi="Arial" w:cs="Arial"/>
          <w:highlight w:val="yellow"/>
        </w:rPr>
        <w:t xml:space="preserve">. </w:t>
      </w:r>
      <w:r w:rsidR="009E08F6" w:rsidRPr="00837EEC">
        <w:rPr>
          <w:rFonts w:ascii="Arial" w:hAnsi="Arial" w:cs="Arial"/>
          <w:highlight w:val="yellow"/>
        </w:rPr>
        <w:t xml:space="preserve"> </w:t>
      </w:r>
      <w:proofErr w:type="spellStart"/>
      <w:r w:rsidR="009E08F6" w:rsidRPr="00837EEC">
        <w:rPr>
          <w:rFonts w:ascii="Arial" w:hAnsi="Arial" w:cs="Arial"/>
          <w:highlight w:val="yellow"/>
        </w:rPr>
        <w:t>D</w:t>
      </w:r>
      <w:r w:rsidR="009E08F6" w:rsidRPr="00837EEC">
        <w:rPr>
          <w:rFonts w:ascii="Arial" w:hAnsi="Arial" w:cs="Arial"/>
          <w:highlight w:val="yellow"/>
        </w:rPr>
        <w:t>ecentralisation</w:t>
      </w:r>
      <w:proofErr w:type="spellEnd"/>
      <w:r w:rsidR="009E08F6" w:rsidRPr="00837EEC">
        <w:rPr>
          <w:rFonts w:ascii="Arial" w:hAnsi="Arial" w:cs="Arial"/>
          <w:highlight w:val="yellow"/>
        </w:rPr>
        <w:t xml:space="preserve"> is a crucial instrument for </w:t>
      </w:r>
      <w:proofErr w:type="spellStart"/>
      <w:r w:rsidR="009E08F6" w:rsidRPr="00837EEC">
        <w:rPr>
          <w:rFonts w:ascii="Arial" w:hAnsi="Arial" w:cs="Arial"/>
          <w:highlight w:val="yellow"/>
        </w:rPr>
        <w:t>modernising</w:t>
      </w:r>
      <w:proofErr w:type="spellEnd"/>
      <w:r w:rsidR="009E08F6" w:rsidRPr="00837EEC">
        <w:rPr>
          <w:rFonts w:ascii="Arial" w:hAnsi="Arial" w:cs="Arial"/>
          <w:highlight w:val="yellow"/>
        </w:rPr>
        <w:t xml:space="preserve"> </w:t>
      </w:r>
      <w:r w:rsidR="009E08F6" w:rsidRPr="00837EEC">
        <w:rPr>
          <w:rFonts w:ascii="Arial" w:hAnsi="Arial" w:cs="Arial"/>
          <w:highlight w:val="yellow"/>
        </w:rPr>
        <w:t>the governance mechanism, promoting the strengthening of local self-government and community development</w:t>
      </w:r>
      <w:r w:rsidR="009E08F6" w:rsidRPr="00837EEC">
        <w:rPr>
          <w:rFonts w:ascii="Arial" w:hAnsi="Arial" w:cs="Arial"/>
          <w:highlight w:val="yellow"/>
        </w:rPr>
        <w:t xml:space="preserve"> (</w:t>
      </w:r>
      <w:proofErr w:type="spellStart"/>
      <w:r w:rsidR="009E08F6" w:rsidRPr="00837EEC">
        <w:rPr>
          <w:highlight w:val="yellow"/>
        </w:rPr>
        <w:t>Monastyrskyi</w:t>
      </w:r>
      <w:proofErr w:type="spellEnd"/>
      <w:r w:rsidR="009E08F6" w:rsidRPr="00837EEC">
        <w:rPr>
          <w:highlight w:val="yellow"/>
        </w:rPr>
        <w:t xml:space="preserve"> et al., 2025)</w:t>
      </w:r>
      <w:r w:rsidR="009E08F6" w:rsidRPr="00837EEC">
        <w:rPr>
          <w:rFonts w:ascii="Arial" w:hAnsi="Arial" w:cs="Arial"/>
          <w:highlight w:val="yellow"/>
        </w:rPr>
        <w:t>.</w:t>
      </w:r>
      <w:r w:rsidR="009E08F6">
        <w:rPr>
          <w:rFonts w:ascii="Arial" w:hAnsi="Arial" w:cs="Arial"/>
        </w:rPr>
        <w:t xml:space="preserve"> </w:t>
      </w:r>
      <w:r w:rsidRPr="00D00F7D">
        <w:rPr>
          <w:rFonts w:ascii="Arial" w:hAnsi="Arial" w:cs="Arial"/>
        </w:rPr>
        <w:t xml:space="preserve">This </w:t>
      </w:r>
      <w:proofErr w:type="spellStart"/>
      <w:r w:rsidR="009E08F6">
        <w:rPr>
          <w:rFonts w:ascii="Arial" w:hAnsi="Arial" w:cs="Arial"/>
        </w:rPr>
        <w:t>decentralisation</w:t>
      </w:r>
      <w:proofErr w:type="spellEnd"/>
      <w:r w:rsidR="009E08F6" w:rsidRPr="00D00F7D">
        <w:rPr>
          <w:rFonts w:ascii="Arial" w:hAnsi="Arial" w:cs="Arial"/>
        </w:rPr>
        <w:t xml:space="preserve"> </w:t>
      </w:r>
      <w:r w:rsidRPr="00D00F7D">
        <w:rPr>
          <w:rFonts w:ascii="Arial" w:hAnsi="Arial" w:cs="Arial"/>
        </w:rPr>
        <w:t xml:space="preserve">framework created opportunities for enhanced local autonomy in addressing housing challenges while maintaining alignment with national development policies (Ngoran &amp; </w:t>
      </w:r>
      <w:proofErr w:type="spellStart"/>
      <w:r w:rsidRPr="00D00F7D">
        <w:rPr>
          <w:rFonts w:ascii="Arial" w:hAnsi="Arial" w:cs="Arial"/>
        </w:rPr>
        <w:t>Mougoue</w:t>
      </w:r>
      <w:proofErr w:type="spellEnd"/>
      <w:r w:rsidRPr="00D00F7D">
        <w:rPr>
          <w:rFonts w:ascii="Arial" w:hAnsi="Arial" w:cs="Arial"/>
        </w:rPr>
        <w:t>, 2021). However, research suggests that the effectiveness of these decentralized governance arrangements varies considerably across different urban contexts, with secondary cities like Bamenda facing particular challenges in translating decentralization policies into improved urban outcomes (</w:t>
      </w:r>
      <w:proofErr w:type="spellStart"/>
      <w:r w:rsidRPr="00D00F7D">
        <w:rPr>
          <w:rFonts w:ascii="Arial" w:hAnsi="Arial" w:cs="Arial"/>
        </w:rPr>
        <w:t>Nange</w:t>
      </w:r>
      <w:proofErr w:type="spellEnd"/>
      <w:r w:rsidRPr="00D00F7D">
        <w:rPr>
          <w:rFonts w:ascii="Arial" w:hAnsi="Arial" w:cs="Arial"/>
        </w:rPr>
        <w:t xml:space="preserve"> &amp; </w:t>
      </w:r>
      <w:proofErr w:type="spellStart"/>
      <w:r w:rsidRPr="00D00F7D">
        <w:rPr>
          <w:rFonts w:ascii="Arial" w:hAnsi="Arial" w:cs="Arial"/>
        </w:rPr>
        <w:t>Ozturen</w:t>
      </w:r>
      <w:proofErr w:type="spellEnd"/>
      <w:r w:rsidRPr="00D00F7D">
        <w:rPr>
          <w:rFonts w:ascii="Arial" w:hAnsi="Arial" w:cs="Arial"/>
        </w:rPr>
        <w:t>, 2022).</w:t>
      </w:r>
    </w:p>
    <w:p w14:paraId="3D5322F0" w14:textId="77777777" w:rsidR="00D00F7D" w:rsidRPr="00D00F7D" w:rsidRDefault="00D00F7D" w:rsidP="00D00F7D">
      <w:pPr>
        <w:pStyle w:val="Body"/>
        <w:rPr>
          <w:rFonts w:ascii="Arial" w:hAnsi="Arial" w:cs="Arial"/>
        </w:rPr>
      </w:pPr>
      <w:r w:rsidRPr="00D00F7D">
        <w:rPr>
          <w:rFonts w:ascii="Arial" w:hAnsi="Arial" w:cs="Arial"/>
        </w:rPr>
        <w:lastRenderedPageBreak/>
        <w:t>Bamenda city has witnessed rapid spatial expansion characterized by informal settlements, inadequate infrastructure, and substandard housing conditions (</w:t>
      </w:r>
      <w:proofErr w:type="spellStart"/>
      <w:r w:rsidRPr="00D00F7D">
        <w:rPr>
          <w:rFonts w:ascii="Arial" w:hAnsi="Arial" w:cs="Arial"/>
        </w:rPr>
        <w:t>Akenji</w:t>
      </w:r>
      <w:proofErr w:type="spellEnd"/>
      <w:r w:rsidRPr="00D00F7D">
        <w:rPr>
          <w:rFonts w:ascii="Arial" w:hAnsi="Arial" w:cs="Arial"/>
        </w:rPr>
        <w:t xml:space="preserve"> &amp; Neba, 2025). The proliferation of unplanned neighborhoods, environmental degradation, and limited access to basic urban services reflect broader governance challenges in managing urban growth effectively. Recent studies indicate that housing practices and policy implementation in Bamenda continue to face obstacles, with persistent issues of substandard construction and inadequate regulatory enforcement (</w:t>
      </w:r>
      <w:proofErr w:type="spellStart"/>
      <w:r w:rsidRPr="00D00F7D">
        <w:rPr>
          <w:rFonts w:ascii="Arial" w:hAnsi="Arial" w:cs="Arial"/>
        </w:rPr>
        <w:t>Maluh</w:t>
      </w:r>
      <w:proofErr w:type="spellEnd"/>
      <w:r w:rsidRPr="00D00F7D">
        <w:rPr>
          <w:rFonts w:ascii="Arial" w:hAnsi="Arial" w:cs="Arial"/>
        </w:rPr>
        <w:t>, 2024).</w:t>
      </w:r>
    </w:p>
    <w:p w14:paraId="39703777" w14:textId="77777777" w:rsidR="00D00F7D" w:rsidRPr="00D00F7D" w:rsidRDefault="00D00F7D" w:rsidP="00D00F7D">
      <w:pPr>
        <w:pStyle w:val="Body"/>
        <w:rPr>
          <w:rFonts w:ascii="Arial" w:hAnsi="Arial" w:cs="Arial"/>
        </w:rPr>
      </w:pPr>
      <w:r w:rsidRPr="00D00F7D">
        <w:rPr>
          <w:rFonts w:ascii="Arial" w:hAnsi="Arial" w:cs="Arial"/>
        </w:rPr>
        <w:t>Despite the implementation of decentralization policies and involvement of multiple stakeholders, Bamenda continues to experience significant housing challenges. These include the proliferation of substandard housing structures, inadequate enforcement of building codes, limited access to serviced land, and insufficient provision of basic urban infrastructure (</w:t>
      </w:r>
      <w:proofErr w:type="spellStart"/>
      <w:r w:rsidRPr="00D00F7D">
        <w:rPr>
          <w:rFonts w:ascii="Arial" w:hAnsi="Arial" w:cs="Arial"/>
        </w:rPr>
        <w:t>Maluh</w:t>
      </w:r>
      <w:proofErr w:type="spellEnd"/>
      <w:r w:rsidRPr="00D00F7D">
        <w:rPr>
          <w:rFonts w:ascii="Arial" w:hAnsi="Arial" w:cs="Arial"/>
        </w:rPr>
        <w:t xml:space="preserve"> et al., 2020). The persistence of these challenges raises important questions about the effectiveness of current governance arrangements and stakeholder actions in addressing urban housing needs. Land tenure practices have been identified as a particular constraint, with informal land acquisition processes contributing to substandard housing development patterns (</w:t>
      </w:r>
      <w:proofErr w:type="spellStart"/>
      <w:r w:rsidRPr="00D00F7D">
        <w:rPr>
          <w:rFonts w:ascii="Arial" w:hAnsi="Arial" w:cs="Arial"/>
        </w:rPr>
        <w:t>Akenji</w:t>
      </w:r>
      <w:proofErr w:type="spellEnd"/>
      <w:r w:rsidRPr="00D00F7D">
        <w:rPr>
          <w:rFonts w:ascii="Arial" w:hAnsi="Arial" w:cs="Arial"/>
        </w:rPr>
        <w:t xml:space="preserve"> &amp; Neba, 2025).</w:t>
      </w:r>
    </w:p>
    <w:p w14:paraId="210CA7C0" w14:textId="77777777" w:rsidR="00D00F7D" w:rsidRPr="00D00F7D" w:rsidRDefault="00D00F7D" w:rsidP="00D00F7D">
      <w:pPr>
        <w:pStyle w:val="Body"/>
        <w:rPr>
          <w:rFonts w:ascii="Arial" w:hAnsi="Arial" w:cs="Arial"/>
        </w:rPr>
      </w:pPr>
      <w:r w:rsidRPr="00D00F7D">
        <w:rPr>
          <w:rFonts w:ascii="Arial" w:hAnsi="Arial" w:cs="Arial"/>
        </w:rPr>
        <w:t>The theoretical framework for this study draws from governance theory, stakeholder theory, and decentralization literature. Governance theory emphasizes the importance of institutional arrangements, power relationships, and coordination mechanisms in achieving development outcomes (UN-Habitat, 2010). Stakeholder theory focuses on how different actors with varying interests and capacities interact to influence policy outcomes, while decentralization theory examines how the transfer of authority and resources from central to local levels affects service delivery and development outcomes.</w:t>
      </w:r>
    </w:p>
    <w:p w14:paraId="7D8C2A37" w14:textId="77777777" w:rsidR="00790ADA" w:rsidRDefault="00D00F7D" w:rsidP="00D00F7D">
      <w:pPr>
        <w:pStyle w:val="Body"/>
        <w:spacing w:after="0"/>
        <w:rPr>
          <w:rFonts w:ascii="Arial" w:hAnsi="Arial" w:cs="Arial"/>
        </w:rPr>
      </w:pPr>
      <w:r w:rsidRPr="00D00F7D">
        <w:rPr>
          <w:rFonts w:ascii="Arial" w:hAnsi="Arial" w:cs="Arial"/>
        </w:rPr>
        <w:t>The global policy framework, particularly the New Urban Agenda adopted at Habitat III, emphasizes the need for inclusive urban governance approaches that engage multiple stakeholders in addressing housing challenges (United Nations, 2016). The Agenda recognizes housing as a central component of sustainable urban development and calls for enhanced local governance mechanisms to improve housing outcomes (United Nations, 2015). This international framework provides important context for examining local governance effectiveness in addressing urban housing challenges using Bamenda city as a case study.</w:t>
      </w:r>
    </w:p>
    <w:p w14:paraId="053C8C66" w14:textId="77777777" w:rsidR="00D00F7D" w:rsidRPr="00FB3A86" w:rsidRDefault="00D00F7D" w:rsidP="00D00F7D">
      <w:pPr>
        <w:pStyle w:val="Body"/>
        <w:spacing w:after="0"/>
        <w:rPr>
          <w:rFonts w:ascii="Arial" w:hAnsi="Arial" w:cs="Arial"/>
        </w:rPr>
      </w:pPr>
    </w:p>
    <w:p w14:paraId="7EE2E7D0" w14:textId="77777777" w:rsidR="007F7B32" w:rsidRDefault="00902823" w:rsidP="00441B6F">
      <w:pPr>
        <w:pStyle w:val="AbstHead"/>
        <w:spacing w:after="0"/>
        <w:jc w:val="both"/>
        <w:rPr>
          <w:rFonts w:ascii="Arial" w:hAnsi="Arial" w:cs="Arial"/>
        </w:rPr>
      </w:pPr>
      <w:r>
        <w:rPr>
          <w:rFonts w:ascii="Arial" w:hAnsi="Arial" w:cs="Arial"/>
        </w:rPr>
        <w:t>2. material and method</w:t>
      </w:r>
      <w:r w:rsidR="00D34594">
        <w:rPr>
          <w:rFonts w:ascii="Arial" w:hAnsi="Arial" w:cs="Arial"/>
        </w:rPr>
        <w:t>s</w:t>
      </w:r>
    </w:p>
    <w:p w14:paraId="61E410B2" w14:textId="77777777" w:rsidR="00D34594" w:rsidRDefault="00D34594" w:rsidP="00441B6F">
      <w:pPr>
        <w:pStyle w:val="AbstHead"/>
        <w:spacing w:after="0"/>
        <w:jc w:val="both"/>
        <w:rPr>
          <w:rFonts w:ascii="Arial" w:hAnsi="Arial" w:cs="Arial"/>
        </w:rPr>
      </w:pPr>
    </w:p>
    <w:p w14:paraId="05615981" w14:textId="77777777" w:rsidR="009C1BA4" w:rsidRDefault="009C1BA4" w:rsidP="00441B6F">
      <w:pPr>
        <w:pStyle w:val="AbstHead"/>
        <w:spacing w:after="0"/>
        <w:jc w:val="both"/>
        <w:rPr>
          <w:rFonts w:ascii="Arial" w:hAnsi="Arial" w:cs="Arial"/>
        </w:rPr>
      </w:pPr>
      <w:r>
        <w:rPr>
          <w:rFonts w:ascii="Arial" w:hAnsi="Arial" w:cs="Arial"/>
        </w:rPr>
        <w:t>2.2.1 S</w:t>
      </w:r>
      <w:r>
        <w:rPr>
          <w:rFonts w:ascii="Arial" w:hAnsi="Arial" w:cs="Arial"/>
          <w:caps w:val="0"/>
        </w:rPr>
        <w:t>tudy</w:t>
      </w:r>
      <w:r>
        <w:rPr>
          <w:rFonts w:ascii="Arial" w:hAnsi="Arial" w:cs="Arial"/>
        </w:rPr>
        <w:t xml:space="preserve"> A</w:t>
      </w:r>
      <w:r>
        <w:rPr>
          <w:rFonts w:ascii="Arial" w:hAnsi="Arial" w:cs="Arial"/>
          <w:caps w:val="0"/>
        </w:rPr>
        <w:t>rea</w:t>
      </w:r>
    </w:p>
    <w:p w14:paraId="02B35F5E" w14:textId="77777777" w:rsidR="00790ADA" w:rsidRPr="00FB3A86" w:rsidRDefault="00790ADA" w:rsidP="00441B6F">
      <w:pPr>
        <w:pStyle w:val="AbstHead"/>
        <w:spacing w:after="0"/>
        <w:jc w:val="both"/>
        <w:rPr>
          <w:rFonts w:ascii="Arial" w:hAnsi="Arial" w:cs="Arial"/>
        </w:rPr>
      </w:pPr>
    </w:p>
    <w:p w14:paraId="365E40C9" w14:textId="77777777" w:rsidR="00502516" w:rsidRDefault="009C1BA4" w:rsidP="00441B6F">
      <w:pPr>
        <w:pStyle w:val="Body"/>
        <w:spacing w:after="0"/>
        <w:rPr>
          <w:rFonts w:ascii="Arial" w:hAnsi="Arial" w:cs="Arial"/>
        </w:rPr>
      </w:pPr>
      <w:r w:rsidRPr="009C1BA4">
        <w:rPr>
          <w:rFonts w:ascii="Arial" w:hAnsi="Arial" w:cs="Arial"/>
        </w:rPr>
        <w:t xml:space="preserve">Bamenda is the largest town in the North West Region of Cameroon and serves as the regional headquarters. It is located between latitudes 5°51’0’’ and 6°3’0’’ North of the Equator and longitudes 10°3’0’’ and 10°15’0’’ East of the Greenwich Meridian. It is bounded to the North by </w:t>
      </w:r>
      <w:proofErr w:type="spellStart"/>
      <w:r w:rsidRPr="009C1BA4">
        <w:rPr>
          <w:rFonts w:ascii="Arial" w:hAnsi="Arial" w:cs="Arial"/>
        </w:rPr>
        <w:t>Tubah</w:t>
      </w:r>
      <w:proofErr w:type="spellEnd"/>
      <w:r w:rsidRPr="009C1BA4">
        <w:rPr>
          <w:rFonts w:ascii="Arial" w:hAnsi="Arial" w:cs="Arial"/>
        </w:rPr>
        <w:t xml:space="preserve"> Subdivision, to the South by Santa Subdivision, to the West by </w:t>
      </w:r>
      <w:proofErr w:type="spellStart"/>
      <w:r w:rsidRPr="009C1BA4">
        <w:rPr>
          <w:rFonts w:ascii="Arial" w:hAnsi="Arial" w:cs="Arial"/>
        </w:rPr>
        <w:t>Mbengwi</w:t>
      </w:r>
      <w:proofErr w:type="spellEnd"/>
      <w:r w:rsidRPr="009C1BA4">
        <w:rPr>
          <w:rFonts w:ascii="Arial" w:hAnsi="Arial" w:cs="Arial"/>
        </w:rPr>
        <w:t xml:space="preserve"> Sub-division, to the South West by Bali Subdivision and to the North East by </w:t>
      </w:r>
      <w:proofErr w:type="spellStart"/>
      <w:r w:rsidRPr="009C1BA4">
        <w:rPr>
          <w:rFonts w:ascii="Arial" w:hAnsi="Arial" w:cs="Arial"/>
        </w:rPr>
        <w:t>Bafut</w:t>
      </w:r>
      <w:proofErr w:type="spellEnd"/>
      <w:r w:rsidRPr="009C1BA4">
        <w:rPr>
          <w:rFonts w:ascii="Arial" w:hAnsi="Arial" w:cs="Arial"/>
        </w:rPr>
        <w:t xml:space="preserve"> Subdivision. The urbanscape of Bamenda has three administrative regions namely; Bamenda I, Bamenda II and Ba</w:t>
      </w:r>
      <w:r>
        <w:rPr>
          <w:rFonts w:ascii="Arial" w:hAnsi="Arial" w:cs="Arial"/>
        </w:rPr>
        <w:t>menda II Sub-divisions (</w:t>
      </w:r>
      <w:r w:rsidR="00375FE9">
        <w:rPr>
          <w:rFonts w:ascii="Arial" w:hAnsi="Arial" w:cs="Arial"/>
        </w:rPr>
        <w:t>Image</w:t>
      </w:r>
      <w:r>
        <w:rPr>
          <w:rFonts w:ascii="Arial" w:hAnsi="Arial" w:cs="Arial"/>
        </w:rPr>
        <w:t>. 1)</w:t>
      </w:r>
      <w:r w:rsidR="00502516" w:rsidRPr="00502516">
        <w:rPr>
          <w:rFonts w:ascii="Arial" w:hAnsi="Arial" w:cs="Arial"/>
        </w:rPr>
        <w:t xml:space="preserve">.  </w:t>
      </w:r>
    </w:p>
    <w:p w14:paraId="58E83C3B" w14:textId="77777777" w:rsidR="009C1BA4" w:rsidRDefault="009C1BA4" w:rsidP="00441B6F">
      <w:pPr>
        <w:pStyle w:val="Body"/>
        <w:spacing w:after="0"/>
        <w:rPr>
          <w:rFonts w:ascii="Arial" w:hAnsi="Arial" w:cs="Arial"/>
        </w:rPr>
      </w:pPr>
    </w:p>
    <w:p w14:paraId="605B92C6" w14:textId="77777777" w:rsidR="009C1BA4" w:rsidRDefault="009C1BA4" w:rsidP="009C1BA4">
      <w:pPr>
        <w:pStyle w:val="Body"/>
        <w:spacing w:after="0"/>
        <w:jc w:val="center"/>
        <w:rPr>
          <w:rFonts w:ascii="Arial" w:hAnsi="Arial" w:cs="Arial"/>
        </w:rPr>
      </w:pPr>
      <w:r w:rsidRPr="0051710B">
        <w:rPr>
          <w:rFonts w:ascii="Times New Roman" w:hAnsi="Times New Roman"/>
          <w:noProof/>
          <w:sz w:val="26"/>
          <w:szCs w:val="26"/>
        </w:rPr>
        <w:lastRenderedPageBreak/>
        <w:drawing>
          <wp:inline distT="0" distB="0" distL="0" distR="0" wp14:anchorId="2B696213" wp14:editId="04E44DF2">
            <wp:extent cx="5212080" cy="4433667"/>
            <wp:effectExtent l="0" t="0" r="7620" b="5080"/>
            <wp:docPr id="1277779984" name="Picture 1277779984" descr="C:\Users\ALPHA SERVICES\AppData\Local\Microsoft\Windows\Temporary Internet Files\Content.Word\IMG-20240421-WA0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PHA SERVICES\AppData\Local\Microsoft\Windows\Temporary Internet Files\Content.Word\IMG-20240421-WA005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4433667"/>
                    </a:xfrm>
                    <a:prstGeom prst="rect">
                      <a:avLst/>
                    </a:prstGeom>
                    <a:noFill/>
                    <a:ln>
                      <a:noFill/>
                    </a:ln>
                  </pic:spPr>
                </pic:pic>
              </a:graphicData>
            </a:graphic>
          </wp:inline>
        </w:drawing>
      </w:r>
    </w:p>
    <w:p w14:paraId="341AB2FC" w14:textId="77777777" w:rsidR="009C1BA4" w:rsidRPr="009C1BA4" w:rsidRDefault="00375FE9" w:rsidP="009C1BA4">
      <w:pPr>
        <w:pStyle w:val="Body"/>
        <w:spacing w:after="0"/>
        <w:jc w:val="center"/>
        <w:rPr>
          <w:rFonts w:ascii="Arial" w:hAnsi="Arial" w:cs="Arial"/>
        </w:rPr>
      </w:pPr>
      <w:r>
        <w:rPr>
          <w:rFonts w:ascii="Arial" w:hAnsi="Arial" w:cs="Arial"/>
        </w:rPr>
        <w:t>Image</w:t>
      </w:r>
      <w:r w:rsidR="009C1BA4" w:rsidRPr="009C1BA4">
        <w:rPr>
          <w:rFonts w:ascii="Arial" w:hAnsi="Arial" w:cs="Arial"/>
        </w:rPr>
        <w:t xml:space="preserve"> 1: Location of Bamenda municipality in the Northwest Region of Cameroon</w:t>
      </w:r>
    </w:p>
    <w:p w14:paraId="7F514D74" w14:textId="77777777" w:rsidR="009C1BA4" w:rsidRDefault="009C1BA4" w:rsidP="009C1BA4">
      <w:pPr>
        <w:pStyle w:val="Body"/>
        <w:spacing w:after="0"/>
        <w:jc w:val="center"/>
        <w:rPr>
          <w:rFonts w:ascii="Arial" w:hAnsi="Arial" w:cs="Arial"/>
        </w:rPr>
      </w:pPr>
      <w:r w:rsidRPr="009C1BA4">
        <w:rPr>
          <w:rFonts w:ascii="Arial" w:hAnsi="Arial" w:cs="Arial"/>
        </w:rPr>
        <w:t xml:space="preserve">Source: </w:t>
      </w:r>
      <w:proofErr w:type="spellStart"/>
      <w:r w:rsidR="00D34594">
        <w:rPr>
          <w:rFonts w:ascii="Arial" w:hAnsi="Arial" w:cs="Arial"/>
        </w:rPr>
        <w:t>Mbaku</w:t>
      </w:r>
      <w:proofErr w:type="spellEnd"/>
      <w:r w:rsidR="00D34594">
        <w:rPr>
          <w:rFonts w:ascii="Arial" w:hAnsi="Arial" w:cs="Arial"/>
        </w:rPr>
        <w:t xml:space="preserve"> (2025</w:t>
      </w:r>
      <w:r w:rsidRPr="009C1BA4">
        <w:rPr>
          <w:rFonts w:ascii="Arial" w:hAnsi="Arial" w:cs="Arial"/>
        </w:rPr>
        <w:t>)</w:t>
      </w:r>
    </w:p>
    <w:p w14:paraId="6D154829" w14:textId="77777777" w:rsidR="009C1BA4" w:rsidRDefault="009C1BA4" w:rsidP="00441B6F">
      <w:pPr>
        <w:pStyle w:val="Body"/>
        <w:spacing w:after="0"/>
        <w:rPr>
          <w:rFonts w:ascii="Arial" w:hAnsi="Arial" w:cs="Arial"/>
        </w:rPr>
      </w:pPr>
    </w:p>
    <w:p w14:paraId="647E31D2" w14:textId="77777777" w:rsidR="00D34594" w:rsidRPr="00FB3A86" w:rsidRDefault="00D34594" w:rsidP="00441B6F">
      <w:pPr>
        <w:pStyle w:val="Body"/>
        <w:spacing w:after="0"/>
        <w:rPr>
          <w:rFonts w:ascii="Arial" w:hAnsi="Arial" w:cs="Arial"/>
        </w:rPr>
      </w:pPr>
    </w:p>
    <w:p w14:paraId="584A38E7" w14:textId="77777777" w:rsidR="00AA74E0" w:rsidRDefault="00AA74E0" w:rsidP="00441B6F">
      <w:pPr>
        <w:pStyle w:val="Body"/>
        <w:spacing w:after="0"/>
        <w:rPr>
          <w:rFonts w:ascii="Arial" w:hAnsi="Arial" w:cs="Arial"/>
        </w:rPr>
      </w:pPr>
      <w:r w:rsidRPr="00C30A0F">
        <w:rPr>
          <w:rFonts w:ascii="Arial" w:hAnsi="Arial" w:cs="Arial"/>
          <w:b/>
          <w:caps/>
          <w:sz w:val="22"/>
        </w:rPr>
        <w:t>2.</w:t>
      </w:r>
      <w:r w:rsidR="009C1BA4">
        <w:rPr>
          <w:rFonts w:ascii="Arial" w:hAnsi="Arial" w:cs="Arial"/>
          <w:b/>
          <w:caps/>
          <w:sz w:val="22"/>
        </w:rPr>
        <w:t>2</w:t>
      </w:r>
      <w:r w:rsidRPr="00C30A0F">
        <w:rPr>
          <w:rFonts w:ascii="Arial" w:hAnsi="Arial" w:cs="Arial"/>
          <w:b/>
          <w:caps/>
          <w:sz w:val="22"/>
        </w:rPr>
        <w:t xml:space="preserve"> </w:t>
      </w:r>
      <w:r w:rsidR="009C1BA4" w:rsidRPr="009C1BA4">
        <w:rPr>
          <w:rFonts w:ascii="Arial" w:hAnsi="Arial" w:cs="Arial"/>
          <w:b/>
          <w:sz w:val="22"/>
        </w:rPr>
        <w:t>Research Methods</w:t>
      </w:r>
    </w:p>
    <w:p w14:paraId="3275DA2C" w14:textId="77777777" w:rsidR="009C1BA4" w:rsidRPr="009C1BA4" w:rsidRDefault="009C1BA4" w:rsidP="009C1BA4">
      <w:pPr>
        <w:pStyle w:val="Body"/>
        <w:rPr>
          <w:rFonts w:ascii="Arial" w:hAnsi="Arial" w:cs="Arial"/>
        </w:rPr>
      </w:pPr>
      <w:r w:rsidRPr="009C1BA4">
        <w:rPr>
          <w:rFonts w:ascii="Arial" w:hAnsi="Arial" w:cs="Arial"/>
        </w:rPr>
        <w:t>The study employed a mixed-methods approach, combining quantitative and qualitative research techniques to provide comprehensive insights into local governance procedures and stakeholder actions in urban housing. This methodological approach enabled a triangulation of data sources and validation of findings through multiple perspectives.</w:t>
      </w:r>
    </w:p>
    <w:p w14:paraId="6E3FA52B" w14:textId="77777777" w:rsidR="009C1BA4" w:rsidRPr="009C1BA4" w:rsidRDefault="009C1BA4" w:rsidP="009C1BA4">
      <w:pPr>
        <w:pStyle w:val="Body"/>
        <w:rPr>
          <w:rFonts w:ascii="Arial" w:hAnsi="Arial" w:cs="Arial"/>
        </w:rPr>
      </w:pPr>
      <w:r w:rsidRPr="009C1BA4">
        <w:rPr>
          <w:rFonts w:ascii="Arial" w:hAnsi="Arial" w:cs="Arial"/>
        </w:rPr>
        <w:t>Data collection consisted of primary and secondary data sources. Primary data collection involved structured surveys, key informant interviews and spatial assessment of local government and stakeholder actions in the various municipalities between June 2023 and August 2024. A total of 520 respondents were surveyed using a stratified random sampling approach. The sample included household heads, community leaders, municipal officials and representatives of various stakeholder organizations. Key informant interviews were conducted with purposively selected participants, including municipal officials, government agency representatives, NGO leaders, traditional authorities and urban planning professionals. These interviews provided in-depth insights into governance procedures, stakeholder relationships and housing policy implementation challenges.</w:t>
      </w:r>
    </w:p>
    <w:p w14:paraId="1AB06500" w14:textId="77777777" w:rsidR="009C1BA4" w:rsidRPr="009C1BA4" w:rsidRDefault="009C1BA4" w:rsidP="009C1BA4">
      <w:pPr>
        <w:pStyle w:val="Body"/>
        <w:rPr>
          <w:rFonts w:ascii="Arial" w:hAnsi="Arial" w:cs="Arial"/>
        </w:rPr>
      </w:pPr>
      <w:r w:rsidRPr="009C1BA4">
        <w:rPr>
          <w:rFonts w:ascii="Arial" w:hAnsi="Arial" w:cs="Arial"/>
        </w:rPr>
        <w:t xml:space="preserve">Secondary data sources included municipal records, government policy documents, NGO reports and academic publications related to urban governance and housing in Cameroon. </w:t>
      </w:r>
      <w:r w:rsidRPr="009C1BA4">
        <w:rPr>
          <w:rFonts w:ascii="Arial" w:hAnsi="Arial" w:cs="Arial"/>
        </w:rPr>
        <w:lastRenderedPageBreak/>
        <w:t>Spatial data was obtained from municipal planning departments and satellite imagery analysis to understand urban growth patterns and housing development trends.</w:t>
      </w:r>
    </w:p>
    <w:p w14:paraId="7C1F6692" w14:textId="77777777" w:rsidR="00505F06" w:rsidRDefault="009C1BA4" w:rsidP="009C1BA4">
      <w:pPr>
        <w:pStyle w:val="Body"/>
        <w:spacing w:after="0"/>
        <w:rPr>
          <w:rFonts w:ascii="Arial" w:hAnsi="Arial" w:cs="Arial"/>
        </w:rPr>
      </w:pPr>
      <w:r w:rsidRPr="009C1BA4">
        <w:rPr>
          <w:rFonts w:ascii="Arial" w:hAnsi="Arial" w:cs="Arial"/>
        </w:rPr>
        <w:t>Numerical data was analyzed using Statistical Package for Social Sciences (SPSS) version 28.0. Descriptive statistics were employed to present the challenges faced in decentralised housing process and urban housing planning, the local urban housing stakeholders involved, their actions and success rates and the evolution of stakeholder actions in urban housing standards in Bamenda (2010-2024). Qualitative data from interviews was analyzed using thematic analysis to identify patterns, challenges and prospects in urban housing governance procedures and stakeholder actions. Spatial analysis was conducted using Geographic Information Systems (GIS) to map the land use zoning of the Bamenda urbanscape showing built-up areas across different areas of the city. This spatial dimension provided important insights into the geographical distribution of governance challenges and stakeholder interventions.</w:t>
      </w:r>
    </w:p>
    <w:p w14:paraId="5BAEEA5F" w14:textId="77777777" w:rsidR="009C1BA4" w:rsidRDefault="009C1BA4" w:rsidP="00441B6F">
      <w:pPr>
        <w:pStyle w:val="Body"/>
        <w:spacing w:after="0"/>
        <w:rPr>
          <w:rFonts w:ascii="Arial" w:hAnsi="Arial" w:cs="Arial"/>
          <w:b/>
          <w:u w:val="single"/>
        </w:rPr>
      </w:pPr>
    </w:p>
    <w:p w14:paraId="606217C0" w14:textId="77777777" w:rsidR="00790ADA" w:rsidRPr="00FB3A86" w:rsidRDefault="00790ADA" w:rsidP="00441B6F">
      <w:pPr>
        <w:pStyle w:val="Body"/>
        <w:spacing w:after="0"/>
        <w:rPr>
          <w:rFonts w:ascii="Arial" w:hAnsi="Arial" w:cs="Arial"/>
        </w:rPr>
      </w:pPr>
    </w:p>
    <w:p w14:paraId="2E36076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69C6CE69" w14:textId="77777777" w:rsidR="00790ADA" w:rsidRPr="00FB3A86" w:rsidRDefault="00790ADA" w:rsidP="00441B6F">
      <w:pPr>
        <w:pStyle w:val="Head1"/>
        <w:spacing w:after="0"/>
        <w:jc w:val="both"/>
        <w:rPr>
          <w:rFonts w:ascii="Arial" w:hAnsi="Arial" w:cs="Arial"/>
        </w:rPr>
      </w:pPr>
    </w:p>
    <w:p w14:paraId="0AE983BD" w14:textId="77777777" w:rsidR="00C30A0F"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00977718" w:rsidRPr="00977718">
        <w:rPr>
          <w:rFonts w:ascii="Arial" w:hAnsi="Arial" w:cs="Arial"/>
          <w:b/>
          <w:sz w:val="22"/>
        </w:rPr>
        <w:t>Local Governance Structure in Bamenda</w:t>
      </w:r>
    </w:p>
    <w:p w14:paraId="3B6FAB39" w14:textId="77777777" w:rsidR="00505F06" w:rsidRDefault="00977718" w:rsidP="00441B6F">
      <w:pPr>
        <w:pStyle w:val="Body"/>
        <w:spacing w:after="0"/>
        <w:rPr>
          <w:rFonts w:ascii="Arial" w:hAnsi="Arial" w:cs="Arial"/>
        </w:rPr>
      </w:pPr>
      <w:r w:rsidRPr="00977718">
        <w:rPr>
          <w:rFonts w:ascii="Arial" w:hAnsi="Arial" w:cs="Arial"/>
        </w:rPr>
        <w:t xml:space="preserve">The implementation of decentralization in Bamenda operates through a multi-tiered governance structure with the Bamenda City Council (BCC) serving as the central coordinating institution. The BCC oversees municipal development across the three sub-divisions, each headed by elected mayors and municipal councilors chosen through democratic process This governance arrangement provides a framework for local autonomy while maintaining alignment with regional and national policies. The BCC's responsibilities encompass urban planning and infrastructure management, public service provision including water supply and waste management, economic development and law enforcement coordination with security agencies. These functions position the BCC as a critical actor in urban housing governance, with direct authority over building permits, land use planning, and infrastructure development. Analysis of decentralization effectiveness reveals significant spatial variations across Bamenda's urban landscape, as illustrated in the land use zoning map (Fig. </w:t>
      </w:r>
      <w:r w:rsidR="00375FE9">
        <w:rPr>
          <w:rFonts w:ascii="Arial" w:hAnsi="Arial" w:cs="Arial"/>
        </w:rPr>
        <w:t>1</w:t>
      </w:r>
      <w:r w:rsidRPr="00977718">
        <w:rPr>
          <w:rFonts w:ascii="Arial" w:hAnsi="Arial" w:cs="Arial"/>
        </w:rPr>
        <w:t>). The spatial distribution demonstrates the complex relationship between urban development patterns and governance effectiveness across different zones of the city.</w:t>
      </w:r>
    </w:p>
    <w:p w14:paraId="46088113" w14:textId="77777777" w:rsidR="00977718" w:rsidRDefault="00977718" w:rsidP="00977718">
      <w:pPr>
        <w:pStyle w:val="Body"/>
        <w:spacing w:after="0"/>
        <w:jc w:val="center"/>
        <w:rPr>
          <w:rFonts w:ascii="Arial" w:hAnsi="Arial" w:cs="Arial"/>
        </w:rPr>
      </w:pPr>
      <w:r w:rsidRPr="003C73DD">
        <w:rPr>
          <w:rFonts w:ascii="Times New Roman" w:hAnsi="Times New Roman"/>
          <w:noProof/>
        </w:rPr>
        <w:lastRenderedPageBreak/>
        <w:drawing>
          <wp:inline distT="0" distB="0" distL="0" distR="0" wp14:anchorId="458EE4A0" wp14:editId="15E5B24F">
            <wp:extent cx="5212080" cy="3684690"/>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2080" cy="3684690"/>
                    </a:xfrm>
                    <a:prstGeom prst="rect">
                      <a:avLst/>
                    </a:prstGeom>
                    <a:noFill/>
                    <a:ln>
                      <a:noFill/>
                    </a:ln>
                  </pic:spPr>
                </pic:pic>
              </a:graphicData>
            </a:graphic>
          </wp:inline>
        </w:drawing>
      </w:r>
    </w:p>
    <w:p w14:paraId="4F4C87CC" w14:textId="77777777" w:rsidR="00977718" w:rsidRPr="00977718" w:rsidRDefault="00977718" w:rsidP="00977718">
      <w:pPr>
        <w:pStyle w:val="Body"/>
        <w:spacing w:after="0"/>
        <w:jc w:val="center"/>
        <w:rPr>
          <w:rFonts w:ascii="Arial" w:hAnsi="Arial" w:cs="Arial"/>
        </w:rPr>
      </w:pPr>
      <w:r w:rsidRPr="00977718">
        <w:rPr>
          <w:rFonts w:ascii="Arial" w:hAnsi="Arial" w:cs="Arial"/>
        </w:rPr>
        <w:t xml:space="preserve">Figure </w:t>
      </w:r>
      <w:r w:rsidR="00375FE9">
        <w:rPr>
          <w:rFonts w:ascii="Arial" w:hAnsi="Arial" w:cs="Arial"/>
        </w:rPr>
        <w:t>1</w:t>
      </w:r>
      <w:r w:rsidRPr="00977718">
        <w:rPr>
          <w:rFonts w:ascii="Arial" w:hAnsi="Arial" w:cs="Arial"/>
        </w:rPr>
        <w:t xml:space="preserve">: Land Use Zoning Map of the Bamenda Urbanscape </w:t>
      </w:r>
    </w:p>
    <w:p w14:paraId="46028B67" w14:textId="77777777" w:rsidR="00977718" w:rsidRDefault="00977718" w:rsidP="00977718">
      <w:pPr>
        <w:pStyle w:val="Body"/>
        <w:spacing w:after="0"/>
        <w:jc w:val="center"/>
        <w:rPr>
          <w:rFonts w:ascii="Arial" w:hAnsi="Arial" w:cs="Arial"/>
        </w:rPr>
      </w:pPr>
      <w:r w:rsidRPr="00977718">
        <w:rPr>
          <w:rFonts w:ascii="Arial" w:hAnsi="Arial" w:cs="Arial"/>
        </w:rPr>
        <w:t xml:space="preserve">Source: </w:t>
      </w:r>
      <w:r w:rsidR="00D34594">
        <w:rPr>
          <w:rFonts w:ascii="Arial" w:hAnsi="Arial" w:cs="Arial"/>
        </w:rPr>
        <w:t>Bamenda City Council (</w:t>
      </w:r>
      <w:r w:rsidRPr="00977718">
        <w:rPr>
          <w:rFonts w:ascii="Arial" w:hAnsi="Arial" w:cs="Arial"/>
        </w:rPr>
        <w:t>BCC</w:t>
      </w:r>
      <w:r w:rsidR="00D34594">
        <w:rPr>
          <w:rFonts w:ascii="Arial" w:hAnsi="Arial" w:cs="Arial"/>
        </w:rPr>
        <w:t>)</w:t>
      </w:r>
      <w:r w:rsidRPr="00977718">
        <w:rPr>
          <w:rFonts w:ascii="Arial" w:hAnsi="Arial" w:cs="Arial"/>
        </w:rPr>
        <w:t>, 2025</w:t>
      </w:r>
    </w:p>
    <w:p w14:paraId="6AAAD6A4" w14:textId="77777777" w:rsidR="00977718" w:rsidRDefault="00977718" w:rsidP="00977718">
      <w:pPr>
        <w:pStyle w:val="Body"/>
        <w:spacing w:after="0"/>
        <w:jc w:val="center"/>
        <w:rPr>
          <w:rFonts w:ascii="Arial" w:hAnsi="Arial" w:cs="Arial"/>
        </w:rPr>
      </w:pPr>
    </w:p>
    <w:p w14:paraId="36F944D2" w14:textId="77777777" w:rsidR="00977718" w:rsidRDefault="00977718" w:rsidP="00977718">
      <w:pPr>
        <w:jc w:val="both"/>
        <w:rPr>
          <w:rFonts w:ascii="Arial" w:hAnsi="Arial" w:cs="Arial"/>
        </w:rPr>
      </w:pPr>
      <w:r w:rsidRPr="00977718">
        <w:rPr>
          <w:rFonts w:ascii="Arial" w:hAnsi="Arial" w:cs="Arial"/>
        </w:rPr>
        <w:t xml:space="preserve">Figure </w:t>
      </w:r>
      <w:r w:rsidR="00375FE9">
        <w:rPr>
          <w:rFonts w:ascii="Arial" w:hAnsi="Arial" w:cs="Arial"/>
        </w:rPr>
        <w:t>2</w:t>
      </w:r>
      <w:r w:rsidRPr="00977718">
        <w:rPr>
          <w:rFonts w:ascii="Arial" w:hAnsi="Arial" w:cs="Arial"/>
        </w:rPr>
        <w:t xml:space="preserve"> reveals a clear spatial hierarchy of decentralization effectiveness across Bamenda, with approximately 25% of the city area classified as high-performing areas concentrated in the urban core and established neighborhoods that benefit from better infrastructure, institutional presence, and civic engagement. About 45% of the city area shows moderate effectiveness, occurring within transitional areas and developing settlements, representing areas of ongoing institutional development and opportunities for targeted interventions. The remaining 30% of the city area, predominantly peripheral zones and informal settlements, exhibits low effectiveness, highlighting the persistent challenge of extending quality decentralized services to marginalized communities and demonstrating how urban development patterns directly influence governance outcomes, creating spatial inequities that require deliberate policy interventions to ensure inclusive and equitable decentralization across all areas of the city.</w:t>
      </w:r>
    </w:p>
    <w:p w14:paraId="13D1EDB4" w14:textId="77777777" w:rsidR="00977718" w:rsidRPr="00977718" w:rsidRDefault="00977718" w:rsidP="00977718">
      <w:pPr>
        <w:jc w:val="both"/>
        <w:rPr>
          <w:rFonts w:ascii="Arial" w:hAnsi="Arial" w:cs="Arial"/>
        </w:rPr>
      </w:pPr>
    </w:p>
    <w:p w14:paraId="7798DBD1" w14:textId="77777777" w:rsidR="00977718" w:rsidRPr="00977718" w:rsidRDefault="00977718" w:rsidP="00977718">
      <w:pPr>
        <w:jc w:val="both"/>
        <w:rPr>
          <w:rFonts w:ascii="Arial" w:hAnsi="Arial" w:cs="Arial"/>
        </w:rPr>
      </w:pPr>
      <w:r w:rsidRPr="00977718">
        <w:rPr>
          <w:rFonts w:ascii="Arial" w:hAnsi="Arial" w:cs="Arial"/>
        </w:rPr>
        <w:t>The challenges faced by local stakeholders in implementing decentralization housing policies provide important insights into the operational difficulties encountered in practice. These challenges reflect the complex realities on the ground and indicate areas requiring targeted intervention for improved housing governance outcomes (Figure 3).</w:t>
      </w:r>
    </w:p>
    <w:p w14:paraId="3E35E16E" w14:textId="77777777" w:rsidR="00977718" w:rsidRDefault="00977718" w:rsidP="00441B6F">
      <w:pPr>
        <w:pStyle w:val="Body"/>
        <w:spacing w:after="0"/>
        <w:rPr>
          <w:rFonts w:ascii="Arial" w:hAnsi="Arial" w:cs="Arial"/>
          <w:b/>
          <w:u w:val="single"/>
        </w:rPr>
      </w:pPr>
    </w:p>
    <w:p w14:paraId="34160038" w14:textId="77777777" w:rsidR="00977718" w:rsidRDefault="00977718" w:rsidP="00441B6F">
      <w:pPr>
        <w:pStyle w:val="Body"/>
        <w:spacing w:after="0"/>
        <w:rPr>
          <w:rFonts w:ascii="Arial" w:hAnsi="Arial" w:cs="Arial"/>
          <w:b/>
          <w:u w:val="single"/>
        </w:rPr>
      </w:pPr>
    </w:p>
    <w:p w14:paraId="4B133438" w14:textId="77777777" w:rsidR="00977718" w:rsidRDefault="00977718" w:rsidP="00441B6F">
      <w:pPr>
        <w:pStyle w:val="Body"/>
        <w:spacing w:after="0"/>
        <w:rPr>
          <w:rFonts w:ascii="Arial" w:hAnsi="Arial" w:cs="Arial"/>
          <w:b/>
          <w:u w:val="single"/>
        </w:rPr>
      </w:pPr>
    </w:p>
    <w:p w14:paraId="3AC713F2" w14:textId="77777777" w:rsidR="00977718" w:rsidRDefault="00977718" w:rsidP="00441B6F">
      <w:pPr>
        <w:pStyle w:val="Body"/>
        <w:spacing w:after="0"/>
        <w:rPr>
          <w:rFonts w:ascii="Arial" w:hAnsi="Arial" w:cs="Arial"/>
          <w:b/>
          <w:u w:val="single"/>
        </w:rPr>
      </w:pPr>
    </w:p>
    <w:p w14:paraId="02550F52" w14:textId="77777777" w:rsidR="00977718" w:rsidRDefault="00977718" w:rsidP="00977718">
      <w:pPr>
        <w:pStyle w:val="Body"/>
        <w:spacing w:after="0"/>
        <w:jc w:val="center"/>
        <w:rPr>
          <w:rFonts w:ascii="Arial" w:hAnsi="Arial" w:cs="Arial"/>
          <w:b/>
          <w:u w:val="single"/>
        </w:rPr>
      </w:pPr>
      <w:r>
        <w:rPr>
          <w:noProof/>
        </w:rPr>
        <w:lastRenderedPageBreak/>
        <w:drawing>
          <wp:inline distT="0" distB="0" distL="0" distR="0" wp14:anchorId="27F62E8F" wp14:editId="2A64DDB8">
            <wp:extent cx="457200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4397F8E" w14:textId="77777777" w:rsidR="00977718" w:rsidRPr="00977718" w:rsidRDefault="00977718" w:rsidP="00977718">
      <w:pPr>
        <w:jc w:val="center"/>
        <w:rPr>
          <w:rFonts w:ascii="Arial" w:hAnsi="Arial" w:cs="Arial"/>
          <w:b/>
          <w:lang w:val="en-GB"/>
        </w:rPr>
      </w:pPr>
      <w:bookmarkStart w:id="1" w:name="_Toc203198283"/>
      <w:r w:rsidRPr="00977718">
        <w:rPr>
          <w:rFonts w:ascii="Arial" w:hAnsi="Arial" w:cs="Arial"/>
          <w:b/>
          <w:lang w:val="en-GB"/>
        </w:rPr>
        <w:t>Figure 2: Challenges faced in the decentralisation housing process by local housing stakeholders in Bamenda</w:t>
      </w:r>
      <w:bookmarkEnd w:id="1"/>
    </w:p>
    <w:p w14:paraId="7CDF17FE" w14:textId="77777777" w:rsidR="00977718" w:rsidRPr="00977718" w:rsidRDefault="00977718" w:rsidP="00977718">
      <w:pPr>
        <w:jc w:val="center"/>
        <w:rPr>
          <w:rFonts w:ascii="Arial" w:hAnsi="Arial" w:cs="Arial"/>
          <w:b/>
          <w:bCs/>
        </w:rPr>
      </w:pPr>
      <w:r w:rsidRPr="00977718">
        <w:rPr>
          <w:rFonts w:ascii="Arial" w:hAnsi="Arial" w:cs="Arial"/>
          <w:b/>
          <w:bCs/>
        </w:rPr>
        <w:t>Source: Fieldwork (June 2023–August 2024)</w:t>
      </w:r>
    </w:p>
    <w:p w14:paraId="15A85EF7" w14:textId="77777777" w:rsidR="00977718" w:rsidRDefault="00977718" w:rsidP="00441B6F">
      <w:pPr>
        <w:pStyle w:val="Body"/>
        <w:spacing w:after="0"/>
        <w:rPr>
          <w:rFonts w:ascii="Arial" w:hAnsi="Arial" w:cs="Arial"/>
          <w:b/>
          <w:u w:val="single"/>
        </w:rPr>
      </w:pPr>
    </w:p>
    <w:p w14:paraId="774FEE96" w14:textId="77777777" w:rsidR="00977718" w:rsidRPr="00977718" w:rsidRDefault="00977718" w:rsidP="00977718">
      <w:pPr>
        <w:jc w:val="both"/>
        <w:rPr>
          <w:rFonts w:ascii="Arial" w:hAnsi="Arial" w:cs="Arial"/>
        </w:rPr>
      </w:pPr>
      <w:r w:rsidRPr="00977718">
        <w:rPr>
          <w:rFonts w:ascii="Arial" w:hAnsi="Arial" w:cs="Arial"/>
        </w:rPr>
        <w:t>The analysis reveals that insufficient funding emerges as the greatest problem encountered in implementing decentralization policy in Bamenda by local housing stakeholders, as the potentials for decentralization were transferred but money held back, especially for councils with peculiar challenges requiring more funding. This was followed by poor habits of inhabitants who often refuse to give up their lands for development projects even with promised adequate compensation, constituting one of the greatest impediments to effective implementation. Other significant challenges include bribery and corruption, non-mastery of the decentralization process by mayors, absence of effective control by the Ministry of Decentralisation and Local Development (MINDDEVEL), state dominance where the central government still has a grip to power in Yaoundé, institutional conflicts, and poor sensitization methods by local council authorities. These challenges work collectively against improved urban housing standards within the context of local governance, creating a complex web of constraints that require comprehensive policy responses addressing both institutional capacity and resource allocation issues.</w:t>
      </w:r>
    </w:p>
    <w:p w14:paraId="5080EDEC" w14:textId="77777777" w:rsidR="00977718" w:rsidRDefault="00977718" w:rsidP="00441B6F">
      <w:pPr>
        <w:pStyle w:val="Body"/>
        <w:spacing w:after="0"/>
        <w:rPr>
          <w:rFonts w:ascii="Arial" w:hAnsi="Arial" w:cs="Arial"/>
          <w:b/>
          <w:u w:val="single"/>
        </w:rPr>
      </w:pPr>
    </w:p>
    <w:p w14:paraId="7D345344" w14:textId="77777777" w:rsidR="00C30A0F" w:rsidRPr="00F97B97" w:rsidRDefault="00C30A0F" w:rsidP="00441B6F">
      <w:pPr>
        <w:pStyle w:val="Body"/>
        <w:spacing w:after="0"/>
        <w:rPr>
          <w:rFonts w:ascii="Arial" w:hAnsi="Arial" w:cs="Arial"/>
        </w:rPr>
      </w:pPr>
      <w:r w:rsidRPr="00F97B97">
        <w:rPr>
          <w:rFonts w:ascii="Arial" w:hAnsi="Arial" w:cs="Arial"/>
          <w:b/>
        </w:rPr>
        <w:t>3</w:t>
      </w:r>
      <w:r w:rsidR="00977718" w:rsidRPr="00F97B97">
        <w:rPr>
          <w:rFonts w:ascii="Arial" w:hAnsi="Arial" w:cs="Arial"/>
          <w:b/>
        </w:rPr>
        <w:t>.2</w:t>
      </w:r>
      <w:r w:rsidRPr="00F97B97">
        <w:rPr>
          <w:rFonts w:ascii="Arial" w:hAnsi="Arial" w:cs="Arial"/>
          <w:b/>
        </w:rPr>
        <w:t xml:space="preserve"> </w:t>
      </w:r>
      <w:r w:rsidR="00F97B97" w:rsidRPr="00F97B97">
        <w:rPr>
          <w:rFonts w:ascii="Arial" w:hAnsi="Arial" w:cs="Arial"/>
          <w:b/>
        </w:rPr>
        <w:t>Urban Housing Stakeholders</w:t>
      </w:r>
    </w:p>
    <w:p w14:paraId="5B6B646B" w14:textId="77777777" w:rsidR="00505F06" w:rsidRDefault="00505F06" w:rsidP="00441B6F">
      <w:pPr>
        <w:pStyle w:val="Body"/>
        <w:spacing w:after="0"/>
        <w:rPr>
          <w:rFonts w:ascii="Arial" w:hAnsi="Arial" w:cs="Arial"/>
        </w:rPr>
      </w:pPr>
    </w:p>
    <w:p w14:paraId="41F83B81" w14:textId="77777777" w:rsidR="00F97B97" w:rsidRDefault="00F97B97" w:rsidP="00441B6F">
      <w:pPr>
        <w:pStyle w:val="Body"/>
        <w:spacing w:after="0"/>
        <w:rPr>
          <w:rFonts w:ascii="Arial" w:hAnsi="Arial" w:cs="Arial"/>
        </w:rPr>
      </w:pPr>
      <w:r w:rsidRPr="00F97B97">
        <w:rPr>
          <w:rFonts w:ascii="Arial" w:hAnsi="Arial" w:cs="Arial"/>
        </w:rPr>
        <w:t>The study identified multiple stakeholders involved in urban housing governance in Bamenda, each with distinct roles and capacities. Understanding the distribution of stakeholder involvement provides important insights into the governance landscape and power dynamics in housing provision (Table 1).</w:t>
      </w:r>
    </w:p>
    <w:p w14:paraId="6B0FAD83" w14:textId="77777777" w:rsidR="00F97B97" w:rsidRDefault="00F97B97" w:rsidP="00441B6F">
      <w:pPr>
        <w:pStyle w:val="Body"/>
        <w:spacing w:after="0"/>
        <w:rPr>
          <w:rFonts w:ascii="Arial" w:hAnsi="Arial" w:cs="Arial"/>
        </w:rPr>
      </w:pPr>
    </w:p>
    <w:p w14:paraId="538058C6" w14:textId="77777777" w:rsidR="00F97B97" w:rsidRDefault="00F97B97" w:rsidP="00FF764A">
      <w:pPr>
        <w:pStyle w:val="Body"/>
        <w:spacing w:after="0"/>
        <w:jc w:val="center"/>
        <w:rPr>
          <w:rFonts w:ascii="Arial" w:hAnsi="Arial" w:cs="Arial"/>
        </w:rPr>
      </w:pPr>
      <w:r w:rsidRPr="00F97B97">
        <w:rPr>
          <w:rFonts w:ascii="Arial" w:hAnsi="Arial" w:cs="Arial"/>
        </w:rPr>
        <w:t>Table 1: Local Urban Housing Stakeholders in Bamenda city</w:t>
      </w:r>
    </w:p>
    <w:tbl>
      <w:tblPr>
        <w:tblW w:w="0" w:type="auto"/>
        <w:jc w:val="center"/>
        <w:tblBorders>
          <w:top w:val="single" w:sz="4" w:space="0" w:color="auto"/>
          <w:bottom w:val="single" w:sz="4" w:space="0" w:color="auto"/>
        </w:tblBorders>
        <w:tblLook w:val="04A0" w:firstRow="1" w:lastRow="0" w:firstColumn="1" w:lastColumn="0" w:noHBand="0" w:noVBand="1"/>
      </w:tblPr>
      <w:tblGrid>
        <w:gridCol w:w="5053"/>
        <w:gridCol w:w="1228"/>
        <w:gridCol w:w="717"/>
      </w:tblGrid>
      <w:tr w:rsidR="00F97B97" w:rsidRPr="00F97B97" w14:paraId="068E9A1C" w14:textId="77777777" w:rsidTr="00F97B97">
        <w:trPr>
          <w:trHeight w:val="188"/>
          <w:jc w:val="center"/>
        </w:trPr>
        <w:tc>
          <w:tcPr>
            <w:tcW w:w="0" w:type="auto"/>
            <w:vAlign w:val="center"/>
            <w:hideMark/>
          </w:tcPr>
          <w:p w14:paraId="7DDA8A34" w14:textId="77777777" w:rsidR="00F97B97" w:rsidRPr="00F97B97" w:rsidRDefault="00F97B97" w:rsidP="007E71E2">
            <w:pPr>
              <w:jc w:val="center"/>
              <w:rPr>
                <w:rFonts w:ascii="Arial" w:hAnsi="Arial" w:cs="Arial"/>
                <w:b/>
                <w:bCs/>
              </w:rPr>
            </w:pPr>
            <w:r w:rsidRPr="00F97B97">
              <w:rPr>
                <w:rFonts w:ascii="Arial" w:hAnsi="Arial" w:cs="Arial"/>
                <w:b/>
                <w:bCs/>
              </w:rPr>
              <w:t>Stakeholders</w:t>
            </w:r>
          </w:p>
        </w:tc>
        <w:tc>
          <w:tcPr>
            <w:tcW w:w="0" w:type="auto"/>
            <w:vAlign w:val="center"/>
            <w:hideMark/>
          </w:tcPr>
          <w:p w14:paraId="43F4EAC5" w14:textId="77777777" w:rsidR="00F97B97" w:rsidRPr="00F97B97" w:rsidRDefault="00F97B97" w:rsidP="007E71E2">
            <w:pPr>
              <w:jc w:val="center"/>
              <w:rPr>
                <w:rFonts w:ascii="Arial" w:hAnsi="Arial" w:cs="Arial"/>
                <w:b/>
                <w:bCs/>
              </w:rPr>
            </w:pPr>
            <w:r w:rsidRPr="00F97B97">
              <w:rPr>
                <w:rFonts w:ascii="Arial" w:hAnsi="Arial" w:cs="Arial"/>
                <w:b/>
                <w:bCs/>
              </w:rPr>
              <w:t>Frequency</w:t>
            </w:r>
          </w:p>
        </w:tc>
        <w:tc>
          <w:tcPr>
            <w:tcW w:w="0" w:type="auto"/>
            <w:vAlign w:val="center"/>
            <w:hideMark/>
          </w:tcPr>
          <w:p w14:paraId="25DF6767" w14:textId="77777777" w:rsidR="00F97B97" w:rsidRPr="00F97B97" w:rsidRDefault="00F97B97" w:rsidP="007E71E2">
            <w:pPr>
              <w:jc w:val="center"/>
              <w:rPr>
                <w:rFonts w:ascii="Arial" w:hAnsi="Arial" w:cs="Arial"/>
                <w:b/>
                <w:bCs/>
              </w:rPr>
            </w:pPr>
            <w:r w:rsidRPr="00F97B97">
              <w:rPr>
                <w:rFonts w:ascii="Arial" w:hAnsi="Arial" w:cs="Arial"/>
                <w:b/>
                <w:bCs/>
              </w:rPr>
              <w:t>%</w:t>
            </w:r>
          </w:p>
        </w:tc>
      </w:tr>
      <w:tr w:rsidR="00F97B97" w:rsidRPr="00F97B97" w14:paraId="35566ACD" w14:textId="77777777" w:rsidTr="00F97B97">
        <w:trPr>
          <w:trHeight w:val="300"/>
          <w:jc w:val="center"/>
        </w:trPr>
        <w:tc>
          <w:tcPr>
            <w:tcW w:w="0" w:type="auto"/>
            <w:vAlign w:val="center"/>
            <w:hideMark/>
          </w:tcPr>
          <w:p w14:paraId="27BAE6C9" w14:textId="77777777" w:rsidR="00F97B97" w:rsidRPr="00F97B97" w:rsidRDefault="00F97B97" w:rsidP="007E71E2">
            <w:pPr>
              <w:jc w:val="both"/>
              <w:rPr>
                <w:rFonts w:ascii="Arial" w:hAnsi="Arial" w:cs="Arial"/>
              </w:rPr>
            </w:pPr>
            <w:r w:rsidRPr="00F97B97">
              <w:rPr>
                <w:rFonts w:ascii="Arial" w:hAnsi="Arial" w:cs="Arial"/>
              </w:rPr>
              <w:t>Bamenda City Council</w:t>
            </w:r>
          </w:p>
        </w:tc>
        <w:tc>
          <w:tcPr>
            <w:tcW w:w="0" w:type="auto"/>
            <w:noWrap/>
            <w:vAlign w:val="center"/>
            <w:hideMark/>
          </w:tcPr>
          <w:p w14:paraId="483472DA" w14:textId="77777777" w:rsidR="00F97B97" w:rsidRPr="00F97B97" w:rsidRDefault="00F97B97" w:rsidP="007E71E2">
            <w:pPr>
              <w:jc w:val="center"/>
              <w:rPr>
                <w:rFonts w:ascii="Arial" w:hAnsi="Arial" w:cs="Arial"/>
              </w:rPr>
            </w:pPr>
            <w:r w:rsidRPr="00F97B97">
              <w:rPr>
                <w:rFonts w:ascii="Arial" w:hAnsi="Arial" w:cs="Arial"/>
              </w:rPr>
              <w:t>217</w:t>
            </w:r>
          </w:p>
        </w:tc>
        <w:tc>
          <w:tcPr>
            <w:tcW w:w="0" w:type="auto"/>
            <w:noWrap/>
            <w:vAlign w:val="center"/>
            <w:hideMark/>
          </w:tcPr>
          <w:p w14:paraId="1F26FA20" w14:textId="77777777" w:rsidR="00F97B97" w:rsidRPr="00F97B97" w:rsidRDefault="00F97B97" w:rsidP="007E71E2">
            <w:pPr>
              <w:jc w:val="center"/>
              <w:rPr>
                <w:rFonts w:ascii="Arial" w:hAnsi="Arial" w:cs="Arial"/>
              </w:rPr>
            </w:pPr>
            <w:r w:rsidRPr="00F97B97">
              <w:rPr>
                <w:rFonts w:ascii="Arial" w:hAnsi="Arial" w:cs="Arial"/>
              </w:rPr>
              <w:t>41.73</w:t>
            </w:r>
          </w:p>
        </w:tc>
      </w:tr>
      <w:tr w:rsidR="00F97B97" w:rsidRPr="00F97B97" w14:paraId="682E8A7D" w14:textId="77777777" w:rsidTr="00F97B97">
        <w:trPr>
          <w:trHeight w:val="125"/>
          <w:jc w:val="center"/>
        </w:trPr>
        <w:tc>
          <w:tcPr>
            <w:tcW w:w="0" w:type="auto"/>
            <w:vAlign w:val="center"/>
            <w:hideMark/>
          </w:tcPr>
          <w:p w14:paraId="4F4C17C2" w14:textId="77777777" w:rsidR="00F97B97" w:rsidRPr="00F97B97" w:rsidRDefault="00F97B97" w:rsidP="007E71E2">
            <w:pPr>
              <w:jc w:val="both"/>
              <w:rPr>
                <w:rFonts w:ascii="Arial" w:hAnsi="Arial" w:cs="Arial"/>
              </w:rPr>
            </w:pPr>
            <w:r w:rsidRPr="00F97B97">
              <w:rPr>
                <w:rFonts w:ascii="Arial" w:hAnsi="Arial" w:cs="Arial"/>
              </w:rPr>
              <w:t>Bamenda Sub-Divisional Councils</w:t>
            </w:r>
          </w:p>
        </w:tc>
        <w:tc>
          <w:tcPr>
            <w:tcW w:w="0" w:type="auto"/>
            <w:noWrap/>
            <w:vAlign w:val="center"/>
            <w:hideMark/>
          </w:tcPr>
          <w:p w14:paraId="35384CC9" w14:textId="77777777" w:rsidR="00F97B97" w:rsidRPr="00F97B97" w:rsidRDefault="00F97B97" w:rsidP="007E71E2">
            <w:pPr>
              <w:jc w:val="center"/>
              <w:rPr>
                <w:rFonts w:ascii="Arial" w:hAnsi="Arial" w:cs="Arial"/>
              </w:rPr>
            </w:pPr>
            <w:r w:rsidRPr="00F97B97">
              <w:rPr>
                <w:rFonts w:ascii="Arial" w:hAnsi="Arial" w:cs="Arial"/>
              </w:rPr>
              <w:t>20</w:t>
            </w:r>
          </w:p>
        </w:tc>
        <w:tc>
          <w:tcPr>
            <w:tcW w:w="0" w:type="auto"/>
            <w:noWrap/>
            <w:vAlign w:val="center"/>
            <w:hideMark/>
          </w:tcPr>
          <w:p w14:paraId="4BE696A8" w14:textId="77777777" w:rsidR="00F97B97" w:rsidRPr="00F97B97" w:rsidRDefault="00F97B97" w:rsidP="007E71E2">
            <w:pPr>
              <w:jc w:val="center"/>
              <w:rPr>
                <w:rFonts w:ascii="Arial" w:hAnsi="Arial" w:cs="Arial"/>
              </w:rPr>
            </w:pPr>
            <w:r w:rsidRPr="00F97B97">
              <w:rPr>
                <w:rFonts w:ascii="Arial" w:hAnsi="Arial" w:cs="Arial"/>
              </w:rPr>
              <w:t>3.85</w:t>
            </w:r>
          </w:p>
        </w:tc>
      </w:tr>
      <w:tr w:rsidR="00F97B97" w:rsidRPr="00F97B97" w14:paraId="4A439A6E" w14:textId="77777777" w:rsidTr="00F97B97">
        <w:trPr>
          <w:trHeight w:val="125"/>
          <w:jc w:val="center"/>
        </w:trPr>
        <w:tc>
          <w:tcPr>
            <w:tcW w:w="0" w:type="auto"/>
            <w:vAlign w:val="center"/>
            <w:hideMark/>
          </w:tcPr>
          <w:p w14:paraId="5C83C6FC" w14:textId="77777777" w:rsidR="00F97B97" w:rsidRPr="00F97B97" w:rsidRDefault="00F97B97" w:rsidP="007E71E2">
            <w:pPr>
              <w:jc w:val="both"/>
              <w:rPr>
                <w:rFonts w:ascii="Arial" w:hAnsi="Arial" w:cs="Arial"/>
              </w:rPr>
            </w:pPr>
            <w:r w:rsidRPr="00F97B97">
              <w:rPr>
                <w:rFonts w:ascii="Arial" w:hAnsi="Arial" w:cs="Arial"/>
              </w:rPr>
              <w:t>Regional Delegation of Housing &amp; Urban Development</w:t>
            </w:r>
          </w:p>
        </w:tc>
        <w:tc>
          <w:tcPr>
            <w:tcW w:w="0" w:type="auto"/>
            <w:noWrap/>
            <w:vAlign w:val="center"/>
            <w:hideMark/>
          </w:tcPr>
          <w:p w14:paraId="467588C3" w14:textId="77777777" w:rsidR="00F97B97" w:rsidRPr="00F97B97" w:rsidRDefault="00F97B97" w:rsidP="007E71E2">
            <w:pPr>
              <w:jc w:val="center"/>
              <w:rPr>
                <w:rFonts w:ascii="Arial" w:hAnsi="Arial" w:cs="Arial"/>
              </w:rPr>
            </w:pPr>
            <w:r w:rsidRPr="00F97B97">
              <w:rPr>
                <w:rFonts w:ascii="Arial" w:hAnsi="Arial" w:cs="Arial"/>
              </w:rPr>
              <w:t>90</w:t>
            </w:r>
          </w:p>
        </w:tc>
        <w:tc>
          <w:tcPr>
            <w:tcW w:w="0" w:type="auto"/>
            <w:noWrap/>
            <w:vAlign w:val="center"/>
            <w:hideMark/>
          </w:tcPr>
          <w:p w14:paraId="260C8B2A" w14:textId="77777777" w:rsidR="00F97B97" w:rsidRPr="00F97B97" w:rsidRDefault="00F97B97" w:rsidP="007E71E2">
            <w:pPr>
              <w:jc w:val="center"/>
              <w:rPr>
                <w:rFonts w:ascii="Arial" w:hAnsi="Arial" w:cs="Arial"/>
              </w:rPr>
            </w:pPr>
            <w:r w:rsidRPr="00F97B97">
              <w:rPr>
                <w:rFonts w:ascii="Arial" w:hAnsi="Arial" w:cs="Arial"/>
              </w:rPr>
              <w:t>17.31</w:t>
            </w:r>
          </w:p>
        </w:tc>
      </w:tr>
      <w:tr w:rsidR="00F97B97" w:rsidRPr="00F97B97" w14:paraId="0926CF96" w14:textId="77777777" w:rsidTr="00F97B97">
        <w:trPr>
          <w:trHeight w:val="300"/>
          <w:jc w:val="center"/>
        </w:trPr>
        <w:tc>
          <w:tcPr>
            <w:tcW w:w="0" w:type="auto"/>
            <w:vAlign w:val="center"/>
            <w:hideMark/>
          </w:tcPr>
          <w:p w14:paraId="1E885570" w14:textId="77777777" w:rsidR="00F97B97" w:rsidRPr="00F97B97" w:rsidRDefault="00F97B97" w:rsidP="007E71E2">
            <w:pPr>
              <w:jc w:val="both"/>
              <w:rPr>
                <w:rFonts w:ascii="Arial" w:hAnsi="Arial" w:cs="Arial"/>
              </w:rPr>
            </w:pPr>
            <w:r w:rsidRPr="00F97B97">
              <w:rPr>
                <w:rFonts w:ascii="Arial" w:hAnsi="Arial" w:cs="Arial"/>
              </w:rPr>
              <w:t>NGOs</w:t>
            </w:r>
          </w:p>
        </w:tc>
        <w:tc>
          <w:tcPr>
            <w:tcW w:w="0" w:type="auto"/>
            <w:noWrap/>
            <w:vAlign w:val="center"/>
            <w:hideMark/>
          </w:tcPr>
          <w:p w14:paraId="6F427D9B" w14:textId="77777777" w:rsidR="00F97B97" w:rsidRPr="00F97B97" w:rsidRDefault="00F97B97" w:rsidP="007E71E2">
            <w:pPr>
              <w:jc w:val="center"/>
              <w:rPr>
                <w:rFonts w:ascii="Arial" w:hAnsi="Arial" w:cs="Arial"/>
              </w:rPr>
            </w:pPr>
            <w:r w:rsidRPr="00F97B97">
              <w:rPr>
                <w:rFonts w:ascii="Arial" w:hAnsi="Arial" w:cs="Arial"/>
              </w:rPr>
              <w:t>49</w:t>
            </w:r>
          </w:p>
        </w:tc>
        <w:tc>
          <w:tcPr>
            <w:tcW w:w="0" w:type="auto"/>
            <w:noWrap/>
            <w:vAlign w:val="center"/>
            <w:hideMark/>
          </w:tcPr>
          <w:p w14:paraId="64D98DEE" w14:textId="77777777" w:rsidR="00F97B97" w:rsidRPr="00F97B97" w:rsidRDefault="00F97B97" w:rsidP="007E71E2">
            <w:pPr>
              <w:jc w:val="center"/>
              <w:rPr>
                <w:rFonts w:ascii="Arial" w:hAnsi="Arial" w:cs="Arial"/>
              </w:rPr>
            </w:pPr>
            <w:r w:rsidRPr="00F97B97">
              <w:rPr>
                <w:rFonts w:ascii="Arial" w:hAnsi="Arial" w:cs="Arial"/>
              </w:rPr>
              <w:t>9.42</w:t>
            </w:r>
          </w:p>
        </w:tc>
      </w:tr>
      <w:tr w:rsidR="00F97B97" w:rsidRPr="00F97B97" w14:paraId="088C1B9A" w14:textId="77777777" w:rsidTr="00F97B97">
        <w:trPr>
          <w:trHeight w:val="300"/>
          <w:jc w:val="center"/>
        </w:trPr>
        <w:tc>
          <w:tcPr>
            <w:tcW w:w="0" w:type="auto"/>
            <w:vAlign w:val="center"/>
            <w:hideMark/>
          </w:tcPr>
          <w:p w14:paraId="30F66517" w14:textId="77777777" w:rsidR="00F97B97" w:rsidRPr="00F97B97" w:rsidRDefault="00F97B97" w:rsidP="007E71E2">
            <w:pPr>
              <w:jc w:val="both"/>
              <w:rPr>
                <w:rFonts w:ascii="Arial" w:hAnsi="Arial" w:cs="Arial"/>
              </w:rPr>
            </w:pPr>
            <w:r w:rsidRPr="00F97B97">
              <w:rPr>
                <w:rFonts w:ascii="Arial" w:hAnsi="Arial" w:cs="Arial"/>
              </w:rPr>
              <w:t>The community</w:t>
            </w:r>
          </w:p>
        </w:tc>
        <w:tc>
          <w:tcPr>
            <w:tcW w:w="0" w:type="auto"/>
            <w:noWrap/>
            <w:vAlign w:val="center"/>
            <w:hideMark/>
          </w:tcPr>
          <w:p w14:paraId="7790F4A6" w14:textId="77777777" w:rsidR="00F97B97" w:rsidRPr="00F97B97" w:rsidRDefault="00F97B97" w:rsidP="007E71E2">
            <w:pPr>
              <w:jc w:val="center"/>
              <w:rPr>
                <w:rFonts w:ascii="Arial" w:hAnsi="Arial" w:cs="Arial"/>
              </w:rPr>
            </w:pPr>
            <w:r w:rsidRPr="00F97B97">
              <w:rPr>
                <w:rFonts w:ascii="Arial" w:hAnsi="Arial" w:cs="Arial"/>
              </w:rPr>
              <w:t>47</w:t>
            </w:r>
          </w:p>
        </w:tc>
        <w:tc>
          <w:tcPr>
            <w:tcW w:w="0" w:type="auto"/>
            <w:noWrap/>
            <w:vAlign w:val="center"/>
            <w:hideMark/>
          </w:tcPr>
          <w:p w14:paraId="0F068795" w14:textId="77777777" w:rsidR="00F97B97" w:rsidRPr="00F97B97" w:rsidRDefault="00F97B97" w:rsidP="007E71E2">
            <w:pPr>
              <w:jc w:val="center"/>
              <w:rPr>
                <w:rFonts w:ascii="Arial" w:hAnsi="Arial" w:cs="Arial"/>
              </w:rPr>
            </w:pPr>
            <w:r w:rsidRPr="00F97B97">
              <w:rPr>
                <w:rFonts w:ascii="Arial" w:hAnsi="Arial" w:cs="Arial"/>
              </w:rPr>
              <w:t>9.04</w:t>
            </w:r>
          </w:p>
        </w:tc>
      </w:tr>
      <w:tr w:rsidR="00F97B97" w:rsidRPr="00F97B97" w14:paraId="3A70E786" w14:textId="77777777" w:rsidTr="00F97B97">
        <w:trPr>
          <w:trHeight w:val="300"/>
          <w:jc w:val="center"/>
        </w:trPr>
        <w:tc>
          <w:tcPr>
            <w:tcW w:w="0" w:type="auto"/>
            <w:vAlign w:val="center"/>
            <w:hideMark/>
          </w:tcPr>
          <w:p w14:paraId="020B8677" w14:textId="77777777" w:rsidR="00F97B97" w:rsidRPr="00F97B97" w:rsidRDefault="00F97B97" w:rsidP="007E71E2">
            <w:pPr>
              <w:jc w:val="both"/>
              <w:rPr>
                <w:rFonts w:ascii="Arial" w:hAnsi="Arial" w:cs="Arial"/>
              </w:rPr>
            </w:pPr>
            <w:r w:rsidRPr="00F97B97">
              <w:rPr>
                <w:rFonts w:ascii="Arial" w:hAnsi="Arial" w:cs="Arial"/>
              </w:rPr>
              <w:lastRenderedPageBreak/>
              <w:t>All of the above</w:t>
            </w:r>
          </w:p>
        </w:tc>
        <w:tc>
          <w:tcPr>
            <w:tcW w:w="0" w:type="auto"/>
            <w:noWrap/>
            <w:vAlign w:val="center"/>
            <w:hideMark/>
          </w:tcPr>
          <w:p w14:paraId="0F323A75" w14:textId="77777777" w:rsidR="00F97B97" w:rsidRPr="00F97B97" w:rsidRDefault="00F97B97" w:rsidP="007E71E2">
            <w:pPr>
              <w:jc w:val="center"/>
              <w:rPr>
                <w:rFonts w:ascii="Arial" w:hAnsi="Arial" w:cs="Arial"/>
              </w:rPr>
            </w:pPr>
            <w:r w:rsidRPr="00F97B97">
              <w:rPr>
                <w:rFonts w:ascii="Arial" w:hAnsi="Arial" w:cs="Arial"/>
              </w:rPr>
              <w:t>97</w:t>
            </w:r>
          </w:p>
        </w:tc>
        <w:tc>
          <w:tcPr>
            <w:tcW w:w="0" w:type="auto"/>
            <w:noWrap/>
            <w:vAlign w:val="center"/>
            <w:hideMark/>
          </w:tcPr>
          <w:p w14:paraId="14F948F7" w14:textId="77777777" w:rsidR="00F97B97" w:rsidRPr="00F97B97" w:rsidRDefault="00F97B97" w:rsidP="007E71E2">
            <w:pPr>
              <w:jc w:val="center"/>
              <w:rPr>
                <w:rFonts w:ascii="Arial" w:hAnsi="Arial" w:cs="Arial"/>
              </w:rPr>
            </w:pPr>
            <w:r w:rsidRPr="00F97B97">
              <w:rPr>
                <w:rFonts w:ascii="Arial" w:hAnsi="Arial" w:cs="Arial"/>
              </w:rPr>
              <w:t>18.65</w:t>
            </w:r>
          </w:p>
        </w:tc>
      </w:tr>
      <w:tr w:rsidR="00F97B97" w:rsidRPr="00F97B97" w14:paraId="19263E01" w14:textId="77777777" w:rsidTr="00F97B97">
        <w:trPr>
          <w:trHeight w:val="300"/>
          <w:jc w:val="center"/>
        </w:trPr>
        <w:tc>
          <w:tcPr>
            <w:tcW w:w="0" w:type="auto"/>
            <w:vAlign w:val="center"/>
            <w:hideMark/>
          </w:tcPr>
          <w:p w14:paraId="186ED793" w14:textId="77777777" w:rsidR="00F97B97" w:rsidRPr="00F97B97" w:rsidRDefault="00F97B97" w:rsidP="007E71E2">
            <w:pPr>
              <w:jc w:val="center"/>
              <w:rPr>
                <w:rFonts w:ascii="Arial" w:hAnsi="Arial" w:cs="Arial"/>
                <w:b/>
                <w:bCs/>
              </w:rPr>
            </w:pPr>
            <w:r w:rsidRPr="00F97B97">
              <w:rPr>
                <w:rFonts w:ascii="Arial" w:hAnsi="Arial" w:cs="Arial"/>
                <w:b/>
                <w:bCs/>
              </w:rPr>
              <w:t>Total</w:t>
            </w:r>
          </w:p>
        </w:tc>
        <w:tc>
          <w:tcPr>
            <w:tcW w:w="0" w:type="auto"/>
            <w:noWrap/>
            <w:vAlign w:val="center"/>
            <w:hideMark/>
          </w:tcPr>
          <w:p w14:paraId="6F50D859" w14:textId="77777777" w:rsidR="00F97B97" w:rsidRPr="00F97B97" w:rsidRDefault="00F97B97" w:rsidP="007E71E2">
            <w:pPr>
              <w:jc w:val="center"/>
              <w:rPr>
                <w:rFonts w:ascii="Arial" w:hAnsi="Arial" w:cs="Arial"/>
                <w:b/>
                <w:bCs/>
              </w:rPr>
            </w:pPr>
            <w:r w:rsidRPr="00F97B97">
              <w:rPr>
                <w:rFonts w:ascii="Arial" w:hAnsi="Arial" w:cs="Arial"/>
                <w:b/>
                <w:bCs/>
              </w:rPr>
              <w:t>520</w:t>
            </w:r>
          </w:p>
        </w:tc>
        <w:tc>
          <w:tcPr>
            <w:tcW w:w="0" w:type="auto"/>
            <w:noWrap/>
            <w:vAlign w:val="center"/>
            <w:hideMark/>
          </w:tcPr>
          <w:p w14:paraId="0B88C625" w14:textId="77777777" w:rsidR="00F97B97" w:rsidRPr="00F97B97" w:rsidRDefault="00F97B97" w:rsidP="007E71E2">
            <w:pPr>
              <w:jc w:val="center"/>
              <w:rPr>
                <w:rFonts w:ascii="Arial" w:hAnsi="Arial" w:cs="Arial"/>
                <w:b/>
                <w:bCs/>
              </w:rPr>
            </w:pPr>
            <w:r w:rsidRPr="00F97B97">
              <w:rPr>
                <w:rFonts w:ascii="Arial" w:hAnsi="Arial" w:cs="Arial"/>
                <w:b/>
                <w:bCs/>
              </w:rPr>
              <w:t>100.0</w:t>
            </w:r>
          </w:p>
        </w:tc>
      </w:tr>
    </w:tbl>
    <w:p w14:paraId="6B25678E" w14:textId="77777777" w:rsidR="00F97B97" w:rsidRDefault="00FF764A" w:rsidP="00FF764A">
      <w:pPr>
        <w:pStyle w:val="Body"/>
        <w:spacing w:after="0"/>
        <w:jc w:val="center"/>
        <w:rPr>
          <w:rFonts w:ascii="Arial" w:hAnsi="Arial" w:cs="Arial"/>
        </w:rPr>
      </w:pPr>
      <w:r w:rsidRPr="00FF764A">
        <w:rPr>
          <w:rFonts w:ascii="Arial" w:hAnsi="Arial" w:cs="Arial"/>
        </w:rPr>
        <w:t>Source: Fieldwork (June 2023–August 2024)</w:t>
      </w:r>
    </w:p>
    <w:p w14:paraId="15029F76" w14:textId="77777777" w:rsidR="00FF764A" w:rsidRDefault="00FF764A" w:rsidP="00FF764A">
      <w:pPr>
        <w:pStyle w:val="Body"/>
        <w:spacing w:after="0"/>
        <w:jc w:val="center"/>
        <w:rPr>
          <w:rFonts w:ascii="Arial" w:hAnsi="Arial" w:cs="Arial"/>
        </w:rPr>
      </w:pPr>
    </w:p>
    <w:p w14:paraId="20AC227F" w14:textId="77777777" w:rsidR="00FF764A" w:rsidRDefault="00FF764A" w:rsidP="00FF764A">
      <w:pPr>
        <w:pStyle w:val="Body"/>
        <w:spacing w:after="0"/>
        <w:rPr>
          <w:rFonts w:ascii="Arial" w:hAnsi="Arial" w:cs="Arial"/>
        </w:rPr>
      </w:pPr>
      <w:r w:rsidRPr="00FF764A">
        <w:rPr>
          <w:rFonts w:ascii="Arial" w:hAnsi="Arial" w:cs="Arial"/>
        </w:rPr>
        <w:t xml:space="preserve">The situation in Table 1 reveals that the Bamenda City Council (BCC) emerges as the most dominant stakeholder, representing 41.73% involvement in housing issues, reflecting its statutory mandate under decentralization laws and its comprehensive authority over urban development including building permits, land use planning, and infrastructure provision. The Regional Delegation of Housing and Urban Development follows with 17.31%, representing the Ministry of Housing and Urban Development's regional presence and demonstrating the continued importance of national government agencies in local housing governance through technical expertise, policy guidance, and regulatory oversight. The significant presence of collaborative approaches involving "All of the above" stakeholders (18.65%) indicates recognition of the complex, multi-faceted nature of housing challenges that require integrated responses from multiple actors working together. Non-Governmental Organizations account for 9.42% of </w:t>
      </w:r>
      <w:proofErr w:type="gramStart"/>
      <w:r w:rsidRPr="00FF764A">
        <w:rPr>
          <w:rFonts w:ascii="Arial" w:hAnsi="Arial" w:cs="Arial"/>
        </w:rPr>
        <w:t>stakeholders</w:t>
      </w:r>
      <w:proofErr w:type="gramEnd"/>
      <w:r w:rsidRPr="00FF764A">
        <w:rPr>
          <w:rFonts w:ascii="Arial" w:hAnsi="Arial" w:cs="Arial"/>
        </w:rPr>
        <w:t xml:space="preserve"> involvement, with examples including Love for Humanity Organization (LHO) at Mile 3 </w:t>
      </w:r>
      <w:proofErr w:type="spellStart"/>
      <w:r w:rsidRPr="00FF764A">
        <w:rPr>
          <w:rFonts w:ascii="Arial" w:hAnsi="Arial" w:cs="Arial"/>
        </w:rPr>
        <w:t>Nkwen</w:t>
      </w:r>
      <w:proofErr w:type="spellEnd"/>
      <w:r w:rsidRPr="00FF764A">
        <w:rPr>
          <w:rFonts w:ascii="Arial" w:hAnsi="Arial" w:cs="Arial"/>
        </w:rPr>
        <w:t xml:space="preserve">, Helping Hands International (HHI) at Mile 4 </w:t>
      </w:r>
      <w:proofErr w:type="spellStart"/>
      <w:r w:rsidRPr="00FF764A">
        <w:rPr>
          <w:rFonts w:ascii="Arial" w:hAnsi="Arial" w:cs="Arial"/>
        </w:rPr>
        <w:t>Nkwen</w:t>
      </w:r>
      <w:proofErr w:type="spellEnd"/>
      <w:r w:rsidRPr="00FF764A">
        <w:rPr>
          <w:rFonts w:ascii="Arial" w:hAnsi="Arial" w:cs="Arial"/>
        </w:rPr>
        <w:t xml:space="preserve">, SHUMAS Cameroon at Mile 5 </w:t>
      </w:r>
      <w:proofErr w:type="spellStart"/>
      <w:r w:rsidRPr="00FF764A">
        <w:rPr>
          <w:rFonts w:ascii="Arial" w:hAnsi="Arial" w:cs="Arial"/>
        </w:rPr>
        <w:t>Nkwen</w:t>
      </w:r>
      <w:proofErr w:type="spellEnd"/>
      <w:r w:rsidRPr="00FF764A">
        <w:rPr>
          <w:rFonts w:ascii="Arial" w:hAnsi="Arial" w:cs="Arial"/>
        </w:rPr>
        <w:t>, and Fuller Centre for Housing, demonstrating the important role of civil society in addressing housing needs through direct service provision and advocacy. Community-based actors represent 9.04% of stakeholder involvement, reflecting grassroots participation in housing governance, while the three sub-divisional councils (Bamenda I, II, and III) account for only 3.85%, suggesting limited capacity or engagement at the sub-municipal level despite their proximity to communities and potential for localized interventions.</w:t>
      </w:r>
    </w:p>
    <w:p w14:paraId="06B4378F" w14:textId="77777777" w:rsidR="00FF764A" w:rsidRDefault="00FF764A" w:rsidP="00FF764A">
      <w:pPr>
        <w:pStyle w:val="Body"/>
        <w:spacing w:after="0"/>
        <w:rPr>
          <w:rFonts w:ascii="Arial" w:hAnsi="Arial" w:cs="Arial"/>
        </w:rPr>
      </w:pPr>
    </w:p>
    <w:p w14:paraId="4AC41F1F" w14:textId="77777777" w:rsidR="00FF764A" w:rsidRPr="00FF764A" w:rsidRDefault="00FF764A" w:rsidP="00FF764A">
      <w:pPr>
        <w:pStyle w:val="Body"/>
        <w:spacing w:after="0"/>
        <w:rPr>
          <w:rFonts w:ascii="Arial" w:hAnsi="Arial" w:cs="Arial"/>
          <w:b/>
        </w:rPr>
      </w:pPr>
      <w:r w:rsidRPr="00FF764A">
        <w:rPr>
          <w:rFonts w:ascii="Arial" w:hAnsi="Arial" w:cs="Arial"/>
          <w:b/>
        </w:rPr>
        <w:t>3.3 Urban Housing Planning Challenges</w:t>
      </w:r>
    </w:p>
    <w:p w14:paraId="60EACE9D" w14:textId="77777777" w:rsidR="00F97B97" w:rsidRDefault="00FF764A" w:rsidP="00441B6F">
      <w:pPr>
        <w:pStyle w:val="Body"/>
        <w:spacing w:after="0"/>
        <w:rPr>
          <w:rFonts w:ascii="Arial" w:hAnsi="Arial" w:cs="Arial"/>
        </w:rPr>
      </w:pPr>
      <w:r w:rsidRPr="00FF764A">
        <w:rPr>
          <w:rFonts w:ascii="Arial" w:hAnsi="Arial" w:cs="Arial"/>
        </w:rPr>
        <w:t>Planning for urban housing in Bamenda faces multiple interconnected challenges that impact housing development outcomes. The nature and magnitude of these challenges are crucial for developing effective interventions and policy responses as indicated in Table 2.</w:t>
      </w:r>
    </w:p>
    <w:p w14:paraId="2B053B85" w14:textId="77777777" w:rsidR="00FF764A" w:rsidRDefault="00FF764A" w:rsidP="00441B6F">
      <w:pPr>
        <w:pStyle w:val="Body"/>
        <w:spacing w:after="0"/>
        <w:rPr>
          <w:rFonts w:ascii="Arial" w:hAnsi="Arial" w:cs="Arial"/>
        </w:rPr>
      </w:pPr>
    </w:p>
    <w:p w14:paraId="02C93908" w14:textId="77777777" w:rsidR="00FF764A" w:rsidRDefault="00FF764A" w:rsidP="00FF764A">
      <w:pPr>
        <w:pStyle w:val="Body"/>
        <w:spacing w:after="0"/>
        <w:jc w:val="center"/>
        <w:rPr>
          <w:rFonts w:ascii="Arial" w:hAnsi="Arial" w:cs="Arial"/>
        </w:rPr>
      </w:pPr>
      <w:r w:rsidRPr="00FF764A">
        <w:rPr>
          <w:rFonts w:ascii="Arial" w:hAnsi="Arial" w:cs="Arial"/>
        </w:rPr>
        <w:t>Table 2: Challenges in Planning Urban Housing Bamenda</w:t>
      </w:r>
    </w:p>
    <w:tbl>
      <w:tblPr>
        <w:tblW w:w="0" w:type="auto"/>
        <w:jc w:val="center"/>
        <w:tblBorders>
          <w:top w:val="single" w:sz="4" w:space="0" w:color="auto"/>
          <w:bottom w:val="single" w:sz="4" w:space="0" w:color="auto"/>
        </w:tblBorders>
        <w:tblLook w:val="04A0" w:firstRow="1" w:lastRow="0" w:firstColumn="1" w:lastColumn="0" w:noHBand="0" w:noVBand="1"/>
      </w:tblPr>
      <w:tblGrid>
        <w:gridCol w:w="3452"/>
        <w:gridCol w:w="1228"/>
        <w:gridCol w:w="717"/>
      </w:tblGrid>
      <w:tr w:rsidR="00FF764A" w:rsidRPr="00FF764A" w14:paraId="3DF5CEBF" w14:textId="77777777" w:rsidTr="00FF764A">
        <w:trPr>
          <w:jc w:val="center"/>
        </w:trPr>
        <w:tc>
          <w:tcPr>
            <w:tcW w:w="0" w:type="auto"/>
            <w:hideMark/>
          </w:tcPr>
          <w:p w14:paraId="7C9DA7F7" w14:textId="77777777" w:rsidR="00FF764A" w:rsidRPr="00FF764A" w:rsidRDefault="00FF764A" w:rsidP="007E71E2">
            <w:pPr>
              <w:spacing w:line="360" w:lineRule="auto"/>
              <w:jc w:val="center"/>
              <w:rPr>
                <w:rFonts w:ascii="Arial" w:hAnsi="Arial" w:cs="Arial"/>
                <w:b/>
                <w:bCs/>
              </w:rPr>
            </w:pPr>
            <w:r w:rsidRPr="00FF764A">
              <w:rPr>
                <w:rFonts w:ascii="Arial" w:hAnsi="Arial" w:cs="Arial"/>
                <w:b/>
                <w:bCs/>
              </w:rPr>
              <w:t>Planning Challenges</w:t>
            </w:r>
          </w:p>
        </w:tc>
        <w:tc>
          <w:tcPr>
            <w:tcW w:w="0" w:type="auto"/>
            <w:hideMark/>
          </w:tcPr>
          <w:p w14:paraId="4741BA8D" w14:textId="77777777" w:rsidR="00FF764A" w:rsidRPr="00FF764A" w:rsidRDefault="00FF764A" w:rsidP="007E71E2">
            <w:pPr>
              <w:spacing w:line="360" w:lineRule="auto"/>
              <w:jc w:val="center"/>
              <w:rPr>
                <w:rFonts w:ascii="Arial" w:hAnsi="Arial" w:cs="Arial"/>
                <w:b/>
                <w:bCs/>
              </w:rPr>
            </w:pPr>
            <w:r w:rsidRPr="00FF764A">
              <w:rPr>
                <w:rFonts w:ascii="Arial" w:hAnsi="Arial" w:cs="Arial"/>
                <w:b/>
                <w:bCs/>
              </w:rPr>
              <w:t>Frequency</w:t>
            </w:r>
          </w:p>
        </w:tc>
        <w:tc>
          <w:tcPr>
            <w:tcW w:w="0" w:type="auto"/>
            <w:hideMark/>
          </w:tcPr>
          <w:p w14:paraId="3F9E7B87" w14:textId="77777777" w:rsidR="00FF764A" w:rsidRPr="00FF764A" w:rsidRDefault="00FF764A" w:rsidP="007E71E2">
            <w:pPr>
              <w:spacing w:line="360" w:lineRule="auto"/>
              <w:jc w:val="center"/>
              <w:rPr>
                <w:rFonts w:ascii="Arial" w:hAnsi="Arial" w:cs="Arial"/>
                <w:b/>
                <w:bCs/>
              </w:rPr>
            </w:pPr>
            <w:r w:rsidRPr="00FF764A">
              <w:rPr>
                <w:rFonts w:ascii="Arial" w:hAnsi="Arial" w:cs="Arial"/>
                <w:b/>
                <w:bCs/>
              </w:rPr>
              <w:t>%</w:t>
            </w:r>
          </w:p>
        </w:tc>
      </w:tr>
      <w:tr w:rsidR="00FF764A" w:rsidRPr="00FF764A" w14:paraId="762324C8" w14:textId="77777777" w:rsidTr="00FF764A">
        <w:trPr>
          <w:jc w:val="center"/>
        </w:trPr>
        <w:tc>
          <w:tcPr>
            <w:tcW w:w="0" w:type="auto"/>
            <w:hideMark/>
          </w:tcPr>
          <w:p w14:paraId="1A095406" w14:textId="77777777" w:rsidR="00FF764A" w:rsidRPr="00FF764A" w:rsidRDefault="00FF764A" w:rsidP="007E71E2">
            <w:pPr>
              <w:spacing w:line="360" w:lineRule="auto"/>
              <w:jc w:val="both"/>
              <w:rPr>
                <w:rFonts w:ascii="Arial" w:hAnsi="Arial" w:cs="Arial"/>
              </w:rPr>
            </w:pPr>
            <w:r w:rsidRPr="00FF764A">
              <w:rPr>
                <w:rFonts w:ascii="Arial" w:hAnsi="Arial" w:cs="Arial"/>
              </w:rPr>
              <w:t>Lack of comprehensive master plan</w:t>
            </w:r>
          </w:p>
        </w:tc>
        <w:tc>
          <w:tcPr>
            <w:tcW w:w="0" w:type="auto"/>
            <w:hideMark/>
          </w:tcPr>
          <w:p w14:paraId="72E92D76" w14:textId="77777777" w:rsidR="00FF764A" w:rsidRPr="00FF764A" w:rsidRDefault="00FF764A" w:rsidP="007E71E2">
            <w:pPr>
              <w:spacing w:line="360" w:lineRule="auto"/>
              <w:jc w:val="center"/>
              <w:rPr>
                <w:rFonts w:ascii="Arial" w:hAnsi="Arial" w:cs="Arial"/>
              </w:rPr>
            </w:pPr>
            <w:r w:rsidRPr="00FF764A">
              <w:rPr>
                <w:rFonts w:ascii="Arial" w:hAnsi="Arial" w:cs="Arial"/>
              </w:rPr>
              <w:t>125</w:t>
            </w:r>
          </w:p>
        </w:tc>
        <w:tc>
          <w:tcPr>
            <w:tcW w:w="0" w:type="auto"/>
            <w:hideMark/>
          </w:tcPr>
          <w:p w14:paraId="76820C6A" w14:textId="77777777" w:rsidR="00FF764A" w:rsidRPr="00FF764A" w:rsidRDefault="00FF764A" w:rsidP="007E71E2">
            <w:pPr>
              <w:spacing w:line="360" w:lineRule="auto"/>
              <w:jc w:val="center"/>
              <w:rPr>
                <w:rFonts w:ascii="Arial" w:hAnsi="Arial" w:cs="Arial"/>
              </w:rPr>
            </w:pPr>
            <w:r w:rsidRPr="00FF764A">
              <w:rPr>
                <w:rFonts w:ascii="Arial" w:hAnsi="Arial" w:cs="Arial"/>
              </w:rPr>
              <w:t>24.04</w:t>
            </w:r>
          </w:p>
        </w:tc>
      </w:tr>
      <w:tr w:rsidR="00FF764A" w:rsidRPr="00FF764A" w14:paraId="7F455FB3" w14:textId="77777777" w:rsidTr="00FF764A">
        <w:trPr>
          <w:jc w:val="center"/>
        </w:trPr>
        <w:tc>
          <w:tcPr>
            <w:tcW w:w="0" w:type="auto"/>
            <w:hideMark/>
          </w:tcPr>
          <w:p w14:paraId="3D470A9C" w14:textId="77777777" w:rsidR="00FF764A" w:rsidRPr="00FF764A" w:rsidRDefault="00FF764A" w:rsidP="007E71E2">
            <w:pPr>
              <w:spacing w:line="360" w:lineRule="auto"/>
              <w:jc w:val="both"/>
              <w:rPr>
                <w:rFonts w:ascii="Arial" w:hAnsi="Arial" w:cs="Arial"/>
              </w:rPr>
            </w:pPr>
            <w:r w:rsidRPr="00FF764A">
              <w:rPr>
                <w:rFonts w:ascii="Arial" w:hAnsi="Arial" w:cs="Arial"/>
              </w:rPr>
              <w:t>Inadequate zoning regulations</w:t>
            </w:r>
          </w:p>
        </w:tc>
        <w:tc>
          <w:tcPr>
            <w:tcW w:w="0" w:type="auto"/>
            <w:hideMark/>
          </w:tcPr>
          <w:p w14:paraId="696EE98C" w14:textId="77777777" w:rsidR="00FF764A" w:rsidRPr="00FF764A" w:rsidRDefault="00FF764A" w:rsidP="007E71E2">
            <w:pPr>
              <w:spacing w:line="360" w:lineRule="auto"/>
              <w:jc w:val="center"/>
              <w:rPr>
                <w:rFonts w:ascii="Arial" w:hAnsi="Arial" w:cs="Arial"/>
              </w:rPr>
            </w:pPr>
            <w:r w:rsidRPr="00FF764A">
              <w:rPr>
                <w:rFonts w:ascii="Arial" w:hAnsi="Arial" w:cs="Arial"/>
              </w:rPr>
              <w:t>98</w:t>
            </w:r>
          </w:p>
        </w:tc>
        <w:tc>
          <w:tcPr>
            <w:tcW w:w="0" w:type="auto"/>
            <w:hideMark/>
          </w:tcPr>
          <w:p w14:paraId="5F0288C2" w14:textId="77777777" w:rsidR="00FF764A" w:rsidRPr="00FF764A" w:rsidRDefault="00FF764A" w:rsidP="007E71E2">
            <w:pPr>
              <w:spacing w:line="360" w:lineRule="auto"/>
              <w:jc w:val="center"/>
              <w:rPr>
                <w:rFonts w:ascii="Arial" w:hAnsi="Arial" w:cs="Arial"/>
              </w:rPr>
            </w:pPr>
            <w:r w:rsidRPr="00FF764A">
              <w:rPr>
                <w:rFonts w:ascii="Arial" w:hAnsi="Arial" w:cs="Arial"/>
              </w:rPr>
              <w:t>18.85</w:t>
            </w:r>
          </w:p>
        </w:tc>
      </w:tr>
      <w:tr w:rsidR="00FF764A" w:rsidRPr="00FF764A" w14:paraId="03876FB3" w14:textId="77777777" w:rsidTr="00FF764A">
        <w:trPr>
          <w:jc w:val="center"/>
        </w:trPr>
        <w:tc>
          <w:tcPr>
            <w:tcW w:w="0" w:type="auto"/>
            <w:hideMark/>
          </w:tcPr>
          <w:p w14:paraId="23756571" w14:textId="77777777" w:rsidR="00FF764A" w:rsidRPr="00FF764A" w:rsidRDefault="00FF764A" w:rsidP="007E71E2">
            <w:pPr>
              <w:spacing w:line="360" w:lineRule="auto"/>
              <w:jc w:val="both"/>
              <w:rPr>
                <w:rFonts w:ascii="Arial" w:hAnsi="Arial" w:cs="Arial"/>
              </w:rPr>
            </w:pPr>
            <w:r w:rsidRPr="00FF764A">
              <w:rPr>
                <w:rFonts w:ascii="Arial" w:hAnsi="Arial" w:cs="Arial"/>
              </w:rPr>
              <w:t>Uncontrolled urban sprawl</w:t>
            </w:r>
          </w:p>
        </w:tc>
        <w:tc>
          <w:tcPr>
            <w:tcW w:w="0" w:type="auto"/>
            <w:hideMark/>
          </w:tcPr>
          <w:p w14:paraId="69C16D00" w14:textId="77777777" w:rsidR="00FF764A" w:rsidRPr="00FF764A" w:rsidRDefault="00FF764A" w:rsidP="007E71E2">
            <w:pPr>
              <w:spacing w:line="360" w:lineRule="auto"/>
              <w:jc w:val="center"/>
              <w:rPr>
                <w:rFonts w:ascii="Arial" w:hAnsi="Arial" w:cs="Arial"/>
              </w:rPr>
            </w:pPr>
            <w:r w:rsidRPr="00FF764A">
              <w:rPr>
                <w:rFonts w:ascii="Arial" w:hAnsi="Arial" w:cs="Arial"/>
              </w:rPr>
              <w:t>87</w:t>
            </w:r>
          </w:p>
        </w:tc>
        <w:tc>
          <w:tcPr>
            <w:tcW w:w="0" w:type="auto"/>
            <w:hideMark/>
          </w:tcPr>
          <w:p w14:paraId="3C7F87BF" w14:textId="77777777" w:rsidR="00FF764A" w:rsidRPr="00FF764A" w:rsidRDefault="00FF764A" w:rsidP="007E71E2">
            <w:pPr>
              <w:spacing w:line="360" w:lineRule="auto"/>
              <w:jc w:val="center"/>
              <w:rPr>
                <w:rFonts w:ascii="Arial" w:hAnsi="Arial" w:cs="Arial"/>
              </w:rPr>
            </w:pPr>
            <w:r w:rsidRPr="00FF764A">
              <w:rPr>
                <w:rFonts w:ascii="Arial" w:hAnsi="Arial" w:cs="Arial"/>
              </w:rPr>
              <w:t>16.73</w:t>
            </w:r>
          </w:p>
        </w:tc>
      </w:tr>
      <w:tr w:rsidR="00FF764A" w:rsidRPr="00FF764A" w14:paraId="0446F4D2" w14:textId="77777777" w:rsidTr="00FF764A">
        <w:trPr>
          <w:jc w:val="center"/>
        </w:trPr>
        <w:tc>
          <w:tcPr>
            <w:tcW w:w="0" w:type="auto"/>
            <w:hideMark/>
          </w:tcPr>
          <w:p w14:paraId="7DD4DA2D" w14:textId="77777777" w:rsidR="00FF764A" w:rsidRPr="00FF764A" w:rsidRDefault="00FF764A" w:rsidP="007E71E2">
            <w:pPr>
              <w:spacing w:line="360" w:lineRule="auto"/>
              <w:jc w:val="both"/>
              <w:rPr>
                <w:rFonts w:ascii="Arial" w:hAnsi="Arial" w:cs="Arial"/>
              </w:rPr>
            </w:pPr>
            <w:r w:rsidRPr="00FF764A">
              <w:rPr>
                <w:rFonts w:ascii="Arial" w:hAnsi="Arial" w:cs="Arial"/>
              </w:rPr>
              <w:t xml:space="preserve">Poor road network </w:t>
            </w:r>
          </w:p>
        </w:tc>
        <w:tc>
          <w:tcPr>
            <w:tcW w:w="0" w:type="auto"/>
            <w:hideMark/>
          </w:tcPr>
          <w:p w14:paraId="69C2DA5E" w14:textId="77777777" w:rsidR="00FF764A" w:rsidRPr="00FF764A" w:rsidRDefault="00FF764A" w:rsidP="007E71E2">
            <w:pPr>
              <w:spacing w:line="360" w:lineRule="auto"/>
              <w:jc w:val="center"/>
              <w:rPr>
                <w:rFonts w:ascii="Arial" w:hAnsi="Arial" w:cs="Arial"/>
              </w:rPr>
            </w:pPr>
            <w:r w:rsidRPr="00FF764A">
              <w:rPr>
                <w:rFonts w:ascii="Arial" w:hAnsi="Arial" w:cs="Arial"/>
              </w:rPr>
              <w:t>76</w:t>
            </w:r>
          </w:p>
        </w:tc>
        <w:tc>
          <w:tcPr>
            <w:tcW w:w="0" w:type="auto"/>
            <w:hideMark/>
          </w:tcPr>
          <w:p w14:paraId="7340493F" w14:textId="77777777" w:rsidR="00FF764A" w:rsidRPr="00FF764A" w:rsidRDefault="00FF764A" w:rsidP="007E71E2">
            <w:pPr>
              <w:spacing w:line="360" w:lineRule="auto"/>
              <w:jc w:val="center"/>
              <w:rPr>
                <w:rFonts w:ascii="Arial" w:hAnsi="Arial" w:cs="Arial"/>
              </w:rPr>
            </w:pPr>
            <w:r w:rsidRPr="00FF764A">
              <w:rPr>
                <w:rFonts w:ascii="Arial" w:hAnsi="Arial" w:cs="Arial"/>
              </w:rPr>
              <w:t>14.62</w:t>
            </w:r>
          </w:p>
        </w:tc>
      </w:tr>
      <w:tr w:rsidR="00FF764A" w:rsidRPr="00FF764A" w14:paraId="3790CB9C" w14:textId="77777777" w:rsidTr="00FF764A">
        <w:trPr>
          <w:jc w:val="center"/>
        </w:trPr>
        <w:tc>
          <w:tcPr>
            <w:tcW w:w="0" w:type="auto"/>
            <w:hideMark/>
          </w:tcPr>
          <w:p w14:paraId="312AC460" w14:textId="77777777" w:rsidR="00FF764A" w:rsidRPr="00FF764A" w:rsidRDefault="00FF764A" w:rsidP="007E71E2">
            <w:pPr>
              <w:spacing w:line="360" w:lineRule="auto"/>
              <w:jc w:val="both"/>
              <w:rPr>
                <w:rFonts w:ascii="Arial" w:hAnsi="Arial" w:cs="Arial"/>
              </w:rPr>
            </w:pPr>
            <w:r w:rsidRPr="00FF764A">
              <w:rPr>
                <w:rFonts w:ascii="Arial" w:hAnsi="Arial" w:cs="Arial"/>
              </w:rPr>
              <w:t>Insufficient public space allocation</w:t>
            </w:r>
          </w:p>
        </w:tc>
        <w:tc>
          <w:tcPr>
            <w:tcW w:w="0" w:type="auto"/>
            <w:hideMark/>
          </w:tcPr>
          <w:p w14:paraId="50BC7788" w14:textId="77777777" w:rsidR="00FF764A" w:rsidRPr="00FF764A" w:rsidRDefault="00FF764A" w:rsidP="007E71E2">
            <w:pPr>
              <w:spacing w:line="360" w:lineRule="auto"/>
              <w:jc w:val="center"/>
              <w:rPr>
                <w:rFonts w:ascii="Arial" w:hAnsi="Arial" w:cs="Arial"/>
              </w:rPr>
            </w:pPr>
            <w:r w:rsidRPr="00FF764A">
              <w:rPr>
                <w:rFonts w:ascii="Arial" w:hAnsi="Arial" w:cs="Arial"/>
              </w:rPr>
              <w:t>65</w:t>
            </w:r>
          </w:p>
        </w:tc>
        <w:tc>
          <w:tcPr>
            <w:tcW w:w="0" w:type="auto"/>
            <w:hideMark/>
          </w:tcPr>
          <w:p w14:paraId="69428262" w14:textId="77777777" w:rsidR="00FF764A" w:rsidRPr="00FF764A" w:rsidRDefault="00FF764A" w:rsidP="007E71E2">
            <w:pPr>
              <w:spacing w:line="360" w:lineRule="auto"/>
              <w:jc w:val="center"/>
              <w:rPr>
                <w:rFonts w:ascii="Arial" w:hAnsi="Arial" w:cs="Arial"/>
              </w:rPr>
            </w:pPr>
            <w:r w:rsidRPr="00FF764A">
              <w:rPr>
                <w:rFonts w:ascii="Arial" w:hAnsi="Arial" w:cs="Arial"/>
              </w:rPr>
              <w:t>12.50</w:t>
            </w:r>
          </w:p>
        </w:tc>
      </w:tr>
      <w:tr w:rsidR="00FF764A" w:rsidRPr="00FF764A" w14:paraId="4D42082C" w14:textId="77777777" w:rsidTr="00FF764A">
        <w:trPr>
          <w:jc w:val="center"/>
        </w:trPr>
        <w:tc>
          <w:tcPr>
            <w:tcW w:w="0" w:type="auto"/>
            <w:hideMark/>
          </w:tcPr>
          <w:p w14:paraId="48DFE9A0" w14:textId="77777777" w:rsidR="00FF764A" w:rsidRPr="00FF764A" w:rsidRDefault="00FF764A" w:rsidP="007E71E2">
            <w:pPr>
              <w:spacing w:line="360" w:lineRule="auto"/>
              <w:jc w:val="both"/>
              <w:rPr>
                <w:rFonts w:ascii="Arial" w:hAnsi="Arial" w:cs="Arial"/>
              </w:rPr>
            </w:pPr>
            <w:r w:rsidRPr="00FF764A">
              <w:rPr>
                <w:rFonts w:ascii="Arial" w:hAnsi="Arial" w:cs="Arial"/>
              </w:rPr>
              <w:t>Weak enforcement of building codes</w:t>
            </w:r>
          </w:p>
        </w:tc>
        <w:tc>
          <w:tcPr>
            <w:tcW w:w="0" w:type="auto"/>
            <w:hideMark/>
          </w:tcPr>
          <w:p w14:paraId="511283AE" w14:textId="77777777" w:rsidR="00FF764A" w:rsidRPr="00FF764A" w:rsidRDefault="00FF764A" w:rsidP="007E71E2">
            <w:pPr>
              <w:spacing w:line="360" w:lineRule="auto"/>
              <w:jc w:val="center"/>
              <w:rPr>
                <w:rFonts w:ascii="Arial" w:hAnsi="Arial" w:cs="Arial"/>
              </w:rPr>
            </w:pPr>
            <w:r w:rsidRPr="00FF764A">
              <w:rPr>
                <w:rFonts w:ascii="Arial" w:hAnsi="Arial" w:cs="Arial"/>
              </w:rPr>
              <w:t>48</w:t>
            </w:r>
          </w:p>
        </w:tc>
        <w:tc>
          <w:tcPr>
            <w:tcW w:w="0" w:type="auto"/>
            <w:hideMark/>
          </w:tcPr>
          <w:p w14:paraId="4E527AE8" w14:textId="77777777" w:rsidR="00FF764A" w:rsidRPr="00FF764A" w:rsidRDefault="00FF764A" w:rsidP="007E71E2">
            <w:pPr>
              <w:spacing w:line="360" w:lineRule="auto"/>
              <w:jc w:val="center"/>
              <w:rPr>
                <w:rFonts w:ascii="Arial" w:hAnsi="Arial" w:cs="Arial"/>
              </w:rPr>
            </w:pPr>
            <w:r w:rsidRPr="00FF764A">
              <w:rPr>
                <w:rFonts w:ascii="Arial" w:hAnsi="Arial" w:cs="Arial"/>
              </w:rPr>
              <w:t>9.23</w:t>
            </w:r>
          </w:p>
        </w:tc>
      </w:tr>
      <w:tr w:rsidR="00FF764A" w:rsidRPr="00FF764A" w14:paraId="05D99E33" w14:textId="77777777" w:rsidTr="00FF764A">
        <w:trPr>
          <w:jc w:val="center"/>
        </w:trPr>
        <w:tc>
          <w:tcPr>
            <w:tcW w:w="0" w:type="auto"/>
            <w:hideMark/>
          </w:tcPr>
          <w:p w14:paraId="79405D6B" w14:textId="77777777" w:rsidR="00FF764A" w:rsidRPr="00FF764A" w:rsidRDefault="00FF764A" w:rsidP="007E71E2">
            <w:pPr>
              <w:spacing w:line="360" w:lineRule="auto"/>
              <w:jc w:val="both"/>
              <w:rPr>
                <w:rFonts w:ascii="Arial" w:hAnsi="Arial" w:cs="Arial"/>
              </w:rPr>
            </w:pPr>
            <w:r w:rsidRPr="00FF764A">
              <w:rPr>
                <w:rFonts w:ascii="Arial" w:hAnsi="Arial" w:cs="Arial"/>
              </w:rPr>
              <w:t>Limited technical expertise</w:t>
            </w:r>
          </w:p>
        </w:tc>
        <w:tc>
          <w:tcPr>
            <w:tcW w:w="0" w:type="auto"/>
            <w:hideMark/>
          </w:tcPr>
          <w:p w14:paraId="354CBF1E" w14:textId="77777777" w:rsidR="00FF764A" w:rsidRPr="00FF764A" w:rsidRDefault="00FF764A" w:rsidP="007E71E2">
            <w:pPr>
              <w:spacing w:line="360" w:lineRule="auto"/>
              <w:jc w:val="center"/>
              <w:rPr>
                <w:rFonts w:ascii="Arial" w:hAnsi="Arial" w:cs="Arial"/>
              </w:rPr>
            </w:pPr>
            <w:r w:rsidRPr="00FF764A">
              <w:rPr>
                <w:rFonts w:ascii="Arial" w:hAnsi="Arial" w:cs="Arial"/>
              </w:rPr>
              <w:t>21</w:t>
            </w:r>
          </w:p>
        </w:tc>
        <w:tc>
          <w:tcPr>
            <w:tcW w:w="0" w:type="auto"/>
            <w:hideMark/>
          </w:tcPr>
          <w:p w14:paraId="5C4CB571" w14:textId="77777777" w:rsidR="00FF764A" w:rsidRPr="00FF764A" w:rsidRDefault="00FF764A" w:rsidP="007E71E2">
            <w:pPr>
              <w:spacing w:line="360" w:lineRule="auto"/>
              <w:jc w:val="center"/>
              <w:rPr>
                <w:rFonts w:ascii="Arial" w:hAnsi="Arial" w:cs="Arial"/>
              </w:rPr>
            </w:pPr>
            <w:r w:rsidRPr="00FF764A">
              <w:rPr>
                <w:rFonts w:ascii="Arial" w:hAnsi="Arial" w:cs="Arial"/>
              </w:rPr>
              <w:t>4.04</w:t>
            </w:r>
          </w:p>
        </w:tc>
      </w:tr>
      <w:tr w:rsidR="00FF764A" w:rsidRPr="00FF764A" w14:paraId="002C9AD7" w14:textId="77777777" w:rsidTr="00FF764A">
        <w:trPr>
          <w:jc w:val="center"/>
        </w:trPr>
        <w:tc>
          <w:tcPr>
            <w:tcW w:w="0" w:type="auto"/>
            <w:hideMark/>
          </w:tcPr>
          <w:p w14:paraId="0896BE75" w14:textId="77777777" w:rsidR="00FF764A" w:rsidRPr="00FF764A" w:rsidRDefault="00FF764A" w:rsidP="007E71E2">
            <w:pPr>
              <w:spacing w:line="360" w:lineRule="auto"/>
              <w:jc w:val="center"/>
              <w:rPr>
                <w:rFonts w:ascii="Arial" w:hAnsi="Arial" w:cs="Arial"/>
              </w:rPr>
            </w:pPr>
            <w:r w:rsidRPr="00FF764A">
              <w:rPr>
                <w:rFonts w:ascii="Arial" w:hAnsi="Arial" w:cs="Arial"/>
                <w:b/>
                <w:bCs/>
              </w:rPr>
              <w:t>Total</w:t>
            </w:r>
          </w:p>
        </w:tc>
        <w:tc>
          <w:tcPr>
            <w:tcW w:w="0" w:type="auto"/>
            <w:hideMark/>
          </w:tcPr>
          <w:p w14:paraId="1A153D43" w14:textId="77777777" w:rsidR="00FF764A" w:rsidRPr="00FF764A" w:rsidRDefault="00FF764A" w:rsidP="007E71E2">
            <w:pPr>
              <w:spacing w:line="360" w:lineRule="auto"/>
              <w:jc w:val="center"/>
              <w:rPr>
                <w:rFonts w:ascii="Arial" w:hAnsi="Arial" w:cs="Arial"/>
              </w:rPr>
            </w:pPr>
            <w:r w:rsidRPr="00FF764A">
              <w:rPr>
                <w:rFonts w:ascii="Arial" w:hAnsi="Arial" w:cs="Arial"/>
                <w:b/>
                <w:bCs/>
              </w:rPr>
              <w:t>520</w:t>
            </w:r>
          </w:p>
        </w:tc>
        <w:tc>
          <w:tcPr>
            <w:tcW w:w="0" w:type="auto"/>
            <w:hideMark/>
          </w:tcPr>
          <w:p w14:paraId="3BDBF401" w14:textId="77777777" w:rsidR="00FF764A" w:rsidRPr="00FF764A" w:rsidRDefault="00FF764A" w:rsidP="007E71E2">
            <w:pPr>
              <w:spacing w:line="360" w:lineRule="auto"/>
              <w:jc w:val="center"/>
              <w:rPr>
                <w:rFonts w:ascii="Arial" w:hAnsi="Arial" w:cs="Arial"/>
              </w:rPr>
            </w:pPr>
            <w:r w:rsidRPr="00FF764A">
              <w:rPr>
                <w:rFonts w:ascii="Arial" w:hAnsi="Arial" w:cs="Arial"/>
                <w:b/>
                <w:bCs/>
              </w:rPr>
              <w:t>100.0</w:t>
            </w:r>
          </w:p>
        </w:tc>
      </w:tr>
    </w:tbl>
    <w:p w14:paraId="4A3CE0BA" w14:textId="77777777" w:rsidR="00FF764A" w:rsidRDefault="00FF764A" w:rsidP="00FF764A">
      <w:pPr>
        <w:pStyle w:val="Body"/>
        <w:spacing w:after="0"/>
        <w:jc w:val="center"/>
        <w:rPr>
          <w:rFonts w:ascii="Arial" w:hAnsi="Arial" w:cs="Arial"/>
        </w:rPr>
      </w:pPr>
      <w:r w:rsidRPr="00FF764A">
        <w:rPr>
          <w:rFonts w:ascii="Arial" w:hAnsi="Arial" w:cs="Arial"/>
        </w:rPr>
        <w:t>Source: Fieldwork (June 2023–August 2024)</w:t>
      </w:r>
    </w:p>
    <w:p w14:paraId="1C86295F" w14:textId="77777777" w:rsidR="00FF764A" w:rsidRDefault="00FF764A" w:rsidP="00FF764A">
      <w:pPr>
        <w:pStyle w:val="Body"/>
        <w:spacing w:after="0"/>
        <w:rPr>
          <w:rFonts w:ascii="Arial" w:hAnsi="Arial" w:cs="Arial"/>
        </w:rPr>
      </w:pPr>
    </w:p>
    <w:p w14:paraId="61EDF5A8" w14:textId="77777777" w:rsidR="00FF764A" w:rsidRPr="00FF764A" w:rsidRDefault="00FF764A" w:rsidP="00FF764A">
      <w:pPr>
        <w:pStyle w:val="Body"/>
        <w:rPr>
          <w:rFonts w:ascii="Arial" w:hAnsi="Arial" w:cs="Arial"/>
        </w:rPr>
      </w:pPr>
      <w:r w:rsidRPr="00FF764A">
        <w:rPr>
          <w:rFonts w:ascii="Arial" w:hAnsi="Arial" w:cs="Arial"/>
        </w:rPr>
        <w:t xml:space="preserve">The result in Table 2 shows that most urban housing challenges in Bamenda is the lack of a comprehensive master plan (24.04%), which serves as the foundational framework for organized urban development and whose absence creates cascading problems throughout the planning system. This is followed by inadequate zoning regulations (18.85%), which contribute to mixed land use patterns and conflicts between residential, commercial, and industrial activities, making it difficult to ensure appropriate development standards and </w:t>
      </w:r>
      <w:r w:rsidRPr="00FF764A">
        <w:rPr>
          <w:rFonts w:ascii="Arial" w:hAnsi="Arial" w:cs="Arial"/>
        </w:rPr>
        <w:lastRenderedPageBreak/>
        <w:t>service provision. Uncontrolled urban sprawl accounts for 16.73% of the challenges, reflecting the city's rapid expansion without proper planning controls, leading to uncontrolled development patterns that are expensive to service and difficult to regulate. Poor road network (14.62%) and insufficient public space allocation (12.50%) further compound urban housing development problems by limiting accessibility and reducing livability standards. Weak enforcement of building codes (9.23%) explains the prevalence of substandard structures throughout the city, while limited technical expertise (4.04%) represents a critical constraint for effective planning implementation, though its relatively low percentage may reflect underestimation of this fundamental capacity issue.</w:t>
      </w:r>
    </w:p>
    <w:p w14:paraId="00F60733" w14:textId="77777777" w:rsidR="00FF764A" w:rsidRDefault="00FF764A" w:rsidP="00FF764A">
      <w:pPr>
        <w:pStyle w:val="Body"/>
        <w:spacing w:after="0"/>
        <w:rPr>
          <w:rFonts w:ascii="Arial" w:hAnsi="Arial" w:cs="Arial"/>
        </w:rPr>
      </w:pPr>
      <w:r w:rsidRPr="00FF764A">
        <w:rPr>
          <w:rFonts w:ascii="Arial" w:hAnsi="Arial" w:cs="Arial"/>
        </w:rPr>
        <w:t>The urban housing planning process involves multiple stakeholders, each bringing different perspectives and capacities to the planning framework. Understanding stakeholder involvement patterns provides insights into the collaborative nature of planning and potential areas for strengthening participation (Fig. 3).</w:t>
      </w:r>
    </w:p>
    <w:p w14:paraId="797EE8D8" w14:textId="77777777" w:rsidR="00FF764A" w:rsidRDefault="00FF764A" w:rsidP="00FF764A">
      <w:pPr>
        <w:pStyle w:val="Body"/>
        <w:spacing w:after="0"/>
        <w:rPr>
          <w:rFonts w:ascii="Arial" w:hAnsi="Arial" w:cs="Arial"/>
        </w:rPr>
      </w:pPr>
    </w:p>
    <w:p w14:paraId="14B7A4F4" w14:textId="77777777" w:rsidR="00FF764A" w:rsidRDefault="00FF764A" w:rsidP="00FF764A">
      <w:pPr>
        <w:pStyle w:val="Body"/>
        <w:spacing w:after="0"/>
        <w:rPr>
          <w:rFonts w:ascii="Arial" w:hAnsi="Arial" w:cs="Arial"/>
        </w:rPr>
      </w:pPr>
      <w:r w:rsidRPr="001D072F">
        <w:rPr>
          <w:rFonts w:ascii="Times New Roman" w:hAnsi="Times New Roman"/>
          <w:noProof/>
        </w:rPr>
        <w:drawing>
          <wp:inline distT="0" distB="0" distL="0" distR="0" wp14:anchorId="7A9AB767" wp14:editId="1C7AE946">
            <wp:extent cx="5212080" cy="2872665"/>
            <wp:effectExtent l="0" t="0" r="26670" b="23495"/>
            <wp:docPr id="4" name="Chart 1">
              <a:extLst xmlns:a="http://schemas.openxmlformats.org/drawingml/2006/main">
                <a:ext uri="{FF2B5EF4-FFF2-40B4-BE49-F238E27FC236}">
                  <a16:creationId xmlns:a16="http://schemas.microsoft.com/office/drawing/2014/main" id="{B9DACB4D-7A13-C8ED-B2CA-5D5ACE1EE3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43FD4AB" w14:textId="77777777" w:rsidR="00FF764A" w:rsidRPr="00FF764A" w:rsidRDefault="00FF764A" w:rsidP="00FF764A">
      <w:pPr>
        <w:pStyle w:val="Body"/>
        <w:spacing w:after="0"/>
        <w:jc w:val="center"/>
        <w:rPr>
          <w:rFonts w:ascii="Arial" w:hAnsi="Arial" w:cs="Arial"/>
        </w:rPr>
      </w:pPr>
      <w:r w:rsidRPr="00FF764A">
        <w:rPr>
          <w:rFonts w:ascii="Arial" w:hAnsi="Arial" w:cs="Arial"/>
        </w:rPr>
        <w:t>Figure 3: Stakeholders involved in the urban housing planning process in Bamenda</w:t>
      </w:r>
    </w:p>
    <w:p w14:paraId="7FCE8E84" w14:textId="77777777" w:rsidR="00FF764A" w:rsidRDefault="00FF764A" w:rsidP="00FF764A">
      <w:pPr>
        <w:pStyle w:val="Body"/>
        <w:spacing w:after="0"/>
        <w:jc w:val="center"/>
        <w:rPr>
          <w:rFonts w:ascii="Arial" w:hAnsi="Arial" w:cs="Arial"/>
        </w:rPr>
      </w:pPr>
      <w:r w:rsidRPr="00FF764A">
        <w:rPr>
          <w:rFonts w:ascii="Arial" w:hAnsi="Arial" w:cs="Arial"/>
        </w:rPr>
        <w:t>Source: Fieldwork (June 2023–August 2024)</w:t>
      </w:r>
    </w:p>
    <w:p w14:paraId="323E5B76" w14:textId="77777777" w:rsidR="00FF764A" w:rsidRPr="00FF764A" w:rsidRDefault="00FF764A" w:rsidP="00441B6F">
      <w:pPr>
        <w:pStyle w:val="Body"/>
        <w:spacing w:after="0"/>
        <w:rPr>
          <w:rFonts w:ascii="Arial" w:hAnsi="Arial" w:cs="Arial"/>
        </w:rPr>
      </w:pPr>
    </w:p>
    <w:p w14:paraId="1D477AF0" w14:textId="77777777" w:rsidR="00FF764A" w:rsidRDefault="00FF764A" w:rsidP="00441B6F">
      <w:pPr>
        <w:pStyle w:val="Body"/>
        <w:spacing w:after="0"/>
        <w:rPr>
          <w:rFonts w:ascii="Arial" w:hAnsi="Arial" w:cs="Arial"/>
        </w:rPr>
      </w:pPr>
      <w:r w:rsidRPr="00FF764A">
        <w:rPr>
          <w:rFonts w:ascii="Arial" w:hAnsi="Arial" w:cs="Arial"/>
        </w:rPr>
        <w:t xml:space="preserve">Findings in Figure 3 show that the Bamenda City Council Planning Department is the most dominant stakeholder in urban planning processes (30.00%), reflecting its statutory mandate for local planning coordination and its central role in translating policy into implementation. The Regional Delegation of Housing &amp; Urban Development follows with 18.27%, demonstrating the significant role of national government representation in local planning and the continued importance of its oversight in decentralized systems. Traditional Authorities contribute 15.00% to planning processes, highlighting the importance of customary land tenure systems and cultural considerations in urban development, particularly in contexts where formal and informal land systems coexist. Private Urban Planners/Consultants account for 12.12%, indicating the growing involvement of technical expertise from the private sector and the recognition of specialized skills needed for effective planning. Community Representatives (10.38%) show moderate participation, though this low level suggests significant room for improvement in participatory planning approaches and greater community engagement. The Ministry of Public Works (8.08%) and Academic Institutions (6.15%) represent smaller but important technical and research contributions to </w:t>
      </w:r>
      <w:r w:rsidRPr="00FF764A">
        <w:rPr>
          <w:rFonts w:ascii="Arial" w:hAnsi="Arial" w:cs="Arial"/>
        </w:rPr>
        <w:lastRenderedPageBreak/>
        <w:t>the planning process, providing specialized knowledge and capacity for evidence-based planning decisions.</w:t>
      </w:r>
    </w:p>
    <w:p w14:paraId="5A43FE16" w14:textId="77777777" w:rsidR="00FF764A" w:rsidRDefault="00FF764A" w:rsidP="00441B6F">
      <w:pPr>
        <w:pStyle w:val="Body"/>
        <w:spacing w:after="0"/>
        <w:rPr>
          <w:rFonts w:ascii="Arial" w:hAnsi="Arial" w:cs="Arial"/>
        </w:rPr>
      </w:pPr>
    </w:p>
    <w:p w14:paraId="7D7774F8" w14:textId="77777777" w:rsidR="00FF764A" w:rsidRPr="00FF764A" w:rsidRDefault="00FF764A" w:rsidP="00441B6F">
      <w:pPr>
        <w:pStyle w:val="Body"/>
        <w:spacing w:after="0"/>
        <w:rPr>
          <w:rFonts w:ascii="Arial" w:hAnsi="Arial" w:cs="Arial"/>
          <w:b/>
        </w:rPr>
      </w:pPr>
      <w:r w:rsidRPr="00FF764A">
        <w:rPr>
          <w:rFonts w:ascii="Arial" w:hAnsi="Arial" w:cs="Arial"/>
          <w:b/>
        </w:rPr>
        <w:t>3.4 Stakeholder Actions in Urban Housing Standards</w:t>
      </w:r>
    </w:p>
    <w:p w14:paraId="6ACF4C45" w14:textId="77777777" w:rsidR="00FF764A" w:rsidRDefault="00FF764A" w:rsidP="00441B6F">
      <w:pPr>
        <w:pStyle w:val="Body"/>
        <w:spacing w:after="0"/>
        <w:rPr>
          <w:rFonts w:ascii="Arial" w:hAnsi="Arial" w:cs="Arial"/>
          <w:i/>
        </w:rPr>
      </w:pPr>
    </w:p>
    <w:p w14:paraId="2DADEEC6" w14:textId="77777777" w:rsidR="00FF764A" w:rsidRDefault="00FF764A" w:rsidP="00441B6F">
      <w:pPr>
        <w:pStyle w:val="Body"/>
        <w:spacing w:after="0"/>
        <w:rPr>
          <w:rFonts w:ascii="Arial" w:hAnsi="Arial" w:cs="Arial"/>
        </w:rPr>
      </w:pPr>
      <w:r w:rsidRPr="00FF764A">
        <w:rPr>
          <w:rFonts w:ascii="Arial" w:hAnsi="Arial" w:cs="Arial"/>
        </w:rPr>
        <w:t>An assessment of stakeholder actions reveals diverse approaches to addressing urban housing standards in Bamenda (Table 3). Understanding the specific strategies employed by different stakeholders provides insights into governance approaches and their relative emphasis on different intervention mechanisms.</w:t>
      </w:r>
    </w:p>
    <w:p w14:paraId="04ADF794" w14:textId="77777777" w:rsidR="00FF764A" w:rsidRDefault="00FF764A" w:rsidP="00441B6F">
      <w:pPr>
        <w:pStyle w:val="Body"/>
        <w:spacing w:after="0"/>
        <w:rPr>
          <w:rFonts w:ascii="Arial" w:hAnsi="Arial" w:cs="Arial"/>
        </w:rPr>
      </w:pPr>
    </w:p>
    <w:p w14:paraId="20FF8D7C" w14:textId="77777777" w:rsidR="00FF764A" w:rsidRDefault="00FF764A" w:rsidP="00FF764A">
      <w:pPr>
        <w:pStyle w:val="Body"/>
        <w:spacing w:after="0"/>
        <w:jc w:val="center"/>
        <w:rPr>
          <w:rFonts w:ascii="Arial" w:hAnsi="Arial" w:cs="Arial"/>
        </w:rPr>
      </w:pPr>
      <w:r w:rsidRPr="00FF764A">
        <w:rPr>
          <w:rFonts w:ascii="Arial" w:hAnsi="Arial" w:cs="Arial"/>
        </w:rPr>
        <w:t>Table 3: Stakeholder Actions in Urban Housing Development in Bamenda</w:t>
      </w:r>
    </w:p>
    <w:tbl>
      <w:tblPr>
        <w:tblW w:w="0" w:type="auto"/>
        <w:jc w:val="center"/>
        <w:tblBorders>
          <w:top w:val="single" w:sz="4" w:space="0" w:color="auto"/>
          <w:bottom w:val="single" w:sz="4" w:space="0" w:color="auto"/>
        </w:tblBorders>
        <w:tblLook w:val="04A0" w:firstRow="1" w:lastRow="0" w:firstColumn="1" w:lastColumn="0" w:noHBand="0" w:noVBand="1"/>
      </w:tblPr>
      <w:tblGrid>
        <w:gridCol w:w="6590"/>
        <w:gridCol w:w="1228"/>
        <w:gridCol w:w="606"/>
      </w:tblGrid>
      <w:tr w:rsidR="00FF764A" w:rsidRPr="00FF764A" w14:paraId="45DA139F" w14:textId="77777777" w:rsidTr="00FF764A">
        <w:trPr>
          <w:trHeight w:val="70"/>
          <w:jc w:val="center"/>
        </w:trPr>
        <w:tc>
          <w:tcPr>
            <w:tcW w:w="0" w:type="auto"/>
            <w:vAlign w:val="center"/>
            <w:hideMark/>
          </w:tcPr>
          <w:p w14:paraId="06E381AD" w14:textId="77777777" w:rsidR="00FF764A" w:rsidRPr="00FF764A" w:rsidRDefault="00FF764A" w:rsidP="007E71E2">
            <w:pPr>
              <w:jc w:val="center"/>
              <w:rPr>
                <w:rFonts w:ascii="Arial" w:hAnsi="Arial" w:cs="Arial"/>
                <w:b/>
                <w:bCs/>
              </w:rPr>
            </w:pPr>
            <w:r w:rsidRPr="00FF764A">
              <w:rPr>
                <w:rFonts w:ascii="Arial" w:hAnsi="Arial" w:cs="Arial"/>
                <w:b/>
                <w:bCs/>
              </w:rPr>
              <w:t>Action</w:t>
            </w:r>
          </w:p>
        </w:tc>
        <w:tc>
          <w:tcPr>
            <w:tcW w:w="0" w:type="auto"/>
            <w:vAlign w:val="center"/>
            <w:hideMark/>
          </w:tcPr>
          <w:p w14:paraId="60F28317" w14:textId="77777777" w:rsidR="00FF764A" w:rsidRPr="00FF764A" w:rsidRDefault="00FF764A" w:rsidP="007E71E2">
            <w:pPr>
              <w:jc w:val="both"/>
              <w:rPr>
                <w:rFonts w:ascii="Arial" w:hAnsi="Arial" w:cs="Arial"/>
                <w:b/>
                <w:bCs/>
              </w:rPr>
            </w:pPr>
            <w:r w:rsidRPr="00FF764A">
              <w:rPr>
                <w:rFonts w:ascii="Arial" w:hAnsi="Arial" w:cs="Arial"/>
                <w:b/>
                <w:bCs/>
              </w:rPr>
              <w:t>Frequency</w:t>
            </w:r>
          </w:p>
        </w:tc>
        <w:tc>
          <w:tcPr>
            <w:tcW w:w="0" w:type="auto"/>
            <w:vAlign w:val="center"/>
            <w:hideMark/>
          </w:tcPr>
          <w:p w14:paraId="529C00DE" w14:textId="77777777" w:rsidR="00FF764A" w:rsidRPr="00FF764A" w:rsidRDefault="00FF764A" w:rsidP="007E71E2">
            <w:pPr>
              <w:jc w:val="both"/>
              <w:rPr>
                <w:rFonts w:ascii="Arial" w:hAnsi="Arial" w:cs="Arial"/>
                <w:b/>
                <w:bCs/>
              </w:rPr>
            </w:pPr>
            <w:r w:rsidRPr="00FF764A">
              <w:rPr>
                <w:rFonts w:ascii="Arial" w:hAnsi="Arial" w:cs="Arial"/>
                <w:b/>
                <w:bCs/>
              </w:rPr>
              <w:t>%</w:t>
            </w:r>
          </w:p>
        </w:tc>
      </w:tr>
      <w:tr w:rsidR="00FF764A" w:rsidRPr="00FF764A" w14:paraId="6EB18151" w14:textId="77777777" w:rsidTr="00FF764A">
        <w:trPr>
          <w:trHeight w:val="233"/>
          <w:jc w:val="center"/>
        </w:trPr>
        <w:tc>
          <w:tcPr>
            <w:tcW w:w="0" w:type="auto"/>
            <w:vAlign w:val="center"/>
            <w:hideMark/>
          </w:tcPr>
          <w:p w14:paraId="5A2FA5D5" w14:textId="77777777" w:rsidR="00FF764A" w:rsidRPr="00FF764A" w:rsidRDefault="00FF764A" w:rsidP="007E71E2">
            <w:pPr>
              <w:jc w:val="both"/>
              <w:rPr>
                <w:rFonts w:ascii="Arial" w:hAnsi="Arial" w:cs="Arial"/>
              </w:rPr>
            </w:pPr>
            <w:r w:rsidRPr="00FF764A">
              <w:rPr>
                <w:rFonts w:ascii="Arial" w:hAnsi="Arial" w:cs="Arial"/>
              </w:rPr>
              <w:t>Strict supervision of building constructions</w:t>
            </w:r>
          </w:p>
        </w:tc>
        <w:tc>
          <w:tcPr>
            <w:tcW w:w="0" w:type="auto"/>
            <w:noWrap/>
            <w:vAlign w:val="center"/>
            <w:hideMark/>
          </w:tcPr>
          <w:p w14:paraId="70F9CBDF" w14:textId="77777777" w:rsidR="00FF764A" w:rsidRPr="00FF764A" w:rsidRDefault="00FF764A" w:rsidP="007E71E2">
            <w:pPr>
              <w:jc w:val="center"/>
              <w:rPr>
                <w:rFonts w:ascii="Arial" w:hAnsi="Arial" w:cs="Arial"/>
              </w:rPr>
            </w:pPr>
            <w:r w:rsidRPr="00FF764A">
              <w:rPr>
                <w:rFonts w:ascii="Arial" w:hAnsi="Arial" w:cs="Arial"/>
              </w:rPr>
              <w:t>106</w:t>
            </w:r>
          </w:p>
        </w:tc>
        <w:tc>
          <w:tcPr>
            <w:tcW w:w="0" w:type="auto"/>
            <w:noWrap/>
            <w:vAlign w:val="center"/>
            <w:hideMark/>
          </w:tcPr>
          <w:p w14:paraId="3A0F0EA4" w14:textId="77777777" w:rsidR="00FF764A" w:rsidRPr="00FF764A" w:rsidRDefault="00FF764A" w:rsidP="007E71E2">
            <w:pPr>
              <w:jc w:val="center"/>
              <w:rPr>
                <w:rFonts w:ascii="Arial" w:hAnsi="Arial" w:cs="Arial"/>
              </w:rPr>
            </w:pPr>
            <w:r w:rsidRPr="00FF764A">
              <w:rPr>
                <w:rFonts w:ascii="Arial" w:hAnsi="Arial" w:cs="Arial"/>
              </w:rPr>
              <w:t>20.4</w:t>
            </w:r>
          </w:p>
        </w:tc>
      </w:tr>
      <w:tr w:rsidR="00FF764A" w:rsidRPr="00FF764A" w14:paraId="38F5EB81" w14:textId="77777777" w:rsidTr="00FF764A">
        <w:trPr>
          <w:trHeight w:val="70"/>
          <w:jc w:val="center"/>
        </w:trPr>
        <w:tc>
          <w:tcPr>
            <w:tcW w:w="0" w:type="auto"/>
            <w:vAlign w:val="center"/>
            <w:hideMark/>
          </w:tcPr>
          <w:p w14:paraId="2ABAF52A" w14:textId="77777777" w:rsidR="00FF764A" w:rsidRPr="00FF764A" w:rsidRDefault="00FF764A" w:rsidP="007E71E2">
            <w:pPr>
              <w:jc w:val="both"/>
              <w:rPr>
                <w:rFonts w:ascii="Arial" w:hAnsi="Arial" w:cs="Arial"/>
              </w:rPr>
            </w:pPr>
            <w:r w:rsidRPr="00FF764A">
              <w:rPr>
                <w:rFonts w:ascii="Arial" w:hAnsi="Arial" w:cs="Arial"/>
              </w:rPr>
              <w:t>Demolition of substandard houses</w:t>
            </w:r>
          </w:p>
        </w:tc>
        <w:tc>
          <w:tcPr>
            <w:tcW w:w="0" w:type="auto"/>
            <w:noWrap/>
            <w:vAlign w:val="center"/>
            <w:hideMark/>
          </w:tcPr>
          <w:p w14:paraId="615C2618" w14:textId="77777777" w:rsidR="00FF764A" w:rsidRPr="00FF764A" w:rsidRDefault="00FF764A" w:rsidP="007E71E2">
            <w:pPr>
              <w:jc w:val="center"/>
              <w:rPr>
                <w:rFonts w:ascii="Arial" w:hAnsi="Arial" w:cs="Arial"/>
              </w:rPr>
            </w:pPr>
            <w:r w:rsidRPr="00FF764A">
              <w:rPr>
                <w:rFonts w:ascii="Arial" w:hAnsi="Arial" w:cs="Arial"/>
              </w:rPr>
              <w:t>38</w:t>
            </w:r>
          </w:p>
        </w:tc>
        <w:tc>
          <w:tcPr>
            <w:tcW w:w="0" w:type="auto"/>
            <w:noWrap/>
            <w:vAlign w:val="center"/>
            <w:hideMark/>
          </w:tcPr>
          <w:p w14:paraId="272E5EC1" w14:textId="77777777" w:rsidR="00FF764A" w:rsidRPr="00FF764A" w:rsidRDefault="00FF764A" w:rsidP="007E71E2">
            <w:pPr>
              <w:jc w:val="center"/>
              <w:rPr>
                <w:rFonts w:ascii="Arial" w:hAnsi="Arial" w:cs="Arial"/>
              </w:rPr>
            </w:pPr>
            <w:r w:rsidRPr="00FF764A">
              <w:rPr>
                <w:rFonts w:ascii="Arial" w:hAnsi="Arial" w:cs="Arial"/>
              </w:rPr>
              <w:t>7.3</w:t>
            </w:r>
          </w:p>
        </w:tc>
      </w:tr>
      <w:tr w:rsidR="00FF764A" w:rsidRPr="00FF764A" w14:paraId="43C410B0" w14:textId="77777777" w:rsidTr="00FF764A">
        <w:trPr>
          <w:trHeight w:val="215"/>
          <w:jc w:val="center"/>
        </w:trPr>
        <w:tc>
          <w:tcPr>
            <w:tcW w:w="0" w:type="auto"/>
            <w:vAlign w:val="center"/>
            <w:hideMark/>
          </w:tcPr>
          <w:p w14:paraId="4D588217" w14:textId="77777777" w:rsidR="00FF764A" w:rsidRPr="00FF764A" w:rsidRDefault="00FF764A" w:rsidP="007E71E2">
            <w:pPr>
              <w:jc w:val="both"/>
              <w:rPr>
                <w:rFonts w:ascii="Arial" w:hAnsi="Arial" w:cs="Arial"/>
              </w:rPr>
            </w:pPr>
            <w:r w:rsidRPr="00FF764A">
              <w:rPr>
                <w:rFonts w:ascii="Arial" w:hAnsi="Arial" w:cs="Arial"/>
              </w:rPr>
              <w:t>Implementation of non-land reclamation regulations</w:t>
            </w:r>
          </w:p>
        </w:tc>
        <w:tc>
          <w:tcPr>
            <w:tcW w:w="0" w:type="auto"/>
            <w:noWrap/>
            <w:vAlign w:val="center"/>
            <w:hideMark/>
          </w:tcPr>
          <w:p w14:paraId="5783781B" w14:textId="77777777" w:rsidR="00FF764A" w:rsidRPr="00FF764A" w:rsidRDefault="00FF764A" w:rsidP="007E71E2">
            <w:pPr>
              <w:jc w:val="center"/>
              <w:rPr>
                <w:rFonts w:ascii="Arial" w:hAnsi="Arial" w:cs="Arial"/>
              </w:rPr>
            </w:pPr>
            <w:r w:rsidRPr="00FF764A">
              <w:rPr>
                <w:rFonts w:ascii="Arial" w:hAnsi="Arial" w:cs="Arial"/>
              </w:rPr>
              <w:t>3</w:t>
            </w:r>
          </w:p>
        </w:tc>
        <w:tc>
          <w:tcPr>
            <w:tcW w:w="0" w:type="auto"/>
            <w:noWrap/>
            <w:vAlign w:val="center"/>
            <w:hideMark/>
          </w:tcPr>
          <w:p w14:paraId="69A39626" w14:textId="77777777" w:rsidR="00FF764A" w:rsidRPr="00FF764A" w:rsidRDefault="00FF764A" w:rsidP="007E71E2">
            <w:pPr>
              <w:jc w:val="center"/>
              <w:rPr>
                <w:rFonts w:ascii="Arial" w:hAnsi="Arial" w:cs="Arial"/>
              </w:rPr>
            </w:pPr>
            <w:r w:rsidRPr="00FF764A">
              <w:rPr>
                <w:rFonts w:ascii="Arial" w:hAnsi="Arial" w:cs="Arial"/>
              </w:rPr>
              <w:t>0.6</w:t>
            </w:r>
          </w:p>
        </w:tc>
      </w:tr>
      <w:tr w:rsidR="00FF764A" w:rsidRPr="00FF764A" w14:paraId="4170A617" w14:textId="77777777" w:rsidTr="00FF764A">
        <w:trPr>
          <w:trHeight w:val="170"/>
          <w:jc w:val="center"/>
        </w:trPr>
        <w:tc>
          <w:tcPr>
            <w:tcW w:w="0" w:type="auto"/>
            <w:vAlign w:val="center"/>
            <w:hideMark/>
          </w:tcPr>
          <w:p w14:paraId="53C10475" w14:textId="77777777" w:rsidR="00FF764A" w:rsidRPr="00FF764A" w:rsidRDefault="00FF764A" w:rsidP="007E71E2">
            <w:pPr>
              <w:jc w:val="both"/>
              <w:rPr>
                <w:rFonts w:ascii="Arial" w:hAnsi="Arial" w:cs="Arial"/>
              </w:rPr>
            </w:pPr>
            <w:r w:rsidRPr="00FF764A">
              <w:rPr>
                <w:rFonts w:ascii="Arial" w:hAnsi="Arial" w:cs="Arial"/>
              </w:rPr>
              <w:t>Implementation of fines &amp; sanction for building without a building permit</w:t>
            </w:r>
          </w:p>
        </w:tc>
        <w:tc>
          <w:tcPr>
            <w:tcW w:w="0" w:type="auto"/>
            <w:noWrap/>
            <w:vAlign w:val="center"/>
            <w:hideMark/>
          </w:tcPr>
          <w:p w14:paraId="2ED4D226" w14:textId="77777777" w:rsidR="00FF764A" w:rsidRPr="00FF764A" w:rsidRDefault="00FF764A" w:rsidP="007E71E2">
            <w:pPr>
              <w:jc w:val="center"/>
              <w:rPr>
                <w:rFonts w:ascii="Arial" w:hAnsi="Arial" w:cs="Arial"/>
              </w:rPr>
            </w:pPr>
            <w:r w:rsidRPr="00FF764A">
              <w:rPr>
                <w:rFonts w:ascii="Arial" w:hAnsi="Arial" w:cs="Arial"/>
              </w:rPr>
              <w:t>104</w:t>
            </w:r>
          </w:p>
        </w:tc>
        <w:tc>
          <w:tcPr>
            <w:tcW w:w="0" w:type="auto"/>
            <w:noWrap/>
            <w:vAlign w:val="center"/>
            <w:hideMark/>
          </w:tcPr>
          <w:p w14:paraId="358EC6E2" w14:textId="77777777" w:rsidR="00FF764A" w:rsidRPr="00FF764A" w:rsidRDefault="00FF764A" w:rsidP="007E71E2">
            <w:pPr>
              <w:jc w:val="center"/>
              <w:rPr>
                <w:rFonts w:ascii="Arial" w:hAnsi="Arial" w:cs="Arial"/>
              </w:rPr>
            </w:pPr>
            <w:r w:rsidRPr="00FF764A">
              <w:rPr>
                <w:rFonts w:ascii="Arial" w:hAnsi="Arial" w:cs="Arial"/>
              </w:rPr>
              <w:t>20.0</w:t>
            </w:r>
          </w:p>
        </w:tc>
      </w:tr>
      <w:tr w:rsidR="00FF764A" w:rsidRPr="00FF764A" w14:paraId="3BF16E31" w14:textId="77777777" w:rsidTr="00FF764A">
        <w:trPr>
          <w:trHeight w:val="170"/>
          <w:jc w:val="center"/>
        </w:trPr>
        <w:tc>
          <w:tcPr>
            <w:tcW w:w="0" w:type="auto"/>
            <w:vAlign w:val="center"/>
            <w:hideMark/>
          </w:tcPr>
          <w:p w14:paraId="19A09FF7" w14:textId="77777777" w:rsidR="00FF764A" w:rsidRPr="00FF764A" w:rsidRDefault="00FF764A" w:rsidP="007E71E2">
            <w:pPr>
              <w:jc w:val="both"/>
              <w:rPr>
                <w:rFonts w:ascii="Arial" w:hAnsi="Arial" w:cs="Arial"/>
              </w:rPr>
            </w:pPr>
            <w:r w:rsidRPr="00FF764A">
              <w:rPr>
                <w:rFonts w:ascii="Arial" w:hAnsi="Arial" w:cs="Arial"/>
              </w:rPr>
              <w:t>Prescription of materials and cost for new buildings at specified locations</w:t>
            </w:r>
          </w:p>
        </w:tc>
        <w:tc>
          <w:tcPr>
            <w:tcW w:w="0" w:type="auto"/>
            <w:noWrap/>
            <w:vAlign w:val="center"/>
            <w:hideMark/>
          </w:tcPr>
          <w:p w14:paraId="422597E1" w14:textId="77777777" w:rsidR="00FF764A" w:rsidRPr="00FF764A" w:rsidRDefault="00FF764A" w:rsidP="007E71E2">
            <w:pPr>
              <w:jc w:val="center"/>
              <w:rPr>
                <w:rFonts w:ascii="Arial" w:hAnsi="Arial" w:cs="Arial"/>
              </w:rPr>
            </w:pPr>
            <w:r w:rsidRPr="00FF764A">
              <w:rPr>
                <w:rFonts w:ascii="Arial" w:hAnsi="Arial" w:cs="Arial"/>
              </w:rPr>
              <w:t>24</w:t>
            </w:r>
          </w:p>
        </w:tc>
        <w:tc>
          <w:tcPr>
            <w:tcW w:w="0" w:type="auto"/>
            <w:noWrap/>
            <w:vAlign w:val="center"/>
            <w:hideMark/>
          </w:tcPr>
          <w:p w14:paraId="374061B7" w14:textId="77777777" w:rsidR="00FF764A" w:rsidRPr="00FF764A" w:rsidRDefault="00FF764A" w:rsidP="007E71E2">
            <w:pPr>
              <w:jc w:val="center"/>
              <w:rPr>
                <w:rFonts w:ascii="Arial" w:hAnsi="Arial" w:cs="Arial"/>
              </w:rPr>
            </w:pPr>
            <w:r w:rsidRPr="00FF764A">
              <w:rPr>
                <w:rFonts w:ascii="Arial" w:hAnsi="Arial" w:cs="Arial"/>
              </w:rPr>
              <w:t>4.6</w:t>
            </w:r>
          </w:p>
        </w:tc>
      </w:tr>
      <w:tr w:rsidR="00FF764A" w:rsidRPr="00FF764A" w14:paraId="32694496" w14:textId="77777777" w:rsidTr="00FF764A">
        <w:trPr>
          <w:trHeight w:val="125"/>
          <w:jc w:val="center"/>
        </w:trPr>
        <w:tc>
          <w:tcPr>
            <w:tcW w:w="0" w:type="auto"/>
            <w:vAlign w:val="center"/>
            <w:hideMark/>
          </w:tcPr>
          <w:p w14:paraId="381D16EE" w14:textId="77777777" w:rsidR="00FF764A" w:rsidRPr="00FF764A" w:rsidRDefault="00FF764A" w:rsidP="007E71E2">
            <w:pPr>
              <w:jc w:val="both"/>
              <w:rPr>
                <w:rFonts w:ascii="Arial" w:hAnsi="Arial" w:cs="Arial"/>
              </w:rPr>
            </w:pPr>
            <w:r w:rsidRPr="00FF764A">
              <w:rPr>
                <w:rFonts w:ascii="Arial" w:hAnsi="Arial" w:cs="Arial"/>
              </w:rPr>
              <w:t>All of the above</w:t>
            </w:r>
          </w:p>
        </w:tc>
        <w:tc>
          <w:tcPr>
            <w:tcW w:w="0" w:type="auto"/>
            <w:noWrap/>
            <w:vAlign w:val="center"/>
            <w:hideMark/>
          </w:tcPr>
          <w:p w14:paraId="4F058D17" w14:textId="77777777" w:rsidR="00FF764A" w:rsidRPr="00FF764A" w:rsidRDefault="00FF764A" w:rsidP="007E71E2">
            <w:pPr>
              <w:jc w:val="center"/>
              <w:rPr>
                <w:rFonts w:ascii="Arial" w:hAnsi="Arial" w:cs="Arial"/>
              </w:rPr>
            </w:pPr>
            <w:r w:rsidRPr="00FF764A">
              <w:rPr>
                <w:rFonts w:ascii="Arial" w:hAnsi="Arial" w:cs="Arial"/>
              </w:rPr>
              <w:t>160</w:t>
            </w:r>
          </w:p>
        </w:tc>
        <w:tc>
          <w:tcPr>
            <w:tcW w:w="0" w:type="auto"/>
            <w:noWrap/>
            <w:vAlign w:val="center"/>
            <w:hideMark/>
          </w:tcPr>
          <w:p w14:paraId="23028306" w14:textId="77777777" w:rsidR="00FF764A" w:rsidRPr="00FF764A" w:rsidRDefault="00FF764A" w:rsidP="007E71E2">
            <w:pPr>
              <w:jc w:val="center"/>
              <w:rPr>
                <w:rFonts w:ascii="Arial" w:hAnsi="Arial" w:cs="Arial"/>
              </w:rPr>
            </w:pPr>
            <w:r w:rsidRPr="00FF764A">
              <w:rPr>
                <w:rFonts w:ascii="Arial" w:hAnsi="Arial" w:cs="Arial"/>
              </w:rPr>
              <w:t>30.8</w:t>
            </w:r>
          </w:p>
        </w:tc>
      </w:tr>
      <w:tr w:rsidR="00FF764A" w:rsidRPr="00FF764A" w14:paraId="26E86802" w14:textId="77777777" w:rsidTr="00FF764A">
        <w:trPr>
          <w:trHeight w:val="70"/>
          <w:jc w:val="center"/>
        </w:trPr>
        <w:tc>
          <w:tcPr>
            <w:tcW w:w="0" w:type="auto"/>
            <w:vAlign w:val="center"/>
            <w:hideMark/>
          </w:tcPr>
          <w:p w14:paraId="0B790C4E" w14:textId="77777777" w:rsidR="00FF764A" w:rsidRPr="00FF764A" w:rsidRDefault="00FF764A" w:rsidP="007E71E2">
            <w:pPr>
              <w:jc w:val="both"/>
              <w:rPr>
                <w:rFonts w:ascii="Arial" w:hAnsi="Arial" w:cs="Arial"/>
              </w:rPr>
            </w:pPr>
            <w:r w:rsidRPr="00FF764A">
              <w:rPr>
                <w:rFonts w:ascii="Arial" w:hAnsi="Arial" w:cs="Arial"/>
              </w:rPr>
              <w:t>None of the above</w:t>
            </w:r>
          </w:p>
        </w:tc>
        <w:tc>
          <w:tcPr>
            <w:tcW w:w="0" w:type="auto"/>
            <w:noWrap/>
            <w:vAlign w:val="center"/>
            <w:hideMark/>
          </w:tcPr>
          <w:p w14:paraId="3DD9CFB2" w14:textId="77777777" w:rsidR="00FF764A" w:rsidRPr="00FF764A" w:rsidRDefault="00FF764A" w:rsidP="007E71E2">
            <w:pPr>
              <w:jc w:val="center"/>
              <w:rPr>
                <w:rFonts w:ascii="Arial" w:hAnsi="Arial" w:cs="Arial"/>
              </w:rPr>
            </w:pPr>
            <w:r w:rsidRPr="00FF764A">
              <w:rPr>
                <w:rFonts w:ascii="Arial" w:hAnsi="Arial" w:cs="Arial"/>
              </w:rPr>
              <w:t>85</w:t>
            </w:r>
          </w:p>
        </w:tc>
        <w:tc>
          <w:tcPr>
            <w:tcW w:w="0" w:type="auto"/>
            <w:noWrap/>
            <w:vAlign w:val="center"/>
            <w:hideMark/>
          </w:tcPr>
          <w:p w14:paraId="6801C4D1" w14:textId="77777777" w:rsidR="00FF764A" w:rsidRPr="00FF764A" w:rsidRDefault="00FF764A" w:rsidP="007E71E2">
            <w:pPr>
              <w:jc w:val="center"/>
              <w:rPr>
                <w:rFonts w:ascii="Arial" w:hAnsi="Arial" w:cs="Arial"/>
              </w:rPr>
            </w:pPr>
            <w:r w:rsidRPr="00FF764A">
              <w:rPr>
                <w:rFonts w:ascii="Arial" w:hAnsi="Arial" w:cs="Arial"/>
              </w:rPr>
              <w:t>16.3</w:t>
            </w:r>
          </w:p>
        </w:tc>
      </w:tr>
      <w:tr w:rsidR="00FF764A" w:rsidRPr="00FF764A" w14:paraId="762EE44D" w14:textId="77777777" w:rsidTr="00FF764A">
        <w:trPr>
          <w:trHeight w:val="70"/>
          <w:jc w:val="center"/>
        </w:trPr>
        <w:tc>
          <w:tcPr>
            <w:tcW w:w="0" w:type="auto"/>
            <w:vAlign w:val="center"/>
            <w:hideMark/>
          </w:tcPr>
          <w:p w14:paraId="3CEAE5A6" w14:textId="77777777" w:rsidR="00FF764A" w:rsidRPr="00FF764A" w:rsidRDefault="00FF764A" w:rsidP="007E71E2">
            <w:pPr>
              <w:jc w:val="center"/>
              <w:rPr>
                <w:rFonts w:ascii="Arial" w:hAnsi="Arial" w:cs="Arial"/>
                <w:b/>
                <w:bCs/>
              </w:rPr>
            </w:pPr>
            <w:r w:rsidRPr="00FF764A">
              <w:rPr>
                <w:rFonts w:ascii="Arial" w:hAnsi="Arial" w:cs="Arial"/>
                <w:b/>
                <w:bCs/>
              </w:rPr>
              <w:t>Total</w:t>
            </w:r>
          </w:p>
        </w:tc>
        <w:tc>
          <w:tcPr>
            <w:tcW w:w="0" w:type="auto"/>
            <w:noWrap/>
            <w:vAlign w:val="center"/>
            <w:hideMark/>
          </w:tcPr>
          <w:p w14:paraId="1A78F1BD" w14:textId="77777777" w:rsidR="00FF764A" w:rsidRPr="00FF764A" w:rsidRDefault="00FF764A" w:rsidP="007E71E2">
            <w:pPr>
              <w:jc w:val="center"/>
              <w:rPr>
                <w:rFonts w:ascii="Arial" w:hAnsi="Arial" w:cs="Arial"/>
                <w:b/>
                <w:bCs/>
              </w:rPr>
            </w:pPr>
            <w:r w:rsidRPr="00FF764A">
              <w:rPr>
                <w:rFonts w:ascii="Arial" w:hAnsi="Arial" w:cs="Arial"/>
                <w:b/>
                <w:bCs/>
              </w:rPr>
              <w:t>520</w:t>
            </w:r>
          </w:p>
        </w:tc>
        <w:tc>
          <w:tcPr>
            <w:tcW w:w="0" w:type="auto"/>
            <w:noWrap/>
            <w:vAlign w:val="center"/>
            <w:hideMark/>
          </w:tcPr>
          <w:p w14:paraId="2CDEB0BC" w14:textId="77777777" w:rsidR="00FF764A" w:rsidRPr="00FF764A" w:rsidRDefault="00FF764A" w:rsidP="007E71E2">
            <w:pPr>
              <w:jc w:val="center"/>
              <w:rPr>
                <w:rFonts w:ascii="Arial" w:hAnsi="Arial" w:cs="Arial"/>
                <w:b/>
                <w:bCs/>
              </w:rPr>
            </w:pPr>
            <w:r w:rsidRPr="00FF764A">
              <w:rPr>
                <w:rFonts w:ascii="Arial" w:hAnsi="Arial" w:cs="Arial"/>
                <w:b/>
                <w:bCs/>
              </w:rPr>
              <w:t>100</w:t>
            </w:r>
          </w:p>
        </w:tc>
      </w:tr>
    </w:tbl>
    <w:p w14:paraId="7FF94D2A" w14:textId="77777777" w:rsidR="00FF764A" w:rsidRDefault="00FF764A" w:rsidP="00FF764A">
      <w:pPr>
        <w:pStyle w:val="Body"/>
        <w:spacing w:after="0"/>
        <w:jc w:val="center"/>
        <w:rPr>
          <w:rFonts w:ascii="Arial" w:hAnsi="Arial" w:cs="Arial"/>
        </w:rPr>
      </w:pPr>
      <w:r w:rsidRPr="00FF764A">
        <w:rPr>
          <w:rFonts w:ascii="Arial" w:hAnsi="Arial" w:cs="Arial"/>
        </w:rPr>
        <w:t>Source: Fieldwork (June 2023–August 2024)</w:t>
      </w:r>
    </w:p>
    <w:p w14:paraId="1A123361" w14:textId="77777777" w:rsidR="00FF764A" w:rsidRPr="00FF764A" w:rsidRDefault="00FF764A" w:rsidP="00441B6F">
      <w:pPr>
        <w:pStyle w:val="Body"/>
        <w:spacing w:after="0"/>
        <w:rPr>
          <w:rFonts w:ascii="Arial" w:hAnsi="Arial" w:cs="Arial"/>
        </w:rPr>
      </w:pPr>
    </w:p>
    <w:p w14:paraId="4749D21A" w14:textId="77777777" w:rsidR="00FF764A" w:rsidRDefault="00FF764A" w:rsidP="00441B6F">
      <w:pPr>
        <w:pStyle w:val="Body"/>
        <w:spacing w:after="0"/>
        <w:rPr>
          <w:rFonts w:ascii="Arial" w:hAnsi="Arial" w:cs="Arial"/>
        </w:rPr>
      </w:pPr>
      <w:r w:rsidRPr="00FF764A">
        <w:rPr>
          <w:rFonts w:ascii="Arial" w:hAnsi="Arial" w:cs="Arial"/>
        </w:rPr>
        <w:t>The findings in Table 3 reveal that despite the existence of different stakeholders’ actions like strict supervision of building constructions, demolition of substandard houses and Implementation of fines and sanction for building without a building permit, a combination of strategies represents the most dominant action taken by stakeholders towards achieving sustainable urban housing in Bamenda city (30.8%).</w:t>
      </w:r>
    </w:p>
    <w:p w14:paraId="760DFC52" w14:textId="77777777" w:rsidR="00FF764A" w:rsidRDefault="00FF764A" w:rsidP="00441B6F">
      <w:pPr>
        <w:pStyle w:val="Body"/>
        <w:spacing w:after="0"/>
        <w:rPr>
          <w:rFonts w:ascii="Arial" w:hAnsi="Arial" w:cs="Arial"/>
        </w:rPr>
      </w:pPr>
    </w:p>
    <w:p w14:paraId="1195BD91" w14:textId="77777777" w:rsidR="00FF764A" w:rsidRPr="00FF764A" w:rsidRDefault="00FF764A" w:rsidP="00441B6F">
      <w:pPr>
        <w:pStyle w:val="Body"/>
        <w:spacing w:after="0"/>
        <w:rPr>
          <w:rFonts w:ascii="Arial" w:hAnsi="Arial" w:cs="Arial"/>
          <w:b/>
        </w:rPr>
      </w:pPr>
      <w:r w:rsidRPr="00FF764A">
        <w:rPr>
          <w:rFonts w:ascii="Arial" w:hAnsi="Arial" w:cs="Arial"/>
          <w:b/>
        </w:rPr>
        <w:t>3.5 Evolution of Stakeholder Actions (2010-2024)</w:t>
      </w:r>
    </w:p>
    <w:p w14:paraId="38962D2E" w14:textId="77777777" w:rsidR="00FF764A" w:rsidRDefault="00FF764A" w:rsidP="00441B6F">
      <w:pPr>
        <w:pStyle w:val="Body"/>
        <w:spacing w:after="0"/>
        <w:rPr>
          <w:rFonts w:ascii="Arial" w:hAnsi="Arial" w:cs="Arial"/>
        </w:rPr>
      </w:pPr>
    </w:p>
    <w:p w14:paraId="74501ED1" w14:textId="77777777" w:rsidR="00FF764A" w:rsidRDefault="00FF764A" w:rsidP="00441B6F">
      <w:pPr>
        <w:pStyle w:val="Body"/>
        <w:spacing w:after="0"/>
        <w:rPr>
          <w:rFonts w:ascii="Arial" w:hAnsi="Arial" w:cs="Arial"/>
        </w:rPr>
      </w:pPr>
      <w:r w:rsidRPr="00FF764A">
        <w:rPr>
          <w:rFonts w:ascii="Arial" w:hAnsi="Arial" w:cs="Arial"/>
        </w:rPr>
        <w:t>The temporal analysis reveals significant evolution in stakeholder approaches to urban housing standards over the past fourteen years. Understanding this evolution provides important insights into learning processes, policy adaptations and changing priorities in housing governance (Table 4).</w:t>
      </w:r>
    </w:p>
    <w:p w14:paraId="40BB215A" w14:textId="77777777" w:rsidR="00FF764A" w:rsidRDefault="00FF764A" w:rsidP="00441B6F">
      <w:pPr>
        <w:pStyle w:val="Body"/>
        <w:spacing w:after="0"/>
        <w:rPr>
          <w:rFonts w:ascii="Arial" w:hAnsi="Arial" w:cs="Arial"/>
        </w:rPr>
      </w:pPr>
    </w:p>
    <w:p w14:paraId="65FB430C" w14:textId="77777777" w:rsidR="00FF764A" w:rsidRPr="00FF764A" w:rsidRDefault="00FF764A" w:rsidP="00FF764A">
      <w:pPr>
        <w:pStyle w:val="Body"/>
        <w:spacing w:after="0"/>
        <w:jc w:val="center"/>
        <w:rPr>
          <w:rFonts w:ascii="Arial" w:hAnsi="Arial" w:cs="Arial"/>
          <w:sz w:val="18"/>
          <w:szCs w:val="18"/>
        </w:rPr>
      </w:pPr>
      <w:r w:rsidRPr="00FF764A">
        <w:rPr>
          <w:rFonts w:ascii="Arial" w:hAnsi="Arial" w:cs="Arial"/>
          <w:sz w:val="18"/>
          <w:szCs w:val="18"/>
        </w:rPr>
        <w:t>Table 4: Evolution of Stakeholder Actions in Urban Housing Standards in Bamenda (2010-2024)</w:t>
      </w:r>
    </w:p>
    <w:tbl>
      <w:tblPr>
        <w:tblW w:w="8980" w:type="dxa"/>
        <w:tblBorders>
          <w:top w:val="single" w:sz="4" w:space="0" w:color="auto"/>
          <w:bottom w:val="single" w:sz="4" w:space="0" w:color="auto"/>
        </w:tblBorders>
        <w:tblLook w:val="04A0" w:firstRow="1" w:lastRow="0" w:firstColumn="1" w:lastColumn="0" w:noHBand="0" w:noVBand="1"/>
      </w:tblPr>
      <w:tblGrid>
        <w:gridCol w:w="1300"/>
        <w:gridCol w:w="960"/>
        <w:gridCol w:w="960"/>
        <w:gridCol w:w="960"/>
        <w:gridCol w:w="960"/>
        <w:gridCol w:w="960"/>
        <w:gridCol w:w="960"/>
        <w:gridCol w:w="960"/>
        <w:gridCol w:w="960"/>
      </w:tblGrid>
      <w:tr w:rsidR="00FF764A" w:rsidRPr="00FF764A" w14:paraId="1DAEF8BF" w14:textId="77777777" w:rsidTr="00FF764A">
        <w:trPr>
          <w:trHeight w:val="255"/>
        </w:trPr>
        <w:tc>
          <w:tcPr>
            <w:tcW w:w="1300" w:type="dxa"/>
            <w:vMerge w:val="restart"/>
            <w:vAlign w:val="center"/>
            <w:hideMark/>
          </w:tcPr>
          <w:p w14:paraId="73481CE4" w14:textId="77777777" w:rsidR="00FF764A" w:rsidRPr="00FF764A" w:rsidRDefault="00FF764A" w:rsidP="007E71E2">
            <w:pPr>
              <w:jc w:val="center"/>
              <w:rPr>
                <w:rFonts w:ascii="Arial" w:hAnsi="Arial" w:cs="Arial"/>
                <w:b/>
                <w:bCs/>
              </w:rPr>
            </w:pPr>
            <w:r w:rsidRPr="00FF764A">
              <w:rPr>
                <w:rFonts w:ascii="Arial" w:hAnsi="Arial" w:cs="Arial"/>
                <w:b/>
                <w:bCs/>
              </w:rPr>
              <w:t>Periods</w:t>
            </w:r>
          </w:p>
        </w:tc>
        <w:tc>
          <w:tcPr>
            <w:tcW w:w="7680" w:type="dxa"/>
            <w:gridSpan w:val="8"/>
            <w:vAlign w:val="center"/>
            <w:hideMark/>
          </w:tcPr>
          <w:p w14:paraId="3089487F" w14:textId="77777777" w:rsidR="00FF764A" w:rsidRPr="00FF764A" w:rsidRDefault="00FF764A" w:rsidP="007E71E2">
            <w:pPr>
              <w:jc w:val="center"/>
              <w:rPr>
                <w:rFonts w:ascii="Arial" w:hAnsi="Arial" w:cs="Arial"/>
                <w:b/>
                <w:bCs/>
              </w:rPr>
            </w:pPr>
            <w:r w:rsidRPr="00FF764A">
              <w:rPr>
                <w:rFonts w:ascii="Arial" w:hAnsi="Arial" w:cs="Arial"/>
                <w:b/>
                <w:bCs/>
              </w:rPr>
              <w:t>Actions taken to achieve standard housing</w:t>
            </w:r>
          </w:p>
        </w:tc>
      </w:tr>
      <w:tr w:rsidR="00FF764A" w:rsidRPr="00FF764A" w14:paraId="1C437E23" w14:textId="77777777" w:rsidTr="00FF764A">
        <w:trPr>
          <w:trHeight w:val="255"/>
        </w:trPr>
        <w:tc>
          <w:tcPr>
            <w:tcW w:w="0" w:type="auto"/>
            <w:vMerge/>
            <w:vAlign w:val="center"/>
            <w:hideMark/>
          </w:tcPr>
          <w:p w14:paraId="5C896B3C" w14:textId="77777777" w:rsidR="00FF764A" w:rsidRPr="00FF764A" w:rsidRDefault="00FF764A" w:rsidP="007E71E2">
            <w:pPr>
              <w:jc w:val="both"/>
              <w:rPr>
                <w:rFonts w:ascii="Arial" w:hAnsi="Arial" w:cs="Arial"/>
                <w:b/>
                <w:bCs/>
              </w:rPr>
            </w:pPr>
          </w:p>
        </w:tc>
        <w:tc>
          <w:tcPr>
            <w:tcW w:w="1920" w:type="dxa"/>
            <w:gridSpan w:val="2"/>
            <w:vAlign w:val="center"/>
            <w:hideMark/>
          </w:tcPr>
          <w:p w14:paraId="1EE3D150" w14:textId="77777777" w:rsidR="00FF764A" w:rsidRPr="00FF764A" w:rsidRDefault="00FF764A" w:rsidP="007E71E2">
            <w:pPr>
              <w:jc w:val="center"/>
              <w:rPr>
                <w:rFonts w:ascii="Arial" w:hAnsi="Arial" w:cs="Arial"/>
                <w:b/>
                <w:bCs/>
              </w:rPr>
            </w:pPr>
            <w:r w:rsidRPr="00FF764A">
              <w:rPr>
                <w:rFonts w:ascii="Arial" w:hAnsi="Arial" w:cs="Arial"/>
                <w:b/>
                <w:bCs/>
              </w:rPr>
              <w:t>Strict supervision of building and construction</w:t>
            </w:r>
          </w:p>
        </w:tc>
        <w:tc>
          <w:tcPr>
            <w:tcW w:w="1920" w:type="dxa"/>
            <w:gridSpan w:val="2"/>
            <w:vAlign w:val="center"/>
            <w:hideMark/>
          </w:tcPr>
          <w:p w14:paraId="24E1AED9" w14:textId="77777777" w:rsidR="00FF764A" w:rsidRPr="00FF764A" w:rsidRDefault="00FF764A" w:rsidP="007E71E2">
            <w:pPr>
              <w:jc w:val="center"/>
              <w:rPr>
                <w:rFonts w:ascii="Arial" w:hAnsi="Arial" w:cs="Arial"/>
                <w:b/>
                <w:bCs/>
              </w:rPr>
            </w:pPr>
            <w:r w:rsidRPr="00FF764A">
              <w:rPr>
                <w:rFonts w:ascii="Arial" w:hAnsi="Arial" w:cs="Arial"/>
                <w:b/>
                <w:bCs/>
              </w:rPr>
              <w:t>Demolition of substandard houses</w:t>
            </w:r>
          </w:p>
        </w:tc>
        <w:tc>
          <w:tcPr>
            <w:tcW w:w="1920" w:type="dxa"/>
            <w:gridSpan w:val="2"/>
            <w:vAlign w:val="center"/>
            <w:hideMark/>
          </w:tcPr>
          <w:p w14:paraId="00FD8AEF" w14:textId="77777777" w:rsidR="00FF764A" w:rsidRPr="00FF764A" w:rsidRDefault="00FF764A" w:rsidP="007E71E2">
            <w:pPr>
              <w:jc w:val="center"/>
              <w:rPr>
                <w:rFonts w:ascii="Arial" w:hAnsi="Arial" w:cs="Arial"/>
                <w:b/>
                <w:bCs/>
              </w:rPr>
            </w:pPr>
            <w:r w:rsidRPr="00FF764A">
              <w:rPr>
                <w:rFonts w:ascii="Arial" w:hAnsi="Arial" w:cs="Arial"/>
                <w:b/>
                <w:bCs/>
              </w:rPr>
              <w:t>Implementation of fines &amp; sanctions</w:t>
            </w:r>
          </w:p>
        </w:tc>
        <w:tc>
          <w:tcPr>
            <w:tcW w:w="1920" w:type="dxa"/>
            <w:gridSpan w:val="2"/>
            <w:vAlign w:val="center"/>
            <w:hideMark/>
          </w:tcPr>
          <w:p w14:paraId="19C7ACF9" w14:textId="77777777" w:rsidR="00FF764A" w:rsidRPr="00FF764A" w:rsidRDefault="00FF764A" w:rsidP="007E71E2">
            <w:pPr>
              <w:jc w:val="center"/>
              <w:rPr>
                <w:rFonts w:ascii="Arial" w:hAnsi="Arial" w:cs="Arial"/>
                <w:b/>
                <w:bCs/>
              </w:rPr>
            </w:pPr>
            <w:r w:rsidRPr="00FF764A">
              <w:rPr>
                <w:rFonts w:ascii="Arial" w:hAnsi="Arial" w:cs="Arial"/>
                <w:b/>
                <w:bCs/>
              </w:rPr>
              <w:t>Materials and cost for new buildings</w:t>
            </w:r>
          </w:p>
        </w:tc>
      </w:tr>
      <w:tr w:rsidR="00FF764A" w:rsidRPr="00FF764A" w14:paraId="4EAD3A27" w14:textId="77777777" w:rsidTr="00FF764A">
        <w:trPr>
          <w:trHeight w:val="255"/>
        </w:trPr>
        <w:tc>
          <w:tcPr>
            <w:tcW w:w="0" w:type="auto"/>
            <w:vMerge/>
            <w:vAlign w:val="center"/>
            <w:hideMark/>
          </w:tcPr>
          <w:p w14:paraId="644AD419" w14:textId="77777777" w:rsidR="00FF764A" w:rsidRPr="00FF764A" w:rsidRDefault="00FF764A" w:rsidP="007E71E2">
            <w:pPr>
              <w:jc w:val="both"/>
              <w:rPr>
                <w:rFonts w:ascii="Arial" w:hAnsi="Arial" w:cs="Arial"/>
                <w:b/>
                <w:bCs/>
              </w:rPr>
            </w:pPr>
          </w:p>
        </w:tc>
        <w:tc>
          <w:tcPr>
            <w:tcW w:w="960" w:type="dxa"/>
            <w:vAlign w:val="center"/>
            <w:hideMark/>
          </w:tcPr>
          <w:p w14:paraId="25B7C14D" w14:textId="77777777" w:rsidR="00FF764A" w:rsidRPr="00FF764A" w:rsidRDefault="00FF764A" w:rsidP="007E71E2">
            <w:pPr>
              <w:jc w:val="both"/>
              <w:rPr>
                <w:rFonts w:ascii="Arial" w:hAnsi="Arial" w:cs="Arial"/>
                <w:b/>
                <w:bCs/>
              </w:rPr>
            </w:pPr>
            <w:r w:rsidRPr="00FF764A">
              <w:rPr>
                <w:rFonts w:ascii="Arial" w:hAnsi="Arial" w:cs="Arial"/>
                <w:b/>
                <w:bCs/>
              </w:rPr>
              <w:t>F</w:t>
            </w:r>
          </w:p>
        </w:tc>
        <w:tc>
          <w:tcPr>
            <w:tcW w:w="960" w:type="dxa"/>
            <w:vAlign w:val="center"/>
            <w:hideMark/>
          </w:tcPr>
          <w:p w14:paraId="157F6CA9" w14:textId="77777777" w:rsidR="00FF764A" w:rsidRPr="00FF764A" w:rsidRDefault="00FF764A" w:rsidP="007E71E2">
            <w:pPr>
              <w:jc w:val="both"/>
              <w:rPr>
                <w:rFonts w:ascii="Arial" w:hAnsi="Arial" w:cs="Arial"/>
                <w:b/>
                <w:bCs/>
              </w:rPr>
            </w:pPr>
            <w:r w:rsidRPr="00FF764A">
              <w:rPr>
                <w:rFonts w:ascii="Arial" w:hAnsi="Arial" w:cs="Arial"/>
                <w:b/>
                <w:bCs/>
              </w:rPr>
              <w:t>%</w:t>
            </w:r>
          </w:p>
        </w:tc>
        <w:tc>
          <w:tcPr>
            <w:tcW w:w="960" w:type="dxa"/>
            <w:vAlign w:val="center"/>
            <w:hideMark/>
          </w:tcPr>
          <w:p w14:paraId="54784006" w14:textId="77777777" w:rsidR="00FF764A" w:rsidRPr="00FF764A" w:rsidRDefault="00FF764A" w:rsidP="007E71E2">
            <w:pPr>
              <w:jc w:val="both"/>
              <w:rPr>
                <w:rFonts w:ascii="Arial" w:hAnsi="Arial" w:cs="Arial"/>
                <w:b/>
                <w:bCs/>
              </w:rPr>
            </w:pPr>
            <w:r w:rsidRPr="00FF764A">
              <w:rPr>
                <w:rFonts w:ascii="Arial" w:hAnsi="Arial" w:cs="Arial"/>
                <w:b/>
                <w:bCs/>
              </w:rPr>
              <w:t>F</w:t>
            </w:r>
          </w:p>
        </w:tc>
        <w:tc>
          <w:tcPr>
            <w:tcW w:w="960" w:type="dxa"/>
            <w:vAlign w:val="center"/>
            <w:hideMark/>
          </w:tcPr>
          <w:p w14:paraId="243CFB9A" w14:textId="77777777" w:rsidR="00FF764A" w:rsidRPr="00FF764A" w:rsidRDefault="00FF764A" w:rsidP="007E71E2">
            <w:pPr>
              <w:jc w:val="both"/>
              <w:rPr>
                <w:rFonts w:ascii="Arial" w:hAnsi="Arial" w:cs="Arial"/>
                <w:b/>
                <w:bCs/>
              </w:rPr>
            </w:pPr>
            <w:r w:rsidRPr="00FF764A">
              <w:rPr>
                <w:rFonts w:ascii="Arial" w:hAnsi="Arial" w:cs="Arial"/>
                <w:b/>
                <w:bCs/>
              </w:rPr>
              <w:t>%</w:t>
            </w:r>
          </w:p>
        </w:tc>
        <w:tc>
          <w:tcPr>
            <w:tcW w:w="960" w:type="dxa"/>
            <w:vAlign w:val="center"/>
            <w:hideMark/>
          </w:tcPr>
          <w:p w14:paraId="528CF91E" w14:textId="77777777" w:rsidR="00FF764A" w:rsidRPr="00FF764A" w:rsidRDefault="00FF764A" w:rsidP="007E71E2">
            <w:pPr>
              <w:jc w:val="both"/>
              <w:rPr>
                <w:rFonts w:ascii="Arial" w:hAnsi="Arial" w:cs="Arial"/>
                <w:b/>
                <w:bCs/>
              </w:rPr>
            </w:pPr>
            <w:r w:rsidRPr="00FF764A">
              <w:rPr>
                <w:rFonts w:ascii="Arial" w:hAnsi="Arial" w:cs="Arial"/>
                <w:b/>
                <w:bCs/>
              </w:rPr>
              <w:t>F</w:t>
            </w:r>
          </w:p>
        </w:tc>
        <w:tc>
          <w:tcPr>
            <w:tcW w:w="960" w:type="dxa"/>
            <w:vAlign w:val="center"/>
            <w:hideMark/>
          </w:tcPr>
          <w:p w14:paraId="053DDA41" w14:textId="77777777" w:rsidR="00FF764A" w:rsidRPr="00FF764A" w:rsidRDefault="00FF764A" w:rsidP="007E71E2">
            <w:pPr>
              <w:jc w:val="both"/>
              <w:rPr>
                <w:rFonts w:ascii="Arial" w:hAnsi="Arial" w:cs="Arial"/>
                <w:b/>
                <w:bCs/>
              </w:rPr>
            </w:pPr>
            <w:r w:rsidRPr="00FF764A">
              <w:rPr>
                <w:rFonts w:ascii="Arial" w:hAnsi="Arial" w:cs="Arial"/>
                <w:b/>
                <w:bCs/>
              </w:rPr>
              <w:t>%</w:t>
            </w:r>
          </w:p>
        </w:tc>
        <w:tc>
          <w:tcPr>
            <w:tcW w:w="960" w:type="dxa"/>
            <w:vAlign w:val="center"/>
            <w:hideMark/>
          </w:tcPr>
          <w:p w14:paraId="30EAA7BC" w14:textId="77777777" w:rsidR="00FF764A" w:rsidRPr="00FF764A" w:rsidRDefault="00FF764A" w:rsidP="007E71E2">
            <w:pPr>
              <w:jc w:val="both"/>
              <w:rPr>
                <w:rFonts w:ascii="Arial" w:hAnsi="Arial" w:cs="Arial"/>
                <w:b/>
                <w:bCs/>
              </w:rPr>
            </w:pPr>
            <w:r w:rsidRPr="00FF764A">
              <w:rPr>
                <w:rFonts w:ascii="Arial" w:hAnsi="Arial" w:cs="Arial"/>
                <w:b/>
                <w:bCs/>
              </w:rPr>
              <w:t>F</w:t>
            </w:r>
          </w:p>
        </w:tc>
        <w:tc>
          <w:tcPr>
            <w:tcW w:w="960" w:type="dxa"/>
            <w:vAlign w:val="center"/>
            <w:hideMark/>
          </w:tcPr>
          <w:p w14:paraId="3531B303" w14:textId="77777777" w:rsidR="00FF764A" w:rsidRPr="00FF764A" w:rsidRDefault="00FF764A" w:rsidP="007E71E2">
            <w:pPr>
              <w:jc w:val="both"/>
              <w:rPr>
                <w:rFonts w:ascii="Arial" w:hAnsi="Arial" w:cs="Arial"/>
                <w:b/>
                <w:bCs/>
              </w:rPr>
            </w:pPr>
            <w:r w:rsidRPr="00FF764A">
              <w:rPr>
                <w:rFonts w:ascii="Arial" w:hAnsi="Arial" w:cs="Arial"/>
                <w:b/>
                <w:bCs/>
              </w:rPr>
              <w:t>%</w:t>
            </w:r>
          </w:p>
        </w:tc>
      </w:tr>
      <w:tr w:rsidR="00FF764A" w:rsidRPr="00FF764A" w14:paraId="7FF7CD14" w14:textId="77777777" w:rsidTr="00FF764A">
        <w:trPr>
          <w:trHeight w:val="255"/>
        </w:trPr>
        <w:tc>
          <w:tcPr>
            <w:tcW w:w="1300" w:type="dxa"/>
            <w:vAlign w:val="center"/>
            <w:hideMark/>
          </w:tcPr>
          <w:p w14:paraId="669CCF9E" w14:textId="77777777" w:rsidR="00FF764A" w:rsidRPr="00FF764A" w:rsidRDefault="00FF764A" w:rsidP="007E71E2">
            <w:pPr>
              <w:jc w:val="both"/>
              <w:rPr>
                <w:rFonts w:ascii="Arial" w:hAnsi="Arial" w:cs="Arial"/>
              </w:rPr>
            </w:pPr>
            <w:r w:rsidRPr="00FF764A">
              <w:rPr>
                <w:rFonts w:ascii="Arial" w:hAnsi="Arial" w:cs="Arial"/>
              </w:rPr>
              <w:t>Before 2010</w:t>
            </w:r>
          </w:p>
        </w:tc>
        <w:tc>
          <w:tcPr>
            <w:tcW w:w="960" w:type="dxa"/>
            <w:noWrap/>
            <w:vAlign w:val="center"/>
            <w:hideMark/>
          </w:tcPr>
          <w:p w14:paraId="28D5DE5B" w14:textId="77777777" w:rsidR="00FF764A" w:rsidRPr="00FF764A" w:rsidRDefault="00FF764A" w:rsidP="007E71E2">
            <w:pPr>
              <w:jc w:val="both"/>
              <w:rPr>
                <w:rFonts w:ascii="Arial" w:hAnsi="Arial" w:cs="Arial"/>
              </w:rPr>
            </w:pPr>
            <w:r w:rsidRPr="00FF764A">
              <w:rPr>
                <w:rFonts w:ascii="Arial" w:hAnsi="Arial" w:cs="Arial"/>
              </w:rPr>
              <w:t>15</w:t>
            </w:r>
          </w:p>
        </w:tc>
        <w:tc>
          <w:tcPr>
            <w:tcW w:w="960" w:type="dxa"/>
            <w:noWrap/>
            <w:vAlign w:val="center"/>
            <w:hideMark/>
          </w:tcPr>
          <w:p w14:paraId="2FC00980" w14:textId="77777777" w:rsidR="00FF764A" w:rsidRPr="00FF764A" w:rsidRDefault="00FF764A" w:rsidP="007E71E2">
            <w:pPr>
              <w:jc w:val="both"/>
              <w:rPr>
                <w:rFonts w:ascii="Arial" w:hAnsi="Arial" w:cs="Arial"/>
              </w:rPr>
            </w:pPr>
            <w:r w:rsidRPr="00FF764A">
              <w:rPr>
                <w:rFonts w:ascii="Arial" w:hAnsi="Arial" w:cs="Arial"/>
              </w:rPr>
              <w:t>14.15</w:t>
            </w:r>
          </w:p>
        </w:tc>
        <w:tc>
          <w:tcPr>
            <w:tcW w:w="960" w:type="dxa"/>
            <w:noWrap/>
            <w:vAlign w:val="center"/>
            <w:hideMark/>
          </w:tcPr>
          <w:p w14:paraId="75392F11" w14:textId="77777777" w:rsidR="00FF764A" w:rsidRPr="00FF764A" w:rsidRDefault="00FF764A" w:rsidP="007E71E2">
            <w:pPr>
              <w:jc w:val="both"/>
              <w:rPr>
                <w:rFonts w:ascii="Arial" w:hAnsi="Arial" w:cs="Arial"/>
              </w:rPr>
            </w:pPr>
            <w:r w:rsidRPr="00FF764A">
              <w:rPr>
                <w:rFonts w:ascii="Arial" w:hAnsi="Arial" w:cs="Arial"/>
              </w:rPr>
              <w:t>0</w:t>
            </w:r>
          </w:p>
        </w:tc>
        <w:tc>
          <w:tcPr>
            <w:tcW w:w="960" w:type="dxa"/>
            <w:noWrap/>
            <w:vAlign w:val="center"/>
            <w:hideMark/>
          </w:tcPr>
          <w:p w14:paraId="2DCF8887" w14:textId="77777777" w:rsidR="00FF764A" w:rsidRPr="00FF764A" w:rsidRDefault="00FF764A" w:rsidP="007E71E2">
            <w:pPr>
              <w:jc w:val="both"/>
              <w:rPr>
                <w:rFonts w:ascii="Arial" w:hAnsi="Arial" w:cs="Arial"/>
              </w:rPr>
            </w:pPr>
            <w:r w:rsidRPr="00FF764A">
              <w:rPr>
                <w:rFonts w:ascii="Arial" w:hAnsi="Arial" w:cs="Arial"/>
              </w:rPr>
              <w:t>0.00</w:t>
            </w:r>
          </w:p>
        </w:tc>
        <w:tc>
          <w:tcPr>
            <w:tcW w:w="960" w:type="dxa"/>
            <w:noWrap/>
            <w:vAlign w:val="center"/>
            <w:hideMark/>
          </w:tcPr>
          <w:p w14:paraId="0DB56582" w14:textId="77777777" w:rsidR="00FF764A" w:rsidRPr="00FF764A" w:rsidRDefault="00FF764A" w:rsidP="007E71E2">
            <w:pPr>
              <w:jc w:val="both"/>
              <w:rPr>
                <w:rFonts w:ascii="Arial" w:hAnsi="Arial" w:cs="Arial"/>
              </w:rPr>
            </w:pPr>
            <w:r w:rsidRPr="00FF764A">
              <w:rPr>
                <w:rFonts w:ascii="Arial" w:hAnsi="Arial" w:cs="Arial"/>
              </w:rPr>
              <w:t>19</w:t>
            </w:r>
          </w:p>
        </w:tc>
        <w:tc>
          <w:tcPr>
            <w:tcW w:w="960" w:type="dxa"/>
            <w:noWrap/>
            <w:vAlign w:val="center"/>
            <w:hideMark/>
          </w:tcPr>
          <w:p w14:paraId="0303E421" w14:textId="77777777" w:rsidR="00FF764A" w:rsidRPr="00FF764A" w:rsidRDefault="00FF764A" w:rsidP="007E71E2">
            <w:pPr>
              <w:jc w:val="both"/>
              <w:rPr>
                <w:rFonts w:ascii="Arial" w:hAnsi="Arial" w:cs="Arial"/>
              </w:rPr>
            </w:pPr>
            <w:r w:rsidRPr="00FF764A">
              <w:rPr>
                <w:rFonts w:ascii="Arial" w:hAnsi="Arial" w:cs="Arial"/>
              </w:rPr>
              <w:t>18.27</w:t>
            </w:r>
          </w:p>
        </w:tc>
        <w:tc>
          <w:tcPr>
            <w:tcW w:w="960" w:type="dxa"/>
            <w:noWrap/>
            <w:vAlign w:val="center"/>
            <w:hideMark/>
          </w:tcPr>
          <w:p w14:paraId="4753666F" w14:textId="77777777" w:rsidR="00FF764A" w:rsidRPr="00FF764A" w:rsidRDefault="00FF764A" w:rsidP="007E71E2">
            <w:pPr>
              <w:jc w:val="both"/>
              <w:rPr>
                <w:rFonts w:ascii="Arial" w:hAnsi="Arial" w:cs="Arial"/>
              </w:rPr>
            </w:pPr>
            <w:r w:rsidRPr="00FF764A">
              <w:rPr>
                <w:rFonts w:ascii="Arial" w:hAnsi="Arial" w:cs="Arial"/>
              </w:rPr>
              <w:t>17</w:t>
            </w:r>
          </w:p>
        </w:tc>
        <w:tc>
          <w:tcPr>
            <w:tcW w:w="960" w:type="dxa"/>
            <w:noWrap/>
            <w:vAlign w:val="center"/>
            <w:hideMark/>
          </w:tcPr>
          <w:p w14:paraId="658D7CC0" w14:textId="77777777" w:rsidR="00FF764A" w:rsidRPr="00FF764A" w:rsidRDefault="00FF764A" w:rsidP="007E71E2">
            <w:pPr>
              <w:jc w:val="both"/>
              <w:rPr>
                <w:rFonts w:ascii="Arial" w:hAnsi="Arial" w:cs="Arial"/>
              </w:rPr>
            </w:pPr>
            <w:r w:rsidRPr="00FF764A">
              <w:rPr>
                <w:rFonts w:ascii="Arial" w:hAnsi="Arial" w:cs="Arial"/>
              </w:rPr>
              <w:t>70.83</w:t>
            </w:r>
          </w:p>
        </w:tc>
      </w:tr>
      <w:tr w:rsidR="00FF764A" w:rsidRPr="00FF764A" w14:paraId="4EC65050" w14:textId="77777777" w:rsidTr="00FF764A">
        <w:trPr>
          <w:trHeight w:val="480"/>
        </w:trPr>
        <w:tc>
          <w:tcPr>
            <w:tcW w:w="1300" w:type="dxa"/>
            <w:vAlign w:val="center"/>
            <w:hideMark/>
          </w:tcPr>
          <w:p w14:paraId="608377B8" w14:textId="77777777" w:rsidR="00FF764A" w:rsidRPr="00FF764A" w:rsidRDefault="00FF764A" w:rsidP="007E71E2">
            <w:pPr>
              <w:jc w:val="both"/>
              <w:rPr>
                <w:rFonts w:ascii="Arial" w:hAnsi="Arial" w:cs="Arial"/>
              </w:rPr>
            </w:pPr>
            <w:r w:rsidRPr="00FF764A">
              <w:rPr>
                <w:rFonts w:ascii="Arial" w:hAnsi="Arial" w:cs="Arial"/>
              </w:rPr>
              <w:t>Between 2010-2015</w:t>
            </w:r>
          </w:p>
        </w:tc>
        <w:tc>
          <w:tcPr>
            <w:tcW w:w="960" w:type="dxa"/>
            <w:noWrap/>
            <w:vAlign w:val="center"/>
            <w:hideMark/>
          </w:tcPr>
          <w:p w14:paraId="2E94A6A3" w14:textId="77777777" w:rsidR="00FF764A" w:rsidRPr="00FF764A" w:rsidRDefault="00FF764A" w:rsidP="007E71E2">
            <w:pPr>
              <w:jc w:val="both"/>
              <w:rPr>
                <w:rFonts w:ascii="Arial" w:hAnsi="Arial" w:cs="Arial"/>
              </w:rPr>
            </w:pPr>
            <w:r w:rsidRPr="00FF764A">
              <w:rPr>
                <w:rFonts w:ascii="Arial" w:hAnsi="Arial" w:cs="Arial"/>
              </w:rPr>
              <w:t>12</w:t>
            </w:r>
          </w:p>
        </w:tc>
        <w:tc>
          <w:tcPr>
            <w:tcW w:w="960" w:type="dxa"/>
            <w:noWrap/>
            <w:vAlign w:val="center"/>
            <w:hideMark/>
          </w:tcPr>
          <w:p w14:paraId="17C9780F" w14:textId="77777777" w:rsidR="00FF764A" w:rsidRPr="00FF764A" w:rsidRDefault="00FF764A" w:rsidP="007E71E2">
            <w:pPr>
              <w:jc w:val="both"/>
              <w:rPr>
                <w:rFonts w:ascii="Arial" w:hAnsi="Arial" w:cs="Arial"/>
              </w:rPr>
            </w:pPr>
            <w:r w:rsidRPr="00FF764A">
              <w:rPr>
                <w:rFonts w:ascii="Arial" w:hAnsi="Arial" w:cs="Arial"/>
              </w:rPr>
              <w:t>11.32</w:t>
            </w:r>
          </w:p>
        </w:tc>
        <w:tc>
          <w:tcPr>
            <w:tcW w:w="960" w:type="dxa"/>
            <w:noWrap/>
            <w:vAlign w:val="center"/>
            <w:hideMark/>
          </w:tcPr>
          <w:p w14:paraId="270F9DCF" w14:textId="77777777" w:rsidR="00FF764A" w:rsidRPr="00FF764A" w:rsidRDefault="00FF764A" w:rsidP="007E71E2">
            <w:pPr>
              <w:jc w:val="both"/>
              <w:rPr>
                <w:rFonts w:ascii="Arial" w:hAnsi="Arial" w:cs="Arial"/>
              </w:rPr>
            </w:pPr>
            <w:r w:rsidRPr="00FF764A">
              <w:rPr>
                <w:rFonts w:ascii="Arial" w:hAnsi="Arial" w:cs="Arial"/>
              </w:rPr>
              <w:t>23</w:t>
            </w:r>
          </w:p>
        </w:tc>
        <w:tc>
          <w:tcPr>
            <w:tcW w:w="960" w:type="dxa"/>
            <w:noWrap/>
            <w:vAlign w:val="center"/>
            <w:hideMark/>
          </w:tcPr>
          <w:p w14:paraId="1D25D72F" w14:textId="77777777" w:rsidR="00FF764A" w:rsidRPr="00FF764A" w:rsidRDefault="00FF764A" w:rsidP="007E71E2">
            <w:pPr>
              <w:jc w:val="both"/>
              <w:rPr>
                <w:rFonts w:ascii="Arial" w:hAnsi="Arial" w:cs="Arial"/>
              </w:rPr>
            </w:pPr>
            <w:r w:rsidRPr="00FF764A">
              <w:rPr>
                <w:rFonts w:ascii="Arial" w:hAnsi="Arial" w:cs="Arial"/>
              </w:rPr>
              <w:t>60.53</w:t>
            </w:r>
          </w:p>
        </w:tc>
        <w:tc>
          <w:tcPr>
            <w:tcW w:w="960" w:type="dxa"/>
            <w:noWrap/>
            <w:vAlign w:val="center"/>
            <w:hideMark/>
          </w:tcPr>
          <w:p w14:paraId="4FBCD667" w14:textId="77777777" w:rsidR="00FF764A" w:rsidRPr="00FF764A" w:rsidRDefault="00FF764A" w:rsidP="007E71E2">
            <w:pPr>
              <w:jc w:val="both"/>
              <w:rPr>
                <w:rFonts w:ascii="Arial" w:hAnsi="Arial" w:cs="Arial"/>
              </w:rPr>
            </w:pPr>
            <w:r w:rsidRPr="00FF764A">
              <w:rPr>
                <w:rFonts w:ascii="Arial" w:hAnsi="Arial" w:cs="Arial"/>
              </w:rPr>
              <w:t>18</w:t>
            </w:r>
          </w:p>
        </w:tc>
        <w:tc>
          <w:tcPr>
            <w:tcW w:w="960" w:type="dxa"/>
            <w:noWrap/>
            <w:vAlign w:val="center"/>
            <w:hideMark/>
          </w:tcPr>
          <w:p w14:paraId="1A7A0D54" w14:textId="77777777" w:rsidR="00FF764A" w:rsidRPr="00FF764A" w:rsidRDefault="00FF764A" w:rsidP="007E71E2">
            <w:pPr>
              <w:jc w:val="both"/>
              <w:rPr>
                <w:rFonts w:ascii="Arial" w:hAnsi="Arial" w:cs="Arial"/>
              </w:rPr>
            </w:pPr>
            <w:r w:rsidRPr="00FF764A">
              <w:rPr>
                <w:rFonts w:ascii="Arial" w:hAnsi="Arial" w:cs="Arial"/>
              </w:rPr>
              <w:t>17.31</w:t>
            </w:r>
          </w:p>
        </w:tc>
        <w:tc>
          <w:tcPr>
            <w:tcW w:w="960" w:type="dxa"/>
            <w:noWrap/>
            <w:vAlign w:val="center"/>
            <w:hideMark/>
          </w:tcPr>
          <w:p w14:paraId="575E162C" w14:textId="77777777" w:rsidR="00FF764A" w:rsidRPr="00FF764A" w:rsidRDefault="00FF764A" w:rsidP="007E71E2">
            <w:pPr>
              <w:jc w:val="both"/>
              <w:rPr>
                <w:rFonts w:ascii="Arial" w:hAnsi="Arial" w:cs="Arial"/>
              </w:rPr>
            </w:pPr>
            <w:r w:rsidRPr="00FF764A">
              <w:rPr>
                <w:rFonts w:ascii="Arial" w:hAnsi="Arial" w:cs="Arial"/>
              </w:rPr>
              <w:t>0</w:t>
            </w:r>
          </w:p>
        </w:tc>
        <w:tc>
          <w:tcPr>
            <w:tcW w:w="960" w:type="dxa"/>
            <w:noWrap/>
            <w:vAlign w:val="center"/>
            <w:hideMark/>
          </w:tcPr>
          <w:p w14:paraId="4F857AD6" w14:textId="77777777" w:rsidR="00FF764A" w:rsidRPr="00FF764A" w:rsidRDefault="00FF764A" w:rsidP="007E71E2">
            <w:pPr>
              <w:jc w:val="both"/>
              <w:rPr>
                <w:rFonts w:ascii="Arial" w:hAnsi="Arial" w:cs="Arial"/>
              </w:rPr>
            </w:pPr>
            <w:r w:rsidRPr="00FF764A">
              <w:rPr>
                <w:rFonts w:ascii="Arial" w:hAnsi="Arial" w:cs="Arial"/>
              </w:rPr>
              <w:t>0.00</w:t>
            </w:r>
          </w:p>
        </w:tc>
      </w:tr>
      <w:tr w:rsidR="00FF764A" w:rsidRPr="00FF764A" w14:paraId="3406C76F" w14:textId="77777777" w:rsidTr="00FF764A">
        <w:trPr>
          <w:trHeight w:val="480"/>
        </w:trPr>
        <w:tc>
          <w:tcPr>
            <w:tcW w:w="1300" w:type="dxa"/>
            <w:vAlign w:val="center"/>
            <w:hideMark/>
          </w:tcPr>
          <w:p w14:paraId="2903EE79" w14:textId="77777777" w:rsidR="00FF764A" w:rsidRPr="00FF764A" w:rsidRDefault="00FF764A" w:rsidP="007E71E2">
            <w:pPr>
              <w:jc w:val="both"/>
              <w:rPr>
                <w:rFonts w:ascii="Arial" w:hAnsi="Arial" w:cs="Arial"/>
              </w:rPr>
            </w:pPr>
            <w:r w:rsidRPr="00FF764A">
              <w:rPr>
                <w:rFonts w:ascii="Arial" w:hAnsi="Arial" w:cs="Arial"/>
              </w:rPr>
              <w:t>Between 2016-2020</w:t>
            </w:r>
          </w:p>
        </w:tc>
        <w:tc>
          <w:tcPr>
            <w:tcW w:w="960" w:type="dxa"/>
            <w:noWrap/>
            <w:vAlign w:val="center"/>
            <w:hideMark/>
          </w:tcPr>
          <w:p w14:paraId="16E05088" w14:textId="77777777" w:rsidR="00FF764A" w:rsidRPr="00FF764A" w:rsidRDefault="00FF764A" w:rsidP="007E71E2">
            <w:pPr>
              <w:jc w:val="both"/>
              <w:rPr>
                <w:rFonts w:ascii="Arial" w:hAnsi="Arial" w:cs="Arial"/>
              </w:rPr>
            </w:pPr>
            <w:r w:rsidRPr="00FF764A">
              <w:rPr>
                <w:rFonts w:ascii="Arial" w:hAnsi="Arial" w:cs="Arial"/>
              </w:rPr>
              <w:t>45</w:t>
            </w:r>
          </w:p>
        </w:tc>
        <w:tc>
          <w:tcPr>
            <w:tcW w:w="960" w:type="dxa"/>
            <w:noWrap/>
            <w:vAlign w:val="center"/>
            <w:hideMark/>
          </w:tcPr>
          <w:p w14:paraId="367E2A34" w14:textId="77777777" w:rsidR="00FF764A" w:rsidRPr="00FF764A" w:rsidRDefault="00FF764A" w:rsidP="007E71E2">
            <w:pPr>
              <w:jc w:val="both"/>
              <w:rPr>
                <w:rFonts w:ascii="Arial" w:hAnsi="Arial" w:cs="Arial"/>
              </w:rPr>
            </w:pPr>
            <w:r w:rsidRPr="00FF764A">
              <w:rPr>
                <w:rFonts w:ascii="Arial" w:hAnsi="Arial" w:cs="Arial"/>
              </w:rPr>
              <w:t>42.45</w:t>
            </w:r>
          </w:p>
        </w:tc>
        <w:tc>
          <w:tcPr>
            <w:tcW w:w="960" w:type="dxa"/>
            <w:noWrap/>
            <w:vAlign w:val="center"/>
            <w:hideMark/>
          </w:tcPr>
          <w:p w14:paraId="2125DA98" w14:textId="77777777" w:rsidR="00FF764A" w:rsidRPr="00FF764A" w:rsidRDefault="00FF764A" w:rsidP="007E71E2">
            <w:pPr>
              <w:jc w:val="both"/>
              <w:rPr>
                <w:rFonts w:ascii="Arial" w:hAnsi="Arial" w:cs="Arial"/>
              </w:rPr>
            </w:pPr>
            <w:r w:rsidRPr="00FF764A">
              <w:rPr>
                <w:rFonts w:ascii="Arial" w:hAnsi="Arial" w:cs="Arial"/>
              </w:rPr>
              <w:t>15</w:t>
            </w:r>
          </w:p>
        </w:tc>
        <w:tc>
          <w:tcPr>
            <w:tcW w:w="960" w:type="dxa"/>
            <w:noWrap/>
            <w:vAlign w:val="center"/>
            <w:hideMark/>
          </w:tcPr>
          <w:p w14:paraId="443FBA8E" w14:textId="77777777" w:rsidR="00FF764A" w:rsidRPr="00FF764A" w:rsidRDefault="00FF764A" w:rsidP="007E71E2">
            <w:pPr>
              <w:jc w:val="both"/>
              <w:rPr>
                <w:rFonts w:ascii="Arial" w:hAnsi="Arial" w:cs="Arial"/>
              </w:rPr>
            </w:pPr>
            <w:r w:rsidRPr="00FF764A">
              <w:rPr>
                <w:rFonts w:ascii="Arial" w:hAnsi="Arial" w:cs="Arial"/>
              </w:rPr>
              <w:t>39.47</w:t>
            </w:r>
          </w:p>
        </w:tc>
        <w:tc>
          <w:tcPr>
            <w:tcW w:w="960" w:type="dxa"/>
            <w:noWrap/>
            <w:vAlign w:val="center"/>
            <w:hideMark/>
          </w:tcPr>
          <w:p w14:paraId="5BE4C269" w14:textId="77777777" w:rsidR="00FF764A" w:rsidRPr="00FF764A" w:rsidRDefault="00FF764A" w:rsidP="007E71E2">
            <w:pPr>
              <w:jc w:val="both"/>
              <w:rPr>
                <w:rFonts w:ascii="Arial" w:hAnsi="Arial" w:cs="Arial"/>
              </w:rPr>
            </w:pPr>
            <w:r w:rsidRPr="00FF764A">
              <w:rPr>
                <w:rFonts w:ascii="Arial" w:hAnsi="Arial" w:cs="Arial"/>
              </w:rPr>
              <w:t>41</w:t>
            </w:r>
          </w:p>
        </w:tc>
        <w:tc>
          <w:tcPr>
            <w:tcW w:w="960" w:type="dxa"/>
            <w:noWrap/>
            <w:vAlign w:val="center"/>
            <w:hideMark/>
          </w:tcPr>
          <w:p w14:paraId="72031467" w14:textId="77777777" w:rsidR="00FF764A" w:rsidRPr="00FF764A" w:rsidRDefault="00FF764A" w:rsidP="007E71E2">
            <w:pPr>
              <w:jc w:val="both"/>
              <w:rPr>
                <w:rFonts w:ascii="Arial" w:hAnsi="Arial" w:cs="Arial"/>
              </w:rPr>
            </w:pPr>
            <w:r w:rsidRPr="00FF764A">
              <w:rPr>
                <w:rFonts w:ascii="Arial" w:hAnsi="Arial" w:cs="Arial"/>
              </w:rPr>
              <w:t>39.42</w:t>
            </w:r>
          </w:p>
        </w:tc>
        <w:tc>
          <w:tcPr>
            <w:tcW w:w="960" w:type="dxa"/>
            <w:noWrap/>
            <w:vAlign w:val="center"/>
            <w:hideMark/>
          </w:tcPr>
          <w:p w14:paraId="7B32A096" w14:textId="77777777" w:rsidR="00FF764A" w:rsidRPr="00FF764A" w:rsidRDefault="00FF764A" w:rsidP="007E71E2">
            <w:pPr>
              <w:jc w:val="both"/>
              <w:rPr>
                <w:rFonts w:ascii="Arial" w:hAnsi="Arial" w:cs="Arial"/>
              </w:rPr>
            </w:pPr>
            <w:r w:rsidRPr="00FF764A">
              <w:rPr>
                <w:rFonts w:ascii="Arial" w:hAnsi="Arial" w:cs="Arial"/>
              </w:rPr>
              <w:t>0</w:t>
            </w:r>
          </w:p>
        </w:tc>
        <w:tc>
          <w:tcPr>
            <w:tcW w:w="960" w:type="dxa"/>
            <w:noWrap/>
            <w:vAlign w:val="center"/>
            <w:hideMark/>
          </w:tcPr>
          <w:p w14:paraId="60478D5B" w14:textId="77777777" w:rsidR="00FF764A" w:rsidRPr="00FF764A" w:rsidRDefault="00FF764A" w:rsidP="007E71E2">
            <w:pPr>
              <w:jc w:val="both"/>
              <w:rPr>
                <w:rFonts w:ascii="Arial" w:hAnsi="Arial" w:cs="Arial"/>
              </w:rPr>
            </w:pPr>
            <w:r w:rsidRPr="00FF764A">
              <w:rPr>
                <w:rFonts w:ascii="Arial" w:hAnsi="Arial" w:cs="Arial"/>
              </w:rPr>
              <w:t>0.00</w:t>
            </w:r>
          </w:p>
        </w:tc>
      </w:tr>
      <w:tr w:rsidR="00FF764A" w:rsidRPr="00FF764A" w14:paraId="6B6F0307" w14:textId="77777777" w:rsidTr="00FF764A">
        <w:trPr>
          <w:trHeight w:val="480"/>
        </w:trPr>
        <w:tc>
          <w:tcPr>
            <w:tcW w:w="1300" w:type="dxa"/>
            <w:vAlign w:val="center"/>
            <w:hideMark/>
          </w:tcPr>
          <w:p w14:paraId="031DABF8" w14:textId="77777777" w:rsidR="00FF764A" w:rsidRPr="00FF764A" w:rsidRDefault="00FF764A" w:rsidP="007E71E2">
            <w:pPr>
              <w:jc w:val="both"/>
              <w:rPr>
                <w:rFonts w:ascii="Arial" w:hAnsi="Arial" w:cs="Arial"/>
              </w:rPr>
            </w:pPr>
            <w:r w:rsidRPr="00FF764A">
              <w:rPr>
                <w:rFonts w:ascii="Arial" w:hAnsi="Arial" w:cs="Arial"/>
              </w:rPr>
              <w:t>Between 2021-2024</w:t>
            </w:r>
          </w:p>
        </w:tc>
        <w:tc>
          <w:tcPr>
            <w:tcW w:w="960" w:type="dxa"/>
            <w:noWrap/>
            <w:vAlign w:val="center"/>
            <w:hideMark/>
          </w:tcPr>
          <w:p w14:paraId="245AF6E1" w14:textId="77777777" w:rsidR="00FF764A" w:rsidRPr="00FF764A" w:rsidRDefault="00FF764A" w:rsidP="007E71E2">
            <w:pPr>
              <w:jc w:val="both"/>
              <w:rPr>
                <w:rFonts w:ascii="Arial" w:hAnsi="Arial" w:cs="Arial"/>
              </w:rPr>
            </w:pPr>
            <w:r w:rsidRPr="00FF764A">
              <w:rPr>
                <w:rFonts w:ascii="Arial" w:hAnsi="Arial" w:cs="Arial"/>
              </w:rPr>
              <w:t>7</w:t>
            </w:r>
          </w:p>
        </w:tc>
        <w:tc>
          <w:tcPr>
            <w:tcW w:w="960" w:type="dxa"/>
            <w:noWrap/>
            <w:vAlign w:val="center"/>
            <w:hideMark/>
          </w:tcPr>
          <w:p w14:paraId="50BDC88B" w14:textId="77777777" w:rsidR="00FF764A" w:rsidRPr="00FF764A" w:rsidRDefault="00FF764A" w:rsidP="007E71E2">
            <w:pPr>
              <w:jc w:val="both"/>
              <w:rPr>
                <w:rFonts w:ascii="Arial" w:hAnsi="Arial" w:cs="Arial"/>
              </w:rPr>
            </w:pPr>
            <w:r w:rsidRPr="00FF764A">
              <w:rPr>
                <w:rFonts w:ascii="Arial" w:hAnsi="Arial" w:cs="Arial"/>
              </w:rPr>
              <w:t>6.60</w:t>
            </w:r>
          </w:p>
        </w:tc>
        <w:tc>
          <w:tcPr>
            <w:tcW w:w="960" w:type="dxa"/>
            <w:noWrap/>
            <w:vAlign w:val="center"/>
            <w:hideMark/>
          </w:tcPr>
          <w:p w14:paraId="1BC34CD2" w14:textId="77777777" w:rsidR="00FF764A" w:rsidRPr="00FF764A" w:rsidRDefault="00FF764A" w:rsidP="007E71E2">
            <w:pPr>
              <w:jc w:val="both"/>
              <w:rPr>
                <w:rFonts w:ascii="Arial" w:hAnsi="Arial" w:cs="Arial"/>
              </w:rPr>
            </w:pPr>
            <w:r w:rsidRPr="00FF764A">
              <w:rPr>
                <w:rFonts w:ascii="Arial" w:hAnsi="Arial" w:cs="Arial"/>
              </w:rPr>
              <w:t>0</w:t>
            </w:r>
          </w:p>
        </w:tc>
        <w:tc>
          <w:tcPr>
            <w:tcW w:w="960" w:type="dxa"/>
            <w:noWrap/>
            <w:vAlign w:val="center"/>
            <w:hideMark/>
          </w:tcPr>
          <w:p w14:paraId="2E66E357" w14:textId="77777777" w:rsidR="00FF764A" w:rsidRPr="00FF764A" w:rsidRDefault="00FF764A" w:rsidP="007E71E2">
            <w:pPr>
              <w:jc w:val="both"/>
              <w:rPr>
                <w:rFonts w:ascii="Arial" w:hAnsi="Arial" w:cs="Arial"/>
              </w:rPr>
            </w:pPr>
            <w:r w:rsidRPr="00FF764A">
              <w:rPr>
                <w:rFonts w:ascii="Arial" w:hAnsi="Arial" w:cs="Arial"/>
              </w:rPr>
              <w:t>0.00</w:t>
            </w:r>
          </w:p>
        </w:tc>
        <w:tc>
          <w:tcPr>
            <w:tcW w:w="960" w:type="dxa"/>
            <w:noWrap/>
            <w:vAlign w:val="center"/>
            <w:hideMark/>
          </w:tcPr>
          <w:p w14:paraId="3C2C4C49" w14:textId="77777777" w:rsidR="00FF764A" w:rsidRPr="00FF764A" w:rsidRDefault="00FF764A" w:rsidP="007E71E2">
            <w:pPr>
              <w:jc w:val="both"/>
              <w:rPr>
                <w:rFonts w:ascii="Arial" w:hAnsi="Arial" w:cs="Arial"/>
              </w:rPr>
            </w:pPr>
            <w:r w:rsidRPr="00FF764A">
              <w:rPr>
                <w:rFonts w:ascii="Arial" w:hAnsi="Arial" w:cs="Arial"/>
              </w:rPr>
              <w:t>26</w:t>
            </w:r>
          </w:p>
        </w:tc>
        <w:tc>
          <w:tcPr>
            <w:tcW w:w="960" w:type="dxa"/>
            <w:noWrap/>
            <w:vAlign w:val="center"/>
            <w:hideMark/>
          </w:tcPr>
          <w:p w14:paraId="0A775188" w14:textId="77777777" w:rsidR="00FF764A" w:rsidRPr="00FF764A" w:rsidRDefault="00FF764A" w:rsidP="007E71E2">
            <w:pPr>
              <w:jc w:val="both"/>
              <w:rPr>
                <w:rFonts w:ascii="Arial" w:hAnsi="Arial" w:cs="Arial"/>
              </w:rPr>
            </w:pPr>
            <w:r w:rsidRPr="00FF764A">
              <w:rPr>
                <w:rFonts w:ascii="Arial" w:hAnsi="Arial" w:cs="Arial"/>
              </w:rPr>
              <w:t>25.00</w:t>
            </w:r>
          </w:p>
        </w:tc>
        <w:tc>
          <w:tcPr>
            <w:tcW w:w="960" w:type="dxa"/>
            <w:noWrap/>
            <w:vAlign w:val="center"/>
            <w:hideMark/>
          </w:tcPr>
          <w:p w14:paraId="1E7F8D0C" w14:textId="77777777" w:rsidR="00FF764A" w:rsidRPr="00FF764A" w:rsidRDefault="00FF764A" w:rsidP="007E71E2">
            <w:pPr>
              <w:jc w:val="both"/>
              <w:rPr>
                <w:rFonts w:ascii="Arial" w:hAnsi="Arial" w:cs="Arial"/>
              </w:rPr>
            </w:pPr>
            <w:r w:rsidRPr="00FF764A">
              <w:rPr>
                <w:rFonts w:ascii="Arial" w:hAnsi="Arial" w:cs="Arial"/>
              </w:rPr>
              <w:t>0</w:t>
            </w:r>
          </w:p>
        </w:tc>
        <w:tc>
          <w:tcPr>
            <w:tcW w:w="960" w:type="dxa"/>
            <w:noWrap/>
            <w:vAlign w:val="center"/>
            <w:hideMark/>
          </w:tcPr>
          <w:p w14:paraId="1E52D982" w14:textId="77777777" w:rsidR="00FF764A" w:rsidRPr="00FF764A" w:rsidRDefault="00FF764A" w:rsidP="007E71E2">
            <w:pPr>
              <w:jc w:val="both"/>
              <w:rPr>
                <w:rFonts w:ascii="Arial" w:hAnsi="Arial" w:cs="Arial"/>
              </w:rPr>
            </w:pPr>
            <w:r w:rsidRPr="00FF764A">
              <w:rPr>
                <w:rFonts w:ascii="Arial" w:hAnsi="Arial" w:cs="Arial"/>
              </w:rPr>
              <w:t>0.00</w:t>
            </w:r>
          </w:p>
        </w:tc>
      </w:tr>
      <w:tr w:rsidR="00FF764A" w:rsidRPr="00FF764A" w14:paraId="641E7068" w14:textId="77777777" w:rsidTr="00FF764A">
        <w:trPr>
          <w:trHeight w:val="255"/>
        </w:trPr>
        <w:tc>
          <w:tcPr>
            <w:tcW w:w="1300" w:type="dxa"/>
            <w:vAlign w:val="center"/>
            <w:hideMark/>
          </w:tcPr>
          <w:p w14:paraId="1CD4033B" w14:textId="77777777" w:rsidR="00FF764A" w:rsidRPr="00FF764A" w:rsidRDefault="00FF764A" w:rsidP="007E71E2">
            <w:pPr>
              <w:jc w:val="both"/>
              <w:rPr>
                <w:rFonts w:ascii="Arial" w:hAnsi="Arial" w:cs="Arial"/>
              </w:rPr>
            </w:pPr>
            <w:r w:rsidRPr="00FF764A">
              <w:rPr>
                <w:rFonts w:ascii="Arial" w:hAnsi="Arial" w:cs="Arial"/>
              </w:rPr>
              <w:t>Don't know</w:t>
            </w:r>
          </w:p>
        </w:tc>
        <w:tc>
          <w:tcPr>
            <w:tcW w:w="960" w:type="dxa"/>
            <w:noWrap/>
            <w:vAlign w:val="center"/>
            <w:hideMark/>
          </w:tcPr>
          <w:p w14:paraId="0C8CA044" w14:textId="77777777" w:rsidR="00FF764A" w:rsidRPr="00FF764A" w:rsidRDefault="00FF764A" w:rsidP="007E71E2">
            <w:pPr>
              <w:jc w:val="both"/>
              <w:rPr>
                <w:rFonts w:ascii="Arial" w:hAnsi="Arial" w:cs="Arial"/>
              </w:rPr>
            </w:pPr>
            <w:r w:rsidRPr="00FF764A">
              <w:rPr>
                <w:rFonts w:ascii="Arial" w:hAnsi="Arial" w:cs="Arial"/>
              </w:rPr>
              <w:t>27</w:t>
            </w:r>
          </w:p>
        </w:tc>
        <w:tc>
          <w:tcPr>
            <w:tcW w:w="960" w:type="dxa"/>
            <w:noWrap/>
            <w:vAlign w:val="center"/>
            <w:hideMark/>
          </w:tcPr>
          <w:p w14:paraId="09ECFC2A" w14:textId="77777777" w:rsidR="00FF764A" w:rsidRPr="00FF764A" w:rsidRDefault="00FF764A" w:rsidP="007E71E2">
            <w:pPr>
              <w:jc w:val="both"/>
              <w:rPr>
                <w:rFonts w:ascii="Arial" w:hAnsi="Arial" w:cs="Arial"/>
              </w:rPr>
            </w:pPr>
            <w:r w:rsidRPr="00FF764A">
              <w:rPr>
                <w:rFonts w:ascii="Arial" w:hAnsi="Arial" w:cs="Arial"/>
              </w:rPr>
              <w:t>25.47</w:t>
            </w:r>
          </w:p>
        </w:tc>
        <w:tc>
          <w:tcPr>
            <w:tcW w:w="960" w:type="dxa"/>
            <w:noWrap/>
            <w:vAlign w:val="center"/>
            <w:hideMark/>
          </w:tcPr>
          <w:p w14:paraId="63929838" w14:textId="77777777" w:rsidR="00FF764A" w:rsidRPr="00FF764A" w:rsidRDefault="00FF764A" w:rsidP="007E71E2">
            <w:pPr>
              <w:jc w:val="both"/>
              <w:rPr>
                <w:rFonts w:ascii="Arial" w:hAnsi="Arial" w:cs="Arial"/>
              </w:rPr>
            </w:pPr>
            <w:r w:rsidRPr="00FF764A">
              <w:rPr>
                <w:rFonts w:ascii="Arial" w:hAnsi="Arial" w:cs="Arial"/>
              </w:rPr>
              <w:t>3</w:t>
            </w:r>
          </w:p>
        </w:tc>
        <w:tc>
          <w:tcPr>
            <w:tcW w:w="960" w:type="dxa"/>
            <w:noWrap/>
            <w:vAlign w:val="center"/>
            <w:hideMark/>
          </w:tcPr>
          <w:p w14:paraId="09E688B2" w14:textId="77777777" w:rsidR="00FF764A" w:rsidRPr="00FF764A" w:rsidRDefault="00FF764A" w:rsidP="007E71E2">
            <w:pPr>
              <w:jc w:val="both"/>
              <w:rPr>
                <w:rFonts w:ascii="Arial" w:hAnsi="Arial" w:cs="Arial"/>
              </w:rPr>
            </w:pPr>
            <w:r w:rsidRPr="00FF764A">
              <w:rPr>
                <w:rFonts w:ascii="Arial" w:hAnsi="Arial" w:cs="Arial"/>
              </w:rPr>
              <w:t>7.89</w:t>
            </w:r>
          </w:p>
        </w:tc>
        <w:tc>
          <w:tcPr>
            <w:tcW w:w="960" w:type="dxa"/>
            <w:noWrap/>
            <w:vAlign w:val="center"/>
            <w:hideMark/>
          </w:tcPr>
          <w:p w14:paraId="6C16BACD" w14:textId="77777777" w:rsidR="00FF764A" w:rsidRPr="00FF764A" w:rsidRDefault="00FF764A" w:rsidP="007E71E2">
            <w:pPr>
              <w:jc w:val="both"/>
              <w:rPr>
                <w:rFonts w:ascii="Arial" w:hAnsi="Arial" w:cs="Arial"/>
              </w:rPr>
            </w:pPr>
            <w:r w:rsidRPr="00FF764A">
              <w:rPr>
                <w:rFonts w:ascii="Arial" w:hAnsi="Arial" w:cs="Arial"/>
              </w:rPr>
              <w:t>0</w:t>
            </w:r>
          </w:p>
        </w:tc>
        <w:tc>
          <w:tcPr>
            <w:tcW w:w="960" w:type="dxa"/>
            <w:noWrap/>
            <w:vAlign w:val="center"/>
            <w:hideMark/>
          </w:tcPr>
          <w:p w14:paraId="3F0935C5" w14:textId="77777777" w:rsidR="00FF764A" w:rsidRPr="00FF764A" w:rsidRDefault="00FF764A" w:rsidP="007E71E2">
            <w:pPr>
              <w:jc w:val="both"/>
              <w:rPr>
                <w:rFonts w:ascii="Arial" w:hAnsi="Arial" w:cs="Arial"/>
              </w:rPr>
            </w:pPr>
            <w:r w:rsidRPr="00FF764A">
              <w:rPr>
                <w:rFonts w:ascii="Arial" w:hAnsi="Arial" w:cs="Arial"/>
              </w:rPr>
              <w:t>0</w:t>
            </w:r>
          </w:p>
        </w:tc>
        <w:tc>
          <w:tcPr>
            <w:tcW w:w="960" w:type="dxa"/>
            <w:noWrap/>
            <w:vAlign w:val="center"/>
            <w:hideMark/>
          </w:tcPr>
          <w:p w14:paraId="5F60A49A" w14:textId="77777777" w:rsidR="00FF764A" w:rsidRPr="00FF764A" w:rsidRDefault="00FF764A" w:rsidP="007E71E2">
            <w:pPr>
              <w:jc w:val="both"/>
              <w:rPr>
                <w:rFonts w:ascii="Arial" w:hAnsi="Arial" w:cs="Arial"/>
              </w:rPr>
            </w:pPr>
            <w:r w:rsidRPr="00FF764A">
              <w:rPr>
                <w:rFonts w:ascii="Arial" w:hAnsi="Arial" w:cs="Arial"/>
              </w:rPr>
              <w:t>7</w:t>
            </w:r>
          </w:p>
        </w:tc>
        <w:tc>
          <w:tcPr>
            <w:tcW w:w="960" w:type="dxa"/>
            <w:noWrap/>
            <w:vAlign w:val="center"/>
            <w:hideMark/>
          </w:tcPr>
          <w:p w14:paraId="19978037" w14:textId="77777777" w:rsidR="00FF764A" w:rsidRPr="00FF764A" w:rsidRDefault="00FF764A" w:rsidP="007E71E2">
            <w:pPr>
              <w:jc w:val="both"/>
              <w:rPr>
                <w:rFonts w:ascii="Arial" w:hAnsi="Arial" w:cs="Arial"/>
              </w:rPr>
            </w:pPr>
            <w:r w:rsidRPr="00FF764A">
              <w:rPr>
                <w:rFonts w:ascii="Arial" w:hAnsi="Arial" w:cs="Arial"/>
              </w:rPr>
              <w:t>29.17</w:t>
            </w:r>
          </w:p>
        </w:tc>
      </w:tr>
      <w:tr w:rsidR="00FF764A" w:rsidRPr="00FF764A" w14:paraId="798AB1A9" w14:textId="77777777" w:rsidTr="00FF764A">
        <w:trPr>
          <w:trHeight w:val="255"/>
        </w:trPr>
        <w:tc>
          <w:tcPr>
            <w:tcW w:w="1300" w:type="dxa"/>
            <w:vAlign w:val="center"/>
            <w:hideMark/>
          </w:tcPr>
          <w:p w14:paraId="7ECB28FC" w14:textId="77777777" w:rsidR="00FF764A" w:rsidRPr="00FF764A" w:rsidRDefault="00FF764A" w:rsidP="007E71E2">
            <w:pPr>
              <w:jc w:val="center"/>
              <w:rPr>
                <w:rFonts w:ascii="Arial" w:hAnsi="Arial" w:cs="Arial"/>
                <w:b/>
                <w:bCs/>
              </w:rPr>
            </w:pPr>
            <w:r w:rsidRPr="00FF764A">
              <w:rPr>
                <w:rFonts w:ascii="Arial" w:hAnsi="Arial" w:cs="Arial"/>
                <w:b/>
                <w:bCs/>
              </w:rPr>
              <w:t>Total</w:t>
            </w:r>
          </w:p>
        </w:tc>
        <w:tc>
          <w:tcPr>
            <w:tcW w:w="960" w:type="dxa"/>
            <w:noWrap/>
            <w:vAlign w:val="center"/>
            <w:hideMark/>
          </w:tcPr>
          <w:p w14:paraId="52F03844" w14:textId="77777777" w:rsidR="00FF764A" w:rsidRPr="00FF764A" w:rsidRDefault="00FF764A" w:rsidP="007E71E2">
            <w:pPr>
              <w:jc w:val="center"/>
              <w:rPr>
                <w:rFonts w:ascii="Arial" w:hAnsi="Arial" w:cs="Arial"/>
                <w:b/>
                <w:bCs/>
              </w:rPr>
            </w:pPr>
            <w:r w:rsidRPr="00FF764A">
              <w:rPr>
                <w:rFonts w:ascii="Arial" w:hAnsi="Arial" w:cs="Arial"/>
                <w:b/>
                <w:bCs/>
              </w:rPr>
              <w:t>106</w:t>
            </w:r>
          </w:p>
        </w:tc>
        <w:tc>
          <w:tcPr>
            <w:tcW w:w="960" w:type="dxa"/>
            <w:noWrap/>
            <w:vAlign w:val="center"/>
            <w:hideMark/>
          </w:tcPr>
          <w:p w14:paraId="64AB781F" w14:textId="77777777" w:rsidR="00FF764A" w:rsidRPr="00FF764A" w:rsidRDefault="00FF764A" w:rsidP="007E71E2">
            <w:pPr>
              <w:jc w:val="center"/>
              <w:rPr>
                <w:rFonts w:ascii="Arial" w:hAnsi="Arial" w:cs="Arial"/>
                <w:b/>
                <w:bCs/>
              </w:rPr>
            </w:pPr>
            <w:r w:rsidRPr="00FF764A">
              <w:rPr>
                <w:rFonts w:ascii="Arial" w:hAnsi="Arial" w:cs="Arial"/>
                <w:b/>
                <w:bCs/>
              </w:rPr>
              <w:t>100</w:t>
            </w:r>
          </w:p>
        </w:tc>
        <w:tc>
          <w:tcPr>
            <w:tcW w:w="960" w:type="dxa"/>
            <w:noWrap/>
            <w:vAlign w:val="center"/>
            <w:hideMark/>
          </w:tcPr>
          <w:p w14:paraId="212C1AED" w14:textId="77777777" w:rsidR="00FF764A" w:rsidRPr="00FF764A" w:rsidRDefault="00FF764A" w:rsidP="007E71E2">
            <w:pPr>
              <w:jc w:val="center"/>
              <w:rPr>
                <w:rFonts w:ascii="Arial" w:hAnsi="Arial" w:cs="Arial"/>
                <w:b/>
                <w:bCs/>
              </w:rPr>
            </w:pPr>
            <w:r w:rsidRPr="00FF764A">
              <w:rPr>
                <w:rFonts w:ascii="Arial" w:hAnsi="Arial" w:cs="Arial"/>
                <w:b/>
                <w:bCs/>
              </w:rPr>
              <w:t>38</w:t>
            </w:r>
          </w:p>
        </w:tc>
        <w:tc>
          <w:tcPr>
            <w:tcW w:w="960" w:type="dxa"/>
            <w:noWrap/>
            <w:vAlign w:val="center"/>
            <w:hideMark/>
          </w:tcPr>
          <w:p w14:paraId="3411AB86" w14:textId="77777777" w:rsidR="00FF764A" w:rsidRPr="00FF764A" w:rsidRDefault="00FF764A" w:rsidP="007E71E2">
            <w:pPr>
              <w:jc w:val="center"/>
              <w:rPr>
                <w:rFonts w:ascii="Arial" w:hAnsi="Arial" w:cs="Arial"/>
                <w:b/>
                <w:bCs/>
              </w:rPr>
            </w:pPr>
            <w:r w:rsidRPr="00FF764A">
              <w:rPr>
                <w:rFonts w:ascii="Arial" w:hAnsi="Arial" w:cs="Arial"/>
                <w:b/>
                <w:bCs/>
              </w:rPr>
              <w:t>100</w:t>
            </w:r>
          </w:p>
        </w:tc>
        <w:tc>
          <w:tcPr>
            <w:tcW w:w="960" w:type="dxa"/>
            <w:noWrap/>
            <w:vAlign w:val="center"/>
            <w:hideMark/>
          </w:tcPr>
          <w:p w14:paraId="24EDFAB7" w14:textId="77777777" w:rsidR="00FF764A" w:rsidRPr="00FF764A" w:rsidRDefault="00FF764A" w:rsidP="007E71E2">
            <w:pPr>
              <w:jc w:val="center"/>
              <w:rPr>
                <w:rFonts w:ascii="Arial" w:hAnsi="Arial" w:cs="Arial"/>
                <w:b/>
                <w:bCs/>
              </w:rPr>
            </w:pPr>
            <w:r w:rsidRPr="00FF764A">
              <w:rPr>
                <w:rFonts w:ascii="Arial" w:hAnsi="Arial" w:cs="Arial"/>
                <w:b/>
                <w:bCs/>
              </w:rPr>
              <w:t>104</w:t>
            </w:r>
          </w:p>
        </w:tc>
        <w:tc>
          <w:tcPr>
            <w:tcW w:w="960" w:type="dxa"/>
            <w:noWrap/>
            <w:vAlign w:val="center"/>
            <w:hideMark/>
          </w:tcPr>
          <w:p w14:paraId="58B7F973" w14:textId="77777777" w:rsidR="00FF764A" w:rsidRPr="00FF764A" w:rsidRDefault="00FF764A" w:rsidP="007E71E2">
            <w:pPr>
              <w:jc w:val="center"/>
              <w:rPr>
                <w:rFonts w:ascii="Arial" w:hAnsi="Arial" w:cs="Arial"/>
                <w:b/>
                <w:bCs/>
              </w:rPr>
            </w:pPr>
            <w:r w:rsidRPr="00FF764A">
              <w:rPr>
                <w:rFonts w:ascii="Arial" w:hAnsi="Arial" w:cs="Arial"/>
                <w:b/>
                <w:bCs/>
              </w:rPr>
              <w:t>100</w:t>
            </w:r>
          </w:p>
        </w:tc>
        <w:tc>
          <w:tcPr>
            <w:tcW w:w="960" w:type="dxa"/>
            <w:noWrap/>
            <w:vAlign w:val="center"/>
            <w:hideMark/>
          </w:tcPr>
          <w:p w14:paraId="24E988BF" w14:textId="77777777" w:rsidR="00FF764A" w:rsidRPr="00FF764A" w:rsidRDefault="00FF764A" w:rsidP="007E71E2">
            <w:pPr>
              <w:jc w:val="center"/>
              <w:rPr>
                <w:rFonts w:ascii="Arial" w:hAnsi="Arial" w:cs="Arial"/>
                <w:b/>
                <w:bCs/>
              </w:rPr>
            </w:pPr>
            <w:r w:rsidRPr="00FF764A">
              <w:rPr>
                <w:rFonts w:ascii="Arial" w:hAnsi="Arial" w:cs="Arial"/>
                <w:b/>
                <w:bCs/>
              </w:rPr>
              <w:t>24</w:t>
            </w:r>
          </w:p>
        </w:tc>
        <w:tc>
          <w:tcPr>
            <w:tcW w:w="960" w:type="dxa"/>
            <w:noWrap/>
            <w:vAlign w:val="center"/>
            <w:hideMark/>
          </w:tcPr>
          <w:p w14:paraId="2E2FC44E" w14:textId="77777777" w:rsidR="00FF764A" w:rsidRPr="00FF764A" w:rsidRDefault="00FF764A" w:rsidP="007E71E2">
            <w:pPr>
              <w:jc w:val="center"/>
              <w:rPr>
                <w:rFonts w:ascii="Arial" w:hAnsi="Arial" w:cs="Arial"/>
                <w:b/>
                <w:bCs/>
              </w:rPr>
            </w:pPr>
            <w:r w:rsidRPr="00FF764A">
              <w:rPr>
                <w:rFonts w:ascii="Arial" w:hAnsi="Arial" w:cs="Arial"/>
                <w:b/>
                <w:bCs/>
              </w:rPr>
              <w:t>100</w:t>
            </w:r>
          </w:p>
        </w:tc>
      </w:tr>
    </w:tbl>
    <w:p w14:paraId="58CE8B9E" w14:textId="77777777" w:rsidR="00FF764A" w:rsidRDefault="00FF764A" w:rsidP="00FF764A">
      <w:pPr>
        <w:pStyle w:val="Body"/>
        <w:spacing w:after="0"/>
        <w:jc w:val="center"/>
        <w:rPr>
          <w:rFonts w:ascii="Arial" w:hAnsi="Arial" w:cs="Arial"/>
        </w:rPr>
      </w:pPr>
      <w:r w:rsidRPr="00FF764A">
        <w:rPr>
          <w:rFonts w:ascii="Arial" w:hAnsi="Arial" w:cs="Arial"/>
        </w:rPr>
        <w:t>Source: Fieldwork (June 2023–August 2024)</w:t>
      </w:r>
    </w:p>
    <w:p w14:paraId="06CF038B" w14:textId="77777777" w:rsidR="00FF764A" w:rsidRDefault="00FF764A" w:rsidP="00FF764A">
      <w:pPr>
        <w:pStyle w:val="Body"/>
        <w:spacing w:after="0"/>
        <w:rPr>
          <w:rFonts w:ascii="Arial" w:hAnsi="Arial" w:cs="Arial"/>
        </w:rPr>
      </w:pPr>
      <w:r w:rsidRPr="00FF764A">
        <w:rPr>
          <w:rFonts w:ascii="Arial" w:hAnsi="Arial" w:cs="Arial"/>
        </w:rPr>
        <w:lastRenderedPageBreak/>
        <w:t>The analysis reveals transformations in stakeholder approaches across different time periods, reflecting evolving of effective housing governance strategies and changing contextual conditions. Before 2010, the dominant strategy was prescribing building materials and costs for new constructions (70.83%), reflecting a more advisory and facilitative approach to housing standards enforcement, with limited emphasis on strict supervision (14.15%) and no reported demolitions of substandard structures. Between 2010-2015, a dramatic policy shift occurred toward more assertive enforcement approaches, with demolition of substandard housing peaking at 60.53% of actions, indicating significant commitment to direct intervention and quality control, while implementation of heavy fines and sanctions remained relatively stable at 17.31% and strict supervision decreased to 11.32%. The period 2016-2020 marked another significant evolution, with strict supervision of building construction becoming the dominant approach at 42.45%, reflecting emphasis on preventive oversight rather than reactive demolition, while demolition activities decreased to 39.47% and heavy fines and sanctions increased to 39.42%, suggesting a more balanced approach combining prevention with enforcement. From 2021-2024, implementation of heavy fines and sanctions emerged as the primary strategy (25.00%), with strict supervision declining to 6.60% and no demolition activities reported, suggesting either improved compliance, reduced enforcement capacity, or policy emphasis on financial penalties as the preferred enforcement mechanism. The complete absence of material and cost prescription strategies in recent years reflects their perceived ineffectiveness in contexts where residents construct housing based on available resources rather than recommended standards, influenced by widespread poverty and the proliferation of informal settlements.</w:t>
      </w:r>
    </w:p>
    <w:p w14:paraId="4EC7A87D" w14:textId="77777777" w:rsidR="00FF764A" w:rsidRDefault="00FF764A" w:rsidP="00FF764A">
      <w:pPr>
        <w:pStyle w:val="Body"/>
        <w:spacing w:after="0"/>
        <w:rPr>
          <w:rFonts w:ascii="Arial" w:hAnsi="Arial" w:cs="Arial"/>
        </w:rPr>
      </w:pPr>
    </w:p>
    <w:p w14:paraId="5C9797B4" w14:textId="77777777" w:rsidR="00FF764A" w:rsidRPr="00D34594" w:rsidRDefault="00FF764A" w:rsidP="00FF764A">
      <w:pPr>
        <w:pStyle w:val="Body"/>
        <w:spacing w:after="0"/>
        <w:rPr>
          <w:rFonts w:ascii="Arial" w:hAnsi="Arial" w:cs="Arial"/>
          <w:b/>
        </w:rPr>
      </w:pPr>
      <w:r w:rsidRPr="00D34594">
        <w:rPr>
          <w:rFonts w:ascii="Arial" w:hAnsi="Arial" w:cs="Arial"/>
          <w:b/>
        </w:rPr>
        <w:t>3.6 Success Rates of the Stakeholders Actions</w:t>
      </w:r>
    </w:p>
    <w:p w14:paraId="3EA3BB7E" w14:textId="77777777" w:rsidR="00FF764A" w:rsidRDefault="00FF764A" w:rsidP="00441B6F">
      <w:pPr>
        <w:pStyle w:val="Body"/>
        <w:spacing w:after="0"/>
        <w:rPr>
          <w:rFonts w:ascii="Arial" w:hAnsi="Arial" w:cs="Arial"/>
        </w:rPr>
      </w:pPr>
    </w:p>
    <w:p w14:paraId="2A5CA837" w14:textId="77777777" w:rsidR="00FF764A" w:rsidRDefault="00FF764A" w:rsidP="00441B6F">
      <w:pPr>
        <w:pStyle w:val="Body"/>
        <w:spacing w:after="0"/>
        <w:rPr>
          <w:rFonts w:ascii="Arial" w:hAnsi="Arial" w:cs="Arial"/>
        </w:rPr>
      </w:pPr>
      <w:r w:rsidRPr="00FF764A">
        <w:rPr>
          <w:rFonts w:ascii="Arial" w:hAnsi="Arial" w:cs="Arial"/>
        </w:rPr>
        <w:t>Evaluation of stakeholder action effectiveness reveals varying success rates across different actors and approaches. These success rates (Table 5) provide crucial insights into which stakeholder configurations and strategies are most effective in achieving housing quality improvements.</w:t>
      </w:r>
    </w:p>
    <w:p w14:paraId="3FAE1ED9" w14:textId="77777777" w:rsidR="00FF764A" w:rsidRDefault="00FF764A" w:rsidP="00441B6F">
      <w:pPr>
        <w:pStyle w:val="Body"/>
        <w:spacing w:after="0"/>
        <w:rPr>
          <w:rFonts w:ascii="Arial" w:hAnsi="Arial" w:cs="Arial"/>
        </w:rPr>
      </w:pPr>
    </w:p>
    <w:p w14:paraId="15E22EA5" w14:textId="77777777" w:rsidR="00FF764A" w:rsidRDefault="00FF764A" w:rsidP="00441B6F">
      <w:pPr>
        <w:pStyle w:val="Body"/>
        <w:spacing w:after="0"/>
        <w:rPr>
          <w:rFonts w:ascii="Arial" w:hAnsi="Arial" w:cs="Arial"/>
        </w:rPr>
      </w:pPr>
      <w:r w:rsidRPr="00FF764A">
        <w:rPr>
          <w:rFonts w:ascii="Arial" w:hAnsi="Arial" w:cs="Arial"/>
        </w:rPr>
        <w:t>Table 5: Extent of Success of Stakeholder Actions in Achieving Quality Urban Housing Standards in Bamenda</w:t>
      </w:r>
    </w:p>
    <w:tbl>
      <w:tblPr>
        <w:tblW w:w="0" w:type="auto"/>
        <w:jc w:val="center"/>
        <w:tblBorders>
          <w:top w:val="single" w:sz="4" w:space="0" w:color="auto"/>
          <w:bottom w:val="single" w:sz="4" w:space="0" w:color="auto"/>
        </w:tblBorders>
        <w:tblLook w:val="04A0" w:firstRow="1" w:lastRow="0" w:firstColumn="1" w:lastColumn="0" w:noHBand="0" w:noVBand="1"/>
      </w:tblPr>
      <w:tblGrid>
        <w:gridCol w:w="3785"/>
        <w:gridCol w:w="553"/>
        <w:gridCol w:w="720"/>
        <w:gridCol w:w="779"/>
        <w:gridCol w:w="1015"/>
        <w:gridCol w:w="682"/>
        <w:gridCol w:w="890"/>
      </w:tblGrid>
      <w:tr w:rsidR="00FF764A" w:rsidRPr="00FF764A" w14:paraId="695ED758" w14:textId="77777777" w:rsidTr="00FF764A">
        <w:trPr>
          <w:trHeight w:val="270"/>
          <w:jc w:val="center"/>
        </w:trPr>
        <w:tc>
          <w:tcPr>
            <w:tcW w:w="0" w:type="auto"/>
            <w:vMerge w:val="restart"/>
            <w:vAlign w:val="center"/>
            <w:hideMark/>
          </w:tcPr>
          <w:p w14:paraId="2124322E" w14:textId="77777777" w:rsidR="00FF764A" w:rsidRPr="00FF764A" w:rsidRDefault="00FF764A" w:rsidP="007E71E2">
            <w:pPr>
              <w:jc w:val="center"/>
              <w:rPr>
                <w:rFonts w:ascii="Arial" w:hAnsi="Arial" w:cs="Arial"/>
                <w:b/>
                <w:bCs/>
              </w:rPr>
            </w:pPr>
            <w:r w:rsidRPr="00FF764A">
              <w:rPr>
                <w:rFonts w:ascii="Arial" w:hAnsi="Arial" w:cs="Arial"/>
                <w:b/>
                <w:bCs/>
              </w:rPr>
              <w:t>Stakeholders</w:t>
            </w:r>
          </w:p>
        </w:tc>
        <w:tc>
          <w:tcPr>
            <w:tcW w:w="0" w:type="auto"/>
            <w:gridSpan w:val="6"/>
            <w:vAlign w:val="center"/>
            <w:hideMark/>
          </w:tcPr>
          <w:p w14:paraId="04A5D812" w14:textId="77777777" w:rsidR="00FF764A" w:rsidRPr="00FF764A" w:rsidRDefault="00FF764A" w:rsidP="007E71E2">
            <w:pPr>
              <w:jc w:val="center"/>
              <w:rPr>
                <w:rFonts w:ascii="Arial" w:hAnsi="Arial" w:cs="Arial"/>
                <w:b/>
                <w:bCs/>
              </w:rPr>
            </w:pPr>
            <w:r w:rsidRPr="00FF764A">
              <w:rPr>
                <w:rFonts w:ascii="Arial" w:hAnsi="Arial" w:cs="Arial"/>
                <w:b/>
                <w:bCs/>
              </w:rPr>
              <w:t>Extent of Success</w:t>
            </w:r>
          </w:p>
        </w:tc>
      </w:tr>
      <w:tr w:rsidR="00FF764A" w:rsidRPr="00FF764A" w14:paraId="54680BE7" w14:textId="77777777" w:rsidTr="00FF764A">
        <w:trPr>
          <w:trHeight w:val="255"/>
          <w:jc w:val="center"/>
        </w:trPr>
        <w:tc>
          <w:tcPr>
            <w:tcW w:w="0" w:type="auto"/>
            <w:vMerge/>
            <w:vAlign w:val="center"/>
            <w:hideMark/>
          </w:tcPr>
          <w:p w14:paraId="76783CA2" w14:textId="77777777" w:rsidR="00FF764A" w:rsidRPr="00FF764A" w:rsidRDefault="00FF764A" w:rsidP="007E71E2">
            <w:pPr>
              <w:jc w:val="center"/>
              <w:rPr>
                <w:rFonts w:ascii="Arial" w:hAnsi="Arial" w:cs="Arial"/>
                <w:b/>
                <w:bCs/>
              </w:rPr>
            </w:pPr>
          </w:p>
        </w:tc>
        <w:tc>
          <w:tcPr>
            <w:tcW w:w="0" w:type="auto"/>
            <w:gridSpan w:val="2"/>
            <w:vAlign w:val="center"/>
            <w:hideMark/>
          </w:tcPr>
          <w:p w14:paraId="7DBB01BE" w14:textId="77777777" w:rsidR="00FF764A" w:rsidRPr="00FF764A" w:rsidRDefault="00FF764A" w:rsidP="007E71E2">
            <w:pPr>
              <w:jc w:val="center"/>
              <w:rPr>
                <w:rFonts w:ascii="Arial" w:hAnsi="Arial" w:cs="Arial"/>
                <w:b/>
                <w:bCs/>
              </w:rPr>
            </w:pPr>
            <w:r w:rsidRPr="00FF764A">
              <w:rPr>
                <w:rFonts w:ascii="Arial" w:hAnsi="Arial" w:cs="Arial"/>
                <w:b/>
                <w:bCs/>
              </w:rPr>
              <w:t>Successful</w:t>
            </w:r>
          </w:p>
        </w:tc>
        <w:tc>
          <w:tcPr>
            <w:tcW w:w="0" w:type="auto"/>
            <w:gridSpan w:val="2"/>
            <w:vAlign w:val="center"/>
            <w:hideMark/>
          </w:tcPr>
          <w:p w14:paraId="0A3ECFA3" w14:textId="77777777" w:rsidR="00FF764A" w:rsidRPr="00FF764A" w:rsidRDefault="00FF764A" w:rsidP="007E71E2">
            <w:pPr>
              <w:jc w:val="center"/>
              <w:rPr>
                <w:rFonts w:ascii="Arial" w:hAnsi="Arial" w:cs="Arial"/>
                <w:b/>
                <w:bCs/>
              </w:rPr>
            </w:pPr>
            <w:r w:rsidRPr="00FF764A">
              <w:rPr>
                <w:rFonts w:ascii="Arial" w:hAnsi="Arial" w:cs="Arial"/>
                <w:b/>
                <w:bCs/>
              </w:rPr>
              <w:t>Partially successful</w:t>
            </w:r>
          </w:p>
        </w:tc>
        <w:tc>
          <w:tcPr>
            <w:tcW w:w="0" w:type="auto"/>
            <w:gridSpan w:val="2"/>
            <w:vAlign w:val="center"/>
            <w:hideMark/>
          </w:tcPr>
          <w:p w14:paraId="26B04C33" w14:textId="77777777" w:rsidR="00FF764A" w:rsidRPr="00FF764A" w:rsidRDefault="00FF764A" w:rsidP="007E71E2">
            <w:pPr>
              <w:jc w:val="center"/>
              <w:rPr>
                <w:rFonts w:ascii="Arial" w:hAnsi="Arial" w:cs="Arial"/>
                <w:b/>
                <w:bCs/>
              </w:rPr>
            </w:pPr>
            <w:r w:rsidRPr="00FF764A">
              <w:rPr>
                <w:rFonts w:ascii="Arial" w:hAnsi="Arial" w:cs="Arial"/>
                <w:b/>
                <w:bCs/>
              </w:rPr>
              <w:t>Very successful</w:t>
            </w:r>
          </w:p>
        </w:tc>
      </w:tr>
      <w:tr w:rsidR="00FF764A" w:rsidRPr="00FF764A" w14:paraId="0F000AF8" w14:textId="77777777" w:rsidTr="00FF764A">
        <w:trPr>
          <w:trHeight w:val="255"/>
          <w:jc w:val="center"/>
        </w:trPr>
        <w:tc>
          <w:tcPr>
            <w:tcW w:w="0" w:type="auto"/>
            <w:vMerge/>
            <w:vAlign w:val="center"/>
            <w:hideMark/>
          </w:tcPr>
          <w:p w14:paraId="369D92C8" w14:textId="77777777" w:rsidR="00FF764A" w:rsidRPr="00FF764A" w:rsidRDefault="00FF764A" w:rsidP="007E71E2">
            <w:pPr>
              <w:jc w:val="both"/>
              <w:rPr>
                <w:rFonts w:ascii="Arial" w:hAnsi="Arial" w:cs="Arial"/>
                <w:b/>
                <w:bCs/>
              </w:rPr>
            </w:pPr>
          </w:p>
        </w:tc>
        <w:tc>
          <w:tcPr>
            <w:tcW w:w="0" w:type="auto"/>
            <w:vAlign w:val="center"/>
            <w:hideMark/>
          </w:tcPr>
          <w:p w14:paraId="5614D1C8" w14:textId="77777777" w:rsidR="00FF764A" w:rsidRPr="00FF764A" w:rsidRDefault="00FF764A" w:rsidP="007E71E2">
            <w:pPr>
              <w:jc w:val="both"/>
              <w:rPr>
                <w:rFonts w:ascii="Arial" w:hAnsi="Arial" w:cs="Arial"/>
                <w:b/>
                <w:bCs/>
              </w:rPr>
            </w:pPr>
            <w:r w:rsidRPr="00FF764A">
              <w:rPr>
                <w:rFonts w:ascii="Arial" w:hAnsi="Arial" w:cs="Arial"/>
                <w:b/>
                <w:bCs/>
              </w:rPr>
              <w:t>F</w:t>
            </w:r>
          </w:p>
        </w:tc>
        <w:tc>
          <w:tcPr>
            <w:tcW w:w="0" w:type="auto"/>
            <w:vAlign w:val="center"/>
            <w:hideMark/>
          </w:tcPr>
          <w:p w14:paraId="77C0B84D" w14:textId="77777777" w:rsidR="00FF764A" w:rsidRPr="00FF764A" w:rsidRDefault="00FF764A" w:rsidP="007E71E2">
            <w:pPr>
              <w:jc w:val="both"/>
              <w:rPr>
                <w:rFonts w:ascii="Arial" w:hAnsi="Arial" w:cs="Arial"/>
                <w:b/>
                <w:bCs/>
              </w:rPr>
            </w:pPr>
            <w:r w:rsidRPr="00FF764A">
              <w:rPr>
                <w:rFonts w:ascii="Arial" w:hAnsi="Arial" w:cs="Arial"/>
                <w:b/>
                <w:bCs/>
              </w:rPr>
              <w:t>%</w:t>
            </w:r>
          </w:p>
        </w:tc>
        <w:tc>
          <w:tcPr>
            <w:tcW w:w="0" w:type="auto"/>
            <w:vAlign w:val="center"/>
            <w:hideMark/>
          </w:tcPr>
          <w:p w14:paraId="376B493A" w14:textId="77777777" w:rsidR="00FF764A" w:rsidRPr="00FF764A" w:rsidRDefault="00FF764A" w:rsidP="007E71E2">
            <w:pPr>
              <w:jc w:val="both"/>
              <w:rPr>
                <w:rFonts w:ascii="Arial" w:hAnsi="Arial" w:cs="Arial"/>
                <w:b/>
                <w:bCs/>
              </w:rPr>
            </w:pPr>
            <w:r w:rsidRPr="00FF764A">
              <w:rPr>
                <w:rFonts w:ascii="Arial" w:hAnsi="Arial" w:cs="Arial"/>
                <w:b/>
                <w:bCs/>
              </w:rPr>
              <w:t>F</w:t>
            </w:r>
          </w:p>
        </w:tc>
        <w:tc>
          <w:tcPr>
            <w:tcW w:w="0" w:type="auto"/>
            <w:vAlign w:val="center"/>
            <w:hideMark/>
          </w:tcPr>
          <w:p w14:paraId="29E4F53D" w14:textId="77777777" w:rsidR="00FF764A" w:rsidRPr="00FF764A" w:rsidRDefault="00FF764A" w:rsidP="007E71E2">
            <w:pPr>
              <w:jc w:val="both"/>
              <w:rPr>
                <w:rFonts w:ascii="Arial" w:hAnsi="Arial" w:cs="Arial"/>
                <w:b/>
                <w:bCs/>
              </w:rPr>
            </w:pPr>
            <w:r w:rsidRPr="00FF764A">
              <w:rPr>
                <w:rFonts w:ascii="Arial" w:hAnsi="Arial" w:cs="Arial"/>
                <w:b/>
                <w:bCs/>
              </w:rPr>
              <w:t>%</w:t>
            </w:r>
          </w:p>
        </w:tc>
        <w:tc>
          <w:tcPr>
            <w:tcW w:w="0" w:type="auto"/>
            <w:vAlign w:val="center"/>
            <w:hideMark/>
          </w:tcPr>
          <w:p w14:paraId="4FA0DD5B" w14:textId="77777777" w:rsidR="00FF764A" w:rsidRPr="00FF764A" w:rsidRDefault="00FF764A" w:rsidP="007E71E2">
            <w:pPr>
              <w:jc w:val="both"/>
              <w:rPr>
                <w:rFonts w:ascii="Arial" w:hAnsi="Arial" w:cs="Arial"/>
                <w:b/>
                <w:bCs/>
              </w:rPr>
            </w:pPr>
            <w:r w:rsidRPr="00FF764A">
              <w:rPr>
                <w:rFonts w:ascii="Arial" w:hAnsi="Arial" w:cs="Arial"/>
                <w:b/>
                <w:bCs/>
              </w:rPr>
              <w:t>F</w:t>
            </w:r>
          </w:p>
        </w:tc>
        <w:tc>
          <w:tcPr>
            <w:tcW w:w="0" w:type="auto"/>
            <w:vAlign w:val="center"/>
            <w:hideMark/>
          </w:tcPr>
          <w:p w14:paraId="6958CEBD" w14:textId="77777777" w:rsidR="00FF764A" w:rsidRPr="00FF764A" w:rsidRDefault="00FF764A" w:rsidP="007E71E2">
            <w:pPr>
              <w:jc w:val="both"/>
              <w:rPr>
                <w:rFonts w:ascii="Arial" w:hAnsi="Arial" w:cs="Arial"/>
                <w:b/>
                <w:bCs/>
              </w:rPr>
            </w:pPr>
            <w:r w:rsidRPr="00FF764A">
              <w:rPr>
                <w:rFonts w:ascii="Arial" w:hAnsi="Arial" w:cs="Arial"/>
                <w:b/>
                <w:bCs/>
              </w:rPr>
              <w:t>%</w:t>
            </w:r>
          </w:p>
        </w:tc>
      </w:tr>
      <w:tr w:rsidR="00FF764A" w:rsidRPr="00FF764A" w14:paraId="7EA9C613" w14:textId="77777777" w:rsidTr="00FF764A">
        <w:trPr>
          <w:trHeight w:val="70"/>
          <w:jc w:val="center"/>
        </w:trPr>
        <w:tc>
          <w:tcPr>
            <w:tcW w:w="0" w:type="auto"/>
            <w:vAlign w:val="center"/>
            <w:hideMark/>
          </w:tcPr>
          <w:p w14:paraId="0FB18B90" w14:textId="77777777" w:rsidR="00FF764A" w:rsidRPr="00FF764A" w:rsidRDefault="00FF764A" w:rsidP="007E71E2">
            <w:pPr>
              <w:jc w:val="both"/>
              <w:rPr>
                <w:rFonts w:ascii="Arial" w:hAnsi="Arial" w:cs="Arial"/>
              </w:rPr>
            </w:pPr>
            <w:r w:rsidRPr="00FF764A">
              <w:rPr>
                <w:rFonts w:ascii="Arial" w:hAnsi="Arial" w:cs="Arial"/>
              </w:rPr>
              <w:t>Bamenda City Council</w:t>
            </w:r>
          </w:p>
        </w:tc>
        <w:tc>
          <w:tcPr>
            <w:tcW w:w="0" w:type="auto"/>
            <w:noWrap/>
            <w:vAlign w:val="center"/>
            <w:hideMark/>
          </w:tcPr>
          <w:p w14:paraId="2943C105" w14:textId="77777777" w:rsidR="00FF764A" w:rsidRPr="00FF764A" w:rsidRDefault="00FF764A" w:rsidP="007E71E2">
            <w:pPr>
              <w:jc w:val="both"/>
              <w:rPr>
                <w:rFonts w:ascii="Arial" w:hAnsi="Arial" w:cs="Arial"/>
              </w:rPr>
            </w:pPr>
            <w:r w:rsidRPr="00FF764A">
              <w:rPr>
                <w:rFonts w:ascii="Arial" w:hAnsi="Arial" w:cs="Arial"/>
              </w:rPr>
              <w:t>57</w:t>
            </w:r>
          </w:p>
        </w:tc>
        <w:tc>
          <w:tcPr>
            <w:tcW w:w="0" w:type="auto"/>
            <w:noWrap/>
            <w:vAlign w:val="center"/>
            <w:hideMark/>
          </w:tcPr>
          <w:p w14:paraId="2750AF04" w14:textId="77777777" w:rsidR="00FF764A" w:rsidRPr="00FF764A" w:rsidRDefault="00FF764A" w:rsidP="007E71E2">
            <w:pPr>
              <w:jc w:val="both"/>
              <w:rPr>
                <w:rFonts w:ascii="Arial" w:hAnsi="Arial" w:cs="Arial"/>
              </w:rPr>
            </w:pPr>
            <w:r w:rsidRPr="00FF764A">
              <w:rPr>
                <w:rFonts w:ascii="Arial" w:hAnsi="Arial" w:cs="Arial"/>
              </w:rPr>
              <w:t>37.75</w:t>
            </w:r>
          </w:p>
        </w:tc>
        <w:tc>
          <w:tcPr>
            <w:tcW w:w="0" w:type="auto"/>
            <w:noWrap/>
            <w:vAlign w:val="center"/>
            <w:hideMark/>
          </w:tcPr>
          <w:p w14:paraId="5D56E9E5" w14:textId="77777777" w:rsidR="00FF764A" w:rsidRPr="00FF764A" w:rsidRDefault="00FF764A" w:rsidP="007E71E2">
            <w:pPr>
              <w:jc w:val="both"/>
              <w:rPr>
                <w:rFonts w:ascii="Arial" w:hAnsi="Arial" w:cs="Arial"/>
              </w:rPr>
            </w:pPr>
            <w:r w:rsidRPr="00FF764A">
              <w:rPr>
                <w:rFonts w:ascii="Arial" w:hAnsi="Arial" w:cs="Arial"/>
              </w:rPr>
              <w:t>124</w:t>
            </w:r>
          </w:p>
        </w:tc>
        <w:tc>
          <w:tcPr>
            <w:tcW w:w="0" w:type="auto"/>
            <w:noWrap/>
            <w:vAlign w:val="center"/>
            <w:hideMark/>
          </w:tcPr>
          <w:p w14:paraId="6A57CDEE" w14:textId="77777777" w:rsidR="00FF764A" w:rsidRPr="00FF764A" w:rsidRDefault="00FF764A" w:rsidP="007E71E2">
            <w:pPr>
              <w:jc w:val="both"/>
              <w:rPr>
                <w:rFonts w:ascii="Arial" w:hAnsi="Arial" w:cs="Arial"/>
              </w:rPr>
            </w:pPr>
            <w:r w:rsidRPr="00FF764A">
              <w:rPr>
                <w:rFonts w:ascii="Arial" w:hAnsi="Arial" w:cs="Arial"/>
              </w:rPr>
              <w:t>47.15</w:t>
            </w:r>
          </w:p>
        </w:tc>
        <w:tc>
          <w:tcPr>
            <w:tcW w:w="0" w:type="auto"/>
            <w:noWrap/>
            <w:vAlign w:val="center"/>
            <w:hideMark/>
          </w:tcPr>
          <w:p w14:paraId="45841833" w14:textId="77777777" w:rsidR="00FF764A" w:rsidRPr="00FF764A" w:rsidRDefault="00FF764A" w:rsidP="007E71E2">
            <w:pPr>
              <w:jc w:val="both"/>
              <w:rPr>
                <w:rFonts w:ascii="Arial" w:hAnsi="Arial" w:cs="Arial"/>
              </w:rPr>
            </w:pPr>
            <w:r w:rsidRPr="00FF764A">
              <w:rPr>
                <w:rFonts w:ascii="Arial" w:hAnsi="Arial" w:cs="Arial"/>
              </w:rPr>
              <w:t>36</w:t>
            </w:r>
          </w:p>
        </w:tc>
        <w:tc>
          <w:tcPr>
            <w:tcW w:w="0" w:type="auto"/>
            <w:noWrap/>
            <w:vAlign w:val="center"/>
            <w:hideMark/>
          </w:tcPr>
          <w:p w14:paraId="77A13637" w14:textId="77777777" w:rsidR="00FF764A" w:rsidRPr="00FF764A" w:rsidRDefault="00FF764A" w:rsidP="007E71E2">
            <w:pPr>
              <w:jc w:val="both"/>
              <w:rPr>
                <w:rFonts w:ascii="Arial" w:hAnsi="Arial" w:cs="Arial"/>
              </w:rPr>
            </w:pPr>
            <w:r w:rsidRPr="00FF764A">
              <w:rPr>
                <w:rFonts w:ascii="Arial" w:hAnsi="Arial" w:cs="Arial"/>
              </w:rPr>
              <w:t>33.96</w:t>
            </w:r>
          </w:p>
        </w:tc>
      </w:tr>
      <w:tr w:rsidR="00FF764A" w:rsidRPr="00FF764A" w14:paraId="0E04D7C8" w14:textId="77777777" w:rsidTr="00FF764A">
        <w:trPr>
          <w:trHeight w:val="70"/>
          <w:jc w:val="center"/>
        </w:trPr>
        <w:tc>
          <w:tcPr>
            <w:tcW w:w="0" w:type="auto"/>
            <w:vAlign w:val="center"/>
            <w:hideMark/>
          </w:tcPr>
          <w:p w14:paraId="5220CEE5" w14:textId="77777777" w:rsidR="00FF764A" w:rsidRPr="00FF764A" w:rsidRDefault="00FF764A" w:rsidP="007E71E2">
            <w:pPr>
              <w:jc w:val="both"/>
              <w:rPr>
                <w:rFonts w:ascii="Arial" w:hAnsi="Arial" w:cs="Arial"/>
              </w:rPr>
            </w:pPr>
            <w:r w:rsidRPr="00FF764A">
              <w:rPr>
                <w:rFonts w:ascii="Arial" w:hAnsi="Arial" w:cs="Arial"/>
              </w:rPr>
              <w:t>Bamenda Sub-Divisional Councils</w:t>
            </w:r>
          </w:p>
        </w:tc>
        <w:tc>
          <w:tcPr>
            <w:tcW w:w="0" w:type="auto"/>
            <w:noWrap/>
            <w:vAlign w:val="center"/>
            <w:hideMark/>
          </w:tcPr>
          <w:p w14:paraId="4FAE1B1B" w14:textId="77777777" w:rsidR="00FF764A" w:rsidRPr="00FF764A" w:rsidRDefault="00FF764A" w:rsidP="007E71E2">
            <w:pPr>
              <w:jc w:val="both"/>
              <w:rPr>
                <w:rFonts w:ascii="Arial" w:hAnsi="Arial" w:cs="Arial"/>
              </w:rPr>
            </w:pPr>
            <w:r w:rsidRPr="00FF764A">
              <w:rPr>
                <w:rFonts w:ascii="Arial" w:hAnsi="Arial" w:cs="Arial"/>
              </w:rPr>
              <w:t>4</w:t>
            </w:r>
          </w:p>
        </w:tc>
        <w:tc>
          <w:tcPr>
            <w:tcW w:w="0" w:type="auto"/>
            <w:noWrap/>
            <w:vAlign w:val="center"/>
            <w:hideMark/>
          </w:tcPr>
          <w:p w14:paraId="6552B492" w14:textId="77777777" w:rsidR="00FF764A" w:rsidRPr="00FF764A" w:rsidRDefault="00FF764A" w:rsidP="007E71E2">
            <w:pPr>
              <w:jc w:val="both"/>
              <w:rPr>
                <w:rFonts w:ascii="Arial" w:hAnsi="Arial" w:cs="Arial"/>
              </w:rPr>
            </w:pPr>
            <w:r w:rsidRPr="00FF764A">
              <w:rPr>
                <w:rFonts w:ascii="Arial" w:hAnsi="Arial" w:cs="Arial"/>
              </w:rPr>
              <w:t>2.65</w:t>
            </w:r>
          </w:p>
        </w:tc>
        <w:tc>
          <w:tcPr>
            <w:tcW w:w="0" w:type="auto"/>
            <w:noWrap/>
            <w:vAlign w:val="center"/>
            <w:hideMark/>
          </w:tcPr>
          <w:p w14:paraId="30E6361B" w14:textId="77777777" w:rsidR="00FF764A" w:rsidRPr="00FF764A" w:rsidRDefault="00FF764A" w:rsidP="007E71E2">
            <w:pPr>
              <w:jc w:val="both"/>
              <w:rPr>
                <w:rFonts w:ascii="Arial" w:hAnsi="Arial" w:cs="Arial"/>
              </w:rPr>
            </w:pPr>
            <w:r w:rsidRPr="00FF764A">
              <w:rPr>
                <w:rFonts w:ascii="Arial" w:hAnsi="Arial" w:cs="Arial"/>
              </w:rPr>
              <w:t>13</w:t>
            </w:r>
          </w:p>
        </w:tc>
        <w:tc>
          <w:tcPr>
            <w:tcW w:w="0" w:type="auto"/>
            <w:noWrap/>
            <w:vAlign w:val="center"/>
            <w:hideMark/>
          </w:tcPr>
          <w:p w14:paraId="0AB68753" w14:textId="77777777" w:rsidR="00FF764A" w:rsidRPr="00FF764A" w:rsidRDefault="00FF764A" w:rsidP="007E71E2">
            <w:pPr>
              <w:jc w:val="both"/>
              <w:rPr>
                <w:rFonts w:ascii="Arial" w:hAnsi="Arial" w:cs="Arial"/>
              </w:rPr>
            </w:pPr>
            <w:r w:rsidRPr="00FF764A">
              <w:rPr>
                <w:rFonts w:ascii="Arial" w:hAnsi="Arial" w:cs="Arial"/>
              </w:rPr>
              <w:t>4.94</w:t>
            </w:r>
          </w:p>
        </w:tc>
        <w:tc>
          <w:tcPr>
            <w:tcW w:w="0" w:type="auto"/>
            <w:noWrap/>
            <w:vAlign w:val="center"/>
            <w:hideMark/>
          </w:tcPr>
          <w:p w14:paraId="177222A4" w14:textId="77777777" w:rsidR="00FF764A" w:rsidRPr="00FF764A" w:rsidRDefault="00FF764A" w:rsidP="007E71E2">
            <w:pPr>
              <w:jc w:val="both"/>
              <w:rPr>
                <w:rFonts w:ascii="Arial" w:hAnsi="Arial" w:cs="Arial"/>
              </w:rPr>
            </w:pPr>
            <w:r w:rsidRPr="00FF764A">
              <w:rPr>
                <w:rFonts w:ascii="Arial" w:hAnsi="Arial" w:cs="Arial"/>
              </w:rPr>
              <w:t>3</w:t>
            </w:r>
          </w:p>
        </w:tc>
        <w:tc>
          <w:tcPr>
            <w:tcW w:w="0" w:type="auto"/>
            <w:noWrap/>
            <w:vAlign w:val="center"/>
            <w:hideMark/>
          </w:tcPr>
          <w:p w14:paraId="10A7BCDB" w14:textId="77777777" w:rsidR="00FF764A" w:rsidRPr="00FF764A" w:rsidRDefault="00FF764A" w:rsidP="007E71E2">
            <w:pPr>
              <w:jc w:val="both"/>
              <w:rPr>
                <w:rFonts w:ascii="Arial" w:hAnsi="Arial" w:cs="Arial"/>
              </w:rPr>
            </w:pPr>
            <w:r w:rsidRPr="00FF764A">
              <w:rPr>
                <w:rFonts w:ascii="Arial" w:hAnsi="Arial" w:cs="Arial"/>
              </w:rPr>
              <w:t>2.83</w:t>
            </w:r>
          </w:p>
        </w:tc>
      </w:tr>
      <w:tr w:rsidR="00FF764A" w:rsidRPr="00FF764A" w14:paraId="6BA1DFCC" w14:textId="77777777" w:rsidTr="00FF764A">
        <w:trPr>
          <w:trHeight w:val="255"/>
          <w:jc w:val="center"/>
        </w:trPr>
        <w:tc>
          <w:tcPr>
            <w:tcW w:w="0" w:type="auto"/>
            <w:vAlign w:val="center"/>
            <w:hideMark/>
          </w:tcPr>
          <w:p w14:paraId="6AD6CC4D" w14:textId="77777777" w:rsidR="00FF764A" w:rsidRPr="00FF764A" w:rsidRDefault="00FF764A" w:rsidP="007E71E2">
            <w:pPr>
              <w:jc w:val="both"/>
              <w:rPr>
                <w:rFonts w:ascii="Arial" w:hAnsi="Arial" w:cs="Arial"/>
              </w:rPr>
            </w:pPr>
            <w:r w:rsidRPr="00FF764A">
              <w:rPr>
                <w:rFonts w:ascii="Arial" w:hAnsi="Arial" w:cs="Arial"/>
              </w:rPr>
              <w:t>NGOs</w:t>
            </w:r>
          </w:p>
        </w:tc>
        <w:tc>
          <w:tcPr>
            <w:tcW w:w="0" w:type="auto"/>
            <w:noWrap/>
            <w:vAlign w:val="center"/>
            <w:hideMark/>
          </w:tcPr>
          <w:p w14:paraId="4D688C19" w14:textId="77777777" w:rsidR="00FF764A" w:rsidRPr="00FF764A" w:rsidRDefault="00FF764A" w:rsidP="007E71E2">
            <w:pPr>
              <w:jc w:val="both"/>
              <w:rPr>
                <w:rFonts w:ascii="Arial" w:hAnsi="Arial" w:cs="Arial"/>
              </w:rPr>
            </w:pPr>
            <w:r w:rsidRPr="00FF764A">
              <w:rPr>
                <w:rFonts w:ascii="Arial" w:hAnsi="Arial" w:cs="Arial"/>
              </w:rPr>
              <w:t>19</w:t>
            </w:r>
          </w:p>
        </w:tc>
        <w:tc>
          <w:tcPr>
            <w:tcW w:w="0" w:type="auto"/>
            <w:noWrap/>
            <w:vAlign w:val="center"/>
            <w:hideMark/>
          </w:tcPr>
          <w:p w14:paraId="3ED38B1A" w14:textId="77777777" w:rsidR="00FF764A" w:rsidRPr="00FF764A" w:rsidRDefault="00FF764A" w:rsidP="007E71E2">
            <w:pPr>
              <w:jc w:val="both"/>
              <w:rPr>
                <w:rFonts w:ascii="Arial" w:hAnsi="Arial" w:cs="Arial"/>
              </w:rPr>
            </w:pPr>
            <w:r w:rsidRPr="00FF764A">
              <w:rPr>
                <w:rFonts w:ascii="Arial" w:hAnsi="Arial" w:cs="Arial"/>
              </w:rPr>
              <w:t>12.58</w:t>
            </w:r>
          </w:p>
        </w:tc>
        <w:tc>
          <w:tcPr>
            <w:tcW w:w="0" w:type="auto"/>
            <w:noWrap/>
            <w:vAlign w:val="center"/>
            <w:hideMark/>
          </w:tcPr>
          <w:p w14:paraId="548C2D20" w14:textId="77777777" w:rsidR="00FF764A" w:rsidRPr="00FF764A" w:rsidRDefault="00FF764A" w:rsidP="007E71E2">
            <w:pPr>
              <w:jc w:val="both"/>
              <w:rPr>
                <w:rFonts w:ascii="Arial" w:hAnsi="Arial" w:cs="Arial"/>
              </w:rPr>
            </w:pPr>
            <w:r w:rsidRPr="00FF764A">
              <w:rPr>
                <w:rFonts w:ascii="Arial" w:hAnsi="Arial" w:cs="Arial"/>
              </w:rPr>
              <w:t>25</w:t>
            </w:r>
          </w:p>
        </w:tc>
        <w:tc>
          <w:tcPr>
            <w:tcW w:w="0" w:type="auto"/>
            <w:noWrap/>
            <w:vAlign w:val="center"/>
            <w:hideMark/>
          </w:tcPr>
          <w:p w14:paraId="20AC05CF" w14:textId="77777777" w:rsidR="00FF764A" w:rsidRPr="00FF764A" w:rsidRDefault="00FF764A" w:rsidP="007E71E2">
            <w:pPr>
              <w:jc w:val="both"/>
              <w:rPr>
                <w:rFonts w:ascii="Arial" w:hAnsi="Arial" w:cs="Arial"/>
              </w:rPr>
            </w:pPr>
            <w:r w:rsidRPr="00FF764A">
              <w:rPr>
                <w:rFonts w:ascii="Arial" w:hAnsi="Arial" w:cs="Arial"/>
              </w:rPr>
              <w:t>9.51</w:t>
            </w:r>
          </w:p>
        </w:tc>
        <w:tc>
          <w:tcPr>
            <w:tcW w:w="0" w:type="auto"/>
            <w:noWrap/>
            <w:vAlign w:val="center"/>
            <w:hideMark/>
          </w:tcPr>
          <w:p w14:paraId="0267A03C" w14:textId="77777777" w:rsidR="00FF764A" w:rsidRPr="00FF764A" w:rsidRDefault="00FF764A" w:rsidP="007E71E2">
            <w:pPr>
              <w:jc w:val="both"/>
              <w:rPr>
                <w:rFonts w:ascii="Arial" w:hAnsi="Arial" w:cs="Arial"/>
              </w:rPr>
            </w:pPr>
            <w:r w:rsidRPr="00FF764A">
              <w:rPr>
                <w:rFonts w:ascii="Arial" w:hAnsi="Arial" w:cs="Arial"/>
              </w:rPr>
              <w:t>5</w:t>
            </w:r>
          </w:p>
        </w:tc>
        <w:tc>
          <w:tcPr>
            <w:tcW w:w="0" w:type="auto"/>
            <w:noWrap/>
            <w:vAlign w:val="center"/>
            <w:hideMark/>
          </w:tcPr>
          <w:p w14:paraId="5C7ABC97" w14:textId="77777777" w:rsidR="00FF764A" w:rsidRPr="00FF764A" w:rsidRDefault="00FF764A" w:rsidP="007E71E2">
            <w:pPr>
              <w:jc w:val="both"/>
              <w:rPr>
                <w:rFonts w:ascii="Arial" w:hAnsi="Arial" w:cs="Arial"/>
              </w:rPr>
            </w:pPr>
            <w:r w:rsidRPr="00FF764A">
              <w:rPr>
                <w:rFonts w:ascii="Arial" w:hAnsi="Arial" w:cs="Arial"/>
              </w:rPr>
              <w:t>4.72</w:t>
            </w:r>
          </w:p>
        </w:tc>
      </w:tr>
      <w:tr w:rsidR="00FF764A" w:rsidRPr="00FF764A" w14:paraId="28FA503D" w14:textId="77777777" w:rsidTr="00FF764A">
        <w:trPr>
          <w:trHeight w:val="255"/>
          <w:jc w:val="center"/>
        </w:trPr>
        <w:tc>
          <w:tcPr>
            <w:tcW w:w="0" w:type="auto"/>
            <w:vAlign w:val="center"/>
            <w:hideMark/>
          </w:tcPr>
          <w:p w14:paraId="3C137804" w14:textId="77777777" w:rsidR="00FF764A" w:rsidRPr="00FF764A" w:rsidRDefault="00FF764A" w:rsidP="007E71E2">
            <w:pPr>
              <w:jc w:val="both"/>
              <w:rPr>
                <w:rFonts w:ascii="Arial" w:hAnsi="Arial" w:cs="Arial"/>
              </w:rPr>
            </w:pPr>
            <w:r w:rsidRPr="00FF764A">
              <w:rPr>
                <w:rFonts w:ascii="Arial" w:hAnsi="Arial" w:cs="Arial"/>
              </w:rPr>
              <w:t>The community</w:t>
            </w:r>
          </w:p>
        </w:tc>
        <w:tc>
          <w:tcPr>
            <w:tcW w:w="0" w:type="auto"/>
            <w:noWrap/>
            <w:vAlign w:val="center"/>
            <w:hideMark/>
          </w:tcPr>
          <w:p w14:paraId="51F0024D" w14:textId="77777777" w:rsidR="00FF764A" w:rsidRPr="00FF764A" w:rsidRDefault="00FF764A" w:rsidP="007E71E2">
            <w:pPr>
              <w:jc w:val="both"/>
              <w:rPr>
                <w:rFonts w:ascii="Arial" w:hAnsi="Arial" w:cs="Arial"/>
              </w:rPr>
            </w:pPr>
            <w:r w:rsidRPr="00FF764A">
              <w:rPr>
                <w:rFonts w:ascii="Arial" w:hAnsi="Arial" w:cs="Arial"/>
              </w:rPr>
              <w:t>15</w:t>
            </w:r>
          </w:p>
        </w:tc>
        <w:tc>
          <w:tcPr>
            <w:tcW w:w="0" w:type="auto"/>
            <w:noWrap/>
            <w:vAlign w:val="center"/>
            <w:hideMark/>
          </w:tcPr>
          <w:p w14:paraId="7F951D6F" w14:textId="77777777" w:rsidR="00FF764A" w:rsidRPr="00FF764A" w:rsidRDefault="00FF764A" w:rsidP="007E71E2">
            <w:pPr>
              <w:jc w:val="both"/>
              <w:rPr>
                <w:rFonts w:ascii="Arial" w:hAnsi="Arial" w:cs="Arial"/>
              </w:rPr>
            </w:pPr>
            <w:r w:rsidRPr="00FF764A">
              <w:rPr>
                <w:rFonts w:ascii="Arial" w:hAnsi="Arial" w:cs="Arial"/>
              </w:rPr>
              <w:t>9.93</w:t>
            </w:r>
          </w:p>
        </w:tc>
        <w:tc>
          <w:tcPr>
            <w:tcW w:w="0" w:type="auto"/>
            <w:noWrap/>
            <w:vAlign w:val="center"/>
            <w:hideMark/>
          </w:tcPr>
          <w:p w14:paraId="169726E2" w14:textId="77777777" w:rsidR="00FF764A" w:rsidRPr="00FF764A" w:rsidRDefault="00FF764A" w:rsidP="007E71E2">
            <w:pPr>
              <w:jc w:val="both"/>
              <w:rPr>
                <w:rFonts w:ascii="Arial" w:hAnsi="Arial" w:cs="Arial"/>
              </w:rPr>
            </w:pPr>
            <w:r w:rsidRPr="00FF764A">
              <w:rPr>
                <w:rFonts w:ascii="Arial" w:hAnsi="Arial" w:cs="Arial"/>
              </w:rPr>
              <w:t>30</w:t>
            </w:r>
          </w:p>
        </w:tc>
        <w:tc>
          <w:tcPr>
            <w:tcW w:w="0" w:type="auto"/>
            <w:noWrap/>
            <w:vAlign w:val="center"/>
            <w:hideMark/>
          </w:tcPr>
          <w:p w14:paraId="3FBB73CF" w14:textId="77777777" w:rsidR="00FF764A" w:rsidRPr="00FF764A" w:rsidRDefault="00FF764A" w:rsidP="007E71E2">
            <w:pPr>
              <w:jc w:val="both"/>
              <w:rPr>
                <w:rFonts w:ascii="Arial" w:hAnsi="Arial" w:cs="Arial"/>
              </w:rPr>
            </w:pPr>
            <w:r w:rsidRPr="00FF764A">
              <w:rPr>
                <w:rFonts w:ascii="Arial" w:hAnsi="Arial" w:cs="Arial"/>
              </w:rPr>
              <w:t>11.41</w:t>
            </w:r>
          </w:p>
        </w:tc>
        <w:tc>
          <w:tcPr>
            <w:tcW w:w="0" w:type="auto"/>
            <w:noWrap/>
            <w:vAlign w:val="center"/>
            <w:hideMark/>
          </w:tcPr>
          <w:p w14:paraId="15569F86" w14:textId="77777777" w:rsidR="00FF764A" w:rsidRPr="00FF764A" w:rsidRDefault="00FF764A" w:rsidP="007E71E2">
            <w:pPr>
              <w:jc w:val="both"/>
              <w:rPr>
                <w:rFonts w:ascii="Arial" w:hAnsi="Arial" w:cs="Arial"/>
              </w:rPr>
            </w:pPr>
            <w:r w:rsidRPr="00FF764A">
              <w:rPr>
                <w:rFonts w:ascii="Arial" w:hAnsi="Arial" w:cs="Arial"/>
              </w:rPr>
              <w:t>2</w:t>
            </w:r>
          </w:p>
        </w:tc>
        <w:tc>
          <w:tcPr>
            <w:tcW w:w="0" w:type="auto"/>
            <w:noWrap/>
            <w:vAlign w:val="center"/>
            <w:hideMark/>
          </w:tcPr>
          <w:p w14:paraId="37328A8F" w14:textId="77777777" w:rsidR="00FF764A" w:rsidRPr="00FF764A" w:rsidRDefault="00FF764A" w:rsidP="007E71E2">
            <w:pPr>
              <w:jc w:val="both"/>
              <w:rPr>
                <w:rFonts w:ascii="Arial" w:hAnsi="Arial" w:cs="Arial"/>
              </w:rPr>
            </w:pPr>
            <w:r w:rsidRPr="00FF764A">
              <w:rPr>
                <w:rFonts w:ascii="Arial" w:hAnsi="Arial" w:cs="Arial"/>
              </w:rPr>
              <w:t>1.89</w:t>
            </w:r>
          </w:p>
        </w:tc>
      </w:tr>
      <w:tr w:rsidR="00FF764A" w:rsidRPr="00FF764A" w14:paraId="4645A367" w14:textId="77777777" w:rsidTr="00FF764A">
        <w:trPr>
          <w:trHeight w:val="70"/>
          <w:jc w:val="center"/>
        </w:trPr>
        <w:tc>
          <w:tcPr>
            <w:tcW w:w="0" w:type="auto"/>
            <w:vAlign w:val="center"/>
            <w:hideMark/>
          </w:tcPr>
          <w:p w14:paraId="25E50828" w14:textId="77777777" w:rsidR="00FF764A" w:rsidRPr="00FF764A" w:rsidRDefault="00FF764A" w:rsidP="007E71E2">
            <w:pPr>
              <w:jc w:val="both"/>
              <w:rPr>
                <w:rFonts w:ascii="Arial" w:hAnsi="Arial" w:cs="Arial"/>
              </w:rPr>
            </w:pPr>
            <w:r w:rsidRPr="00FF764A">
              <w:rPr>
                <w:rFonts w:ascii="Arial" w:hAnsi="Arial" w:cs="Arial"/>
              </w:rPr>
              <w:t>Regional Delegation of Housing &amp; Urban Development</w:t>
            </w:r>
          </w:p>
        </w:tc>
        <w:tc>
          <w:tcPr>
            <w:tcW w:w="0" w:type="auto"/>
            <w:noWrap/>
            <w:vAlign w:val="center"/>
            <w:hideMark/>
          </w:tcPr>
          <w:p w14:paraId="5E76B1C2" w14:textId="77777777" w:rsidR="00FF764A" w:rsidRPr="00FF764A" w:rsidRDefault="00FF764A" w:rsidP="007E71E2">
            <w:pPr>
              <w:jc w:val="both"/>
              <w:rPr>
                <w:rFonts w:ascii="Arial" w:hAnsi="Arial" w:cs="Arial"/>
              </w:rPr>
            </w:pPr>
            <w:r w:rsidRPr="00FF764A">
              <w:rPr>
                <w:rFonts w:ascii="Arial" w:hAnsi="Arial" w:cs="Arial"/>
              </w:rPr>
              <w:t>34</w:t>
            </w:r>
          </w:p>
        </w:tc>
        <w:tc>
          <w:tcPr>
            <w:tcW w:w="0" w:type="auto"/>
            <w:noWrap/>
            <w:vAlign w:val="center"/>
            <w:hideMark/>
          </w:tcPr>
          <w:p w14:paraId="0A8E4768" w14:textId="77777777" w:rsidR="00FF764A" w:rsidRPr="00FF764A" w:rsidRDefault="00FF764A" w:rsidP="007E71E2">
            <w:pPr>
              <w:jc w:val="both"/>
              <w:rPr>
                <w:rFonts w:ascii="Arial" w:hAnsi="Arial" w:cs="Arial"/>
              </w:rPr>
            </w:pPr>
            <w:r w:rsidRPr="00FF764A">
              <w:rPr>
                <w:rFonts w:ascii="Arial" w:hAnsi="Arial" w:cs="Arial"/>
              </w:rPr>
              <w:t>22.52</w:t>
            </w:r>
          </w:p>
        </w:tc>
        <w:tc>
          <w:tcPr>
            <w:tcW w:w="0" w:type="auto"/>
            <w:noWrap/>
            <w:vAlign w:val="center"/>
            <w:hideMark/>
          </w:tcPr>
          <w:p w14:paraId="0F5611CA" w14:textId="77777777" w:rsidR="00FF764A" w:rsidRPr="00FF764A" w:rsidRDefault="00FF764A" w:rsidP="007E71E2">
            <w:pPr>
              <w:jc w:val="both"/>
              <w:rPr>
                <w:rFonts w:ascii="Arial" w:hAnsi="Arial" w:cs="Arial"/>
              </w:rPr>
            </w:pPr>
            <w:r w:rsidRPr="00FF764A">
              <w:rPr>
                <w:rFonts w:ascii="Arial" w:hAnsi="Arial" w:cs="Arial"/>
              </w:rPr>
              <w:t>33</w:t>
            </w:r>
          </w:p>
        </w:tc>
        <w:tc>
          <w:tcPr>
            <w:tcW w:w="0" w:type="auto"/>
            <w:noWrap/>
            <w:vAlign w:val="center"/>
            <w:hideMark/>
          </w:tcPr>
          <w:p w14:paraId="73F51DEA" w14:textId="77777777" w:rsidR="00FF764A" w:rsidRPr="00FF764A" w:rsidRDefault="00FF764A" w:rsidP="007E71E2">
            <w:pPr>
              <w:jc w:val="both"/>
              <w:rPr>
                <w:rFonts w:ascii="Arial" w:hAnsi="Arial" w:cs="Arial"/>
              </w:rPr>
            </w:pPr>
            <w:r w:rsidRPr="00FF764A">
              <w:rPr>
                <w:rFonts w:ascii="Arial" w:hAnsi="Arial" w:cs="Arial"/>
              </w:rPr>
              <w:t>12.55</w:t>
            </w:r>
          </w:p>
        </w:tc>
        <w:tc>
          <w:tcPr>
            <w:tcW w:w="0" w:type="auto"/>
            <w:noWrap/>
            <w:vAlign w:val="center"/>
            <w:hideMark/>
          </w:tcPr>
          <w:p w14:paraId="1D89884E" w14:textId="77777777" w:rsidR="00FF764A" w:rsidRPr="00FF764A" w:rsidRDefault="00FF764A" w:rsidP="007E71E2">
            <w:pPr>
              <w:jc w:val="both"/>
              <w:rPr>
                <w:rFonts w:ascii="Arial" w:hAnsi="Arial" w:cs="Arial"/>
              </w:rPr>
            </w:pPr>
            <w:r w:rsidRPr="00FF764A">
              <w:rPr>
                <w:rFonts w:ascii="Arial" w:hAnsi="Arial" w:cs="Arial"/>
              </w:rPr>
              <w:t>23</w:t>
            </w:r>
          </w:p>
        </w:tc>
        <w:tc>
          <w:tcPr>
            <w:tcW w:w="0" w:type="auto"/>
            <w:noWrap/>
            <w:vAlign w:val="center"/>
            <w:hideMark/>
          </w:tcPr>
          <w:p w14:paraId="403EDA33" w14:textId="77777777" w:rsidR="00FF764A" w:rsidRPr="00FF764A" w:rsidRDefault="00FF764A" w:rsidP="007E71E2">
            <w:pPr>
              <w:jc w:val="both"/>
              <w:rPr>
                <w:rFonts w:ascii="Arial" w:hAnsi="Arial" w:cs="Arial"/>
              </w:rPr>
            </w:pPr>
            <w:r w:rsidRPr="00FF764A">
              <w:rPr>
                <w:rFonts w:ascii="Arial" w:hAnsi="Arial" w:cs="Arial"/>
              </w:rPr>
              <w:t>21.70</w:t>
            </w:r>
          </w:p>
        </w:tc>
      </w:tr>
      <w:tr w:rsidR="00FF764A" w:rsidRPr="00FF764A" w14:paraId="2894B485" w14:textId="77777777" w:rsidTr="00FF764A">
        <w:trPr>
          <w:trHeight w:val="255"/>
          <w:jc w:val="center"/>
        </w:trPr>
        <w:tc>
          <w:tcPr>
            <w:tcW w:w="0" w:type="auto"/>
            <w:vAlign w:val="center"/>
            <w:hideMark/>
          </w:tcPr>
          <w:p w14:paraId="789A8E31" w14:textId="77777777" w:rsidR="00FF764A" w:rsidRPr="00FF764A" w:rsidRDefault="00FF764A" w:rsidP="007E71E2">
            <w:pPr>
              <w:jc w:val="both"/>
              <w:rPr>
                <w:rFonts w:ascii="Arial" w:hAnsi="Arial" w:cs="Arial"/>
              </w:rPr>
            </w:pPr>
            <w:r w:rsidRPr="00FF764A">
              <w:rPr>
                <w:rFonts w:ascii="Arial" w:hAnsi="Arial" w:cs="Arial"/>
              </w:rPr>
              <w:t>Combination or All</w:t>
            </w:r>
          </w:p>
        </w:tc>
        <w:tc>
          <w:tcPr>
            <w:tcW w:w="0" w:type="auto"/>
            <w:noWrap/>
            <w:vAlign w:val="center"/>
            <w:hideMark/>
          </w:tcPr>
          <w:p w14:paraId="5C4DDD98" w14:textId="77777777" w:rsidR="00FF764A" w:rsidRPr="00FF764A" w:rsidRDefault="00FF764A" w:rsidP="007E71E2">
            <w:pPr>
              <w:jc w:val="both"/>
              <w:rPr>
                <w:rFonts w:ascii="Arial" w:hAnsi="Arial" w:cs="Arial"/>
              </w:rPr>
            </w:pPr>
            <w:r w:rsidRPr="00FF764A">
              <w:rPr>
                <w:rFonts w:ascii="Arial" w:hAnsi="Arial" w:cs="Arial"/>
              </w:rPr>
              <w:t>22</w:t>
            </w:r>
          </w:p>
        </w:tc>
        <w:tc>
          <w:tcPr>
            <w:tcW w:w="0" w:type="auto"/>
            <w:noWrap/>
            <w:vAlign w:val="center"/>
            <w:hideMark/>
          </w:tcPr>
          <w:p w14:paraId="323AEA5C" w14:textId="77777777" w:rsidR="00FF764A" w:rsidRPr="00FF764A" w:rsidRDefault="00FF764A" w:rsidP="007E71E2">
            <w:pPr>
              <w:jc w:val="both"/>
              <w:rPr>
                <w:rFonts w:ascii="Arial" w:hAnsi="Arial" w:cs="Arial"/>
              </w:rPr>
            </w:pPr>
            <w:r w:rsidRPr="00FF764A">
              <w:rPr>
                <w:rFonts w:ascii="Arial" w:hAnsi="Arial" w:cs="Arial"/>
              </w:rPr>
              <w:t>14.57</w:t>
            </w:r>
          </w:p>
        </w:tc>
        <w:tc>
          <w:tcPr>
            <w:tcW w:w="0" w:type="auto"/>
            <w:noWrap/>
            <w:vAlign w:val="center"/>
            <w:hideMark/>
          </w:tcPr>
          <w:p w14:paraId="193D929B" w14:textId="77777777" w:rsidR="00FF764A" w:rsidRPr="00FF764A" w:rsidRDefault="00FF764A" w:rsidP="007E71E2">
            <w:pPr>
              <w:jc w:val="both"/>
              <w:rPr>
                <w:rFonts w:ascii="Arial" w:hAnsi="Arial" w:cs="Arial"/>
              </w:rPr>
            </w:pPr>
            <w:r w:rsidRPr="00FF764A">
              <w:rPr>
                <w:rFonts w:ascii="Arial" w:hAnsi="Arial" w:cs="Arial"/>
              </w:rPr>
              <w:t>38</w:t>
            </w:r>
          </w:p>
        </w:tc>
        <w:tc>
          <w:tcPr>
            <w:tcW w:w="0" w:type="auto"/>
            <w:noWrap/>
            <w:vAlign w:val="center"/>
            <w:hideMark/>
          </w:tcPr>
          <w:p w14:paraId="6A2E0D36" w14:textId="77777777" w:rsidR="00FF764A" w:rsidRPr="00FF764A" w:rsidRDefault="00FF764A" w:rsidP="007E71E2">
            <w:pPr>
              <w:jc w:val="both"/>
              <w:rPr>
                <w:rFonts w:ascii="Arial" w:hAnsi="Arial" w:cs="Arial"/>
              </w:rPr>
            </w:pPr>
            <w:r w:rsidRPr="00FF764A">
              <w:rPr>
                <w:rFonts w:ascii="Arial" w:hAnsi="Arial" w:cs="Arial"/>
              </w:rPr>
              <w:t>14.45</w:t>
            </w:r>
          </w:p>
        </w:tc>
        <w:tc>
          <w:tcPr>
            <w:tcW w:w="0" w:type="auto"/>
            <w:noWrap/>
            <w:vAlign w:val="center"/>
            <w:hideMark/>
          </w:tcPr>
          <w:p w14:paraId="03BDC6B5" w14:textId="77777777" w:rsidR="00FF764A" w:rsidRPr="00FF764A" w:rsidRDefault="00FF764A" w:rsidP="007E71E2">
            <w:pPr>
              <w:jc w:val="both"/>
              <w:rPr>
                <w:rFonts w:ascii="Arial" w:hAnsi="Arial" w:cs="Arial"/>
              </w:rPr>
            </w:pPr>
            <w:r w:rsidRPr="00FF764A">
              <w:rPr>
                <w:rFonts w:ascii="Arial" w:hAnsi="Arial" w:cs="Arial"/>
              </w:rPr>
              <w:t>37</w:t>
            </w:r>
          </w:p>
        </w:tc>
        <w:tc>
          <w:tcPr>
            <w:tcW w:w="0" w:type="auto"/>
            <w:noWrap/>
            <w:vAlign w:val="center"/>
            <w:hideMark/>
          </w:tcPr>
          <w:p w14:paraId="227CCB6C" w14:textId="77777777" w:rsidR="00FF764A" w:rsidRPr="00FF764A" w:rsidRDefault="00FF764A" w:rsidP="007E71E2">
            <w:pPr>
              <w:jc w:val="both"/>
              <w:rPr>
                <w:rFonts w:ascii="Arial" w:hAnsi="Arial" w:cs="Arial"/>
              </w:rPr>
            </w:pPr>
            <w:r w:rsidRPr="00FF764A">
              <w:rPr>
                <w:rFonts w:ascii="Arial" w:hAnsi="Arial" w:cs="Arial"/>
              </w:rPr>
              <w:t>34.91</w:t>
            </w:r>
          </w:p>
        </w:tc>
      </w:tr>
      <w:tr w:rsidR="00FF764A" w:rsidRPr="00FF764A" w14:paraId="01515725" w14:textId="77777777" w:rsidTr="00FF764A">
        <w:trPr>
          <w:trHeight w:val="255"/>
          <w:jc w:val="center"/>
        </w:trPr>
        <w:tc>
          <w:tcPr>
            <w:tcW w:w="0" w:type="auto"/>
            <w:vAlign w:val="center"/>
            <w:hideMark/>
          </w:tcPr>
          <w:p w14:paraId="6BDE1453" w14:textId="77777777" w:rsidR="00FF764A" w:rsidRPr="00FF764A" w:rsidRDefault="00FF764A" w:rsidP="007E71E2">
            <w:pPr>
              <w:jc w:val="center"/>
              <w:rPr>
                <w:rFonts w:ascii="Arial" w:hAnsi="Arial" w:cs="Arial"/>
                <w:b/>
                <w:bCs/>
              </w:rPr>
            </w:pPr>
            <w:r w:rsidRPr="00FF764A">
              <w:rPr>
                <w:rFonts w:ascii="Arial" w:hAnsi="Arial" w:cs="Arial"/>
                <w:b/>
                <w:bCs/>
              </w:rPr>
              <w:t>Total</w:t>
            </w:r>
          </w:p>
        </w:tc>
        <w:tc>
          <w:tcPr>
            <w:tcW w:w="0" w:type="auto"/>
            <w:noWrap/>
            <w:vAlign w:val="center"/>
            <w:hideMark/>
          </w:tcPr>
          <w:p w14:paraId="41BEB554" w14:textId="77777777" w:rsidR="00FF764A" w:rsidRPr="00FF764A" w:rsidRDefault="00FF764A" w:rsidP="007E71E2">
            <w:pPr>
              <w:jc w:val="center"/>
              <w:rPr>
                <w:rFonts w:ascii="Arial" w:hAnsi="Arial" w:cs="Arial"/>
                <w:b/>
                <w:bCs/>
              </w:rPr>
            </w:pPr>
            <w:r w:rsidRPr="00FF764A">
              <w:rPr>
                <w:rFonts w:ascii="Arial" w:hAnsi="Arial" w:cs="Arial"/>
                <w:b/>
                <w:bCs/>
              </w:rPr>
              <w:t>151</w:t>
            </w:r>
          </w:p>
        </w:tc>
        <w:tc>
          <w:tcPr>
            <w:tcW w:w="0" w:type="auto"/>
            <w:noWrap/>
            <w:vAlign w:val="center"/>
            <w:hideMark/>
          </w:tcPr>
          <w:p w14:paraId="4C3F370C" w14:textId="77777777" w:rsidR="00FF764A" w:rsidRPr="00FF764A" w:rsidRDefault="00FF764A" w:rsidP="007E71E2">
            <w:pPr>
              <w:jc w:val="center"/>
              <w:rPr>
                <w:rFonts w:ascii="Arial" w:hAnsi="Arial" w:cs="Arial"/>
                <w:b/>
                <w:bCs/>
              </w:rPr>
            </w:pPr>
            <w:r w:rsidRPr="00FF764A">
              <w:rPr>
                <w:rFonts w:ascii="Arial" w:hAnsi="Arial" w:cs="Arial"/>
                <w:b/>
                <w:bCs/>
              </w:rPr>
              <w:t>100</w:t>
            </w:r>
          </w:p>
        </w:tc>
        <w:tc>
          <w:tcPr>
            <w:tcW w:w="0" w:type="auto"/>
            <w:noWrap/>
            <w:vAlign w:val="center"/>
            <w:hideMark/>
          </w:tcPr>
          <w:p w14:paraId="302FB7E7" w14:textId="77777777" w:rsidR="00FF764A" w:rsidRPr="00FF764A" w:rsidRDefault="00FF764A" w:rsidP="007E71E2">
            <w:pPr>
              <w:jc w:val="center"/>
              <w:rPr>
                <w:rFonts w:ascii="Arial" w:hAnsi="Arial" w:cs="Arial"/>
                <w:b/>
                <w:bCs/>
              </w:rPr>
            </w:pPr>
            <w:r w:rsidRPr="00FF764A">
              <w:rPr>
                <w:rFonts w:ascii="Arial" w:hAnsi="Arial" w:cs="Arial"/>
                <w:b/>
                <w:bCs/>
              </w:rPr>
              <w:t>263</w:t>
            </w:r>
          </w:p>
        </w:tc>
        <w:tc>
          <w:tcPr>
            <w:tcW w:w="0" w:type="auto"/>
            <w:noWrap/>
            <w:vAlign w:val="center"/>
            <w:hideMark/>
          </w:tcPr>
          <w:p w14:paraId="31AEEC04" w14:textId="77777777" w:rsidR="00FF764A" w:rsidRPr="00FF764A" w:rsidRDefault="00FF764A" w:rsidP="007E71E2">
            <w:pPr>
              <w:jc w:val="center"/>
              <w:rPr>
                <w:rFonts w:ascii="Arial" w:hAnsi="Arial" w:cs="Arial"/>
                <w:b/>
                <w:bCs/>
              </w:rPr>
            </w:pPr>
            <w:r w:rsidRPr="00FF764A">
              <w:rPr>
                <w:rFonts w:ascii="Arial" w:hAnsi="Arial" w:cs="Arial"/>
                <w:b/>
                <w:bCs/>
              </w:rPr>
              <w:t>100</w:t>
            </w:r>
          </w:p>
        </w:tc>
        <w:tc>
          <w:tcPr>
            <w:tcW w:w="0" w:type="auto"/>
            <w:noWrap/>
            <w:vAlign w:val="center"/>
            <w:hideMark/>
          </w:tcPr>
          <w:p w14:paraId="1EA119CA" w14:textId="77777777" w:rsidR="00FF764A" w:rsidRPr="00FF764A" w:rsidRDefault="00FF764A" w:rsidP="007E71E2">
            <w:pPr>
              <w:jc w:val="center"/>
              <w:rPr>
                <w:rFonts w:ascii="Arial" w:hAnsi="Arial" w:cs="Arial"/>
                <w:b/>
                <w:bCs/>
              </w:rPr>
            </w:pPr>
            <w:r w:rsidRPr="00FF764A">
              <w:rPr>
                <w:rFonts w:ascii="Arial" w:hAnsi="Arial" w:cs="Arial"/>
                <w:b/>
                <w:bCs/>
              </w:rPr>
              <w:t>106</w:t>
            </w:r>
          </w:p>
        </w:tc>
        <w:tc>
          <w:tcPr>
            <w:tcW w:w="0" w:type="auto"/>
            <w:noWrap/>
            <w:vAlign w:val="center"/>
            <w:hideMark/>
          </w:tcPr>
          <w:p w14:paraId="25672709" w14:textId="77777777" w:rsidR="00FF764A" w:rsidRPr="00FF764A" w:rsidRDefault="00FF764A" w:rsidP="007E71E2">
            <w:pPr>
              <w:jc w:val="center"/>
              <w:rPr>
                <w:rFonts w:ascii="Arial" w:hAnsi="Arial" w:cs="Arial"/>
                <w:b/>
                <w:bCs/>
              </w:rPr>
            </w:pPr>
            <w:r w:rsidRPr="00FF764A">
              <w:rPr>
                <w:rFonts w:ascii="Arial" w:hAnsi="Arial" w:cs="Arial"/>
                <w:b/>
                <w:bCs/>
              </w:rPr>
              <w:t>100</w:t>
            </w:r>
          </w:p>
        </w:tc>
      </w:tr>
    </w:tbl>
    <w:p w14:paraId="2888D5DF" w14:textId="77777777" w:rsidR="00FF764A" w:rsidRDefault="00FF764A" w:rsidP="00FF764A">
      <w:pPr>
        <w:pStyle w:val="Body"/>
        <w:spacing w:after="0"/>
        <w:jc w:val="center"/>
        <w:rPr>
          <w:rFonts w:ascii="Arial" w:hAnsi="Arial" w:cs="Arial"/>
          <w:i/>
        </w:rPr>
      </w:pPr>
      <w:r w:rsidRPr="00FF764A">
        <w:rPr>
          <w:rFonts w:ascii="Arial" w:hAnsi="Arial" w:cs="Arial"/>
          <w:i/>
        </w:rPr>
        <w:t>Source: Fieldwork (June 2023–August 2024)</w:t>
      </w:r>
    </w:p>
    <w:p w14:paraId="2481A508" w14:textId="77777777" w:rsidR="00FF764A" w:rsidRDefault="00FF764A" w:rsidP="00FF764A">
      <w:pPr>
        <w:pStyle w:val="Body"/>
        <w:spacing w:after="0"/>
        <w:jc w:val="center"/>
        <w:rPr>
          <w:rFonts w:ascii="Arial" w:hAnsi="Arial" w:cs="Arial"/>
          <w:i/>
        </w:rPr>
      </w:pPr>
    </w:p>
    <w:p w14:paraId="1CA4DACB" w14:textId="77777777" w:rsidR="00FF764A" w:rsidRDefault="00FF764A" w:rsidP="00FF764A">
      <w:pPr>
        <w:pStyle w:val="Body"/>
        <w:spacing w:after="0"/>
        <w:rPr>
          <w:rFonts w:ascii="Arial" w:hAnsi="Arial" w:cs="Arial"/>
        </w:rPr>
      </w:pPr>
      <w:r w:rsidRPr="00FF764A">
        <w:rPr>
          <w:rFonts w:ascii="Arial" w:hAnsi="Arial" w:cs="Arial"/>
        </w:rPr>
        <w:t xml:space="preserve">The analysis reveals important patterns in stakeholder effectiveness across different success categories, with the Bamenda City Council demonstrating consistently strong performance across all measures of success, achieving the highest ratings for successful actions (37.75%), partially successful actions (47.15%), and very successful actions (33.96%), reflecting its statutory mandate, resource availability, and institutional capacity relative to other stakeholders. The Regional Delegation of Housing and Urban Development shows the second-highest performance with 22.52% successful actions and 21.70% very </w:t>
      </w:r>
      <w:r w:rsidRPr="00FF764A">
        <w:rPr>
          <w:rFonts w:ascii="Arial" w:hAnsi="Arial" w:cs="Arial"/>
        </w:rPr>
        <w:lastRenderedPageBreak/>
        <w:t>successful outcomes, demonstrating the value of technical expertise and regulatory authority provided by national government representation at the regional level, though its moderate rating for partially successful actions (12.55%) suggests implementation challenges in translating policy into local practice. Non-Governmental Organizations achieve 12.58% successful actions, 9.51% partially successful, and 4.72% very successful outcomes, indicating meaningful contributions despite limited resources and lack of regulatory authority, with their performance reflecting commitment to housing issues and community engagement capabilities. Community-based actions show 9.93% successful, 11.41% partially successful and only 1.89% very successful outcomes, reflecting limited organizational capacity and resource constraints, though their participation demonstrates important grassroots engagement in housing governance processes. Sub-divisional councils record the lowest individual success rates across all categories (2.65% successful, 4.94% partially successful and 2.83% very successful), indicating significant capacity constraints at the sub-municipal level despite their potential for localized interventions. Most significantly, collaborative approaches involving multiple stakeholders attain high success rates, particularly in the "very successful" category (34.91%), with 14.57% successful and 14.45% partially successful outcomes, providing strong empirical evidence for the importance of coordination and resource pooling in addressing complex urban housing challenges.</w:t>
      </w:r>
    </w:p>
    <w:p w14:paraId="7B6A6663" w14:textId="77777777" w:rsidR="00FF764A" w:rsidRDefault="00FF764A" w:rsidP="00FF764A">
      <w:pPr>
        <w:pStyle w:val="Body"/>
        <w:spacing w:after="0"/>
        <w:rPr>
          <w:rFonts w:ascii="Arial" w:hAnsi="Arial" w:cs="Arial"/>
        </w:rPr>
      </w:pPr>
    </w:p>
    <w:p w14:paraId="3BE6D4D8" w14:textId="77777777" w:rsidR="00FF764A" w:rsidRPr="00FF764A" w:rsidRDefault="00FF764A" w:rsidP="00FF764A">
      <w:pPr>
        <w:pStyle w:val="Body"/>
        <w:spacing w:after="0"/>
        <w:rPr>
          <w:rFonts w:ascii="Arial" w:hAnsi="Arial" w:cs="Arial"/>
          <w:b/>
        </w:rPr>
      </w:pPr>
      <w:r w:rsidRPr="00FF764A">
        <w:rPr>
          <w:rFonts w:ascii="Arial" w:hAnsi="Arial" w:cs="Arial"/>
          <w:b/>
        </w:rPr>
        <w:t xml:space="preserve">4. DISCUSSION </w:t>
      </w:r>
    </w:p>
    <w:p w14:paraId="218041DB" w14:textId="77777777" w:rsidR="00FF764A" w:rsidRPr="00FF764A" w:rsidRDefault="00FF764A" w:rsidP="00FF764A">
      <w:pPr>
        <w:pStyle w:val="Body"/>
        <w:spacing w:after="0"/>
        <w:rPr>
          <w:rFonts w:ascii="Arial" w:hAnsi="Arial" w:cs="Arial"/>
        </w:rPr>
      </w:pPr>
    </w:p>
    <w:p w14:paraId="506B2ACD" w14:textId="77777777" w:rsidR="00FF764A" w:rsidRPr="00FF764A" w:rsidRDefault="00FF764A" w:rsidP="00FF764A">
      <w:pPr>
        <w:pStyle w:val="Body"/>
        <w:rPr>
          <w:rFonts w:ascii="Arial" w:hAnsi="Arial" w:cs="Arial"/>
        </w:rPr>
      </w:pPr>
      <w:r w:rsidRPr="00FF764A">
        <w:rPr>
          <w:rFonts w:ascii="Arial" w:hAnsi="Arial" w:cs="Arial"/>
        </w:rPr>
        <w:t xml:space="preserve">Findings revealed a complex landscape of urban housing governance structure exist in Bamenda, characterized by multiple stakeholders operating within a decentralized framework that has evolved significantly over the past decade. The dominance of the Bamenda City Council in housing governance (41.73%) reflects both the institutional mandate created through decentralization laws and the practical reality that municipal governments possess the regulatory authority and local knowledge necessary for housing oversight. This finding aligns with Ngoran and </w:t>
      </w:r>
      <w:proofErr w:type="spellStart"/>
      <w:r w:rsidRPr="00FF764A">
        <w:rPr>
          <w:rFonts w:ascii="Arial" w:hAnsi="Arial" w:cs="Arial"/>
        </w:rPr>
        <w:t>Mougoue's</w:t>
      </w:r>
      <w:proofErr w:type="spellEnd"/>
      <w:r w:rsidRPr="00FF764A">
        <w:rPr>
          <w:rFonts w:ascii="Arial" w:hAnsi="Arial" w:cs="Arial"/>
        </w:rPr>
        <w:t xml:space="preserve"> (2021) observation that decentralization in Bamenda has enhanced citizen participation in local development, though it contrasts with broader concerns about municipal capacity limitations (Kelkar, 2022).</w:t>
      </w:r>
    </w:p>
    <w:p w14:paraId="3A55D5D0" w14:textId="77777777" w:rsidR="00FF764A" w:rsidRPr="00FF764A" w:rsidRDefault="00FF764A" w:rsidP="00FF764A">
      <w:pPr>
        <w:pStyle w:val="Body"/>
        <w:rPr>
          <w:rFonts w:ascii="Arial" w:hAnsi="Arial" w:cs="Arial"/>
        </w:rPr>
      </w:pPr>
      <w:r w:rsidRPr="00FF764A">
        <w:rPr>
          <w:rFonts w:ascii="Arial" w:hAnsi="Arial" w:cs="Arial"/>
        </w:rPr>
        <w:t xml:space="preserve">The identification of insufficient funding as the primary barrier (25.77%) strongly aligns with broader literature on decentralization in developing countries, where responsibilities are transferred to local levels without commensurate financial resources. This corroborates </w:t>
      </w:r>
      <w:proofErr w:type="spellStart"/>
      <w:r w:rsidRPr="00FF764A">
        <w:rPr>
          <w:rFonts w:ascii="Arial" w:hAnsi="Arial" w:cs="Arial"/>
        </w:rPr>
        <w:t>Nange</w:t>
      </w:r>
      <w:proofErr w:type="spellEnd"/>
      <w:r w:rsidRPr="00FF764A">
        <w:rPr>
          <w:rFonts w:ascii="Arial" w:hAnsi="Arial" w:cs="Arial"/>
        </w:rPr>
        <w:t xml:space="preserve"> and </w:t>
      </w:r>
      <w:proofErr w:type="spellStart"/>
      <w:r w:rsidRPr="00FF764A">
        <w:rPr>
          <w:rFonts w:ascii="Arial" w:hAnsi="Arial" w:cs="Arial"/>
        </w:rPr>
        <w:t>Ozturen's</w:t>
      </w:r>
      <w:proofErr w:type="spellEnd"/>
      <w:r w:rsidRPr="00FF764A">
        <w:rPr>
          <w:rFonts w:ascii="Arial" w:hAnsi="Arial" w:cs="Arial"/>
        </w:rPr>
        <w:t xml:space="preserve"> (2022) analysis of urban decentralization in Cameroon, which identified resource constraints as a major limitation of local governance effectiveness. The funding challenge also resonates with </w:t>
      </w:r>
      <w:proofErr w:type="spellStart"/>
      <w:r w:rsidRPr="00FF764A">
        <w:rPr>
          <w:rFonts w:ascii="Arial" w:hAnsi="Arial" w:cs="Arial"/>
        </w:rPr>
        <w:t>Maluh</w:t>
      </w:r>
      <w:proofErr w:type="spellEnd"/>
      <w:r w:rsidRPr="00FF764A">
        <w:rPr>
          <w:rFonts w:ascii="Arial" w:hAnsi="Arial" w:cs="Arial"/>
        </w:rPr>
        <w:t xml:space="preserve"> et </w:t>
      </w:r>
      <w:proofErr w:type="spellStart"/>
      <w:r w:rsidRPr="00FF764A">
        <w:rPr>
          <w:rFonts w:ascii="Arial" w:hAnsi="Arial" w:cs="Arial"/>
        </w:rPr>
        <w:t>al,.'s</w:t>
      </w:r>
      <w:proofErr w:type="spellEnd"/>
      <w:r w:rsidRPr="00FF764A">
        <w:rPr>
          <w:rFonts w:ascii="Arial" w:hAnsi="Arial" w:cs="Arial"/>
        </w:rPr>
        <w:t xml:space="preserve"> (2020) earlier documentation of resource limitations in Bamenda's housing sector, indicating that this constraint has persisted over time despite decentralization reforms.</w:t>
      </w:r>
    </w:p>
    <w:p w14:paraId="09F85027" w14:textId="77777777" w:rsidR="00FF764A" w:rsidRPr="00FF764A" w:rsidRDefault="00FF764A" w:rsidP="00FF764A">
      <w:pPr>
        <w:pStyle w:val="Body"/>
        <w:rPr>
          <w:rFonts w:ascii="Arial" w:hAnsi="Arial" w:cs="Arial"/>
        </w:rPr>
      </w:pPr>
      <w:r w:rsidRPr="00FF764A">
        <w:rPr>
          <w:rFonts w:ascii="Arial" w:hAnsi="Arial" w:cs="Arial"/>
        </w:rPr>
        <w:t>The finding that collaborative stakeholder approaches achieve the highest success rates (34.91% very successful) provides important validation for stakeholder emphasis on coordination and resource pooling. This result strongly ali</w:t>
      </w:r>
      <w:r w:rsidR="007E71E2">
        <w:rPr>
          <w:rFonts w:ascii="Arial" w:hAnsi="Arial" w:cs="Arial"/>
        </w:rPr>
        <w:t>gns with Jacobs and Baud's (2016</w:t>
      </w:r>
      <w:r w:rsidRPr="00FF764A">
        <w:rPr>
          <w:rFonts w:ascii="Arial" w:hAnsi="Arial" w:cs="Arial"/>
        </w:rPr>
        <w:t xml:space="preserve">) analysis of the N2 Gateway project in Cape Town, where stakeholder collaboration was identified as crucial for housing project success. Similarly, Teoh et </w:t>
      </w:r>
      <w:proofErr w:type="spellStart"/>
      <w:r w:rsidRPr="00FF764A">
        <w:rPr>
          <w:rFonts w:ascii="Arial" w:hAnsi="Arial" w:cs="Arial"/>
        </w:rPr>
        <w:t>al.,'s</w:t>
      </w:r>
      <w:proofErr w:type="spellEnd"/>
      <w:r w:rsidRPr="00FF764A">
        <w:rPr>
          <w:rFonts w:ascii="Arial" w:hAnsi="Arial" w:cs="Arial"/>
        </w:rPr>
        <w:t xml:space="preserve"> (2018) Malaysian housing governance study emphasized the importance of multi-stakeholder coordination, supporting the idea that integrated approaches outperform individual stakeholder actions. This convergence across different geographical contexts suggests that collaborative governance may be a universal principle for effective urban housing delivery.</w:t>
      </w:r>
    </w:p>
    <w:p w14:paraId="16279581" w14:textId="77777777" w:rsidR="00FF764A" w:rsidRPr="00FF764A" w:rsidRDefault="00FF764A" w:rsidP="00FF764A">
      <w:pPr>
        <w:pStyle w:val="Body"/>
        <w:rPr>
          <w:rFonts w:ascii="Arial" w:hAnsi="Arial" w:cs="Arial"/>
        </w:rPr>
      </w:pPr>
      <w:r w:rsidRPr="00FF764A">
        <w:rPr>
          <w:rFonts w:ascii="Arial" w:hAnsi="Arial" w:cs="Arial"/>
        </w:rPr>
        <w:t xml:space="preserve">The evolution of stakeholder actions from advisory approaches (material prescription at 70.83% pre-2010) to enforcement-based strategies (strict supervision at 42.45% in 2016-2020) indicates a learning process within the governance system. This temporal shift </w:t>
      </w:r>
      <w:r w:rsidRPr="00FF764A">
        <w:rPr>
          <w:rFonts w:ascii="Arial" w:hAnsi="Arial" w:cs="Arial"/>
        </w:rPr>
        <w:lastRenderedPageBreak/>
        <w:t xml:space="preserve">resonates with </w:t>
      </w:r>
      <w:proofErr w:type="spellStart"/>
      <w:r w:rsidRPr="00FF764A">
        <w:rPr>
          <w:rFonts w:ascii="Arial" w:hAnsi="Arial" w:cs="Arial"/>
        </w:rPr>
        <w:t>Maluh's</w:t>
      </w:r>
      <w:proofErr w:type="spellEnd"/>
      <w:r w:rsidRPr="00FF764A">
        <w:rPr>
          <w:rFonts w:ascii="Arial" w:hAnsi="Arial" w:cs="Arial"/>
        </w:rPr>
        <w:t xml:space="preserve"> (2024) analysis of urban housing practices in Bamenda, which documented the transition from informal advisory mechanisms to more formalized regulatory approaches. This evolution contrasts with Szemz</w:t>
      </w:r>
      <w:r w:rsidRPr="00FF764A">
        <w:rPr>
          <w:rFonts w:ascii="Arial" w:hAnsi="Arial" w:cs="Arial" w:hint="eastAsia"/>
        </w:rPr>
        <w:t>ő</w:t>
      </w:r>
      <w:r w:rsidRPr="00FF764A">
        <w:rPr>
          <w:rFonts w:ascii="Arial" w:hAnsi="Arial" w:cs="Arial"/>
        </w:rPr>
        <w:t xml:space="preserve"> et </w:t>
      </w:r>
      <w:proofErr w:type="spellStart"/>
      <w:r w:rsidRPr="00FF764A">
        <w:rPr>
          <w:rFonts w:ascii="Arial" w:hAnsi="Arial" w:cs="Arial"/>
        </w:rPr>
        <w:t>al.,'s</w:t>
      </w:r>
      <w:proofErr w:type="spellEnd"/>
      <w:r w:rsidRPr="00FF764A">
        <w:rPr>
          <w:rFonts w:ascii="Arial" w:hAnsi="Arial" w:cs="Arial"/>
        </w:rPr>
        <w:t xml:space="preserve"> (2019) emphasis on collaborative approaches in European contexts, suggesting that enforcement orientation may reflect specific challenges of weak regulatory culture in developing urban contexts. The recent emphasis on fines and sanctions (25% from 2021-2024) further reflects this enforcement orientation, though it raises questions about the sustainability and equity of punitive approaches, particularly given Somers and Baud's (2013) findings that punitive measures can exclude low-income communities from housing programs.</w:t>
      </w:r>
    </w:p>
    <w:p w14:paraId="079F2539" w14:textId="77777777" w:rsidR="00FF764A" w:rsidRDefault="00FF764A" w:rsidP="00FF764A">
      <w:pPr>
        <w:pStyle w:val="Body"/>
        <w:spacing w:after="0"/>
        <w:rPr>
          <w:rFonts w:ascii="Arial" w:hAnsi="Arial" w:cs="Arial"/>
        </w:rPr>
      </w:pPr>
      <w:r w:rsidRPr="00FF764A">
        <w:rPr>
          <w:rFonts w:ascii="Arial" w:hAnsi="Arial" w:cs="Arial"/>
        </w:rPr>
        <w:t xml:space="preserve">Considering that only 25% of Bamenda demonstrates high urban housing governance effectiveness highlights the uneven distribution of decentralization benefits. This pattern, where central urban areas receive better governance while peripheral zones lag behind is consistent with Mhlongo et </w:t>
      </w:r>
      <w:proofErr w:type="spellStart"/>
      <w:r w:rsidRPr="00FF764A">
        <w:rPr>
          <w:rFonts w:ascii="Arial" w:hAnsi="Arial" w:cs="Arial"/>
        </w:rPr>
        <w:t>al.,'s</w:t>
      </w:r>
      <w:proofErr w:type="spellEnd"/>
      <w:r w:rsidRPr="00FF764A">
        <w:rPr>
          <w:rFonts w:ascii="Arial" w:hAnsi="Arial" w:cs="Arial"/>
        </w:rPr>
        <w:t xml:space="preserve"> (2024) findings in the Gauteng City Region, where governance effectiveness varied significantly across different urban zones. The concentration of effective governance in established neighborhoods with better infrastructure and institutional presence supports UN-Habitat's (2010) observation that decentralization may inadvertently reinforce existing inequalities rather than promoting more equitable urban development. This spatial inequality contrasts with the theoretical expectations of decentralization as a mechanism for improving service delivery across entire urban areas.</w:t>
      </w:r>
    </w:p>
    <w:p w14:paraId="7F63A763" w14:textId="77777777" w:rsidR="00790ADA" w:rsidRPr="00FB3A86" w:rsidRDefault="00790ADA" w:rsidP="00441B6F">
      <w:pPr>
        <w:pStyle w:val="Body"/>
        <w:spacing w:after="0"/>
        <w:rPr>
          <w:rFonts w:ascii="Arial" w:hAnsi="Arial" w:cs="Arial"/>
        </w:rPr>
      </w:pPr>
    </w:p>
    <w:p w14:paraId="2D197D33" w14:textId="77777777" w:rsidR="00B01FCD" w:rsidRDefault="00FF764A"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45E4C74C" w14:textId="77777777" w:rsidR="00790ADA" w:rsidRPr="00FB3A86" w:rsidRDefault="00790ADA" w:rsidP="00441B6F">
      <w:pPr>
        <w:pStyle w:val="ConcHead"/>
        <w:spacing w:after="0"/>
        <w:jc w:val="both"/>
        <w:rPr>
          <w:rFonts w:ascii="Arial" w:hAnsi="Arial" w:cs="Arial"/>
        </w:rPr>
      </w:pPr>
    </w:p>
    <w:p w14:paraId="74BE8A2B" w14:textId="77777777" w:rsidR="00C0141C" w:rsidRPr="00C0141C" w:rsidRDefault="00C0141C" w:rsidP="00C0141C">
      <w:pPr>
        <w:pStyle w:val="Body"/>
        <w:rPr>
          <w:rFonts w:ascii="Arial" w:hAnsi="Arial" w:cs="Arial"/>
        </w:rPr>
      </w:pPr>
      <w:r w:rsidRPr="00C0141C">
        <w:rPr>
          <w:rFonts w:ascii="Arial" w:hAnsi="Arial" w:cs="Arial"/>
        </w:rPr>
        <w:t>This study critically examined local governance procedures and urban housing stakeholder actions in Bamenda, Cameroon, providing important insights into how multiple stakeholders operate within decentralized governance frameworks to address urban housing challenges in a rapidly growing secondary African city. The findings reveal that urban housing governance involves diverse stakeholders with the Bamenda City Council emerging as the most dominant, though effectiveness remains constrained by insufficient funding, limited technical capacity and coordination challenges. The evolution from advisory strategies to enforcement-based approaches demonstrates significant learning within the governance system, while collaborative stakeholder approaches achieve the highest success rates, supporting theoretical expectations about coordination importance. Findings indicated that despite variations in approaches and mandates, stakeholder actions do not differ significantly in effectiveness, suggesting that systemic constraints may be more important than individual stakeholder attributes. For policy and practice, the study indicates that improving urban housing governance requires comprehensive approaches addressing systemic constraints including establishing sustainable funding mechanisms, strengthening coordination platforms, enhancing technical capacity and improving community participation. The Bamenda experience demonstrates that while decentralization creates opportunities for improved local housing governance. Realising these benefits requires sustained attention to capacity building, resource allocation and institutional coordination, providing a foundation for evidence-based improvements in urban housing governance.</w:t>
      </w:r>
    </w:p>
    <w:p w14:paraId="4CC79279" w14:textId="77777777" w:rsidR="00790ADA" w:rsidRDefault="00C0141C" w:rsidP="00C0141C">
      <w:pPr>
        <w:pStyle w:val="Body"/>
        <w:spacing w:after="0"/>
        <w:rPr>
          <w:rFonts w:ascii="Arial" w:hAnsi="Arial" w:cs="Arial"/>
        </w:rPr>
      </w:pPr>
      <w:r w:rsidRPr="00C0141C">
        <w:rPr>
          <w:rFonts w:ascii="Arial" w:hAnsi="Arial" w:cs="Arial"/>
        </w:rPr>
        <w:t xml:space="preserve">The research also contributes to stakeholder theory by demonstrating how context-specific factors influence stakeholder effectiveness in urban housing governance. The similar performance levels across different stakeholder types (despite their different mandates and capacities) contrasts with theoretical expectations that different stakeholder types would demonstrate varying effectiveness levels. This finding suggests that institutional coordination effectiveness may be more important than individual stakeholder attributes in determining housing governance outcomes, supporting institutional theory while challenging stakeholder-centric approaches. From a policy perspective, the findings indicate that improving urban housing governance in Bamenda requires addressing systemic constraints rather than </w:t>
      </w:r>
      <w:r w:rsidRPr="00C0141C">
        <w:rPr>
          <w:rFonts w:ascii="Arial" w:hAnsi="Arial" w:cs="Arial"/>
        </w:rPr>
        <w:lastRenderedPageBreak/>
        <w:t>focusing solely on individual stakeholder performance. This conclusion aligns with UN-Habitat's (2010) emphasis on institutional reform while providing specific evidence for priority intervention areas. The identification of funding mechanisms, coordination platforms, technical capacity, and community participation as priority areas supports the New Urban Agenda's (United Nations, 2016) call for integrated urban governance approaches while providing empirical guidance for their implementation.</w:t>
      </w:r>
    </w:p>
    <w:p w14:paraId="1F4B19BB" w14:textId="77777777" w:rsidR="00C0141C" w:rsidRPr="00FB3A86" w:rsidRDefault="00C0141C" w:rsidP="00C0141C">
      <w:pPr>
        <w:pStyle w:val="Body"/>
        <w:spacing w:after="0"/>
        <w:rPr>
          <w:rFonts w:ascii="Arial" w:hAnsi="Arial" w:cs="Arial"/>
        </w:rPr>
      </w:pPr>
    </w:p>
    <w:p w14:paraId="35046A81" w14:textId="77777777" w:rsidR="002B685A" w:rsidRDefault="002B685A" w:rsidP="00441B6F">
      <w:pPr>
        <w:pStyle w:val="ReferHead"/>
        <w:spacing w:after="0"/>
        <w:jc w:val="both"/>
        <w:rPr>
          <w:rFonts w:ascii="Arial" w:hAnsi="Arial" w:cs="Arial"/>
          <w:b w:val="0"/>
          <w:caps w:val="0"/>
          <w:sz w:val="20"/>
        </w:rPr>
      </w:pPr>
    </w:p>
    <w:p w14:paraId="5D0C77A2" w14:textId="77777777" w:rsidR="0017215F" w:rsidRPr="00005ED1" w:rsidRDefault="0017215F" w:rsidP="0017215F">
      <w:pPr>
        <w:pStyle w:val="NoSpacing"/>
        <w:rPr>
          <w:rFonts w:ascii="Arial" w:hAnsi="Arial" w:cs="Arial"/>
          <w:highlight w:val="yellow"/>
        </w:rPr>
      </w:pPr>
      <w:bookmarkStart w:id="2" w:name="_Hlk219284361"/>
      <w:bookmarkStart w:id="3" w:name="_Hlk198031404"/>
      <w:bookmarkStart w:id="4" w:name="_Hlk219128673"/>
      <w:bookmarkStart w:id="5" w:name="_Hlk221094604"/>
      <w:r w:rsidRPr="00005ED1">
        <w:rPr>
          <w:rFonts w:ascii="Arial" w:hAnsi="Arial" w:cs="Arial"/>
          <w:highlight w:val="yellow"/>
        </w:rPr>
        <w:t>Disclaimer (Artificial intelligence)</w:t>
      </w:r>
    </w:p>
    <w:p w14:paraId="4256777D" w14:textId="77777777" w:rsidR="0017215F" w:rsidRPr="00005ED1" w:rsidRDefault="0017215F" w:rsidP="0017215F">
      <w:pPr>
        <w:pStyle w:val="NoSpacing"/>
        <w:rPr>
          <w:rFonts w:ascii="Arial" w:hAnsi="Arial" w:cs="Arial"/>
          <w:highlight w:val="yellow"/>
        </w:rPr>
      </w:pPr>
    </w:p>
    <w:p w14:paraId="0A32D6FF" w14:textId="77777777" w:rsidR="0017215F" w:rsidRPr="00005ED1" w:rsidRDefault="0017215F" w:rsidP="0017215F">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2"/>
      <w:r w:rsidRPr="00005ED1">
        <w:rPr>
          <w:rFonts w:ascii="Arial" w:hAnsi="Arial" w:cs="Arial"/>
          <w:highlight w:val="yellow"/>
        </w:rPr>
        <w:t xml:space="preserve">. </w:t>
      </w:r>
    </w:p>
    <w:bookmarkEnd w:id="3"/>
    <w:p w14:paraId="5B6EAD48" w14:textId="77777777" w:rsidR="0017215F" w:rsidRDefault="0017215F" w:rsidP="0017215F">
      <w:pPr>
        <w:pStyle w:val="NoSpacing"/>
        <w:rPr>
          <w:rFonts w:ascii="Arial" w:hAnsi="Arial" w:cs="Arial"/>
        </w:rPr>
      </w:pPr>
    </w:p>
    <w:bookmarkEnd w:id="4"/>
    <w:p w14:paraId="3FFA8949" w14:textId="77777777" w:rsidR="0017215F" w:rsidRDefault="0017215F" w:rsidP="0017215F">
      <w:pPr>
        <w:pStyle w:val="NoSpacing"/>
        <w:rPr>
          <w:rFonts w:ascii="Arial" w:hAnsi="Arial" w:cs="Arial"/>
        </w:rPr>
      </w:pPr>
    </w:p>
    <w:bookmarkEnd w:id="5"/>
    <w:p w14:paraId="05769FEC" w14:textId="77777777" w:rsidR="00860000" w:rsidRDefault="00860000" w:rsidP="00441B6F">
      <w:pPr>
        <w:pStyle w:val="ReferHead"/>
        <w:spacing w:after="0"/>
        <w:jc w:val="both"/>
        <w:rPr>
          <w:rFonts w:ascii="Arial" w:hAnsi="Arial" w:cs="Arial"/>
        </w:rPr>
      </w:pPr>
    </w:p>
    <w:p w14:paraId="32E1D80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D2986B2" w14:textId="77777777" w:rsidR="00790ADA" w:rsidRPr="00FB3A86" w:rsidRDefault="00790ADA" w:rsidP="00441B6F">
      <w:pPr>
        <w:pStyle w:val="ReferHead"/>
        <w:spacing w:after="0"/>
        <w:jc w:val="both"/>
        <w:rPr>
          <w:rFonts w:ascii="Arial" w:hAnsi="Arial" w:cs="Arial"/>
        </w:rPr>
      </w:pPr>
    </w:p>
    <w:p w14:paraId="5D2121B2" w14:textId="77777777" w:rsidR="00A300A0" w:rsidRDefault="00A300A0" w:rsidP="00A300A0">
      <w:pPr>
        <w:pStyle w:val="Body"/>
        <w:numPr>
          <w:ilvl w:val="0"/>
          <w:numId w:val="31"/>
        </w:numPr>
        <w:spacing w:after="0"/>
      </w:pPr>
      <w:r w:rsidRPr="00A300A0">
        <w:t xml:space="preserve">United Nations Human Settlements Programme (UN-Habitat). (2008). The state of African cities report 2008. Nairobi, Kenya: UN-Habitat. Retrieved from </w:t>
      </w:r>
      <w:hyperlink r:id="rId18" w:history="1">
        <w:r w:rsidRPr="003B57E4">
          <w:rPr>
            <w:rStyle w:val="Hyperlink"/>
          </w:rPr>
          <w:t>https://unhabitat.org/sites/default/files/download-manager-files/The%20State%20of%20the%20African%20Cities%20Report%202008.pdf</w:t>
        </w:r>
      </w:hyperlink>
      <w:r>
        <w:t>.</w:t>
      </w:r>
    </w:p>
    <w:p w14:paraId="5B168AFF" w14:textId="77777777" w:rsidR="00A300A0" w:rsidRDefault="00A300A0" w:rsidP="00A300A0">
      <w:pPr>
        <w:pStyle w:val="Body"/>
        <w:numPr>
          <w:ilvl w:val="0"/>
          <w:numId w:val="31"/>
        </w:numPr>
        <w:spacing w:after="0"/>
      </w:pPr>
      <w:proofErr w:type="spellStart"/>
      <w:r w:rsidRPr="00A300A0">
        <w:t>Maluh</w:t>
      </w:r>
      <w:proofErr w:type="spellEnd"/>
      <w:r w:rsidRPr="00A300A0">
        <w:t xml:space="preserve">, N., </w:t>
      </w:r>
      <w:proofErr w:type="spellStart"/>
      <w:r w:rsidRPr="00A300A0">
        <w:t>Nguh</w:t>
      </w:r>
      <w:proofErr w:type="spellEnd"/>
      <w:r w:rsidRPr="00A300A0">
        <w:t xml:space="preserve">, B. S. &amp; </w:t>
      </w:r>
      <w:proofErr w:type="spellStart"/>
      <w:r w:rsidRPr="00A300A0">
        <w:t>Kimengsi</w:t>
      </w:r>
      <w:proofErr w:type="spellEnd"/>
      <w:r w:rsidRPr="00A300A0">
        <w:t xml:space="preserve">, J. (2020). Housing situation in the Bamenda urban space: Challenges and the way forward. Journal of Geography, Environment and Earth Science International, 23(4), 1–14. </w:t>
      </w:r>
      <w:hyperlink r:id="rId19" w:history="1">
        <w:r w:rsidRPr="003B57E4">
          <w:rPr>
            <w:rStyle w:val="Hyperlink"/>
          </w:rPr>
          <w:t>https://doi.org/10.9734/jgeesi/2019/v23i430188</w:t>
        </w:r>
      </w:hyperlink>
      <w:r>
        <w:t>.</w:t>
      </w:r>
    </w:p>
    <w:p w14:paraId="0ADF309B" w14:textId="77777777" w:rsidR="00A300A0" w:rsidRDefault="00A300A0" w:rsidP="00A300A0">
      <w:pPr>
        <w:pStyle w:val="Body"/>
        <w:numPr>
          <w:ilvl w:val="0"/>
          <w:numId w:val="31"/>
        </w:numPr>
        <w:spacing w:after="0"/>
      </w:pPr>
      <w:r w:rsidRPr="00A300A0">
        <w:t>Kelkar, A. (2022). Inclusive role of actors and stakeholders in sustainable urban governance of African cities.</w:t>
      </w:r>
      <w:r w:rsidR="007E71E2">
        <w:t xml:space="preserve"> International Journal of Research and Analytical Reviews, Vol. 9, </w:t>
      </w:r>
      <w:proofErr w:type="spellStart"/>
      <w:r w:rsidR="007E71E2">
        <w:t>Iss</w:t>
      </w:r>
      <w:proofErr w:type="spellEnd"/>
      <w:r w:rsidR="007E71E2">
        <w:t xml:space="preserve">. 4, pp. 19-21. </w:t>
      </w:r>
    </w:p>
    <w:p w14:paraId="2F58673A" w14:textId="77777777" w:rsidR="00A300A0" w:rsidRDefault="00A300A0" w:rsidP="00A300A0">
      <w:pPr>
        <w:pStyle w:val="Body"/>
        <w:numPr>
          <w:ilvl w:val="0"/>
          <w:numId w:val="31"/>
        </w:numPr>
        <w:spacing w:after="0"/>
      </w:pPr>
      <w:r w:rsidRPr="00A300A0">
        <w:t>Szemz</w:t>
      </w:r>
      <w:r w:rsidRPr="00A300A0">
        <w:rPr>
          <w:rFonts w:hint="eastAsia"/>
        </w:rPr>
        <w:t>ő</w:t>
      </w:r>
      <w:r w:rsidRPr="00A300A0">
        <w:t>, H., Ger</w:t>
      </w:r>
      <w:r w:rsidRPr="00A300A0">
        <w:rPr>
          <w:rFonts w:hint="eastAsia"/>
        </w:rPr>
        <w:t>ő</w:t>
      </w:r>
      <w:r w:rsidRPr="00A300A0">
        <w:t xml:space="preserve">házi, É., Droste, C. &amp; </w:t>
      </w:r>
      <w:proofErr w:type="spellStart"/>
      <w:r w:rsidRPr="00A300A0">
        <w:t>Soetanto</w:t>
      </w:r>
      <w:proofErr w:type="spellEnd"/>
      <w:r w:rsidRPr="00A300A0">
        <w:t xml:space="preserve">, D. (2019). Towards a collaborative housing initiative: The role of local authorities. Built Environment, 45(3), 398–407. </w:t>
      </w:r>
      <w:hyperlink r:id="rId20" w:history="1">
        <w:r w:rsidRPr="003B57E4">
          <w:rPr>
            <w:rStyle w:val="Hyperlink"/>
          </w:rPr>
          <w:t>https://doi.org/10.2148/BENV.45.3.398</w:t>
        </w:r>
      </w:hyperlink>
      <w:r>
        <w:t>.</w:t>
      </w:r>
    </w:p>
    <w:p w14:paraId="6D7CE965" w14:textId="77777777" w:rsidR="00A300A0" w:rsidRDefault="007E71E2" w:rsidP="007E71E2">
      <w:pPr>
        <w:pStyle w:val="Body"/>
        <w:numPr>
          <w:ilvl w:val="0"/>
          <w:numId w:val="31"/>
        </w:numPr>
        <w:spacing w:after="0"/>
      </w:pPr>
      <w:r>
        <w:t>Jacobs, F. &amp; Baud, I. (2016</w:t>
      </w:r>
      <w:r w:rsidR="00A300A0" w:rsidRPr="00A300A0">
        <w:t>). The challenge of housing the poor: Stakeholders, politics and knowledge use in decision-making processes for the N2 Gateway housing project in Cape Town.</w:t>
      </w:r>
      <w:r>
        <w:t xml:space="preserve"> </w:t>
      </w:r>
      <w:r w:rsidRPr="007E71E2">
        <w:rPr>
          <w:rFonts w:hint="eastAsia"/>
        </w:rPr>
        <w:t>‎</w:t>
      </w:r>
      <w:r w:rsidRPr="007E71E2">
        <w:t xml:space="preserve"> LAP LAMBERT Academic Publishing</w:t>
      </w:r>
      <w:r>
        <w:t xml:space="preserve">, 128p. </w:t>
      </w:r>
    </w:p>
    <w:p w14:paraId="6C12B2E9" w14:textId="77777777" w:rsidR="00A300A0" w:rsidRDefault="00A300A0" w:rsidP="00A300A0">
      <w:pPr>
        <w:pStyle w:val="Body"/>
        <w:numPr>
          <w:ilvl w:val="0"/>
          <w:numId w:val="31"/>
        </w:numPr>
        <w:spacing w:after="0"/>
      </w:pPr>
      <w:r w:rsidRPr="00A300A0">
        <w:t>Somers, K. L. &amp; Baud, I. (2013). My house, my life: Decision-making processes and local citizen participation in housing project Minha Casa, Minha Vida in Salvador da Bahia.</w:t>
      </w:r>
    </w:p>
    <w:p w14:paraId="24669227" w14:textId="77777777" w:rsidR="00A300A0" w:rsidRDefault="00A300A0" w:rsidP="00A300A0">
      <w:pPr>
        <w:pStyle w:val="Body"/>
        <w:numPr>
          <w:ilvl w:val="0"/>
          <w:numId w:val="31"/>
        </w:numPr>
        <w:spacing w:after="0"/>
      </w:pPr>
      <w:proofErr w:type="spellStart"/>
      <w:r w:rsidRPr="00837EEC">
        <w:rPr>
          <w:lang w:val="es-US"/>
        </w:rPr>
        <w:t>Mhlongo</w:t>
      </w:r>
      <w:proofErr w:type="spellEnd"/>
      <w:r w:rsidRPr="00837EEC">
        <w:rPr>
          <w:lang w:val="es-US"/>
        </w:rPr>
        <w:t xml:space="preserve">, N. Z., </w:t>
      </w:r>
      <w:proofErr w:type="spellStart"/>
      <w:r w:rsidRPr="00837EEC">
        <w:rPr>
          <w:lang w:val="es-US"/>
        </w:rPr>
        <w:t>Gumbo</w:t>
      </w:r>
      <w:proofErr w:type="spellEnd"/>
      <w:r w:rsidRPr="00837EEC">
        <w:rPr>
          <w:lang w:val="es-US"/>
        </w:rPr>
        <w:t xml:space="preserve">, T., </w:t>
      </w:r>
      <w:proofErr w:type="spellStart"/>
      <w:r w:rsidRPr="00837EEC">
        <w:rPr>
          <w:lang w:val="es-US"/>
        </w:rPr>
        <w:t>Musonda</w:t>
      </w:r>
      <w:proofErr w:type="spellEnd"/>
      <w:r w:rsidRPr="00837EEC">
        <w:rPr>
          <w:lang w:val="es-US"/>
        </w:rPr>
        <w:t xml:space="preserve">, I. &amp; Moyo, T. (2024). </w:t>
      </w:r>
      <w:r w:rsidRPr="00A300A0">
        <w:t xml:space="preserve">Sustainable low-income housing: Exploring housing and governance issues in the Gauteng City Region, South Africa. Urban Governance. </w:t>
      </w:r>
      <w:hyperlink r:id="rId21" w:history="1">
        <w:r w:rsidRPr="003B57E4">
          <w:rPr>
            <w:rStyle w:val="Hyperlink"/>
          </w:rPr>
          <w:t>https://doi.org/10.1016/j.ugj.2024.03.002</w:t>
        </w:r>
      </w:hyperlink>
      <w:r>
        <w:t>.</w:t>
      </w:r>
    </w:p>
    <w:p w14:paraId="0E019F3D" w14:textId="77777777" w:rsidR="00A300A0" w:rsidRDefault="00A300A0" w:rsidP="00A300A0">
      <w:pPr>
        <w:pStyle w:val="Body"/>
        <w:numPr>
          <w:ilvl w:val="0"/>
          <w:numId w:val="31"/>
        </w:numPr>
        <w:spacing w:after="0"/>
      </w:pPr>
      <w:r w:rsidRPr="00837EEC">
        <w:rPr>
          <w:lang w:val="es-US"/>
        </w:rPr>
        <w:t xml:space="preserve">Teoh, C. T., Olanrewaju, A. &amp; Tan, S. Y. (2018). </w:t>
      </w:r>
      <w:r w:rsidRPr="00A300A0">
        <w:t xml:space="preserve">Exploring housing governance in Malaysia. International Journal of Engineering &amp; Technology, 7(3.21), 293–300. </w:t>
      </w:r>
      <w:hyperlink r:id="rId22" w:history="1">
        <w:r w:rsidRPr="003B57E4">
          <w:rPr>
            <w:rStyle w:val="Hyperlink"/>
          </w:rPr>
          <w:t>https://doi.org/10.14419/ijet.v7i3.21.17176</w:t>
        </w:r>
      </w:hyperlink>
      <w:r>
        <w:t>.</w:t>
      </w:r>
    </w:p>
    <w:p w14:paraId="6F469C0F" w14:textId="77777777" w:rsidR="00A300A0" w:rsidRDefault="00A300A0" w:rsidP="00A300A0">
      <w:pPr>
        <w:pStyle w:val="Body"/>
        <w:numPr>
          <w:ilvl w:val="0"/>
          <w:numId w:val="31"/>
        </w:numPr>
        <w:spacing w:after="0"/>
      </w:pPr>
      <w:r w:rsidRPr="00A300A0">
        <w:t xml:space="preserve">Ngoran, B. S. &amp; </w:t>
      </w:r>
      <w:proofErr w:type="spellStart"/>
      <w:r w:rsidRPr="00A300A0">
        <w:t>Mougoue</w:t>
      </w:r>
      <w:proofErr w:type="spellEnd"/>
      <w:r w:rsidRPr="00A300A0">
        <w:t xml:space="preserve">, B. (2021). Impulse of decentralisation to citizen’s participation in the local development of Bamenda, Cameroon. Saudi Journal of Humanities and Social Sciences, 6(4), 122–132. </w:t>
      </w:r>
      <w:hyperlink r:id="rId23" w:history="1">
        <w:r w:rsidRPr="003B57E4">
          <w:rPr>
            <w:rStyle w:val="Hyperlink"/>
          </w:rPr>
          <w:t>https://doi.org/10.36348/sjhss.2021.v06i04.003</w:t>
        </w:r>
      </w:hyperlink>
      <w:r>
        <w:t>.</w:t>
      </w:r>
    </w:p>
    <w:p w14:paraId="02DDCE6F" w14:textId="77777777" w:rsidR="00A300A0" w:rsidRDefault="00A300A0" w:rsidP="00A300A0">
      <w:pPr>
        <w:pStyle w:val="Body"/>
        <w:numPr>
          <w:ilvl w:val="0"/>
          <w:numId w:val="31"/>
        </w:numPr>
        <w:spacing w:after="0"/>
      </w:pPr>
      <w:proofErr w:type="spellStart"/>
      <w:r w:rsidRPr="00A300A0">
        <w:t>Nange</w:t>
      </w:r>
      <w:proofErr w:type="spellEnd"/>
      <w:r w:rsidRPr="00A300A0">
        <w:t xml:space="preserve">, R. Y. &amp; </w:t>
      </w:r>
      <w:proofErr w:type="spellStart"/>
      <w:r w:rsidRPr="00A300A0">
        <w:t>Ozturen</w:t>
      </w:r>
      <w:proofErr w:type="spellEnd"/>
      <w:r w:rsidRPr="00A300A0">
        <w:t xml:space="preserve">, A. (2022). Urban decentralization and quality of life: Insights of tourism sector stakeholders in Cameroon. International Journal of Research – </w:t>
      </w:r>
      <w:proofErr w:type="spellStart"/>
      <w:r w:rsidRPr="00A300A0">
        <w:t>Granthaalayah</w:t>
      </w:r>
      <w:proofErr w:type="spellEnd"/>
      <w:r w:rsidRPr="00A300A0">
        <w:t xml:space="preserve">, 10(9), 153–172. </w:t>
      </w:r>
      <w:hyperlink r:id="rId24" w:history="1">
        <w:r w:rsidRPr="003B57E4">
          <w:rPr>
            <w:rStyle w:val="Hyperlink"/>
          </w:rPr>
          <w:t>https://doi.org/10.29121/granthaalayah.v10.i9.2022.4737</w:t>
        </w:r>
      </w:hyperlink>
      <w:r>
        <w:t>.</w:t>
      </w:r>
    </w:p>
    <w:p w14:paraId="124529DB" w14:textId="77777777" w:rsidR="00A300A0" w:rsidRDefault="00A300A0" w:rsidP="00A300A0">
      <w:pPr>
        <w:pStyle w:val="Body"/>
        <w:numPr>
          <w:ilvl w:val="0"/>
          <w:numId w:val="31"/>
        </w:numPr>
        <w:spacing w:after="0"/>
      </w:pPr>
      <w:proofErr w:type="spellStart"/>
      <w:r w:rsidRPr="00A300A0">
        <w:lastRenderedPageBreak/>
        <w:t>Maluh</w:t>
      </w:r>
      <w:proofErr w:type="spellEnd"/>
      <w:r w:rsidRPr="00A300A0">
        <w:t xml:space="preserve">, N. (2024). Urban housing practices of policy implementation in Bamenda, Cameroon. Urban and Regional Planning. </w:t>
      </w:r>
      <w:hyperlink r:id="rId25" w:history="1">
        <w:r w:rsidRPr="003B57E4">
          <w:rPr>
            <w:rStyle w:val="Hyperlink"/>
          </w:rPr>
          <w:t>https://doi.org/10.11648/j.urp.20240903.15</w:t>
        </w:r>
      </w:hyperlink>
      <w:r>
        <w:t>.</w:t>
      </w:r>
    </w:p>
    <w:p w14:paraId="02636C83" w14:textId="77777777" w:rsidR="00A300A0" w:rsidRDefault="00A300A0" w:rsidP="00A300A0">
      <w:pPr>
        <w:pStyle w:val="Body"/>
        <w:numPr>
          <w:ilvl w:val="0"/>
          <w:numId w:val="31"/>
        </w:numPr>
        <w:spacing w:after="0"/>
      </w:pPr>
      <w:proofErr w:type="spellStart"/>
      <w:r w:rsidRPr="00A300A0">
        <w:t>Akenji</w:t>
      </w:r>
      <w:proofErr w:type="spellEnd"/>
      <w:r w:rsidRPr="00A300A0">
        <w:t xml:space="preserve">, J. M. &amp; Neba, W. S. (2025). Land tenure practices and substandard housing in Bamenda Urban, Northwest Cameroon. International Journal of Social Sciences and Humanities Invention, 12(1), 2–10. </w:t>
      </w:r>
      <w:hyperlink r:id="rId26" w:history="1">
        <w:r w:rsidRPr="003B57E4">
          <w:rPr>
            <w:rStyle w:val="Hyperlink"/>
          </w:rPr>
          <w:t>https://doi.org/10.18535/ijsshi/v12i01.02</w:t>
        </w:r>
      </w:hyperlink>
      <w:r>
        <w:t>.</w:t>
      </w:r>
    </w:p>
    <w:p w14:paraId="3B469FAD" w14:textId="77777777" w:rsidR="00A300A0" w:rsidRPr="00837EEC" w:rsidRDefault="00A300A0" w:rsidP="00A300A0">
      <w:pPr>
        <w:pStyle w:val="Body"/>
        <w:numPr>
          <w:ilvl w:val="0"/>
          <w:numId w:val="31"/>
        </w:numPr>
        <w:spacing w:after="0"/>
        <w:rPr>
          <w:lang w:val="es-US"/>
        </w:rPr>
      </w:pPr>
      <w:r w:rsidRPr="00A300A0">
        <w:t xml:space="preserve">United Nations Human Settlements Programme (UN-Habitat). (2010). The state of African cities 2010: Governance, inequalities and urban land markets. </w:t>
      </w:r>
      <w:r w:rsidRPr="00837EEC">
        <w:rPr>
          <w:lang w:val="es-US"/>
        </w:rPr>
        <w:t>Nairobi, Kenya: UN-</w:t>
      </w:r>
      <w:proofErr w:type="spellStart"/>
      <w:r w:rsidRPr="00837EEC">
        <w:rPr>
          <w:lang w:val="es-US"/>
        </w:rPr>
        <w:t>Habitat</w:t>
      </w:r>
      <w:proofErr w:type="spellEnd"/>
      <w:r w:rsidRPr="00837EEC">
        <w:rPr>
          <w:lang w:val="es-US"/>
        </w:rPr>
        <w:t xml:space="preserve">. </w:t>
      </w:r>
      <w:proofErr w:type="spellStart"/>
      <w:r w:rsidRPr="00837EEC">
        <w:rPr>
          <w:lang w:val="es-US"/>
        </w:rPr>
        <w:t>Retrieved</w:t>
      </w:r>
      <w:proofErr w:type="spellEnd"/>
      <w:r w:rsidRPr="00837EEC">
        <w:rPr>
          <w:lang w:val="es-US"/>
        </w:rPr>
        <w:t xml:space="preserve"> </w:t>
      </w:r>
      <w:proofErr w:type="spellStart"/>
      <w:r w:rsidRPr="00837EEC">
        <w:rPr>
          <w:lang w:val="es-US"/>
        </w:rPr>
        <w:t>from</w:t>
      </w:r>
      <w:proofErr w:type="spellEnd"/>
      <w:r w:rsidRPr="00837EEC">
        <w:rPr>
          <w:lang w:val="es-US"/>
        </w:rPr>
        <w:t xml:space="preserve"> https://unhabitat.org/state-of-african-cities-2010-governance-inequalities-and-urban-land-markets-2 UN </w:t>
      </w:r>
      <w:proofErr w:type="spellStart"/>
      <w:r w:rsidRPr="00837EEC">
        <w:rPr>
          <w:lang w:val="es-US"/>
        </w:rPr>
        <w:t>Habitat</w:t>
      </w:r>
      <w:proofErr w:type="spellEnd"/>
      <w:r w:rsidRPr="00837EEC">
        <w:rPr>
          <w:lang w:val="es-US"/>
        </w:rPr>
        <w:t>.</w:t>
      </w:r>
    </w:p>
    <w:p w14:paraId="1F6891A2" w14:textId="77777777" w:rsidR="00A300A0" w:rsidRDefault="00A300A0" w:rsidP="00A300A0">
      <w:pPr>
        <w:pStyle w:val="Body"/>
        <w:numPr>
          <w:ilvl w:val="0"/>
          <w:numId w:val="31"/>
        </w:numPr>
        <w:spacing w:after="0"/>
      </w:pPr>
      <w:r w:rsidRPr="00A300A0">
        <w:t>United Nations. (2016). New Urban Agenda. Outcome Document of the United Nations Conference on Housing and Sustainable Urban Development (Habitat III). New York, NY: United Nations.</w:t>
      </w:r>
    </w:p>
    <w:p w14:paraId="09A7BFE8" w14:textId="77777777" w:rsidR="00A300A0" w:rsidRDefault="00A300A0" w:rsidP="00A300A0">
      <w:pPr>
        <w:pStyle w:val="Body"/>
        <w:numPr>
          <w:ilvl w:val="0"/>
          <w:numId w:val="31"/>
        </w:numPr>
        <w:spacing w:after="0"/>
      </w:pPr>
      <w:r w:rsidRPr="00A300A0">
        <w:t>United Nations. (2015). Housing at the centre. In New Urban Agenda — Habitat III. New York: United Nations.</w:t>
      </w:r>
    </w:p>
    <w:p w14:paraId="52428F09" w14:textId="77777777" w:rsidR="009E08F6" w:rsidRDefault="0067554A" w:rsidP="00A300A0">
      <w:pPr>
        <w:pStyle w:val="Body"/>
        <w:numPr>
          <w:ilvl w:val="0"/>
          <w:numId w:val="31"/>
        </w:numPr>
        <w:spacing w:after="0"/>
      </w:pPr>
      <w:proofErr w:type="spellStart"/>
      <w:r>
        <w:t>Mbaku</w:t>
      </w:r>
      <w:proofErr w:type="spellEnd"/>
      <w:r>
        <w:t>, R.C. (2025). Urban markets congestion and effectiveness of accessibility planning options in Bamenda city, Cameroon. Unpublished MSc Dissertation, The University of Bamenda, 176p.</w:t>
      </w:r>
    </w:p>
    <w:p w14:paraId="217AC41A" w14:textId="77777777" w:rsidR="009E08F6" w:rsidRPr="00837EEC" w:rsidRDefault="0067554A" w:rsidP="00A300A0">
      <w:pPr>
        <w:pStyle w:val="Body"/>
        <w:numPr>
          <w:ilvl w:val="0"/>
          <w:numId w:val="31"/>
        </w:numPr>
        <w:spacing w:after="0"/>
        <w:rPr>
          <w:highlight w:val="yellow"/>
        </w:rPr>
      </w:pPr>
      <w:r>
        <w:t xml:space="preserve"> </w:t>
      </w:r>
      <w:proofErr w:type="spellStart"/>
      <w:r w:rsidR="009E08F6" w:rsidRPr="00837EEC">
        <w:rPr>
          <w:highlight w:val="yellow"/>
        </w:rPr>
        <w:t>Monastyrskyi</w:t>
      </w:r>
      <w:proofErr w:type="spellEnd"/>
      <w:r w:rsidR="009E08F6" w:rsidRPr="00837EEC">
        <w:rPr>
          <w:highlight w:val="yellow"/>
        </w:rPr>
        <w:t xml:space="preserve">, G., Khudyk, D., Pilat, R., Fedenchuk, S., &amp; </w:t>
      </w:r>
      <w:proofErr w:type="spellStart"/>
      <w:r w:rsidR="009E08F6" w:rsidRPr="00837EEC">
        <w:rPr>
          <w:highlight w:val="yellow"/>
        </w:rPr>
        <w:t>Kisilevych</w:t>
      </w:r>
      <w:proofErr w:type="spellEnd"/>
      <w:r w:rsidR="009E08F6" w:rsidRPr="00837EEC">
        <w:rPr>
          <w:highlight w:val="yellow"/>
        </w:rPr>
        <w:t xml:space="preserve">, V. (2025). </w:t>
      </w:r>
      <w:proofErr w:type="spellStart"/>
      <w:r w:rsidR="009E08F6" w:rsidRPr="00837EEC">
        <w:rPr>
          <w:i/>
          <w:iCs/>
          <w:highlight w:val="yellow"/>
        </w:rPr>
        <w:t>Decentralisation</w:t>
      </w:r>
      <w:proofErr w:type="spellEnd"/>
      <w:r w:rsidR="009E08F6" w:rsidRPr="00837EEC">
        <w:rPr>
          <w:i/>
          <w:iCs/>
          <w:highlight w:val="yellow"/>
        </w:rPr>
        <w:t>: Exploring challenges, opportunities, and its role in strengthening local governance</w:t>
      </w:r>
      <w:r w:rsidR="009E08F6" w:rsidRPr="00837EEC">
        <w:rPr>
          <w:highlight w:val="yellow"/>
        </w:rPr>
        <w:t xml:space="preserve">. </w:t>
      </w:r>
      <w:r w:rsidR="009E08F6" w:rsidRPr="00837EEC">
        <w:rPr>
          <w:i/>
          <w:iCs/>
          <w:highlight w:val="yellow"/>
        </w:rPr>
        <w:t>Journal of Information Systems Engineering and Management, 10</w:t>
      </w:r>
      <w:r w:rsidR="009E08F6" w:rsidRPr="00837EEC">
        <w:rPr>
          <w:highlight w:val="yellow"/>
        </w:rPr>
        <w:t>(12s)</w:t>
      </w:r>
      <w:r w:rsidR="009E08F6" w:rsidRPr="00837EEC">
        <w:rPr>
          <w:highlight w:val="yellow"/>
        </w:rPr>
        <w:t xml:space="preserve"> </w:t>
      </w:r>
    </w:p>
    <w:p w14:paraId="11BF369C" w14:textId="77777777" w:rsidR="009E08F6" w:rsidRPr="00837EEC" w:rsidRDefault="009E08F6" w:rsidP="00A300A0">
      <w:pPr>
        <w:pStyle w:val="Body"/>
        <w:numPr>
          <w:ilvl w:val="0"/>
          <w:numId w:val="31"/>
        </w:numPr>
        <w:spacing w:after="0"/>
        <w:rPr>
          <w:highlight w:val="yellow"/>
        </w:rPr>
      </w:pPr>
      <w:proofErr w:type="spellStart"/>
      <w:r w:rsidRPr="00837EEC">
        <w:rPr>
          <w:highlight w:val="yellow"/>
        </w:rPr>
        <w:t>Uduokhai</w:t>
      </w:r>
      <w:proofErr w:type="spellEnd"/>
      <w:r w:rsidRPr="00837EEC">
        <w:rPr>
          <w:highlight w:val="yellow"/>
        </w:rPr>
        <w:t>, D. O., Nwafor, M. I., Sanusi, A. N., &amp; Patrick, B. M. (2023). Critical Review of Housing Policy Implementation Strategies in Sub-Saharan African Urban Economies. </w:t>
      </w:r>
      <w:r w:rsidRPr="00837EEC">
        <w:rPr>
          <w:i/>
          <w:iCs/>
          <w:highlight w:val="yellow"/>
        </w:rPr>
        <w:t>DOI: https://doi. org/10.32628/SHISRRJ236927</w:t>
      </w:r>
      <w:r w:rsidRPr="00837EEC">
        <w:rPr>
          <w:highlight w:val="yellow"/>
        </w:rPr>
        <w:t>.</w:t>
      </w:r>
      <w:r w:rsidRPr="00837EEC">
        <w:rPr>
          <w:highlight w:val="yellow"/>
        </w:rPr>
        <w:t xml:space="preserve"> </w:t>
      </w:r>
    </w:p>
    <w:p w14:paraId="0379E8C6" w14:textId="15F5CCD1" w:rsidR="00A300A0" w:rsidRPr="00837EEC" w:rsidRDefault="009E08F6" w:rsidP="00A300A0">
      <w:pPr>
        <w:pStyle w:val="Body"/>
        <w:numPr>
          <w:ilvl w:val="0"/>
          <w:numId w:val="31"/>
        </w:numPr>
        <w:spacing w:after="0"/>
        <w:rPr>
          <w:highlight w:val="yellow"/>
        </w:rPr>
      </w:pPr>
      <w:r w:rsidRPr="00837EEC">
        <w:rPr>
          <w:highlight w:val="yellow"/>
        </w:rPr>
        <w:t>KOMBE, W. J. (2022). A review of housing policies and their relevance to vulnerable households in Sub Saharan Africa. </w:t>
      </w:r>
      <w:r w:rsidRPr="00837EEC">
        <w:rPr>
          <w:i/>
          <w:iCs/>
          <w:highlight w:val="yellow"/>
        </w:rPr>
        <w:t>International Journal of Social Science Research and Review</w:t>
      </w:r>
      <w:r w:rsidRPr="00837EEC">
        <w:rPr>
          <w:highlight w:val="yellow"/>
        </w:rPr>
        <w:t>.</w:t>
      </w:r>
    </w:p>
    <w:p w14:paraId="76E39DF6" w14:textId="77777777" w:rsidR="00A300A0" w:rsidRDefault="00A300A0" w:rsidP="00441B6F">
      <w:pPr>
        <w:pStyle w:val="Body"/>
        <w:spacing w:after="0"/>
      </w:pPr>
    </w:p>
    <w:p w14:paraId="152FE2C0" w14:textId="77777777" w:rsidR="004D4277" w:rsidRPr="00FB3A86" w:rsidRDefault="004D4277" w:rsidP="00441B6F">
      <w:pPr>
        <w:pStyle w:val="Appendix"/>
        <w:spacing w:after="0"/>
        <w:jc w:val="both"/>
        <w:rPr>
          <w:rFonts w:ascii="Arial" w:hAnsi="Arial" w:cs="Arial"/>
          <w:b w:val="0"/>
        </w:rPr>
        <w:sectPr w:rsidR="004D4277" w:rsidRPr="00FB3A86" w:rsidSect="007B278F">
          <w:headerReference w:type="even" r:id="rId27"/>
          <w:headerReference w:type="default" r:id="rId28"/>
          <w:footerReference w:type="default" r:id="rId29"/>
          <w:headerReference w:type="first" r:id="rId30"/>
          <w:type w:val="continuous"/>
          <w:pgSz w:w="12240" w:h="15840"/>
          <w:pgMar w:top="1440" w:right="2016" w:bottom="2016" w:left="2016" w:header="720" w:footer="1123" w:gutter="0"/>
          <w:cols w:space="720"/>
          <w:docGrid w:linePitch="272"/>
        </w:sectPr>
      </w:pPr>
    </w:p>
    <w:p w14:paraId="691AA74E" w14:textId="77777777" w:rsidR="00B01FCD" w:rsidRPr="00FB3A86" w:rsidRDefault="00B01FCD" w:rsidP="00441B6F">
      <w:pPr>
        <w:pStyle w:val="Appendix"/>
        <w:spacing w:after="0"/>
        <w:jc w:val="both"/>
        <w:rPr>
          <w:rFonts w:ascii="Arial" w:hAnsi="Arial" w:cs="Arial"/>
          <w:b w:val="0"/>
        </w:rPr>
      </w:pPr>
    </w:p>
    <w:sectPr w:rsidR="00B01FCD" w:rsidRPr="00FB3A86" w:rsidSect="007B278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7C44F" w14:textId="77777777" w:rsidR="00F36ED5" w:rsidRDefault="00F36ED5" w:rsidP="00C37E61">
      <w:r>
        <w:separator/>
      </w:r>
    </w:p>
  </w:endnote>
  <w:endnote w:type="continuationSeparator" w:id="0">
    <w:p w14:paraId="71925190" w14:textId="77777777" w:rsidR="00F36ED5" w:rsidRDefault="00F36ED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81869" w14:textId="77777777" w:rsidR="007B278F" w:rsidRDefault="007B27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E0252" w14:textId="77777777" w:rsidR="007B278F" w:rsidRDefault="007B27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A551" w14:textId="13F09512" w:rsidR="007E71E2" w:rsidRPr="00290D0E" w:rsidRDefault="007E71E2" w:rsidP="00290D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8AE3" w14:textId="77777777" w:rsidR="007E71E2" w:rsidRPr="00C37E61" w:rsidRDefault="007E71E2"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43E58" w14:textId="77777777" w:rsidR="00F36ED5" w:rsidRDefault="00F36ED5" w:rsidP="00C37E61">
      <w:r>
        <w:separator/>
      </w:r>
    </w:p>
  </w:footnote>
  <w:footnote w:type="continuationSeparator" w:id="0">
    <w:p w14:paraId="72729D44" w14:textId="77777777" w:rsidR="00F36ED5" w:rsidRDefault="00F36ED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FEDD" w14:textId="736B7558" w:rsidR="007B278F" w:rsidRDefault="00000000">
    <w:pPr>
      <w:pStyle w:val="Header"/>
    </w:pPr>
    <w:r>
      <w:rPr>
        <w:noProof/>
      </w:rPr>
      <w:pict w14:anchorId="62690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684157"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BCD6" w14:textId="319B5BD7" w:rsidR="007B278F" w:rsidRDefault="00000000">
    <w:pPr>
      <w:pStyle w:val="Header"/>
    </w:pPr>
    <w:r>
      <w:rPr>
        <w:noProof/>
      </w:rPr>
      <w:pict w14:anchorId="4F5602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684158"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A3A78" w14:textId="5CD1449D" w:rsidR="007E71E2" w:rsidRPr="00296529" w:rsidRDefault="00000000" w:rsidP="00296529">
    <w:pPr>
      <w:ind w:left="2160"/>
      <w:jc w:val="center"/>
      <w:rPr>
        <w:rFonts w:ascii="Times New Roman" w:eastAsia="Calibri" w:hAnsi="Times New Roman"/>
        <w:i/>
        <w:sz w:val="18"/>
        <w:szCs w:val="22"/>
      </w:rPr>
    </w:pPr>
    <w:r>
      <w:rPr>
        <w:noProof/>
      </w:rPr>
      <w:pict w14:anchorId="7F9A48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684156"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701E7BB" w14:textId="77777777" w:rsidR="007E71E2" w:rsidRPr="00296529" w:rsidRDefault="007E71E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F23DE7A" w14:textId="77777777" w:rsidR="007E71E2" w:rsidRPr="00296529" w:rsidRDefault="007E71E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E1ADD97" w14:textId="77777777" w:rsidR="007E71E2" w:rsidRPr="00296529" w:rsidRDefault="007E71E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7B3B9A8" w14:textId="77777777" w:rsidR="007E71E2" w:rsidRDefault="007E71E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E626AB" w14:textId="77777777" w:rsidR="007E71E2" w:rsidRDefault="007E71E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C663048" w14:textId="77777777" w:rsidR="007E71E2" w:rsidRDefault="007E71E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0285" w14:textId="3324A360" w:rsidR="007B278F" w:rsidRDefault="00000000">
    <w:pPr>
      <w:pStyle w:val="Header"/>
    </w:pPr>
    <w:r>
      <w:rPr>
        <w:noProof/>
      </w:rPr>
      <w:pict w14:anchorId="29C2D9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684160"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5F067" w14:textId="53A4DF8A" w:rsidR="007B278F" w:rsidRDefault="00000000">
    <w:pPr>
      <w:pStyle w:val="Header"/>
    </w:pPr>
    <w:r>
      <w:rPr>
        <w:noProof/>
      </w:rPr>
      <w:pict w14:anchorId="6D1EDA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684161"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01D29" w14:textId="4E0CBCD4" w:rsidR="007B278F" w:rsidRDefault="00000000">
    <w:pPr>
      <w:pStyle w:val="Header"/>
    </w:pPr>
    <w:r>
      <w:rPr>
        <w:noProof/>
      </w:rPr>
      <w:pict w14:anchorId="1881FE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684159"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2E55C8"/>
    <w:multiLevelType w:val="hybridMultilevel"/>
    <w:tmpl w:val="B53074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241083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15783964">
    <w:abstractNumId w:val="16"/>
  </w:num>
  <w:num w:numId="3" w16cid:durableId="179397506">
    <w:abstractNumId w:val="24"/>
  </w:num>
  <w:num w:numId="4" w16cid:durableId="9437346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08915081">
    <w:abstractNumId w:val="7"/>
  </w:num>
  <w:num w:numId="6" w16cid:durableId="1315333002">
    <w:abstractNumId w:val="6"/>
  </w:num>
  <w:num w:numId="7" w16cid:durableId="858932830">
    <w:abstractNumId w:val="1"/>
  </w:num>
  <w:num w:numId="8" w16cid:durableId="2109545562">
    <w:abstractNumId w:val="13"/>
  </w:num>
  <w:num w:numId="9" w16cid:durableId="136384750">
    <w:abstractNumId w:val="26"/>
  </w:num>
  <w:num w:numId="10" w16cid:durableId="1540363077">
    <w:abstractNumId w:val="2"/>
  </w:num>
  <w:num w:numId="11" w16cid:durableId="1685475497">
    <w:abstractNumId w:val="19"/>
  </w:num>
  <w:num w:numId="12" w16cid:durableId="2035303292">
    <w:abstractNumId w:val="3"/>
  </w:num>
  <w:num w:numId="13" w16cid:durableId="1514105168">
    <w:abstractNumId w:val="18"/>
  </w:num>
  <w:num w:numId="14" w16cid:durableId="336230467">
    <w:abstractNumId w:val="9"/>
  </w:num>
  <w:num w:numId="15" w16cid:durableId="1833838216">
    <w:abstractNumId w:val="22"/>
  </w:num>
  <w:num w:numId="16" w16cid:durableId="181939191">
    <w:abstractNumId w:val="5"/>
  </w:num>
  <w:num w:numId="17" w16cid:durableId="516625036">
    <w:abstractNumId w:val="23"/>
  </w:num>
  <w:num w:numId="18" w16cid:durableId="1861964024">
    <w:abstractNumId w:val="15"/>
  </w:num>
  <w:num w:numId="19" w16cid:durableId="1697385926">
    <w:abstractNumId w:val="29"/>
  </w:num>
  <w:num w:numId="20" w16cid:durableId="1930500628">
    <w:abstractNumId w:val="12"/>
  </w:num>
  <w:num w:numId="21" w16cid:durableId="739594725">
    <w:abstractNumId w:val="10"/>
  </w:num>
  <w:num w:numId="22" w16cid:durableId="2026009077">
    <w:abstractNumId w:val="14"/>
  </w:num>
  <w:num w:numId="23" w16cid:durableId="1085300928">
    <w:abstractNumId w:val="20"/>
  </w:num>
  <w:num w:numId="24" w16cid:durableId="1574318804">
    <w:abstractNumId w:val="27"/>
  </w:num>
  <w:num w:numId="25" w16cid:durableId="999577759">
    <w:abstractNumId w:val="4"/>
  </w:num>
  <w:num w:numId="26" w16cid:durableId="1626039856">
    <w:abstractNumId w:val="17"/>
  </w:num>
  <w:num w:numId="27" w16cid:durableId="1292322211">
    <w:abstractNumId w:val="21"/>
  </w:num>
  <w:num w:numId="28" w16cid:durableId="87120698">
    <w:abstractNumId w:val="28"/>
  </w:num>
  <w:num w:numId="29" w16cid:durableId="877350985">
    <w:abstractNumId w:val="25"/>
  </w:num>
  <w:num w:numId="30" w16cid:durableId="84495817">
    <w:abstractNumId w:val="11"/>
  </w:num>
  <w:num w:numId="31" w16cid:durableId="19426387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I0NzawtLAwMDe0MDRS0lEKTi0uzszPAykwrAUAeQE/+CwAAAA="/>
  </w:docVars>
  <w:rsids>
    <w:rsidRoot w:val="00AA6219"/>
    <w:rsid w:val="00000F8F"/>
    <w:rsid w:val="00030174"/>
    <w:rsid w:val="0004579C"/>
    <w:rsid w:val="00067757"/>
    <w:rsid w:val="000A47FA"/>
    <w:rsid w:val="000A65D3"/>
    <w:rsid w:val="000B1E33"/>
    <w:rsid w:val="000D689F"/>
    <w:rsid w:val="000E7B7B"/>
    <w:rsid w:val="000E7D62"/>
    <w:rsid w:val="00103357"/>
    <w:rsid w:val="00123C9F"/>
    <w:rsid w:val="00126190"/>
    <w:rsid w:val="00130F17"/>
    <w:rsid w:val="001320BF"/>
    <w:rsid w:val="00163BC4"/>
    <w:rsid w:val="00164F75"/>
    <w:rsid w:val="0017215F"/>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0D0E"/>
    <w:rsid w:val="00296529"/>
    <w:rsid w:val="002B27FB"/>
    <w:rsid w:val="002B685A"/>
    <w:rsid w:val="002C57D2"/>
    <w:rsid w:val="002E069F"/>
    <w:rsid w:val="002E0D56"/>
    <w:rsid w:val="00315186"/>
    <w:rsid w:val="0033343E"/>
    <w:rsid w:val="003512C2"/>
    <w:rsid w:val="00371FB6"/>
    <w:rsid w:val="00375FE9"/>
    <w:rsid w:val="003763C1"/>
    <w:rsid w:val="00376BBE"/>
    <w:rsid w:val="0039224F"/>
    <w:rsid w:val="003A41EE"/>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56353"/>
    <w:rsid w:val="00471A80"/>
    <w:rsid w:val="004D305E"/>
    <w:rsid w:val="004D4277"/>
    <w:rsid w:val="00502516"/>
    <w:rsid w:val="00505F06"/>
    <w:rsid w:val="00506828"/>
    <w:rsid w:val="0053056E"/>
    <w:rsid w:val="00554FDA"/>
    <w:rsid w:val="005B17A0"/>
    <w:rsid w:val="005C784C"/>
    <w:rsid w:val="005D17F6"/>
    <w:rsid w:val="005E5539"/>
    <w:rsid w:val="005E65A9"/>
    <w:rsid w:val="00602BF5"/>
    <w:rsid w:val="00607AFE"/>
    <w:rsid w:val="00617FDD"/>
    <w:rsid w:val="00633614"/>
    <w:rsid w:val="00633F68"/>
    <w:rsid w:val="00636EB2"/>
    <w:rsid w:val="006375B8"/>
    <w:rsid w:val="0066510A"/>
    <w:rsid w:val="00673F9F"/>
    <w:rsid w:val="0067554A"/>
    <w:rsid w:val="00686953"/>
    <w:rsid w:val="00687DEA"/>
    <w:rsid w:val="00687E67"/>
    <w:rsid w:val="006967F7"/>
    <w:rsid w:val="006A250C"/>
    <w:rsid w:val="006B21D3"/>
    <w:rsid w:val="006B57D0"/>
    <w:rsid w:val="006D30FF"/>
    <w:rsid w:val="006D6940"/>
    <w:rsid w:val="006E4AC5"/>
    <w:rsid w:val="006F11EC"/>
    <w:rsid w:val="0070082C"/>
    <w:rsid w:val="007369E6"/>
    <w:rsid w:val="00746E59"/>
    <w:rsid w:val="00754C9A"/>
    <w:rsid w:val="0075599A"/>
    <w:rsid w:val="00761D52"/>
    <w:rsid w:val="0077749E"/>
    <w:rsid w:val="00790ADA"/>
    <w:rsid w:val="007B278F"/>
    <w:rsid w:val="007D2288"/>
    <w:rsid w:val="007E088F"/>
    <w:rsid w:val="007E71E2"/>
    <w:rsid w:val="007F7B32"/>
    <w:rsid w:val="00804BC2"/>
    <w:rsid w:val="00810D7C"/>
    <w:rsid w:val="0081431A"/>
    <w:rsid w:val="0083216F"/>
    <w:rsid w:val="00837EEC"/>
    <w:rsid w:val="00860000"/>
    <w:rsid w:val="00863BD3"/>
    <w:rsid w:val="008641ED"/>
    <w:rsid w:val="00866D66"/>
    <w:rsid w:val="008671C6"/>
    <w:rsid w:val="00874021"/>
    <w:rsid w:val="00875803"/>
    <w:rsid w:val="008B459E"/>
    <w:rsid w:val="008E13AE"/>
    <w:rsid w:val="008E1506"/>
    <w:rsid w:val="008E710C"/>
    <w:rsid w:val="008F69D6"/>
    <w:rsid w:val="00902823"/>
    <w:rsid w:val="00914462"/>
    <w:rsid w:val="00915CA6"/>
    <w:rsid w:val="0092273E"/>
    <w:rsid w:val="00927834"/>
    <w:rsid w:val="009429A8"/>
    <w:rsid w:val="009500A6"/>
    <w:rsid w:val="00957C18"/>
    <w:rsid w:val="009659BA"/>
    <w:rsid w:val="00977718"/>
    <w:rsid w:val="00983040"/>
    <w:rsid w:val="00996012"/>
    <w:rsid w:val="009B3FB9"/>
    <w:rsid w:val="009C1BA4"/>
    <w:rsid w:val="009C2465"/>
    <w:rsid w:val="009D35A0"/>
    <w:rsid w:val="009D7EB7"/>
    <w:rsid w:val="009E048A"/>
    <w:rsid w:val="009E08E9"/>
    <w:rsid w:val="009E08F6"/>
    <w:rsid w:val="009E3DB9"/>
    <w:rsid w:val="009E6E35"/>
    <w:rsid w:val="009F0EDA"/>
    <w:rsid w:val="00A03B96"/>
    <w:rsid w:val="00A05B19"/>
    <w:rsid w:val="00A1134E"/>
    <w:rsid w:val="00A24E7E"/>
    <w:rsid w:val="00A258C3"/>
    <w:rsid w:val="00A300A0"/>
    <w:rsid w:val="00A347C0"/>
    <w:rsid w:val="00A51431"/>
    <w:rsid w:val="00A539AD"/>
    <w:rsid w:val="00A6670E"/>
    <w:rsid w:val="00A94063"/>
    <w:rsid w:val="00AA6219"/>
    <w:rsid w:val="00AA74E0"/>
    <w:rsid w:val="00AB703F"/>
    <w:rsid w:val="00AC3C64"/>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0141C"/>
    <w:rsid w:val="00C020C2"/>
    <w:rsid w:val="00C166EF"/>
    <w:rsid w:val="00C17EB0"/>
    <w:rsid w:val="00C21651"/>
    <w:rsid w:val="00C27F5F"/>
    <w:rsid w:val="00C30A0F"/>
    <w:rsid w:val="00C37E61"/>
    <w:rsid w:val="00C70F1B"/>
    <w:rsid w:val="00C71A47"/>
    <w:rsid w:val="00C7464C"/>
    <w:rsid w:val="00C85588"/>
    <w:rsid w:val="00CD6755"/>
    <w:rsid w:val="00CD6856"/>
    <w:rsid w:val="00CE0089"/>
    <w:rsid w:val="00CE793C"/>
    <w:rsid w:val="00CF193C"/>
    <w:rsid w:val="00D00F7D"/>
    <w:rsid w:val="00D173F1"/>
    <w:rsid w:val="00D34594"/>
    <w:rsid w:val="00D41704"/>
    <w:rsid w:val="00D74CB0"/>
    <w:rsid w:val="00D8295D"/>
    <w:rsid w:val="00DC2A65"/>
    <w:rsid w:val="00DE15F0"/>
    <w:rsid w:val="00DE5663"/>
    <w:rsid w:val="00DE78AA"/>
    <w:rsid w:val="00E053D0"/>
    <w:rsid w:val="00E15994"/>
    <w:rsid w:val="00E16E9D"/>
    <w:rsid w:val="00E3114E"/>
    <w:rsid w:val="00E31A70"/>
    <w:rsid w:val="00E35B02"/>
    <w:rsid w:val="00E66496"/>
    <w:rsid w:val="00E66B35"/>
    <w:rsid w:val="00E66E10"/>
    <w:rsid w:val="00E769F6"/>
    <w:rsid w:val="00E8407C"/>
    <w:rsid w:val="00E84F3C"/>
    <w:rsid w:val="00EA012C"/>
    <w:rsid w:val="00EB5C33"/>
    <w:rsid w:val="00EC6A55"/>
    <w:rsid w:val="00ED0288"/>
    <w:rsid w:val="00EE52CB"/>
    <w:rsid w:val="00EF581D"/>
    <w:rsid w:val="00EF7FD8"/>
    <w:rsid w:val="00F06F59"/>
    <w:rsid w:val="00F17988"/>
    <w:rsid w:val="00F36ED5"/>
    <w:rsid w:val="00F469F0"/>
    <w:rsid w:val="00F53273"/>
    <w:rsid w:val="00F755E4"/>
    <w:rsid w:val="00F77D02"/>
    <w:rsid w:val="00F97B97"/>
    <w:rsid w:val="00FB3A86"/>
    <w:rsid w:val="00FD1029"/>
    <w:rsid w:val="00FD36C8"/>
    <w:rsid w:val="00FF20E1"/>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592FD4"/>
  <w15:docId w15:val="{9512112C-854D-4232-9EC8-8B87FAD0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FD1029"/>
    <w:rPr>
      <w:color w:val="605E5C"/>
      <w:shd w:val="clear" w:color="auto" w:fill="E1DFDD"/>
    </w:rPr>
  </w:style>
  <w:style w:type="paragraph" w:styleId="NoSpacing">
    <w:name w:val="No Spacing"/>
    <w:uiPriority w:val="1"/>
    <w:qFormat/>
    <w:rsid w:val="0017215F"/>
    <w:rPr>
      <w:rFonts w:asciiTheme="minorHAnsi" w:eastAsiaTheme="minorHAnsi" w:hAnsiTheme="minorHAnsi" w:cstheme="minorBidi"/>
      <w:sz w:val="22"/>
      <w:szCs w:val="22"/>
      <w:lang w:val="en-GB"/>
    </w:rPr>
  </w:style>
  <w:style w:type="paragraph" w:styleId="Revision">
    <w:name w:val="Revision"/>
    <w:hidden/>
    <w:uiPriority w:val="99"/>
    <w:semiHidden/>
    <w:rsid w:val="00C020C2"/>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unhabitat.org/sites/default/files/download-manager-files/The%20State%20of%20the%20African%20Cities%20Report%202008.pdf" TargetMode="External"/><Relationship Id="rId26" Type="http://schemas.openxmlformats.org/officeDocument/2006/relationships/hyperlink" Target="https://doi.org/10.18535/ijsshi/v12i01.02" TargetMode="External"/><Relationship Id="rId3" Type="http://schemas.openxmlformats.org/officeDocument/2006/relationships/styles" Target="styles.xml"/><Relationship Id="rId21" Type="http://schemas.openxmlformats.org/officeDocument/2006/relationships/hyperlink" Target="https://doi.org/10.1016/j.ugj.2024.03.00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yperlink" Target="https://doi.org/10.11648/j.urp.20240903.15"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doi.org/10.2148/BENV.45.3.398"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9121/granthaalayah.v10.i9.2022.473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36348/sjhss.2021.v06i04.003"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9734/jgeesi/2019/v23i43018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4419/ijet.v7i3.21.17176" TargetMode="Externa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Benard\Downloads\eli%20questionair1.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Sheet1!$A$1:$A$8</c:f>
              <c:strCache>
                <c:ptCount val="8"/>
                <c:pt idx="0">
                  <c:v>Insufficient funding</c:v>
                </c:pt>
                <c:pt idx="1">
                  <c:v>Mismanagement </c:v>
                </c:pt>
                <c:pt idx="2">
                  <c:v>Poor process of the inhabitants</c:v>
                </c:pt>
                <c:pt idx="3">
                  <c:v>Non-mastery of decentralisation </c:v>
                </c:pt>
                <c:pt idx="4">
                  <c:v>Absence of effective control</c:v>
                </c:pt>
                <c:pt idx="5">
                  <c:v>State dominance</c:v>
                </c:pt>
                <c:pt idx="6">
                  <c:v>Institutional conflicts</c:v>
                </c:pt>
                <c:pt idx="7">
                  <c:v>Poor sensitisaton methods</c:v>
                </c:pt>
              </c:strCache>
            </c:strRef>
          </c:cat>
          <c:val>
            <c:numRef>
              <c:f>Sheet1!$B$1:$B$8</c:f>
              <c:numCache>
                <c:formatCode>General</c:formatCode>
                <c:ptCount val="8"/>
                <c:pt idx="0">
                  <c:v>76.19</c:v>
                </c:pt>
                <c:pt idx="1">
                  <c:v>47.62</c:v>
                </c:pt>
                <c:pt idx="2">
                  <c:v>50</c:v>
                </c:pt>
                <c:pt idx="3">
                  <c:v>42.86</c:v>
                </c:pt>
                <c:pt idx="4">
                  <c:v>11.9</c:v>
                </c:pt>
                <c:pt idx="5">
                  <c:v>19.05</c:v>
                </c:pt>
                <c:pt idx="6">
                  <c:v>2.38</c:v>
                </c:pt>
                <c:pt idx="7">
                  <c:v>1.43</c:v>
                </c:pt>
              </c:numCache>
            </c:numRef>
          </c:val>
          <c:extLst>
            <c:ext xmlns:c16="http://schemas.microsoft.com/office/drawing/2014/chart" uri="{C3380CC4-5D6E-409C-BE32-E72D297353CC}">
              <c16:uniqueId val="{00000000-712A-4A37-9CF1-B2EF94F2D0D5}"/>
            </c:ext>
          </c:extLst>
        </c:ser>
        <c:dLbls>
          <c:dLblPos val="outEnd"/>
          <c:showLegendKey val="0"/>
          <c:showVal val="1"/>
          <c:showCatName val="0"/>
          <c:showSerName val="0"/>
          <c:showPercent val="0"/>
          <c:showBubbleSize val="0"/>
        </c:dLbls>
        <c:gapWidth val="150"/>
        <c:axId val="183530496"/>
        <c:axId val="165601280"/>
      </c:barChart>
      <c:catAx>
        <c:axId val="183530496"/>
        <c:scaling>
          <c:orientation val="minMax"/>
        </c:scaling>
        <c:delete val="0"/>
        <c:axPos val="l"/>
        <c:title>
          <c:tx>
            <c:rich>
              <a:bodyPr rot="-5400000" vert="horz"/>
              <a:lstStyle/>
              <a:p>
                <a:pPr>
                  <a:defRPr/>
                </a:pPr>
                <a:r>
                  <a:rPr lang="en-US"/>
                  <a:t>Challenges</a:t>
                </a:r>
                <a:r>
                  <a:rPr lang="en-US" baseline="0"/>
                  <a:t> faced</a:t>
                </a:r>
                <a:endParaRPr lang="en-US"/>
              </a:p>
            </c:rich>
          </c:tx>
          <c:overlay val="0"/>
        </c:title>
        <c:numFmt formatCode="General" sourceLinked="0"/>
        <c:majorTickMark val="out"/>
        <c:minorTickMark val="none"/>
        <c:tickLblPos val="nextTo"/>
        <c:crossAx val="165601280"/>
        <c:crosses val="autoZero"/>
        <c:auto val="1"/>
        <c:lblAlgn val="ctr"/>
        <c:lblOffset val="100"/>
        <c:noMultiLvlLbl val="0"/>
      </c:catAx>
      <c:valAx>
        <c:axId val="165601280"/>
        <c:scaling>
          <c:orientation val="minMax"/>
        </c:scaling>
        <c:delete val="0"/>
        <c:axPos val="b"/>
        <c:title>
          <c:tx>
            <c:rich>
              <a:bodyPr/>
              <a:lstStyle/>
              <a:p>
                <a:pPr>
                  <a:defRPr/>
                </a:pPr>
                <a:r>
                  <a:rPr lang="en-US"/>
                  <a:t>Percentage</a:t>
                </a:r>
              </a:p>
            </c:rich>
          </c:tx>
          <c:overlay val="0"/>
        </c:title>
        <c:numFmt formatCode="General" sourceLinked="1"/>
        <c:majorTickMark val="out"/>
        <c:minorTickMark val="none"/>
        <c:tickLblPos val="nextTo"/>
        <c:crossAx val="18353049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Sheet2!$D$11</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Sheet2!$B$12:$B$18</c:f>
              <c:strCache>
                <c:ptCount val="7"/>
                <c:pt idx="0">
                  <c:v>Bamenda City Council Planning Department</c:v>
                </c:pt>
                <c:pt idx="1">
                  <c:v>Regional Delegation of Housing &amp; Urban Development</c:v>
                </c:pt>
                <c:pt idx="2">
                  <c:v>Traditional Authorities</c:v>
                </c:pt>
                <c:pt idx="3">
                  <c:v>Private Urban Planners/Consultants</c:v>
                </c:pt>
                <c:pt idx="4">
                  <c:v>Community Representatives</c:v>
                </c:pt>
                <c:pt idx="5">
                  <c:v>Ministry of Public Works</c:v>
                </c:pt>
                <c:pt idx="6">
                  <c:v>Academic Institutions</c:v>
                </c:pt>
              </c:strCache>
            </c:strRef>
          </c:cat>
          <c:val>
            <c:numRef>
              <c:f>Sheet2!$D$12:$D$18</c:f>
              <c:numCache>
                <c:formatCode>General</c:formatCode>
                <c:ptCount val="7"/>
                <c:pt idx="0">
                  <c:v>30</c:v>
                </c:pt>
                <c:pt idx="1">
                  <c:v>18.27</c:v>
                </c:pt>
                <c:pt idx="2">
                  <c:v>15</c:v>
                </c:pt>
                <c:pt idx="3">
                  <c:v>12.12</c:v>
                </c:pt>
                <c:pt idx="4">
                  <c:v>10.38</c:v>
                </c:pt>
                <c:pt idx="5">
                  <c:v>8.08</c:v>
                </c:pt>
                <c:pt idx="6">
                  <c:v>6.15</c:v>
                </c:pt>
              </c:numCache>
            </c:numRef>
          </c:val>
          <c:extLst>
            <c:ext xmlns:c16="http://schemas.microsoft.com/office/drawing/2014/chart" uri="{C3380CC4-5D6E-409C-BE32-E72D297353CC}">
              <c16:uniqueId val="{00000000-45AD-410A-BDA9-D4677C288674}"/>
            </c:ext>
          </c:extLst>
        </c:ser>
        <c:dLbls>
          <c:dLblPos val="outEnd"/>
          <c:showLegendKey val="0"/>
          <c:showVal val="1"/>
          <c:showCatName val="0"/>
          <c:showSerName val="0"/>
          <c:showPercent val="0"/>
          <c:showBubbleSize val="0"/>
        </c:dLbls>
        <c:gapWidth val="219"/>
        <c:overlap val="-27"/>
        <c:axId val="176431104"/>
        <c:axId val="165607616"/>
      </c:barChart>
      <c:catAx>
        <c:axId val="1764311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Planning Stakeholders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607616"/>
        <c:crosses val="autoZero"/>
        <c:auto val="1"/>
        <c:lblAlgn val="ctr"/>
        <c:lblOffset val="100"/>
        <c:noMultiLvlLbl val="0"/>
      </c:catAx>
      <c:valAx>
        <c:axId val="1656076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4311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7A37D-465F-447C-92D9-2C55FC4EB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116</TotalTime>
  <Pages>1</Pages>
  <Words>6289</Words>
  <Characters>35851</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42056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Editor-17</cp:lastModifiedBy>
  <cp:revision>32</cp:revision>
  <cp:lastPrinted>1999-07-06T11:00:00Z</cp:lastPrinted>
  <dcterms:created xsi:type="dcterms:W3CDTF">2026-03-24T13:34:00Z</dcterms:created>
  <dcterms:modified xsi:type="dcterms:W3CDTF">2026-05-11T12:10:00Z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3794179c-a20d-497c-82ba-e7578e1c729a</vt:lpwstr>
  </property>
</Properties>
</file>