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9DD2" w14:textId="77777777" w:rsidR="00017BD7" w:rsidRDefault="00017BD7" w:rsidP="00441B6F">
      <w:pPr>
        <w:pStyle w:val="Title"/>
        <w:spacing w:after="0"/>
        <w:jc w:val="both"/>
        <w:rPr>
          <w:rFonts w:ascii="Arial" w:hAnsi="Arial" w:cs="Arial"/>
        </w:rPr>
      </w:pPr>
    </w:p>
    <w:p w14:paraId="138823AD" w14:textId="470BB7E3" w:rsidR="00163BC4" w:rsidRPr="00163BC4" w:rsidRDefault="00245DE8" w:rsidP="00441B6F">
      <w:pPr>
        <w:pStyle w:val="Author"/>
        <w:spacing w:line="240" w:lineRule="auto"/>
        <w:rPr>
          <w:rFonts w:ascii="Arial" w:hAnsi="Arial" w:cs="Arial"/>
          <w:bCs/>
          <w:iCs/>
          <w:kern w:val="28"/>
          <w:sz w:val="36"/>
        </w:rPr>
      </w:pPr>
      <w:r>
        <w:rPr>
          <w:rFonts w:ascii="Arial" w:hAnsi="Arial" w:cs="Arial"/>
          <w:bCs/>
          <w:iCs/>
          <w:kern w:val="28"/>
          <w:sz w:val="36"/>
        </w:rPr>
        <w:t>Current Trends in European Dyslexia Research: A Systematic Review (2017-2025)</w:t>
      </w:r>
    </w:p>
    <w:p w14:paraId="68CD512D" w14:textId="77777777" w:rsidR="00A258C3" w:rsidRPr="00245DE8" w:rsidRDefault="00A258C3" w:rsidP="00441B6F">
      <w:pPr>
        <w:pStyle w:val="Author"/>
        <w:spacing w:line="240" w:lineRule="auto"/>
        <w:jc w:val="both"/>
        <w:rPr>
          <w:rFonts w:ascii="Arial" w:hAnsi="Arial" w:cs="Arial"/>
          <w:sz w:val="36"/>
          <w:lang w:val="en-GB"/>
        </w:rPr>
      </w:pPr>
    </w:p>
    <w:p w14:paraId="544D72AF" w14:textId="77777777" w:rsidR="00790ADA" w:rsidRDefault="00790ADA" w:rsidP="00441B6F">
      <w:pPr>
        <w:pStyle w:val="Affiliation"/>
        <w:spacing w:after="0" w:line="240" w:lineRule="auto"/>
        <w:jc w:val="both"/>
        <w:rPr>
          <w:rFonts w:ascii="Arial" w:hAnsi="Arial" w:cs="Arial"/>
        </w:rPr>
      </w:pPr>
    </w:p>
    <w:p w14:paraId="7567D1C7" w14:textId="77777777" w:rsidR="00F0213E" w:rsidRDefault="00F0213E" w:rsidP="00441B6F">
      <w:pPr>
        <w:pStyle w:val="Affiliation"/>
        <w:spacing w:after="0" w:line="240" w:lineRule="auto"/>
        <w:jc w:val="both"/>
        <w:rPr>
          <w:rFonts w:ascii="Arial" w:hAnsi="Arial" w:cs="Arial"/>
        </w:rPr>
      </w:pPr>
    </w:p>
    <w:p w14:paraId="17961DB7" w14:textId="77777777" w:rsidR="00F0213E" w:rsidRDefault="00F0213E" w:rsidP="00441B6F">
      <w:pPr>
        <w:pStyle w:val="Affiliation"/>
        <w:spacing w:after="0" w:line="240" w:lineRule="auto"/>
        <w:jc w:val="both"/>
        <w:rPr>
          <w:rFonts w:ascii="Arial" w:hAnsi="Arial" w:cs="Arial"/>
        </w:rPr>
      </w:pPr>
    </w:p>
    <w:p w14:paraId="6CE5FFA9" w14:textId="77777777" w:rsidR="00F0213E" w:rsidRDefault="00F0213E" w:rsidP="00441B6F">
      <w:pPr>
        <w:pStyle w:val="Affiliation"/>
        <w:spacing w:after="0" w:line="240" w:lineRule="auto"/>
        <w:jc w:val="both"/>
        <w:rPr>
          <w:rFonts w:ascii="Arial" w:hAnsi="Arial" w:cs="Arial"/>
        </w:rPr>
      </w:pPr>
    </w:p>
    <w:p w14:paraId="3A359098" w14:textId="77777777" w:rsidR="002C57D2" w:rsidRPr="00FB3A86" w:rsidRDefault="002C57D2" w:rsidP="00441B6F">
      <w:pPr>
        <w:pStyle w:val="Affiliation"/>
        <w:spacing w:after="0" w:line="240" w:lineRule="auto"/>
        <w:jc w:val="both"/>
        <w:rPr>
          <w:rFonts w:ascii="Arial" w:hAnsi="Arial" w:cs="Arial"/>
        </w:rPr>
      </w:pPr>
    </w:p>
    <w:p w14:paraId="11FD4264" w14:textId="6E207D4C" w:rsidR="00B01FCD" w:rsidRPr="00FB3A86" w:rsidRDefault="007D3F72" w:rsidP="00441B6F">
      <w:pPr>
        <w:pStyle w:val="Copyright"/>
        <w:spacing w:after="0" w:line="240" w:lineRule="auto"/>
        <w:jc w:val="both"/>
        <w:rPr>
          <w:rFonts w:ascii="Arial" w:hAnsi="Arial" w:cs="Arial"/>
        </w:rPr>
        <w:sectPr w:rsidR="00B01FCD" w:rsidRPr="00FB3A86" w:rsidSect="00501E9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E8A2D6" wp14:editId="3142E38E">
                <wp:extent cx="5303520" cy="635"/>
                <wp:effectExtent l="13335" t="16510" r="17145" b="12065"/>
                <wp:docPr id="163203900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5206F1" id="_x0000_t32" coordsize="21600,21600" o:spt="32" o:oned="t" path="m,l21600,21600e" filled="f">
                <v:path arrowok="t" fillok="f" o:connecttype="none"/>
                <o:lock v:ext="edit" shapetype="t"/>
              </v:shapetype>
              <v:shape id="AutoShape 18"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07259C4" w14:textId="7784BDA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EA949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23DDA99" w14:textId="77777777" w:rsidTr="001E44FE">
        <w:tc>
          <w:tcPr>
            <w:tcW w:w="9576" w:type="dxa"/>
            <w:shd w:val="clear" w:color="auto" w:fill="F2F2F2"/>
          </w:tcPr>
          <w:p w14:paraId="6784AE96" w14:textId="47BB4FC4" w:rsidR="00CE5E12" w:rsidRDefault="00CE5E12" w:rsidP="002C5718">
            <w:pPr>
              <w:pStyle w:val="Body"/>
              <w:spacing w:after="0"/>
              <w:rPr>
                <w:rFonts w:ascii="Arial" w:eastAsia="Calibri" w:hAnsi="Arial" w:cs="Arial"/>
                <w:b/>
                <w:bCs/>
                <w:szCs w:val="22"/>
                <w:lang w:val="en-GB"/>
              </w:rPr>
            </w:pPr>
            <w:r>
              <w:rPr>
                <w:rFonts w:ascii="Arial" w:eastAsia="Calibri" w:hAnsi="Arial" w:cs="Arial"/>
                <w:b/>
                <w:bCs/>
                <w:szCs w:val="22"/>
                <w:lang w:val="en-GB"/>
              </w:rPr>
              <w:t xml:space="preserve">Background: </w:t>
            </w:r>
            <w:r w:rsidRPr="00CE5E12">
              <w:rPr>
                <w:rFonts w:ascii="Arial" w:eastAsia="Calibri" w:hAnsi="Arial" w:cs="Arial"/>
                <w:szCs w:val="22"/>
                <w:lang w:val="en-GB"/>
              </w:rPr>
              <w:t>Developmental dyslexia is a neurodevelopmental learning disorder marked by persistent difficulties in reading, spelling, and word decoding despite normal intelligence and education, affecting about 5–10% of people worldwide.</w:t>
            </w:r>
          </w:p>
          <w:p w14:paraId="04C21B92" w14:textId="29EF971B" w:rsidR="002C5718" w:rsidRDefault="002C5718" w:rsidP="002C5718">
            <w:pPr>
              <w:pStyle w:val="Body"/>
              <w:spacing w:after="0"/>
              <w:rPr>
                <w:rFonts w:ascii="Arial" w:eastAsia="Calibri" w:hAnsi="Arial" w:cs="Arial"/>
                <w:szCs w:val="22"/>
                <w:lang w:val="en-GB"/>
              </w:rPr>
            </w:pPr>
            <w:r w:rsidRPr="002C5718">
              <w:rPr>
                <w:rFonts w:ascii="Arial" w:eastAsia="Calibri" w:hAnsi="Arial" w:cs="Arial"/>
                <w:b/>
                <w:bCs/>
                <w:szCs w:val="22"/>
                <w:lang w:val="en-GB"/>
              </w:rPr>
              <w:t>Aims:</w:t>
            </w:r>
            <w:r w:rsidRPr="002C5718">
              <w:rPr>
                <w:rFonts w:ascii="Arial" w:eastAsia="Calibri" w:hAnsi="Arial" w:cs="Arial"/>
                <w:szCs w:val="22"/>
                <w:lang w:val="en-GB"/>
              </w:rPr>
              <w:t xml:space="preserve"> This systematic review aimed to synthesize contemporary European dyslexia research published between 2017 and 2025. The review focused on conceptual foundations, developmental trajectories, assessment and differential diagnostics, intervention and educational practice, psychosocial dimensions, and lifespan perspectives in order to identify major research trends, methodological developments, and emerging challenges within European dyslexia research.</w:t>
            </w:r>
          </w:p>
          <w:p w14:paraId="3A47D06F" w14:textId="77777777" w:rsidR="002C5718" w:rsidRPr="002C5718" w:rsidRDefault="002C5718" w:rsidP="002C5718">
            <w:pPr>
              <w:pStyle w:val="Body"/>
              <w:spacing w:after="0"/>
              <w:rPr>
                <w:rFonts w:ascii="Arial" w:eastAsia="Calibri" w:hAnsi="Arial" w:cs="Arial"/>
                <w:szCs w:val="22"/>
                <w:lang w:val="en-GB"/>
              </w:rPr>
            </w:pPr>
          </w:p>
          <w:p w14:paraId="25A86072" w14:textId="77777777" w:rsidR="002C5718" w:rsidRDefault="002C5718" w:rsidP="002C5718">
            <w:pPr>
              <w:pStyle w:val="Body"/>
              <w:spacing w:after="0"/>
              <w:rPr>
                <w:rFonts w:ascii="Arial" w:eastAsia="Calibri" w:hAnsi="Arial" w:cs="Arial"/>
                <w:szCs w:val="22"/>
                <w:lang w:val="en-GB"/>
              </w:rPr>
            </w:pPr>
            <w:r w:rsidRPr="002C5718">
              <w:rPr>
                <w:rFonts w:ascii="Arial" w:eastAsia="Calibri" w:hAnsi="Arial" w:cs="Arial"/>
                <w:b/>
                <w:bCs/>
                <w:szCs w:val="22"/>
                <w:lang w:val="en-GB"/>
              </w:rPr>
              <w:t>Study Design:</w:t>
            </w:r>
            <w:r w:rsidRPr="002C5718">
              <w:rPr>
                <w:rFonts w:ascii="Arial" w:eastAsia="Calibri" w:hAnsi="Arial" w:cs="Arial"/>
                <w:szCs w:val="22"/>
                <w:lang w:val="en-GB"/>
              </w:rPr>
              <w:t xml:space="preserve"> Systematic literature review.</w:t>
            </w:r>
          </w:p>
          <w:p w14:paraId="044B790C" w14:textId="77777777" w:rsidR="002C5718" w:rsidRPr="002C5718" w:rsidRDefault="002C5718" w:rsidP="002C5718">
            <w:pPr>
              <w:pStyle w:val="Body"/>
              <w:spacing w:after="0"/>
              <w:rPr>
                <w:rFonts w:ascii="Arial" w:eastAsia="Calibri" w:hAnsi="Arial" w:cs="Arial"/>
                <w:szCs w:val="22"/>
                <w:lang w:val="en-GB"/>
              </w:rPr>
            </w:pPr>
          </w:p>
          <w:p w14:paraId="4788B5ED" w14:textId="77777777" w:rsidR="002C5718" w:rsidRDefault="002C5718" w:rsidP="002C5718">
            <w:pPr>
              <w:pStyle w:val="Body"/>
              <w:spacing w:after="0"/>
              <w:rPr>
                <w:rFonts w:ascii="Arial" w:eastAsia="Calibri" w:hAnsi="Arial" w:cs="Arial"/>
                <w:szCs w:val="22"/>
                <w:lang w:val="en-GB"/>
              </w:rPr>
            </w:pPr>
            <w:r w:rsidRPr="002C5718">
              <w:rPr>
                <w:rFonts w:ascii="Arial" w:eastAsia="Calibri" w:hAnsi="Arial" w:cs="Arial"/>
                <w:b/>
                <w:bCs/>
                <w:szCs w:val="22"/>
                <w:lang w:val="en-GB"/>
              </w:rPr>
              <w:t>Place and Duration of Study:</w:t>
            </w:r>
            <w:r w:rsidRPr="002C5718">
              <w:rPr>
                <w:rFonts w:ascii="Arial" w:eastAsia="Calibri" w:hAnsi="Arial" w:cs="Arial"/>
                <w:szCs w:val="22"/>
                <w:lang w:val="en-GB"/>
              </w:rPr>
              <w:t xml:space="preserve"> The literature search was conducted using the ERIC database between February 2026 and March 2026.</w:t>
            </w:r>
          </w:p>
          <w:p w14:paraId="07C49B43" w14:textId="77777777" w:rsidR="002C5718" w:rsidRPr="002C5718" w:rsidRDefault="002C5718" w:rsidP="002C5718">
            <w:pPr>
              <w:pStyle w:val="Body"/>
              <w:spacing w:after="0"/>
              <w:rPr>
                <w:rFonts w:ascii="Arial" w:eastAsia="Calibri" w:hAnsi="Arial" w:cs="Arial"/>
                <w:szCs w:val="22"/>
                <w:lang w:val="en-GB"/>
              </w:rPr>
            </w:pPr>
          </w:p>
          <w:p w14:paraId="62B82DFF" w14:textId="77777777" w:rsidR="002C5718" w:rsidRDefault="002C5718" w:rsidP="002C5718">
            <w:pPr>
              <w:pStyle w:val="Body"/>
              <w:spacing w:after="0"/>
              <w:rPr>
                <w:rFonts w:ascii="Arial" w:eastAsia="Calibri" w:hAnsi="Arial" w:cs="Arial"/>
                <w:szCs w:val="22"/>
                <w:lang w:val="en-GB"/>
              </w:rPr>
            </w:pPr>
            <w:r w:rsidRPr="002C5718">
              <w:rPr>
                <w:rFonts w:ascii="Arial" w:eastAsia="Calibri" w:hAnsi="Arial" w:cs="Arial"/>
                <w:b/>
                <w:bCs/>
                <w:szCs w:val="22"/>
                <w:lang w:val="en-GB"/>
              </w:rPr>
              <w:t>Methodology:</w:t>
            </w:r>
            <w:r w:rsidRPr="002C5718">
              <w:rPr>
                <w:rFonts w:ascii="Arial" w:eastAsia="Calibri" w:hAnsi="Arial" w:cs="Arial"/>
                <w:szCs w:val="22"/>
                <w:lang w:val="en-GB"/>
              </w:rPr>
              <w:t xml:space="preserve"> A systematic literature search was conducted using the keyword “dyslexia” and related terminology, including “developmental dyslexia,” “reading difficulties,” “phonological processing,” and “reading fluency.” PRISMA-oriented screening procedures were applied. Studies were included if they focused on dyslexia within a European context, were published between 2017 and 2025, and addressed at least one predefined thematic domain. Studies conducted outside Europe or focusing primarily on unrelated neurodevelopmental conditions were excluded. Following the screening and eligibility procedures, 391 publications were included in the final synthesis. Thematic synthesis and qualitative content analysis were used to identify recurring patterns, methodological trends, and conceptual developments across the included studies.</w:t>
            </w:r>
          </w:p>
          <w:p w14:paraId="30A737C7" w14:textId="77777777" w:rsidR="002C5718" w:rsidRPr="002C5718" w:rsidRDefault="002C5718" w:rsidP="002C5718">
            <w:pPr>
              <w:pStyle w:val="Body"/>
              <w:spacing w:after="0"/>
              <w:rPr>
                <w:rFonts w:ascii="Arial" w:eastAsia="Calibri" w:hAnsi="Arial" w:cs="Arial"/>
                <w:szCs w:val="22"/>
                <w:lang w:val="en-GB"/>
              </w:rPr>
            </w:pPr>
          </w:p>
          <w:p w14:paraId="4EC974DD" w14:textId="77777777" w:rsidR="002C5718" w:rsidRDefault="002C5718" w:rsidP="002C5718">
            <w:pPr>
              <w:pStyle w:val="Body"/>
              <w:spacing w:after="0"/>
              <w:rPr>
                <w:rFonts w:ascii="Arial" w:eastAsia="Calibri" w:hAnsi="Arial" w:cs="Arial"/>
                <w:szCs w:val="22"/>
                <w:lang w:val="en-GB"/>
              </w:rPr>
            </w:pPr>
            <w:r w:rsidRPr="002C5718">
              <w:rPr>
                <w:rFonts w:ascii="Arial" w:eastAsia="Calibri" w:hAnsi="Arial" w:cs="Arial"/>
                <w:b/>
                <w:bCs/>
                <w:szCs w:val="22"/>
                <w:lang w:val="en-GB"/>
              </w:rPr>
              <w:t>Results:</w:t>
            </w:r>
            <w:r w:rsidRPr="002C5718">
              <w:rPr>
                <w:rFonts w:ascii="Arial" w:eastAsia="Calibri" w:hAnsi="Arial" w:cs="Arial"/>
                <w:szCs w:val="22"/>
                <w:lang w:val="en-GB"/>
              </w:rPr>
              <w:t xml:space="preserve"> The findings demonstrate increasing diversification and interdisciplinarity in European dyslexia research. Strong evidence was identified for persistent difficulties in reading fluency, phonological processing, rapid automatized naming, and spelling across different orthographies. Research further highlighted the importance of early developmental predictors, bilingualism, psychosocial wellbeing, inclusive educational practices, and adult dyslexia. Intervention studies emphasized the effectiveness of phonological, morphological, multisensory, and technology-assisted approaches. In addition, digital interventions, assistive technologies, eye-tracking methodologies, and machine-learning-based assessment approaches emerged as growing research areas. At the same time, conceptual debates regarding dyslexia definitions, diagnostic criteria, neurodiversity, and inclusive education remain ongoing.</w:t>
            </w:r>
          </w:p>
          <w:p w14:paraId="6F57EF4B" w14:textId="77777777" w:rsidR="002C5718" w:rsidRPr="002C5718" w:rsidRDefault="002C5718" w:rsidP="002C5718">
            <w:pPr>
              <w:pStyle w:val="Body"/>
              <w:spacing w:after="0"/>
              <w:rPr>
                <w:rFonts w:ascii="Arial" w:eastAsia="Calibri" w:hAnsi="Arial" w:cs="Arial"/>
                <w:szCs w:val="22"/>
                <w:lang w:val="en-GB"/>
              </w:rPr>
            </w:pPr>
          </w:p>
          <w:p w14:paraId="21952B56" w14:textId="77777777" w:rsidR="002C5718" w:rsidRPr="002C5718" w:rsidRDefault="002C5718" w:rsidP="002C5718">
            <w:pPr>
              <w:pStyle w:val="Body"/>
              <w:spacing w:after="0"/>
              <w:rPr>
                <w:rFonts w:ascii="Arial" w:eastAsia="Calibri" w:hAnsi="Arial" w:cs="Arial"/>
                <w:szCs w:val="22"/>
                <w:lang w:val="en-GB"/>
              </w:rPr>
            </w:pPr>
            <w:r w:rsidRPr="002C5718">
              <w:rPr>
                <w:rFonts w:ascii="Arial" w:eastAsia="Calibri" w:hAnsi="Arial" w:cs="Arial"/>
                <w:b/>
                <w:bCs/>
                <w:szCs w:val="22"/>
                <w:lang w:val="en-GB"/>
              </w:rPr>
              <w:t>Conclusion:</w:t>
            </w:r>
            <w:r w:rsidRPr="002C5718">
              <w:rPr>
                <w:rFonts w:ascii="Arial" w:eastAsia="Calibri" w:hAnsi="Arial" w:cs="Arial"/>
                <w:szCs w:val="22"/>
                <w:lang w:val="en-GB"/>
              </w:rPr>
              <w:t xml:space="preserve"> The review highlights the multidimensional and lifespan-oriented nature of dyslexia and underlines the need for interdisciplinary, evidence-based, and culturally sensitive approaches in research, assessment, intervention, and educational support across diverse European contexts.</w:t>
            </w:r>
          </w:p>
          <w:p w14:paraId="244F535D" w14:textId="0DD3787D" w:rsidR="00505F06" w:rsidRPr="00BA1B01" w:rsidRDefault="00505F06" w:rsidP="00441B6F">
            <w:pPr>
              <w:pStyle w:val="Body"/>
              <w:spacing w:after="0"/>
              <w:rPr>
                <w:rFonts w:ascii="Arial" w:eastAsia="Calibri" w:hAnsi="Arial" w:cs="Arial"/>
                <w:szCs w:val="22"/>
              </w:rPr>
            </w:pPr>
          </w:p>
        </w:tc>
      </w:tr>
    </w:tbl>
    <w:p w14:paraId="69F7E1D1" w14:textId="77777777" w:rsidR="00636EB2" w:rsidRDefault="00636EB2" w:rsidP="00441B6F">
      <w:pPr>
        <w:pStyle w:val="Body"/>
        <w:spacing w:after="0"/>
        <w:rPr>
          <w:rFonts w:ascii="Arial" w:hAnsi="Arial" w:cs="Arial"/>
          <w:i/>
        </w:rPr>
      </w:pPr>
    </w:p>
    <w:p w14:paraId="659EFEA4" w14:textId="740B0688" w:rsidR="00A24E7E" w:rsidRDefault="00A24E7E" w:rsidP="00441B6F">
      <w:pPr>
        <w:pStyle w:val="Body"/>
        <w:spacing w:after="0"/>
        <w:rPr>
          <w:rFonts w:ascii="Arial" w:hAnsi="Arial" w:cs="Arial"/>
          <w:i/>
        </w:rPr>
      </w:pPr>
      <w:r>
        <w:rPr>
          <w:rFonts w:ascii="Arial" w:hAnsi="Arial" w:cs="Arial"/>
          <w:i/>
        </w:rPr>
        <w:t xml:space="preserve">Keywords: </w:t>
      </w:r>
      <w:r w:rsidR="004F72EC">
        <w:rPr>
          <w:rFonts w:ascii="Arial" w:hAnsi="Arial" w:cs="Arial"/>
          <w:i/>
        </w:rPr>
        <w:t>Dyslexia, Systematic Review, Europe, Assessment, Intervention</w:t>
      </w:r>
    </w:p>
    <w:p w14:paraId="1F9BD31D" w14:textId="77777777" w:rsidR="00790ADA" w:rsidRDefault="00790ADA" w:rsidP="00441B6F">
      <w:pPr>
        <w:pStyle w:val="Body"/>
        <w:spacing w:after="0"/>
        <w:rPr>
          <w:rFonts w:ascii="Arial" w:hAnsi="Arial" w:cs="Arial"/>
          <w:i/>
        </w:rPr>
      </w:pPr>
    </w:p>
    <w:p w14:paraId="36F630A3" w14:textId="77777777" w:rsidR="00505F06" w:rsidRPr="00A24E7E" w:rsidRDefault="00505F06" w:rsidP="00441B6F">
      <w:pPr>
        <w:pStyle w:val="Body"/>
        <w:spacing w:after="0"/>
        <w:rPr>
          <w:rFonts w:ascii="Arial" w:hAnsi="Arial" w:cs="Arial"/>
          <w:i/>
        </w:rPr>
      </w:pPr>
    </w:p>
    <w:p w14:paraId="1DB4BEC6" w14:textId="38416AF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A077870" w14:textId="77777777" w:rsidR="00790ADA" w:rsidRPr="00FB3A86" w:rsidRDefault="00790ADA" w:rsidP="00441B6F">
      <w:pPr>
        <w:pStyle w:val="AbstHead"/>
        <w:spacing w:after="0"/>
        <w:jc w:val="both"/>
        <w:rPr>
          <w:rFonts w:ascii="Arial" w:hAnsi="Arial" w:cs="Arial"/>
        </w:rPr>
      </w:pPr>
    </w:p>
    <w:p w14:paraId="54CECCE1" w14:textId="77777777" w:rsidR="00EA3D66" w:rsidRPr="008862DB" w:rsidRDefault="00EA3D66" w:rsidP="00EA3D66">
      <w:pPr>
        <w:rPr>
          <w:rFonts w:ascii="Arial" w:hAnsi="Arial" w:cs="Arial"/>
          <w:lang w:val="en-GB"/>
        </w:rPr>
      </w:pPr>
      <w:r w:rsidRPr="008862DB">
        <w:rPr>
          <w:rFonts w:ascii="Arial" w:hAnsi="Arial" w:cs="Arial"/>
          <w:lang w:val="en-GB"/>
        </w:rPr>
        <w:t>Developmental dyslexia is one of the most extensively researched neurodevelopmental learning disorders and affects individuals across the lifespan. It is commonly characterized by persistent difficulties in accurate and/or fluent word recognition, decoding, spelling, and written language processing despite adequate intelligence, educational opportunity, and sensory functioning (</w:t>
      </w:r>
      <w:proofErr w:type="spellStart"/>
      <w:r w:rsidRPr="008862DB">
        <w:rPr>
          <w:rFonts w:ascii="Arial" w:hAnsi="Arial" w:cs="Arial"/>
          <w:lang w:val="en-GB"/>
        </w:rPr>
        <w:t>Snowling</w:t>
      </w:r>
      <w:proofErr w:type="spellEnd"/>
      <w:r w:rsidRPr="008862DB">
        <w:rPr>
          <w:rFonts w:ascii="Arial" w:hAnsi="Arial" w:cs="Arial"/>
          <w:lang w:val="en-GB"/>
        </w:rPr>
        <w:t xml:space="preserve"> et al., 2020). Current international estimates suggest that approximately 5–10% of the population are affected by dyslexia, although prevalence rates vary depending on diagnostic criteria, orthographic transparency, and assessment procedures (Wolf et al., 2024).</w:t>
      </w:r>
    </w:p>
    <w:p w14:paraId="1C96A530" w14:textId="77777777" w:rsidR="00EA3D66" w:rsidRPr="008862DB" w:rsidRDefault="00EA3D66" w:rsidP="00EA3D66">
      <w:pPr>
        <w:rPr>
          <w:rFonts w:ascii="Arial" w:hAnsi="Arial" w:cs="Arial"/>
          <w:lang w:val="en-GB"/>
        </w:rPr>
      </w:pPr>
      <w:r w:rsidRPr="008862DB">
        <w:rPr>
          <w:rFonts w:ascii="Arial" w:hAnsi="Arial" w:cs="Arial"/>
          <w:lang w:val="en-GB"/>
        </w:rPr>
        <w:t>Over recent decades, dyslexia research has increasingly shifted from narrow deficit-oriented explanations toward multidimensional and neurodiversity-informed conceptualizations. Contemporary models emphasize the interaction between neurobiological, cognitive, linguistic, educational, and psychosocial factors (Wolf et al., 2024). At the same time, scientific debates continue regarding diagnostic boundaries, the validity of categorical labels, and the role of dyslexia within inclusive education systems (Knight, 2025; Elliott, 2020). Such discussions have become particularly relevant in Europe, where educational policies, orthographic systems, and support structures differ considerably across countries.</w:t>
      </w:r>
    </w:p>
    <w:p w14:paraId="5A4BE6EC" w14:textId="77777777" w:rsidR="00EA3D66" w:rsidRPr="008862DB" w:rsidRDefault="00EA3D66" w:rsidP="00EA3D66">
      <w:pPr>
        <w:rPr>
          <w:rFonts w:ascii="Arial" w:hAnsi="Arial" w:cs="Arial"/>
          <w:lang w:val="en-GB"/>
        </w:rPr>
      </w:pPr>
      <w:r w:rsidRPr="008862DB">
        <w:rPr>
          <w:rFonts w:ascii="Arial" w:hAnsi="Arial" w:cs="Arial"/>
          <w:lang w:val="en-GB"/>
        </w:rPr>
        <w:t xml:space="preserve">European dyslexia research provides a unique context for examining developmental reading disorders because European languages differ substantially in orthographic transparency, phonological complexity, and educational policy frameworks. Research has shown that reading difficulties manifest differently across orthographies, although deficits in reading fluency and rapid automatized naming appear to remain robust markers across languages (Carioti et al., 2021; Araújo &amp; </w:t>
      </w:r>
      <w:proofErr w:type="spellStart"/>
      <w:r w:rsidRPr="008862DB">
        <w:rPr>
          <w:rFonts w:ascii="Arial" w:hAnsi="Arial" w:cs="Arial"/>
          <w:lang w:val="en-GB"/>
        </w:rPr>
        <w:t>Faísca</w:t>
      </w:r>
      <w:proofErr w:type="spellEnd"/>
      <w:r w:rsidRPr="008862DB">
        <w:rPr>
          <w:rFonts w:ascii="Arial" w:hAnsi="Arial" w:cs="Arial"/>
          <w:lang w:val="en-GB"/>
        </w:rPr>
        <w:t>, 2019). Furthermore, increasing migration and multilingualism in Europe have intensified discussions concerning bilingualism, differential diagnosis, and inclusive educational practices (Biza &amp; Giannakou, 2024).</w:t>
      </w:r>
    </w:p>
    <w:p w14:paraId="2CE6C653" w14:textId="77777777" w:rsidR="00EA3D66" w:rsidRPr="008862DB" w:rsidRDefault="00EA3D66" w:rsidP="00EA3D66">
      <w:pPr>
        <w:rPr>
          <w:rFonts w:ascii="Arial" w:hAnsi="Arial" w:cs="Arial"/>
          <w:lang w:val="en-GB"/>
        </w:rPr>
      </w:pPr>
      <w:r w:rsidRPr="008862DB">
        <w:rPr>
          <w:rFonts w:ascii="Arial" w:hAnsi="Arial" w:cs="Arial"/>
          <w:lang w:val="en-GB"/>
        </w:rPr>
        <w:t>Recent years have also witnessed growing attention toward psychosocial dimensions of dyslexia. Beyond literacy difficulties, individuals with dyslexia frequently report elevated anxiety, reduced academic self-concept, stigma experiences, and challenges in higher education and employment settings (</w:t>
      </w:r>
      <w:proofErr w:type="spellStart"/>
      <w:r w:rsidRPr="008862DB">
        <w:rPr>
          <w:rFonts w:ascii="Arial" w:hAnsi="Arial" w:cs="Arial"/>
          <w:lang w:val="en-GB"/>
        </w:rPr>
        <w:t>Niolaki</w:t>
      </w:r>
      <w:proofErr w:type="spellEnd"/>
      <w:r w:rsidRPr="008862DB">
        <w:rPr>
          <w:rFonts w:ascii="Arial" w:hAnsi="Arial" w:cs="Arial"/>
          <w:lang w:val="en-GB"/>
        </w:rPr>
        <w:t xml:space="preserve"> et al., 2025; Hamilton et al., 2021; Beckett, 2024). Simultaneously, strengths-oriented perspectives have emerged, focusing on resilience, creativity, compensatory mechanisms, and “dyslexic thinking” (</w:t>
      </w:r>
      <w:proofErr w:type="spellStart"/>
      <w:r w:rsidRPr="008862DB">
        <w:rPr>
          <w:rFonts w:ascii="Arial" w:hAnsi="Arial" w:cs="Arial"/>
          <w:lang w:val="en-GB"/>
        </w:rPr>
        <w:t>Stampoltzis</w:t>
      </w:r>
      <w:proofErr w:type="spellEnd"/>
      <w:r w:rsidRPr="008862DB">
        <w:rPr>
          <w:rFonts w:ascii="Arial" w:hAnsi="Arial" w:cs="Arial"/>
          <w:lang w:val="en-GB"/>
        </w:rPr>
        <w:t xml:space="preserve"> et al., 2023; </w:t>
      </w:r>
      <w:proofErr w:type="spellStart"/>
      <w:r w:rsidRPr="008862DB">
        <w:rPr>
          <w:rFonts w:ascii="Arial" w:hAnsi="Arial" w:cs="Arial"/>
          <w:lang w:val="en-GB"/>
        </w:rPr>
        <w:t>Ademolu</w:t>
      </w:r>
      <w:proofErr w:type="spellEnd"/>
      <w:r w:rsidRPr="008862DB">
        <w:rPr>
          <w:rFonts w:ascii="Arial" w:hAnsi="Arial" w:cs="Arial"/>
          <w:lang w:val="en-GB"/>
        </w:rPr>
        <w:t>, 2025). This reflects a broader transition from purely deficit-oriented frameworks toward more holistic and person-</w:t>
      </w:r>
      <w:proofErr w:type="spellStart"/>
      <w:r w:rsidRPr="008862DB">
        <w:rPr>
          <w:rFonts w:ascii="Arial" w:hAnsi="Arial" w:cs="Arial"/>
          <w:lang w:val="en-GB"/>
        </w:rPr>
        <w:t>centered</w:t>
      </w:r>
      <w:proofErr w:type="spellEnd"/>
      <w:r w:rsidRPr="008862DB">
        <w:rPr>
          <w:rFonts w:ascii="Arial" w:hAnsi="Arial" w:cs="Arial"/>
          <w:lang w:val="en-GB"/>
        </w:rPr>
        <w:t xml:space="preserve"> approaches.</w:t>
      </w:r>
    </w:p>
    <w:p w14:paraId="2C5328C8" w14:textId="77777777" w:rsidR="00EA3D66" w:rsidRPr="008862DB" w:rsidRDefault="00EA3D66" w:rsidP="00EA3D66">
      <w:pPr>
        <w:rPr>
          <w:rFonts w:ascii="Arial" w:hAnsi="Arial" w:cs="Arial"/>
          <w:lang w:val="en-GB"/>
        </w:rPr>
      </w:pPr>
      <w:r w:rsidRPr="008862DB">
        <w:rPr>
          <w:rFonts w:ascii="Arial" w:hAnsi="Arial" w:cs="Arial"/>
          <w:lang w:val="en-GB"/>
        </w:rPr>
        <w:t>In parallel, substantial developments have occurred in intervention and assessment research. Evidence-based phonological and morphological interventions continue to demonstrate effectiveness (</w:t>
      </w:r>
      <w:proofErr w:type="spellStart"/>
      <w:r w:rsidRPr="008862DB">
        <w:rPr>
          <w:rFonts w:ascii="Arial" w:hAnsi="Arial" w:cs="Arial"/>
          <w:lang w:val="en-GB"/>
        </w:rPr>
        <w:t>Galuschka</w:t>
      </w:r>
      <w:proofErr w:type="spellEnd"/>
      <w:r w:rsidRPr="008862DB">
        <w:rPr>
          <w:rFonts w:ascii="Arial" w:hAnsi="Arial" w:cs="Arial"/>
          <w:lang w:val="en-GB"/>
        </w:rPr>
        <w:t xml:space="preserve"> et al., 2020), while digital technologies, eye-tracking methodologies, machine learning approaches, and assistive technologies increasingly shape contemporary dyslexia research and practice (Coenen et al., 2024; Javed et al., 2024). Despite these advances, considerable inconsistencies remain regarding diagnostic criteria, teacher knowledge, educational provision, and access to support services across European countries (Daniel et al., 2025; Solheim et al., 2024).</w:t>
      </w:r>
    </w:p>
    <w:p w14:paraId="0D505734" w14:textId="77777777" w:rsidR="00EA3D66" w:rsidRPr="008862DB" w:rsidRDefault="00EA3D66" w:rsidP="00EA3D66">
      <w:pPr>
        <w:rPr>
          <w:rFonts w:ascii="Arial" w:hAnsi="Arial" w:cs="Arial"/>
          <w:lang w:val="en-GB"/>
        </w:rPr>
      </w:pPr>
      <w:r w:rsidRPr="008862DB">
        <w:rPr>
          <w:rFonts w:ascii="Arial" w:hAnsi="Arial" w:cs="Arial"/>
          <w:lang w:val="en-GB"/>
        </w:rPr>
        <w:lastRenderedPageBreak/>
        <w:t>Given the rapid expansion and diversification of dyslexia research in Europe, there is a need for a systematic synthesis of recent evidence. Existing reviews often focus on isolated dimensions such as phonological processing, intervention effectiveness, or psychosocial functioning. Comparatively few studies integrate conceptual, developmental, diagnostic, educational, and psychosocial perspectives within a broader European framework.</w:t>
      </w:r>
    </w:p>
    <w:p w14:paraId="5E2E117F" w14:textId="77777777" w:rsidR="00EA3D66" w:rsidRPr="008862DB" w:rsidRDefault="00EA3D66" w:rsidP="00EA3D66">
      <w:pPr>
        <w:rPr>
          <w:rFonts w:ascii="Arial" w:hAnsi="Arial" w:cs="Arial"/>
          <w:lang w:val="en-GB"/>
        </w:rPr>
      </w:pPr>
      <w:r w:rsidRPr="008862DB">
        <w:rPr>
          <w:rFonts w:ascii="Arial" w:hAnsi="Arial" w:cs="Arial"/>
          <w:lang w:val="en-GB"/>
        </w:rPr>
        <w:t>Therefore, the present systematic review aims to synthesize European dyslexia research published between 2017 and 2025. Specifically, the review addresses six major thematic domains:</w:t>
      </w:r>
      <w:r w:rsidRPr="008862DB">
        <w:rPr>
          <w:rFonts w:ascii="Arial" w:hAnsi="Arial" w:cs="Arial"/>
          <w:lang w:val="en-GB"/>
        </w:rPr>
        <w:br/>
        <w:t>(1) conceptual foundations,</w:t>
      </w:r>
      <w:r w:rsidRPr="008862DB">
        <w:rPr>
          <w:rFonts w:ascii="Arial" w:hAnsi="Arial" w:cs="Arial"/>
          <w:lang w:val="en-GB"/>
        </w:rPr>
        <w:br/>
        <w:t>(2) developmental trajectories,</w:t>
      </w:r>
      <w:r w:rsidRPr="008862DB">
        <w:rPr>
          <w:rFonts w:ascii="Arial" w:hAnsi="Arial" w:cs="Arial"/>
          <w:lang w:val="en-GB"/>
        </w:rPr>
        <w:br/>
        <w:t>(3) assessment and differential diagnostics,</w:t>
      </w:r>
      <w:r w:rsidRPr="008862DB">
        <w:rPr>
          <w:rFonts w:ascii="Arial" w:hAnsi="Arial" w:cs="Arial"/>
          <w:lang w:val="en-GB"/>
        </w:rPr>
        <w:br/>
        <w:t>(4) intervention and educational practice,</w:t>
      </w:r>
      <w:r w:rsidRPr="008862DB">
        <w:rPr>
          <w:rFonts w:ascii="Arial" w:hAnsi="Arial" w:cs="Arial"/>
          <w:lang w:val="en-GB"/>
        </w:rPr>
        <w:br/>
        <w:t>(5) psychosocial dimensions, and</w:t>
      </w:r>
      <w:r w:rsidRPr="008862DB">
        <w:rPr>
          <w:rFonts w:ascii="Arial" w:hAnsi="Arial" w:cs="Arial"/>
          <w:lang w:val="en-GB"/>
        </w:rPr>
        <w:br/>
        <w:t>(6) lifespan and systemic perspectives.</w:t>
      </w:r>
    </w:p>
    <w:p w14:paraId="28622A67" w14:textId="77777777" w:rsidR="00EA3D66" w:rsidRPr="008862DB" w:rsidRDefault="00EA3D66" w:rsidP="00EA3D66">
      <w:pPr>
        <w:rPr>
          <w:rFonts w:ascii="Arial" w:hAnsi="Arial" w:cs="Arial"/>
          <w:lang w:val="en-GB"/>
        </w:rPr>
      </w:pPr>
      <w:r w:rsidRPr="008862DB">
        <w:rPr>
          <w:rFonts w:ascii="Arial" w:hAnsi="Arial" w:cs="Arial"/>
          <w:lang w:val="en-GB"/>
        </w:rPr>
        <w:t>The review seeks to identify major research trends, methodological developments, recurring theoretical debates, and emerging challenges within contemporary European dyslexia research.</w:t>
      </w:r>
    </w:p>
    <w:p w14:paraId="6807B0EA" w14:textId="77777777" w:rsidR="00EA3D66" w:rsidRPr="008862DB" w:rsidRDefault="00EA3D66" w:rsidP="00EA3D66">
      <w:pPr>
        <w:rPr>
          <w:rFonts w:ascii="Arial" w:hAnsi="Arial" w:cs="Arial"/>
          <w:lang w:val="en-GB"/>
        </w:rPr>
      </w:pPr>
    </w:p>
    <w:p w14:paraId="7FAC7ACC" w14:textId="11B460B8" w:rsidR="00EA3D66" w:rsidRDefault="00EA3D66" w:rsidP="00EA3D66">
      <w:pPr>
        <w:rPr>
          <w:rFonts w:ascii="Arial" w:hAnsi="Arial" w:cs="Arial"/>
          <w:b/>
          <w:bCs/>
          <w:sz w:val="22"/>
          <w:szCs w:val="22"/>
          <w:lang w:val="en-GB"/>
        </w:rPr>
      </w:pPr>
      <w:r w:rsidRPr="00EA3D66">
        <w:rPr>
          <w:rFonts w:ascii="Arial" w:hAnsi="Arial" w:cs="Arial"/>
          <w:b/>
          <w:bCs/>
          <w:sz w:val="22"/>
          <w:szCs w:val="22"/>
          <w:lang w:val="en-GB"/>
        </w:rPr>
        <w:t>2. THEORETICAL BACKGROUND</w:t>
      </w:r>
    </w:p>
    <w:p w14:paraId="3D73E7C9" w14:textId="77777777" w:rsidR="00EA3D66" w:rsidRDefault="00EA3D66" w:rsidP="00EA3D66">
      <w:pPr>
        <w:rPr>
          <w:rFonts w:ascii="Arial" w:hAnsi="Arial" w:cs="Arial"/>
          <w:b/>
          <w:bCs/>
          <w:sz w:val="22"/>
          <w:szCs w:val="22"/>
          <w:lang w:val="en-GB"/>
        </w:rPr>
      </w:pPr>
    </w:p>
    <w:p w14:paraId="51B9EED9" w14:textId="77777777" w:rsidR="007C76A4" w:rsidRPr="00813E68" w:rsidRDefault="007C76A4" w:rsidP="00813E68">
      <w:pPr>
        <w:rPr>
          <w:rFonts w:ascii="Arial" w:hAnsi="Arial" w:cs="Arial"/>
          <w:b/>
          <w:bCs/>
          <w:sz w:val="22"/>
          <w:szCs w:val="22"/>
          <w:lang w:val="en-GB"/>
        </w:rPr>
      </w:pPr>
      <w:r w:rsidRPr="00813E68">
        <w:rPr>
          <w:rFonts w:ascii="Arial" w:hAnsi="Arial" w:cs="Arial"/>
          <w:b/>
          <w:bCs/>
          <w:sz w:val="22"/>
          <w:szCs w:val="22"/>
          <w:lang w:val="en-GB"/>
        </w:rPr>
        <w:t>2.1 Conceptualizations of Dyslexia</w:t>
      </w:r>
    </w:p>
    <w:p w14:paraId="650CD9FD" w14:textId="77777777" w:rsidR="007C76A4" w:rsidRPr="008862DB" w:rsidRDefault="007C76A4" w:rsidP="007C76A4">
      <w:pPr>
        <w:rPr>
          <w:rFonts w:ascii="Arial" w:hAnsi="Arial" w:cs="Arial"/>
          <w:lang w:val="en-GB"/>
        </w:rPr>
      </w:pPr>
      <w:r w:rsidRPr="008862DB">
        <w:rPr>
          <w:rFonts w:ascii="Arial" w:hAnsi="Arial" w:cs="Arial"/>
          <w:lang w:val="en-GB"/>
        </w:rPr>
        <w:t>The conceptualization of dyslexia has evolved considerably over the past century. Early medical and deficit-oriented perspectives primarily described dyslexia as “word blindness” or as a neurological disorder associated with reading impairment (Kirby, 2020; Whyte, 2020). More recent definitions emphasize the multifactorial and heterogeneous nature of dyslexia, integrating genetic, cognitive, linguistic, and environmental influences (Wolf et al., 2024).</w:t>
      </w:r>
    </w:p>
    <w:p w14:paraId="3913B2FA" w14:textId="77777777" w:rsidR="007C76A4" w:rsidRPr="008862DB" w:rsidRDefault="007C76A4" w:rsidP="007C76A4">
      <w:pPr>
        <w:rPr>
          <w:rFonts w:ascii="Arial" w:hAnsi="Arial" w:cs="Arial"/>
          <w:lang w:val="en-GB"/>
        </w:rPr>
      </w:pPr>
      <w:r w:rsidRPr="008862DB">
        <w:rPr>
          <w:rFonts w:ascii="Arial" w:hAnsi="Arial" w:cs="Arial"/>
          <w:lang w:val="en-GB"/>
        </w:rPr>
        <w:t>One of the most influential contemporary frameworks is the phonological deficit hypothesis, which proposes that dyslexia primarily results from impairments in phonological processing and phonological awareness (</w:t>
      </w:r>
      <w:proofErr w:type="spellStart"/>
      <w:r w:rsidRPr="008862DB">
        <w:rPr>
          <w:rFonts w:ascii="Arial" w:hAnsi="Arial" w:cs="Arial"/>
          <w:lang w:val="en-GB"/>
        </w:rPr>
        <w:t>Parrila</w:t>
      </w:r>
      <w:proofErr w:type="spellEnd"/>
      <w:r w:rsidRPr="008862DB">
        <w:rPr>
          <w:rFonts w:ascii="Arial" w:hAnsi="Arial" w:cs="Arial"/>
          <w:lang w:val="en-GB"/>
        </w:rPr>
        <w:t xml:space="preserve"> et al., 2020). Numerous studies across European orthographies support the importance of phonological deficits, rapid automatized naming (RAN), and auditory processing difficulties in explaining reading impairments (Araújo &amp; </w:t>
      </w:r>
      <w:proofErr w:type="spellStart"/>
      <w:r w:rsidRPr="008862DB">
        <w:rPr>
          <w:rFonts w:ascii="Arial" w:hAnsi="Arial" w:cs="Arial"/>
          <w:lang w:val="en-GB"/>
        </w:rPr>
        <w:t>Faísca</w:t>
      </w:r>
      <w:proofErr w:type="spellEnd"/>
      <w:r w:rsidRPr="008862DB">
        <w:rPr>
          <w:rFonts w:ascii="Arial" w:hAnsi="Arial" w:cs="Arial"/>
          <w:lang w:val="en-GB"/>
        </w:rPr>
        <w:t>, 2019; Goswami et al., 2021). Nevertheless, alternative perspectives have highlighted additional cognitive mechanisms, including temporal processing deficits, visuospatial impairments, executive functioning, implicit learning, and morphological processing (</w:t>
      </w:r>
      <w:proofErr w:type="spellStart"/>
      <w:r w:rsidRPr="008862DB">
        <w:rPr>
          <w:rFonts w:ascii="Arial" w:hAnsi="Arial" w:cs="Arial"/>
          <w:lang w:val="en-GB"/>
        </w:rPr>
        <w:t>Bégel</w:t>
      </w:r>
      <w:proofErr w:type="spellEnd"/>
      <w:r w:rsidRPr="008862DB">
        <w:rPr>
          <w:rFonts w:ascii="Arial" w:hAnsi="Arial" w:cs="Arial"/>
          <w:lang w:val="en-GB"/>
        </w:rPr>
        <w:t xml:space="preserve"> et al., 2022; Du &amp; Zhang, 2023).</w:t>
      </w:r>
    </w:p>
    <w:p w14:paraId="43C5E228" w14:textId="77777777" w:rsidR="007C76A4" w:rsidRPr="008862DB" w:rsidRDefault="007C76A4" w:rsidP="007C76A4">
      <w:pPr>
        <w:rPr>
          <w:rFonts w:ascii="Arial" w:hAnsi="Arial" w:cs="Arial"/>
          <w:lang w:val="en-GB"/>
        </w:rPr>
      </w:pPr>
      <w:r w:rsidRPr="008862DB">
        <w:rPr>
          <w:rFonts w:ascii="Arial" w:hAnsi="Arial" w:cs="Arial"/>
          <w:lang w:val="en-GB"/>
        </w:rPr>
        <w:t>Contemporary theoretical discussions increasingly challenge single-deficit explanations and instead advocate multidimensional models. Wolf et al. (2024) proposed a dynamic conceptualization that integrates neurobiological predispositions, orthographic systems, sociocultural influences, and psychosocial consequences. Similarly, Taha et al. (2025) introduced the “Inefficient Anticipatory Planning Hypothesis,” linking language, reading, and handwriting difficulties through shared anticipatory processing mechanisms.</w:t>
      </w:r>
    </w:p>
    <w:p w14:paraId="1982015C" w14:textId="77777777" w:rsidR="007C76A4" w:rsidRDefault="007C76A4" w:rsidP="007C76A4">
      <w:pPr>
        <w:rPr>
          <w:rFonts w:ascii="Arial" w:hAnsi="Arial" w:cs="Arial"/>
          <w:lang w:val="en-GB"/>
        </w:rPr>
      </w:pPr>
      <w:r w:rsidRPr="008862DB">
        <w:rPr>
          <w:rFonts w:ascii="Arial" w:hAnsi="Arial" w:cs="Arial"/>
          <w:lang w:val="en-GB"/>
        </w:rPr>
        <w:t xml:space="preserve">At the same time, conceptual critiques question the usefulness and implications of dyslexia </w:t>
      </w:r>
      <w:proofErr w:type="spellStart"/>
      <w:r w:rsidRPr="008862DB">
        <w:rPr>
          <w:rFonts w:ascii="Arial" w:hAnsi="Arial" w:cs="Arial"/>
          <w:lang w:val="en-GB"/>
        </w:rPr>
        <w:t>labeling</w:t>
      </w:r>
      <w:proofErr w:type="spellEnd"/>
      <w:r w:rsidRPr="008862DB">
        <w:rPr>
          <w:rFonts w:ascii="Arial" w:hAnsi="Arial" w:cs="Arial"/>
          <w:lang w:val="en-GB"/>
        </w:rPr>
        <w:t>. Elliott (2020), Collinson (2023), and Knight (2025) argue that diagnostic labels may reinforce deficit perspectives and educational inequities. These debates intersect with broader discussions concerning inclusive education and neurodiversity, particularly within European educational systems.</w:t>
      </w:r>
    </w:p>
    <w:p w14:paraId="412FF40E" w14:textId="77777777" w:rsidR="008862DB" w:rsidRPr="008862DB" w:rsidRDefault="008862DB" w:rsidP="007C76A4">
      <w:pPr>
        <w:rPr>
          <w:rFonts w:ascii="Arial" w:hAnsi="Arial" w:cs="Arial"/>
          <w:lang w:val="en-GB"/>
        </w:rPr>
      </w:pPr>
    </w:p>
    <w:p w14:paraId="2B7ADE52" w14:textId="77777777" w:rsidR="007C76A4" w:rsidRPr="00813E68" w:rsidRDefault="007C76A4" w:rsidP="00813E68">
      <w:pPr>
        <w:rPr>
          <w:rFonts w:ascii="Arial" w:hAnsi="Arial" w:cs="Arial"/>
          <w:b/>
          <w:bCs/>
          <w:sz w:val="22"/>
          <w:szCs w:val="22"/>
          <w:lang w:val="en-GB"/>
        </w:rPr>
      </w:pPr>
      <w:r w:rsidRPr="00813E68">
        <w:rPr>
          <w:rFonts w:ascii="Arial" w:hAnsi="Arial" w:cs="Arial"/>
          <w:b/>
          <w:bCs/>
          <w:sz w:val="22"/>
          <w:szCs w:val="22"/>
          <w:lang w:val="en-GB"/>
        </w:rPr>
        <w:t>2.2 Developmental and Linguistic Perspectives</w:t>
      </w:r>
    </w:p>
    <w:p w14:paraId="23AFB699" w14:textId="77777777" w:rsidR="007C76A4" w:rsidRPr="008862DB" w:rsidRDefault="007C76A4" w:rsidP="007C76A4">
      <w:pPr>
        <w:rPr>
          <w:rFonts w:ascii="Arial" w:hAnsi="Arial" w:cs="Arial"/>
          <w:lang w:val="en-GB"/>
        </w:rPr>
      </w:pPr>
      <w:r w:rsidRPr="008862DB">
        <w:rPr>
          <w:rFonts w:ascii="Arial" w:hAnsi="Arial" w:cs="Arial"/>
          <w:lang w:val="en-GB"/>
        </w:rPr>
        <w:t>Developmental research consistently demonstrates that dyslexia affects multiple domains of literacy development, including decoding, reading fluency, spelling, writing, and reading comprehension (Verhoeven &amp; Keuning, 2018). Across orthographies, reading fluency deficits appear particularly persistent, even in transparent writing systems such as Italian, Dutch, or Finnish (Carioti et al., 2021).</w:t>
      </w:r>
    </w:p>
    <w:p w14:paraId="26FCD803" w14:textId="77777777" w:rsidR="007C76A4" w:rsidRPr="008862DB" w:rsidRDefault="007C76A4" w:rsidP="007C76A4">
      <w:pPr>
        <w:rPr>
          <w:rFonts w:ascii="Arial" w:hAnsi="Arial" w:cs="Arial"/>
          <w:lang w:val="en-GB"/>
        </w:rPr>
      </w:pPr>
      <w:r w:rsidRPr="008862DB">
        <w:rPr>
          <w:rFonts w:ascii="Arial" w:hAnsi="Arial" w:cs="Arial"/>
          <w:lang w:val="en-GB"/>
        </w:rPr>
        <w:lastRenderedPageBreak/>
        <w:t>Longitudinal studies further indicate that dyslexia often emerges from complex interactions between familial risk, phonological awareness, rapid naming, vocabulary development, auditory processing, and implicit learning mechanisms (</w:t>
      </w:r>
      <w:proofErr w:type="spellStart"/>
      <w:r w:rsidRPr="008862DB">
        <w:rPr>
          <w:rFonts w:ascii="Arial" w:hAnsi="Arial" w:cs="Arial"/>
          <w:lang w:val="en-GB"/>
        </w:rPr>
        <w:t>Blockmans</w:t>
      </w:r>
      <w:proofErr w:type="spellEnd"/>
      <w:r w:rsidRPr="008862DB">
        <w:rPr>
          <w:rFonts w:ascii="Arial" w:hAnsi="Arial" w:cs="Arial"/>
          <w:lang w:val="en-GB"/>
        </w:rPr>
        <w:t xml:space="preserve"> et al., 2024; </w:t>
      </w:r>
      <w:proofErr w:type="spellStart"/>
      <w:r w:rsidRPr="008862DB">
        <w:rPr>
          <w:rFonts w:ascii="Arial" w:hAnsi="Arial" w:cs="Arial"/>
          <w:lang w:val="en-GB"/>
        </w:rPr>
        <w:t>Snowling</w:t>
      </w:r>
      <w:proofErr w:type="spellEnd"/>
      <w:r w:rsidRPr="008862DB">
        <w:rPr>
          <w:rFonts w:ascii="Arial" w:hAnsi="Arial" w:cs="Arial"/>
          <w:lang w:val="en-GB"/>
        </w:rPr>
        <w:t xml:space="preserve"> et al., 2019). Early predictors such as phonological awareness and rapid automatized naming have shown strong predictive validity for later reading outcomes (Balci, 2020; </w:t>
      </w:r>
      <w:proofErr w:type="spellStart"/>
      <w:r w:rsidRPr="008862DB">
        <w:rPr>
          <w:rFonts w:ascii="Arial" w:hAnsi="Arial" w:cs="Arial"/>
          <w:lang w:val="en-GB"/>
        </w:rPr>
        <w:t>Verwimp</w:t>
      </w:r>
      <w:proofErr w:type="spellEnd"/>
      <w:r w:rsidRPr="008862DB">
        <w:rPr>
          <w:rFonts w:ascii="Arial" w:hAnsi="Arial" w:cs="Arial"/>
          <w:lang w:val="en-GB"/>
        </w:rPr>
        <w:t xml:space="preserve"> et al., 2020).</w:t>
      </w:r>
    </w:p>
    <w:p w14:paraId="4CF7A90E" w14:textId="77777777" w:rsidR="007C76A4" w:rsidRDefault="007C76A4" w:rsidP="007C76A4">
      <w:pPr>
        <w:rPr>
          <w:rFonts w:ascii="Arial" w:hAnsi="Arial" w:cs="Arial"/>
          <w:lang w:val="en-GB"/>
        </w:rPr>
      </w:pPr>
      <w:r w:rsidRPr="008862DB">
        <w:rPr>
          <w:rFonts w:ascii="Arial" w:hAnsi="Arial" w:cs="Arial"/>
          <w:lang w:val="en-GB"/>
        </w:rPr>
        <w:t>European multilingual contexts have additionally stimulated research on bilingualism and second-language acquisition in dyslexia. Studies indicate that dyslexic learners may experience challenges in both first-language and foreign-language literacy, although multilingual learning environments do not necessarily worsen educational outcomes (Parmentier et al., 2025; Pérez-</w:t>
      </w:r>
      <w:proofErr w:type="spellStart"/>
      <w:r w:rsidRPr="008862DB">
        <w:rPr>
          <w:rFonts w:ascii="Arial" w:hAnsi="Arial" w:cs="Arial"/>
          <w:lang w:val="en-GB"/>
        </w:rPr>
        <w:t>Litago</w:t>
      </w:r>
      <w:proofErr w:type="spellEnd"/>
      <w:r w:rsidRPr="008862DB">
        <w:rPr>
          <w:rFonts w:ascii="Arial" w:hAnsi="Arial" w:cs="Arial"/>
          <w:lang w:val="en-GB"/>
        </w:rPr>
        <w:t xml:space="preserve"> et al., 2025).</w:t>
      </w:r>
    </w:p>
    <w:p w14:paraId="61319D2A" w14:textId="77777777" w:rsidR="008862DB" w:rsidRPr="008862DB" w:rsidRDefault="008862DB" w:rsidP="007C76A4">
      <w:pPr>
        <w:rPr>
          <w:rFonts w:ascii="Arial" w:hAnsi="Arial" w:cs="Arial"/>
          <w:lang w:val="en-GB"/>
        </w:rPr>
      </w:pPr>
    </w:p>
    <w:p w14:paraId="541D603E" w14:textId="77777777" w:rsidR="007C76A4" w:rsidRPr="00813E68" w:rsidRDefault="007C76A4" w:rsidP="00813E68">
      <w:pPr>
        <w:rPr>
          <w:rFonts w:ascii="Arial" w:hAnsi="Arial" w:cs="Arial"/>
          <w:b/>
          <w:bCs/>
          <w:sz w:val="22"/>
          <w:szCs w:val="22"/>
          <w:lang w:val="en-GB"/>
        </w:rPr>
      </w:pPr>
      <w:r w:rsidRPr="00813E68">
        <w:rPr>
          <w:rFonts w:ascii="Arial" w:hAnsi="Arial" w:cs="Arial"/>
          <w:b/>
          <w:bCs/>
          <w:sz w:val="22"/>
          <w:szCs w:val="22"/>
          <w:lang w:val="en-GB"/>
        </w:rPr>
        <w:t>2.3 Psychosocial and Educational Perspectives</w:t>
      </w:r>
    </w:p>
    <w:p w14:paraId="0602026B" w14:textId="77777777" w:rsidR="007C76A4" w:rsidRPr="008862DB" w:rsidRDefault="007C76A4" w:rsidP="007C76A4">
      <w:pPr>
        <w:rPr>
          <w:rFonts w:ascii="Arial" w:hAnsi="Arial" w:cs="Arial"/>
          <w:lang w:val="en-GB"/>
        </w:rPr>
      </w:pPr>
      <w:r w:rsidRPr="008862DB">
        <w:rPr>
          <w:rFonts w:ascii="Arial" w:hAnsi="Arial" w:cs="Arial"/>
          <w:lang w:val="en-GB"/>
        </w:rPr>
        <w:t>Increasing evidence demonstrates that dyslexia extends beyond literacy performance and substantially affects psychosocial wellbeing. Students and adults with dyslexia frequently report anxiety, reduced self-esteem, stigma experiences, and lower academic self-efficacy (</w:t>
      </w:r>
      <w:proofErr w:type="spellStart"/>
      <w:r w:rsidRPr="008862DB">
        <w:rPr>
          <w:rFonts w:ascii="Arial" w:hAnsi="Arial" w:cs="Arial"/>
          <w:lang w:val="en-GB"/>
        </w:rPr>
        <w:t>Niolaki</w:t>
      </w:r>
      <w:proofErr w:type="spellEnd"/>
      <w:r w:rsidRPr="008862DB">
        <w:rPr>
          <w:rFonts w:ascii="Arial" w:hAnsi="Arial" w:cs="Arial"/>
          <w:lang w:val="en-GB"/>
        </w:rPr>
        <w:t xml:space="preserve"> et al., 2025; Stagg et al., 2018). Concealment of dyslexia, particularly in higher education, may further contribute to identity conflict and emotional distress (Hamilton Clark, 2024).</w:t>
      </w:r>
    </w:p>
    <w:p w14:paraId="162378D3" w14:textId="77777777" w:rsidR="007C76A4" w:rsidRPr="008862DB" w:rsidRDefault="007C76A4" w:rsidP="007C76A4">
      <w:pPr>
        <w:rPr>
          <w:rFonts w:ascii="Arial" w:hAnsi="Arial" w:cs="Arial"/>
          <w:lang w:val="en-GB"/>
        </w:rPr>
      </w:pPr>
      <w:r w:rsidRPr="008862DB">
        <w:rPr>
          <w:rFonts w:ascii="Arial" w:hAnsi="Arial" w:cs="Arial"/>
          <w:lang w:val="en-GB"/>
        </w:rPr>
        <w:t>Simultaneously, strengths-oriented perspectives have become more prominent within the neurodiversity movement. Research suggests that some individuals with dyslexia may demonstrate strengths in creativity, teamwork, visual reasoning, and compensatory cognitive strategies (</w:t>
      </w:r>
      <w:proofErr w:type="spellStart"/>
      <w:r w:rsidRPr="008862DB">
        <w:rPr>
          <w:rFonts w:ascii="Arial" w:hAnsi="Arial" w:cs="Arial"/>
          <w:lang w:val="en-GB"/>
        </w:rPr>
        <w:t>Stampoltzis</w:t>
      </w:r>
      <w:proofErr w:type="spellEnd"/>
      <w:r w:rsidRPr="008862DB">
        <w:rPr>
          <w:rFonts w:ascii="Arial" w:hAnsi="Arial" w:cs="Arial"/>
          <w:lang w:val="en-GB"/>
        </w:rPr>
        <w:t xml:space="preserve"> et al., 2023; van Viersen et al., 2019). Such findings challenge purely deficit-oriented interpretations and support more balanced conceptualizations of dyslexia.</w:t>
      </w:r>
    </w:p>
    <w:p w14:paraId="69DEE1BC" w14:textId="77777777" w:rsidR="007C76A4" w:rsidRPr="008862DB" w:rsidRDefault="007C76A4" w:rsidP="007C76A4">
      <w:pPr>
        <w:rPr>
          <w:rFonts w:ascii="Arial" w:hAnsi="Arial" w:cs="Arial"/>
          <w:lang w:val="en-GB"/>
        </w:rPr>
      </w:pPr>
      <w:r w:rsidRPr="008862DB">
        <w:rPr>
          <w:rFonts w:ascii="Arial" w:hAnsi="Arial" w:cs="Arial"/>
          <w:lang w:val="en-GB"/>
        </w:rPr>
        <w:t>Educationally, inclusive teaching practices and evidence-based interventions remain central themes in European dyslexia research. Multisensory instruction, phonological interventions, morphological training, assistive technology, and digital learning tools have shown promising outcomes (</w:t>
      </w:r>
      <w:proofErr w:type="spellStart"/>
      <w:r w:rsidRPr="008862DB">
        <w:rPr>
          <w:rFonts w:ascii="Arial" w:hAnsi="Arial" w:cs="Arial"/>
          <w:lang w:val="en-GB"/>
        </w:rPr>
        <w:t>Galuschka</w:t>
      </w:r>
      <w:proofErr w:type="spellEnd"/>
      <w:r w:rsidRPr="008862DB">
        <w:rPr>
          <w:rFonts w:ascii="Arial" w:hAnsi="Arial" w:cs="Arial"/>
          <w:lang w:val="en-GB"/>
        </w:rPr>
        <w:t xml:space="preserve"> et al., 2020; Javed et al., 2024). However, teacher knowledge and preparedness remain inconsistent across countries (Solheim et al., 2024; </w:t>
      </w:r>
      <w:proofErr w:type="spellStart"/>
      <w:r w:rsidRPr="008862DB">
        <w:rPr>
          <w:rFonts w:ascii="Arial" w:hAnsi="Arial" w:cs="Arial"/>
          <w:lang w:val="en-GB"/>
        </w:rPr>
        <w:t>Altindag</w:t>
      </w:r>
      <w:proofErr w:type="spellEnd"/>
      <w:r w:rsidRPr="008862DB">
        <w:rPr>
          <w:rFonts w:ascii="Arial" w:hAnsi="Arial" w:cs="Arial"/>
          <w:lang w:val="en-GB"/>
        </w:rPr>
        <w:t xml:space="preserve"> Kumas &amp; </w:t>
      </w:r>
      <w:proofErr w:type="spellStart"/>
      <w:r w:rsidRPr="008862DB">
        <w:rPr>
          <w:rFonts w:ascii="Arial" w:hAnsi="Arial" w:cs="Arial"/>
          <w:lang w:val="en-GB"/>
        </w:rPr>
        <w:t>Sardohan</w:t>
      </w:r>
      <w:proofErr w:type="spellEnd"/>
      <w:r w:rsidRPr="008862DB">
        <w:rPr>
          <w:rFonts w:ascii="Arial" w:hAnsi="Arial" w:cs="Arial"/>
          <w:lang w:val="en-GB"/>
        </w:rPr>
        <w:t xml:space="preserve"> Yildirim, 2024), indicating the need for improved teacher education and professional development.</w:t>
      </w:r>
    </w:p>
    <w:p w14:paraId="2686D426" w14:textId="77777777" w:rsidR="007C76A4" w:rsidRPr="008862DB" w:rsidRDefault="007C76A4" w:rsidP="007C76A4">
      <w:pPr>
        <w:rPr>
          <w:rFonts w:ascii="Arial" w:hAnsi="Arial" w:cs="Arial"/>
          <w:lang w:val="en-GB"/>
        </w:rPr>
      </w:pPr>
      <w:r w:rsidRPr="008862DB">
        <w:rPr>
          <w:rFonts w:ascii="Arial" w:hAnsi="Arial" w:cs="Arial"/>
          <w:lang w:val="en-GB"/>
        </w:rPr>
        <w:t>Overall, contemporary dyslexia research increasingly recognizes dyslexia as a complex developmental condition shaped by neurobiological, cognitive, educational, and sociocultural factors. This multidimensional perspective forms the theoretical foundation of the present systematic review.</w:t>
      </w:r>
    </w:p>
    <w:p w14:paraId="00320F3E" w14:textId="77777777" w:rsidR="007C76A4" w:rsidRPr="008862DB" w:rsidRDefault="007C76A4" w:rsidP="00EA3D66">
      <w:pPr>
        <w:rPr>
          <w:rFonts w:ascii="Arial" w:hAnsi="Arial" w:cs="Arial"/>
          <w:b/>
          <w:bCs/>
          <w:lang w:val="en-GB"/>
        </w:rPr>
      </w:pPr>
    </w:p>
    <w:p w14:paraId="2EC0A07B" w14:textId="77777777" w:rsidR="00790ADA" w:rsidRPr="00EA3D66" w:rsidRDefault="00790ADA" w:rsidP="00441B6F">
      <w:pPr>
        <w:pStyle w:val="Body"/>
        <w:spacing w:after="0"/>
        <w:rPr>
          <w:rFonts w:ascii="Arial" w:hAnsi="Arial" w:cs="Arial"/>
          <w:lang w:val="en-GB"/>
        </w:rPr>
      </w:pPr>
    </w:p>
    <w:p w14:paraId="2ED95857" w14:textId="46CA0CB6" w:rsidR="007F7B32" w:rsidRDefault="00830052" w:rsidP="00441B6F">
      <w:pPr>
        <w:pStyle w:val="AbstHead"/>
        <w:spacing w:after="0"/>
        <w:jc w:val="both"/>
        <w:rPr>
          <w:rFonts w:ascii="Arial" w:hAnsi="Arial" w:cs="Arial"/>
        </w:rPr>
      </w:pPr>
      <w:r>
        <w:rPr>
          <w:rFonts w:ascii="Arial" w:hAnsi="Arial" w:cs="Arial"/>
        </w:rPr>
        <w:t>3</w:t>
      </w:r>
      <w:r w:rsidR="00902823">
        <w:rPr>
          <w:rFonts w:ascii="Arial" w:hAnsi="Arial" w:cs="Arial"/>
        </w:rPr>
        <w:t>. material and method</w:t>
      </w:r>
      <w:r w:rsidR="00000F8F">
        <w:rPr>
          <w:rFonts w:ascii="Arial" w:hAnsi="Arial" w:cs="Arial"/>
        </w:rPr>
        <w:t xml:space="preserve">s </w:t>
      </w:r>
    </w:p>
    <w:p w14:paraId="631ECA49" w14:textId="77777777" w:rsidR="00790ADA" w:rsidRPr="00FB3A86" w:rsidRDefault="00790ADA" w:rsidP="00441B6F">
      <w:pPr>
        <w:pStyle w:val="AbstHead"/>
        <w:spacing w:after="0"/>
        <w:jc w:val="both"/>
        <w:rPr>
          <w:rFonts w:ascii="Arial" w:hAnsi="Arial" w:cs="Arial"/>
        </w:rPr>
      </w:pPr>
    </w:p>
    <w:p w14:paraId="482AD16C" w14:textId="77777777" w:rsidR="000F200E" w:rsidRPr="000F200E" w:rsidRDefault="000F200E" w:rsidP="000F200E">
      <w:pPr>
        <w:rPr>
          <w:rFonts w:ascii="Arial" w:hAnsi="Arial" w:cs="Arial"/>
          <w:b/>
          <w:bCs/>
          <w:sz w:val="22"/>
          <w:szCs w:val="22"/>
          <w:lang w:val="en-GB"/>
        </w:rPr>
      </w:pPr>
      <w:r w:rsidRPr="000F200E">
        <w:rPr>
          <w:rFonts w:ascii="Arial" w:hAnsi="Arial" w:cs="Arial"/>
          <w:b/>
          <w:bCs/>
          <w:sz w:val="22"/>
          <w:szCs w:val="22"/>
          <w:lang w:val="en-GB"/>
        </w:rPr>
        <w:t>3.1 Study Design</w:t>
      </w:r>
    </w:p>
    <w:p w14:paraId="2DB0EB49" w14:textId="77777777" w:rsidR="000F200E" w:rsidRPr="000F200E" w:rsidRDefault="000F200E" w:rsidP="000F200E">
      <w:pPr>
        <w:rPr>
          <w:rFonts w:ascii="Arial" w:hAnsi="Arial" w:cs="Arial"/>
          <w:lang w:val="en-GB"/>
        </w:rPr>
      </w:pPr>
      <w:r w:rsidRPr="000F200E">
        <w:rPr>
          <w:rFonts w:ascii="Arial" w:hAnsi="Arial" w:cs="Arial"/>
          <w:lang w:val="en-GB"/>
        </w:rPr>
        <w:t>The present study was conducted as a systematic literature review examining contemporary European dyslexia research published between 2017 and 2025. The review followed PRISMA-oriented principles for systematic evidence synthesis (Page et al., 2021) and aimed to identify major conceptual, developmental, diagnostic, educational, psychosocial, and systemic trends in dyslexia research across Europe.</w:t>
      </w:r>
    </w:p>
    <w:p w14:paraId="773F1B32" w14:textId="77777777" w:rsidR="000F200E" w:rsidRDefault="000F200E" w:rsidP="000F200E">
      <w:pPr>
        <w:rPr>
          <w:rFonts w:ascii="Arial" w:hAnsi="Arial" w:cs="Arial"/>
          <w:lang w:val="en-GB"/>
        </w:rPr>
      </w:pPr>
      <w:r w:rsidRPr="000F200E">
        <w:rPr>
          <w:rFonts w:ascii="Arial" w:hAnsi="Arial" w:cs="Arial"/>
          <w:lang w:val="en-GB"/>
        </w:rPr>
        <w:t>Rather than focusing exclusively on quantitative effect aggregation, the review aimed to provide a broader thematic and conceptual synthesis of contemporary European dyslexia research across multiple disciplinary perspectives. This approach enabled the integration of developmental, educational, psychosocial, diagnostic, and theoretical research traditions within a unified analytical framework.</w:t>
      </w:r>
    </w:p>
    <w:p w14:paraId="5A57B74A" w14:textId="77777777" w:rsidR="000F200E" w:rsidRPr="000F200E" w:rsidRDefault="000F200E" w:rsidP="000F200E">
      <w:pPr>
        <w:rPr>
          <w:rFonts w:ascii="Arial" w:hAnsi="Arial" w:cs="Arial"/>
          <w:lang w:val="en-GB"/>
        </w:rPr>
      </w:pPr>
    </w:p>
    <w:p w14:paraId="4B033889" w14:textId="77777777" w:rsidR="000F200E" w:rsidRPr="000F200E" w:rsidRDefault="000F200E" w:rsidP="000F200E">
      <w:pPr>
        <w:rPr>
          <w:rFonts w:ascii="Arial" w:hAnsi="Arial" w:cs="Arial"/>
          <w:b/>
          <w:bCs/>
          <w:sz w:val="22"/>
          <w:szCs w:val="22"/>
          <w:lang w:val="en-GB"/>
        </w:rPr>
      </w:pPr>
      <w:r w:rsidRPr="000F200E">
        <w:rPr>
          <w:rFonts w:ascii="Arial" w:hAnsi="Arial" w:cs="Arial"/>
          <w:b/>
          <w:bCs/>
          <w:sz w:val="22"/>
          <w:szCs w:val="22"/>
          <w:lang w:val="en-GB"/>
        </w:rPr>
        <w:t>3.2 Search Strategy</w:t>
      </w:r>
    </w:p>
    <w:p w14:paraId="559CC4D9" w14:textId="77777777" w:rsidR="000F200E" w:rsidRPr="000F200E" w:rsidRDefault="000F200E" w:rsidP="000F200E">
      <w:pPr>
        <w:rPr>
          <w:rFonts w:ascii="Arial" w:hAnsi="Arial" w:cs="Arial"/>
          <w:lang w:val="en-GB"/>
        </w:rPr>
      </w:pPr>
      <w:r w:rsidRPr="000F200E">
        <w:rPr>
          <w:rFonts w:ascii="Arial" w:hAnsi="Arial" w:cs="Arial"/>
          <w:lang w:val="en-GB"/>
        </w:rPr>
        <w:lastRenderedPageBreak/>
        <w:t xml:space="preserve">The literature search was conducted between February 25, 2026, and March 10, 2026, using the Education Resources Information </w:t>
      </w:r>
      <w:proofErr w:type="spellStart"/>
      <w:r w:rsidRPr="000F200E">
        <w:rPr>
          <w:rFonts w:ascii="Arial" w:hAnsi="Arial" w:cs="Arial"/>
          <w:lang w:val="en-GB"/>
        </w:rPr>
        <w:t>Center</w:t>
      </w:r>
      <w:proofErr w:type="spellEnd"/>
      <w:r w:rsidRPr="000F200E">
        <w:rPr>
          <w:rFonts w:ascii="Arial" w:hAnsi="Arial" w:cs="Arial"/>
          <w:lang w:val="en-GB"/>
        </w:rPr>
        <w:t xml:space="preserve"> (ERIC) database. The search term “dyslexia” was applied, and publication dates were restricted to studies published from 2017 onward. The search strategy additionally incorporated related terminology frequently used within dyslexia research, including “developmental dyslexia,” “reading disorder,” “reading difficulties,” “literacy difficulties,” “phonological processing,” and “reading fluency.” Boolean operators and truncation strategies were applied where appropriate to improve sensitivity and coverage of the search process. The search was further refined through publication year filters, peer-reviewed publication criteria, and manual screening procedures to ensure relevance to the European dyslexia research context. The search initially yielded 903 records.</w:t>
      </w:r>
    </w:p>
    <w:p w14:paraId="7A3893F1" w14:textId="77777777" w:rsidR="000F200E" w:rsidRDefault="000F200E" w:rsidP="000F200E">
      <w:pPr>
        <w:rPr>
          <w:rFonts w:ascii="Arial" w:hAnsi="Arial" w:cs="Arial"/>
          <w:lang w:val="en-GB"/>
        </w:rPr>
      </w:pPr>
      <w:r w:rsidRPr="000F200E">
        <w:rPr>
          <w:rFonts w:ascii="Arial" w:hAnsi="Arial" w:cs="Arial"/>
          <w:lang w:val="en-GB"/>
        </w:rPr>
        <w:t>The ERIC database was selected because it provides broad coverage of peer-reviewed educational, psychological, and interdisciplinary research relevant to developmental dyslexia, literacy development, special education, and educational interventions.</w:t>
      </w:r>
    </w:p>
    <w:p w14:paraId="74AD854A" w14:textId="77777777" w:rsidR="000F200E" w:rsidRPr="000F200E" w:rsidRDefault="000F200E" w:rsidP="000F200E">
      <w:pPr>
        <w:rPr>
          <w:rFonts w:ascii="Arial" w:hAnsi="Arial" w:cs="Arial"/>
          <w:lang w:val="en-GB"/>
        </w:rPr>
      </w:pPr>
    </w:p>
    <w:p w14:paraId="67907FF5" w14:textId="77777777" w:rsidR="000F200E" w:rsidRDefault="000F200E" w:rsidP="000F200E">
      <w:pPr>
        <w:rPr>
          <w:rFonts w:ascii="Arial" w:hAnsi="Arial" w:cs="Arial"/>
          <w:b/>
          <w:bCs/>
          <w:sz w:val="22"/>
          <w:szCs w:val="22"/>
          <w:lang w:val="en-GB"/>
        </w:rPr>
      </w:pPr>
      <w:r w:rsidRPr="000F200E">
        <w:rPr>
          <w:rFonts w:ascii="Arial" w:hAnsi="Arial" w:cs="Arial"/>
          <w:b/>
          <w:bCs/>
          <w:sz w:val="22"/>
          <w:szCs w:val="22"/>
          <w:lang w:val="en-GB"/>
        </w:rPr>
        <w:t>3.3 Eligibility Criteria</w:t>
      </w:r>
    </w:p>
    <w:p w14:paraId="2D89BA23" w14:textId="77777777" w:rsidR="000F200E" w:rsidRPr="000F200E" w:rsidRDefault="000F200E" w:rsidP="000F200E">
      <w:pPr>
        <w:rPr>
          <w:rFonts w:ascii="Arial" w:hAnsi="Arial" w:cs="Arial"/>
          <w:lang w:val="en-GB"/>
        </w:rPr>
      </w:pPr>
      <w:r w:rsidRPr="000F200E">
        <w:rPr>
          <w:rFonts w:ascii="Arial" w:hAnsi="Arial" w:cs="Arial"/>
          <w:lang w:val="en-GB"/>
        </w:rPr>
        <w:t>Studies were included if they:</w:t>
      </w:r>
    </w:p>
    <w:p w14:paraId="17B6AC48" w14:textId="77777777" w:rsidR="000F200E" w:rsidRPr="000F200E" w:rsidRDefault="000F200E" w:rsidP="000F200E">
      <w:pPr>
        <w:numPr>
          <w:ilvl w:val="0"/>
          <w:numId w:val="31"/>
        </w:numPr>
        <w:spacing w:after="160" w:line="278" w:lineRule="auto"/>
        <w:rPr>
          <w:rFonts w:ascii="Arial" w:hAnsi="Arial" w:cs="Arial"/>
          <w:lang w:val="en-GB"/>
        </w:rPr>
      </w:pPr>
      <w:r w:rsidRPr="000F200E">
        <w:rPr>
          <w:rFonts w:ascii="Arial" w:hAnsi="Arial" w:cs="Arial"/>
          <w:lang w:val="en-GB"/>
        </w:rPr>
        <w:t>focused primarily on dyslexia,</w:t>
      </w:r>
    </w:p>
    <w:p w14:paraId="55FBF848" w14:textId="77777777" w:rsidR="000F200E" w:rsidRPr="000F200E" w:rsidRDefault="000F200E" w:rsidP="000F200E">
      <w:pPr>
        <w:numPr>
          <w:ilvl w:val="0"/>
          <w:numId w:val="31"/>
        </w:numPr>
        <w:spacing w:after="160" w:line="278" w:lineRule="auto"/>
        <w:rPr>
          <w:rFonts w:ascii="Arial" w:hAnsi="Arial" w:cs="Arial"/>
        </w:rPr>
      </w:pPr>
      <w:r w:rsidRPr="000F200E">
        <w:rPr>
          <w:rFonts w:ascii="Arial" w:hAnsi="Arial" w:cs="Arial"/>
        </w:rPr>
        <w:t>were published between 2017 and 2025,</w:t>
      </w:r>
    </w:p>
    <w:p w14:paraId="3E70CFDA" w14:textId="77777777" w:rsidR="000F200E" w:rsidRPr="000F200E" w:rsidRDefault="000F200E" w:rsidP="000F200E">
      <w:pPr>
        <w:numPr>
          <w:ilvl w:val="0"/>
          <w:numId w:val="31"/>
        </w:numPr>
        <w:spacing w:after="160" w:line="278" w:lineRule="auto"/>
        <w:rPr>
          <w:rFonts w:ascii="Arial" w:hAnsi="Arial" w:cs="Arial"/>
          <w:lang w:val="en-GB"/>
        </w:rPr>
      </w:pPr>
      <w:r w:rsidRPr="000F200E">
        <w:rPr>
          <w:rFonts w:ascii="Arial" w:hAnsi="Arial" w:cs="Arial"/>
          <w:lang w:val="en-GB"/>
        </w:rPr>
        <w:t>were conducted within a European context,</w:t>
      </w:r>
    </w:p>
    <w:p w14:paraId="08E2B50A" w14:textId="77777777" w:rsidR="000F200E" w:rsidRPr="000F200E" w:rsidRDefault="000F200E" w:rsidP="000F200E">
      <w:pPr>
        <w:numPr>
          <w:ilvl w:val="0"/>
          <w:numId w:val="31"/>
        </w:numPr>
        <w:spacing w:after="160" w:line="278" w:lineRule="auto"/>
        <w:rPr>
          <w:rFonts w:ascii="Arial" w:hAnsi="Arial" w:cs="Arial"/>
        </w:rPr>
      </w:pPr>
      <w:r w:rsidRPr="000F200E">
        <w:rPr>
          <w:rFonts w:ascii="Arial" w:hAnsi="Arial" w:cs="Arial"/>
        </w:rPr>
        <w:t>were available in English,</w:t>
      </w:r>
    </w:p>
    <w:p w14:paraId="7C48081C" w14:textId="77777777" w:rsidR="000F200E" w:rsidRPr="000F200E" w:rsidRDefault="000F200E" w:rsidP="000F200E">
      <w:pPr>
        <w:numPr>
          <w:ilvl w:val="0"/>
          <w:numId w:val="31"/>
        </w:numPr>
        <w:spacing w:after="160" w:line="278" w:lineRule="auto"/>
        <w:rPr>
          <w:rFonts w:ascii="Arial" w:hAnsi="Arial" w:cs="Arial"/>
          <w:lang w:val="en-GB"/>
        </w:rPr>
      </w:pPr>
      <w:r w:rsidRPr="000F200E">
        <w:rPr>
          <w:rFonts w:ascii="Arial" w:hAnsi="Arial" w:cs="Arial"/>
          <w:lang w:val="en-GB"/>
        </w:rPr>
        <w:t>and addressed at least one of the predefined thematic domains of the review.</w:t>
      </w:r>
    </w:p>
    <w:p w14:paraId="726C2550" w14:textId="77777777" w:rsidR="000F200E" w:rsidRPr="000F200E" w:rsidRDefault="000F200E" w:rsidP="000F200E">
      <w:pPr>
        <w:rPr>
          <w:rFonts w:ascii="Arial" w:hAnsi="Arial" w:cs="Arial"/>
          <w:lang w:val="en-GB"/>
        </w:rPr>
      </w:pPr>
      <w:r w:rsidRPr="000F200E">
        <w:rPr>
          <w:rFonts w:ascii="Arial" w:hAnsi="Arial" w:cs="Arial"/>
          <w:lang w:val="en-GB"/>
        </w:rPr>
        <w:t>Studies were excluded if they:</w:t>
      </w:r>
    </w:p>
    <w:p w14:paraId="39E053BE" w14:textId="77777777" w:rsidR="000F200E" w:rsidRPr="000F200E" w:rsidRDefault="000F200E" w:rsidP="000F200E">
      <w:pPr>
        <w:numPr>
          <w:ilvl w:val="0"/>
          <w:numId w:val="32"/>
        </w:numPr>
        <w:spacing w:after="160" w:line="278" w:lineRule="auto"/>
        <w:rPr>
          <w:rFonts w:ascii="Arial" w:hAnsi="Arial" w:cs="Arial"/>
          <w:lang w:val="en-GB"/>
        </w:rPr>
      </w:pPr>
      <w:r w:rsidRPr="000F200E">
        <w:rPr>
          <w:rFonts w:ascii="Arial" w:hAnsi="Arial" w:cs="Arial"/>
          <w:lang w:val="en-GB"/>
        </w:rPr>
        <w:t>originated primarily from non-European countries,</w:t>
      </w:r>
    </w:p>
    <w:p w14:paraId="6DF9663B" w14:textId="77777777" w:rsidR="000F200E" w:rsidRPr="000F200E" w:rsidRDefault="000F200E" w:rsidP="000F200E">
      <w:pPr>
        <w:numPr>
          <w:ilvl w:val="0"/>
          <w:numId w:val="32"/>
        </w:numPr>
        <w:spacing w:after="160" w:line="278" w:lineRule="auto"/>
        <w:rPr>
          <w:rFonts w:ascii="Arial" w:hAnsi="Arial" w:cs="Arial"/>
          <w:lang w:val="en-GB"/>
        </w:rPr>
      </w:pPr>
      <w:r w:rsidRPr="000F200E">
        <w:rPr>
          <w:rFonts w:ascii="Arial" w:hAnsi="Arial" w:cs="Arial"/>
          <w:lang w:val="en-GB"/>
        </w:rPr>
        <w:t>focused predominantly on unrelated neurodevelopmental or psychiatric conditions without a dyslexia-specific focus,</w:t>
      </w:r>
    </w:p>
    <w:p w14:paraId="13D3C6D8" w14:textId="77777777" w:rsidR="000F200E" w:rsidRPr="000F200E" w:rsidRDefault="000F200E" w:rsidP="000F200E">
      <w:pPr>
        <w:numPr>
          <w:ilvl w:val="0"/>
          <w:numId w:val="32"/>
        </w:numPr>
        <w:spacing w:after="160" w:line="278" w:lineRule="auto"/>
        <w:rPr>
          <w:rFonts w:ascii="Arial" w:hAnsi="Arial" w:cs="Arial"/>
        </w:rPr>
      </w:pPr>
      <w:r w:rsidRPr="000F200E">
        <w:rPr>
          <w:rFonts w:ascii="Arial" w:hAnsi="Arial" w:cs="Arial"/>
        </w:rPr>
        <w:t>were duplicate records,</w:t>
      </w:r>
    </w:p>
    <w:p w14:paraId="3E80050A" w14:textId="77777777" w:rsidR="000F200E" w:rsidRPr="000F200E" w:rsidRDefault="000F200E" w:rsidP="000F200E">
      <w:pPr>
        <w:numPr>
          <w:ilvl w:val="0"/>
          <w:numId w:val="32"/>
        </w:numPr>
        <w:spacing w:after="160" w:line="278" w:lineRule="auto"/>
        <w:rPr>
          <w:rFonts w:ascii="Arial" w:hAnsi="Arial" w:cs="Arial"/>
          <w:lang w:val="en-GB"/>
        </w:rPr>
      </w:pPr>
      <w:r w:rsidRPr="000F200E">
        <w:rPr>
          <w:rFonts w:ascii="Arial" w:hAnsi="Arial" w:cs="Arial"/>
          <w:lang w:val="en-GB"/>
        </w:rPr>
        <w:t>or lacked sufficient relevance to the aims of the review.</w:t>
      </w:r>
    </w:p>
    <w:p w14:paraId="504E2FCB" w14:textId="0722E632" w:rsidR="000F200E" w:rsidRDefault="000F200E" w:rsidP="000F200E">
      <w:pPr>
        <w:rPr>
          <w:rFonts w:ascii="Arial" w:hAnsi="Arial" w:cs="Arial"/>
          <w:lang w:val="en-GB"/>
        </w:rPr>
      </w:pPr>
      <w:r w:rsidRPr="000F200E">
        <w:rPr>
          <w:rFonts w:ascii="Arial" w:hAnsi="Arial" w:cs="Arial"/>
          <w:lang w:val="en-GB"/>
        </w:rPr>
        <w:t>A total of 252 studies were excluded because they were conducted outside Europe, including studies from the United States, China, Taiwan, Australia, Canada, Brazil, India, and several other non-European countries</w:t>
      </w:r>
      <w:r w:rsidRPr="00877475">
        <w:rPr>
          <w:rFonts w:ascii="Arial" w:hAnsi="Arial" w:cs="Arial"/>
          <w:color w:val="EE0000"/>
          <w:lang w:val="en-GB"/>
        </w:rPr>
        <w:t xml:space="preserve">. </w:t>
      </w:r>
      <w:r w:rsidR="00EE7EEF" w:rsidRPr="00877475">
        <w:rPr>
          <w:rFonts w:ascii="Arial" w:hAnsi="Arial" w:cs="Arial"/>
          <w:color w:val="EE0000"/>
        </w:rPr>
        <w:t xml:space="preserve">European countries were defined geographically and institutionally, including EU and non-EU European countries (e.g., Norway, Switzerland, Turkey), where relevant to the European educational and research context. </w:t>
      </w:r>
      <w:r w:rsidRPr="000F200E">
        <w:rPr>
          <w:rFonts w:ascii="Arial" w:hAnsi="Arial" w:cs="Arial"/>
          <w:lang w:val="en-GB"/>
        </w:rPr>
        <w:t>Turkey was retained in the review due to its participation in the European Dyslexia Association (EDA). Additional studies focusing primarily on autism spectrum disorders or unrelated conditions were excluded during screening. The study selection process is illustrated in Figure 1.</w:t>
      </w:r>
    </w:p>
    <w:p w14:paraId="581E4616" w14:textId="77777777" w:rsidR="000F200E" w:rsidRDefault="000F200E" w:rsidP="000F200E">
      <w:pPr>
        <w:rPr>
          <w:rFonts w:ascii="Arial" w:hAnsi="Arial" w:cs="Arial"/>
          <w:lang w:val="en-GB"/>
        </w:rPr>
      </w:pPr>
    </w:p>
    <w:p w14:paraId="2B5CE3B3" w14:textId="77777777" w:rsidR="009C3DCF" w:rsidRDefault="009C3DCF" w:rsidP="009C3DCF">
      <w:pPr>
        <w:rPr>
          <w:rFonts w:ascii="Times New Roman" w:hAnsi="Times New Roman"/>
          <w:lang w:val="en-GB"/>
        </w:rPr>
      </w:pPr>
    </w:p>
    <w:p w14:paraId="25980359" w14:textId="1EB4086D" w:rsidR="009C3DCF" w:rsidRDefault="007D3F72" w:rsidP="009C3DCF">
      <w:pPr>
        <w:rPr>
          <w:rFonts w:ascii="Times New Roman" w:hAnsi="Times New Roman"/>
          <w:lang w:val="en-GB"/>
        </w:rPr>
      </w:pPr>
      <w:r>
        <w:rPr>
          <w:noProof/>
        </w:rPr>
        <mc:AlternateContent>
          <mc:Choice Requires="wps">
            <w:drawing>
              <wp:anchor distT="0" distB="0" distL="114300" distR="114300" simplePos="0" relativeHeight="251672576" behindDoc="0" locked="0" layoutInCell="1" allowOverlap="1" wp14:anchorId="14F628B2" wp14:editId="71427CA0">
                <wp:simplePos x="0" y="0"/>
                <wp:positionH relativeFrom="column">
                  <wp:posOffset>2236470</wp:posOffset>
                </wp:positionH>
                <wp:positionV relativeFrom="paragraph">
                  <wp:posOffset>257810</wp:posOffset>
                </wp:positionV>
                <wp:extent cx="2794000" cy="775335"/>
                <wp:effectExtent l="0" t="0" r="6350" b="5715"/>
                <wp:wrapNone/>
                <wp:docPr id="115948664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0" cy="775335"/>
                        </a:xfrm>
                        <a:prstGeom prst="rect">
                          <a:avLst/>
                        </a:prstGeom>
                        <a:solidFill>
                          <a:schemeClr val="lt1"/>
                        </a:solidFill>
                        <a:ln w="6350">
                          <a:solidFill>
                            <a:prstClr val="black"/>
                          </a:solidFill>
                        </a:ln>
                      </wps:spPr>
                      <wps:txbx>
                        <w:txbxContent>
                          <w:p w14:paraId="2CDF535C"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Result for Dyslexia and Since 2017</w:t>
                            </w:r>
                          </w:p>
                          <w:p w14:paraId="0E8DB177"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Total 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628B2" id="_x0000_t202" coordsize="21600,21600" o:spt="202" path="m,l,21600r21600,l21600,xe">
                <v:stroke joinstyle="miter"/>
                <v:path gradientshapeok="t" o:connecttype="rect"/>
              </v:shapetype>
              <v:shape id="Textfeld 23" o:spid="_x0000_s1026" type="#_x0000_t202" style="position:absolute;margin-left:176.1pt;margin-top:20.3pt;width:220pt;height:6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" fillcolor="white [3201]" strokeweight=".5pt">
                <v:path arrowok="t"/>
                <v:textbox>
                  <w:txbxContent>
                    <w:p w14:paraId="2CDF535C"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Result for Dyslexia and Since 2017</w:t>
                      </w:r>
                    </w:p>
                    <w:p w14:paraId="0E8DB177"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Total 903</w:t>
                      </w:r>
                    </w:p>
                  </w:txbxContent>
                </v:textbox>
              </v:shape>
            </w:pict>
          </mc:Fallback>
        </mc:AlternateContent>
      </w:r>
    </w:p>
    <w:p w14:paraId="53C54572" w14:textId="77777777" w:rsidR="009C3DCF" w:rsidRPr="00994379" w:rsidRDefault="009C3DCF" w:rsidP="009C3DCF">
      <w:pPr>
        <w:pStyle w:val="ListParagraph"/>
        <w:numPr>
          <w:ilvl w:val="0"/>
          <w:numId w:val="33"/>
        </w:numPr>
        <w:spacing w:before="120" w:after="0" w:line="240" w:lineRule="auto"/>
        <w:jc w:val="both"/>
        <w:rPr>
          <w:rFonts w:ascii="Times New Roman" w:hAnsi="Times New Roman" w:cs="Times New Roman"/>
        </w:rPr>
      </w:pPr>
      <w:r w:rsidRPr="00994379">
        <w:rPr>
          <w:rFonts w:ascii="Times New Roman" w:hAnsi="Times New Roman" w:cs="Times New Roman"/>
        </w:rPr>
        <w:t xml:space="preserve">Identification                   </w:t>
      </w:r>
    </w:p>
    <w:p w14:paraId="520617A1" w14:textId="77777777" w:rsidR="009C3DCF" w:rsidRPr="00994379" w:rsidRDefault="009C3DCF" w:rsidP="009C3DCF">
      <w:pPr>
        <w:ind w:left="360"/>
        <w:rPr>
          <w:rFonts w:ascii="Times New Roman" w:hAnsi="Times New Roman"/>
        </w:rPr>
      </w:pPr>
    </w:p>
    <w:p w14:paraId="4EC566EF" w14:textId="56D5F77A" w:rsidR="009C3DCF" w:rsidRPr="00994379" w:rsidRDefault="009C3DCF" w:rsidP="009C3DCF">
      <w:pPr>
        <w:ind w:left="360"/>
        <w:rPr>
          <w:rFonts w:ascii="Times New Roman" w:hAnsi="Times New Roman"/>
        </w:rPr>
      </w:pPr>
    </w:p>
    <w:p w14:paraId="1E43D214" w14:textId="34FD2EA9" w:rsidR="008C5600" w:rsidRDefault="008C5600" w:rsidP="009C3DCF">
      <w:pPr>
        <w:ind w:left="360"/>
        <w:rPr>
          <w:rFonts w:ascii="Times New Roman" w:hAnsi="Times New Roman"/>
        </w:rPr>
      </w:pPr>
    </w:p>
    <w:p w14:paraId="490A7C1E" w14:textId="1B01379B" w:rsidR="008C5600" w:rsidRDefault="008C5600" w:rsidP="009C3DCF">
      <w:pPr>
        <w:ind w:left="360"/>
        <w:rPr>
          <w:rFonts w:ascii="Times New Roman" w:hAnsi="Times New Roman"/>
        </w:rPr>
      </w:pPr>
    </w:p>
    <w:p w14:paraId="1ED6D4BE" w14:textId="3B428703" w:rsidR="008C5600" w:rsidRDefault="007D3F72" w:rsidP="009C3DCF">
      <w:pPr>
        <w:ind w:left="360"/>
        <w:rPr>
          <w:rFonts w:ascii="Times New Roman" w:hAnsi="Times New Roman"/>
        </w:rPr>
      </w:pPr>
      <w:r>
        <w:rPr>
          <w:noProof/>
        </w:rPr>
        <w:lastRenderedPageBreak/>
        <mc:AlternateContent>
          <mc:Choice Requires="wps">
            <w:drawing>
              <wp:anchor distT="0" distB="0" distL="114299" distR="114299" simplePos="0" relativeHeight="251673600" behindDoc="0" locked="0" layoutInCell="1" allowOverlap="1" wp14:anchorId="3D9584D5" wp14:editId="32888AD3">
                <wp:simplePos x="0" y="0"/>
                <wp:positionH relativeFrom="column">
                  <wp:posOffset>2867024</wp:posOffset>
                </wp:positionH>
                <wp:positionV relativeFrom="paragraph">
                  <wp:posOffset>45720</wp:posOffset>
                </wp:positionV>
                <wp:extent cx="0" cy="179705"/>
                <wp:effectExtent l="76200" t="0" r="38100" b="29845"/>
                <wp:wrapNone/>
                <wp:docPr id="376248782" name="Gerade Verbindung mit Pfeil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C7FFB7C" id="Gerade Verbindung mit Pfeil 21" o:spid="_x0000_s1026" type="#_x0000_t32" style="position:absolute;margin-left:225.75pt;margin-top:3.6pt;width:0;height:14.1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" strokecolor="black [3040]">
                <v:stroke endarrow="block"/>
                <o:lock v:ext="edit" shapetype="f"/>
              </v:shape>
            </w:pict>
          </mc:Fallback>
        </mc:AlternateContent>
      </w:r>
    </w:p>
    <w:p w14:paraId="060ACACD" w14:textId="34BEA26A" w:rsidR="009C3DCF" w:rsidRPr="00994379" w:rsidRDefault="007D3F72" w:rsidP="009C3DCF">
      <w:pPr>
        <w:ind w:left="360"/>
        <w:rPr>
          <w:rFonts w:ascii="Times New Roman" w:hAnsi="Times New Roman"/>
        </w:rPr>
      </w:pPr>
      <w:r>
        <w:rPr>
          <w:noProof/>
        </w:rPr>
        <mc:AlternateContent>
          <mc:Choice Requires="wps">
            <w:drawing>
              <wp:anchor distT="0" distB="0" distL="114300" distR="114300" simplePos="0" relativeHeight="251660288" behindDoc="0" locked="0" layoutInCell="1" allowOverlap="1" wp14:anchorId="7213CFE0" wp14:editId="3778EA3B">
                <wp:simplePos x="0" y="0"/>
                <wp:positionH relativeFrom="column">
                  <wp:posOffset>3709035</wp:posOffset>
                </wp:positionH>
                <wp:positionV relativeFrom="paragraph">
                  <wp:posOffset>111760</wp:posOffset>
                </wp:positionV>
                <wp:extent cx="1320800" cy="588645"/>
                <wp:effectExtent l="0" t="0" r="0" b="1905"/>
                <wp:wrapNone/>
                <wp:docPr id="1272144269"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0" cy="588645"/>
                        </a:xfrm>
                        <a:prstGeom prst="rect">
                          <a:avLst/>
                        </a:prstGeom>
                        <a:solidFill>
                          <a:schemeClr val="lt1"/>
                        </a:solidFill>
                        <a:ln w="6350">
                          <a:solidFill>
                            <a:prstClr val="black"/>
                          </a:solidFill>
                        </a:ln>
                      </wps:spPr>
                      <wps:txbx>
                        <w:txbxContent>
                          <w:p w14:paraId="136DE8AC"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Exclusion as not in Europe</w:t>
                            </w:r>
                          </w:p>
                          <w:p w14:paraId="7A83D3F1"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Total 252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3CFE0" id="Textfeld 19" o:spid="_x0000_s1027" type="#_x0000_t202" style="position:absolute;left:0;text-align:left;margin-left:292.05pt;margin-top:8.8pt;width:104pt;height: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" fillcolor="white [3201]" strokeweight=".5pt">
                <v:path arrowok="t"/>
                <v:textbox>
                  <w:txbxContent>
                    <w:p w14:paraId="136DE8AC"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Exclusion as not in Europe</w:t>
                      </w:r>
                    </w:p>
                    <w:p w14:paraId="7A83D3F1"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Total 252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652584D" wp14:editId="22FD6382">
                <wp:simplePos x="0" y="0"/>
                <wp:positionH relativeFrom="column">
                  <wp:posOffset>2237105</wp:posOffset>
                </wp:positionH>
                <wp:positionV relativeFrom="paragraph">
                  <wp:posOffset>113030</wp:posOffset>
                </wp:positionV>
                <wp:extent cx="1320800" cy="387350"/>
                <wp:effectExtent l="0" t="0" r="0" b="0"/>
                <wp:wrapNone/>
                <wp:docPr id="261724188"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0" cy="387350"/>
                        </a:xfrm>
                        <a:prstGeom prst="rect">
                          <a:avLst/>
                        </a:prstGeom>
                        <a:solidFill>
                          <a:schemeClr val="lt1"/>
                        </a:solidFill>
                        <a:ln w="6350">
                          <a:solidFill>
                            <a:prstClr val="black"/>
                          </a:solidFill>
                        </a:ln>
                      </wps:spPr>
                      <wps:txbx>
                        <w:txbxContent>
                          <w:p w14:paraId="3407BAEF" w14:textId="77777777" w:rsidR="009C3DCF" w:rsidRPr="00994379" w:rsidRDefault="009C3DCF" w:rsidP="009C3DCF">
                            <w:pPr>
                              <w:jc w:val="center"/>
                              <w:rPr>
                                <w:rFonts w:ascii="Times New Roman" w:hAnsi="Times New Roman"/>
                              </w:rPr>
                            </w:pPr>
                            <w:r w:rsidRPr="00994379">
                              <w:rPr>
                                <w:rFonts w:ascii="Times New Roman" w:hAnsi="Times New Roman"/>
                              </w:rPr>
                              <w:t>Total 651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2584D" id="Textfeld 17" o:spid="_x0000_s1028" type="#_x0000_t202" style="position:absolute;left:0;text-align:left;margin-left:176.15pt;margin-top:8.9pt;width:104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" fillcolor="white [3201]" strokeweight=".5pt">
                <v:path arrowok="t"/>
                <v:textbox>
                  <w:txbxContent>
                    <w:p w14:paraId="3407BAEF" w14:textId="77777777" w:rsidR="009C3DCF" w:rsidRPr="00994379" w:rsidRDefault="009C3DCF" w:rsidP="009C3DCF">
                      <w:pPr>
                        <w:jc w:val="center"/>
                        <w:rPr>
                          <w:rFonts w:ascii="Times New Roman" w:hAnsi="Times New Roman"/>
                        </w:rPr>
                      </w:pPr>
                      <w:r w:rsidRPr="00994379">
                        <w:rPr>
                          <w:rFonts w:ascii="Times New Roman" w:hAnsi="Times New Roman"/>
                        </w:rPr>
                        <w:t>Total 651</w:t>
                      </w:r>
                    </w:p>
                  </w:txbxContent>
                </v:textbox>
              </v:shape>
            </w:pict>
          </mc:Fallback>
        </mc:AlternateContent>
      </w:r>
    </w:p>
    <w:p w14:paraId="6712C421" w14:textId="2B27E7CC" w:rsidR="009C3DCF" w:rsidRPr="00994379" w:rsidRDefault="007D3F72" w:rsidP="009C3DCF">
      <w:pPr>
        <w:pStyle w:val="ListParagraph"/>
        <w:numPr>
          <w:ilvl w:val="0"/>
          <w:numId w:val="33"/>
        </w:numPr>
        <w:spacing w:before="120" w:after="0" w:line="240" w:lineRule="auto"/>
        <w:jc w:val="both"/>
        <w:rPr>
          <w:rFonts w:ascii="Times New Roman" w:hAnsi="Times New Roman" w:cs="Times New Roman"/>
        </w:rPr>
      </w:pPr>
      <w:r>
        <w:rPr>
          <w:noProof/>
        </w:rPr>
        <mc:AlternateContent>
          <mc:Choice Requires="wps">
            <w:drawing>
              <wp:anchor distT="4294967295" distB="4294967295" distL="114300" distR="114300" simplePos="0" relativeHeight="251669504" behindDoc="0" locked="0" layoutInCell="1" allowOverlap="1" wp14:anchorId="27DBFC2D" wp14:editId="04D64529">
                <wp:simplePos x="0" y="0"/>
                <wp:positionH relativeFrom="column">
                  <wp:posOffset>3561715</wp:posOffset>
                </wp:positionH>
                <wp:positionV relativeFrom="paragraph">
                  <wp:posOffset>91439</wp:posOffset>
                </wp:positionV>
                <wp:extent cx="150495" cy="0"/>
                <wp:effectExtent l="0" t="76200" r="1905" b="76200"/>
                <wp:wrapNone/>
                <wp:docPr id="1600023728" name="Gerade Verbindung mit Pfeil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69848F3" id="Gerade Verbindung mit Pfeil 15" o:spid="_x0000_s1026" type="#_x0000_t32" style="position:absolute;margin-left:280.45pt;margin-top:7.2pt;width:11.8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" strokecolor="black [3040]">
                <v:stroke endarrow="block"/>
                <o:lock v:ext="edit" shapetype="f"/>
              </v:shape>
            </w:pict>
          </mc:Fallback>
        </mc:AlternateContent>
      </w:r>
      <w:r w:rsidR="009C3DCF" w:rsidRPr="00994379">
        <w:rPr>
          <w:rFonts w:ascii="Times New Roman" w:hAnsi="Times New Roman" w:cs="Times New Roman"/>
        </w:rPr>
        <w:t>First choice</w:t>
      </w:r>
    </w:p>
    <w:p w14:paraId="55FB25E4" w14:textId="098F6939" w:rsidR="009C3DCF" w:rsidRPr="00994379" w:rsidRDefault="009C3DCF" w:rsidP="009C3DCF">
      <w:pPr>
        <w:ind w:left="360"/>
        <w:rPr>
          <w:rFonts w:ascii="Times New Roman" w:hAnsi="Times New Roman"/>
        </w:rPr>
      </w:pPr>
    </w:p>
    <w:p w14:paraId="1EE977FE" w14:textId="77777777" w:rsidR="009C3DCF" w:rsidRPr="00994379" w:rsidRDefault="009C3DCF" w:rsidP="009C3DCF">
      <w:pPr>
        <w:ind w:left="360"/>
        <w:rPr>
          <w:rFonts w:ascii="Times New Roman" w:hAnsi="Times New Roman"/>
        </w:rPr>
      </w:pPr>
    </w:p>
    <w:p w14:paraId="7DAD0EC8" w14:textId="77777777" w:rsidR="009C3DCF" w:rsidRPr="00994379" w:rsidRDefault="009C3DCF" w:rsidP="009C3DCF">
      <w:pPr>
        <w:ind w:left="360"/>
        <w:rPr>
          <w:rFonts w:ascii="Times New Roman" w:hAnsi="Times New Roman"/>
        </w:rPr>
      </w:pPr>
    </w:p>
    <w:p w14:paraId="731D01BE" w14:textId="745D1DC3" w:rsidR="009C3DCF" w:rsidRPr="00994379" w:rsidRDefault="007D3F72" w:rsidP="009C3DCF">
      <w:pPr>
        <w:pStyle w:val="ListParagraph"/>
        <w:numPr>
          <w:ilvl w:val="0"/>
          <w:numId w:val="33"/>
        </w:numPr>
        <w:spacing w:before="120" w:after="0" w:line="240" w:lineRule="auto"/>
        <w:jc w:val="both"/>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14:anchorId="5A42EEAF" wp14:editId="69837CF1">
                <wp:simplePos x="0" y="0"/>
                <wp:positionH relativeFrom="column">
                  <wp:posOffset>3716655</wp:posOffset>
                </wp:positionH>
                <wp:positionV relativeFrom="paragraph">
                  <wp:posOffset>76200</wp:posOffset>
                </wp:positionV>
                <wp:extent cx="1320800" cy="469900"/>
                <wp:effectExtent l="0" t="0" r="0" b="6350"/>
                <wp:wrapNone/>
                <wp:docPr id="926263600"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0" cy="469900"/>
                        </a:xfrm>
                        <a:prstGeom prst="rect">
                          <a:avLst/>
                        </a:prstGeom>
                        <a:solidFill>
                          <a:schemeClr val="lt1"/>
                        </a:solidFill>
                        <a:ln w="6350">
                          <a:solidFill>
                            <a:prstClr val="black"/>
                          </a:solidFill>
                        </a:ln>
                      </wps:spPr>
                      <wps:txbx>
                        <w:txbxContent>
                          <w:p w14:paraId="06065EE1"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Other Topic (Autism)</w:t>
                            </w:r>
                          </w:p>
                          <w:p w14:paraId="3D7287B3" w14:textId="77777777" w:rsidR="009C3DCF" w:rsidRPr="00994379" w:rsidRDefault="009C3DCF" w:rsidP="009C3DCF">
                            <w:pPr>
                              <w:jc w:val="center"/>
                              <w:rPr>
                                <w:rFonts w:ascii="Times New Roman" w:hAnsi="Times New Roman"/>
                              </w:rPr>
                            </w:pPr>
                            <w:r w:rsidRPr="00994379">
                              <w:rPr>
                                <w:rFonts w:ascii="Times New Roman" w:hAnsi="Times New Roman"/>
                              </w:rPr>
                              <w:t>Total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2EEAF" id="Textfeld 13" o:spid="_x0000_s1029" type="#_x0000_t202" style="position:absolute;left:0;text-align:left;margin-left:292.65pt;margin-top:6pt;width:104pt;height: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" fillcolor="white [3201]" strokeweight=".5pt">
                <v:path arrowok="t"/>
                <v:textbox>
                  <w:txbxContent>
                    <w:p w14:paraId="06065EE1"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Other Topic (Autism)</w:t>
                      </w:r>
                    </w:p>
                    <w:p w14:paraId="3D7287B3" w14:textId="77777777" w:rsidR="009C3DCF" w:rsidRPr="00994379" w:rsidRDefault="009C3DCF" w:rsidP="009C3DCF">
                      <w:pPr>
                        <w:jc w:val="center"/>
                        <w:rPr>
                          <w:rFonts w:ascii="Times New Roman" w:hAnsi="Times New Roman"/>
                        </w:rPr>
                      </w:pPr>
                      <w:r w:rsidRPr="00994379">
                        <w:rPr>
                          <w:rFonts w:ascii="Times New Roman" w:hAnsi="Times New Roman"/>
                        </w:rPr>
                        <w:t>Total 1</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25A729D" wp14:editId="64C144A2">
                <wp:simplePos x="0" y="0"/>
                <wp:positionH relativeFrom="column">
                  <wp:posOffset>2197100</wp:posOffset>
                </wp:positionH>
                <wp:positionV relativeFrom="paragraph">
                  <wp:posOffset>75565</wp:posOffset>
                </wp:positionV>
                <wp:extent cx="1320800" cy="387350"/>
                <wp:effectExtent l="0" t="0" r="0" b="0"/>
                <wp:wrapNone/>
                <wp:docPr id="373549366"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0" cy="387350"/>
                        </a:xfrm>
                        <a:prstGeom prst="rect">
                          <a:avLst/>
                        </a:prstGeom>
                        <a:solidFill>
                          <a:schemeClr val="lt1"/>
                        </a:solidFill>
                        <a:ln w="6350">
                          <a:solidFill>
                            <a:prstClr val="black"/>
                          </a:solidFill>
                        </a:ln>
                      </wps:spPr>
                      <wps:txbx>
                        <w:txbxContent>
                          <w:p w14:paraId="6018A3F1" w14:textId="77777777" w:rsidR="009C3DCF" w:rsidRPr="00994379" w:rsidRDefault="009C3DCF" w:rsidP="009C3DCF">
                            <w:pPr>
                              <w:jc w:val="center"/>
                              <w:rPr>
                                <w:rFonts w:ascii="Times New Roman" w:hAnsi="Times New Roman"/>
                              </w:rPr>
                            </w:pPr>
                            <w:r w:rsidRPr="00994379">
                              <w:rPr>
                                <w:rFonts w:ascii="Times New Roman" w:hAnsi="Times New Roman"/>
                              </w:rPr>
                              <w:t>Total 650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A729D" id="Textfeld 11" o:spid="_x0000_s1030" type="#_x0000_t202" style="position:absolute;left:0;text-align:left;margin-left:173pt;margin-top:5.95pt;width:104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" fillcolor="white [3201]" strokeweight=".5pt">
                <v:path arrowok="t"/>
                <v:textbox>
                  <w:txbxContent>
                    <w:p w14:paraId="6018A3F1" w14:textId="77777777" w:rsidR="009C3DCF" w:rsidRPr="00994379" w:rsidRDefault="009C3DCF" w:rsidP="009C3DCF">
                      <w:pPr>
                        <w:jc w:val="center"/>
                        <w:rPr>
                          <w:rFonts w:ascii="Times New Roman" w:hAnsi="Times New Roman"/>
                        </w:rPr>
                      </w:pPr>
                      <w:r w:rsidRPr="00994379">
                        <w:rPr>
                          <w:rFonts w:ascii="Times New Roman" w:hAnsi="Times New Roman"/>
                        </w:rPr>
                        <w:t>Total 650</w:t>
                      </w:r>
                    </w:p>
                  </w:txbxContent>
                </v:textbox>
              </v:shape>
            </w:pict>
          </mc:Fallback>
        </mc:AlternateContent>
      </w:r>
      <w:r w:rsidR="009C3DCF" w:rsidRPr="00994379">
        <w:rPr>
          <w:rFonts w:ascii="Times New Roman" w:hAnsi="Times New Roman" w:cs="Times New Roman"/>
        </w:rPr>
        <w:t>Examination</w:t>
      </w:r>
    </w:p>
    <w:p w14:paraId="3AD8D63A" w14:textId="6D8755CF" w:rsidR="009C3DCF" w:rsidRPr="00994379" w:rsidRDefault="007D3F72" w:rsidP="009C3DCF">
      <w:pPr>
        <w:ind w:left="360"/>
        <w:rPr>
          <w:rFonts w:ascii="Times New Roman" w:hAnsi="Times New Roman"/>
        </w:rPr>
      </w:pPr>
      <w:r>
        <w:rPr>
          <w:noProof/>
        </w:rPr>
        <mc:AlternateContent>
          <mc:Choice Requires="wps">
            <w:drawing>
              <wp:anchor distT="4294967295" distB="4294967295" distL="114300" distR="114300" simplePos="0" relativeHeight="251670528" behindDoc="0" locked="0" layoutInCell="1" allowOverlap="1" wp14:anchorId="5F33BE67" wp14:editId="13F65E2B">
                <wp:simplePos x="0" y="0"/>
                <wp:positionH relativeFrom="column">
                  <wp:posOffset>3514090</wp:posOffset>
                </wp:positionH>
                <wp:positionV relativeFrom="paragraph">
                  <wp:posOffset>43814</wp:posOffset>
                </wp:positionV>
                <wp:extent cx="205740" cy="0"/>
                <wp:effectExtent l="0" t="76200" r="3810" b="76200"/>
                <wp:wrapNone/>
                <wp:docPr id="49343450" name="Gerade Verbindung mit Pfeil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D54C12" id="Gerade Verbindung mit Pfeil 9" o:spid="_x0000_s1026" type="#_x0000_t32" style="position:absolute;margin-left:276.7pt;margin-top:3.45pt;width:16.2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" strokecolor="black [3040]">
                <v:stroke endarrow="block"/>
                <o:lock v:ext="edit" shapetype="f"/>
              </v:shape>
            </w:pict>
          </mc:Fallback>
        </mc:AlternateContent>
      </w:r>
    </w:p>
    <w:p w14:paraId="2B9F40D2" w14:textId="12F4BCCB" w:rsidR="009C3DCF" w:rsidRPr="00994379" w:rsidRDefault="007D3F72" w:rsidP="009C3DCF">
      <w:pPr>
        <w:ind w:left="360"/>
        <w:rPr>
          <w:rFonts w:ascii="Times New Roman" w:hAnsi="Times New Roman"/>
        </w:rPr>
      </w:pPr>
      <w:r>
        <w:rPr>
          <w:noProof/>
        </w:rPr>
        <mc:AlternateContent>
          <mc:Choice Requires="wps">
            <w:drawing>
              <wp:anchor distT="0" distB="0" distL="114300" distR="114300" simplePos="0" relativeHeight="251667456" behindDoc="0" locked="0" layoutInCell="1" allowOverlap="1" wp14:anchorId="2F54C024" wp14:editId="292F3443">
                <wp:simplePos x="0" y="0"/>
                <wp:positionH relativeFrom="column">
                  <wp:posOffset>2851150</wp:posOffset>
                </wp:positionH>
                <wp:positionV relativeFrom="paragraph">
                  <wp:posOffset>64770</wp:posOffset>
                </wp:positionV>
                <wp:extent cx="7620" cy="360045"/>
                <wp:effectExtent l="45085" t="8255" r="61595" b="22225"/>
                <wp:wrapNone/>
                <wp:docPr id="855611830"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60045"/>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3AB11" id="Gerade Verbindung mit Pfeil 4" o:spid="_x0000_s1026" type="#_x0000_t32" style="position:absolute;margin-left:224.5pt;margin-top:5.1pt;width:.6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" strokecolor="black [3040]">
                <v:stroke endarrow="block"/>
              </v:shape>
            </w:pict>
          </mc:Fallback>
        </mc:AlternateContent>
      </w:r>
    </w:p>
    <w:p w14:paraId="17867249" w14:textId="77777777" w:rsidR="009C3DCF" w:rsidRPr="00994379" w:rsidRDefault="009C3DCF" w:rsidP="009C3DCF">
      <w:pPr>
        <w:ind w:left="360"/>
        <w:rPr>
          <w:rFonts w:ascii="Times New Roman" w:hAnsi="Times New Roman"/>
        </w:rPr>
      </w:pPr>
    </w:p>
    <w:p w14:paraId="1BDB24A0" w14:textId="77777777" w:rsidR="009C3DCF" w:rsidRPr="00994379" w:rsidRDefault="009C3DCF" w:rsidP="009C3DCF">
      <w:pPr>
        <w:ind w:left="360"/>
        <w:rPr>
          <w:rFonts w:ascii="Times New Roman" w:hAnsi="Times New Roman"/>
        </w:rPr>
      </w:pPr>
    </w:p>
    <w:p w14:paraId="4118DA41" w14:textId="58C833FA" w:rsidR="009C3DCF" w:rsidRPr="00994379" w:rsidRDefault="007D3F72" w:rsidP="009C3DCF">
      <w:pPr>
        <w:ind w:left="360"/>
        <w:rPr>
          <w:rFonts w:ascii="Times New Roman" w:hAnsi="Times New Roman"/>
        </w:rPr>
      </w:pPr>
      <w:r>
        <w:rPr>
          <w:noProof/>
        </w:rPr>
        <mc:AlternateContent>
          <mc:Choice Requires="wps">
            <w:drawing>
              <wp:anchor distT="0" distB="0" distL="114300" distR="114300" simplePos="0" relativeHeight="251664384" behindDoc="0" locked="0" layoutInCell="1" allowOverlap="1" wp14:anchorId="79594B97" wp14:editId="3708699B">
                <wp:simplePos x="0" y="0"/>
                <wp:positionH relativeFrom="column">
                  <wp:posOffset>3705860</wp:posOffset>
                </wp:positionH>
                <wp:positionV relativeFrom="paragraph">
                  <wp:posOffset>5715</wp:posOffset>
                </wp:positionV>
                <wp:extent cx="1320800" cy="546100"/>
                <wp:effectExtent l="0" t="0" r="0" b="6350"/>
                <wp:wrapNone/>
                <wp:docPr id="1521272051"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0" cy="546100"/>
                        </a:xfrm>
                        <a:prstGeom prst="rect">
                          <a:avLst/>
                        </a:prstGeom>
                        <a:solidFill>
                          <a:schemeClr val="lt1"/>
                        </a:solidFill>
                        <a:ln w="6350">
                          <a:solidFill>
                            <a:prstClr val="black"/>
                          </a:solidFill>
                        </a:ln>
                      </wps:spPr>
                      <wps:txbx>
                        <w:txbxContent>
                          <w:p w14:paraId="7EE03367"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No clear European context</w:t>
                            </w:r>
                          </w:p>
                          <w:p w14:paraId="7A20F56B"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Total 259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94B97" id="Textfeld 7" o:spid="_x0000_s1031" type="#_x0000_t202" style="position:absolute;left:0;text-align:left;margin-left:291.8pt;margin-top:.45pt;width:104pt;height: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" fillcolor="white [3201]" strokeweight=".5pt">
                <v:path arrowok="t"/>
                <v:textbox>
                  <w:txbxContent>
                    <w:p w14:paraId="7EE03367"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No clear European context</w:t>
                      </w:r>
                    </w:p>
                    <w:p w14:paraId="7A20F56B"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Total 259</w:t>
                      </w:r>
                    </w:p>
                  </w:txbxContent>
                </v:textbox>
              </v:shape>
            </w:pict>
          </mc:Fallback>
        </mc:AlternateContent>
      </w:r>
      <w:r>
        <w:rPr>
          <w:noProof/>
        </w:rPr>
        <mc:AlternateContent>
          <mc:Choice Requires="wps">
            <w:drawing>
              <wp:anchor distT="4294967295" distB="4294967295" distL="114300" distR="114300" simplePos="0" relativeHeight="251671552" behindDoc="0" locked="0" layoutInCell="1" allowOverlap="1" wp14:anchorId="5D84CB1F" wp14:editId="4CA51FBB">
                <wp:simplePos x="0" y="0"/>
                <wp:positionH relativeFrom="column">
                  <wp:posOffset>3513455</wp:posOffset>
                </wp:positionH>
                <wp:positionV relativeFrom="paragraph">
                  <wp:posOffset>211454</wp:posOffset>
                </wp:positionV>
                <wp:extent cx="207010" cy="0"/>
                <wp:effectExtent l="0" t="76200" r="2540" b="76200"/>
                <wp:wrapNone/>
                <wp:docPr id="907486049" name="Gerade Verbindung mit Pfe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10A12E4" id="Gerade Verbindung mit Pfeil 5" o:spid="_x0000_s1026" type="#_x0000_t32" style="position:absolute;margin-left:276.65pt;margin-top:16.65pt;width:16.3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" strokecolor="black [3040]">
                <v:stroke endarrow="block"/>
                <o:lock v:ext="edit" shapetype="f"/>
              </v:shape>
            </w:pict>
          </mc:Fallback>
        </mc:AlternateContent>
      </w:r>
      <w:r>
        <w:rPr>
          <w:noProof/>
        </w:rPr>
        <mc:AlternateContent>
          <mc:Choice Requires="wps">
            <w:drawing>
              <wp:anchor distT="0" distB="0" distL="114300" distR="114300" simplePos="0" relativeHeight="251663360" behindDoc="0" locked="0" layoutInCell="1" allowOverlap="1" wp14:anchorId="7927D576" wp14:editId="7DEC3569">
                <wp:simplePos x="0" y="0"/>
                <wp:positionH relativeFrom="column">
                  <wp:posOffset>2186305</wp:posOffset>
                </wp:positionH>
                <wp:positionV relativeFrom="paragraph">
                  <wp:posOffset>5080</wp:posOffset>
                </wp:positionV>
                <wp:extent cx="1320800" cy="387350"/>
                <wp:effectExtent l="0" t="0" r="0" b="0"/>
                <wp:wrapNone/>
                <wp:docPr id="64585985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0" cy="387350"/>
                        </a:xfrm>
                        <a:prstGeom prst="rect">
                          <a:avLst/>
                        </a:prstGeom>
                        <a:solidFill>
                          <a:schemeClr val="lt1"/>
                        </a:solidFill>
                        <a:ln w="6350">
                          <a:solidFill>
                            <a:prstClr val="black"/>
                          </a:solidFill>
                        </a:ln>
                      </wps:spPr>
                      <wps:txbx>
                        <w:txbxContent>
                          <w:p w14:paraId="03E4E57C" w14:textId="77777777" w:rsidR="009C3DCF" w:rsidRPr="00994379" w:rsidRDefault="009C3DCF" w:rsidP="009C3DCF">
                            <w:pPr>
                              <w:jc w:val="center"/>
                              <w:rPr>
                                <w:rFonts w:ascii="Times New Roman" w:hAnsi="Times New Roman"/>
                              </w:rPr>
                            </w:pPr>
                            <w:r w:rsidRPr="00994379">
                              <w:rPr>
                                <w:rFonts w:ascii="Times New Roman" w:hAnsi="Times New Roman"/>
                              </w:rPr>
                              <w:t>Total 391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7D576" id="Textfeld 3" o:spid="_x0000_s1032" type="#_x0000_t202" style="position:absolute;left:0;text-align:left;margin-left:172.15pt;margin-top:.4pt;width:104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" fillcolor="white [3201]" strokeweight=".5pt">
                <v:path arrowok="t"/>
                <v:textbox>
                  <w:txbxContent>
                    <w:p w14:paraId="03E4E57C" w14:textId="77777777" w:rsidR="009C3DCF" w:rsidRPr="00994379" w:rsidRDefault="009C3DCF" w:rsidP="009C3DCF">
                      <w:pPr>
                        <w:jc w:val="center"/>
                        <w:rPr>
                          <w:rFonts w:ascii="Times New Roman" w:hAnsi="Times New Roman"/>
                        </w:rPr>
                      </w:pPr>
                      <w:r w:rsidRPr="00994379">
                        <w:rPr>
                          <w:rFonts w:ascii="Times New Roman" w:hAnsi="Times New Roman"/>
                        </w:rPr>
                        <w:t>Total 391</w:t>
                      </w:r>
                    </w:p>
                  </w:txbxContent>
                </v:textbox>
              </v:shape>
            </w:pict>
          </mc:Fallback>
        </mc:AlternateContent>
      </w:r>
    </w:p>
    <w:p w14:paraId="7179B811" w14:textId="289635D5" w:rsidR="009C3DCF" w:rsidRPr="00994379" w:rsidRDefault="009C3DCF" w:rsidP="009C3DCF">
      <w:pPr>
        <w:ind w:left="360"/>
        <w:rPr>
          <w:rFonts w:ascii="Times New Roman" w:hAnsi="Times New Roman"/>
        </w:rPr>
      </w:pPr>
    </w:p>
    <w:p w14:paraId="659756D0" w14:textId="2174A8C3" w:rsidR="009C3DCF" w:rsidRPr="00994379" w:rsidRDefault="007D3F72" w:rsidP="009C3DCF">
      <w:pPr>
        <w:ind w:left="360"/>
        <w:rPr>
          <w:rFonts w:ascii="Times New Roman" w:hAnsi="Times New Roman"/>
        </w:rPr>
      </w:pPr>
      <w:r>
        <w:rPr>
          <w:noProof/>
        </w:rPr>
        <mc:AlternateContent>
          <mc:Choice Requires="wps">
            <w:drawing>
              <wp:anchor distT="0" distB="0" distL="114300" distR="114300" simplePos="0" relativeHeight="251668480" behindDoc="0" locked="0" layoutInCell="1" allowOverlap="1" wp14:anchorId="74F92BC0" wp14:editId="347902FE">
                <wp:simplePos x="0" y="0"/>
                <wp:positionH relativeFrom="column">
                  <wp:posOffset>2873375</wp:posOffset>
                </wp:positionH>
                <wp:positionV relativeFrom="paragraph">
                  <wp:posOffset>116840</wp:posOffset>
                </wp:positionV>
                <wp:extent cx="0" cy="215900"/>
                <wp:effectExtent l="57785" t="9525" r="56515" b="22225"/>
                <wp:wrapNone/>
                <wp:docPr id="73635924" name="Gerade Verbindung mit Pfe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319AC" id="Gerade Verbindung mit Pfeil 5" o:spid="_x0000_s1026" type="#_x0000_t32" style="position:absolute;margin-left:226.25pt;margin-top:9.2pt;width:0;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" strokecolor="black [3040]">
                <v:stroke endarrow="block"/>
              </v:shape>
            </w:pict>
          </mc:Fallback>
        </mc:AlternateContent>
      </w:r>
    </w:p>
    <w:p w14:paraId="79EA6677" w14:textId="77777777" w:rsidR="009C3DCF" w:rsidRPr="00994379" w:rsidRDefault="009C3DCF" w:rsidP="009C3DCF">
      <w:pPr>
        <w:ind w:left="360"/>
        <w:rPr>
          <w:rFonts w:ascii="Times New Roman" w:hAnsi="Times New Roman"/>
        </w:rPr>
      </w:pPr>
    </w:p>
    <w:p w14:paraId="3069DB91" w14:textId="0FF05707" w:rsidR="009C3DCF" w:rsidRPr="00994379" w:rsidRDefault="007D3F72" w:rsidP="009C3DCF">
      <w:pPr>
        <w:pStyle w:val="ListParagraph"/>
        <w:numPr>
          <w:ilvl w:val="0"/>
          <w:numId w:val="33"/>
        </w:numPr>
        <w:spacing w:before="120" w:after="0" w:line="240" w:lineRule="auto"/>
        <w:jc w:val="both"/>
        <w:rPr>
          <w:rFonts w:ascii="Times New Roman" w:hAnsi="Times New Roman" w:cs="Times New Roman"/>
        </w:rPr>
      </w:pPr>
      <w:r>
        <w:rPr>
          <w:noProof/>
        </w:rPr>
        <mc:AlternateContent>
          <mc:Choice Requires="wps">
            <w:drawing>
              <wp:anchor distT="0" distB="0" distL="114300" distR="114300" simplePos="0" relativeHeight="251665408" behindDoc="0" locked="0" layoutInCell="1" allowOverlap="1" wp14:anchorId="284F27A0" wp14:editId="44B93342">
                <wp:simplePos x="0" y="0"/>
                <wp:positionH relativeFrom="column">
                  <wp:posOffset>2130425</wp:posOffset>
                </wp:positionH>
                <wp:positionV relativeFrom="paragraph">
                  <wp:posOffset>62865</wp:posOffset>
                </wp:positionV>
                <wp:extent cx="1320800" cy="387350"/>
                <wp:effectExtent l="0" t="0" r="0" b="0"/>
                <wp:wrapNone/>
                <wp:docPr id="1769583306"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0" cy="387350"/>
                        </a:xfrm>
                        <a:prstGeom prst="rect">
                          <a:avLst/>
                        </a:prstGeom>
                        <a:solidFill>
                          <a:schemeClr val="lt1"/>
                        </a:solidFill>
                        <a:ln w="6350">
                          <a:solidFill>
                            <a:prstClr val="black"/>
                          </a:solidFill>
                        </a:ln>
                      </wps:spPr>
                      <wps:txbx>
                        <w:txbxContent>
                          <w:p w14:paraId="4706D469" w14:textId="77777777" w:rsidR="009C3DCF" w:rsidRPr="00994379" w:rsidRDefault="009C3DCF" w:rsidP="009C3DCF">
                            <w:pPr>
                              <w:jc w:val="center"/>
                              <w:rPr>
                                <w:rFonts w:ascii="Times New Roman" w:hAnsi="Times New Roman"/>
                                <w:b/>
                                <w:bCs/>
                              </w:rPr>
                            </w:pPr>
                            <w:r w:rsidRPr="00994379">
                              <w:rPr>
                                <w:rFonts w:ascii="Times New Roman" w:hAnsi="Times New Roman"/>
                                <w:b/>
                                <w:bCs/>
                              </w:rPr>
                              <w:t>Total 391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F27A0" id="Textfeld 1" o:spid="_x0000_s1033" type="#_x0000_t202" style="position:absolute;left:0;text-align:left;margin-left:167.75pt;margin-top:4.95pt;width:104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" fillcolor="white [3201]" strokeweight=".5pt">
                <v:path arrowok="t"/>
                <v:textbox>
                  <w:txbxContent>
                    <w:p w14:paraId="4706D469" w14:textId="77777777" w:rsidR="009C3DCF" w:rsidRPr="00994379" w:rsidRDefault="009C3DCF" w:rsidP="009C3DCF">
                      <w:pPr>
                        <w:jc w:val="center"/>
                        <w:rPr>
                          <w:rFonts w:ascii="Times New Roman" w:hAnsi="Times New Roman"/>
                          <w:b/>
                          <w:bCs/>
                        </w:rPr>
                      </w:pPr>
                      <w:r w:rsidRPr="00994379">
                        <w:rPr>
                          <w:rFonts w:ascii="Times New Roman" w:hAnsi="Times New Roman"/>
                          <w:b/>
                          <w:bCs/>
                        </w:rPr>
                        <w:t>Total 391</w:t>
                      </w:r>
                    </w:p>
                  </w:txbxContent>
                </v:textbox>
              </v:shape>
            </w:pict>
          </mc:Fallback>
        </mc:AlternateContent>
      </w:r>
      <w:r w:rsidR="009C3DCF" w:rsidRPr="00994379">
        <w:rPr>
          <w:rFonts w:ascii="Times New Roman" w:hAnsi="Times New Roman" w:cs="Times New Roman"/>
        </w:rPr>
        <w:t>Enclosure</w:t>
      </w:r>
    </w:p>
    <w:p w14:paraId="681918B9" w14:textId="77777777" w:rsidR="009C3DCF" w:rsidRPr="00E90164" w:rsidRDefault="009C3DCF" w:rsidP="009C3DCF">
      <w:pPr>
        <w:rPr>
          <w:rFonts w:ascii="Times New Roman" w:hAnsi="Times New Roman"/>
          <w:lang w:val="en-GB"/>
        </w:rPr>
      </w:pPr>
    </w:p>
    <w:p w14:paraId="25D66340" w14:textId="77777777" w:rsidR="009C3DCF" w:rsidRDefault="009C3DCF" w:rsidP="009C3DCF">
      <w:pPr>
        <w:rPr>
          <w:rFonts w:ascii="Times New Roman" w:hAnsi="Times New Roman"/>
          <w:lang w:val="en-GB"/>
        </w:rPr>
      </w:pPr>
    </w:p>
    <w:p w14:paraId="2CAA5343" w14:textId="7851251F" w:rsidR="009C3DCF" w:rsidRDefault="009C3DCF" w:rsidP="009C3DCF">
      <w:pPr>
        <w:rPr>
          <w:rFonts w:ascii="Arial" w:hAnsi="Arial" w:cs="Arial"/>
          <w:b/>
          <w:bCs/>
          <w:lang w:val="de-AT"/>
        </w:rPr>
      </w:pPr>
      <w:r w:rsidRPr="009C3DCF">
        <w:rPr>
          <w:rFonts w:ascii="Arial" w:hAnsi="Arial" w:cs="Arial"/>
          <w:b/>
          <w:bCs/>
          <w:lang w:val="de-AT"/>
        </w:rPr>
        <w:t>Fig</w:t>
      </w:r>
      <w:r w:rsidR="00FE3D6E">
        <w:rPr>
          <w:rFonts w:ascii="Arial" w:hAnsi="Arial" w:cs="Arial"/>
          <w:b/>
          <w:bCs/>
          <w:lang w:val="de-AT"/>
        </w:rPr>
        <w:t>ure</w:t>
      </w:r>
      <w:r w:rsidRPr="009C3DCF">
        <w:rPr>
          <w:rFonts w:ascii="Arial" w:hAnsi="Arial" w:cs="Arial"/>
          <w:b/>
          <w:bCs/>
          <w:lang w:val="de-AT"/>
        </w:rPr>
        <w:t xml:space="preserve"> 1. PRISMA flow diagram</w:t>
      </w:r>
    </w:p>
    <w:p w14:paraId="2F3DD3EA" w14:textId="77777777" w:rsidR="00A73494" w:rsidRPr="009C3DCF" w:rsidRDefault="00A73494" w:rsidP="009C3DCF">
      <w:pPr>
        <w:rPr>
          <w:rFonts w:ascii="Arial" w:hAnsi="Arial" w:cs="Arial"/>
          <w:b/>
          <w:bCs/>
          <w:lang w:val="de-AT"/>
        </w:rPr>
      </w:pPr>
    </w:p>
    <w:p w14:paraId="1D48EFFB" w14:textId="77777777" w:rsidR="009C3DCF" w:rsidRPr="009C3DCF" w:rsidRDefault="009C3DCF" w:rsidP="009C3DCF">
      <w:pPr>
        <w:rPr>
          <w:rFonts w:ascii="Arial" w:hAnsi="Arial" w:cs="Arial"/>
          <w:lang w:val="en-GB"/>
        </w:rPr>
      </w:pPr>
      <w:r w:rsidRPr="009C3DCF">
        <w:rPr>
          <w:rFonts w:ascii="Arial" w:hAnsi="Arial" w:cs="Arial"/>
          <w:lang w:val="en-GB"/>
        </w:rPr>
        <w:t>Following the eligibility screening process, 391 publications were included in the final synthesis.</w:t>
      </w:r>
    </w:p>
    <w:p w14:paraId="187F2598" w14:textId="77777777" w:rsidR="000F200E" w:rsidRDefault="000F200E" w:rsidP="000F200E">
      <w:pPr>
        <w:rPr>
          <w:rFonts w:ascii="Arial" w:hAnsi="Arial" w:cs="Arial"/>
          <w:lang w:val="en-GB"/>
        </w:rPr>
      </w:pPr>
    </w:p>
    <w:p w14:paraId="0832D754" w14:textId="77777777" w:rsidR="007C2A7D" w:rsidRPr="007C2A7D" w:rsidRDefault="007C2A7D" w:rsidP="007C2A7D">
      <w:pPr>
        <w:pStyle w:val="Heading2"/>
        <w:rPr>
          <w:rFonts w:ascii="Arial" w:hAnsi="Arial" w:cs="Arial"/>
          <w:b/>
          <w:bCs/>
          <w:color w:val="000000" w:themeColor="text1"/>
          <w:sz w:val="22"/>
          <w:szCs w:val="22"/>
          <w:lang w:val="en-GB"/>
        </w:rPr>
      </w:pPr>
      <w:r w:rsidRPr="007C2A7D">
        <w:rPr>
          <w:rFonts w:ascii="Arial" w:hAnsi="Arial" w:cs="Arial"/>
          <w:b/>
          <w:bCs/>
          <w:color w:val="000000" w:themeColor="text1"/>
          <w:sz w:val="22"/>
          <w:szCs w:val="22"/>
          <w:lang w:val="en-GB"/>
        </w:rPr>
        <w:t>3.4 Screening and Selection Procedure</w:t>
      </w:r>
    </w:p>
    <w:p w14:paraId="6E028887" w14:textId="217B56D5" w:rsidR="004A7322" w:rsidRPr="007C2A7D" w:rsidRDefault="007C2A7D" w:rsidP="007C2A7D">
      <w:pPr>
        <w:rPr>
          <w:rFonts w:ascii="Arial" w:hAnsi="Arial" w:cs="Arial"/>
          <w:lang w:val="en-GB"/>
        </w:rPr>
      </w:pPr>
      <w:r w:rsidRPr="007C2A7D">
        <w:rPr>
          <w:rFonts w:ascii="Arial" w:hAnsi="Arial" w:cs="Arial"/>
          <w:lang w:val="en-GB"/>
        </w:rPr>
        <w:t>Following full-text screening, all included studies were systematically coded using a structured thematic coding framework developed for the aims of the review. The coding process combined deductive and inductive procedures. Initially, six overarching thematic domains were defined based on the review questions and existing theoretical literature on dyslexia research:</w:t>
      </w:r>
    </w:p>
    <w:p w14:paraId="30D6A81D" w14:textId="77777777" w:rsidR="00D72781" w:rsidRDefault="00D72781" w:rsidP="00D72781">
      <w:pPr>
        <w:rPr>
          <w:rFonts w:ascii="Arial" w:hAnsi="Arial" w:cs="Arial"/>
          <w:lang w:val="en-GB"/>
        </w:rPr>
      </w:pPr>
      <w:r w:rsidRPr="00D72781">
        <w:rPr>
          <w:rFonts w:ascii="Arial" w:hAnsi="Arial" w:cs="Arial"/>
          <w:lang w:val="en-GB"/>
        </w:rPr>
        <w:t>(1) conceptual foundations,</w:t>
      </w:r>
      <w:r w:rsidRPr="00D72781">
        <w:rPr>
          <w:rFonts w:ascii="Arial" w:hAnsi="Arial" w:cs="Arial"/>
          <w:lang w:val="en-GB"/>
        </w:rPr>
        <w:br/>
        <w:t>(2) developmental trajectories,</w:t>
      </w:r>
      <w:r w:rsidRPr="00D72781">
        <w:rPr>
          <w:rFonts w:ascii="Arial" w:hAnsi="Arial" w:cs="Arial"/>
          <w:lang w:val="en-GB"/>
        </w:rPr>
        <w:br/>
        <w:t>(3) assessment and differential diagnostics,</w:t>
      </w:r>
      <w:r w:rsidRPr="00D72781">
        <w:rPr>
          <w:rFonts w:ascii="Arial" w:hAnsi="Arial" w:cs="Arial"/>
          <w:lang w:val="en-GB"/>
        </w:rPr>
        <w:br/>
        <w:t>(4) intervention and educational practice,</w:t>
      </w:r>
      <w:r w:rsidRPr="00D72781">
        <w:rPr>
          <w:rFonts w:ascii="Arial" w:hAnsi="Arial" w:cs="Arial"/>
          <w:lang w:val="en-GB"/>
        </w:rPr>
        <w:br/>
        <w:t>(5) psychosocial dimensions, and</w:t>
      </w:r>
      <w:r w:rsidRPr="00D72781">
        <w:rPr>
          <w:rFonts w:ascii="Arial" w:hAnsi="Arial" w:cs="Arial"/>
          <w:lang w:val="en-GB"/>
        </w:rPr>
        <w:br/>
        <w:t>(6) lifespan and systemic perspectives.</w:t>
      </w:r>
    </w:p>
    <w:p w14:paraId="2C2E9FAF" w14:textId="77777777" w:rsidR="00D72781" w:rsidRPr="00D72781" w:rsidRDefault="00D72781" w:rsidP="00D72781">
      <w:pPr>
        <w:rPr>
          <w:rFonts w:ascii="Arial" w:hAnsi="Arial" w:cs="Arial"/>
          <w:lang w:val="en-GB"/>
        </w:rPr>
      </w:pPr>
    </w:p>
    <w:p w14:paraId="35FC1B6E" w14:textId="77777777" w:rsidR="00D72781" w:rsidRPr="00D72781" w:rsidRDefault="00D72781" w:rsidP="00D72781">
      <w:pPr>
        <w:rPr>
          <w:rFonts w:ascii="Arial" w:hAnsi="Arial" w:cs="Arial"/>
          <w:lang w:val="en-GB"/>
        </w:rPr>
      </w:pPr>
      <w:r w:rsidRPr="00D72781">
        <w:rPr>
          <w:rFonts w:ascii="Arial" w:hAnsi="Arial" w:cs="Arial"/>
          <w:lang w:val="en-GB"/>
        </w:rPr>
        <w:t>During the analytical process, additional subthemes and conceptual categories emerged inductively from the reviewed studies. Each publication was coded according to its primary thematic focus, methodological orientation, target population, and key findings. Studies addressing multiple domains were cross-referenced during synthesis to preserve thematic interconnections.</w:t>
      </w:r>
    </w:p>
    <w:p w14:paraId="23B51BF6" w14:textId="77777777" w:rsidR="00D72781" w:rsidRPr="00D72781" w:rsidRDefault="00D72781" w:rsidP="00D72781">
      <w:pPr>
        <w:rPr>
          <w:rFonts w:ascii="Arial" w:hAnsi="Arial" w:cs="Arial"/>
          <w:lang w:val="en-GB"/>
        </w:rPr>
      </w:pPr>
      <w:r w:rsidRPr="00D72781">
        <w:rPr>
          <w:rFonts w:ascii="Arial" w:hAnsi="Arial" w:cs="Arial"/>
          <w:lang w:val="en-GB"/>
        </w:rPr>
        <w:t>The thematic synthesis followed principles of qualitative content analysis and narrative synthesis (</w:t>
      </w:r>
      <w:proofErr w:type="spellStart"/>
      <w:r w:rsidRPr="00D72781">
        <w:rPr>
          <w:rFonts w:ascii="Arial" w:hAnsi="Arial" w:cs="Arial"/>
          <w:lang w:val="en-GB"/>
        </w:rPr>
        <w:t>Mayring</w:t>
      </w:r>
      <w:proofErr w:type="spellEnd"/>
      <w:r w:rsidRPr="00D72781">
        <w:rPr>
          <w:rFonts w:ascii="Arial" w:hAnsi="Arial" w:cs="Arial"/>
          <w:lang w:val="en-GB"/>
        </w:rPr>
        <w:t>, 2022; Popay et al., 2006). In addition, thematic patterns across studies were identified through an iterative process of coding, comparison, and conceptual categorization informed by approaches to thematic synthesis in systematic reviews (Thomas &amp; Harden, 2008; Braun &amp; Clarke, 2006). Patterns, recurring concepts, methodological trends, and conceptual tensions across studies were identified through iterative comparison of coded material. Particular attention was given to cross-linguistic, psychosocial, educational, and developmental dimensions of dyslexia research within European contexts.</w:t>
      </w:r>
    </w:p>
    <w:p w14:paraId="75FE6D67" w14:textId="77777777" w:rsidR="00D72781" w:rsidRPr="00D72781" w:rsidRDefault="00D72781" w:rsidP="00D72781">
      <w:pPr>
        <w:rPr>
          <w:rFonts w:ascii="Arial" w:hAnsi="Arial" w:cs="Arial"/>
          <w:lang w:val="en-GB"/>
        </w:rPr>
      </w:pPr>
      <w:r w:rsidRPr="00D72781">
        <w:rPr>
          <w:rFonts w:ascii="Arial" w:hAnsi="Arial" w:cs="Arial"/>
          <w:lang w:val="en-GB"/>
        </w:rPr>
        <w:t xml:space="preserve">To enhance transparency and consistency, coding decisions and thematic assignments were documented continuously throughout the review process using structured extraction </w:t>
      </w:r>
      <w:r w:rsidRPr="00D72781">
        <w:rPr>
          <w:rFonts w:ascii="Arial" w:hAnsi="Arial" w:cs="Arial"/>
          <w:lang w:val="en-GB"/>
        </w:rPr>
        <w:lastRenderedPageBreak/>
        <w:t>tables. Ambiguous cases were reviewed repeatedly to ensure conceptual coherence across domains. To enhance methodological transparency, coding decisions were documented systematically throughout the review process and continuously compared across thematic domains.</w:t>
      </w:r>
    </w:p>
    <w:p w14:paraId="424164F2" w14:textId="77777777" w:rsidR="00790ADA" w:rsidRPr="00CB607B" w:rsidRDefault="00790ADA" w:rsidP="00441B6F">
      <w:pPr>
        <w:pStyle w:val="Body"/>
        <w:spacing w:after="0"/>
        <w:rPr>
          <w:rFonts w:ascii="Arial" w:hAnsi="Arial" w:cs="Arial"/>
          <w:lang w:val="en-GB"/>
        </w:rPr>
      </w:pPr>
    </w:p>
    <w:p w14:paraId="02422B75" w14:textId="77777777" w:rsidR="00763C13" w:rsidRPr="00763C13" w:rsidRDefault="00763C13" w:rsidP="00763C13">
      <w:pPr>
        <w:rPr>
          <w:rFonts w:ascii="Arial" w:hAnsi="Arial" w:cs="Arial"/>
          <w:b/>
          <w:bCs/>
          <w:sz w:val="22"/>
          <w:szCs w:val="22"/>
          <w:lang w:val="en-GB"/>
        </w:rPr>
      </w:pPr>
      <w:r w:rsidRPr="00763C13">
        <w:rPr>
          <w:rFonts w:ascii="Arial" w:hAnsi="Arial" w:cs="Arial"/>
          <w:b/>
          <w:bCs/>
          <w:sz w:val="22"/>
          <w:szCs w:val="22"/>
          <w:lang w:val="en-GB"/>
        </w:rPr>
        <w:t>3.5 Data Extraction</w:t>
      </w:r>
    </w:p>
    <w:p w14:paraId="3F89C9F9" w14:textId="77777777" w:rsidR="00763C13" w:rsidRPr="00763C13" w:rsidRDefault="00763C13" w:rsidP="00763C13">
      <w:pPr>
        <w:rPr>
          <w:rFonts w:ascii="Arial" w:hAnsi="Arial" w:cs="Arial"/>
          <w:lang w:val="en-GB"/>
        </w:rPr>
      </w:pPr>
      <w:r w:rsidRPr="00763C13">
        <w:rPr>
          <w:rFonts w:ascii="Arial" w:hAnsi="Arial" w:cs="Arial"/>
          <w:lang w:val="en-GB"/>
        </w:rPr>
        <w:t>For each included study, the following information was extracted and documented:</w:t>
      </w:r>
    </w:p>
    <w:p w14:paraId="24161E37"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author(s) and year,</w:t>
      </w:r>
    </w:p>
    <w:p w14:paraId="7F91FCC4"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country of origin,</w:t>
      </w:r>
    </w:p>
    <w:p w14:paraId="1E9AF4C6"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study design,</w:t>
      </w:r>
    </w:p>
    <w:p w14:paraId="39AD164A"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sample characteristics,</w:t>
      </w:r>
    </w:p>
    <w:p w14:paraId="403CDDDD"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thematic category,</w:t>
      </w:r>
    </w:p>
    <w:p w14:paraId="7A183DF9"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subtopic,</w:t>
      </w:r>
    </w:p>
    <w:p w14:paraId="0F0E7FBB"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key concepts,</w:t>
      </w:r>
    </w:p>
    <w:p w14:paraId="3A46EF97"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principal findings,</w:t>
      </w:r>
    </w:p>
    <w:p w14:paraId="4E6258B5"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evidence level,</w:t>
      </w:r>
    </w:p>
    <w:p w14:paraId="2DF20454"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and methodological notes.</w:t>
      </w:r>
    </w:p>
    <w:p w14:paraId="389CC58F" w14:textId="77777777" w:rsidR="00763C13" w:rsidRPr="00763C13" w:rsidRDefault="00763C13" w:rsidP="00763C13">
      <w:pPr>
        <w:rPr>
          <w:rFonts w:ascii="Arial" w:hAnsi="Arial" w:cs="Arial"/>
          <w:lang w:val="en-GB"/>
        </w:rPr>
      </w:pPr>
      <w:r w:rsidRPr="00763C13">
        <w:rPr>
          <w:rFonts w:ascii="Arial" w:hAnsi="Arial" w:cs="Arial"/>
          <w:lang w:val="en-GB"/>
        </w:rPr>
        <w:t>A structured review table was created to organize and compare findings across studies. The table enabled systematic thematic mapping of European dyslexia research trends and methodological characteristics. An example of the data extraction framework is presented in Table 1.</w:t>
      </w:r>
    </w:p>
    <w:p w14:paraId="659F64A0" w14:textId="77777777" w:rsidR="00763C13" w:rsidRDefault="00763C13" w:rsidP="00441B6F">
      <w:pPr>
        <w:pStyle w:val="Body"/>
        <w:spacing w:after="0"/>
        <w:rPr>
          <w:rFonts w:ascii="Arial" w:hAnsi="Arial" w:cs="Arial"/>
          <w:lang w:val="en-GB"/>
        </w:rPr>
        <w:sectPr w:rsidR="00763C13" w:rsidSect="00501E9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
        <w:gridCol w:w="1150"/>
        <w:gridCol w:w="1031"/>
        <w:gridCol w:w="1294"/>
        <w:gridCol w:w="1212"/>
        <w:gridCol w:w="1481"/>
        <w:gridCol w:w="1229"/>
        <w:gridCol w:w="1732"/>
        <w:gridCol w:w="1966"/>
        <w:gridCol w:w="912"/>
        <w:gridCol w:w="1915"/>
      </w:tblGrid>
      <w:tr w:rsidR="00326809" w:rsidRPr="00326809" w14:paraId="1D7F480F" w14:textId="77777777" w:rsidTr="00FB6E6A">
        <w:trPr>
          <w:tblHeader/>
          <w:tblCellSpacing w:w="15" w:type="dxa"/>
        </w:trPr>
        <w:tc>
          <w:tcPr>
            <w:tcW w:w="0" w:type="auto"/>
            <w:vAlign w:val="center"/>
            <w:hideMark/>
          </w:tcPr>
          <w:p w14:paraId="1615467C"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lastRenderedPageBreak/>
              <w:t>No.</w:t>
            </w:r>
          </w:p>
        </w:tc>
        <w:tc>
          <w:tcPr>
            <w:tcW w:w="0" w:type="auto"/>
            <w:vAlign w:val="center"/>
            <w:hideMark/>
          </w:tcPr>
          <w:p w14:paraId="493DAD75"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Author(s) (Year)</w:t>
            </w:r>
          </w:p>
        </w:tc>
        <w:tc>
          <w:tcPr>
            <w:tcW w:w="0" w:type="auto"/>
            <w:vAlign w:val="center"/>
            <w:hideMark/>
          </w:tcPr>
          <w:p w14:paraId="5E343400"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Country</w:t>
            </w:r>
          </w:p>
        </w:tc>
        <w:tc>
          <w:tcPr>
            <w:tcW w:w="0" w:type="auto"/>
            <w:vAlign w:val="center"/>
            <w:hideMark/>
          </w:tcPr>
          <w:p w14:paraId="13BBBD51"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Study Design</w:t>
            </w:r>
          </w:p>
        </w:tc>
        <w:tc>
          <w:tcPr>
            <w:tcW w:w="0" w:type="auto"/>
            <w:vAlign w:val="center"/>
            <w:hideMark/>
          </w:tcPr>
          <w:p w14:paraId="245A93AF"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Sample (n)</w:t>
            </w:r>
          </w:p>
        </w:tc>
        <w:tc>
          <w:tcPr>
            <w:tcW w:w="0" w:type="auto"/>
            <w:vAlign w:val="center"/>
            <w:hideMark/>
          </w:tcPr>
          <w:p w14:paraId="41E07073"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Main Topic</w:t>
            </w:r>
          </w:p>
        </w:tc>
        <w:tc>
          <w:tcPr>
            <w:tcW w:w="0" w:type="auto"/>
            <w:vAlign w:val="center"/>
            <w:hideMark/>
          </w:tcPr>
          <w:p w14:paraId="5A46B761"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Subtopic</w:t>
            </w:r>
          </w:p>
        </w:tc>
        <w:tc>
          <w:tcPr>
            <w:tcW w:w="0" w:type="auto"/>
            <w:vAlign w:val="center"/>
            <w:hideMark/>
          </w:tcPr>
          <w:p w14:paraId="65F5E8A4"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Key Concepts</w:t>
            </w:r>
          </w:p>
        </w:tc>
        <w:tc>
          <w:tcPr>
            <w:tcW w:w="0" w:type="auto"/>
            <w:vAlign w:val="center"/>
            <w:hideMark/>
          </w:tcPr>
          <w:p w14:paraId="25EAC4B4"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Main Findings</w:t>
            </w:r>
          </w:p>
        </w:tc>
        <w:tc>
          <w:tcPr>
            <w:tcW w:w="0" w:type="auto"/>
            <w:vAlign w:val="center"/>
            <w:hideMark/>
          </w:tcPr>
          <w:p w14:paraId="3A890129"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Evidence Level</w:t>
            </w:r>
          </w:p>
        </w:tc>
        <w:tc>
          <w:tcPr>
            <w:tcW w:w="0" w:type="auto"/>
            <w:vAlign w:val="center"/>
            <w:hideMark/>
          </w:tcPr>
          <w:p w14:paraId="34FE5E95"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Notes</w:t>
            </w:r>
          </w:p>
        </w:tc>
      </w:tr>
      <w:tr w:rsidR="00326809" w:rsidRPr="00326809" w14:paraId="009F2F62" w14:textId="77777777" w:rsidTr="00FB6E6A">
        <w:trPr>
          <w:tblCellSpacing w:w="15" w:type="dxa"/>
        </w:trPr>
        <w:tc>
          <w:tcPr>
            <w:tcW w:w="0" w:type="auto"/>
            <w:vAlign w:val="center"/>
            <w:hideMark/>
          </w:tcPr>
          <w:p w14:paraId="36FC1754" w14:textId="77777777" w:rsidR="00326809" w:rsidRPr="00FC5218" w:rsidRDefault="00326809" w:rsidP="00FB6E6A">
            <w:pPr>
              <w:rPr>
                <w:rFonts w:ascii="Arial" w:hAnsi="Arial" w:cs="Arial"/>
                <w:sz w:val="18"/>
                <w:szCs w:val="18"/>
              </w:rPr>
            </w:pPr>
            <w:r w:rsidRPr="00FC5218">
              <w:rPr>
                <w:rFonts w:ascii="Arial" w:hAnsi="Arial" w:cs="Arial"/>
                <w:sz w:val="18"/>
                <w:szCs w:val="18"/>
              </w:rPr>
              <w:t>1</w:t>
            </w:r>
          </w:p>
        </w:tc>
        <w:tc>
          <w:tcPr>
            <w:tcW w:w="0" w:type="auto"/>
            <w:vAlign w:val="center"/>
            <w:hideMark/>
          </w:tcPr>
          <w:p w14:paraId="0017CDFB" w14:textId="77777777" w:rsidR="00326809" w:rsidRPr="00FC5218" w:rsidRDefault="00326809" w:rsidP="00FB6E6A">
            <w:pPr>
              <w:rPr>
                <w:rFonts w:ascii="Arial" w:hAnsi="Arial" w:cs="Arial"/>
                <w:sz w:val="18"/>
                <w:szCs w:val="18"/>
              </w:rPr>
            </w:pPr>
            <w:r w:rsidRPr="00FC5218">
              <w:rPr>
                <w:rFonts w:ascii="Arial" w:hAnsi="Arial" w:cs="Arial"/>
                <w:sz w:val="18"/>
                <w:szCs w:val="18"/>
              </w:rPr>
              <w:t>Daniel et al. (2025)</w:t>
            </w:r>
          </w:p>
        </w:tc>
        <w:tc>
          <w:tcPr>
            <w:tcW w:w="0" w:type="auto"/>
            <w:vAlign w:val="center"/>
            <w:hideMark/>
          </w:tcPr>
          <w:p w14:paraId="2C45CF35" w14:textId="77777777" w:rsidR="00326809" w:rsidRPr="00FC5218" w:rsidRDefault="00326809" w:rsidP="00FB6E6A">
            <w:pPr>
              <w:rPr>
                <w:rFonts w:ascii="Arial" w:hAnsi="Arial" w:cs="Arial"/>
                <w:sz w:val="18"/>
                <w:szCs w:val="18"/>
              </w:rPr>
            </w:pPr>
            <w:r w:rsidRPr="00FC5218">
              <w:rPr>
                <w:rFonts w:ascii="Arial" w:hAnsi="Arial" w:cs="Arial"/>
                <w:sz w:val="18"/>
                <w:szCs w:val="18"/>
              </w:rPr>
              <w:t>UK</w:t>
            </w:r>
          </w:p>
        </w:tc>
        <w:tc>
          <w:tcPr>
            <w:tcW w:w="0" w:type="auto"/>
            <w:vAlign w:val="center"/>
            <w:hideMark/>
          </w:tcPr>
          <w:p w14:paraId="0D2AE080" w14:textId="77777777" w:rsidR="00326809" w:rsidRPr="00FC5218" w:rsidRDefault="00326809" w:rsidP="00FB6E6A">
            <w:pPr>
              <w:rPr>
                <w:rFonts w:ascii="Arial" w:hAnsi="Arial" w:cs="Arial"/>
                <w:sz w:val="18"/>
                <w:szCs w:val="18"/>
              </w:rPr>
            </w:pPr>
            <w:r w:rsidRPr="00FC5218">
              <w:rPr>
                <w:rFonts w:ascii="Arial" w:hAnsi="Arial" w:cs="Arial"/>
                <w:sz w:val="18"/>
                <w:szCs w:val="18"/>
              </w:rPr>
              <w:t>Survey study</w:t>
            </w:r>
          </w:p>
        </w:tc>
        <w:tc>
          <w:tcPr>
            <w:tcW w:w="0" w:type="auto"/>
            <w:vAlign w:val="center"/>
            <w:hideMark/>
          </w:tcPr>
          <w:p w14:paraId="40F3511D" w14:textId="77777777" w:rsidR="00326809" w:rsidRPr="00FC5218" w:rsidRDefault="00326809" w:rsidP="00FB6E6A">
            <w:pPr>
              <w:rPr>
                <w:rFonts w:ascii="Arial" w:hAnsi="Arial" w:cs="Arial"/>
                <w:sz w:val="18"/>
                <w:szCs w:val="18"/>
              </w:rPr>
            </w:pPr>
            <w:r w:rsidRPr="00FC5218">
              <w:rPr>
                <w:rFonts w:ascii="Arial" w:hAnsi="Arial" w:cs="Arial"/>
                <w:sz w:val="18"/>
                <w:szCs w:val="18"/>
              </w:rPr>
              <w:t>274 professionals</w:t>
            </w:r>
          </w:p>
        </w:tc>
        <w:tc>
          <w:tcPr>
            <w:tcW w:w="0" w:type="auto"/>
            <w:vAlign w:val="center"/>
            <w:hideMark/>
          </w:tcPr>
          <w:p w14:paraId="517B8B5E" w14:textId="77777777" w:rsidR="00326809" w:rsidRPr="00FC5218" w:rsidRDefault="00326809" w:rsidP="00FB6E6A">
            <w:pPr>
              <w:rPr>
                <w:rFonts w:ascii="Arial" w:hAnsi="Arial" w:cs="Arial"/>
                <w:sz w:val="18"/>
                <w:szCs w:val="18"/>
              </w:rPr>
            </w:pPr>
            <w:r w:rsidRPr="00FC5218">
              <w:rPr>
                <w:rFonts w:ascii="Arial" w:hAnsi="Arial" w:cs="Arial"/>
                <w:sz w:val="18"/>
                <w:szCs w:val="18"/>
              </w:rPr>
              <w:t>Assessment &amp; Differential Diagnostics</w:t>
            </w:r>
          </w:p>
        </w:tc>
        <w:tc>
          <w:tcPr>
            <w:tcW w:w="0" w:type="auto"/>
            <w:vAlign w:val="center"/>
            <w:hideMark/>
          </w:tcPr>
          <w:p w14:paraId="0B9E7A15" w14:textId="77777777" w:rsidR="00326809" w:rsidRPr="00FC5218" w:rsidRDefault="00326809" w:rsidP="00FB6E6A">
            <w:pPr>
              <w:rPr>
                <w:rFonts w:ascii="Arial" w:hAnsi="Arial" w:cs="Arial"/>
                <w:sz w:val="18"/>
                <w:szCs w:val="18"/>
              </w:rPr>
            </w:pPr>
            <w:r w:rsidRPr="00FC5218">
              <w:rPr>
                <w:rFonts w:ascii="Arial" w:hAnsi="Arial" w:cs="Arial"/>
                <w:sz w:val="18"/>
                <w:szCs w:val="18"/>
              </w:rPr>
              <w:t>Assessment criteria</w:t>
            </w:r>
          </w:p>
        </w:tc>
        <w:tc>
          <w:tcPr>
            <w:tcW w:w="0" w:type="auto"/>
            <w:vAlign w:val="center"/>
            <w:hideMark/>
          </w:tcPr>
          <w:p w14:paraId="59BE1E71"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dyslexia identification, assessment methods, misconceptions</w:t>
            </w:r>
          </w:p>
        </w:tc>
        <w:tc>
          <w:tcPr>
            <w:tcW w:w="0" w:type="auto"/>
            <w:vAlign w:val="center"/>
            <w:hideMark/>
          </w:tcPr>
          <w:p w14:paraId="6DA2B256"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Large variability in diagnostic practices; misconceptions among professionals</w:t>
            </w:r>
          </w:p>
        </w:tc>
        <w:tc>
          <w:tcPr>
            <w:tcW w:w="0" w:type="auto"/>
            <w:vAlign w:val="center"/>
            <w:hideMark/>
          </w:tcPr>
          <w:p w14:paraId="15A06C8E" w14:textId="77777777" w:rsidR="00326809" w:rsidRPr="00FC5218" w:rsidRDefault="00326809" w:rsidP="00FB6E6A">
            <w:pPr>
              <w:rPr>
                <w:rFonts w:ascii="Arial" w:hAnsi="Arial" w:cs="Arial"/>
                <w:sz w:val="18"/>
                <w:szCs w:val="18"/>
              </w:rPr>
            </w:pPr>
            <w:r w:rsidRPr="00FC5218">
              <w:rPr>
                <w:rFonts w:ascii="Arial" w:hAnsi="Arial" w:cs="Arial"/>
                <w:sz w:val="18"/>
                <w:szCs w:val="18"/>
              </w:rPr>
              <w:t>3</w:t>
            </w:r>
          </w:p>
        </w:tc>
        <w:tc>
          <w:tcPr>
            <w:tcW w:w="0" w:type="auto"/>
            <w:vAlign w:val="center"/>
            <w:hideMark/>
          </w:tcPr>
          <w:p w14:paraId="467138DC" w14:textId="77777777" w:rsidR="00326809" w:rsidRPr="00FC5218" w:rsidRDefault="00326809" w:rsidP="00FB6E6A">
            <w:pPr>
              <w:rPr>
                <w:rFonts w:ascii="Arial" w:hAnsi="Arial" w:cs="Arial"/>
                <w:sz w:val="18"/>
                <w:szCs w:val="18"/>
              </w:rPr>
            </w:pPr>
            <w:r w:rsidRPr="00FC5218">
              <w:rPr>
                <w:rFonts w:ascii="Arial" w:hAnsi="Arial" w:cs="Arial"/>
                <w:sz w:val="18"/>
                <w:szCs w:val="18"/>
              </w:rPr>
              <w:t>Educational psychologists &amp; dyslexia specialists</w:t>
            </w:r>
          </w:p>
        </w:tc>
      </w:tr>
      <w:tr w:rsidR="00326809" w:rsidRPr="00326809" w14:paraId="5D9E32B6" w14:textId="77777777" w:rsidTr="00FB6E6A">
        <w:trPr>
          <w:tblCellSpacing w:w="15" w:type="dxa"/>
        </w:trPr>
        <w:tc>
          <w:tcPr>
            <w:tcW w:w="0" w:type="auto"/>
            <w:vAlign w:val="center"/>
            <w:hideMark/>
          </w:tcPr>
          <w:p w14:paraId="75E985CF" w14:textId="77777777" w:rsidR="00326809" w:rsidRPr="00FC5218" w:rsidRDefault="00326809" w:rsidP="00FB6E6A">
            <w:pPr>
              <w:rPr>
                <w:rFonts w:ascii="Arial" w:hAnsi="Arial" w:cs="Arial"/>
                <w:sz w:val="18"/>
                <w:szCs w:val="18"/>
              </w:rPr>
            </w:pPr>
            <w:r w:rsidRPr="00FC5218">
              <w:rPr>
                <w:rFonts w:ascii="Arial" w:hAnsi="Arial" w:cs="Arial"/>
                <w:sz w:val="18"/>
                <w:szCs w:val="18"/>
              </w:rPr>
              <w:t>2</w:t>
            </w:r>
          </w:p>
        </w:tc>
        <w:tc>
          <w:tcPr>
            <w:tcW w:w="0" w:type="auto"/>
            <w:vAlign w:val="center"/>
            <w:hideMark/>
          </w:tcPr>
          <w:p w14:paraId="1ABF53C8" w14:textId="77777777" w:rsidR="00326809" w:rsidRPr="00FC5218" w:rsidRDefault="00326809" w:rsidP="00FB6E6A">
            <w:pPr>
              <w:rPr>
                <w:rFonts w:ascii="Arial" w:hAnsi="Arial" w:cs="Arial"/>
                <w:sz w:val="18"/>
                <w:szCs w:val="18"/>
              </w:rPr>
            </w:pPr>
            <w:r w:rsidRPr="00FC5218">
              <w:rPr>
                <w:rFonts w:ascii="Arial" w:hAnsi="Arial" w:cs="Arial"/>
                <w:sz w:val="18"/>
                <w:szCs w:val="18"/>
              </w:rPr>
              <w:t>Coates McDowall et al. (2025)</w:t>
            </w:r>
          </w:p>
        </w:tc>
        <w:tc>
          <w:tcPr>
            <w:tcW w:w="0" w:type="auto"/>
            <w:vAlign w:val="center"/>
            <w:hideMark/>
          </w:tcPr>
          <w:p w14:paraId="38FDEF28" w14:textId="77777777" w:rsidR="00326809" w:rsidRPr="00FC5218" w:rsidRDefault="00326809" w:rsidP="00FB6E6A">
            <w:pPr>
              <w:rPr>
                <w:rFonts w:ascii="Arial" w:hAnsi="Arial" w:cs="Arial"/>
                <w:sz w:val="18"/>
                <w:szCs w:val="18"/>
              </w:rPr>
            </w:pPr>
            <w:r w:rsidRPr="00FC5218">
              <w:rPr>
                <w:rFonts w:ascii="Arial" w:hAnsi="Arial" w:cs="Arial"/>
                <w:sz w:val="18"/>
                <w:szCs w:val="18"/>
              </w:rPr>
              <w:t>UK</w:t>
            </w:r>
          </w:p>
        </w:tc>
        <w:tc>
          <w:tcPr>
            <w:tcW w:w="0" w:type="auto"/>
            <w:vAlign w:val="center"/>
            <w:hideMark/>
          </w:tcPr>
          <w:p w14:paraId="00CCA0A9" w14:textId="77777777" w:rsidR="00326809" w:rsidRPr="00FC5218" w:rsidRDefault="00326809" w:rsidP="00FB6E6A">
            <w:pPr>
              <w:rPr>
                <w:rFonts w:ascii="Arial" w:hAnsi="Arial" w:cs="Arial"/>
                <w:sz w:val="18"/>
                <w:szCs w:val="18"/>
              </w:rPr>
            </w:pPr>
            <w:r w:rsidRPr="00FC5218">
              <w:rPr>
                <w:rFonts w:ascii="Arial" w:hAnsi="Arial" w:cs="Arial"/>
                <w:sz w:val="18"/>
                <w:szCs w:val="18"/>
              </w:rPr>
              <w:t>Experimental study</w:t>
            </w:r>
          </w:p>
        </w:tc>
        <w:tc>
          <w:tcPr>
            <w:tcW w:w="0" w:type="auto"/>
            <w:vAlign w:val="center"/>
            <w:hideMark/>
          </w:tcPr>
          <w:p w14:paraId="453C1FAD" w14:textId="77777777" w:rsidR="00326809" w:rsidRPr="00FC5218" w:rsidRDefault="00326809" w:rsidP="00FB6E6A">
            <w:pPr>
              <w:rPr>
                <w:rFonts w:ascii="Arial" w:hAnsi="Arial" w:cs="Arial"/>
                <w:sz w:val="18"/>
                <w:szCs w:val="18"/>
              </w:rPr>
            </w:pPr>
            <w:r w:rsidRPr="00FC5218">
              <w:rPr>
                <w:rFonts w:ascii="Arial" w:hAnsi="Arial" w:cs="Arial"/>
                <w:sz w:val="18"/>
                <w:szCs w:val="18"/>
              </w:rPr>
              <w:t>105 students</w:t>
            </w:r>
          </w:p>
        </w:tc>
        <w:tc>
          <w:tcPr>
            <w:tcW w:w="0" w:type="auto"/>
            <w:vAlign w:val="center"/>
            <w:hideMark/>
          </w:tcPr>
          <w:p w14:paraId="2E98171A" w14:textId="77777777" w:rsidR="00326809" w:rsidRPr="00FC5218" w:rsidRDefault="00326809" w:rsidP="00FB6E6A">
            <w:pPr>
              <w:rPr>
                <w:rFonts w:ascii="Arial" w:hAnsi="Arial" w:cs="Arial"/>
                <w:sz w:val="18"/>
                <w:szCs w:val="18"/>
              </w:rPr>
            </w:pPr>
            <w:r w:rsidRPr="00FC5218">
              <w:rPr>
                <w:rFonts w:ascii="Arial" w:hAnsi="Arial" w:cs="Arial"/>
                <w:sz w:val="18"/>
                <w:szCs w:val="18"/>
              </w:rPr>
              <w:t>Psychosocial Dimensions</w:t>
            </w:r>
          </w:p>
        </w:tc>
        <w:tc>
          <w:tcPr>
            <w:tcW w:w="0" w:type="auto"/>
            <w:vAlign w:val="center"/>
            <w:hideMark/>
          </w:tcPr>
          <w:p w14:paraId="1BBB0AED" w14:textId="77777777" w:rsidR="00326809" w:rsidRPr="00FC5218" w:rsidRDefault="00326809" w:rsidP="00FB6E6A">
            <w:pPr>
              <w:rPr>
                <w:rFonts w:ascii="Arial" w:hAnsi="Arial" w:cs="Arial"/>
                <w:sz w:val="18"/>
                <w:szCs w:val="18"/>
              </w:rPr>
            </w:pPr>
            <w:r w:rsidRPr="00FC5218">
              <w:rPr>
                <w:rFonts w:ascii="Arial" w:hAnsi="Arial" w:cs="Arial"/>
                <w:sz w:val="18"/>
                <w:szCs w:val="18"/>
              </w:rPr>
              <w:t>Academic anxiety</w:t>
            </w:r>
          </w:p>
        </w:tc>
        <w:tc>
          <w:tcPr>
            <w:tcW w:w="0" w:type="auto"/>
            <w:vAlign w:val="center"/>
            <w:hideMark/>
          </w:tcPr>
          <w:p w14:paraId="719EEEB3" w14:textId="77777777" w:rsidR="00326809" w:rsidRPr="00FC5218" w:rsidRDefault="00326809" w:rsidP="00FB6E6A">
            <w:pPr>
              <w:rPr>
                <w:rFonts w:ascii="Arial" w:hAnsi="Arial" w:cs="Arial"/>
                <w:sz w:val="18"/>
                <w:szCs w:val="18"/>
              </w:rPr>
            </w:pPr>
            <w:r w:rsidRPr="00FC5218">
              <w:rPr>
                <w:rFonts w:ascii="Arial" w:hAnsi="Arial" w:cs="Arial"/>
                <w:sz w:val="18"/>
                <w:szCs w:val="18"/>
              </w:rPr>
              <w:t>cognitive reappraisal, anxiety, coping</w:t>
            </w:r>
          </w:p>
        </w:tc>
        <w:tc>
          <w:tcPr>
            <w:tcW w:w="0" w:type="auto"/>
            <w:vAlign w:val="center"/>
            <w:hideMark/>
          </w:tcPr>
          <w:p w14:paraId="7938499A"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Cognitive reappraisal significantly reduced academic anxiety in students with dyslexia</w:t>
            </w:r>
          </w:p>
        </w:tc>
        <w:tc>
          <w:tcPr>
            <w:tcW w:w="0" w:type="auto"/>
            <w:vAlign w:val="center"/>
            <w:hideMark/>
          </w:tcPr>
          <w:p w14:paraId="7F6C8D75" w14:textId="77777777" w:rsidR="00326809" w:rsidRPr="00FC5218" w:rsidRDefault="00326809" w:rsidP="00FB6E6A">
            <w:pPr>
              <w:rPr>
                <w:rFonts w:ascii="Arial" w:hAnsi="Arial" w:cs="Arial"/>
                <w:sz w:val="18"/>
                <w:szCs w:val="18"/>
              </w:rPr>
            </w:pPr>
            <w:r w:rsidRPr="00FC5218">
              <w:rPr>
                <w:rFonts w:ascii="Arial" w:hAnsi="Arial" w:cs="Arial"/>
                <w:sz w:val="18"/>
                <w:szCs w:val="18"/>
              </w:rPr>
              <w:t>2</w:t>
            </w:r>
          </w:p>
        </w:tc>
        <w:tc>
          <w:tcPr>
            <w:tcW w:w="0" w:type="auto"/>
            <w:vAlign w:val="center"/>
            <w:hideMark/>
          </w:tcPr>
          <w:p w14:paraId="027BACBB" w14:textId="77777777" w:rsidR="00326809" w:rsidRPr="00FC5218" w:rsidRDefault="00326809" w:rsidP="00FB6E6A">
            <w:pPr>
              <w:rPr>
                <w:rFonts w:ascii="Arial" w:hAnsi="Arial" w:cs="Arial"/>
                <w:sz w:val="18"/>
                <w:szCs w:val="18"/>
              </w:rPr>
            </w:pPr>
            <w:r w:rsidRPr="00FC5218">
              <w:rPr>
                <w:rFonts w:ascii="Arial" w:hAnsi="Arial" w:cs="Arial"/>
                <w:sz w:val="18"/>
                <w:szCs w:val="18"/>
              </w:rPr>
              <w:t>Preregistered experiment</w:t>
            </w:r>
          </w:p>
        </w:tc>
      </w:tr>
      <w:tr w:rsidR="00326809" w:rsidRPr="00326809" w14:paraId="68990E4E" w14:textId="77777777" w:rsidTr="00FB6E6A">
        <w:trPr>
          <w:tblCellSpacing w:w="15" w:type="dxa"/>
        </w:trPr>
        <w:tc>
          <w:tcPr>
            <w:tcW w:w="0" w:type="auto"/>
            <w:vAlign w:val="center"/>
            <w:hideMark/>
          </w:tcPr>
          <w:p w14:paraId="190C537A" w14:textId="77777777" w:rsidR="00326809" w:rsidRPr="00FC5218" w:rsidRDefault="00326809" w:rsidP="00FB6E6A">
            <w:pPr>
              <w:rPr>
                <w:rFonts w:ascii="Arial" w:hAnsi="Arial" w:cs="Arial"/>
                <w:sz w:val="18"/>
                <w:szCs w:val="18"/>
              </w:rPr>
            </w:pPr>
            <w:r w:rsidRPr="00FC5218">
              <w:rPr>
                <w:rFonts w:ascii="Arial" w:hAnsi="Arial" w:cs="Arial"/>
                <w:sz w:val="18"/>
                <w:szCs w:val="18"/>
              </w:rPr>
              <w:t>3</w:t>
            </w:r>
          </w:p>
        </w:tc>
        <w:tc>
          <w:tcPr>
            <w:tcW w:w="0" w:type="auto"/>
            <w:vAlign w:val="center"/>
            <w:hideMark/>
          </w:tcPr>
          <w:p w14:paraId="08EB3442" w14:textId="77777777" w:rsidR="00326809" w:rsidRPr="00FC5218" w:rsidRDefault="00326809" w:rsidP="00FB6E6A">
            <w:pPr>
              <w:rPr>
                <w:rFonts w:ascii="Arial" w:hAnsi="Arial" w:cs="Arial"/>
                <w:sz w:val="18"/>
                <w:szCs w:val="18"/>
              </w:rPr>
            </w:pPr>
            <w:proofErr w:type="spellStart"/>
            <w:r w:rsidRPr="00FC5218">
              <w:rPr>
                <w:rFonts w:ascii="Arial" w:hAnsi="Arial" w:cs="Arial"/>
                <w:sz w:val="18"/>
                <w:szCs w:val="18"/>
              </w:rPr>
              <w:t>Niolaki</w:t>
            </w:r>
            <w:proofErr w:type="spellEnd"/>
            <w:r w:rsidRPr="00FC5218">
              <w:rPr>
                <w:rFonts w:ascii="Arial" w:hAnsi="Arial" w:cs="Arial"/>
                <w:sz w:val="18"/>
                <w:szCs w:val="18"/>
              </w:rPr>
              <w:t xml:space="preserve"> et al. (2025)</w:t>
            </w:r>
          </w:p>
        </w:tc>
        <w:tc>
          <w:tcPr>
            <w:tcW w:w="0" w:type="auto"/>
            <w:vAlign w:val="center"/>
            <w:hideMark/>
          </w:tcPr>
          <w:p w14:paraId="42407FA6" w14:textId="77777777" w:rsidR="00326809" w:rsidRPr="00FC5218" w:rsidRDefault="00326809" w:rsidP="00FB6E6A">
            <w:pPr>
              <w:rPr>
                <w:rFonts w:ascii="Arial" w:hAnsi="Arial" w:cs="Arial"/>
                <w:sz w:val="18"/>
                <w:szCs w:val="18"/>
              </w:rPr>
            </w:pPr>
            <w:r w:rsidRPr="00FC5218">
              <w:rPr>
                <w:rFonts w:ascii="Arial" w:hAnsi="Arial" w:cs="Arial"/>
                <w:sz w:val="18"/>
                <w:szCs w:val="18"/>
              </w:rPr>
              <w:t>UK</w:t>
            </w:r>
          </w:p>
        </w:tc>
        <w:tc>
          <w:tcPr>
            <w:tcW w:w="0" w:type="auto"/>
            <w:vAlign w:val="center"/>
            <w:hideMark/>
          </w:tcPr>
          <w:p w14:paraId="3F6DDB92" w14:textId="77777777" w:rsidR="00326809" w:rsidRPr="00FC5218" w:rsidRDefault="00326809" w:rsidP="00FB6E6A">
            <w:pPr>
              <w:rPr>
                <w:rFonts w:ascii="Arial" w:hAnsi="Arial" w:cs="Arial"/>
                <w:sz w:val="18"/>
                <w:szCs w:val="18"/>
              </w:rPr>
            </w:pPr>
            <w:r w:rsidRPr="00FC5218">
              <w:rPr>
                <w:rFonts w:ascii="Arial" w:hAnsi="Arial" w:cs="Arial"/>
                <w:sz w:val="18"/>
                <w:szCs w:val="18"/>
              </w:rPr>
              <w:t>Cross-sectional survey</w:t>
            </w:r>
          </w:p>
        </w:tc>
        <w:tc>
          <w:tcPr>
            <w:tcW w:w="0" w:type="auto"/>
            <w:vAlign w:val="center"/>
            <w:hideMark/>
          </w:tcPr>
          <w:p w14:paraId="748D48D4" w14:textId="77777777" w:rsidR="00326809" w:rsidRPr="00FC5218" w:rsidRDefault="00326809" w:rsidP="00FB6E6A">
            <w:pPr>
              <w:rPr>
                <w:rFonts w:ascii="Arial" w:hAnsi="Arial" w:cs="Arial"/>
                <w:sz w:val="18"/>
                <w:szCs w:val="18"/>
              </w:rPr>
            </w:pPr>
            <w:r w:rsidRPr="00FC5218">
              <w:rPr>
                <w:rFonts w:ascii="Arial" w:hAnsi="Arial" w:cs="Arial"/>
                <w:sz w:val="18"/>
                <w:szCs w:val="18"/>
              </w:rPr>
              <w:t>100 adults</w:t>
            </w:r>
          </w:p>
        </w:tc>
        <w:tc>
          <w:tcPr>
            <w:tcW w:w="0" w:type="auto"/>
            <w:vAlign w:val="center"/>
            <w:hideMark/>
          </w:tcPr>
          <w:p w14:paraId="6B2FD038" w14:textId="77777777" w:rsidR="00326809" w:rsidRPr="00FC5218" w:rsidRDefault="00326809" w:rsidP="00FB6E6A">
            <w:pPr>
              <w:rPr>
                <w:rFonts w:ascii="Arial" w:hAnsi="Arial" w:cs="Arial"/>
                <w:sz w:val="18"/>
                <w:szCs w:val="18"/>
              </w:rPr>
            </w:pPr>
            <w:r w:rsidRPr="00FC5218">
              <w:rPr>
                <w:rFonts w:ascii="Arial" w:hAnsi="Arial" w:cs="Arial"/>
                <w:sz w:val="18"/>
                <w:szCs w:val="18"/>
              </w:rPr>
              <w:t>Psychosocial Dimensions</w:t>
            </w:r>
          </w:p>
        </w:tc>
        <w:tc>
          <w:tcPr>
            <w:tcW w:w="0" w:type="auto"/>
            <w:vAlign w:val="center"/>
            <w:hideMark/>
          </w:tcPr>
          <w:p w14:paraId="2453E111" w14:textId="77777777" w:rsidR="00326809" w:rsidRPr="00FC5218" w:rsidRDefault="00326809" w:rsidP="00FB6E6A">
            <w:pPr>
              <w:rPr>
                <w:rFonts w:ascii="Arial" w:hAnsi="Arial" w:cs="Arial"/>
                <w:sz w:val="18"/>
                <w:szCs w:val="18"/>
              </w:rPr>
            </w:pPr>
            <w:r w:rsidRPr="00FC5218">
              <w:rPr>
                <w:rFonts w:ascii="Arial" w:hAnsi="Arial" w:cs="Arial"/>
                <w:sz w:val="18"/>
                <w:szCs w:val="18"/>
              </w:rPr>
              <w:t>Self-esteem &amp; emotional factors</w:t>
            </w:r>
          </w:p>
        </w:tc>
        <w:tc>
          <w:tcPr>
            <w:tcW w:w="0" w:type="auto"/>
            <w:vAlign w:val="center"/>
            <w:hideMark/>
          </w:tcPr>
          <w:p w14:paraId="40EE123B"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self-compassion, anxiety, self-efficacy</w:t>
            </w:r>
          </w:p>
        </w:tc>
        <w:tc>
          <w:tcPr>
            <w:tcW w:w="0" w:type="auto"/>
            <w:vAlign w:val="center"/>
            <w:hideMark/>
          </w:tcPr>
          <w:p w14:paraId="083E3F19"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Self-compassion mediates relationship between anxiety and self-esteem</w:t>
            </w:r>
          </w:p>
        </w:tc>
        <w:tc>
          <w:tcPr>
            <w:tcW w:w="0" w:type="auto"/>
            <w:vAlign w:val="center"/>
            <w:hideMark/>
          </w:tcPr>
          <w:p w14:paraId="57075781" w14:textId="77777777" w:rsidR="00326809" w:rsidRPr="00FC5218" w:rsidRDefault="00326809" w:rsidP="00FB6E6A">
            <w:pPr>
              <w:rPr>
                <w:rFonts w:ascii="Arial" w:hAnsi="Arial" w:cs="Arial"/>
                <w:sz w:val="18"/>
                <w:szCs w:val="18"/>
              </w:rPr>
            </w:pPr>
            <w:r w:rsidRPr="00FC5218">
              <w:rPr>
                <w:rFonts w:ascii="Arial" w:hAnsi="Arial" w:cs="Arial"/>
                <w:sz w:val="18"/>
                <w:szCs w:val="18"/>
              </w:rPr>
              <w:t>3</w:t>
            </w:r>
          </w:p>
        </w:tc>
        <w:tc>
          <w:tcPr>
            <w:tcW w:w="0" w:type="auto"/>
            <w:vAlign w:val="center"/>
            <w:hideMark/>
          </w:tcPr>
          <w:p w14:paraId="4FB4DD42" w14:textId="77777777" w:rsidR="00326809" w:rsidRPr="00FC5218" w:rsidRDefault="00326809" w:rsidP="00FB6E6A">
            <w:pPr>
              <w:rPr>
                <w:rFonts w:ascii="Arial" w:hAnsi="Arial" w:cs="Arial"/>
                <w:sz w:val="18"/>
                <w:szCs w:val="18"/>
              </w:rPr>
            </w:pPr>
            <w:r w:rsidRPr="00FC5218">
              <w:rPr>
                <w:rFonts w:ascii="Arial" w:hAnsi="Arial" w:cs="Arial"/>
                <w:sz w:val="18"/>
                <w:szCs w:val="18"/>
              </w:rPr>
              <w:t>Mediation model</w:t>
            </w:r>
          </w:p>
        </w:tc>
      </w:tr>
      <w:tr w:rsidR="00326809" w:rsidRPr="00326809" w14:paraId="40D9F25D" w14:textId="77777777" w:rsidTr="00FB6E6A">
        <w:trPr>
          <w:tblCellSpacing w:w="15" w:type="dxa"/>
        </w:trPr>
        <w:tc>
          <w:tcPr>
            <w:tcW w:w="0" w:type="auto"/>
            <w:vAlign w:val="center"/>
            <w:hideMark/>
          </w:tcPr>
          <w:p w14:paraId="52C6C4AA" w14:textId="77777777" w:rsidR="00326809" w:rsidRPr="00FC5218" w:rsidRDefault="00326809" w:rsidP="00FB6E6A">
            <w:pPr>
              <w:rPr>
                <w:rFonts w:ascii="Arial" w:hAnsi="Arial" w:cs="Arial"/>
                <w:sz w:val="18"/>
                <w:szCs w:val="18"/>
              </w:rPr>
            </w:pPr>
            <w:r w:rsidRPr="00FC5218">
              <w:rPr>
                <w:rFonts w:ascii="Arial" w:hAnsi="Arial" w:cs="Arial"/>
                <w:sz w:val="18"/>
                <w:szCs w:val="18"/>
              </w:rPr>
              <w:t>4</w:t>
            </w:r>
          </w:p>
        </w:tc>
        <w:tc>
          <w:tcPr>
            <w:tcW w:w="0" w:type="auto"/>
            <w:vAlign w:val="center"/>
            <w:hideMark/>
          </w:tcPr>
          <w:p w14:paraId="2E73910A" w14:textId="77777777" w:rsidR="00326809" w:rsidRPr="00FC5218" w:rsidRDefault="00326809" w:rsidP="00FB6E6A">
            <w:pPr>
              <w:rPr>
                <w:rFonts w:ascii="Arial" w:hAnsi="Arial" w:cs="Arial"/>
                <w:sz w:val="18"/>
                <w:szCs w:val="18"/>
              </w:rPr>
            </w:pPr>
            <w:r w:rsidRPr="00FC5218">
              <w:rPr>
                <w:rFonts w:ascii="Arial" w:hAnsi="Arial" w:cs="Arial"/>
                <w:sz w:val="18"/>
                <w:szCs w:val="18"/>
              </w:rPr>
              <w:t>Hamilton Clark (2024)</w:t>
            </w:r>
          </w:p>
        </w:tc>
        <w:tc>
          <w:tcPr>
            <w:tcW w:w="0" w:type="auto"/>
            <w:vAlign w:val="center"/>
            <w:hideMark/>
          </w:tcPr>
          <w:p w14:paraId="228FF9F6" w14:textId="77777777" w:rsidR="00326809" w:rsidRPr="00FC5218" w:rsidRDefault="00326809" w:rsidP="00FB6E6A">
            <w:pPr>
              <w:rPr>
                <w:rFonts w:ascii="Arial" w:hAnsi="Arial" w:cs="Arial"/>
                <w:sz w:val="18"/>
                <w:szCs w:val="18"/>
              </w:rPr>
            </w:pPr>
            <w:r w:rsidRPr="00FC5218">
              <w:rPr>
                <w:rFonts w:ascii="Arial" w:hAnsi="Arial" w:cs="Arial"/>
                <w:sz w:val="18"/>
                <w:szCs w:val="18"/>
              </w:rPr>
              <w:t>UK</w:t>
            </w:r>
          </w:p>
        </w:tc>
        <w:tc>
          <w:tcPr>
            <w:tcW w:w="0" w:type="auto"/>
            <w:vAlign w:val="center"/>
            <w:hideMark/>
          </w:tcPr>
          <w:p w14:paraId="0875173B" w14:textId="77777777" w:rsidR="00326809" w:rsidRPr="00FC5218" w:rsidRDefault="00326809" w:rsidP="00FB6E6A">
            <w:pPr>
              <w:rPr>
                <w:rFonts w:ascii="Arial" w:hAnsi="Arial" w:cs="Arial"/>
                <w:sz w:val="18"/>
                <w:szCs w:val="18"/>
              </w:rPr>
            </w:pPr>
            <w:r w:rsidRPr="00FC5218">
              <w:rPr>
                <w:rFonts w:ascii="Arial" w:hAnsi="Arial" w:cs="Arial"/>
                <w:sz w:val="18"/>
                <w:szCs w:val="18"/>
              </w:rPr>
              <w:t>Qualitative interviews</w:t>
            </w:r>
          </w:p>
        </w:tc>
        <w:tc>
          <w:tcPr>
            <w:tcW w:w="0" w:type="auto"/>
            <w:vAlign w:val="center"/>
            <w:hideMark/>
          </w:tcPr>
          <w:p w14:paraId="0F08E324" w14:textId="77777777" w:rsidR="00326809" w:rsidRPr="00FC5218" w:rsidRDefault="00326809" w:rsidP="00FB6E6A">
            <w:pPr>
              <w:rPr>
                <w:rFonts w:ascii="Arial" w:hAnsi="Arial" w:cs="Arial"/>
                <w:sz w:val="18"/>
                <w:szCs w:val="18"/>
              </w:rPr>
            </w:pPr>
            <w:r w:rsidRPr="00FC5218">
              <w:rPr>
                <w:rFonts w:ascii="Arial" w:hAnsi="Arial" w:cs="Arial"/>
                <w:sz w:val="18"/>
                <w:szCs w:val="18"/>
              </w:rPr>
              <w:t>5 students</w:t>
            </w:r>
          </w:p>
        </w:tc>
        <w:tc>
          <w:tcPr>
            <w:tcW w:w="0" w:type="auto"/>
            <w:vAlign w:val="center"/>
            <w:hideMark/>
          </w:tcPr>
          <w:p w14:paraId="62FE921A" w14:textId="77777777" w:rsidR="00326809" w:rsidRPr="00FC5218" w:rsidRDefault="00326809" w:rsidP="00FB6E6A">
            <w:pPr>
              <w:rPr>
                <w:rFonts w:ascii="Arial" w:hAnsi="Arial" w:cs="Arial"/>
                <w:sz w:val="18"/>
                <w:szCs w:val="18"/>
              </w:rPr>
            </w:pPr>
            <w:r w:rsidRPr="00FC5218">
              <w:rPr>
                <w:rFonts w:ascii="Arial" w:hAnsi="Arial" w:cs="Arial"/>
                <w:sz w:val="18"/>
                <w:szCs w:val="18"/>
              </w:rPr>
              <w:t>Psychosocial Dimensions</w:t>
            </w:r>
          </w:p>
        </w:tc>
        <w:tc>
          <w:tcPr>
            <w:tcW w:w="0" w:type="auto"/>
            <w:vAlign w:val="center"/>
            <w:hideMark/>
          </w:tcPr>
          <w:p w14:paraId="5B37C7DC" w14:textId="77777777" w:rsidR="00326809" w:rsidRPr="00FC5218" w:rsidRDefault="00326809" w:rsidP="00FB6E6A">
            <w:pPr>
              <w:rPr>
                <w:rFonts w:ascii="Arial" w:hAnsi="Arial" w:cs="Arial"/>
                <w:sz w:val="18"/>
                <w:szCs w:val="18"/>
              </w:rPr>
            </w:pPr>
            <w:r w:rsidRPr="00FC5218">
              <w:rPr>
                <w:rFonts w:ascii="Arial" w:hAnsi="Arial" w:cs="Arial"/>
                <w:sz w:val="18"/>
                <w:szCs w:val="18"/>
              </w:rPr>
              <w:t>Identity &amp; stigma</w:t>
            </w:r>
          </w:p>
        </w:tc>
        <w:tc>
          <w:tcPr>
            <w:tcW w:w="0" w:type="auto"/>
            <w:vAlign w:val="center"/>
            <w:hideMark/>
          </w:tcPr>
          <w:p w14:paraId="05FB29A7" w14:textId="77777777" w:rsidR="00326809" w:rsidRPr="00FC5218" w:rsidRDefault="00326809" w:rsidP="00FB6E6A">
            <w:pPr>
              <w:rPr>
                <w:rFonts w:ascii="Arial" w:hAnsi="Arial" w:cs="Arial"/>
                <w:sz w:val="18"/>
                <w:szCs w:val="18"/>
              </w:rPr>
            </w:pPr>
            <w:r w:rsidRPr="00FC5218">
              <w:rPr>
                <w:rFonts w:ascii="Arial" w:hAnsi="Arial" w:cs="Arial"/>
                <w:sz w:val="18"/>
                <w:szCs w:val="18"/>
              </w:rPr>
              <w:t>self-concept, disclosure, stigma</w:t>
            </w:r>
          </w:p>
        </w:tc>
        <w:tc>
          <w:tcPr>
            <w:tcW w:w="0" w:type="auto"/>
            <w:vAlign w:val="center"/>
            <w:hideMark/>
          </w:tcPr>
          <w:p w14:paraId="0F79A045"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Concealing dyslexia causes identity conflict and lower academic self-concept</w:t>
            </w:r>
          </w:p>
        </w:tc>
        <w:tc>
          <w:tcPr>
            <w:tcW w:w="0" w:type="auto"/>
            <w:vAlign w:val="center"/>
            <w:hideMark/>
          </w:tcPr>
          <w:p w14:paraId="48063E2C" w14:textId="77777777" w:rsidR="00326809" w:rsidRPr="00FC5218" w:rsidRDefault="00326809" w:rsidP="00FB6E6A">
            <w:pPr>
              <w:rPr>
                <w:rFonts w:ascii="Arial" w:hAnsi="Arial" w:cs="Arial"/>
                <w:sz w:val="18"/>
                <w:szCs w:val="18"/>
              </w:rPr>
            </w:pPr>
            <w:r w:rsidRPr="00FC5218">
              <w:rPr>
                <w:rFonts w:ascii="Arial" w:hAnsi="Arial" w:cs="Arial"/>
                <w:sz w:val="18"/>
                <w:szCs w:val="18"/>
              </w:rPr>
              <w:t>4</w:t>
            </w:r>
          </w:p>
        </w:tc>
        <w:tc>
          <w:tcPr>
            <w:tcW w:w="0" w:type="auto"/>
            <w:vAlign w:val="center"/>
            <w:hideMark/>
          </w:tcPr>
          <w:p w14:paraId="328C0649" w14:textId="77777777" w:rsidR="00326809" w:rsidRPr="00FC5218" w:rsidRDefault="00326809" w:rsidP="00FB6E6A">
            <w:pPr>
              <w:rPr>
                <w:rFonts w:ascii="Arial" w:hAnsi="Arial" w:cs="Arial"/>
                <w:sz w:val="18"/>
                <w:szCs w:val="18"/>
              </w:rPr>
            </w:pPr>
            <w:r w:rsidRPr="00FC5218">
              <w:rPr>
                <w:rFonts w:ascii="Arial" w:hAnsi="Arial" w:cs="Arial"/>
                <w:sz w:val="18"/>
                <w:szCs w:val="18"/>
              </w:rPr>
              <w:t>Higher education context</w:t>
            </w:r>
          </w:p>
        </w:tc>
      </w:tr>
      <w:tr w:rsidR="00326809" w:rsidRPr="00326809" w14:paraId="3D3FB9B1" w14:textId="77777777" w:rsidTr="00FB6E6A">
        <w:trPr>
          <w:tblCellSpacing w:w="15" w:type="dxa"/>
        </w:trPr>
        <w:tc>
          <w:tcPr>
            <w:tcW w:w="0" w:type="auto"/>
            <w:vAlign w:val="center"/>
            <w:hideMark/>
          </w:tcPr>
          <w:p w14:paraId="0433BD72" w14:textId="77777777" w:rsidR="00326809" w:rsidRPr="00FC5218" w:rsidRDefault="00326809" w:rsidP="00FB6E6A">
            <w:pPr>
              <w:rPr>
                <w:rFonts w:ascii="Arial" w:hAnsi="Arial" w:cs="Arial"/>
                <w:sz w:val="18"/>
                <w:szCs w:val="18"/>
              </w:rPr>
            </w:pPr>
            <w:r w:rsidRPr="00FC5218">
              <w:rPr>
                <w:rFonts w:ascii="Arial" w:hAnsi="Arial" w:cs="Arial"/>
                <w:sz w:val="18"/>
                <w:szCs w:val="18"/>
              </w:rPr>
              <w:t>5</w:t>
            </w:r>
          </w:p>
        </w:tc>
        <w:tc>
          <w:tcPr>
            <w:tcW w:w="0" w:type="auto"/>
            <w:vAlign w:val="center"/>
            <w:hideMark/>
          </w:tcPr>
          <w:p w14:paraId="4FF761DB" w14:textId="77777777" w:rsidR="00326809" w:rsidRPr="00FC5218" w:rsidRDefault="00326809" w:rsidP="00FB6E6A">
            <w:pPr>
              <w:rPr>
                <w:rFonts w:ascii="Arial" w:hAnsi="Arial" w:cs="Arial"/>
                <w:sz w:val="18"/>
                <w:szCs w:val="18"/>
              </w:rPr>
            </w:pPr>
            <w:proofErr w:type="spellStart"/>
            <w:r w:rsidRPr="00FC5218">
              <w:rPr>
                <w:rFonts w:ascii="Arial" w:hAnsi="Arial" w:cs="Arial"/>
                <w:sz w:val="18"/>
                <w:szCs w:val="18"/>
              </w:rPr>
              <w:t>Çakiroglu</w:t>
            </w:r>
            <w:proofErr w:type="spellEnd"/>
            <w:r w:rsidRPr="00FC5218">
              <w:rPr>
                <w:rFonts w:ascii="Arial" w:hAnsi="Arial" w:cs="Arial"/>
                <w:sz w:val="18"/>
                <w:szCs w:val="18"/>
              </w:rPr>
              <w:t xml:space="preserve"> et al. (2024)</w:t>
            </w:r>
          </w:p>
        </w:tc>
        <w:tc>
          <w:tcPr>
            <w:tcW w:w="0" w:type="auto"/>
            <w:vAlign w:val="center"/>
            <w:hideMark/>
          </w:tcPr>
          <w:p w14:paraId="6071E52D" w14:textId="77777777" w:rsidR="00326809" w:rsidRPr="00FC5218" w:rsidRDefault="00326809" w:rsidP="00FB6E6A">
            <w:pPr>
              <w:rPr>
                <w:rFonts w:ascii="Arial" w:hAnsi="Arial" w:cs="Arial"/>
                <w:sz w:val="18"/>
                <w:szCs w:val="18"/>
              </w:rPr>
            </w:pPr>
            <w:r w:rsidRPr="00FC5218">
              <w:rPr>
                <w:rFonts w:ascii="Arial" w:hAnsi="Arial" w:cs="Arial"/>
                <w:sz w:val="18"/>
                <w:szCs w:val="18"/>
              </w:rPr>
              <w:t>Turkey</w:t>
            </w:r>
          </w:p>
        </w:tc>
        <w:tc>
          <w:tcPr>
            <w:tcW w:w="0" w:type="auto"/>
            <w:vAlign w:val="center"/>
            <w:hideMark/>
          </w:tcPr>
          <w:p w14:paraId="0C71C84A" w14:textId="77777777" w:rsidR="00326809" w:rsidRPr="00FC5218" w:rsidRDefault="00326809" w:rsidP="00FB6E6A">
            <w:pPr>
              <w:rPr>
                <w:rFonts w:ascii="Arial" w:hAnsi="Arial" w:cs="Arial"/>
                <w:sz w:val="18"/>
                <w:szCs w:val="18"/>
              </w:rPr>
            </w:pPr>
            <w:r w:rsidRPr="00FC5218">
              <w:rPr>
                <w:rFonts w:ascii="Arial" w:hAnsi="Arial" w:cs="Arial"/>
                <w:sz w:val="18"/>
                <w:szCs w:val="18"/>
              </w:rPr>
              <w:t>Intervention study</w:t>
            </w:r>
          </w:p>
        </w:tc>
        <w:tc>
          <w:tcPr>
            <w:tcW w:w="0" w:type="auto"/>
            <w:vAlign w:val="center"/>
            <w:hideMark/>
          </w:tcPr>
          <w:p w14:paraId="041D89AA" w14:textId="77777777" w:rsidR="00326809" w:rsidRPr="00FC5218" w:rsidRDefault="00326809" w:rsidP="00FB6E6A">
            <w:pPr>
              <w:rPr>
                <w:rFonts w:ascii="Arial" w:hAnsi="Arial" w:cs="Arial"/>
                <w:sz w:val="18"/>
                <w:szCs w:val="18"/>
              </w:rPr>
            </w:pPr>
            <w:r w:rsidRPr="00FC5218">
              <w:rPr>
                <w:rFonts w:ascii="Arial" w:hAnsi="Arial" w:cs="Arial"/>
                <w:sz w:val="18"/>
                <w:szCs w:val="18"/>
              </w:rPr>
              <w:t>64 preservice teachers</w:t>
            </w:r>
          </w:p>
        </w:tc>
        <w:tc>
          <w:tcPr>
            <w:tcW w:w="0" w:type="auto"/>
            <w:vAlign w:val="center"/>
            <w:hideMark/>
          </w:tcPr>
          <w:p w14:paraId="7C36FCDF" w14:textId="77777777" w:rsidR="00326809" w:rsidRPr="00FC5218" w:rsidRDefault="00326809" w:rsidP="00FB6E6A">
            <w:pPr>
              <w:rPr>
                <w:rFonts w:ascii="Arial" w:hAnsi="Arial" w:cs="Arial"/>
                <w:sz w:val="18"/>
                <w:szCs w:val="18"/>
              </w:rPr>
            </w:pPr>
            <w:r w:rsidRPr="00FC5218">
              <w:rPr>
                <w:rFonts w:ascii="Arial" w:hAnsi="Arial" w:cs="Arial"/>
                <w:sz w:val="18"/>
                <w:szCs w:val="18"/>
              </w:rPr>
              <w:t>Intervention &amp; Educational Practice</w:t>
            </w:r>
          </w:p>
        </w:tc>
        <w:tc>
          <w:tcPr>
            <w:tcW w:w="0" w:type="auto"/>
            <w:vAlign w:val="center"/>
            <w:hideMark/>
          </w:tcPr>
          <w:p w14:paraId="648FE71A" w14:textId="77777777" w:rsidR="00326809" w:rsidRPr="00FC5218" w:rsidRDefault="00326809" w:rsidP="00FB6E6A">
            <w:pPr>
              <w:rPr>
                <w:rFonts w:ascii="Arial" w:hAnsi="Arial" w:cs="Arial"/>
                <w:sz w:val="18"/>
                <w:szCs w:val="18"/>
              </w:rPr>
            </w:pPr>
            <w:r w:rsidRPr="00FC5218">
              <w:rPr>
                <w:rFonts w:ascii="Arial" w:hAnsi="Arial" w:cs="Arial"/>
                <w:sz w:val="18"/>
                <w:szCs w:val="18"/>
              </w:rPr>
              <w:t>Teacher training</w:t>
            </w:r>
          </w:p>
        </w:tc>
        <w:tc>
          <w:tcPr>
            <w:tcW w:w="0" w:type="auto"/>
            <w:vAlign w:val="center"/>
            <w:hideMark/>
          </w:tcPr>
          <w:p w14:paraId="7FA1C674"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knowledge of dyslexia, beliefs, literacy</w:t>
            </w:r>
          </w:p>
        </w:tc>
        <w:tc>
          <w:tcPr>
            <w:tcW w:w="0" w:type="auto"/>
            <w:vAlign w:val="center"/>
            <w:hideMark/>
          </w:tcPr>
          <w:p w14:paraId="7C475390"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Online training improved knowledge and attitudes toward dyslexia</w:t>
            </w:r>
          </w:p>
        </w:tc>
        <w:tc>
          <w:tcPr>
            <w:tcW w:w="0" w:type="auto"/>
            <w:vAlign w:val="center"/>
            <w:hideMark/>
          </w:tcPr>
          <w:p w14:paraId="575DAC3A" w14:textId="77777777" w:rsidR="00326809" w:rsidRPr="00FC5218" w:rsidRDefault="00326809" w:rsidP="00FB6E6A">
            <w:pPr>
              <w:rPr>
                <w:rFonts w:ascii="Arial" w:hAnsi="Arial" w:cs="Arial"/>
                <w:sz w:val="18"/>
                <w:szCs w:val="18"/>
              </w:rPr>
            </w:pPr>
            <w:r w:rsidRPr="00FC5218">
              <w:rPr>
                <w:rFonts w:ascii="Arial" w:hAnsi="Arial" w:cs="Arial"/>
                <w:sz w:val="18"/>
                <w:szCs w:val="18"/>
              </w:rPr>
              <w:t>2</w:t>
            </w:r>
          </w:p>
        </w:tc>
        <w:tc>
          <w:tcPr>
            <w:tcW w:w="0" w:type="auto"/>
            <w:vAlign w:val="center"/>
            <w:hideMark/>
          </w:tcPr>
          <w:p w14:paraId="3FA52315" w14:textId="77777777" w:rsidR="00326809" w:rsidRPr="00FC5218" w:rsidRDefault="00326809" w:rsidP="00FB6E6A">
            <w:pPr>
              <w:rPr>
                <w:rFonts w:ascii="Arial" w:hAnsi="Arial" w:cs="Arial"/>
                <w:sz w:val="18"/>
                <w:szCs w:val="18"/>
              </w:rPr>
            </w:pPr>
            <w:r w:rsidRPr="00FC5218">
              <w:rPr>
                <w:rFonts w:ascii="Arial" w:hAnsi="Arial" w:cs="Arial"/>
                <w:sz w:val="18"/>
                <w:szCs w:val="18"/>
              </w:rPr>
              <w:t>Teacher education</w:t>
            </w:r>
          </w:p>
        </w:tc>
      </w:tr>
      <w:tr w:rsidR="00326809" w:rsidRPr="00326809" w14:paraId="591BE1A5" w14:textId="77777777" w:rsidTr="00FB6E6A">
        <w:trPr>
          <w:tblCellSpacing w:w="15" w:type="dxa"/>
        </w:trPr>
        <w:tc>
          <w:tcPr>
            <w:tcW w:w="0" w:type="auto"/>
            <w:vAlign w:val="center"/>
            <w:hideMark/>
          </w:tcPr>
          <w:p w14:paraId="50C385B4" w14:textId="77777777" w:rsidR="00326809" w:rsidRPr="00FC5218" w:rsidRDefault="00326809" w:rsidP="00FB6E6A">
            <w:pPr>
              <w:rPr>
                <w:rFonts w:ascii="Arial" w:hAnsi="Arial" w:cs="Arial"/>
                <w:sz w:val="18"/>
                <w:szCs w:val="18"/>
              </w:rPr>
            </w:pPr>
            <w:r w:rsidRPr="00FC5218">
              <w:rPr>
                <w:rFonts w:ascii="Arial" w:hAnsi="Arial" w:cs="Arial"/>
                <w:sz w:val="18"/>
                <w:szCs w:val="18"/>
              </w:rPr>
              <w:t>6</w:t>
            </w:r>
          </w:p>
        </w:tc>
        <w:tc>
          <w:tcPr>
            <w:tcW w:w="0" w:type="auto"/>
            <w:vAlign w:val="center"/>
            <w:hideMark/>
          </w:tcPr>
          <w:p w14:paraId="77ED3263" w14:textId="77777777" w:rsidR="00326809" w:rsidRPr="00FC5218" w:rsidRDefault="00326809" w:rsidP="00FB6E6A">
            <w:pPr>
              <w:rPr>
                <w:rFonts w:ascii="Arial" w:hAnsi="Arial" w:cs="Arial"/>
                <w:sz w:val="18"/>
                <w:szCs w:val="18"/>
              </w:rPr>
            </w:pPr>
            <w:r w:rsidRPr="00FC5218">
              <w:rPr>
                <w:rFonts w:ascii="Arial" w:hAnsi="Arial" w:cs="Arial"/>
                <w:sz w:val="18"/>
                <w:szCs w:val="18"/>
              </w:rPr>
              <w:t>Solheim et al. (2024)</w:t>
            </w:r>
          </w:p>
        </w:tc>
        <w:tc>
          <w:tcPr>
            <w:tcW w:w="0" w:type="auto"/>
            <w:vAlign w:val="center"/>
            <w:hideMark/>
          </w:tcPr>
          <w:p w14:paraId="61B304A9" w14:textId="77777777" w:rsidR="00326809" w:rsidRPr="00FC5218" w:rsidRDefault="00326809" w:rsidP="00FB6E6A">
            <w:pPr>
              <w:rPr>
                <w:rFonts w:ascii="Arial" w:hAnsi="Arial" w:cs="Arial"/>
                <w:sz w:val="18"/>
                <w:szCs w:val="18"/>
              </w:rPr>
            </w:pPr>
            <w:r w:rsidRPr="00FC5218">
              <w:rPr>
                <w:rFonts w:ascii="Arial" w:hAnsi="Arial" w:cs="Arial"/>
                <w:sz w:val="18"/>
                <w:szCs w:val="18"/>
              </w:rPr>
              <w:t>Norway</w:t>
            </w:r>
          </w:p>
        </w:tc>
        <w:tc>
          <w:tcPr>
            <w:tcW w:w="0" w:type="auto"/>
            <w:vAlign w:val="center"/>
            <w:hideMark/>
          </w:tcPr>
          <w:p w14:paraId="2BC6BB9C" w14:textId="77777777" w:rsidR="00326809" w:rsidRPr="00FC5218" w:rsidRDefault="00326809" w:rsidP="00FB6E6A">
            <w:pPr>
              <w:rPr>
                <w:rFonts w:ascii="Arial" w:hAnsi="Arial" w:cs="Arial"/>
                <w:sz w:val="18"/>
                <w:szCs w:val="18"/>
              </w:rPr>
            </w:pPr>
            <w:r w:rsidRPr="00FC5218">
              <w:rPr>
                <w:rFonts w:ascii="Arial" w:hAnsi="Arial" w:cs="Arial"/>
                <w:sz w:val="18"/>
                <w:szCs w:val="18"/>
              </w:rPr>
              <w:t>Survey study</w:t>
            </w:r>
          </w:p>
        </w:tc>
        <w:tc>
          <w:tcPr>
            <w:tcW w:w="0" w:type="auto"/>
            <w:vAlign w:val="center"/>
            <w:hideMark/>
          </w:tcPr>
          <w:p w14:paraId="02181EF3" w14:textId="77777777" w:rsidR="00326809" w:rsidRPr="00FC5218" w:rsidRDefault="00326809" w:rsidP="00FB6E6A">
            <w:pPr>
              <w:rPr>
                <w:rFonts w:ascii="Arial" w:hAnsi="Arial" w:cs="Arial"/>
                <w:sz w:val="18"/>
                <w:szCs w:val="18"/>
              </w:rPr>
            </w:pPr>
            <w:r w:rsidRPr="00FC5218">
              <w:rPr>
                <w:rFonts w:ascii="Arial" w:hAnsi="Arial" w:cs="Arial"/>
                <w:sz w:val="18"/>
                <w:szCs w:val="18"/>
              </w:rPr>
              <w:t>269 teachers</w:t>
            </w:r>
          </w:p>
        </w:tc>
        <w:tc>
          <w:tcPr>
            <w:tcW w:w="0" w:type="auto"/>
            <w:vAlign w:val="center"/>
            <w:hideMark/>
          </w:tcPr>
          <w:p w14:paraId="72680A7E" w14:textId="77777777" w:rsidR="00326809" w:rsidRPr="00FC5218" w:rsidRDefault="00326809" w:rsidP="00FB6E6A">
            <w:pPr>
              <w:rPr>
                <w:rFonts w:ascii="Arial" w:hAnsi="Arial" w:cs="Arial"/>
                <w:sz w:val="18"/>
                <w:szCs w:val="18"/>
              </w:rPr>
            </w:pPr>
            <w:r w:rsidRPr="00FC5218">
              <w:rPr>
                <w:rFonts w:ascii="Arial" w:hAnsi="Arial" w:cs="Arial"/>
                <w:sz w:val="18"/>
                <w:szCs w:val="18"/>
              </w:rPr>
              <w:t>Lifespan &amp; Systemic Perspective</w:t>
            </w:r>
          </w:p>
        </w:tc>
        <w:tc>
          <w:tcPr>
            <w:tcW w:w="0" w:type="auto"/>
            <w:vAlign w:val="center"/>
            <w:hideMark/>
          </w:tcPr>
          <w:p w14:paraId="1C678927" w14:textId="77777777" w:rsidR="00326809" w:rsidRPr="00FC5218" w:rsidRDefault="00326809" w:rsidP="00FB6E6A">
            <w:pPr>
              <w:rPr>
                <w:rFonts w:ascii="Arial" w:hAnsi="Arial" w:cs="Arial"/>
                <w:sz w:val="18"/>
                <w:szCs w:val="18"/>
              </w:rPr>
            </w:pPr>
            <w:r w:rsidRPr="00FC5218">
              <w:rPr>
                <w:rFonts w:ascii="Arial" w:hAnsi="Arial" w:cs="Arial"/>
                <w:sz w:val="18"/>
                <w:szCs w:val="18"/>
              </w:rPr>
              <w:t>Teacher knowledge</w:t>
            </w:r>
          </w:p>
        </w:tc>
        <w:tc>
          <w:tcPr>
            <w:tcW w:w="0" w:type="auto"/>
            <w:vAlign w:val="center"/>
            <w:hideMark/>
          </w:tcPr>
          <w:p w14:paraId="4B054DA5" w14:textId="77777777" w:rsidR="00326809" w:rsidRPr="00FC5218" w:rsidRDefault="00326809" w:rsidP="00FB6E6A">
            <w:pPr>
              <w:rPr>
                <w:rFonts w:ascii="Arial" w:hAnsi="Arial" w:cs="Arial"/>
                <w:sz w:val="18"/>
                <w:szCs w:val="18"/>
              </w:rPr>
            </w:pPr>
            <w:r w:rsidRPr="00FC5218">
              <w:rPr>
                <w:rFonts w:ascii="Arial" w:hAnsi="Arial" w:cs="Arial"/>
                <w:sz w:val="18"/>
                <w:szCs w:val="18"/>
              </w:rPr>
              <w:t>teacher training, misconceptions</w:t>
            </w:r>
          </w:p>
        </w:tc>
        <w:tc>
          <w:tcPr>
            <w:tcW w:w="0" w:type="auto"/>
            <w:vAlign w:val="center"/>
            <w:hideMark/>
          </w:tcPr>
          <w:p w14:paraId="2580A0CA"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Teachers show uncertainty about dyslexia despite generally low misconceptions</w:t>
            </w:r>
          </w:p>
        </w:tc>
        <w:tc>
          <w:tcPr>
            <w:tcW w:w="0" w:type="auto"/>
            <w:vAlign w:val="center"/>
            <w:hideMark/>
          </w:tcPr>
          <w:p w14:paraId="52A523CC" w14:textId="77777777" w:rsidR="00326809" w:rsidRPr="00FC5218" w:rsidRDefault="00326809" w:rsidP="00FB6E6A">
            <w:pPr>
              <w:rPr>
                <w:rFonts w:ascii="Arial" w:hAnsi="Arial" w:cs="Arial"/>
                <w:sz w:val="18"/>
                <w:szCs w:val="18"/>
              </w:rPr>
            </w:pPr>
            <w:r w:rsidRPr="00FC5218">
              <w:rPr>
                <w:rFonts w:ascii="Arial" w:hAnsi="Arial" w:cs="Arial"/>
                <w:sz w:val="18"/>
                <w:szCs w:val="18"/>
              </w:rPr>
              <w:t>3</w:t>
            </w:r>
          </w:p>
        </w:tc>
        <w:tc>
          <w:tcPr>
            <w:tcW w:w="0" w:type="auto"/>
            <w:vAlign w:val="center"/>
            <w:hideMark/>
          </w:tcPr>
          <w:p w14:paraId="245B2EB7" w14:textId="77777777" w:rsidR="00326809" w:rsidRPr="00FC5218" w:rsidRDefault="00326809" w:rsidP="00FB6E6A">
            <w:pPr>
              <w:rPr>
                <w:rFonts w:ascii="Arial" w:hAnsi="Arial" w:cs="Arial"/>
                <w:sz w:val="18"/>
                <w:szCs w:val="18"/>
              </w:rPr>
            </w:pPr>
            <w:r w:rsidRPr="00FC5218">
              <w:rPr>
                <w:rFonts w:ascii="Arial" w:hAnsi="Arial" w:cs="Arial"/>
                <w:sz w:val="18"/>
                <w:szCs w:val="18"/>
              </w:rPr>
              <w:t>Mainstream vs resource teachers</w:t>
            </w:r>
          </w:p>
        </w:tc>
      </w:tr>
      <w:tr w:rsidR="00A80091" w:rsidRPr="00326809" w14:paraId="36F6EFBD" w14:textId="77777777" w:rsidTr="00FB6E6A">
        <w:trPr>
          <w:tblCellSpacing w:w="15" w:type="dxa"/>
        </w:trPr>
        <w:tc>
          <w:tcPr>
            <w:tcW w:w="0" w:type="auto"/>
            <w:vAlign w:val="center"/>
          </w:tcPr>
          <w:p w14:paraId="7099101B" w14:textId="53C0CF3D" w:rsidR="00A80091" w:rsidRPr="00FC5218" w:rsidRDefault="00A80091" w:rsidP="00A80091">
            <w:pPr>
              <w:rPr>
                <w:rFonts w:ascii="Arial" w:hAnsi="Arial" w:cs="Arial"/>
                <w:sz w:val="18"/>
                <w:szCs w:val="18"/>
              </w:rPr>
            </w:pPr>
            <w:r w:rsidRPr="00FC5218">
              <w:rPr>
                <w:rFonts w:ascii="Arial" w:hAnsi="Arial" w:cs="Arial"/>
                <w:sz w:val="18"/>
                <w:szCs w:val="18"/>
              </w:rPr>
              <w:t>7</w:t>
            </w:r>
          </w:p>
        </w:tc>
        <w:tc>
          <w:tcPr>
            <w:tcW w:w="0" w:type="auto"/>
            <w:vAlign w:val="center"/>
          </w:tcPr>
          <w:p w14:paraId="3B0BE155" w14:textId="69FB6001" w:rsidR="00A80091" w:rsidRPr="00FC5218" w:rsidRDefault="00A80091" w:rsidP="00A80091">
            <w:pPr>
              <w:rPr>
                <w:rFonts w:ascii="Arial" w:hAnsi="Arial" w:cs="Arial"/>
                <w:sz w:val="18"/>
                <w:szCs w:val="18"/>
              </w:rPr>
            </w:pPr>
            <w:r w:rsidRPr="00FC5218">
              <w:rPr>
                <w:rFonts w:ascii="Arial" w:hAnsi="Arial" w:cs="Arial"/>
                <w:sz w:val="18"/>
                <w:szCs w:val="18"/>
              </w:rPr>
              <w:t>Parmentier et al. (2025)</w:t>
            </w:r>
          </w:p>
        </w:tc>
        <w:tc>
          <w:tcPr>
            <w:tcW w:w="0" w:type="auto"/>
            <w:vAlign w:val="center"/>
          </w:tcPr>
          <w:p w14:paraId="51D047BB" w14:textId="6B9EE2E6" w:rsidR="00A80091" w:rsidRPr="00FC5218" w:rsidRDefault="00A80091" w:rsidP="00A80091">
            <w:pPr>
              <w:rPr>
                <w:rFonts w:ascii="Arial" w:hAnsi="Arial" w:cs="Arial"/>
                <w:sz w:val="18"/>
                <w:szCs w:val="18"/>
              </w:rPr>
            </w:pPr>
            <w:r w:rsidRPr="00FC5218">
              <w:rPr>
                <w:rFonts w:ascii="Arial" w:hAnsi="Arial" w:cs="Arial"/>
                <w:sz w:val="18"/>
                <w:szCs w:val="18"/>
              </w:rPr>
              <w:t>Belgium</w:t>
            </w:r>
          </w:p>
        </w:tc>
        <w:tc>
          <w:tcPr>
            <w:tcW w:w="0" w:type="auto"/>
            <w:vAlign w:val="center"/>
          </w:tcPr>
          <w:p w14:paraId="3E5CA035" w14:textId="497377E8" w:rsidR="00A80091" w:rsidRPr="00FC5218" w:rsidRDefault="00A80091" w:rsidP="00A80091">
            <w:pPr>
              <w:rPr>
                <w:rFonts w:ascii="Arial" w:hAnsi="Arial" w:cs="Arial"/>
                <w:sz w:val="18"/>
                <w:szCs w:val="18"/>
              </w:rPr>
            </w:pPr>
            <w:r w:rsidRPr="00FC5218">
              <w:rPr>
                <w:rFonts w:ascii="Arial" w:hAnsi="Arial" w:cs="Arial"/>
                <w:sz w:val="18"/>
                <w:szCs w:val="18"/>
              </w:rPr>
              <w:t>Comparative study</w:t>
            </w:r>
          </w:p>
        </w:tc>
        <w:tc>
          <w:tcPr>
            <w:tcW w:w="0" w:type="auto"/>
            <w:vAlign w:val="center"/>
          </w:tcPr>
          <w:p w14:paraId="027AF1D7" w14:textId="6DCBDDEA" w:rsidR="00A80091" w:rsidRPr="00FC5218" w:rsidRDefault="00A80091" w:rsidP="00A80091">
            <w:pPr>
              <w:rPr>
                <w:rFonts w:ascii="Arial" w:hAnsi="Arial" w:cs="Arial"/>
                <w:sz w:val="18"/>
                <w:szCs w:val="18"/>
              </w:rPr>
            </w:pPr>
            <w:r w:rsidRPr="00FC5218">
              <w:rPr>
                <w:rFonts w:ascii="Arial" w:hAnsi="Arial" w:cs="Arial"/>
                <w:sz w:val="18"/>
                <w:szCs w:val="18"/>
              </w:rPr>
              <w:t>140 pupils</w:t>
            </w:r>
          </w:p>
        </w:tc>
        <w:tc>
          <w:tcPr>
            <w:tcW w:w="0" w:type="auto"/>
            <w:vAlign w:val="center"/>
          </w:tcPr>
          <w:p w14:paraId="419C7DC0" w14:textId="410D43A8" w:rsidR="00A80091" w:rsidRPr="00FC5218" w:rsidRDefault="00A80091" w:rsidP="00A80091">
            <w:pPr>
              <w:rPr>
                <w:rFonts w:ascii="Arial" w:hAnsi="Arial" w:cs="Arial"/>
                <w:sz w:val="18"/>
                <w:szCs w:val="18"/>
              </w:rPr>
            </w:pPr>
            <w:r w:rsidRPr="00FC5218">
              <w:rPr>
                <w:rFonts w:ascii="Arial" w:hAnsi="Arial" w:cs="Arial"/>
                <w:sz w:val="18"/>
                <w:szCs w:val="18"/>
              </w:rPr>
              <w:t>Developmental Trajectories</w:t>
            </w:r>
          </w:p>
        </w:tc>
        <w:tc>
          <w:tcPr>
            <w:tcW w:w="0" w:type="auto"/>
            <w:vAlign w:val="center"/>
          </w:tcPr>
          <w:p w14:paraId="2B9114E2" w14:textId="34E9625E" w:rsidR="00A80091" w:rsidRPr="00FC5218" w:rsidRDefault="00A80091" w:rsidP="00A80091">
            <w:pPr>
              <w:rPr>
                <w:rFonts w:ascii="Arial" w:hAnsi="Arial" w:cs="Arial"/>
                <w:sz w:val="18"/>
                <w:szCs w:val="18"/>
              </w:rPr>
            </w:pPr>
            <w:r w:rsidRPr="00FC5218">
              <w:rPr>
                <w:rFonts w:ascii="Arial" w:hAnsi="Arial" w:cs="Arial"/>
                <w:sz w:val="18"/>
                <w:szCs w:val="18"/>
              </w:rPr>
              <w:t>Bilingual literacy</w:t>
            </w:r>
          </w:p>
        </w:tc>
        <w:tc>
          <w:tcPr>
            <w:tcW w:w="0" w:type="auto"/>
            <w:vAlign w:val="center"/>
          </w:tcPr>
          <w:p w14:paraId="77DADC51" w14:textId="786F7DEC" w:rsidR="00A80091" w:rsidRPr="00FC5218" w:rsidRDefault="00A80091" w:rsidP="00A80091">
            <w:pPr>
              <w:rPr>
                <w:rFonts w:ascii="Arial" w:hAnsi="Arial" w:cs="Arial"/>
                <w:sz w:val="18"/>
                <w:szCs w:val="18"/>
              </w:rPr>
            </w:pPr>
            <w:r w:rsidRPr="00FC5218">
              <w:rPr>
                <w:rFonts w:ascii="Arial" w:hAnsi="Arial" w:cs="Arial"/>
                <w:sz w:val="18"/>
                <w:szCs w:val="18"/>
              </w:rPr>
              <w:t>CLIL, bilingual education, literacy</w:t>
            </w:r>
          </w:p>
        </w:tc>
        <w:tc>
          <w:tcPr>
            <w:tcW w:w="0" w:type="auto"/>
            <w:vAlign w:val="center"/>
          </w:tcPr>
          <w:p w14:paraId="224314CD" w14:textId="683EB567" w:rsidR="00A80091" w:rsidRPr="00FC5218" w:rsidRDefault="00A80091" w:rsidP="00A80091">
            <w:pPr>
              <w:rPr>
                <w:rFonts w:ascii="Arial" w:hAnsi="Arial" w:cs="Arial"/>
                <w:sz w:val="18"/>
                <w:szCs w:val="18"/>
                <w:lang w:val="en-GB"/>
              </w:rPr>
            </w:pPr>
            <w:r w:rsidRPr="00FC5218">
              <w:rPr>
                <w:rFonts w:ascii="Arial" w:hAnsi="Arial" w:cs="Arial"/>
                <w:sz w:val="18"/>
                <w:szCs w:val="18"/>
                <w:lang w:val="en-GB"/>
              </w:rPr>
              <w:t>No clear disadvantage for pupils with dyslexia in CLIL education</w:t>
            </w:r>
          </w:p>
        </w:tc>
        <w:tc>
          <w:tcPr>
            <w:tcW w:w="0" w:type="auto"/>
            <w:vAlign w:val="center"/>
          </w:tcPr>
          <w:p w14:paraId="0281BC3E" w14:textId="48C21532" w:rsidR="00A80091" w:rsidRPr="00FC5218" w:rsidRDefault="00A80091" w:rsidP="00A80091">
            <w:pPr>
              <w:rPr>
                <w:rFonts w:ascii="Arial" w:hAnsi="Arial" w:cs="Arial"/>
                <w:sz w:val="18"/>
                <w:szCs w:val="18"/>
              </w:rPr>
            </w:pPr>
            <w:r w:rsidRPr="00FC5218">
              <w:rPr>
                <w:rFonts w:ascii="Arial" w:hAnsi="Arial" w:cs="Arial"/>
                <w:sz w:val="18"/>
                <w:szCs w:val="18"/>
              </w:rPr>
              <w:t>2</w:t>
            </w:r>
          </w:p>
        </w:tc>
        <w:tc>
          <w:tcPr>
            <w:tcW w:w="0" w:type="auto"/>
            <w:vAlign w:val="center"/>
          </w:tcPr>
          <w:p w14:paraId="461F39BD" w14:textId="58B404C4" w:rsidR="00A80091" w:rsidRPr="00FC5218" w:rsidRDefault="00A80091" w:rsidP="00A80091">
            <w:pPr>
              <w:rPr>
                <w:rFonts w:ascii="Arial" w:hAnsi="Arial" w:cs="Arial"/>
                <w:sz w:val="18"/>
                <w:szCs w:val="18"/>
              </w:rPr>
            </w:pPr>
            <w:r w:rsidRPr="00FC5218">
              <w:rPr>
                <w:rFonts w:ascii="Arial" w:hAnsi="Arial" w:cs="Arial"/>
                <w:sz w:val="18"/>
                <w:szCs w:val="18"/>
              </w:rPr>
              <w:t>Grades 5 and 11</w:t>
            </w:r>
          </w:p>
        </w:tc>
      </w:tr>
      <w:tr w:rsidR="00FC5218" w:rsidRPr="00326809" w14:paraId="4CAE9CF2" w14:textId="77777777" w:rsidTr="00FB6E6A">
        <w:trPr>
          <w:tblCellSpacing w:w="15" w:type="dxa"/>
        </w:trPr>
        <w:tc>
          <w:tcPr>
            <w:tcW w:w="0" w:type="auto"/>
            <w:vAlign w:val="center"/>
          </w:tcPr>
          <w:p w14:paraId="707F25C8" w14:textId="661DE6E9" w:rsidR="00FC5218" w:rsidRPr="00FC5218" w:rsidRDefault="00FC5218" w:rsidP="00FC5218">
            <w:pPr>
              <w:rPr>
                <w:rFonts w:ascii="Arial" w:hAnsi="Arial" w:cs="Arial"/>
                <w:sz w:val="18"/>
                <w:szCs w:val="18"/>
              </w:rPr>
            </w:pPr>
            <w:r w:rsidRPr="00FC5218">
              <w:rPr>
                <w:rFonts w:ascii="Arial" w:hAnsi="Arial" w:cs="Arial"/>
                <w:sz w:val="18"/>
                <w:szCs w:val="18"/>
              </w:rPr>
              <w:t>8</w:t>
            </w:r>
          </w:p>
        </w:tc>
        <w:tc>
          <w:tcPr>
            <w:tcW w:w="0" w:type="auto"/>
            <w:vAlign w:val="center"/>
          </w:tcPr>
          <w:p w14:paraId="58D94B70" w14:textId="24305568" w:rsidR="00FC5218" w:rsidRPr="00FC5218" w:rsidRDefault="00FC5218" w:rsidP="00FC5218">
            <w:pPr>
              <w:rPr>
                <w:rFonts w:ascii="Arial" w:hAnsi="Arial" w:cs="Arial"/>
                <w:sz w:val="18"/>
                <w:szCs w:val="18"/>
              </w:rPr>
            </w:pPr>
            <w:r w:rsidRPr="00FC5218">
              <w:rPr>
                <w:rFonts w:ascii="Arial" w:hAnsi="Arial" w:cs="Arial"/>
                <w:sz w:val="18"/>
                <w:szCs w:val="18"/>
              </w:rPr>
              <w:t>Vogelaar et al. (2025)</w:t>
            </w:r>
          </w:p>
        </w:tc>
        <w:tc>
          <w:tcPr>
            <w:tcW w:w="0" w:type="auto"/>
            <w:vAlign w:val="center"/>
          </w:tcPr>
          <w:p w14:paraId="232FE32D" w14:textId="6D494BAC" w:rsidR="00FC5218" w:rsidRPr="00FC5218" w:rsidRDefault="00FC5218" w:rsidP="00FC5218">
            <w:pPr>
              <w:rPr>
                <w:rFonts w:ascii="Arial" w:hAnsi="Arial" w:cs="Arial"/>
                <w:sz w:val="18"/>
                <w:szCs w:val="18"/>
              </w:rPr>
            </w:pPr>
            <w:r w:rsidRPr="00FC5218">
              <w:rPr>
                <w:rFonts w:ascii="Arial" w:hAnsi="Arial" w:cs="Arial"/>
                <w:sz w:val="18"/>
                <w:szCs w:val="18"/>
              </w:rPr>
              <w:t>Netherlands</w:t>
            </w:r>
          </w:p>
        </w:tc>
        <w:tc>
          <w:tcPr>
            <w:tcW w:w="0" w:type="auto"/>
            <w:vAlign w:val="center"/>
          </w:tcPr>
          <w:p w14:paraId="7F2B06DE" w14:textId="2FE8FDF8" w:rsidR="00FC5218" w:rsidRPr="00FC5218" w:rsidRDefault="00FC5218" w:rsidP="00FC5218">
            <w:pPr>
              <w:rPr>
                <w:rFonts w:ascii="Arial" w:hAnsi="Arial" w:cs="Arial"/>
                <w:sz w:val="18"/>
                <w:szCs w:val="18"/>
              </w:rPr>
            </w:pPr>
            <w:r w:rsidRPr="00FC5218">
              <w:rPr>
                <w:rFonts w:ascii="Arial" w:hAnsi="Arial" w:cs="Arial"/>
                <w:sz w:val="18"/>
                <w:szCs w:val="18"/>
              </w:rPr>
              <w:t>Experimental intervention</w:t>
            </w:r>
          </w:p>
        </w:tc>
        <w:tc>
          <w:tcPr>
            <w:tcW w:w="0" w:type="auto"/>
            <w:vAlign w:val="center"/>
          </w:tcPr>
          <w:p w14:paraId="30B36477" w14:textId="1863EFEF" w:rsidR="00FC5218" w:rsidRPr="00FC5218" w:rsidRDefault="00FC5218" w:rsidP="00FC5218">
            <w:pPr>
              <w:rPr>
                <w:rFonts w:ascii="Arial" w:hAnsi="Arial" w:cs="Arial"/>
                <w:sz w:val="18"/>
                <w:szCs w:val="18"/>
              </w:rPr>
            </w:pPr>
            <w:r w:rsidRPr="00FC5218">
              <w:rPr>
                <w:rFonts w:ascii="Arial" w:hAnsi="Arial" w:cs="Arial"/>
                <w:sz w:val="18"/>
                <w:szCs w:val="18"/>
              </w:rPr>
              <w:t>42 children</w:t>
            </w:r>
          </w:p>
        </w:tc>
        <w:tc>
          <w:tcPr>
            <w:tcW w:w="0" w:type="auto"/>
            <w:vAlign w:val="center"/>
          </w:tcPr>
          <w:p w14:paraId="6D21FFC5" w14:textId="4CF85953" w:rsidR="00FC5218" w:rsidRPr="00FC5218" w:rsidRDefault="00FC5218" w:rsidP="00FC5218">
            <w:pPr>
              <w:rPr>
                <w:rFonts w:ascii="Arial" w:hAnsi="Arial" w:cs="Arial"/>
                <w:sz w:val="18"/>
                <w:szCs w:val="18"/>
              </w:rPr>
            </w:pPr>
            <w:r w:rsidRPr="00FC5218">
              <w:rPr>
                <w:rFonts w:ascii="Arial" w:hAnsi="Arial" w:cs="Arial"/>
                <w:sz w:val="18"/>
                <w:szCs w:val="18"/>
              </w:rPr>
              <w:t>Assessment &amp; Differential Diagnostics</w:t>
            </w:r>
          </w:p>
        </w:tc>
        <w:tc>
          <w:tcPr>
            <w:tcW w:w="0" w:type="auto"/>
            <w:vAlign w:val="center"/>
          </w:tcPr>
          <w:p w14:paraId="4C5E20E7" w14:textId="6E879326" w:rsidR="00FC5218" w:rsidRPr="00FC5218" w:rsidRDefault="00FC5218" w:rsidP="00FC5218">
            <w:pPr>
              <w:rPr>
                <w:rFonts w:ascii="Arial" w:hAnsi="Arial" w:cs="Arial"/>
                <w:sz w:val="18"/>
                <w:szCs w:val="18"/>
              </w:rPr>
            </w:pPr>
            <w:r w:rsidRPr="00FC5218">
              <w:rPr>
                <w:rFonts w:ascii="Arial" w:hAnsi="Arial" w:cs="Arial"/>
                <w:sz w:val="18"/>
                <w:szCs w:val="18"/>
              </w:rPr>
              <w:t>Assessment tools</w:t>
            </w:r>
          </w:p>
        </w:tc>
        <w:tc>
          <w:tcPr>
            <w:tcW w:w="0" w:type="auto"/>
            <w:vAlign w:val="center"/>
          </w:tcPr>
          <w:p w14:paraId="52210CF7" w14:textId="62251C61" w:rsidR="00FC5218" w:rsidRPr="00FC5218" w:rsidRDefault="00FC5218" w:rsidP="00FC5218">
            <w:pPr>
              <w:rPr>
                <w:rFonts w:ascii="Arial" w:hAnsi="Arial" w:cs="Arial"/>
                <w:sz w:val="18"/>
                <w:szCs w:val="18"/>
              </w:rPr>
            </w:pPr>
            <w:r w:rsidRPr="00FC5218">
              <w:rPr>
                <w:rFonts w:ascii="Arial" w:hAnsi="Arial" w:cs="Arial"/>
                <w:sz w:val="18"/>
                <w:szCs w:val="18"/>
              </w:rPr>
              <w:t>dynamic assessment, phonemic awareness</w:t>
            </w:r>
          </w:p>
        </w:tc>
        <w:tc>
          <w:tcPr>
            <w:tcW w:w="0" w:type="auto"/>
            <w:vAlign w:val="center"/>
          </w:tcPr>
          <w:p w14:paraId="58FB51C5" w14:textId="44BE8D94" w:rsidR="00FC5218" w:rsidRPr="00FC5218" w:rsidRDefault="00FC5218" w:rsidP="00FC5218">
            <w:pPr>
              <w:rPr>
                <w:rFonts w:ascii="Arial" w:hAnsi="Arial" w:cs="Arial"/>
                <w:sz w:val="18"/>
                <w:szCs w:val="18"/>
                <w:lang w:val="en-GB"/>
              </w:rPr>
            </w:pPr>
            <w:r w:rsidRPr="00FC5218">
              <w:rPr>
                <w:rFonts w:ascii="Arial" w:hAnsi="Arial" w:cs="Arial"/>
                <w:sz w:val="18"/>
                <w:szCs w:val="18"/>
                <w:lang w:val="en-GB"/>
              </w:rPr>
              <w:t>Dynamic reading/writing tests predict response to dyslexia intervention</w:t>
            </w:r>
          </w:p>
        </w:tc>
        <w:tc>
          <w:tcPr>
            <w:tcW w:w="0" w:type="auto"/>
            <w:vAlign w:val="center"/>
          </w:tcPr>
          <w:p w14:paraId="3C7CDDF0" w14:textId="5D4A4686" w:rsidR="00FC5218" w:rsidRPr="00FC5218" w:rsidRDefault="00FC5218" w:rsidP="00FC5218">
            <w:pPr>
              <w:rPr>
                <w:rFonts w:ascii="Arial" w:hAnsi="Arial" w:cs="Arial"/>
                <w:sz w:val="18"/>
                <w:szCs w:val="18"/>
              </w:rPr>
            </w:pPr>
            <w:r w:rsidRPr="00FC5218">
              <w:rPr>
                <w:rFonts w:ascii="Arial" w:hAnsi="Arial" w:cs="Arial"/>
                <w:sz w:val="18"/>
                <w:szCs w:val="18"/>
              </w:rPr>
              <w:t>2</w:t>
            </w:r>
          </w:p>
        </w:tc>
        <w:tc>
          <w:tcPr>
            <w:tcW w:w="0" w:type="auto"/>
            <w:vAlign w:val="center"/>
          </w:tcPr>
          <w:p w14:paraId="1D5B2531" w14:textId="058061C5" w:rsidR="00FC5218" w:rsidRPr="00FC5218" w:rsidRDefault="00FC5218" w:rsidP="00FC5218">
            <w:pPr>
              <w:rPr>
                <w:rFonts w:ascii="Arial" w:hAnsi="Arial" w:cs="Arial"/>
                <w:sz w:val="18"/>
                <w:szCs w:val="18"/>
              </w:rPr>
            </w:pPr>
            <w:r w:rsidRPr="00FC5218">
              <w:rPr>
                <w:rFonts w:ascii="Arial" w:hAnsi="Arial" w:cs="Arial"/>
                <w:sz w:val="18"/>
                <w:szCs w:val="18"/>
              </w:rPr>
              <w:t>Pre-post design</w:t>
            </w:r>
          </w:p>
        </w:tc>
      </w:tr>
      <w:tr w:rsidR="00FC5218" w:rsidRPr="00326809" w14:paraId="02AF7E52" w14:textId="77777777" w:rsidTr="00FB6E6A">
        <w:trPr>
          <w:tblCellSpacing w:w="15" w:type="dxa"/>
        </w:trPr>
        <w:tc>
          <w:tcPr>
            <w:tcW w:w="0" w:type="auto"/>
            <w:vAlign w:val="center"/>
          </w:tcPr>
          <w:p w14:paraId="068B943E" w14:textId="218DC6DD" w:rsidR="00FC5218" w:rsidRPr="00FC5218" w:rsidRDefault="00FC5218" w:rsidP="00FC5218">
            <w:pPr>
              <w:rPr>
                <w:rFonts w:ascii="Arial" w:hAnsi="Arial" w:cs="Arial"/>
                <w:sz w:val="18"/>
                <w:szCs w:val="18"/>
              </w:rPr>
            </w:pPr>
            <w:r w:rsidRPr="00FC5218">
              <w:rPr>
                <w:rFonts w:ascii="Arial" w:hAnsi="Arial" w:cs="Arial"/>
                <w:sz w:val="18"/>
                <w:szCs w:val="18"/>
              </w:rPr>
              <w:t>9</w:t>
            </w:r>
          </w:p>
        </w:tc>
        <w:tc>
          <w:tcPr>
            <w:tcW w:w="0" w:type="auto"/>
            <w:vAlign w:val="center"/>
          </w:tcPr>
          <w:p w14:paraId="33C2D196" w14:textId="5712D32B" w:rsidR="00FC5218" w:rsidRPr="00FC5218" w:rsidRDefault="00FC5218" w:rsidP="00FC5218">
            <w:pPr>
              <w:rPr>
                <w:rFonts w:ascii="Arial" w:hAnsi="Arial" w:cs="Arial"/>
                <w:sz w:val="18"/>
                <w:szCs w:val="18"/>
              </w:rPr>
            </w:pPr>
            <w:proofErr w:type="spellStart"/>
            <w:r w:rsidRPr="00FC5218">
              <w:rPr>
                <w:rFonts w:ascii="Arial" w:hAnsi="Arial" w:cs="Arial"/>
                <w:sz w:val="18"/>
                <w:szCs w:val="18"/>
              </w:rPr>
              <w:t>Donbaloglu</w:t>
            </w:r>
            <w:proofErr w:type="spellEnd"/>
            <w:r w:rsidRPr="00FC5218">
              <w:rPr>
                <w:rFonts w:ascii="Arial" w:hAnsi="Arial" w:cs="Arial"/>
                <w:sz w:val="18"/>
                <w:szCs w:val="18"/>
              </w:rPr>
              <w:t xml:space="preserve"> et al. (2025)</w:t>
            </w:r>
          </w:p>
        </w:tc>
        <w:tc>
          <w:tcPr>
            <w:tcW w:w="0" w:type="auto"/>
            <w:vAlign w:val="center"/>
          </w:tcPr>
          <w:p w14:paraId="53EF30C5" w14:textId="083C0306" w:rsidR="00FC5218" w:rsidRPr="00FC5218" w:rsidRDefault="00FC5218" w:rsidP="00FC5218">
            <w:pPr>
              <w:rPr>
                <w:rFonts w:ascii="Arial" w:hAnsi="Arial" w:cs="Arial"/>
                <w:sz w:val="18"/>
                <w:szCs w:val="18"/>
              </w:rPr>
            </w:pPr>
            <w:r w:rsidRPr="00FC5218">
              <w:rPr>
                <w:rFonts w:ascii="Arial" w:hAnsi="Arial" w:cs="Arial"/>
                <w:sz w:val="18"/>
                <w:szCs w:val="18"/>
              </w:rPr>
              <w:t>Turkey</w:t>
            </w:r>
          </w:p>
        </w:tc>
        <w:tc>
          <w:tcPr>
            <w:tcW w:w="0" w:type="auto"/>
            <w:vAlign w:val="center"/>
          </w:tcPr>
          <w:p w14:paraId="1A2EE822" w14:textId="014CADF6" w:rsidR="00FC5218" w:rsidRPr="00FC5218" w:rsidRDefault="00FC5218" w:rsidP="00FC5218">
            <w:pPr>
              <w:rPr>
                <w:rFonts w:ascii="Arial" w:hAnsi="Arial" w:cs="Arial"/>
                <w:sz w:val="18"/>
                <w:szCs w:val="18"/>
              </w:rPr>
            </w:pPr>
            <w:r w:rsidRPr="00FC5218">
              <w:rPr>
                <w:rFonts w:ascii="Arial" w:hAnsi="Arial" w:cs="Arial"/>
                <w:sz w:val="18"/>
                <w:szCs w:val="18"/>
              </w:rPr>
              <w:t>Comparative experimental study</w:t>
            </w:r>
          </w:p>
        </w:tc>
        <w:tc>
          <w:tcPr>
            <w:tcW w:w="0" w:type="auto"/>
            <w:vAlign w:val="center"/>
          </w:tcPr>
          <w:p w14:paraId="148C2FC7" w14:textId="75BA735B" w:rsidR="00FC5218" w:rsidRPr="00FC5218" w:rsidRDefault="00FC5218" w:rsidP="00FC5218">
            <w:pPr>
              <w:rPr>
                <w:rFonts w:ascii="Arial" w:hAnsi="Arial" w:cs="Arial"/>
                <w:sz w:val="18"/>
                <w:szCs w:val="18"/>
              </w:rPr>
            </w:pPr>
            <w:r w:rsidRPr="00FC5218">
              <w:rPr>
                <w:rFonts w:ascii="Arial" w:hAnsi="Arial" w:cs="Arial"/>
                <w:sz w:val="18"/>
                <w:szCs w:val="18"/>
              </w:rPr>
              <w:t>3 groups children</w:t>
            </w:r>
          </w:p>
        </w:tc>
        <w:tc>
          <w:tcPr>
            <w:tcW w:w="0" w:type="auto"/>
            <w:vAlign w:val="center"/>
          </w:tcPr>
          <w:p w14:paraId="6111AD72" w14:textId="0CE864B9" w:rsidR="00FC5218" w:rsidRPr="00FC5218" w:rsidRDefault="00FC5218" w:rsidP="00FC5218">
            <w:pPr>
              <w:rPr>
                <w:rFonts w:ascii="Arial" w:hAnsi="Arial" w:cs="Arial"/>
                <w:sz w:val="18"/>
                <w:szCs w:val="18"/>
              </w:rPr>
            </w:pPr>
            <w:r w:rsidRPr="00FC5218">
              <w:rPr>
                <w:rFonts w:ascii="Arial" w:hAnsi="Arial" w:cs="Arial"/>
                <w:sz w:val="18"/>
                <w:szCs w:val="18"/>
              </w:rPr>
              <w:t>Assessment &amp; Differential Diagnostics</w:t>
            </w:r>
          </w:p>
        </w:tc>
        <w:tc>
          <w:tcPr>
            <w:tcW w:w="0" w:type="auto"/>
            <w:vAlign w:val="center"/>
          </w:tcPr>
          <w:p w14:paraId="7E37EB8A" w14:textId="4A6CB332" w:rsidR="00FC5218" w:rsidRPr="00FC5218" w:rsidRDefault="00FC5218" w:rsidP="00FC5218">
            <w:pPr>
              <w:rPr>
                <w:rFonts w:ascii="Arial" w:hAnsi="Arial" w:cs="Arial"/>
                <w:sz w:val="18"/>
                <w:szCs w:val="18"/>
              </w:rPr>
            </w:pPr>
            <w:r w:rsidRPr="00FC5218">
              <w:rPr>
                <w:rFonts w:ascii="Arial" w:hAnsi="Arial" w:cs="Arial"/>
                <w:sz w:val="18"/>
                <w:szCs w:val="18"/>
              </w:rPr>
              <w:t>Comorbidity</w:t>
            </w:r>
          </w:p>
        </w:tc>
        <w:tc>
          <w:tcPr>
            <w:tcW w:w="0" w:type="auto"/>
            <w:vAlign w:val="center"/>
          </w:tcPr>
          <w:p w14:paraId="42541A5F" w14:textId="47236286" w:rsidR="00FC5218" w:rsidRPr="00FC5218" w:rsidRDefault="00FC5218" w:rsidP="00FC5218">
            <w:pPr>
              <w:rPr>
                <w:rFonts w:ascii="Arial" w:hAnsi="Arial" w:cs="Arial"/>
                <w:sz w:val="18"/>
                <w:szCs w:val="18"/>
              </w:rPr>
            </w:pPr>
            <w:r w:rsidRPr="00FC5218">
              <w:rPr>
                <w:rFonts w:ascii="Arial" w:hAnsi="Arial" w:cs="Arial"/>
                <w:sz w:val="18"/>
                <w:szCs w:val="18"/>
              </w:rPr>
              <w:t>ADHD, eye-tracking, reading</w:t>
            </w:r>
          </w:p>
        </w:tc>
        <w:tc>
          <w:tcPr>
            <w:tcW w:w="0" w:type="auto"/>
            <w:vAlign w:val="center"/>
          </w:tcPr>
          <w:p w14:paraId="2F84977D" w14:textId="338794F5" w:rsidR="00FC5218" w:rsidRPr="00FC5218" w:rsidRDefault="00FC5218" w:rsidP="00FC5218">
            <w:pPr>
              <w:rPr>
                <w:rFonts w:ascii="Arial" w:hAnsi="Arial" w:cs="Arial"/>
                <w:sz w:val="18"/>
                <w:szCs w:val="18"/>
                <w:lang w:val="en-GB"/>
              </w:rPr>
            </w:pPr>
            <w:r w:rsidRPr="00FC5218">
              <w:rPr>
                <w:rFonts w:ascii="Arial" w:hAnsi="Arial" w:cs="Arial"/>
                <w:sz w:val="18"/>
                <w:szCs w:val="18"/>
                <w:lang w:val="en-GB"/>
              </w:rPr>
              <w:t>Distinct eye movement patterns in dyslexia compared to ADHD and controls</w:t>
            </w:r>
          </w:p>
        </w:tc>
        <w:tc>
          <w:tcPr>
            <w:tcW w:w="0" w:type="auto"/>
            <w:vAlign w:val="center"/>
          </w:tcPr>
          <w:p w14:paraId="0CB45C3F" w14:textId="736A5284" w:rsidR="00FC5218" w:rsidRPr="00FC5218" w:rsidRDefault="00FC5218" w:rsidP="00FC5218">
            <w:pPr>
              <w:rPr>
                <w:rFonts w:ascii="Arial" w:hAnsi="Arial" w:cs="Arial"/>
                <w:sz w:val="18"/>
                <w:szCs w:val="18"/>
              </w:rPr>
            </w:pPr>
            <w:r w:rsidRPr="00FC5218">
              <w:rPr>
                <w:rFonts w:ascii="Arial" w:hAnsi="Arial" w:cs="Arial"/>
                <w:sz w:val="18"/>
                <w:szCs w:val="18"/>
              </w:rPr>
              <w:t>2</w:t>
            </w:r>
          </w:p>
        </w:tc>
        <w:tc>
          <w:tcPr>
            <w:tcW w:w="0" w:type="auto"/>
            <w:vAlign w:val="center"/>
          </w:tcPr>
          <w:p w14:paraId="7E439B73" w14:textId="50EC9826" w:rsidR="00FC5218" w:rsidRPr="00FC5218" w:rsidRDefault="00FC5218" w:rsidP="00FC5218">
            <w:pPr>
              <w:rPr>
                <w:rFonts w:ascii="Arial" w:hAnsi="Arial" w:cs="Arial"/>
                <w:sz w:val="18"/>
                <w:szCs w:val="18"/>
              </w:rPr>
            </w:pPr>
            <w:r w:rsidRPr="00FC5218">
              <w:rPr>
                <w:rFonts w:ascii="Arial" w:hAnsi="Arial" w:cs="Arial"/>
                <w:sz w:val="18"/>
                <w:szCs w:val="18"/>
              </w:rPr>
              <w:t>Neuropsychological approach</w:t>
            </w:r>
          </w:p>
        </w:tc>
      </w:tr>
    </w:tbl>
    <w:p w14:paraId="7758F22D" w14:textId="77777777" w:rsidR="00326809" w:rsidRPr="00326809" w:rsidRDefault="00326809" w:rsidP="00326809">
      <w:pPr>
        <w:rPr>
          <w:rFonts w:ascii="Arial" w:hAnsi="Arial" w:cs="Arial"/>
          <w:b/>
          <w:bCs/>
          <w:lang w:val="en-GB"/>
        </w:rPr>
        <w:sectPr w:rsidR="00326809" w:rsidRPr="00326809" w:rsidSect="00501E97">
          <w:pgSz w:w="16838" w:h="11906" w:orient="landscape"/>
          <w:pgMar w:top="1417" w:right="1417" w:bottom="1417" w:left="1134" w:header="708" w:footer="708" w:gutter="0"/>
          <w:cols w:space="708"/>
          <w:docGrid w:linePitch="360"/>
        </w:sectPr>
      </w:pPr>
      <w:r w:rsidRPr="00326809">
        <w:rPr>
          <w:rFonts w:ascii="Arial" w:hAnsi="Arial" w:cs="Arial"/>
          <w:b/>
          <w:bCs/>
          <w:lang w:val="en-GB"/>
        </w:rPr>
        <w:t>Table 1. Example of data extraction</w:t>
      </w:r>
    </w:p>
    <w:p w14:paraId="6F6CC068" w14:textId="77777777" w:rsidR="00C2372E" w:rsidRPr="004B72E5" w:rsidRDefault="00C2372E" w:rsidP="004B72E5">
      <w:pPr>
        <w:rPr>
          <w:rFonts w:ascii="Arial" w:hAnsi="Arial" w:cs="Arial"/>
          <w:b/>
          <w:bCs/>
          <w:sz w:val="22"/>
          <w:szCs w:val="22"/>
          <w:lang w:val="en-GB"/>
        </w:rPr>
      </w:pPr>
      <w:r w:rsidRPr="004B72E5">
        <w:rPr>
          <w:rFonts w:ascii="Arial" w:hAnsi="Arial" w:cs="Arial"/>
          <w:b/>
          <w:bCs/>
          <w:sz w:val="22"/>
          <w:szCs w:val="22"/>
          <w:lang w:val="en-GB"/>
        </w:rPr>
        <w:lastRenderedPageBreak/>
        <w:t>3.6 Evidence Classification</w:t>
      </w:r>
    </w:p>
    <w:p w14:paraId="3A1E3790" w14:textId="66393BA1" w:rsidR="00C2372E" w:rsidRPr="00DA0296" w:rsidRDefault="00C2372E" w:rsidP="00C2372E">
      <w:pPr>
        <w:rPr>
          <w:rFonts w:ascii="Arial" w:hAnsi="Arial" w:cs="Arial"/>
          <w:color w:val="EE0000"/>
          <w:lang w:val="en-GB"/>
        </w:rPr>
      </w:pPr>
      <w:r w:rsidRPr="004B72E5">
        <w:rPr>
          <w:rFonts w:ascii="Arial" w:hAnsi="Arial" w:cs="Arial"/>
          <w:lang w:val="en-GB"/>
        </w:rPr>
        <w:t xml:space="preserve">Studies were grouped according to methodological rigor and research design characteristics. The evidence classification framework was adapted from commonly used evidence hierarchies in educational and psychological research in order to provide a structured overview of methodological rigor across heterogeneous study designs. </w:t>
      </w:r>
      <w:r w:rsidR="00DA0296" w:rsidRPr="00DA0296">
        <w:rPr>
          <w:rFonts w:ascii="Arial" w:hAnsi="Arial" w:cs="Arial"/>
          <w:color w:val="EE0000"/>
        </w:rPr>
        <w:t>In addition to the general evidence classification, methodological quality indicators such as study design, sample size, transparency of reporting, and clarity of methodological procedures were considered during the synthesis process. Due to the heterogeneity of the included studies and the broad interdisciplinary scope of the review, a formal risk-of-bias assessment tool was not applied. Instead, methodological rigor was evaluated descriptively across studies in order to support thematic interpretation and contextualization of findings.</w:t>
      </w:r>
    </w:p>
    <w:p w14:paraId="34466ACD" w14:textId="77777777" w:rsidR="00C2372E" w:rsidRPr="004B72E5" w:rsidRDefault="00C2372E" w:rsidP="00C2372E">
      <w:pPr>
        <w:rPr>
          <w:rFonts w:ascii="Arial" w:hAnsi="Arial" w:cs="Arial"/>
          <w:lang w:val="en-GB"/>
        </w:rPr>
      </w:pPr>
      <w:r w:rsidRPr="004B72E5">
        <w:rPr>
          <w:rFonts w:ascii="Arial" w:hAnsi="Arial" w:cs="Arial"/>
          <w:lang w:val="en-GB"/>
        </w:rPr>
        <w:t xml:space="preserve">Meta-analyses and systematic reviews were categorized as high-level evidence (Level 1), followed by controlled intervention studies (Level 2), comparative quantitative and observational studies (Level 3), as well as qualitative, exploratory, and conceptual analyses (Level 4). The levels of evidence were defined as follows: </w:t>
      </w:r>
    </w:p>
    <w:p w14:paraId="0C7C0C00" w14:textId="77777777" w:rsidR="00C2372E" w:rsidRPr="00AA3C3D" w:rsidRDefault="00C2372E" w:rsidP="00C2372E">
      <w:pPr>
        <w:pStyle w:val="ListParagraph"/>
        <w:numPr>
          <w:ilvl w:val="0"/>
          <w:numId w:val="35"/>
        </w:numPr>
        <w:rPr>
          <w:rFonts w:ascii="Arial" w:hAnsi="Arial" w:cs="Arial"/>
          <w:sz w:val="20"/>
          <w:szCs w:val="20"/>
          <w:lang w:val="en-GB"/>
        </w:rPr>
      </w:pPr>
      <w:r w:rsidRPr="00AA3C3D">
        <w:rPr>
          <w:rFonts w:ascii="Arial" w:hAnsi="Arial" w:cs="Arial"/>
          <w:sz w:val="20"/>
          <w:szCs w:val="20"/>
          <w:lang w:val="en-GB"/>
        </w:rPr>
        <w:t xml:space="preserve">Level 1 = meta-analysis/randomized controlled trial (RCT); </w:t>
      </w:r>
    </w:p>
    <w:p w14:paraId="0DE50118" w14:textId="77777777" w:rsidR="00C2372E" w:rsidRPr="00AA3C3D" w:rsidRDefault="00C2372E" w:rsidP="00C2372E">
      <w:pPr>
        <w:pStyle w:val="ListParagraph"/>
        <w:numPr>
          <w:ilvl w:val="0"/>
          <w:numId w:val="35"/>
        </w:numPr>
        <w:rPr>
          <w:rFonts w:ascii="Arial" w:hAnsi="Arial" w:cs="Arial"/>
          <w:sz w:val="20"/>
          <w:szCs w:val="20"/>
          <w:lang w:val="en-GB"/>
        </w:rPr>
      </w:pPr>
      <w:r w:rsidRPr="00AA3C3D">
        <w:rPr>
          <w:rFonts w:ascii="Arial" w:hAnsi="Arial" w:cs="Arial"/>
          <w:sz w:val="20"/>
          <w:szCs w:val="20"/>
          <w:lang w:val="en-GB"/>
        </w:rPr>
        <w:t xml:space="preserve">Level 2 = controlled study; </w:t>
      </w:r>
    </w:p>
    <w:p w14:paraId="2567A5D3" w14:textId="77777777" w:rsidR="00C2372E" w:rsidRPr="00AA3C3D" w:rsidRDefault="00C2372E" w:rsidP="00C2372E">
      <w:pPr>
        <w:pStyle w:val="ListParagraph"/>
        <w:numPr>
          <w:ilvl w:val="0"/>
          <w:numId w:val="35"/>
        </w:numPr>
        <w:rPr>
          <w:rFonts w:ascii="Arial" w:hAnsi="Arial" w:cs="Arial"/>
          <w:sz w:val="20"/>
          <w:szCs w:val="20"/>
          <w:lang w:val="en-GB"/>
        </w:rPr>
      </w:pPr>
      <w:r w:rsidRPr="00AA3C3D">
        <w:rPr>
          <w:rFonts w:ascii="Arial" w:hAnsi="Arial" w:cs="Arial"/>
          <w:sz w:val="20"/>
          <w:szCs w:val="20"/>
          <w:lang w:val="en-GB"/>
        </w:rPr>
        <w:t xml:space="preserve">Level 3 = cross-sectional/observational study; </w:t>
      </w:r>
    </w:p>
    <w:p w14:paraId="14515AA9" w14:textId="77777777" w:rsidR="00C2372E" w:rsidRPr="00AA3C3D" w:rsidRDefault="00C2372E" w:rsidP="00C2372E">
      <w:pPr>
        <w:pStyle w:val="ListParagraph"/>
        <w:numPr>
          <w:ilvl w:val="0"/>
          <w:numId w:val="35"/>
        </w:numPr>
        <w:rPr>
          <w:rFonts w:ascii="Arial" w:hAnsi="Arial" w:cs="Arial"/>
          <w:sz w:val="20"/>
          <w:szCs w:val="20"/>
          <w:lang w:val="en-GB"/>
        </w:rPr>
      </w:pPr>
      <w:r w:rsidRPr="00AA3C3D">
        <w:rPr>
          <w:rFonts w:ascii="Arial" w:hAnsi="Arial" w:cs="Arial"/>
          <w:sz w:val="20"/>
          <w:szCs w:val="20"/>
          <w:lang w:val="en-GB"/>
        </w:rPr>
        <w:t>Level 4 = case study/exploratory study.</w:t>
      </w:r>
    </w:p>
    <w:p w14:paraId="24B8B7AC" w14:textId="77777777" w:rsidR="004B72E5" w:rsidRPr="004B72E5" w:rsidRDefault="004B72E5" w:rsidP="004B72E5">
      <w:pPr>
        <w:rPr>
          <w:rFonts w:ascii="Arial" w:hAnsi="Arial" w:cs="Arial"/>
          <w:lang w:val="en-GB"/>
        </w:rPr>
      </w:pPr>
    </w:p>
    <w:p w14:paraId="6183FE28" w14:textId="03DEA693" w:rsidR="004B72E5" w:rsidRPr="004B72E5" w:rsidRDefault="004B72E5" w:rsidP="004B72E5">
      <w:pPr>
        <w:rPr>
          <w:rFonts w:ascii="Arial" w:hAnsi="Arial" w:cs="Arial"/>
          <w:b/>
          <w:sz w:val="22"/>
          <w:szCs w:val="22"/>
          <w:lang w:val="en-GB"/>
        </w:rPr>
      </w:pPr>
      <w:r w:rsidRPr="004B72E5">
        <w:rPr>
          <w:rFonts w:ascii="Arial" w:hAnsi="Arial" w:cs="Arial"/>
          <w:b/>
          <w:sz w:val="22"/>
          <w:szCs w:val="22"/>
          <w:lang w:val="en-GB"/>
        </w:rPr>
        <w:t>4. RESULTS</w:t>
      </w:r>
    </w:p>
    <w:p w14:paraId="1FBA28CA" w14:textId="77777777" w:rsidR="004B72E5" w:rsidRPr="004B72E5" w:rsidRDefault="004B72E5" w:rsidP="004B72E5">
      <w:pPr>
        <w:rPr>
          <w:rFonts w:ascii="Arial" w:hAnsi="Arial" w:cs="Arial"/>
          <w:lang w:val="en-GB"/>
        </w:rPr>
      </w:pPr>
      <w:r w:rsidRPr="004B72E5">
        <w:rPr>
          <w:rFonts w:ascii="Arial" w:hAnsi="Arial" w:cs="Arial"/>
          <w:lang w:val="en-GB"/>
        </w:rPr>
        <w:t>The distribution of studies across thematic domains demonstrates a structured but uneven European dyslexia research landscape. As illustrated in Figure 2, developmental trajectories, intervention and educational practice, and assessment and differential diagnostics constitute the most established research areas, characterized by both high publication frequency and comparatively strong levels of evidence.</w:t>
      </w:r>
    </w:p>
    <w:p w14:paraId="68649F97" w14:textId="77777777" w:rsidR="00CB607B" w:rsidRPr="00763C13" w:rsidRDefault="00CB607B" w:rsidP="00441B6F">
      <w:pPr>
        <w:pStyle w:val="Body"/>
        <w:spacing w:after="0"/>
        <w:rPr>
          <w:rFonts w:ascii="Arial" w:hAnsi="Arial" w:cs="Arial"/>
          <w:lang w:val="en-GB"/>
        </w:rPr>
      </w:pPr>
    </w:p>
    <w:p w14:paraId="309C83CB" w14:textId="77777777" w:rsidR="00CB607B" w:rsidRPr="00FB3A86" w:rsidRDefault="00CB607B" w:rsidP="00441B6F">
      <w:pPr>
        <w:pStyle w:val="Body"/>
        <w:spacing w:after="0"/>
        <w:rPr>
          <w:rFonts w:ascii="Arial" w:hAnsi="Arial" w:cs="Arial"/>
        </w:rPr>
      </w:pPr>
    </w:p>
    <w:p w14:paraId="05418C2F" w14:textId="77777777" w:rsidR="00763C13" w:rsidRDefault="00CA47FF" w:rsidP="00441B6F">
      <w:pPr>
        <w:pStyle w:val="Body"/>
        <w:spacing w:after="0"/>
        <w:rPr>
          <w:rFonts w:ascii="Arial" w:hAnsi="Arial" w:cs="Arial"/>
          <w:b/>
          <w:caps/>
          <w:sz w:val="22"/>
        </w:rPr>
      </w:pPr>
      <w:r>
        <w:rPr>
          <w:noProof/>
          <w:lang w:val="en-GB"/>
        </w:rPr>
        <w:lastRenderedPageBreak/>
        <w:drawing>
          <wp:inline distT="0" distB="0" distL="0" distR="0" wp14:anchorId="30C0EC87" wp14:editId="02538930">
            <wp:extent cx="5212080" cy="3634438"/>
            <wp:effectExtent l="0" t="0" r="0" b="0"/>
            <wp:docPr id="1730721880"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3634438"/>
                    </a:xfrm>
                    <a:prstGeom prst="rect">
                      <a:avLst/>
                    </a:prstGeom>
                    <a:noFill/>
                    <a:ln>
                      <a:noFill/>
                    </a:ln>
                  </pic:spPr>
                </pic:pic>
              </a:graphicData>
            </a:graphic>
          </wp:inline>
        </w:drawing>
      </w:r>
    </w:p>
    <w:p w14:paraId="6EF1A393" w14:textId="77777777" w:rsidR="00CA47FF" w:rsidRDefault="00CA47FF" w:rsidP="00441B6F">
      <w:pPr>
        <w:pStyle w:val="Body"/>
        <w:spacing w:after="0"/>
        <w:rPr>
          <w:rFonts w:ascii="Arial" w:hAnsi="Arial" w:cs="Arial"/>
          <w:b/>
          <w:caps/>
          <w:sz w:val="22"/>
        </w:rPr>
      </w:pPr>
    </w:p>
    <w:p w14:paraId="1582A82B" w14:textId="279FABC2" w:rsidR="000864C7" w:rsidRPr="000864C7" w:rsidRDefault="000864C7" w:rsidP="000864C7">
      <w:pPr>
        <w:rPr>
          <w:rFonts w:ascii="Arial" w:hAnsi="Arial" w:cs="Arial"/>
          <w:b/>
          <w:bCs/>
          <w:lang w:val="en-GB"/>
        </w:rPr>
      </w:pPr>
      <w:r w:rsidRPr="000864C7">
        <w:rPr>
          <w:rFonts w:ascii="Arial" w:hAnsi="Arial" w:cs="Arial"/>
          <w:b/>
          <w:bCs/>
          <w:lang w:val="en-GB"/>
        </w:rPr>
        <w:t>Fig</w:t>
      </w:r>
      <w:r w:rsidR="00FE3D6E">
        <w:rPr>
          <w:rFonts w:ascii="Arial" w:hAnsi="Arial" w:cs="Arial"/>
          <w:b/>
          <w:bCs/>
          <w:lang w:val="en-GB"/>
        </w:rPr>
        <w:t>ure</w:t>
      </w:r>
      <w:r w:rsidRPr="000864C7">
        <w:rPr>
          <w:rFonts w:ascii="Arial" w:hAnsi="Arial" w:cs="Arial"/>
          <w:b/>
          <w:bCs/>
          <w:lang w:val="en-GB"/>
        </w:rPr>
        <w:t xml:space="preserve"> 2. Dyslexia Research Landscape in Europe (n = 391)</w:t>
      </w:r>
    </w:p>
    <w:p w14:paraId="0196A506" w14:textId="77777777" w:rsidR="000864C7" w:rsidRDefault="000864C7" w:rsidP="000864C7">
      <w:pPr>
        <w:rPr>
          <w:rFonts w:ascii="Arial" w:hAnsi="Arial" w:cs="Arial"/>
          <w:lang w:val="en-GB"/>
        </w:rPr>
      </w:pPr>
    </w:p>
    <w:p w14:paraId="507A418D" w14:textId="086764E7" w:rsidR="000864C7" w:rsidRDefault="000864C7" w:rsidP="000864C7">
      <w:pPr>
        <w:rPr>
          <w:rFonts w:ascii="Arial" w:hAnsi="Arial" w:cs="Arial"/>
          <w:lang w:val="en-GB"/>
        </w:rPr>
      </w:pPr>
      <w:r w:rsidRPr="000864C7">
        <w:rPr>
          <w:rFonts w:ascii="Arial" w:hAnsi="Arial" w:cs="Arial"/>
          <w:lang w:val="en-GB"/>
        </w:rPr>
        <w:t>In contrast, psychosocial dimensions and lifespan/systemic perspectives represent developing research fields with more heterogeneous methodological quality. Conceptual foundations emerged as the least empirically developed domain, consisting primarily of theoretical and exploratory work. Overall, the figure illustrates a clear concentration of European dyslexia research on literacy development, intervention, and diagnostic assessment, while broader psychosocial, systemic, and theoretical perspectives remain comparatively underrepresented.</w:t>
      </w:r>
    </w:p>
    <w:p w14:paraId="3F8B24BC" w14:textId="77777777" w:rsidR="000864C7" w:rsidRPr="000864C7" w:rsidRDefault="000864C7" w:rsidP="000864C7">
      <w:pPr>
        <w:rPr>
          <w:rFonts w:ascii="Arial" w:hAnsi="Arial" w:cs="Arial"/>
          <w:lang w:val="en-GB"/>
        </w:rPr>
      </w:pPr>
    </w:p>
    <w:p w14:paraId="7D31A672" w14:textId="77777777" w:rsidR="000864C7" w:rsidRPr="000864C7" w:rsidRDefault="000864C7" w:rsidP="000864C7">
      <w:pPr>
        <w:rPr>
          <w:rFonts w:ascii="Arial" w:hAnsi="Arial" w:cs="Arial"/>
          <w:b/>
          <w:bCs/>
          <w:sz w:val="22"/>
          <w:szCs w:val="22"/>
          <w:lang w:val="en-GB"/>
        </w:rPr>
      </w:pPr>
      <w:r w:rsidRPr="000864C7">
        <w:rPr>
          <w:rFonts w:ascii="Arial" w:hAnsi="Arial" w:cs="Arial"/>
          <w:b/>
          <w:bCs/>
          <w:sz w:val="22"/>
          <w:szCs w:val="22"/>
          <w:lang w:val="en-GB"/>
        </w:rPr>
        <w:t>4.1 Overview of Included Studies</w:t>
      </w:r>
    </w:p>
    <w:p w14:paraId="74CB56A7" w14:textId="77777777" w:rsidR="000864C7" w:rsidRPr="000864C7" w:rsidRDefault="000864C7" w:rsidP="000864C7">
      <w:pPr>
        <w:rPr>
          <w:rFonts w:ascii="Arial" w:hAnsi="Arial" w:cs="Arial"/>
          <w:lang w:val="en-GB"/>
        </w:rPr>
      </w:pPr>
      <w:r w:rsidRPr="000864C7">
        <w:rPr>
          <w:rFonts w:ascii="Arial" w:hAnsi="Arial" w:cs="Arial"/>
          <w:lang w:val="en-GB"/>
        </w:rPr>
        <w:t>The final dataset consisted of 391 publications addressing dyslexia within European context. The reviewed studies represented a broad range of methodological approaches, including systematic reviews, meta-analyses, randomized and non-randomized intervention studies, comparative quantitative studies, survey research, qualitative investigations, and conceptual analyses.</w:t>
      </w:r>
    </w:p>
    <w:p w14:paraId="37C82C98" w14:textId="77777777" w:rsidR="000864C7" w:rsidRPr="000864C7" w:rsidRDefault="000864C7" w:rsidP="000864C7">
      <w:pPr>
        <w:rPr>
          <w:rFonts w:ascii="Arial" w:hAnsi="Arial" w:cs="Arial"/>
          <w:lang w:val="en-GB"/>
        </w:rPr>
      </w:pPr>
      <w:r w:rsidRPr="000864C7">
        <w:rPr>
          <w:rFonts w:ascii="Arial" w:hAnsi="Arial" w:cs="Arial"/>
          <w:lang w:val="en-GB"/>
        </w:rPr>
        <w:t>The majority of studies originated from the United Kingdom, the Netherlands, Belgium, Italy, Spain, Greece, Norway, Sweden, Slovenia, Denmark, and Turkey. The United Kingdom represented the largest proportion of publications, particularly in the areas of psychosocial wellbeing, higher education, inclusive education, and diagnostic policy debates.</w:t>
      </w:r>
    </w:p>
    <w:p w14:paraId="15639AAA" w14:textId="77777777" w:rsidR="000864C7" w:rsidRDefault="000864C7" w:rsidP="000864C7">
      <w:pPr>
        <w:rPr>
          <w:rFonts w:ascii="Arial" w:hAnsi="Arial" w:cs="Arial"/>
          <w:lang w:val="en-GB"/>
        </w:rPr>
      </w:pPr>
      <w:r w:rsidRPr="000864C7">
        <w:rPr>
          <w:rFonts w:ascii="Arial" w:hAnsi="Arial" w:cs="Arial"/>
          <w:lang w:val="en-GB"/>
        </w:rPr>
        <w:t>Across the included studies, six dominant thematic domains emerged.</w:t>
      </w:r>
    </w:p>
    <w:p w14:paraId="37270929" w14:textId="77777777" w:rsidR="000864C7" w:rsidRPr="000864C7" w:rsidRDefault="000864C7" w:rsidP="000864C7">
      <w:pPr>
        <w:rPr>
          <w:rFonts w:ascii="Arial" w:hAnsi="Arial" w:cs="Arial"/>
          <w:lang w:val="en-GB"/>
        </w:rPr>
      </w:pPr>
    </w:p>
    <w:p w14:paraId="29311E43" w14:textId="77777777" w:rsidR="000864C7" w:rsidRPr="000864C7" w:rsidRDefault="000864C7" w:rsidP="000864C7">
      <w:pPr>
        <w:rPr>
          <w:rFonts w:ascii="Arial" w:hAnsi="Arial" w:cs="Arial"/>
          <w:b/>
          <w:bCs/>
          <w:sz w:val="22"/>
          <w:szCs w:val="22"/>
          <w:lang w:val="en-GB"/>
        </w:rPr>
      </w:pPr>
      <w:r w:rsidRPr="000864C7">
        <w:rPr>
          <w:rFonts w:ascii="Arial" w:hAnsi="Arial" w:cs="Arial"/>
          <w:b/>
          <w:bCs/>
          <w:sz w:val="22"/>
          <w:szCs w:val="22"/>
          <w:lang w:val="en-GB"/>
        </w:rPr>
        <w:t>4.2 Conceptual Foundations</w:t>
      </w:r>
    </w:p>
    <w:p w14:paraId="5C62B426" w14:textId="77777777" w:rsidR="000864C7" w:rsidRPr="000864C7" w:rsidRDefault="000864C7" w:rsidP="000864C7">
      <w:pPr>
        <w:rPr>
          <w:rFonts w:ascii="Arial" w:hAnsi="Arial" w:cs="Arial"/>
          <w:lang w:val="en-GB"/>
        </w:rPr>
      </w:pPr>
      <w:r w:rsidRPr="000864C7">
        <w:rPr>
          <w:rFonts w:ascii="Arial" w:hAnsi="Arial" w:cs="Arial"/>
          <w:lang w:val="en-GB"/>
        </w:rPr>
        <w:t>Research within the conceptual domain emphasized increasing dissatisfaction with narrow and deficit-oriented definitions of dyslexia. Several publications proposed multidimensional conceptualizations integrating neurobiological, linguistic, educational, and psychosocial perspectives.</w:t>
      </w:r>
    </w:p>
    <w:p w14:paraId="51A5FE67" w14:textId="77777777" w:rsidR="000864C7" w:rsidRPr="000864C7" w:rsidRDefault="000864C7" w:rsidP="000864C7">
      <w:pPr>
        <w:rPr>
          <w:rFonts w:ascii="Arial" w:hAnsi="Arial" w:cs="Arial"/>
          <w:lang w:val="en-GB"/>
        </w:rPr>
      </w:pPr>
      <w:r w:rsidRPr="000864C7">
        <w:rPr>
          <w:rFonts w:ascii="Arial" w:hAnsi="Arial" w:cs="Arial"/>
          <w:lang w:val="en-GB"/>
        </w:rPr>
        <w:lastRenderedPageBreak/>
        <w:t>Wolf et al. (2024) proposed a dynamic conceptualization of dyslexia that emphasized the interaction between neurobiological predispositions, orthographic systems, environmental influences, and psychosocial consequences. Similarly, Taha et al. (2025) introduced the “Inefficient Anticipatory Planning Hypothesis,” linking reading, language, and handwriting difficulties through broader anticipatory processing deficits.</w:t>
      </w:r>
    </w:p>
    <w:p w14:paraId="681DA522" w14:textId="77777777" w:rsidR="000864C7" w:rsidRPr="000864C7" w:rsidRDefault="000864C7" w:rsidP="000864C7">
      <w:pPr>
        <w:rPr>
          <w:rFonts w:ascii="Arial" w:hAnsi="Arial" w:cs="Arial"/>
          <w:lang w:val="en-GB"/>
        </w:rPr>
      </w:pPr>
      <w:r w:rsidRPr="000864C7">
        <w:rPr>
          <w:rFonts w:ascii="Arial" w:hAnsi="Arial" w:cs="Arial"/>
          <w:lang w:val="en-GB"/>
        </w:rPr>
        <w:t xml:space="preserve">At the same time, conceptual and philosophical debates regarding dyslexia </w:t>
      </w:r>
      <w:proofErr w:type="spellStart"/>
      <w:r w:rsidRPr="000864C7">
        <w:rPr>
          <w:rFonts w:ascii="Arial" w:hAnsi="Arial" w:cs="Arial"/>
          <w:lang w:val="en-GB"/>
        </w:rPr>
        <w:t>labeling</w:t>
      </w:r>
      <w:proofErr w:type="spellEnd"/>
      <w:r w:rsidRPr="000864C7">
        <w:rPr>
          <w:rFonts w:ascii="Arial" w:hAnsi="Arial" w:cs="Arial"/>
          <w:lang w:val="en-GB"/>
        </w:rPr>
        <w:t xml:space="preserve"> intensified. Knight (2025) discussed tensions between inclusive education frameworks and traditional diagnostic models, while Collinson (2023) criticized deficit-oriented literacy norms and proposed the concept of “</w:t>
      </w:r>
      <w:proofErr w:type="spellStart"/>
      <w:r w:rsidRPr="000864C7">
        <w:rPr>
          <w:rFonts w:ascii="Arial" w:hAnsi="Arial" w:cs="Arial"/>
          <w:lang w:val="en-GB"/>
        </w:rPr>
        <w:t>lexism</w:t>
      </w:r>
      <w:proofErr w:type="spellEnd"/>
      <w:r w:rsidRPr="000864C7">
        <w:rPr>
          <w:rFonts w:ascii="Arial" w:hAnsi="Arial" w:cs="Arial"/>
          <w:lang w:val="en-GB"/>
        </w:rPr>
        <w:t>.”</w:t>
      </w:r>
    </w:p>
    <w:p w14:paraId="545502E2" w14:textId="77777777" w:rsidR="000864C7" w:rsidRDefault="000864C7" w:rsidP="000864C7">
      <w:pPr>
        <w:rPr>
          <w:rFonts w:ascii="Arial" w:hAnsi="Arial" w:cs="Arial"/>
          <w:lang w:val="en-GB"/>
        </w:rPr>
      </w:pPr>
      <w:r w:rsidRPr="000864C7">
        <w:rPr>
          <w:rFonts w:ascii="Arial" w:hAnsi="Arial" w:cs="Arial"/>
          <w:lang w:val="en-GB"/>
        </w:rPr>
        <w:t>Overall, the findings indicate an ongoing theoretical shift from single-deficit models toward multidimensional and neurodiversity-informed perspectives.</w:t>
      </w:r>
    </w:p>
    <w:p w14:paraId="4576944B" w14:textId="77777777" w:rsidR="000864C7" w:rsidRPr="000864C7" w:rsidRDefault="000864C7" w:rsidP="000864C7">
      <w:pPr>
        <w:rPr>
          <w:rFonts w:ascii="Arial" w:hAnsi="Arial" w:cs="Arial"/>
          <w:lang w:val="en-GB"/>
        </w:rPr>
      </w:pPr>
    </w:p>
    <w:p w14:paraId="5C5C89C4" w14:textId="77777777" w:rsidR="000864C7" w:rsidRPr="000864C7" w:rsidRDefault="000864C7" w:rsidP="000864C7">
      <w:pPr>
        <w:rPr>
          <w:rFonts w:ascii="Arial" w:hAnsi="Arial" w:cs="Arial"/>
          <w:b/>
          <w:bCs/>
          <w:sz w:val="22"/>
          <w:szCs w:val="22"/>
          <w:lang w:val="en-GB"/>
        </w:rPr>
      </w:pPr>
      <w:r w:rsidRPr="000864C7">
        <w:rPr>
          <w:rFonts w:ascii="Arial" w:hAnsi="Arial" w:cs="Arial"/>
          <w:b/>
          <w:bCs/>
          <w:sz w:val="22"/>
          <w:szCs w:val="22"/>
          <w:lang w:val="en-GB"/>
        </w:rPr>
        <w:t>4.3 Developmental Trajectories</w:t>
      </w:r>
    </w:p>
    <w:p w14:paraId="651E1318" w14:textId="77777777" w:rsidR="000864C7" w:rsidRPr="000864C7" w:rsidRDefault="000864C7" w:rsidP="000864C7">
      <w:pPr>
        <w:rPr>
          <w:rFonts w:ascii="Arial" w:hAnsi="Arial" w:cs="Arial"/>
          <w:lang w:val="en-GB"/>
        </w:rPr>
      </w:pPr>
      <w:r w:rsidRPr="000864C7">
        <w:rPr>
          <w:rFonts w:ascii="Arial" w:hAnsi="Arial" w:cs="Arial"/>
          <w:lang w:val="en-GB"/>
        </w:rPr>
        <w:t>Studies within the developmental domain consistently demonstrated persistent difficulties in decoding, reading fluency, spelling, handwriting, and foreign-language learning across childhood, adolescence, and adulthood.</w:t>
      </w:r>
    </w:p>
    <w:p w14:paraId="4DCF7954" w14:textId="77777777" w:rsidR="000864C7" w:rsidRPr="000864C7" w:rsidRDefault="000864C7" w:rsidP="000864C7">
      <w:pPr>
        <w:rPr>
          <w:rFonts w:ascii="Arial" w:hAnsi="Arial" w:cs="Arial"/>
          <w:lang w:val="en-GB"/>
        </w:rPr>
      </w:pPr>
      <w:r w:rsidRPr="000864C7">
        <w:rPr>
          <w:rFonts w:ascii="Arial" w:hAnsi="Arial" w:cs="Arial"/>
          <w:lang w:val="en-GB"/>
        </w:rPr>
        <w:t>Research on bilingualism and second-language acquisition showed that pupils with dyslexia could successfully participate in multilingual educational settings without systematic disadvantage. For example, Parmentier et al. (2025) found no measurable disadvantage for pupils with dyslexia enrolled in content and language integrated learning (CLIL) programs in Belgium.</w:t>
      </w:r>
    </w:p>
    <w:p w14:paraId="2B6E5DCA" w14:textId="77777777" w:rsidR="000864C7" w:rsidRPr="000864C7" w:rsidRDefault="000864C7" w:rsidP="000864C7">
      <w:pPr>
        <w:rPr>
          <w:rFonts w:ascii="Arial" w:hAnsi="Arial" w:cs="Arial"/>
          <w:lang w:val="en-GB"/>
        </w:rPr>
      </w:pPr>
      <w:r w:rsidRPr="000864C7">
        <w:rPr>
          <w:rFonts w:ascii="Arial" w:hAnsi="Arial" w:cs="Arial"/>
          <w:lang w:val="en-GB"/>
        </w:rPr>
        <w:t>Several studies highlighted persistent literacy difficulties in adulthood. Pérez-</w:t>
      </w:r>
      <w:proofErr w:type="spellStart"/>
      <w:r w:rsidRPr="000864C7">
        <w:rPr>
          <w:rFonts w:ascii="Arial" w:hAnsi="Arial" w:cs="Arial"/>
          <w:lang w:val="en-GB"/>
        </w:rPr>
        <w:t>Litago</w:t>
      </w:r>
      <w:proofErr w:type="spellEnd"/>
      <w:r w:rsidRPr="000864C7">
        <w:rPr>
          <w:rFonts w:ascii="Arial" w:hAnsi="Arial" w:cs="Arial"/>
          <w:lang w:val="en-GB"/>
        </w:rPr>
        <w:t xml:space="preserve"> et al. (2025) demonstrated deficits in oral and written English language production among Spanish adults with dyslexia, while Vender and </w:t>
      </w:r>
      <w:proofErr w:type="spellStart"/>
      <w:r w:rsidRPr="000864C7">
        <w:rPr>
          <w:rFonts w:ascii="Arial" w:hAnsi="Arial" w:cs="Arial"/>
          <w:lang w:val="en-GB"/>
        </w:rPr>
        <w:t>Delfitto</w:t>
      </w:r>
      <w:proofErr w:type="spellEnd"/>
      <w:r w:rsidRPr="000864C7">
        <w:rPr>
          <w:rFonts w:ascii="Arial" w:hAnsi="Arial" w:cs="Arial"/>
          <w:lang w:val="en-GB"/>
        </w:rPr>
        <w:t xml:space="preserve"> (2025) reported continuing impairments in reading, spelling, and phonological processing among Italian adults with dyslexia.</w:t>
      </w:r>
    </w:p>
    <w:p w14:paraId="4410D2CB" w14:textId="77777777" w:rsidR="000864C7" w:rsidRDefault="000864C7" w:rsidP="000864C7">
      <w:pPr>
        <w:rPr>
          <w:rFonts w:ascii="Arial" w:hAnsi="Arial" w:cs="Arial"/>
          <w:lang w:val="en-GB"/>
        </w:rPr>
      </w:pPr>
      <w:r w:rsidRPr="000864C7">
        <w:rPr>
          <w:rFonts w:ascii="Arial" w:hAnsi="Arial" w:cs="Arial"/>
          <w:lang w:val="en-GB"/>
        </w:rPr>
        <w:t>Additional developmental research identified deficits in speech rhythm processing, handwriting fluency, and rapid automatized naming as important developmental markers associated with dyslexia.</w:t>
      </w:r>
    </w:p>
    <w:p w14:paraId="5A79A1DE" w14:textId="77777777" w:rsidR="000864C7" w:rsidRPr="000864C7" w:rsidRDefault="000864C7" w:rsidP="000864C7">
      <w:pPr>
        <w:rPr>
          <w:rFonts w:ascii="Arial" w:hAnsi="Arial" w:cs="Arial"/>
          <w:lang w:val="en-GB"/>
        </w:rPr>
      </w:pPr>
    </w:p>
    <w:p w14:paraId="5473895D" w14:textId="77777777" w:rsidR="000864C7" w:rsidRPr="000864C7" w:rsidRDefault="000864C7" w:rsidP="000864C7">
      <w:pPr>
        <w:rPr>
          <w:rFonts w:ascii="Arial" w:hAnsi="Arial" w:cs="Arial"/>
          <w:b/>
          <w:bCs/>
          <w:sz w:val="22"/>
          <w:szCs w:val="22"/>
          <w:lang w:val="en-GB"/>
        </w:rPr>
      </w:pPr>
      <w:r w:rsidRPr="000864C7">
        <w:rPr>
          <w:rFonts w:ascii="Arial" w:hAnsi="Arial" w:cs="Arial"/>
          <w:b/>
          <w:bCs/>
          <w:sz w:val="22"/>
          <w:szCs w:val="22"/>
          <w:lang w:val="en-GB"/>
        </w:rPr>
        <w:t>4.4 Assessment and Differential Diagnostics</w:t>
      </w:r>
    </w:p>
    <w:p w14:paraId="6F69A9E5" w14:textId="77777777" w:rsidR="000864C7" w:rsidRPr="000864C7" w:rsidRDefault="000864C7" w:rsidP="000864C7">
      <w:pPr>
        <w:rPr>
          <w:rFonts w:ascii="Arial" w:hAnsi="Arial" w:cs="Arial"/>
          <w:lang w:val="en-GB"/>
        </w:rPr>
      </w:pPr>
      <w:r w:rsidRPr="000864C7">
        <w:rPr>
          <w:rFonts w:ascii="Arial" w:hAnsi="Arial" w:cs="Arial"/>
          <w:lang w:val="en-GB"/>
        </w:rPr>
        <w:t>Assessment-related studies revealed substantial heterogeneity in dyslexia identification practices across Europe. Daniel et al. (2025) identified large variability among professionals in the United Kingdom regarding diagnostic procedures, assessment tools, and conceptual understandings of dyslexia.</w:t>
      </w:r>
    </w:p>
    <w:p w14:paraId="43A7B2B9" w14:textId="77777777" w:rsidR="000864C7" w:rsidRPr="000864C7" w:rsidRDefault="000864C7" w:rsidP="000864C7">
      <w:pPr>
        <w:rPr>
          <w:rFonts w:ascii="Arial" w:hAnsi="Arial" w:cs="Arial"/>
          <w:lang w:val="en-GB"/>
        </w:rPr>
      </w:pPr>
      <w:r w:rsidRPr="000864C7">
        <w:rPr>
          <w:rFonts w:ascii="Arial" w:hAnsi="Arial" w:cs="Arial"/>
          <w:lang w:val="en-GB"/>
        </w:rPr>
        <w:t>Research increasingly explored technology-assisted assessment methods. Several studies investigated eye-tracking approaches, machine learning models, and dynamic assessment procedures as potential tools for early identification and differential diagnosis. Vogelaar et al. (2025) found that dynamic reading and writing assessments predicted responsiveness to dyslexia intervention, while Coenen et al. (2024) highlighted the diagnostic potential of eye-tracking technologies despite ongoing standardization challenges.</w:t>
      </w:r>
    </w:p>
    <w:p w14:paraId="138038DA" w14:textId="77777777" w:rsidR="000864C7" w:rsidRDefault="000864C7" w:rsidP="000864C7">
      <w:pPr>
        <w:rPr>
          <w:rFonts w:ascii="Arial" w:hAnsi="Arial" w:cs="Arial"/>
          <w:lang w:val="en-GB"/>
        </w:rPr>
      </w:pPr>
      <w:r w:rsidRPr="000864C7">
        <w:rPr>
          <w:rFonts w:ascii="Arial" w:hAnsi="Arial" w:cs="Arial"/>
          <w:lang w:val="en-GB"/>
        </w:rPr>
        <w:t xml:space="preserve">Research also emphasized the complexity of differentiating dyslexia from bilingual language difficulties and co-occurring conditions such as ADHD. </w:t>
      </w:r>
      <w:proofErr w:type="spellStart"/>
      <w:r w:rsidRPr="000864C7">
        <w:rPr>
          <w:rFonts w:ascii="Arial" w:hAnsi="Arial" w:cs="Arial"/>
          <w:lang w:val="en-GB"/>
        </w:rPr>
        <w:t>Donbaloglu</w:t>
      </w:r>
      <w:proofErr w:type="spellEnd"/>
      <w:r w:rsidRPr="000864C7">
        <w:rPr>
          <w:rFonts w:ascii="Arial" w:hAnsi="Arial" w:cs="Arial"/>
          <w:lang w:val="en-GB"/>
        </w:rPr>
        <w:t xml:space="preserve"> et al. (2025) demonstrated distinct eye-movement patterns among children with dyslexia compared to children with ADHD and neurotypical controls.</w:t>
      </w:r>
    </w:p>
    <w:p w14:paraId="7017F845" w14:textId="77777777" w:rsidR="000864C7" w:rsidRPr="000864C7" w:rsidRDefault="000864C7" w:rsidP="000864C7">
      <w:pPr>
        <w:rPr>
          <w:rFonts w:ascii="Arial" w:hAnsi="Arial" w:cs="Arial"/>
          <w:lang w:val="en-GB"/>
        </w:rPr>
      </w:pPr>
    </w:p>
    <w:p w14:paraId="3911CE46" w14:textId="77777777" w:rsidR="000864C7" w:rsidRPr="000864C7" w:rsidRDefault="000864C7" w:rsidP="000864C7">
      <w:pPr>
        <w:rPr>
          <w:rFonts w:ascii="Arial" w:hAnsi="Arial" w:cs="Arial"/>
          <w:b/>
          <w:bCs/>
          <w:sz w:val="22"/>
          <w:szCs w:val="22"/>
          <w:lang w:val="en-GB"/>
        </w:rPr>
      </w:pPr>
      <w:r w:rsidRPr="000864C7">
        <w:rPr>
          <w:rFonts w:ascii="Arial" w:hAnsi="Arial" w:cs="Arial"/>
          <w:b/>
          <w:bCs/>
          <w:sz w:val="22"/>
          <w:szCs w:val="22"/>
          <w:lang w:val="en-GB"/>
        </w:rPr>
        <w:t>4.5 Intervention and Educational Practice</w:t>
      </w:r>
    </w:p>
    <w:p w14:paraId="7B232D6A" w14:textId="77777777" w:rsidR="000864C7" w:rsidRPr="000864C7" w:rsidRDefault="000864C7" w:rsidP="000864C7">
      <w:pPr>
        <w:rPr>
          <w:rFonts w:ascii="Arial" w:hAnsi="Arial" w:cs="Arial"/>
          <w:lang w:val="en-GB"/>
        </w:rPr>
      </w:pPr>
      <w:r w:rsidRPr="000864C7">
        <w:rPr>
          <w:rFonts w:ascii="Arial" w:hAnsi="Arial" w:cs="Arial"/>
          <w:lang w:val="en-GB"/>
        </w:rPr>
        <w:t>Intervention studies largely supported the effectiveness of evidence-based phonological, morphological, multisensory, and technology-assisted interventions.</w:t>
      </w:r>
    </w:p>
    <w:p w14:paraId="0F92417C" w14:textId="77777777" w:rsidR="000864C7" w:rsidRPr="000864C7" w:rsidRDefault="000864C7" w:rsidP="000864C7">
      <w:pPr>
        <w:rPr>
          <w:rFonts w:ascii="Arial" w:hAnsi="Arial" w:cs="Arial"/>
          <w:lang w:val="en-GB"/>
        </w:rPr>
      </w:pPr>
      <w:r w:rsidRPr="000864C7">
        <w:rPr>
          <w:rFonts w:ascii="Arial" w:hAnsi="Arial" w:cs="Arial"/>
          <w:lang w:val="en-GB"/>
        </w:rPr>
        <w:t xml:space="preserve">Vender and </w:t>
      </w:r>
      <w:proofErr w:type="spellStart"/>
      <w:r w:rsidRPr="000864C7">
        <w:rPr>
          <w:rFonts w:ascii="Arial" w:hAnsi="Arial" w:cs="Arial"/>
          <w:lang w:val="en-GB"/>
        </w:rPr>
        <w:t>Delfitto</w:t>
      </w:r>
      <w:proofErr w:type="spellEnd"/>
      <w:r w:rsidRPr="000864C7">
        <w:rPr>
          <w:rFonts w:ascii="Arial" w:hAnsi="Arial" w:cs="Arial"/>
          <w:lang w:val="en-GB"/>
        </w:rPr>
        <w:t xml:space="preserve"> (2025) reported significant improvements in literacy performance among adults following a web-based linguistic intervention. Multisensory instructional approaches also demonstrated positive effects on language learning and self-efficacy (</w:t>
      </w:r>
      <w:proofErr w:type="spellStart"/>
      <w:r w:rsidRPr="000864C7">
        <w:rPr>
          <w:rFonts w:ascii="Arial" w:hAnsi="Arial" w:cs="Arial"/>
          <w:lang w:val="en-GB"/>
        </w:rPr>
        <w:t>Gosiewska</w:t>
      </w:r>
      <w:proofErr w:type="spellEnd"/>
      <w:r w:rsidRPr="000864C7">
        <w:rPr>
          <w:rFonts w:ascii="Arial" w:hAnsi="Arial" w:cs="Arial"/>
          <w:lang w:val="en-GB"/>
        </w:rPr>
        <w:t>-Turek, 2024).</w:t>
      </w:r>
    </w:p>
    <w:p w14:paraId="78E6DCD4" w14:textId="77777777" w:rsidR="000864C7" w:rsidRPr="000864C7" w:rsidRDefault="000864C7" w:rsidP="000864C7">
      <w:pPr>
        <w:rPr>
          <w:rFonts w:ascii="Arial" w:hAnsi="Arial" w:cs="Arial"/>
          <w:lang w:val="en-GB"/>
        </w:rPr>
      </w:pPr>
      <w:r w:rsidRPr="000864C7">
        <w:rPr>
          <w:rFonts w:ascii="Arial" w:hAnsi="Arial" w:cs="Arial"/>
          <w:lang w:val="en-GB"/>
        </w:rPr>
        <w:lastRenderedPageBreak/>
        <w:t xml:space="preserve">Technology-supported interventions represented a rapidly growing research area. Javed et al. (2024) identified increasing use of applications, educational games, and assistive technologies, particularly those integrating visual and auditory supports. However, the review also highlighted persistent underrepresentation of tactile and </w:t>
      </w:r>
      <w:proofErr w:type="spellStart"/>
      <w:r w:rsidRPr="000864C7">
        <w:rPr>
          <w:rFonts w:ascii="Arial" w:hAnsi="Arial" w:cs="Arial"/>
          <w:lang w:val="en-GB"/>
        </w:rPr>
        <w:t>kinesthetic</w:t>
      </w:r>
      <w:proofErr w:type="spellEnd"/>
      <w:r w:rsidRPr="000864C7">
        <w:rPr>
          <w:rFonts w:ascii="Arial" w:hAnsi="Arial" w:cs="Arial"/>
          <w:lang w:val="en-GB"/>
        </w:rPr>
        <w:t xml:space="preserve"> approaches.</w:t>
      </w:r>
    </w:p>
    <w:p w14:paraId="4BB2A65A" w14:textId="77777777" w:rsidR="000864C7" w:rsidRDefault="000864C7" w:rsidP="000864C7">
      <w:pPr>
        <w:rPr>
          <w:rFonts w:ascii="Arial" w:hAnsi="Arial" w:cs="Arial"/>
          <w:lang w:val="en-GB"/>
        </w:rPr>
      </w:pPr>
      <w:r w:rsidRPr="000864C7">
        <w:rPr>
          <w:rFonts w:ascii="Arial" w:hAnsi="Arial" w:cs="Arial"/>
          <w:lang w:val="en-GB"/>
        </w:rPr>
        <w:t>Teacher education emerged as another major theme. Multiple studies reported insufficient teacher knowledge regarding dyslexia despite generally positive attitudes toward inclusive education. Online professional development programs demonstrated promising effects in improving teacher knowledge and beliefs (</w:t>
      </w:r>
      <w:proofErr w:type="spellStart"/>
      <w:r w:rsidRPr="000864C7">
        <w:rPr>
          <w:rFonts w:ascii="Arial" w:hAnsi="Arial" w:cs="Arial"/>
          <w:lang w:val="en-GB"/>
        </w:rPr>
        <w:t>Çakiroglu</w:t>
      </w:r>
      <w:proofErr w:type="spellEnd"/>
      <w:r w:rsidRPr="000864C7">
        <w:rPr>
          <w:rFonts w:ascii="Arial" w:hAnsi="Arial" w:cs="Arial"/>
          <w:lang w:val="en-GB"/>
        </w:rPr>
        <w:t xml:space="preserve"> et al., 2024).</w:t>
      </w:r>
    </w:p>
    <w:p w14:paraId="1A9B9A23" w14:textId="77777777" w:rsidR="000864C7" w:rsidRPr="000864C7" w:rsidRDefault="000864C7" w:rsidP="000864C7">
      <w:pPr>
        <w:rPr>
          <w:rFonts w:ascii="Arial" w:hAnsi="Arial" w:cs="Arial"/>
          <w:lang w:val="en-GB"/>
        </w:rPr>
      </w:pPr>
    </w:p>
    <w:p w14:paraId="1FA4B5EC" w14:textId="77777777" w:rsidR="000864C7" w:rsidRPr="000864C7" w:rsidRDefault="000864C7" w:rsidP="000864C7">
      <w:pPr>
        <w:rPr>
          <w:rFonts w:ascii="Arial" w:hAnsi="Arial" w:cs="Arial"/>
          <w:b/>
          <w:bCs/>
          <w:sz w:val="22"/>
          <w:szCs w:val="22"/>
          <w:lang w:val="en-GB"/>
        </w:rPr>
      </w:pPr>
      <w:r w:rsidRPr="000864C7">
        <w:rPr>
          <w:rFonts w:ascii="Arial" w:hAnsi="Arial" w:cs="Arial"/>
          <w:b/>
          <w:bCs/>
          <w:sz w:val="22"/>
          <w:szCs w:val="22"/>
          <w:lang w:val="en-GB"/>
        </w:rPr>
        <w:t>4.6 Psychosocial Dimensions</w:t>
      </w:r>
    </w:p>
    <w:p w14:paraId="0CE3CF71" w14:textId="77777777" w:rsidR="000864C7" w:rsidRPr="000864C7" w:rsidRDefault="000864C7" w:rsidP="000864C7">
      <w:pPr>
        <w:rPr>
          <w:rFonts w:ascii="Arial" w:hAnsi="Arial" w:cs="Arial"/>
          <w:lang w:val="en-GB"/>
        </w:rPr>
      </w:pPr>
      <w:r w:rsidRPr="000864C7">
        <w:rPr>
          <w:rFonts w:ascii="Arial" w:hAnsi="Arial" w:cs="Arial"/>
          <w:lang w:val="en-GB"/>
        </w:rPr>
        <w:t>A substantial body of research addressed psychosocial wellbeing, self-esteem, anxiety, stigma, and identity development in individuals with dyslexia.</w:t>
      </w:r>
    </w:p>
    <w:p w14:paraId="1A99D814" w14:textId="77777777" w:rsidR="000864C7" w:rsidRPr="000864C7" w:rsidRDefault="000864C7" w:rsidP="000864C7">
      <w:pPr>
        <w:rPr>
          <w:rFonts w:ascii="Arial" w:hAnsi="Arial" w:cs="Arial"/>
          <w:lang w:val="en-GB"/>
        </w:rPr>
      </w:pPr>
      <w:r w:rsidRPr="000864C7">
        <w:rPr>
          <w:rFonts w:ascii="Arial" w:hAnsi="Arial" w:cs="Arial"/>
          <w:lang w:val="en-GB"/>
        </w:rPr>
        <w:t xml:space="preserve">Students and adults with dyslexia frequently reported elevated academic anxiety and reduced academic self-concept. Coates McDowall et al. (2025) demonstrated that cognitive reappraisal significantly reduced academic anxiety among university students with dyslexia. </w:t>
      </w:r>
      <w:proofErr w:type="spellStart"/>
      <w:r w:rsidRPr="000864C7">
        <w:rPr>
          <w:rFonts w:ascii="Arial" w:hAnsi="Arial" w:cs="Arial"/>
          <w:lang w:val="en-GB"/>
        </w:rPr>
        <w:t>Niolaki</w:t>
      </w:r>
      <w:proofErr w:type="spellEnd"/>
      <w:r w:rsidRPr="000864C7">
        <w:rPr>
          <w:rFonts w:ascii="Arial" w:hAnsi="Arial" w:cs="Arial"/>
          <w:lang w:val="en-GB"/>
        </w:rPr>
        <w:t xml:space="preserve"> et al. (2025) further identified self-compassion as an important mediator between anxiety and self-esteem in adults with dyslexia.</w:t>
      </w:r>
    </w:p>
    <w:p w14:paraId="1B032952" w14:textId="77777777" w:rsidR="000864C7" w:rsidRPr="000864C7" w:rsidRDefault="000864C7" w:rsidP="000864C7">
      <w:pPr>
        <w:rPr>
          <w:rFonts w:ascii="Arial" w:hAnsi="Arial" w:cs="Arial"/>
          <w:lang w:val="en-GB"/>
        </w:rPr>
      </w:pPr>
      <w:r w:rsidRPr="000864C7">
        <w:rPr>
          <w:rFonts w:ascii="Arial" w:hAnsi="Arial" w:cs="Arial"/>
          <w:lang w:val="en-GB"/>
        </w:rPr>
        <w:t>Qualitative studies emphasized the psychosocial consequences of stigma and concealment. Hamilton Clark (2024) found that concealing dyslexia in higher education contributed to identity conflict and reduced academic self-esteem.</w:t>
      </w:r>
    </w:p>
    <w:p w14:paraId="6354EF27" w14:textId="77777777" w:rsidR="000864C7" w:rsidRDefault="000864C7" w:rsidP="000864C7">
      <w:pPr>
        <w:rPr>
          <w:rFonts w:ascii="Arial" w:hAnsi="Arial" w:cs="Arial"/>
          <w:lang w:val="en-GB"/>
        </w:rPr>
      </w:pPr>
      <w:r w:rsidRPr="000864C7">
        <w:rPr>
          <w:rFonts w:ascii="Arial" w:hAnsi="Arial" w:cs="Arial"/>
          <w:lang w:val="en-GB"/>
        </w:rPr>
        <w:t xml:space="preserve">At the same time, several studies explored resilience and strengths-oriented perspectives. </w:t>
      </w:r>
      <w:proofErr w:type="spellStart"/>
      <w:r w:rsidRPr="000864C7">
        <w:rPr>
          <w:rFonts w:ascii="Arial" w:hAnsi="Arial" w:cs="Arial"/>
          <w:lang w:val="en-GB"/>
        </w:rPr>
        <w:t>Stampoltzis</w:t>
      </w:r>
      <w:proofErr w:type="spellEnd"/>
      <w:r w:rsidRPr="000864C7">
        <w:rPr>
          <w:rFonts w:ascii="Arial" w:hAnsi="Arial" w:cs="Arial"/>
          <w:lang w:val="en-GB"/>
        </w:rPr>
        <w:t xml:space="preserve"> et al. (2023) reported higher creativity and teamwork ratings among adults with dyslexia, although evidence for generalized “creativity advantages” remained inconsistent across studies.</w:t>
      </w:r>
    </w:p>
    <w:p w14:paraId="02BD2AFE" w14:textId="77777777" w:rsidR="000864C7" w:rsidRPr="000864C7" w:rsidRDefault="000864C7" w:rsidP="000864C7">
      <w:pPr>
        <w:rPr>
          <w:rFonts w:ascii="Arial" w:hAnsi="Arial" w:cs="Arial"/>
          <w:lang w:val="en-GB"/>
        </w:rPr>
      </w:pPr>
    </w:p>
    <w:p w14:paraId="4C678621" w14:textId="77777777" w:rsidR="000864C7" w:rsidRPr="000864C7" w:rsidRDefault="000864C7" w:rsidP="000864C7">
      <w:pPr>
        <w:rPr>
          <w:rFonts w:ascii="Arial" w:hAnsi="Arial" w:cs="Arial"/>
          <w:b/>
          <w:bCs/>
          <w:sz w:val="22"/>
          <w:szCs w:val="22"/>
          <w:lang w:val="en-GB"/>
        </w:rPr>
      </w:pPr>
      <w:r w:rsidRPr="000864C7">
        <w:rPr>
          <w:rFonts w:ascii="Arial" w:hAnsi="Arial" w:cs="Arial"/>
          <w:b/>
          <w:bCs/>
          <w:sz w:val="22"/>
          <w:szCs w:val="22"/>
          <w:lang w:val="en-GB"/>
        </w:rPr>
        <w:t>4.7 Lifespan and Systemic Perspectives</w:t>
      </w:r>
    </w:p>
    <w:p w14:paraId="3A918D76" w14:textId="77777777" w:rsidR="000864C7" w:rsidRPr="000864C7" w:rsidRDefault="000864C7" w:rsidP="000864C7">
      <w:pPr>
        <w:rPr>
          <w:rFonts w:ascii="Arial" w:hAnsi="Arial" w:cs="Arial"/>
          <w:lang w:val="en-GB"/>
        </w:rPr>
      </w:pPr>
      <w:r w:rsidRPr="000864C7">
        <w:rPr>
          <w:rFonts w:ascii="Arial" w:hAnsi="Arial" w:cs="Arial"/>
          <w:lang w:val="en-GB"/>
        </w:rPr>
        <w:t>Research increasingly addressed dyslexia across adulthood, higher education, employment, and educational policy systems.</w:t>
      </w:r>
    </w:p>
    <w:p w14:paraId="7CECA9CD" w14:textId="77777777" w:rsidR="000864C7" w:rsidRPr="000864C7" w:rsidRDefault="000864C7" w:rsidP="000864C7">
      <w:pPr>
        <w:rPr>
          <w:rFonts w:ascii="Arial" w:hAnsi="Arial" w:cs="Arial"/>
          <w:lang w:val="en-GB"/>
        </w:rPr>
      </w:pPr>
      <w:r w:rsidRPr="000864C7">
        <w:rPr>
          <w:rFonts w:ascii="Arial" w:hAnsi="Arial" w:cs="Arial"/>
          <w:lang w:val="en-GB"/>
        </w:rPr>
        <w:t>Studies from higher education contexts emphasized the importance of inclusive teaching, accommodations, lecture recording, assessment flexibility, and psychological support. However, substantial inconsistencies remained regarding institutional provision and accessibility.</w:t>
      </w:r>
    </w:p>
    <w:p w14:paraId="1E3B17AF" w14:textId="77777777" w:rsidR="000864C7" w:rsidRPr="000864C7" w:rsidRDefault="000864C7" w:rsidP="000864C7">
      <w:pPr>
        <w:rPr>
          <w:rFonts w:ascii="Arial" w:hAnsi="Arial" w:cs="Arial"/>
          <w:lang w:val="en-GB"/>
        </w:rPr>
      </w:pPr>
      <w:r w:rsidRPr="000864C7">
        <w:rPr>
          <w:rFonts w:ascii="Arial" w:hAnsi="Arial" w:cs="Arial"/>
          <w:lang w:val="en-GB"/>
        </w:rPr>
        <w:t xml:space="preserve">Teacher training and educational policy represented recurring concerns across countries. Solheim et al. (2024) and </w:t>
      </w:r>
      <w:proofErr w:type="spellStart"/>
      <w:r w:rsidRPr="000864C7">
        <w:rPr>
          <w:rFonts w:ascii="Arial" w:hAnsi="Arial" w:cs="Arial"/>
          <w:lang w:val="en-GB"/>
        </w:rPr>
        <w:t>Altindag</w:t>
      </w:r>
      <w:proofErr w:type="spellEnd"/>
      <w:r w:rsidRPr="000864C7">
        <w:rPr>
          <w:rFonts w:ascii="Arial" w:hAnsi="Arial" w:cs="Arial"/>
          <w:lang w:val="en-GB"/>
        </w:rPr>
        <w:t xml:space="preserve"> Kumas and </w:t>
      </w:r>
      <w:proofErr w:type="spellStart"/>
      <w:r w:rsidRPr="000864C7">
        <w:rPr>
          <w:rFonts w:ascii="Arial" w:hAnsi="Arial" w:cs="Arial"/>
          <w:lang w:val="en-GB"/>
        </w:rPr>
        <w:t>Sardohan</w:t>
      </w:r>
      <w:proofErr w:type="spellEnd"/>
      <w:r w:rsidRPr="000864C7">
        <w:rPr>
          <w:rFonts w:ascii="Arial" w:hAnsi="Arial" w:cs="Arial"/>
          <w:lang w:val="en-GB"/>
        </w:rPr>
        <w:t xml:space="preserve"> Yildirim (2024) identified persistent knowledge gaps among teachers despite generally </w:t>
      </w:r>
      <w:proofErr w:type="spellStart"/>
      <w:r w:rsidRPr="000864C7">
        <w:rPr>
          <w:rFonts w:ascii="Arial" w:hAnsi="Arial" w:cs="Arial"/>
          <w:lang w:val="en-GB"/>
        </w:rPr>
        <w:t>favorable</w:t>
      </w:r>
      <w:proofErr w:type="spellEnd"/>
      <w:r w:rsidRPr="000864C7">
        <w:rPr>
          <w:rFonts w:ascii="Arial" w:hAnsi="Arial" w:cs="Arial"/>
          <w:lang w:val="en-GB"/>
        </w:rPr>
        <w:t xml:space="preserve"> attitudes toward inclusion.</w:t>
      </w:r>
    </w:p>
    <w:p w14:paraId="5C0851F0" w14:textId="77777777" w:rsidR="000864C7" w:rsidRDefault="000864C7" w:rsidP="000864C7">
      <w:pPr>
        <w:rPr>
          <w:rFonts w:ascii="Arial" w:hAnsi="Arial" w:cs="Arial"/>
          <w:lang w:val="en-GB"/>
        </w:rPr>
      </w:pPr>
      <w:r w:rsidRPr="000864C7">
        <w:rPr>
          <w:rFonts w:ascii="Arial" w:hAnsi="Arial" w:cs="Arial"/>
          <w:lang w:val="en-GB"/>
        </w:rPr>
        <w:t>Overall, the findings highlight growing recognition of dyslexia as a lifelong developmental condition requiring interdisciplinary and systemic support across educational and occupational settings.</w:t>
      </w:r>
    </w:p>
    <w:p w14:paraId="656B8894" w14:textId="77777777" w:rsidR="000864C7" w:rsidRPr="000864C7" w:rsidRDefault="000864C7" w:rsidP="000864C7">
      <w:pPr>
        <w:rPr>
          <w:rFonts w:ascii="Arial" w:hAnsi="Arial" w:cs="Arial"/>
          <w:lang w:val="en-GB"/>
        </w:rPr>
      </w:pPr>
    </w:p>
    <w:p w14:paraId="463C5B53" w14:textId="4F29D295" w:rsidR="000864C7" w:rsidRPr="000864C7" w:rsidRDefault="000864C7" w:rsidP="000864C7">
      <w:pPr>
        <w:rPr>
          <w:rFonts w:ascii="Arial" w:hAnsi="Arial" w:cs="Arial"/>
          <w:b/>
          <w:sz w:val="22"/>
          <w:szCs w:val="22"/>
          <w:lang w:val="en-GB"/>
        </w:rPr>
      </w:pPr>
      <w:r w:rsidRPr="000864C7">
        <w:rPr>
          <w:rFonts w:ascii="Arial" w:hAnsi="Arial" w:cs="Arial"/>
          <w:b/>
          <w:sz w:val="22"/>
          <w:szCs w:val="22"/>
          <w:lang w:val="en-GB"/>
        </w:rPr>
        <w:t>5. DISCUSSION</w:t>
      </w:r>
    </w:p>
    <w:p w14:paraId="148851A7" w14:textId="77777777" w:rsidR="000864C7" w:rsidRPr="000864C7" w:rsidRDefault="000864C7" w:rsidP="000864C7">
      <w:pPr>
        <w:rPr>
          <w:rFonts w:ascii="Arial" w:hAnsi="Arial" w:cs="Arial"/>
          <w:lang w:val="en-GB"/>
        </w:rPr>
      </w:pPr>
      <w:r w:rsidRPr="000864C7">
        <w:rPr>
          <w:rFonts w:ascii="Arial" w:hAnsi="Arial" w:cs="Arial"/>
          <w:lang w:val="en-GB"/>
        </w:rPr>
        <w:t>The present systematic review synthesized contemporary European dyslexia research published between 2017 and 2025 and demonstrated the increasing diversification, interdisciplinarity, and conceptual complexity of the field. Across the 391 included studies, dyslexia emerged not merely as a literacy-related difficulty but as a multidimensional developmental condition shaped by neurobiological, linguistic, educational, psychosocial, and sociocultural factors.</w:t>
      </w:r>
    </w:p>
    <w:p w14:paraId="4CB1269E" w14:textId="77777777" w:rsidR="000864C7" w:rsidRPr="000864C7" w:rsidRDefault="000864C7" w:rsidP="000864C7">
      <w:pPr>
        <w:rPr>
          <w:rFonts w:ascii="Arial" w:hAnsi="Arial" w:cs="Arial"/>
          <w:lang w:val="en-GB"/>
        </w:rPr>
      </w:pPr>
      <w:r w:rsidRPr="000864C7">
        <w:rPr>
          <w:rFonts w:ascii="Arial" w:hAnsi="Arial" w:cs="Arial"/>
          <w:lang w:val="en-GB"/>
        </w:rPr>
        <w:t xml:space="preserve">One of the most significant findings concerns the ongoing conceptual transition from narrow deficit-oriented models toward more dynamic and multidimensional understandings of dyslexia. The reviewed literature suggests that this transition represents more than a theoretical refinement of existing dyslexia models. Rather, contemporary European dyslexia research appears to be undergoing a broader epistemological shift in which dyslexia is increasingly conceptualized as a context-dependent and multidimensional developmental condition. Within this emerging perspective, literacy difficulties are understood not solely as </w:t>
      </w:r>
      <w:r w:rsidRPr="000864C7">
        <w:rPr>
          <w:rFonts w:ascii="Arial" w:hAnsi="Arial" w:cs="Arial"/>
          <w:lang w:val="en-GB"/>
        </w:rPr>
        <w:lastRenderedPageBreak/>
        <w:t xml:space="preserve">isolated cognitive deficits, but as phenomena shaped through the interaction of neurobiological predispositions, educational systems, sociocultural expectations, psychosocial experiences, and environmental opportunities. This development reflects a gradual movement away from exclusively medicalized and deficit-oriented interpretations toward neurodiversity-informed and participation-oriented approaches. Consequently, dyslexia research increasingly emphasizes not only impairment and remediation, but also resilience, identity development, self-advocacy, and inclusive participation across educational and occupational contexts. Traditional phonological deficit frameworks continue to play an important explanatory role (Araújo &amp; </w:t>
      </w:r>
      <w:proofErr w:type="spellStart"/>
      <w:r w:rsidRPr="000864C7">
        <w:rPr>
          <w:rFonts w:ascii="Arial" w:hAnsi="Arial" w:cs="Arial"/>
          <w:lang w:val="en-GB"/>
        </w:rPr>
        <w:t>Faísca</w:t>
      </w:r>
      <w:proofErr w:type="spellEnd"/>
      <w:r w:rsidRPr="000864C7">
        <w:rPr>
          <w:rFonts w:ascii="Arial" w:hAnsi="Arial" w:cs="Arial"/>
          <w:lang w:val="en-GB"/>
        </w:rPr>
        <w:t>, 2019), yet contemporary research increasingly recognizes dyslexia as a heterogeneous condition involving multiple interacting risk and protective factors. The comprehensive conceptual framework proposed by Wolf et al. (2024) reflects this shift by integrating neurobiological variability, orthographic diversity, environmental influences, and psychosocial outcomes into a broader developmental perspective.</w:t>
      </w:r>
    </w:p>
    <w:p w14:paraId="43236905" w14:textId="77777777" w:rsidR="000864C7" w:rsidRPr="000864C7" w:rsidRDefault="000864C7" w:rsidP="000864C7">
      <w:pPr>
        <w:rPr>
          <w:rFonts w:ascii="Arial" w:hAnsi="Arial" w:cs="Arial"/>
          <w:lang w:val="en-GB"/>
        </w:rPr>
      </w:pPr>
      <w:r w:rsidRPr="000864C7">
        <w:rPr>
          <w:rFonts w:ascii="Arial" w:hAnsi="Arial" w:cs="Arial"/>
          <w:lang w:val="en-GB"/>
        </w:rPr>
        <w:t xml:space="preserve">The findings further demonstrate that reading difficulties in dyslexia cannot be understood independently from broader educational and social contexts. Several studies highlighted tensions between categorical diagnostic systems and inclusive educational frameworks (Knight, 2025; Elliott et al., 2025). These debates are particularly relevant within European educational systems, where access to support often depends on formal diagnostic </w:t>
      </w:r>
      <w:proofErr w:type="spellStart"/>
      <w:r w:rsidRPr="000864C7">
        <w:rPr>
          <w:rFonts w:ascii="Arial" w:hAnsi="Arial" w:cs="Arial"/>
          <w:lang w:val="en-GB"/>
        </w:rPr>
        <w:t>labeling</w:t>
      </w:r>
      <w:proofErr w:type="spellEnd"/>
      <w:r w:rsidRPr="000864C7">
        <w:rPr>
          <w:rFonts w:ascii="Arial" w:hAnsi="Arial" w:cs="Arial"/>
          <w:lang w:val="en-GB"/>
        </w:rPr>
        <w:t xml:space="preserve"> despite increasing policy emphasis on universal and inclusive education. The review therefore suggests that future educational systems may need to move beyond strictly deficit-based identification models toward needs-based and universally designed support structures. The reviewed studies further reveal a structural tension that appears particularly characteristic of contemporary European educational systems. On the one hand, formal dyslexia diagnoses frequently remain necessary to access accommodations, funding, and specialized educational support. On the other hand, several studies questioned whether diagnosis-dependent systems may unintentionally reinforce deficit-oriented categorization and educational inequities. This contradiction reflects a broader challenge within inclusive education policy: while many European countries increasingly promote universal inclusion and participation, educational support structures often continue to rely on categorical identification procedures. The findings therefore suggest that future dyslexia support models may need to balance individualized support provision with less stigmatizing and more universally accessible educational frameworks.</w:t>
      </w:r>
    </w:p>
    <w:p w14:paraId="4080B4B1" w14:textId="77777777" w:rsidR="000864C7" w:rsidRPr="000864C7" w:rsidRDefault="000864C7" w:rsidP="000864C7">
      <w:pPr>
        <w:rPr>
          <w:rFonts w:ascii="Arial" w:hAnsi="Arial" w:cs="Arial"/>
          <w:lang w:val="en-GB"/>
        </w:rPr>
      </w:pPr>
      <w:r w:rsidRPr="000864C7">
        <w:rPr>
          <w:rFonts w:ascii="Arial" w:hAnsi="Arial" w:cs="Arial"/>
          <w:lang w:val="en-GB"/>
        </w:rPr>
        <w:t>Another important finding concerns the persistence of dyslexia-related difficulties across the lifespan. Although developmental dyslexia has historically been conceptualized primarily as a childhood disorder, the reviewed studies consistently demonstrated continuing challenges in adolescence and adulthood. Adults with dyslexia continued to experience impairments in reading fluency, spelling, foreign-language learning, and academic self-confidence (Pérez-</w:t>
      </w:r>
      <w:proofErr w:type="spellStart"/>
      <w:r w:rsidRPr="000864C7">
        <w:rPr>
          <w:rFonts w:ascii="Arial" w:hAnsi="Arial" w:cs="Arial"/>
          <w:lang w:val="en-GB"/>
        </w:rPr>
        <w:t>Litago</w:t>
      </w:r>
      <w:proofErr w:type="spellEnd"/>
      <w:r w:rsidRPr="000864C7">
        <w:rPr>
          <w:rFonts w:ascii="Arial" w:hAnsi="Arial" w:cs="Arial"/>
          <w:lang w:val="en-GB"/>
        </w:rPr>
        <w:t xml:space="preserve"> et al., 2025; Vender &amp; </w:t>
      </w:r>
      <w:proofErr w:type="spellStart"/>
      <w:r w:rsidRPr="000864C7">
        <w:rPr>
          <w:rFonts w:ascii="Arial" w:hAnsi="Arial" w:cs="Arial"/>
          <w:lang w:val="en-GB"/>
        </w:rPr>
        <w:t>Delfitto</w:t>
      </w:r>
      <w:proofErr w:type="spellEnd"/>
      <w:r w:rsidRPr="000864C7">
        <w:rPr>
          <w:rFonts w:ascii="Arial" w:hAnsi="Arial" w:cs="Arial"/>
          <w:lang w:val="en-GB"/>
        </w:rPr>
        <w:t>, 2025). At the same time, research increasingly emphasized the adaptive strategies, resilience, and compensatory mechanisms developed by many individuals with dyslexia.</w:t>
      </w:r>
    </w:p>
    <w:p w14:paraId="24A0B5E8" w14:textId="77777777" w:rsidR="000864C7" w:rsidRPr="000864C7" w:rsidRDefault="000864C7" w:rsidP="000864C7">
      <w:pPr>
        <w:rPr>
          <w:rFonts w:ascii="Arial" w:hAnsi="Arial" w:cs="Arial"/>
          <w:lang w:val="en-GB"/>
        </w:rPr>
      </w:pPr>
      <w:r w:rsidRPr="000864C7">
        <w:rPr>
          <w:rFonts w:ascii="Arial" w:hAnsi="Arial" w:cs="Arial"/>
          <w:lang w:val="en-GB"/>
        </w:rPr>
        <w:t>The review also highlights the growing importance of psychosocial dimensions within dyslexia research. Taken together, the findings indicate a gradual expansion of dyslexia research beyond literacy performance toward broader questions of participation, wellbeing, identity, and social inclusion. This shift suggests increasing recognition that educational outcomes cannot be understood independently from emotional wellbeing, institutional accessibility, stigma experiences, and sociocultural attitudes toward neurodiversity. Within this broader framework, dyslexia emerges not only as an educational issue, but also as a matter of equitable participation across educational, professional, and social contexts. Consequently, future research may benefit from integrating cognitive, psychosocial, and systemic perspectives more consistently across the lifespan.</w:t>
      </w:r>
    </w:p>
    <w:p w14:paraId="446F4352" w14:textId="77777777" w:rsidR="000864C7" w:rsidRPr="000864C7" w:rsidRDefault="000864C7" w:rsidP="000864C7">
      <w:pPr>
        <w:rPr>
          <w:rFonts w:ascii="Arial" w:hAnsi="Arial" w:cs="Arial"/>
          <w:lang w:val="en-GB"/>
        </w:rPr>
      </w:pPr>
      <w:r w:rsidRPr="000864C7">
        <w:rPr>
          <w:rFonts w:ascii="Arial" w:hAnsi="Arial" w:cs="Arial"/>
          <w:lang w:val="en-GB"/>
        </w:rPr>
        <w:t xml:space="preserve">Multiple studies identified elevated levels of anxiety, stigma experiences, reduced self-esteem, and identity-related conflicts among individuals with dyslexia (Hamilton Clark, 2024; </w:t>
      </w:r>
      <w:proofErr w:type="spellStart"/>
      <w:r w:rsidRPr="000864C7">
        <w:rPr>
          <w:rFonts w:ascii="Arial" w:hAnsi="Arial" w:cs="Arial"/>
          <w:lang w:val="en-GB"/>
        </w:rPr>
        <w:lastRenderedPageBreak/>
        <w:t>Niolaki</w:t>
      </w:r>
      <w:proofErr w:type="spellEnd"/>
      <w:r w:rsidRPr="000864C7">
        <w:rPr>
          <w:rFonts w:ascii="Arial" w:hAnsi="Arial" w:cs="Arial"/>
          <w:lang w:val="en-GB"/>
        </w:rPr>
        <w:t xml:space="preserve"> et al., 2025; Beckett, 2024). Particularly in higher education, concealment of dyslexia and fear of stigmatization were found to negatively affect academic participation and psychological wellbeing. These findings support the argument that dyslexia research and intervention should extend beyond literacy outcomes alone and incorporate emotional wellbeing, identity development, and social participation.</w:t>
      </w:r>
    </w:p>
    <w:p w14:paraId="7B7689E9" w14:textId="77777777" w:rsidR="000864C7" w:rsidRPr="000864C7" w:rsidRDefault="000864C7" w:rsidP="000864C7">
      <w:pPr>
        <w:rPr>
          <w:rFonts w:ascii="Arial" w:hAnsi="Arial" w:cs="Arial"/>
          <w:lang w:val="en-GB"/>
        </w:rPr>
      </w:pPr>
      <w:r w:rsidRPr="000864C7">
        <w:rPr>
          <w:rFonts w:ascii="Arial" w:hAnsi="Arial" w:cs="Arial"/>
          <w:lang w:val="en-GB"/>
        </w:rPr>
        <w:t>At the same time, strengths-oriented and neurodiversity-informed perspectives have become increasingly visible. Several studies explored creativity, problem-solving, teamwork, and alternative cognitive strengths associated with dyslexia (</w:t>
      </w:r>
      <w:proofErr w:type="spellStart"/>
      <w:r w:rsidRPr="000864C7">
        <w:rPr>
          <w:rFonts w:ascii="Arial" w:hAnsi="Arial" w:cs="Arial"/>
          <w:lang w:val="en-GB"/>
        </w:rPr>
        <w:t>Ademolu</w:t>
      </w:r>
      <w:proofErr w:type="spellEnd"/>
      <w:r w:rsidRPr="000864C7">
        <w:rPr>
          <w:rFonts w:ascii="Arial" w:hAnsi="Arial" w:cs="Arial"/>
          <w:lang w:val="en-GB"/>
        </w:rPr>
        <w:t xml:space="preserve">, 2025; </w:t>
      </w:r>
      <w:proofErr w:type="spellStart"/>
      <w:r w:rsidRPr="000864C7">
        <w:rPr>
          <w:rFonts w:ascii="Arial" w:hAnsi="Arial" w:cs="Arial"/>
          <w:lang w:val="en-GB"/>
        </w:rPr>
        <w:t>Stampoltzis</w:t>
      </w:r>
      <w:proofErr w:type="spellEnd"/>
      <w:r w:rsidRPr="000864C7">
        <w:rPr>
          <w:rFonts w:ascii="Arial" w:hAnsi="Arial" w:cs="Arial"/>
          <w:lang w:val="en-GB"/>
        </w:rPr>
        <w:t xml:space="preserve"> et al., 2023). Although empirical evidence for generalized cognitive advantages remains inconsistent, these approaches contribute to reducing stigmatizing narratives and support more balanced conceptualizations of dyslexia.</w:t>
      </w:r>
    </w:p>
    <w:p w14:paraId="0D95A9C8" w14:textId="77777777" w:rsidR="000864C7" w:rsidRPr="000864C7" w:rsidRDefault="000864C7" w:rsidP="000864C7">
      <w:pPr>
        <w:rPr>
          <w:rFonts w:ascii="Arial" w:hAnsi="Arial" w:cs="Arial"/>
          <w:lang w:val="en-GB"/>
        </w:rPr>
      </w:pPr>
      <w:r w:rsidRPr="000864C7">
        <w:rPr>
          <w:rFonts w:ascii="Arial" w:hAnsi="Arial" w:cs="Arial"/>
          <w:lang w:val="en-GB"/>
        </w:rPr>
        <w:t>The findings additionally demonstrate substantial methodological and technological innovation in dyslexia research. Eye-tracking technologies, neurophysiological methods, machine learning approaches, and digital interventions increasingly contribute to assessment and intervention research (</w:t>
      </w:r>
      <w:proofErr w:type="spellStart"/>
      <w:r w:rsidRPr="000864C7">
        <w:rPr>
          <w:rFonts w:ascii="Arial" w:hAnsi="Arial" w:cs="Arial"/>
          <w:lang w:val="en-GB"/>
        </w:rPr>
        <w:t>Cainelli</w:t>
      </w:r>
      <w:proofErr w:type="spellEnd"/>
      <w:r w:rsidRPr="000864C7">
        <w:rPr>
          <w:rFonts w:ascii="Arial" w:hAnsi="Arial" w:cs="Arial"/>
          <w:lang w:val="en-GB"/>
        </w:rPr>
        <w:t xml:space="preserve"> et al., 2023; Coenen et al., 2024; </w:t>
      </w:r>
      <w:proofErr w:type="spellStart"/>
      <w:r w:rsidRPr="000864C7">
        <w:rPr>
          <w:rFonts w:ascii="Arial" w:hAnsi="Arial" w:cs="Arial"/>
          <w:lang w:val="en-GB"/>
        </w:rPr>
        <w:t>Donbaloglu</w:t>
      </w:r>
      <w:proofErr w:type="spellEnd"/>
      <w:r w:rsidRPr="000864C7">
        <w:rPr>
          <w:rFonts w:ascii="Arial" w:hAnsi="Arial" w:cs="Arial"/>
          <w:lang w:val="en-GB"/>
        </w:rPr>
        <w:t xml:space="preserve"> et al., 2025). Technology-assisted interventions, including applications, games, text-to-speech systems, and web-based interventions, showed promising outcomes for reading fluency, phonological awareness, and learner motivation (Javed et al., 2024; Brennan et al., 2022; </w:t>
      </w:r>
      <w:proofErr w:type="spellStart"/>
      <w:r w:rsidRPr="000864C7">
        <w:rPr>
          <w:rFonts w:ascii="Arial" w:hAnsi="Arial" w:cs="Arial"/>
          <w:lang w:val="en-GB"/>
        </w:rPr>
        <w:t>Bonifacci</w:t>
      </w:r>
      <w:proofErr w:type="spellEnd"/>
      <w:r w:rsidRPr="000864C7">
        <w:rPr>
          <w:rFonts w:ascii="Arial" w:hAnsi="Arial" w:cs="Arial"/>
          <w:lang w:val="en-GB"/>
        </w:rPr>
        <w:t xml:space="preserve"> et al., 2022). However, the review also revealed that many technological approaches still predominantly rely on visual and auditory modalities, while tactile and </w:t>
      </w:r>
      <w:proofErr w:type="spellStart"/>
      <w:r w:rsidRPr="000864C7">
        <w:rPr>
          <w:rFonts w:ascii="Arial" w:hAnsi="Arial" w:cs="Arial"/>
          <w:lang w:val="en-GB"/>
        </w:rPr>
        <w:t>kinesthetic</w:t>
      </w:r>
      <w:proofErr w:type="spellEnd"/>
      <w:r w:rsidRPr="000864C7">
        <w:rPr>
          <w:rFonts w:ascii="Arial" w:hAnsi="Arial" w:cs="Arial"/>
          <w:lang w:val="en-GB"/>
        </w:rPr>
        <w:t xml:space="preserve"> approaches remain underrepresented.</w:t>
      </w:r>
    </w:p>
    <w:p w14:paraId="419F1421" w14:textId="77777777" w:rsidR="000864C7" w:rsidRPr="000864C7" w:rsidRDefault="000864C7" w:rsidP="000864C7">
      <w:pPr>
        <w:rPr>
          <w:rFonts w:ascii="Arial" w:hAnsi="Arial" w:cs="Arial"/>
          <w:lang w:val="en-GB"/>
        </w:rPr>
      </w:pPr>
      <w:r w:rsidRPr="000864C7">
        <w:rPr>
          <w:rFonts w:ascii="Arial" w:hAnsi="Arial" w:cs="Arial"/>
          <w:lang w:val="en-GB"/>
        </w:rPr>
        <w:t>Teacher knowledge and educational preparedness emerged as another recurring concern. Although many teachers reported positive attitudes toward students with dyslexia, several studies identified uncertainty and misconceptions regarding dyslexia identification, bilingualism, and evidence-based instructional strategies (Daniel et al., 2025; Solheim et al., 2024; Biza &amp; Giannakou, 2024). This suggests that improvements in teacher education and professional development remain essential for implementing effective inclusive practices.</w:t>
      </w:r>
    </w:p>
    <w:p w14:paraId="0ED411DB" w14:textId="77777777" w:rsidR="000864C7" w:rsidRPr="000864C7" w:rsidRDefault="000864C7" w:rsidP="000864C7">
      <w:pPr>
        <w:rPr>
          <w:rFonts w:ascii="Arial" w:hAnsi="Arial" w:cs="Arial"/>
          <w:lang w:val="en-GB"/>
        </w:rPr>
      </w:pPr>
      <w:r w:rsidRPr="000864C7">
        <w:rPr>
          <w:rFonts w:ascii="Arial" w:hAnsi="Arial" w:cs="Arial"/>
          <w:lang w:val="en-GB"/>
        </w:rPr>
        <w:t xml:space="preserve">Finally, the review underscores the importance of considering orthographic and multilingual diversity in dyslexia research. The European research context provides particularly valuable insights into dyslexia because it combines substantial orthographic, linguistic, and educational diversity within a relatively interconnected research landscape. The reviewed studies demonstrated that transparent orthographies may reduce certain decoding difficulties, yet persistent impairments in reading fluency, spelling, and rapid automatized naming remain evident across languages. These findings support the assumption that dyslexia involves both language-specific and cross-linguistic characteristics. At the same time, increasing multilingualism and migration across Europe challenge monolingual assessment traditions and deficit-oriented interpretations of bilingual literacy development. </w:t>
      </w:r>
    </w:p>
    <w:p w14:paraId="78BDA631" w14:textId="77777777" w:rsidR="000864C7" w:rsidRDefault="000864C7" w:rsidP="000864C7">
      <w:pPr>
        <w:rPr>
          <w:rFonts w:ascii="Arial" w:hAnsi="Arial" w:cs="Arial"/>
          <w:lang w:val="en-GB"/>
        </w:rPr>
      </w:pPr>
      <w:r w:rsidRPr="000864C7">
        <w:rPr>
          <w:rFonts w:ascii="Arial" w:hAnsi="Arial" w:cs="Arial"/>
          <w:lang w:val="en-GB"/>
        </w:rPr>
        <w:t>Several studies emphasized that multilingual educational participation does not necessarily disadvantage learners with dyslexia, thereby questioning assumptions that bilingualism should be viewed primarily as an additional educational risk factor. Studies conducted across transparent and opaque orthographies demonstrated both universal and language-specific manifestations of dyslexia (Carioti et al., 2021). Research on bilingualism and content and language integrated learning (CLIL) further challenged assumptions that multilingual educational environments necessarily disadvantage students with dyslexia (Parmentier et al., 2025). These findings support the need for culturally and linguistically sensitive assessment and intervention approaches.</w:t>
      </w:r>
    </w:p>
    <w:p w14:paraId="1CBCF8B9" w14:textId="77777777" w:rsidR="000864C7" w:rsidRPr="000864C7" w:rsidRDefault="000864C7" w:rsidP="000864C7">
      <w:pPr>
        <w:rPr>
          <w:rFonts w:ascii="Arial" w:hAnsi="Arial" w:cs="Arial"/>
          <w:lang w:val="en-GB"/>
        </w:rPr>
      </w:pPr>
    </w:p>
    <w:p w14:paraId="1E9DA961" w14:textId="0564007E" w:rsidR="000864C7" w:rsidRPr="000864C7" w:rsidRDefault="000864C7" w:rsidP="000864C7">
      <w:pPr>
        <w:rPr>
          <w:rFonts w:ascii="Arial" w:hAnsi="Arial" w:cs="Arial"/>
          <w:b/>
          <w:bCs/>
          <w:sz w:val="22"/>
          <w:szCs w:val="22"/>
          <w:lang w:val="en-GB"/>
        </w:rPr>
      </w:pPr>
      <w:r w:rsidRPr="000864C7">
        <w:rPr>
          <w:rFonts w:ascii="Arial" w:hAnsi="Arial" w:cs="Arial"/>
          <w:b/>
          <w:bCs/>
          <w:sz w:val="22"/>
          <w:szCs w:val="22"/>
          <w:lang w:val="en-GB"/>
        </w:rPr>
        <w:t>6. LIMITATIONS</w:t>
      </w:r>
    </w:p>
    <w:p w14:paraId="2177A038" w14:textId="77777777" w:rsidR="000864C7" w:rsidRPr="000864C7" w:rsidRDefault="000864C7" w:rsidP="000864C7">
      <w:pPr>
        <w:rPr>
          <w:rFonts w:ascii="Arial" w:hAnsi="Arial" w:cs="Arial"/>
          <w:lang w:val="en-GB"/>
        </w:rPr>
      </w:pPr>
      <w:r w:rsidRPr="000864C7">
        <w:rPr>
          <w:rFonts w:ascii="Arial" w:hAnsi="Arial" w:cs="Arial"/>
          <w:lang w:val="en-GB"/>
        </w:rPr>
        <w:t>Several limitations of the present review should be acknowledged.</w:t>
      </w:r>
    </w:p>
    <w:p w14:paraId="054A3DBE" w14:textId="5507F71E" w:rsidR="000864C7" w:rsidRPr="000864C7" w:rsidRDefault="000864C7" w:rsidP="000864C7">
      <w:pPr>
        <w:rPr>
          <w:rFonts w:ascii="Arial" w:hAnsi="Arial" w:cs="Arial"/>
          <w:lang w:val="en-GB"/>
        </w:rPr>
      </w:pPr>
      <w:r w:rsidRPr="000864C7">
        <w:rPr>
          <w:rFonts w:ascii="Arial" w:hAnsi="Arial" w:cs="Arial"/>
          <w:lang w:val="en-GB"/>
        </w:rPr>
        <w:t xml:space="preserve">First, the review was based primarily on publications indexed in the ERIC database. Although the use of a single database limited the comprehensiveness of retrieval, the review intentionally prioritized depth of thematic synthesis and conceptual integration across interdisciplinary educational and psychosocial dyslexia research. </w:t>
      </w:r>
      <w:r w:rsidR="00A83E83" w:rsidRPr="00A83E83">
        <w:rPr>
          <w:rFonts w:ascii="Arial" w:hAnsi="Arial" w:cs="Arial"/>
          <w:color w:val="EE0000"/>
        </w:rPr>
        <w:t xml:space="preserve">Future reviews may benefit </w:t>
      </w:r>
      <w:r w:rsidR="00A83E83" w:rsidRPr="00A83E83">
        <w:rPr>
          <w:rFonts w:ascii="Arial" w:hAnsi="Arial" w:cs="Arial"/>
          <w:color w:val="EE0000"/>
        </w:rPr>
        <w:lastRenderedPageBreak/>
        <w:t>from broader multi-database search strategies, including databases such as PsycINFO, Scopus, or Web of Science, in order to further strengthen retrieval breadth, cross-disciplinary coverage, and quantitative comparability across studies.</w:t>
      </w:r>
    </w:p>
    <w:p w14:paraId="0C2F5ABF" w14:textId="77777777" w:rsidR="000864C7" w:rsidRPr="000864C7" w:rsidRDefault="000864C7" w:rsidP="000864C7">
      <w:pPr>
        <w:rPr>
          <w:rFonts w:ascii="Arial" w:hAnsi="Arial" w:cs="Arial"/>
          <w:lang w:val="en-GB"/>
        </w:rPr>
      </w:pPr>
      <w:r w:rsidRPr="000864C7">
        <w:rPr>
          <w:rFonts w:ascii="Arial" w:hAnsi="Arial" w:cs="Arial"/>
          <w:lang w:val="en-GB"/>
        </w:rPr>
        <w:t>Second, only studies published in English were included. This may have resulted in the underrepresentation of research published in national European languages, particularly studies from Eastern and Southern Europe. Therefore, the review may not fully reflect the entire diversity of European dyslexia research.</w:t>
      </w:r>
    </w:p>
    <w:p w14:paraId="0FB9181F" w14:textId="77777777" w:rsidR="000864C7" w:rsidRPr="000864C7" w:rsidRDefault="000864C7" w:rsidP="000864C7">
      <w:pPr>
        <w:rPr>
          <w:rFonts w:ascii="Arial" w:hAnsi="Arial" w:cs="Arial"/>
          <w:lang w:val="en-GB"/>
        </w:rPr>
      </w:pPr>
      <w:r w:rsidRPr="000864C7">
        <w:rPr>
          <w:rFonts w:ascii="Arial" w:hAnsi="Arial" w:cs="Arial"/>
          <w:lang w:val="en-GB"/>
        </w:rPr>
        <w:t>Third, although the review followed systematic screening procedures and PRISMA-oriented principles, the thematic categorization process inevitably involved interpretive decisions. Some studies addressed multiple thematic domains simultaneously, which complicated strict categorization.</w:t>
      </w:r>
    </w:p>
    <w:p w14:paraId="4ADF22B8" w14:textId="77777777" w:rsidR="000864C7" w:rsidRPr="000864C7" w:rsidRDefault="000864C7" w:rsidP="000864C7">
      <w:pPr>
        <w:rPr>
          <w:rFonts w:ascii="Arial" w:hAnsi="Arial" w:cs="Arial"/>
          <w:lang w:val="en-GB"/>
        </w:rPr>
      </w:pPr>
      <w:r w:rsidRPr="000864C7">
        <w:rPr>
          <w:rFonts w:ascii="Arial" w:hAnsi="Arial" w:cs="Arial"/>
          <w:lang w:val="en-GB"/>
        </w:rPr>
        <w:t>Fourth, the included studies demonstrated considerable methodological heterogeneity. The dataset comprised qualitative studies, survey studies, intervention studies, theoretical papers, systematic reviews, and meta-analyses. This heterogeneity limited direct comparability across findings and prevented quantitative meta-analytic synthesis.</w:t>
      </w:r>
    </w:p>
    <w:p w14:paraId="6D43D54B" w14:textId="77777777" w:rsidR="000864C7" w:rsidRPr="000864C7" w:rsidRDefault="000864C7" w:rsidP="000864C7">
      <w:pPr>
        <w:rPr>
          <w:rFonts w:ascii="Arial" w:hAnsi="Arial" w:cs="Arial"/>
          <w:lang w:val="en-GB"/>
        </w:rPr>
      </w:pPr>
      <w:r w:rsidRPr="000864C7">
        <w:rPr>
          <w:rFonts w:ascii="Arial" w:hAnsi="Arial" w:cs="Arial"/>
          <w:lang w:val="en-GB"/>
        </w:rPr>
        <w:t>Fifth, publication bias may have influenced the reviewed literature. Studies reporting positive intervention outcomes or statistically significant findings are more likely to be published than studies reporting null results.</w:t>
      </w:r>
    </w:p>
    <w:p w14:paraId="5E5A8007" w14:textId="77777777" w:rsidR="000864C7" w:rsidRPr="000864C7" w:rsidRDefault="000864C7" w:rsidP="000864C7">
      <w:pPr>
        <w:rPr>
          <w:rFonts w:ascii="Arial" w:hAnsi="Arial" w:cs="Arial"/>
          <w:lang w:val="en-GB"/>
        </w:rPr>
      </w:pPr>
      <w:r w:rsidRPr="000864C7">
        <w:rPr>
          <w:rFonts w:ascii="Arial" w:hAnsi="Arial" w:cs="Arial"/>
          <w:lang w:val="en-GB"/>
        </w:rPr>
        <w:t>Finally, dyslexia itself remains a conceptually contested construct. Variability in diagnostic criteria, definitions, assessment procedures, and theoretical assumptions across countries complicates direct cross-study comparison and may partially explain inconsistencies within the literature.</w:t>
      </w:r>
    </w:p>
    <w:p w14:paraId="50EE6808" w14:textId="77777777" w:rsidR="000864C7" w:rsidRPr="000864C7" w:rsidRDefault="000864C7" w:rsidP="000864C7">
      <w:pPr>
        <w:rPr>
          <w:rFonts w:ascii="Arial" w:hAnsi="Arial" w:cs="Arial"/>
          <w:lang w:val="en-GB"/>
        </w:rPr>
      </w:pPr>
      <w:r w:rsidRPr="000864C7">
        <w:rPr>
          <w:rFonts w:ascii="Arial" w:hAnsi="Arial" w:cs="Arial"/>
          <w:lang w:val="en-GB"/>
        </w:rPr>
        <w:t>Despite the considerable expansion of European dyslexia research, several conceptual and methodological gaps remain visible. In particular, psychosocial and systemic dimensions continue to be substantially underrepresented compared to developmental and intervention-focused research. Emotional wellbeing, identity development, stigma experiences, and long-term educational participation are frequently discussed within theoretical debates, yet comparatively few longitudinal and large-scale empirical studies address these dimensions systematically.</w:t>
      </w:r>
    </w:p>
    <w:p w14:paraId="6519CC6D" w14:textId="77777777" w:rsidR="000864C7" w:rsidRDefault="000864C7" w:rsidP="000864C7">
      <w:pPr>
        <w:rPr>
          <w:rFonts w:ascii="Arial" w:hAnsi="Arial" w:cs="Arial"/>
          <w:lang w:val="en-GB"/>
        </w:rPr>
      </w:pPr>
      <w:r w:rsidRPr="000864C7">
        <w:rPr>
          <w:rFonts w:ascii="Arial" w:hAnsi="Arial" w:cs="Arial"/>
          <w:lang w:val="en-GB"/>
        </w:rPr>
        <w:t>Furthermore, the reviewed literature revealed limited integration between cognitive, educational, and psychosocial research traditions. Many studies continue to investigate literacy performance independently from lived educational experiences and institutional contexts. Future interdisciplinary research may therefore benefit from more strongly integrating neurocognitive, psychosocial, and sociocultural perspectives in order to better capture the complexity of dyslexia across diverse European contexts.</w:t>
      </w:r>
    </w:p>
    <w:p w14:paraId="7101A530" w14:textId="77777777" w:rsidR="000864C7" w:rsidRPr="000864C7" w:rsidRDefault="000864C7" w:rsidP="000864C7">
      <w:pPr>
        <w:rPr>
          <w:rFonts w:ascii="Arial" w:hAnsi="Arial" w:cs="Arial"/>
          <w:lang w:val="en-GB"/>
        </w:rPr>
      </w:pPr>
    </w:p>
    <w:p w14:paraId="29C4636A" w14:textId="757DC750" w:rsidR="000864C7" w:rsidRPr="000864C7" w:rsidRDefault="000864C7" w:rsidP="000864C7">
      <w:pPr>
        <w:rPr>
          <w:rFonts w:ascii="Arial" w:hAnsi="Arial" w:cs="Arial"/>
          <w:b/>
          <w:bCs/>
          <w:sz w:val="22"/>
          <w:szCs w:val="22"/>
          <w:lang w:val="en-GB"/>
        </w:rPr>
      </w:pPr>
      <w:r>
        <w:rPr>
          <w:rFonts w:ascii="Arial" w:hAnsi="Arial" w:cs="Arial"/>
          <w:b/>
          <w:bCs/>
          <w:sz w:val="22"/>
          <w:szCs w:val="22"/>
          <w:lang w:val="en-GB"/>
        </w:rPr>
        <w:t xml:space="preserve">7. </w:t>
      </w:r>
      <w:r w:rsidRPr="000864C7">
        <w:rPr>
          <w:rFonts w:ascii="Arial" w:hAnsi="Arial" w:cs="Arial"/>
          <w:b/>
          <w:bCs/>
          <w:sz w:val="22"/>
          <w:szCs w:val="22"/>
          <w:lang w:val="en-GB"/>
        </w:rPr>
        <w:t>CONCLUSION</w:t>
      </w:r>
    </w:p>
    <w:p w14:paraId="6E26AFF9" w14:textId="77777777" w:rsidR="000864C7" w:rsidRPr="000864C7" w:rsidRDefault="000864C7" w:rsidP="000864C7">
      <w:pPr>
        <w:rPr>
          <w:rFonts w:ascii="Arial" w:hAnsi="Arial" w:cs="Arial"/>
          <w:lang w:val="en-GB"/>
        </w:rPr>
      </w:pPr>
      <w:r w:rsidRPr="000864C7">
        <w:rPr>
          <w:rFonts w:ascii="Arial" w:hAnsi="Arial" w:cs="Arial"/>
          <w:lang w:val="en-GB"/>
        </w:rPr>
        <w:t>This systematic review demonstrates that contemporary European dyslexia research has become increasingly multidimensional, interdisciplinary, and lifespan-oriented. The findings reveal growing recognition that dyslexia extends beyond isolated reading deficits and involves complex interactions among cognitive, linguistic, educational, emotional, and sociocultural factors.</w:t>
      </w:r>
    </w:p>
    <w:p w14:paraId="5D39D4D2" w14:textId="77777777" w:rsidR="000864C7" w:rsidRPr="000864C7" w:rsidRDefault="000864C7" w:rsidP="000864C7">
      <w:pPr>
        <w:rPr>
          <w:rFonts w:ascii="Arial" w:hAnsi="Arial" w:cs="Arial"/>
          <w:lang w:val="en-GB"/>
        </w:rPr>
      </w:pPr>
      <w:r w:rsidRPr="000864C7">
        <w:rPr>
          <w:rFonts w:ascii="Arial" w:hAnsi="Arial" w:cs="Arial"/>
          <w:lang w:val="en-GB"/>
        </w:rPr>
        <w:t>Across the reviewed studies, persistent challenges were identified in reading fluency, phonological processing, spelling, foreign-language learning, and psychosocial wellbeing. At the same time, the literature highlighted the importance of resilience, inclusive educational practices, individualized support, and strengths-oriented perspectives. Emerging technologies and evidence-based interventions further demonstrate substantial potential for improving assessment and educational support for individuals with dyslexia.</w:t>
      </w:r>
    </w:p>
    <w:p w14:paraId="0EA675C0" w14:textId="77777777" w:rsidR="000864C7" w:rsidRPr="000864C7" w:rsidRDefault="000864C7" w:rsidP="000864C7">
      <w:pPr>
        <w:rPr>
          <w:rFonts w:ascii="Arial" w:hAnsi="Arial" w:cs="Arial"/>
          <w:lang w:val="en-GB"/>
        </w:rPr>
      </w:pPr>
      <w:r w:rsidRPr="000864C7">
        <w:rPr>
          <w:rFonts w:ascii="Arial" w:hAnsi="Arial" w:cs="Arial"/>
          <w:lang w:val="en-GB"/>
        </w:rPr>
        <w:t xml:space="preserve">Nevertheless, significant challenges remain regarding diagnostic consistency, teacher preparedness, equitable access to support, and the reconciliation of dyslexia identification with inclusive education principles. Future research should therefore prioritize longitudinal and cross-linguistic studies, culturally sensitive assessment approaches, adult dyslexia </w:t>
      </w:r>
      <w:r w:rsidRPr="000864C7">
        <w:rPr>
          <w:rFonts w:ascii="Arial" w:hAnsi="Arial" w:cs="Arial"/>
          <w:lang w:val="en-GB"/>
        </w:rPr>
        <w:lastRenderedPageBreak/>
        <w:t>research, and interdisciplinary intervention models that integrate educational, psychological, linguistic, and technological perspectives.</w:t>
      </w:r>
    </w:p>
    <w:p w14:paraId="23000B16" w14:textId="77777777" w:rsidR="000864C7" w:rsidRPr="000864C7" w:rsidRDefault="000864C7" w:rsidP="000864C7">
      <w:pPr>
        <w:rPr>
          <w:rFonts w:ascii="Arial" w:hAnsi="Arial" w:cs="Arial"/>
          <w:lang w:val="en-GB"/>
        </w:rPr>
      </w:pPr>
      <w:r w:rsidRPr="000864C7">
        <w:rPr>
          <w:rFonts w:ascii="Arial" w:hAnsi="Arial" w:cs="Arial"/>
          <w:lang w:val="en-GB"/>
        </w:rPr>
        <w:t>Overall, the review underscores the need to conceptualize dyslexia not solely as a deficit in reading performance, but as a complex and heterogeneous developmental condition requiring flexible, evidence-based, and person-</w:t>
      </w:r>
      <w:proofErr w:type="spellStart"/>
      <w:r w:rsidRPr="000864C7">
        <w:rPr>
          <w:rFonts w:ascii="Arial" w:hAnsi="Arial" w:cs="Arial"/>
          <w:lang w:val="en-GB"/>
        </w:rPr>
        <w:t>centered</w:t>
      </w:r>
      <w:proofErr w:type="spellEnd"/>
      <w:r w:rsidRPr="000864C7">
        <w:rPr>
          <w:rFonts w:ascii="Arial" w:hAnsi="Arial" w:cs="Arial"/>
          <w:lang w:val="en-GB"/>
        </w:rPr>
        <w:t xml:space="preserve"> educational responses across the lifespan.</w:t>
      </w:r>
    </w:p>
    <w:p w14:paraId="53B617A5" w14:textId="77777777" w:rsidR="000864C7" w:rsidRDefault="000864C7" w:rsidP="000864C7">
      <w:pPr>
        <w:pStyle w:val="NoSpacing"/>
        <w:spacing w:line="276" w:lineRule="auto"/>
        <w:rPr>
          <w:rFonts w:ascii="Arial" w:hAnsi="Arial" w:cs="Arial"/>
          <w:b/>
          <w:bCs/>
          <w:sz w:val="20"/>
          <w:szCs w:val="20"/>
          <w:lang w:val="en-GB"/>
        </w:rPr>
      </w:pPr>
    </w:p>
    <w:p w14:paraId="5D67B5D3" w14:textId="77777777" w:rsidR="00BB5132" w:rsidRPr="00CE5E12" w:rsidRDefault="00BB5132" w:rsidP="000864C7">
      <w:pPr>
        <w:pStyle w:val="NoSpacing"/>
        <w:spacing w:line="276" w:lineRule="auto"/>
        <w:rPr>
          <w:rFonts w:ascii="Arial" w:hAnsi="Arial" w:cs="Arial"/>
          <w:b/>
          <w:bCs/>
          <w:sz w:val="20"/>
          <w:szCs w:val="20"/>
          <w:lang w:val="en-GB"/>
        </w:rPr>
      </w:pPr>
    </w:p>
    <w:p w14:paraId="1C4636BF" w14:textId="77777777" w:rsidR="00BB5132" w:rsidRPr="00CE5E12" w:rsidRDefault="00BB5132" w:rsidP="00BB5132">
      <w:pPr>
        <w:rPr>
          <w:rFonts w:ascii="Times New Roman" w:eastAsia="Calibri" w:hAnsi="Times New Roman"/>
          <w:b/>
          <w:bCs/>
          <w:color w:val="000000" w:themeColor="text1"/>
          <w:kern w:val="2"/>
          <w:sz w:val="22"/>
          <w:szCs w:val="22"/>
          <w:highlight w:val="yellow"/>
        </w:rPr>
      </w:pPr>
      <w:bookmarkStart w:id="0" w:name="_Hlk198031404"/>
      <w:bookmarkStart w:id="1" w:name="_Hlk219125673"/>
      <w:r w:rsidRPr="00CE5E12">
        <w:rPr>
          <w:rFonts w:ascii="Times New Roman" w:eastAsia="Calibri" w:hAnsi="Times New Roman"/>
          <w:b/>
          <w:bCs/>
          <w:color w:val="000000" w:themeColor="text1"/>
          <w:kern w:val="2"/>
          <w:sz w:val="22"/>
          <w:szCs w:val="22"/>
          <w:highlight w:val="yellow"/>
        </w:rPr>
        <w:t>Disclaimer (Artificial intelligence)</w:t>
      </w:r>
    </w:p>
    <w:p w14:paraId="359B4839" w14:textId="77777777" w:rsidR="00CE5E12" w:rsidRPr="00CE5E12" w:rsidRDefault="00CE5E12" w:rsidP="00BB5132">
      <w:pPr>
        <w:rPr>
          <w:rFonts w:ascii="Times New Roman" w:eastAsia="Calibri" w:hAnsi="Times New Roman"/>
          <w:color w:val="000000" w:themeColor="text1"/>
          <w:kern w:val="2"/>
          <w:sz w:val="22"/>
          <w:szCs w:val="22"/>
          <w:highlight w:val="yellow"/>
        </w:rPr>
      </w:pPr>
    </w:p>
    <w:p w14:paraId="0FDB9F2B" w14:textId="2BB73DC6" w:rsidR="00CE5E12" w:rsidRPr="00CE5E12" w:rsidRDefault="00CE5E12" w:rsidP="00BB5132">
      <w:pPr>
        <w:rPr>
          <w:rFonts w:ascii="Times New Roman" w:eastAsia="Calibri" w:hAnsi="Times New Roman"/>
          <w:color w:val="000000" w:themeColor="text1"/>
          <w:kern w:val="2"/>
          <w:sz w:val="22"/>
          <w:szCs w:val="22"/>
        </w:rPr>
      </w:pPr>
      <w:r w:rsidRPr="00CE5E12">
        <w:rPr>
          <w:rFonts w:ascii="Times New Roman" w:eastAsia="Calibri" w:hAnsi="Times New Roman"/>
          <w:color w:val="000000" w:themeColor="text1"/>
          <w:kern w:val="2"/>
          <w:sz w:val="22"/>
          <w:szCs w:val="22"/>
        </w:rPr>
        <w:t xml:space="preserve">Author(s) hereby </w:t>
      </w:r>
      <w:proofErr w:type="gramStart"/>
      <w:r w:rsidRPr="00CE5E12">
        <w:rPr>
          <w:rFonts w:ascii="Times New Roman" w:eastAsia="Calibri" w:hAnsi="Times New Roman"/>
          <w:color w:val="000000" w:themeColor="text1"/>
          <w:kern w:val="2"/>
          <w:sz w:val="22"/>
          <w:szCs w:val="22"/>
        </w:rPr>
        <w:t>declare</w:t>
      </w:r>
      <w:proofErr w:type="gramEnd"/>
      <w:r w:rsidRPr="00CE5E12">
        <w:rPr>
          <w:rFonts w:ascii="Times New Roman" w:eastAsia="Calibri" w:hAnsi="Times New Roman"/>
          <w:color w:val="000000" w:themeColor="text1"/>
          <w:kern w:val="2"/>
          <w:sz w:val="22"/>
          <w:szCs w:val="2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8DFBA7" w14:textId="77777777" w:rsidR="00CE5E12" w:rsidRPr="00CE5E12" w:rsidRDefault="00CE5E12" w:rsidP="00BB5132">
      <w:pPr>
        <w:rPr>
          <w:rFonts w:ascii="Times New Roman" w:eastAsia="Calibri" w:hAnsi="Times New Roman"/>
          <w:color w:val="000000" w:themeColor="text1"/>
          <w:kern w:val="2"/>
          <w:sz w:val="22"/>
          <w:szCs w:val="22"/>
        </w:rPr>
      </w:pPr>
    </w:p>
    <w:p w14:paraId="6642B8BF" w14:textId="778910F5" w:rsidR="00CE5E12" w:rsidRPr="00CE5E12" w:rsidRDefault="00CE5E12" w:rsidP="00BB5132">
      <w:pPr>
        <w:rPr>
          <w:rFonts w:ascii="Times New Roman" w:eastAsia="Calibri" w:hAnsi="Times New Roman"/>
          <w:color w:val="000000" w:themeColor="text1"/>
          <w:kern w:val="2"/>
          <w:sz w:val="22"/>
          <w:szCs w:val="22"/>
        </w:rPr>
      </w:pPr>
      <w:r w:rsidRPr="00CE5E12">
        <w:rPr>
          <w:rFonts w:ascii="Times New Roman" w:eastAsia="Calibri" w:hAnsi="Times New Roman"/>
          <w:color w:val="000000" w:themeColor="text1"/>
          <w:kern w:val="2"/>
          <w:sz w:val="22"/>
          <w:szCs w:val="22"/>
        </w:rPr>
        <w:t>Details of the AI usage are given below:</w:t>
      </w:r>
    </w:p>
    <w:p w14:paraId="1B3F4C91" w14:textId="77777777" w:rsidR="00CE5E12" w:rsidRPr="00CE5E12" w:rsidRDefault="00CE5E12" w:rsidP="00BB5132">
      <w:pPr>
        <w:rPr>
          <w:rFonts w:ascii="Times New Roman" w:eastAsia="Calibri" w:hAnsi="Times New Roman"/>
          <w:color w:val="000000" w:themeColor="text1"/>
          <w:kern w:val="2"/>
          <w:sz w:val="22"/>
          <w:szCs w:val="22"/>
        </w:rPr>
      </w:pPr>
    </w:p>
    <w:bookmarkEnd w:id="0"/>
    <w:p w14:paraId="0B6A1C95" w14:textId="77777777" w:rsidR="00CE5E12" w:rsidRPr="00CE5E12" w:rsidRDefault="00CE5E12" w:rsidP="00CE5E12">
      <w:pPr>
        <w:pStyle w:val="ListParagraph"/>
        <w:numPr>
          <w:ilvl w:val="0"/>
          <w:numId w:val="36"/>
        </w:numPr>
        <w:rPr>
          <w:rFonts w:ascii="Times New Roman" w:eastAsia="Calibri" w:hAnsi="Times New Roman" w:cs="Times New Roman"/>
          <w:color w:val="000000" w:themeColor="text1"/>
          <w:sz w:val="22"/>
          <w:szCs w:val="22"/>
          <w:highlight w:val="yellow"/>
          <w:lang w:val="en-US"/>
        </w:rPr>
      </w:pPr>
      <w:r w:rsidRPr="00CE5E12">
        <w:rPr>
          <w:rFonts w:ascii="Arial" w:hAnsi="Arial" w:cs="Arial"/>
          <w:color w:val="000000" w:themeColor="text1"/>
          <w:lang w:val="en-GB"/>
        </w:rPr>
        <w:t xml:space="preserve">ChatGPT (OpenAI) was used to assist with the organization of literature categories, the structuring of summary tables, and language refinement. </w:t>
      </w:r>
    </w:p>
    <w:p w14:paraId="160E8905" w14:textId="2D82BBC4" w:rsidR="00CE5E12" w:rsidRPr="00CE5E12" w:rsidRDefault="00CE5E12" w:rsidP="00CE5E12">
      <w:pPr>
        <w:rPr>
          <w:rFonts w:ascii="Times New Roman" w:eastAsia="Calibri" w:hAnsi="Times New Roman"/>
          <w:color w:val="000000" w:themeColor="text1"/>
          <w:kern w:val="2"/>
          <w:sz w:val="22"/>
          <w:szCs w:val="22"/>
          <w:highlight w:val="yellow"/>
        </w:rPr>
      </w:pPr>
      <w:r w:rsidRPr="00CE5E12">
        <w:rPr>
          <w:rFonts w:ascii="Arial" w:hAnsi="Arial" w:cs="Arial"/>
          <w:color w:val="000000" w:themeColor="text1"/>
          <w:lang w:val="en-GB"/>
        </w:rPr>
        <w:t>No AI tool was used for autonomous data interpretation or decision-making. All screening decisions, interpretations, and final manuscript content were independently reviewed and approved by the author, who takes full responsibility for the integrity and accuracy of the work.</w:t>
      </w:r>
    </w:p>
    <w:p w14:paraId="174ACF4E" w14:textId="01B271BF" w:rsidR="00CE5E12" w:rsidRPr="00B146A2" w:rsidRDefault="00CE5E12" w:rsidP="00BB5132">
      <w:pPr>
        <w:spacing w:after="200" w:line="276" w:lineRule="auto"/>
        <w:rPr>
          <w:rFonts w:asciiTheme="minorHAnsi" w:eastAsiaTheme="minorHAnsi" w:hAnsiTheme="minorHAnsi" w:cstheme="minorBidi"/>
          <w:color w:val="EE0000"/>
          <w:sz w:val="28"/>
          <w:szCs w:val="22"/>
        </w:rPr>
      </w:pPr>
    </w:p>
    <w:bookmarkEnd w:id="1"/>
    <w:p w14:paraId="0789D86A" w14:textId="77777777" w:rsidR="00BB5132" w:rsidRPr="00BB5132" w:rsidRDefault="00BB5132" w:rsidP="000864C7">
      <w:pPr>
        <w:pStyle w:val="NoSpacing"/>
        <w:spacing w:line="276" w:lineRule="auto"/>
        <w:rPr>
          <w:rFonts w:ascii="Arial" w:hAnsi="Arial" w:cs="Arial"/>
          <w:b/>
          <w:bCs/>
          <w:sz w:val="20"/>
          <w:szCs w:val="20"/>
          <w:lang w:val="en-US"/>
        </w:rPr>
      </w:pPr>
    </w:p>
    <w:p w14:paraId="1CFD9EE7" w14:textId="77777777" w:rsidR="000864C7" w:rsidRPr="00ED00A7" w:rsidRDefault="000864C7" w:rsidP="000864C7">
      <w:pPr>
        <w:rPr>
          <w:rFonts w:ascii="Times New Roman" w:hAnsi="Times New Roman"/>
          <w:b/>
          <w:bCs/>
          <w:lang w:val="en-GB"/>
        </w:rPr>
      </w:pPr>
    </w:p>
    <w:p w14:paraId="6BB058DF" w14:textId="77777777" w:rsidR="00CA47FF" w:rsidRDefault="00CA47FF" w:rsidP="00441B6F">
      <w:pPr>
        <w:pStyle w:val="Body"/>
        <w:spacing w:after="0"/>
        <w:rPr>
          <w:rFonts w:ascii="Arial" w:hAnsi="Arial" w:cs="Arial"/>
          <w:b/>
          <w:caps/>
          <w:sz w:val="22"/>
          <w:lang w:val="en-GB"/>
        </w:rPr>
      </w:pPr>
    </w:p>
    <w:p w14:paraId="4FFA0DDF" w14:textId="77777777" w:rsidR="00306B90" w:rsidRDefault="00306B90" w:rsidP="00441B6F">
      <w:pPr>
        <w:pStyle w:val="Body"/>
        <w:spacing w:after="0"/>
        <w:rPr>
          <w:rFonts w:ascii="Arial" w:hAnsi="Arial" w:cs="Arial"/>
          <w:b/>
          <w:caps/>
          <w:sz w:val="22"/>
          <w:lang w:val="en-GB"/>
        </w:rPr>
      </w:pPr>
      <w:r>
        <w:rPr>
          <w:rFonts w:ascii="Arial" w:hAnsi="Arial" w:cs="Arial"/>
          <w:b/>
          <w:caps/>
          <w:sz w:val="22"/>
          <w:lang w:val="en-GB"/>
        </w:rPr>
        <w:t>REFERENCES</w:t>
      </w:r>
    </w:p>
    <w:p w14:paraId="2DF19751" w14:textId="77777777" w:rsidR="00EA1EE2" w:rsidRPr="00CE5E12" w:rsidRDefault="00EA1EE2" w:rsidP="00CE5E12">
      <w:pPr>
        <w:pStyle w:val="ListParagraph"/>
        <w:numPr>
          <w:ilvl w:val="0"/>
          <w:numId w:val="36"/>
        </w:numPr>
        <w:rPr>
          <w:rFonts w:ascii="Arial" w:hAnsi="Arial" w:cs="Arial"/>
          <w:lang w:val="en-GB"/>
        </w:rPr>
      </w:pPr>
      <w:proofErr w:type="spellStart"/>
      <w:r w:rsidRPr="00CE5E12">
        <w:rPr>
          <w:rFonts w:ascii="Arial" w:hAnsi="Arial" w:cs="Arial"/>
          <w:lang w:val="en-GB"/>
        </w:rPr>
        <w:t>Ademolu</w:t>
      </w:r>
      <w:proofErr w:type="spellEnd"/>
      <w:r w:rsidRPr="00CE5E12">
        <w:rPr>
          <w:rFonts w:ascii="Arial" w:hAnsi="Arial" w:cs="Arial"/>
          <w:lang w:val="en-GB"/>
        </w:rPr>
        <w:t xml:space="preserve">, E. (2025). Appreciating dyslexic thinking in qualitative research: Reflections and recommendations for culturally competent, neuro-inclusive academia. Higher Education, 90, 131–156. </w:t>
      </w:r>
      <w:hyperlink r:id="rId19" w:history="1">
        <w:r w:rsidRPr="00CE5E12">
          <w:rPr>
            <w:rStyle w:val="Hyperlink"/>
            <w:rFonts w:ascii="Arial" w:hAnsi="Arial" w:cs="Arial"/>
            <w:lang w:val="en-GB"/>
          </w:rPr>
          <w:t>https://doi.org/10.1007/s10734-024-01314-x</w:t>
        </w:r>
      </w:hyperlink>
    </w:p>
    <w:p w14:paraId="2846C396" w14:textId="77777777" w:rsidR="00EA1EE2" w:rsidRPr="00CE5E12" w:rsidRDefault="00EA1EE2" w:rsidP="00CE5E12">
      <w:pPr>
        <w:pStyle w:val="ListParagraph"/>
        <w:numPr>
          <w:ilvl w:val="0"/>
          <w:numId w:val="36"/>
        </w:numPr>
        <w:rPr>
          <w:rFonts w:ascii="Arial" w:hAnsi="Arial" w:cs="Arial"/>
          <w:lang w:val="en-GB"/>
        </w:rPr>
      </w:pPr>
      <w:proofErr w:type="spellStart"/>
      <w:r w:rsidRPr="00CE5E12">
        <w:rPr>
          <w:rFonts w:ascii="Arial" w:hAnsi="Arial" w:cs="Arial"/>
          <w:lang w:val="en-GB"/>
        </w:rPr>
        <w:t>Altindag</w:t>
      </w:r>
      <w:proofErr w:type="spellEnd"/>
      <w:r w:rsidRPr="00CE5E12">
        <w:rPr>
          <w:rFonts w:ascii="Arial" w:hAnsi="Arial" w:cs="Arial"/>
          <w:lang w:val="en-GB"/>
        </w:rPr>
        <w:t xml:space="preserve"> Kumas, Ö., &amp; </w:t>
      </w:r>
      <w:proofErr w:type="spellStart"/>
      <w:r w:rsidRPr="00CE5E12">
        <w:rPr>
          <w:rFonts w:ascii="Arial" w:hAnsi="Arial" w:cs="Arial"/>
          <w:lang w:val="en-GB"/>
        </w:rPr>
        <w:t>Sardohan</w:t>
      </w:r>
      <w:proofErr w:type="spellEnd"/>
      <w:r w:rsidRPr="00CE5E12">
        <w:rPr>
          <w:rFonts w:ascii="Arial" w:hAnsi="Arial" w:cs="Arial"/>
          <w:lang w:val="en-GB"/>
        </w:rPr>
        <w:t xml:space="preserve"> Yildirim, A. E. (2024). Attitude and knowledge of dyslexia among elementary school teachers in Turkey. Journal of Research in Special Educational Needs, 24(2), 217–229. </w:t>
      </w:r>
      <w:hyperlink r:id="rId20" w:history="1">
        <w:r w:rsidRPr="00CE5E12">
          <w:rPr>
            <w:rStyle w:val="Hyperlink"/>
            <w:rFonts w:ascii="Arial" w:hAnsi="Arial" w:cs="Arial"/>
            <w:lang w:val="en-GB"/>
          </w:rPr>
          <w:t>https://doi.org/10.1111/1471-3802.12627</w:t>
        </w:r>
      </w:hyperlink>
    </w:p>
    <w:p w14:paraId="3DCA1E12"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Araújo, S., &amp; </w:t>
      </w:r>
      <w:proofErr w:type="spellStart"/>
      <w:r w:rsidRPr="00CE5E12">
        <w:rPr>
          <w:rFonts w:ascii="Arial" w:hAnsi="Arial" w:cs="Arial"/>
          <w:lang w:val="en-GB"/>
        </w:rPr>
        <w:t>Faísca</w:t>
      </w:r>
      <w:proofErr w:type="spellEnd"/>
      <w:r w:rsidRPr="00CE5E12">
        <w:rPr>
          <w:rFonts w:ascii="Arial" w:hAnsi="Arial" w:cs="Arial"/>
          <w:lang w:val="en-GB"/>
        </w:rPr>
        <w:t xml:space="preserve">, L. (2019). A meta-analytic review of naming-speed deficits in developmental dyslexia. Scientific Studies of Reading, 23(5), 349–368. </w:t>
      </w:r>
      <w:hyperlink r:id="rId21" w:history="1">
        <w:r w:rsidRPr="00CE5E12">
          <w:rPr>
            <w:rStyle w:val="Hyperlink"/>
            <w:rFonts w:ascii="Arial" w:hAnsi="Arial" w:cs="Arial"/>
            <w:lang w:val="en-GB"/>
          </w:rPr>
          <w:t>https://doi.org/10.1080/10888438.2019.1572758</w:t>
        </w:r>
      </w:hyperlink>
    </w:p>
    <w:p w14:paraId="0DF06472"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Balci, E. (2020). Early predictors for kindergarten students at risk for dyslexia: A two-year longitudinal study. International Journal of </w:t>
      </w:r>
      <w:r w:rsidRPr="00CE5E12">
        <w:rPr>
          <w:rFonts w:ascii="Arial" w:hAnsi="Arial" w:cs="Arial"/>
          <w:lang w:val="en-GB"/>
        </w:rPr>
        <w:lastRenderedPageBreak/>
        <w:t xml:space="preserve">Progressive Education, 16(3), 201–210. </w:t>
      </w:r>
      <w:hyperlink r:id="rId22" w:history="1">
        <w:r w:rsidRPr="00CE5E12">
          <w:rPr>
            <w:rStyle w:val="Hyperlink"/>
            <w:rFonts w:ascii="Arial" w:hAnsi="Arial" w:cs="Arial"/>
            <w:lang w:val="en-GB"/>
          </w:rPr>
          <w:t>https://doi.org/10.29329/ijpe.2020.248.15</w:t>
        </w:r>
      </w:hyperlink>
    </w:p>
    <w:p w14:paraId="5A4A1CF7"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Beckett, J. (2024). Dyslexia: ‘The right diagnosis … The wrong treatment’. Support for Learning, 39, 71–84. </w:t>
      </w:r>
      <w:hyperlink r:id="rId23" w:history="1">
        <w:r w:rsidRPr="00CE5E12">
          <w:rPr>
            <w:rStyle w:val="Hyperlink"/>
            <w:rFonts w:ascii="Arial" w:hAnsi="Arial" w:cs="Arial"/>
            <w:lang w:val="en-GB"/>
          </w:rPr>
          <w:t>https://doi.org/10.1111/1467-9604.12472</w:t>
        </w:r>
      </w:hyperlink>
    </w:p>
    <w:p w14:paraId="6846085E" w14:textId="77777777" w:rsidR="00EA1EE2" w:rsidRPr="00CE5E12" w:rsidRDefault="00EA1EE2" w:rsidP="00CE5E12">
      <w:pPr>
        <w:pStyle w:val="ListParagraph"/>
        <w:numPr>
          <w:ilvl w:val="0"/>
          <w:numId w:val="36"/>
        </w:numPr>
        <w:rPr>
          <w:rFonts w:ascii="Arial" w:hAnsi="Arial" w:cs="Arial"/>
          <w:lang w:val="en-GB"/>
        </w:rPr>
      </w:pPr>
      <w:proofErr w:type="spellStart"/>
      <w:r w:rsidRPr="00CE5E12">
        <w:rPr>
          <w:rFonts w:ascii="Arial" w:hAnsi="Arial" w:cs="Arial"/>
          <w:lang w:val="en-GB"/>
        </w:rPr>
        <w:t>Bégel</w:t>
      </w:r>
      <w:proofErr w:type="spellEnd"/>
      <w:r w:rsidRPr="00CE5E12">
        <w:rPr>
          <w:rFonts w:ascii="Arial" w:hAnsi="Arial" w:cs="Arial"/>
          <w:lang w:val="en-GB"/>
        </w:rPr>
        <w:t xml:space="preserve">, V., Dalla Bella, S., </w:t>
      </w:r>
      <w:proofErr w:type="spellStart"/>
      <w:r w:rsidRPr="00CE5E12">
        <w:rPr>
          <w:rFonts w:ascii="Arial" w:hAnsi="Arial" w:cs="Arial"/>
          <w:lang w:val="en-GB"/>
        </w:rPr>
        <w:t>Devignes</w:t>
      </w:r>
      <w:proofErr w:type="spellEnd"/>
      <w:r w:rsidRPr="00CE5E12">
        <w:rPr>
          <w:rFonts w:ascii="Arial" w:hAnsi="Arial" w:cs="Arial"/>
          <w:lang w:val="en-GB"/>
        </w:rPr>
        <w:t xml:space="preserve">, Q., </w:t>
      </w:r>
      <w:proofErr w:type="spellStart"/>
      <w:r w:rsidRPr="00CE5E12">
        <w:rPr>
          <w:rFonts w:ascii="Arial" w:hAnsi="Arial" w:cs="Arial"/>
          <w:lang w:val="en-GB"/>
        </w:rPr>
        <w:t>Vandenbergue</w:t>
      </w:r>
      <w:proofErr w:type="spellEnd"/>
      <w:r w:rsidRPr="00CE5E12">
        <w:rPr>
          <w:rFonts w:ascii="Arial" w:hAnsi="Arial" w:cs="Arial"/>
          <w:lang w:val="en-GB"/>
        </w:rPr>
        <w:t xml:space="preserve">, M., </w:t>
      </w:r>
      <w:proofErr w:type="spellStart"/>
      <w:r w:rsidRPr="00CE5E12">
        <w:rPr>
          <w:rFonts w:ascii="Arial" w:hAnsi="Arial" w:cs="Arial"/>
          <w:lang w:val="en-GB"/>
        </w:rPr>
        <w:t>Lemaître</w:t>
      </w:r>
      <w:proofErr w:type="spellEnd"/>
      <w:r w:rsidRPr="00CE5E12">
        <w:rPr>
          <w:rFonts w:ascii="Arial" w:hAnsi="Arial" w:cs="Arial"/>
          <w:lang w:val="en-GB"/>
        </w:rPr>
        <w:t xml:space="preserve">, M. P., &amp; </w:t>
      </w:r>
      <w:proofErr w:type="spellStart"/>
      <w:r w:rsidRPr="00CE5E12">
        <w:rPr>
          <w:rFonts w:ascii="Arial" w:hAnsi="Arial" w:cs="Arial"/>
          <w:lang w:val="en-GB"/>
        </w:rPr>
        <w:t>Dellacherie</w:t>
      </w:r>
      <w:proofErr w:type="spellEnd"/>
      <w:r w:rsidRPr="00CE5E12">
        <w:rPr>
          <w:rFonts w:ascii="Arial" w:hAnsi="Arial" w:cs="Arial"/>
          <w:lang w:val="en-GB"/>
        </w:rPr>
        <w:t xml:space="preserve">, D. (2022). Rhythm as an independent determinant of developmental dyslexia. Developmental Psychology, 58(2), 339–358. </w:t>
      </w:r>
      <w:hyperlink r:id="rId24" w:history="1">
        <w:r w:rsidRPr="00CE5E12">
          <w:rPr>
            <w:rStyle w:val="Hyperlink"/>
            <w:rFonts w:ascii="Arial" w:hAnsi="Arial" w:cs="Arial"/>
            <w:lang w:val="en-GB"/>
          </w:rPr>
          <w:t>https://doi.org/10.1037/dev0001293</w:t>
        </w:r>
      </w:hyperlink>
    </w:p>
    <w:p w14:paraId="61BBF9C7"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Biza, C., &amp; Giannakou, A. (2024). Students with dyslexia and bilingual students: Teachers’ beliefs and attitudes on meeting their needs. Intercultural Education, 35(6), 610–634. </w:t>
      </w:r>
      <w:hyperlink r:id="rId25" w:history="1">
        <w:r w:rsidRPr="00CE5E12">
          <w:rPr>
            <w:rStyle w:val="Hyperlink"/>
            <w:rFonts w:ascii="Arial" w:hAnsi="Arial" w:cs="Arial"/>
            <w:lang w:val="en-GB"/>
          </w:rPr>
          <w:t>https://doi.org/10.1080/14675986.2024.2408134</w:t>
        </w:r>
      </w:hyperlink>
    </w:p>
    <w:p w14:paraId="036A3C43" w14:textId="77777777" w:rsidR="00EA1EE2" w:rsidRPr="00CE5E12" w:rsidRDefault="00EA1EE2" w:rsidP="00CE5E12">
      <w:pPr>
        <w:pStyle w:val="ListParagraph"/>
        <w:numPr>
          <w:ilvl w:val="0"/>
          <w:numId w:val="36"/>
        </w:numPr>
        <w:rPr>
          <w:rFonts w:ascii="Arial" w:hAnsi="Arial" w:cs="Arial"/>
          <w:lang w:val="en-GB"/>
        </w:rPr>
      </w:pPr>
      <w:proofErr w:type="spellStart"/>
      <w:r w:rsidRPr="00CE5E12">
        <w:rPr>
          <w:rFonts w:ascii="Arial" w:hAnsi="Arial" w:cs="Arial"/>
          <w:lang w:val="en-GB"/>
        </w:rPr>
        <w:t>Blockmans</w:t>
      </w:r>
      <w:proofErr w:type="spellEnd"/>
      <w:r w:rsidRPr="00CE5E12">
        <w:rPr>
          <w:rFonts w:ascii="Arial" w:hAnsi="Arial" w:cs="Arial"/>
          <w:lang w:val="en-GB"/>
        </w:rPr>
        <w:t xml:space="preserve">, L., Kievit, R., Wouters, J., Ghesquière, P., &amp; </w:t>
      </w:r>
      <w:proofErr w:type="spellStart"/>
      <w:r w:rsidRPr="00CE5E12">
        <w:rPr>
          <w:rFonts w:ascii="Arial" w:hAnsi="Arial" w:cs="Arial"/>
          <w:lang w:val="en-GB"/>
        </w:rPr>
        <w:t>Vandermosten</w:t>
      </w:r>
      <w:proofErr w:type="spellEnd"/>
      <w:r w:rsidRPr="00CE5E12">
        <w:rPr>
          <w:rFonts w:ascii="Arial" w:hAnsi="Arial" w:cs="Arial"/>
          <w:lang w:val="en-GB"/>
        </w:rPr>
        <w:t xml:space="preserve">, M. (2024). Dynamics of cognitive predictors during reading acquisition in a sample of children overrepresented for dyslexia risk. Developmental Science, 27, e13412. </w:t>
      </w:r>
      <w:hyperlink r:id="rId26" w:history="1">
        <w:r w:rsidRPr="00CE5E12">
          <w:rPr>
            <w:rStyle w:val="Hyperlink"/>
            <w:rFonts w:ascii="Arial" w:hAnsi="Arial" w:cs="Arial"/>
            <w:lang w:val="en-GB"/>
          </w:rPr>
          <w:t>https://doi.org/10.1111/desc.13412</w:t>
        </w:r>
      </w:hyperlink>
    </w:p>
    <w:p w14:paraId="1D967836"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Bonifacci, P., Colombini, E., Marzocchi, M., Tobia, V., &amp; </w:t>
      </w:r>
      <w:proofErr w:type="spellStart"/>
      <w:r w:rsidRPr="00CE5E12">
        <w:rPr>
          <w:rFonts w:ascii="Arial" w:hAnsi="Arial" w:cs="Arial"/>
          <w:lang w:val="en-GB"/>
        </w:rPr>
        <w:t>Desideri</w:t>
      </w:r>
      <w:proofErr w:type="spellEnd"/>
      <w:r w:rsidRPr="00CE5E12">
        <w:rPr>
          <w:rFonts w:ascii="Arial" w:hAnsi="Arial" w:cs="Arial"/>
          <w:lang w:val="en-GB"/>
        </w:rPr>
        <w:t xml:space="preserve">, L. (2022). Text-to-speech applications to reduce mind wandering in students with dyslexia. Journal of Computer Assisted Learning, 38(2), 440–454. </w:t>
      </w:r>
      <w:hyperlink r:id="rId27" w:history="1">
        <w:r w:rsidRPr="00CE5E12">
          <w:rPr>
            <w:rStyle w:val="Hyperlink"/>
            <w:rFonts w:ascii="Arial" w:hAnsi="Arial" w:cs="Arial"/>
            <w:lang w:val="en-GB"/>
          </w:rPr>
          <w:t>https://doi.org/10.1111/jcal.12624</w:t>
        </w:r>
      </w:hyperlink>
    </w:p>
    <w:p w14:paraId="308E66FE"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Braun, V., &amp; Clarke, V. (2006). Using thematic analysis in psychology. Qualitative Research in Psychology, 3(2), 77–101. </w:t>
      </w:r>
      <w:hyperlink r:id="rId28" w:history="1">
        <w:r w:rsidRPr="00CE5E12">
          <w:rPr>
            <w:rStyle w:val="Hyperlink"/>
            <w:rFonts w:ascii="Arial" w:hAnsi="Arial" w:cs="Arial"/>
            <w:lang w:val="en-GB"/>
          </w:rPr>
          <w:t>https://doi.org/10.1191/1478088706qp063oa</w:t>
        </w:r>
      </w:hyperlink>
    </w:p>
    <w:p w14:paraId="6211DAAA"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Brennan, A., McDonagh, T., Dempsey, M., &amp; McAvoy, J. (2022). Cosmic sounds: A game to support phonological awareness skills for children with dyslexia. IEEE Transactions on Learning Technologies, 15(3), 301–310. </w:t>
      </w:r>
      <w:hyperlink r:id="rId29" w:history="1">
        <w:r w:rsidRPr="00CE5E12">
          <w:rPr>
            <w:rStyle w:val="Hyperlink"/>
            <w:rFonts w:ascii="Arial" w:hAnsi="Arial" w:cs="Arial"/>
            <w:lang w:val="en-GB"/>
          </w:rPr>
          <w:t>https://doi.org/10.1109/TLT.2022.3170231</w:t>
        </w:r>
      </w:hyperlink>
    </w:p>
    <w:p w14:paraId="61FE9508" w14:textId="77777777" w:rsidR="00EA1EE2" w:rsidRPr="00CE5E12" w:rsidRDefault="00EA1EE2" w:rsidP="00CE5E12">
      <w:pPr>
        <w:pStyle w:val="ListParagraph"/>
        <w:numPr>
          <w:ilvl w:val="0"/>
          <w:numId w:val="36"/>
        </w:numPr>
        <w:rPr>
          <w:rFonts w:ascii="Arial" w:hAnsi="Arial" w:cs="Arial"/>
        </w:rPr>
      </w:pPr>
      <w:r w:rsidRPr="00CE5E12">
        <w:rPr>
          <w:rFonts w:ascii="Arial" w:hAnsi="Arial" w:cs="Arial"/>
          <w:lang w:val="en-GB"/>
        </w:rPr>
        <w:t xml:space="preserve">Cainelli, E., Vedovelli, L., </w:t>
      </w:r>
      <w:proofErr w:type="spellStart"/>
      <w:r w:rsidRPr="00CE5E12">
        <w:rPr>
          <w:rFonts w:ascii="Arial" w:hAnsi="Arial" w:cs="Arial"/>
          <w:lang w:val="en-GB"/>
        </w:rPr>
        <w:t>Carretti</w:t>
      </w:r>
      <w:proofErr w:type="spellEnd"/>
      <w:r w:rsidRPr="00CE5E12">
        <w:rPr>
          <w:rFonts w:ascii="Arial" w:hAnsi="Arial" w:cs="Arial"/>
          <w:lang w:val="en-GB"/>
        </w:rPr>
        <w:t xml:space="preserve">, B., &amp; Bisiacchi, P. (2023). EEG correlates of developmental dyslexia: A systematic review. Annals of Dyslexia, 73(2), 184–213. </w:t>
      </w:r>
      <w:hyperlink r:id="rId30" w:history="1">
        <w:r w:rsidRPr="00CE5E12">
          <w:rPr>
            <w:rStyle w:val="Hyperlink"/>
            <w:rFonts w:ascii="Arial" w:hAnsi="Arial" w:cs="Arial"/>
          </w:rPr>
          <w:t>https://doi.org/10.1007/s11881-022-00273-1</w:t>
        </w:r>
      </w:hyperlink>
    </w:p>
    <w:p w14:paraId="7EA8359C" w14:textId="77777777" w:rsidR="00EA1EE2" w:rsidRPr="00CE5E12" w:rsidRDefault="00EA1EE2" w:rsidP="00CE5E12">
      <w:pPr>
        <w:pStyle w:val="ListParagraph"/>
        <w:numPr>
          <w:ilvl w:val="0"/>
          <w:numId w:val="36"/>
        </w:numPr>
        <w:rPr>
          <w:rFonts w:ascii="Arial" w:hAnsi="Arial" w:cs="Arial"/>
          <w:lang w:val="en-GB"/>
        </w:rPr>
      </w:pPr>
      <w:proofErr w:type="spellStart"/>
      <w:r w:rsidRPr="00CE5E12">
        <w:rPr>
          <w:rFonts w:ascii="Arial" w:hAnsi="Arial" w:cs="Arial"/>
        </w:rPr>
        <w:t>Çakıroğlu</w:t>
      </w:r>
      <w:proofErr w:type="spellEnd"/>
      <w:r w:rsidRPr="00CE5E12">
        <w:rPr>
          <w:rFonts w:ascii="Arial" w:hAnsi="Arial" w:cs="Arial"/>
        </w:rPr>
        <w:t xml:space="preserve">, S., </w:t>
      </w:r>
      <w:proofErr w:type="spellStart"/>
      <w:r w:rsidRPr="00CE5E12">
        <w:rPr>
          <w:rFonts w:ascii="Arial" w:hAnsi="Arial" w:cs="Arial"/>
        </w:rPr>
        <w:t>Ünay</w:t>
      </w:r>
      <w:proofErr w:type="spellEnd"/>
      <w:r w:rsidRPr="00CE5E12">
        <w:rPr>
          <w:rFonts w:ascii="Arial" w:hAnsi="Arial" w:cs="Arial"/>
        </w:rPr>
        <w:t xml:space="preserve">, E., &amp; </w:t>
      </w:r>
      <w:proofErr w:type="spellStart"/>
      <w:r w:rsidRPr="00CE5E12">
        <w:rPr>
          <w:rFonts w:ascii="Arial" w:hAnsi="Arial" w:cs="Arial"/>
        </w:rPr>
        <w:t>Çakıroğlu</w:t>
      </w:r>
      <w:proofErr w:type="spellEnd"/>
      <w:r w:rsidRPr="00CE5E12">
        <w:rPr>
          <w:rFonts w:ascii="Arial" w:hAnsi="Arial" w:cs="Arial"/>
        </w:rPr>
        <w:t xml:space="preserve">, O. (2024). </w:t>
      </w:r>
      <w:r w:rsidRPr="00CE5E12">
        <w:rPr>
          <w:rFonts w:ascii="Arial" w:hAnsi="Arial" w:cs="Arial"/>
          <w:lang w:val="en-GB"/>
        </w:rPr>
        <w:t xml:space="preserve">The impact of an online training program on pre-service teachers’ knowledge and beliefs about dyslexia. Australian Journal of Learning Difficulties, 29(1), 35–51. </w:t>
      </w:r>
      <w:hyperlink r:id="rId31" w:history="1">
        <w:r w:rsidRPr="00CE5E12">
          <w:rPr>
            <w:rStyle w:val="Hyperlink"/>
            <w:rFonts w:ascii="Arial" w:hAnsi="Arial" w:cs="Arial"/>
            <w:lang w:val="en-GB"/>
          </w:rPr>
          <w:t>https://doi.org/10.1080/19404158.2024.2341697</w:t>
        </w:r>
      </w:hyperlink>
    </w:p>
    <w:p w14:paraId="161D9C7B"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lastRenderedPageBreak/>
        <w:t xml:space="preserve">Carioti, D., Masia, M. F., </w:t>
      </w:r>
      <w:proofErr w:type="spellStart"/>
      <w:r w:rsidRPr="00CE5E12">
        <w:rPr>
          <w:rFonts w:ascii="Arial" w:hAnsi="Arial" w:cs="Arial"/>
          <w:lang w:val="en-GB"/>
        </w:rPr>
        <w:t>Travellini</w:t>
      </w:r>
      <w:proofErr w:type="spellEnd"/>
      <w:r w:rsidRPr="00CE5E12">
        <w:rPr>
          <w:rFonts w:ascii="Arial" w:hAnsi="Arial" w:cs="Arial"/>
          <w:lang w:val="en-GB"/>
        </w:rPr>
        <w:t xml:space="preserve">, S., et al. (2021). Orthographic depth and developmental dyslexia: A meta-analytic study. Annals of Dyslexia, 71, 399–438. </w:t>
      </w:r>
      <w:hyperlink r:id="rId32" w:history="1">
        <w:r w:rsidRPr="00CE5E12">
          <w:rPr>
            <w:rStyle w:val="Hyperlink"/>
            <w:rFonts w:ascii="Arial" w:hAnsi="Arial" w:cs="Arial"/>
            <w:lang w:val="en-GB"/>
          </w:rPr>
          <w:t>https://doi.org/10.1007/s11881-021-00226-0</w:t>
        </w:r>
      </w:hyperlink>
    </w:p>
    <w:p w14:paraId="0908E970" w14:textId="77777777" w:rsidR="00EA1EE2" w:rsidRPr="00CE5E12" w:rsidRDefault="00EA1EE2" w:rsidP="00CE5E12">
      <w:pPr>
        <w:pStyle w:val="ListParagraph"/>
        <w:numPr>
          <w:ilvl w:val="0"/>
          <w:numId w:val="36"/>
        </w:numPr>
        <w:rPr>
          <w:rFonts w:ascii="Arial" w:hAnsi="Arial" w:cs="Arial"/>
        </w:rPr>
      </w:pPr>
      <w:r w:rsidRPr="00CE5E12">
        <w:rPr>
          <w:rFonts w:ascii="Arial" w:hAnsi="Arial" w:cs="Arial"/>
          <w:lang w:val="en-GB"/>
        </w:rPr>
        <w:t xml:space="preserve">Coates McDowall, H., </w:t>
      </w:r>
      <w:proofErr w:type="spellStart"/>
      <w:r w:rsidRPr="00CE5E12">
        <w:rPr>
          <w:rFonts w:ascii="Arial" w:hAnsi="Arial" w:cs="Arial"/>
          <w:lang w:val="en-GB"/>
        </w:rPr>
        <w:t>Rimfeld</w:t>
      </w:r>
      <w:proofErr w:type="spellEnd"/>
      <w:r w:rsidRPr="00CE5E12">
        <w:rPr>
          <w:rFonts w:ascii="Arial" w:hAnsi="Arial" w:cs="Arial"/>
          <w:lang w:val="en-GB"/>
        </w:rPr>
        <w:t xml:space="preserve">, K., &amp; Krishnan, S. (2025). Cognitive reappraisal reduces academic anxiety in university students with dyslexia. </w:t>
      </w:r>
      <w:r w:rsidRPr="00CE5E12">
        <w:rPr>
          <w:rFonts w:ascii="Arial" w:hAnsi="Arial" w:cs="Arial"/>
        </w:rPr>
        <w:t xml:space="preserve">Mind, Brain, and Education, 19(1), 18–31. </w:t>
      </w:r>
      <w:hyperlink r:id="rId33" w:history="1">
        <w:r w:rsidRPr="00CE5E12">
          <w:rPr>
            <w:rStyle w:val="Hyperlink"/>
            <w:rFonts w:ascii="Arial" w:hAnsi="Arial" w:cs="Arial"/>
          </w:rPr>
          <w:t>https://doi.org/10.1111/mbe.12434</w:t>
        </w:r>
      </w:hyperlink>
    </w:p>
    <w:p w14:paraId="35F01D7E"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rPr>
        <w:t xml:space="preserve">Coenen, L., Grünke, M., Becker-Genschow, S., Schlüter, K., Schulden, M., &amp; Barwasser, A. (2024). </w:t>
      </w:r>
      <w:r w:rsidRPr="00CE5E12">
        <w:rPr>
          <w:rFonts w:ascii="Arial" w:hAnsi="Arial" w:cs="Arial"/>
          <w:lang w:val="en-GB"/>
        </w:rPr>
        <w:t>A systematic review of eye-tracking technology in dyslexia diagnosis. Insights into Learning Disabilities, 21(1), 45–65.</w:t>
      </w:r>
    </w:p>
    <w:p w14:paraId="57A84044"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Collinson, C. (2023). Dyslexia as ‘paradox’. British Journal of Special Education, 50, 440–449. </w:t>
      </w:r>
      <w:hyperlink r:id="rId34" w:history="1">
        <w:r w:rsidRPr="00CE5E12">
          <w:rPr>
            <w:rStyle w:val="Hyperlink"/>
            <w:rFonts w:ascii="Arial" w:hAnsi="Arial" w:cs="Arial"/>
            <w:lang w:val="en-GB"/>
          </w:rPr>
          <w:t>https://doi.org/10.1111/1467-8578.12481</w:t>
        </w:r>
      </w:hyperlink>
    </w:p>
    <w:p w14:paraId="6CB65435"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Daniel, J., Clucas, L., &amp; Wang, H. H. (2025). Identifying students with dyslexia: Exploration of current assessment methods. Annals of Dyslexia, 75, 19–41. </w:t>
      </w:r>
      <w:hyperlink r:id="rId35" w:history="1">
        <w:r w:rsidRPr="00CE5E12">
          <w:rPr>
            <w:rStyle w:val="Hyperlink"/>
            <w:rFonts w:ascii="Arial" w:hAnsi="Arial" w:cs="Arial"/>
            <w:lang w:val="en-GB"/>
          </w:rPr>
          <w:t>https://doi.org/10.1007/s11881-024-00313-y</w:t>
        </w:r>
      </w:hyperlink>
    </w:p>
    <w:p w14:paraId="29C9577D" w14:textId="77777777" w:rsidR="00EA1EE2" w:rsidRPr="00CE5E12" w:rsidRDefault="00EA1EE2" w:rsidP="00CE5E12">
      <w:pPr>
        <w:pStyle w:val="ListParagraph"/>
        <w:numPr>
          <w:ilvl w:val="0"/>
          <w:numId w:val="36"/>
        </w:numPr>
        <w:rPr>
          <w:rFonts w:ascii="Arial" w:hAnsi="Arial" w:cs="Arial"/>
          <w:lang w:val="en-GB"/>
        </w:rPr>
      </w:pPr>
      <w:proofErr w:type="spellStart"/>
      <w:r w:rsidRPr="00CE5E12">
        <w:rPr>
          <w:rFonts w:ascii="Arial" w:hAnsi="Arial" w:cs="Arial"/>
          <w:lang w:val="en-GB"/>
        </w:rPr>
        <w:t>Donbaloglu</w:t>
      </w:r>
      <w:proofErr w:type="spellEnd"/>
      <w:r w:rsidRPr="00CE5E12">
        <w:rPr>
          <w:rFonts w:ascii="Arial" w:hAnsi="Arial" w:cs="Arial"/>
          <w:lang w:val="en-GB"/>
        </w:rPr>
        <w:t xml:space="preserve">, M. A., Yildirim </w:t>
      </w:r>
      <w:proofErr w:type="spellStart"/>
      <w:r w:rsidRPr="00CE5E12">
        <w:rPr>
          <w:rFonts w:ascii="Arial" w:hAnsi="Arial" w:cs="Arial"/>
          <w:lang w:val="en-GB"/>
        </w:rPr>
        <w:t>Demirdögen</w:t>
      </w:r>
      <w:proofErr w:type="spellEnd"/>
      <w:r w:rsidRPr="00CE5E12">
        <w:rPr>
          <w:rFonts w:ascii="Arial" w:hAnsi="Arial" w:cs="Arial"/>
          <w:lang w:val="en-GB"/>
        </w:rPr>
        <w:t xml:space="preserve">, E., Akinci, M. A., &amp; Bozkurt, A. (2025). An eye-tracking study: Comparison of neuropsychological profiles and reading performance of children with attention deficit-hyperactivity disorder and dyslexia. Reading Research Quarterly, 60(4), e70047. </w:t>
      </w:r>
      <w:hyperlink r:id="rId36" w:history="1">
        <w:r w:rsidRPr="00CE5E12">
          <w:rPr>
            <w:rStyle w:val="Hyperlink"/>
            <w:rFonts w:ascii="Arial" w:hAnsi="Arial" w:cs="Arial"/>
            <w:lang w:val="en-GB"/>
          </w:rPr>
          <w:t>https://doi.org/10.1002/rrq.70047</w:t>
        </w:r>
      </w:hyperlink>
    </w:p>
    <w:p w14:paraId="2C2E0EFC"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Du, Y., &amp; Zhang, C. (2023). The deficit in visuo-spatial working memory in dyslexic population? A systemic review and meta-analysis. International Journal on Social and Education Sciences (</w:t>
      </w:r>
      <w:proofErr w:type="spellStart"/>
      <w:r w:rsidRPr="00CE5E12">
        <w:rPr>
          <w:rFonts w:ascii="Arial" w:hAnsi="Arial" w:cs="Arial"/>
          <w:lang w:val="en-GB"/>
        </w:rPr>
        <w:t>IJonSES</w:t>
      </w:r>
      <w:proofErr w:type="spellEnd"/>
      <w:r w:rsidRPr="00CE5E12">
        <w:rPr>
          <w:rFonts w:ascii="Arial" w:hAnsi="Arial" w:cs="Arial"/>
          <w:lang w:val="en-GB"/>
        </w:rPr>
        <w:t xml:space="preserve">), 5(2), 295–306. </w:t>
      </w:r>
      <w:hyperlink r:id="rId37" w:history="1">
        <w:r w:rsidRPr="00CE5E12">
          <w:rPr>
            <w:rStyle w:val="Hyperlink"/>
            <w:rFonts w:ascii="Arial" w:hAnsi="Arial" w:cs="Arial"/>
            <w:lang w:val="en-GB"/>
          </w:rPr>
          <w:t>https://doi.org/10.46328/ijonses.506</w:t>
        </w:r>
      </w:hyperlink>
    </w:p>
    <w:p w14:paraId="7E019257"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Elliott, J. (2020). It’s time to be scientific about dyslexia. Reading Research Quarterly, 55(51), 561–575. </w:t>
      </w:r>
      <w:hyperlink r:id="rId38" w:history="1">
        <w:r w:rsidRPr="00CE5E12">
          <w:rPr>
            <w:rStyle w:val="Hyperlink"/>
            <w:rFonts w:ascii="Arial" w:hAnsi="Arial" w:cs="Arial"/>
            <w:lang w:val="en-GB"/>
          </w:rPr>
          <w:t>https://doi.org/10.1002/rrq.333</w:t>
        </w:r>
      </w:hyperlink>
    </w:p>
    <w:p w14:paraId="1D5807AC"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rPr>
        <w:t xml:space="preserve">Galuschka, K., Görgen, R., Kalmar, J., Haberstroh, S., Schmalz, X., &amp; Schulte-Körne, G. (2020). </w:t>
      </w:r>
      <w:r w:rsidRPr="00CE5E12">
        <w:rPr>
          <w:rFonts w:ascii="Arial" w:hAnsi="Arial" w:cs="Arial"/>
          <w:lang w:val="en-GB"/>
        </w:rPr>
        <w:t xml:space="preserve">Effectiveness of spelling interventions for learners with dyslexia: A meta-analysis and systematic review. Educational Psychologist, 55(1), 1–20. </w:t>
      </w:r>
      <w:hyperlink r:id="rId39" w:history="1">
        <w:r w:rsidRPr="00CE5E12">
          <w:rPr>
            <w:rStyle w:val="Hyperlink"/>
            <w:rFonts w:ascii="Arial" w:hAnsi="Arial" w:cs="Arial"/>
            <w:lang w:val="en-GB"/>
          </w:rPr>
          <w:t>https://doi.org/10.1080/00461520.2019.1659794</w:t>
        </w:r>
      </w:hyperlink>
    </w:p>
    <w:p w14:paraId="552B12E5" w14:textId="77777777" w:rsidR="00EA1EE2" w:rsidRPr="00CE5E12" w:rsidRDefault="00EA1EE2" w:rsidP="00CE5E12">
      <w:pPr>
        <w:pStyle w:val="ListParagraph"/>
        <w:numPr>
          <w:ilvl w:val="0"/>
          <w:numId w:val="36"/>
        </w:numPr>
        <w:rPr>
          <w:rFonts w:ascii="Arial" w:hAnsi="Arial" w:cs="Arial"/>
          <w:lang w:val="en-GB"/>
        </w:rPr>
      </w:pPr>
      <w:proofErr w:type="spellStart"/>
      <w:r w:rsidRPr="00CE5E12">
        <w:rPr>
          <w:rFonts w:ascii="Arial" w:hAnsi="Arial" w:cs="Arial"/>
          <w:lang w:val="en-GB"/>
        </w:rPr>
        <w:t>Gosiewska</w:t>
      </w:r>
      <w:proofErr w:type="spellEnd"/>
      <w:r w:rsidRPr="00CE5E12">
        <w:rPr>
          <w:rFonts w:ascii="Arial" w:hAnsi="Arial" w:cs="Arial"/>
          <w:lang w:val="en-GB"/>
        </w:rPr>
        <w:t>-Turek, B. (2024). The impact of multisensory foreign language instruction on self-efficacy in students with developmental dyslexia. Springer.</w:t>
      </w:r>
    </w:p>
    <w:p w14:paraId="7080CAFB"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Goswami, U., Huss, M., Mead, N., &amp; </w:t>
      </w:r>
      <w:proofErr w:type="spellStart"/>
      <w:r w:rsidRPr="00CE5E12">
        <w:rPr>
          <w:rFonts w:ascii="Arial" w:hAnsi="Arial" w:cs="Arial"/>
          <w:lang w:val="en-GB"/>
        </w:rPr>
        <w:t>Fosker</w:t>
      </w:r>
      <w:proofErr w:type="spellEnd"/>
      <w:r w:rsidRPr="00CE5E12">
        <w:rPr>
          <w:rFonts w:ascii="Arial" w:hAnsi="Arial" w:cs="Arial"/>
          <w:lang w:val="en-GB"/>
        </w:rPr>
        <w:t xml:space="preserve">, T. (2021). Auditory sensory processing and phonological development in high IQ and exceptional readers, typically developing readers, and children with </w:t>
      </w:r>
      <w:r w:rsidRPr="00CE5E12">
        <w:rPr>
          <w:rFonts w:ascii="Arial" w:hAnsi="Arial" w:cs="Arial"/>
          <w:lang w:val="en-GB"/>
        </w:rPr>
        <w:lastRenderedPageBreak/>
        <w:t xml:space="preserve">dyslexia: A longitudinal study. Child Development, 92(3), 1083–1098. </w:t>
      </w:r>
      <w:hyperlink r:id="rId40" w:history="1">
        <w:r w:rsidRPr="00CE5E12">
          <w:rPr>
            <w:rStyle w:val="Hyperlink"/>
            <w:rFonts w:ascii="Arial" w:hAnsi="Arial" w:cs="Arial"/>
            <w:lang w:val="en-GB"/>
          </w:rPr>
          <w:t>https://doi.org/10.1111/cdev.13459</w:t>
        </w:r>
      </w:hyperlink>
    </w:p>
    <w:p w14:paraId="17F7FFB0"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Hamilton Clark, C. H. (2024). Dyslexia concealment in higher education: Exploring students’ disclosure decisions in the face of UK universities’ approach to dyslexia. Journal of Research in Special Educational Needs, 24, 922–935. </w:t>
      </w:r>
      <w:hyperlink r:id="rId41" w:history="1">
        <w:r w:rsidRPr="00CE5E12">
          <w:rPr>
            <w:rStyle w:val="Hyperlink"/>
            <w:rFonts w:ascii="Arial" w:hAnsi="Arial" w:cs="Arial"/>
            <w:lang w:val="en-GB"/>
          </w:rPr>
          <w:t>https://doi.org/10.1111/1471-3802.12683</w:t>
        </w:r>
      </w:hyperlink>
    </w:p>
    <w:p w14:paraId="2018CA32"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Hamilton, L. G., Hayiou-Thomas, M. E., &amp; </w:t>
      </w:r>
      <w:proofErr w:type="spellStart"/>
      <w:r w:rsidRPr="00CE5E12">
        <w:rPr>
          <w:rFonts w:ascii="Arial" w:hAnsi="Arial" w:cs="Arial"/>
          <w:lang w:val="en-GB"/>
        </w:rPr>
        <w:t>Snowling</w:t>
      </w:r>
      <w:proofErr w:type="spellEnd"/>
      <w:r w:rsidRPr="00CE5E12">
        <w:rPr>
          <w:rFonts w:ascii="Arial" w:hAnsi="Arial" w:cs="Arial"/>
          <w:lang w:val="en-GB"/>
        </w:rPr>
        <w:t xml:space="preserve">, M. J. (2021). Shared storybook reading with children at family risk of dyslexia. Journal of Research in Reading, 44, 859–881. </w:t>
      </w:r>
      <w:hyperlink r:id="rId42" w:history="1">
        <w:r w:rsidRPr="00CE5E12">
          <w:rPr>
            <w:rStyle w:val="Hyperlink"/>
            <w:rFonts w:ascii="Arial" w:hAnsi="Arial" w:cs="Arial"/>
            <w:lang w:val="en-GB"/>
          </w:rPr>
          <w:t>https://doi.org/10.1111/1467-9817.12375</w:t>
        </w:r>
      </w:hyperlink>
    </w:p>
    <w:p w14:paraId="7211B009"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Javed, S., Muniandy, M., Lee, C. K., &amp; Husni, H. (2024). Enhancing teaching and learning for pupils with dyslexia: A comprehensive review of technological and non-technological interventions. Education and Information Technologies, 29(8), 9607–9643.</w:t>
      </w:r>
    </w:p>
    <w:p w14:paraId="2B9B3B3D"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Kirby, P. (2020). Dyslexia debated, then and now: A historical perspective on the dyslexia debate. Oxford Review of Education, 46(4), 472–486. </w:t>
      </w:r>
      <w:hyperlink r:id="rId43" w:history="1">
        <w:r w:rsidRPr="00CE5E12">
          <w:rPr>
            <w:rStyle w:val="Hyperlink"/>
            <w:rFonts w:ascii="Arial" w:hAnsi="Arial" w:cs="Arial"/>
            <w:lang w:val="en-GB"/>
          </w:rPr>
          <w:t>https://doi.org/10.1080/03054985.2020.1747418</w:t>
        </w:r>
      </w:hyperlink>
    </w:p>
    <w:p w14:paraId="7D3C5146"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Knight, C. (2025). Dyslexia: Identity, labelling and its place in inclusive education. British Journal of Special Education, 52, 251–257. </w:t>
      </w:r>
      <w:hyperlink r:id="rId44" w:history="1">
        <w:r w:rsidRPr="00CE5E12">
          <w:rPr>
            <w:rStyle w:val="Hyperlink"/>
            <w:rFonts w:ascii="Arial" w:hAnsi="Arial" w:cs="Arial"/>
            <w:lang w:val="en-GB"/>
          </w:rPr>
          <w:t>https://doi.org/10.1111/1467-8578.70028</w:t>
        </w:r>
      </w:hyperlink>
    </w:p>
    <w:p w14:paraId="0E06DA87" w14:textId="77777777" w:rsidR="00EA1EE2" w:rsidRPr="00CE5E12" w:rsidRDefault="00EA1EE2" w:rsidP="00CE5E12">
      <w:pPr>
        <w:pStyle w:val="ListParagraph"/>
        <w:numPr>
          <w:ilvl w:val="0"/>
          <w:numId w:val="36"/>
        </w:numPr>
        <w:rPr>
          <w:rFonts w:ascii="Arial" w:hAnsi="Arial" w:cs="Arial"/>
          <w:lang w:val="fr-FR"/>
        </w:rPr>
      </w:pPr>
      <w:proofErr w:type="spellStart"/>
      <w:r w:rsidRPr="00CE5E12">
        <w:rPr>
          <w:rFonts w:ascii="Arial" w:hAnsi="Arial" w:cs="Arial"/>
          <w:lang w:val="en-GB"/>
        </w:rPr>
        <w:t>Mayring</w:t>
      </w:r>
      <w:proofErr w:type="spellEnd"/>
      <w:r w:rsidRPr="00CE5E12">
        <w:rPr>
          <w:rFonts w:ascii="Arial" w:hAnsi="Arial" w:cs="Arial"/>
          <w:lang w:val="en-GB"/>
        </w:rPr>
        <w:t xml:space="preserve">, P. (2022). Qualitative content analysis: A step-by-step guide. </w:t>
      </w:r>
      <w:r w:rsidRPr="00CE5E12">
        <w:rPr>
          <w:rFonts w:ascii="Arial" w:hAnsi="Arial" w:cs="Arial"/>
          <w:lang w:val="fr-FR"/>
        </w:rPr>
        <w:t>SAGE.</w:t>
      </w:r>
    </w:p>
    <w:p w14:paraId="37FA1654" w14:textId="77777777" w:rsidR="00EA1EE2" w:rsidRPr="00CE5E12" w:rsidRDefault="00EA1EE2" w:rsidP="00CE5E12">
      <w:pPr>
        <w:pStyle w:val="ListParagraph"/>
        <w:numPr>
          <w:ilvl w:val="0"/>
          <w:numId w:val="36"/>
        </w:numPr>
        <w:rPr>
          <w:rFonts w:ascii="Arial" w:hAnsi="Arial" w:cs="Arial"/>
          <w:lang w:val="en-GB"/>
        </w:rPr>
      </w:pPr>
      <w:proofErr w:type="spellStart"/>
      <w:r w:rsidRPr="00CE5E12">
        <w:rPr>
          <w:rFonts w:ascii="Arial" w:hAnsi="Arial" w:cs="Arial"/>
          <w:lang w:val="fr-FR"/>
        </w:rPr>
        <w:t>Niolaki</w:t>
      </w:r>
      <w:proofErr w:type="spellEnd"/>
      <w:r w:rsidRPr="00CE5E12">
        <w:rPr>
          <w:rFonts w:ascii="Arial" w:hAnsi="Arial" w:cs="Arial"/>
          <w:lang w:val="fr-FR"/>
        </w:rPr>
        <w:t xml:space="preserve">, G., Negoita, A. I., </w:t>
      </w:r>
      <w:proofErr w:type="spellStart"/>
      <w:r w:rsidRPr="00CE5E12">
        <w:rPr>
          <w:rFonts w:ascii="Arial" w:hAnsi="Arial" w:cs="Arial"/>
          <w:lang w:val="fr-FR"/>
        </w:rPr>
        <w:t>Terzopoulos</w:t>
      </w:r>
      <w:proofErr w:type="spellEnd"/>
      <w:r w:rsidRPr="00CE5E12">
        <w:rPr>
          <w:rFonts w:ascii="Arial" w:hAnsi="Arial" w:cs="Arial"/>
          <w:lang w:val="fr-FR"/>
        </w:rPr>
        <w:t xml:space="preserve">, A., et al. </w:t>
      </w:r>
      <w:r w:rsidRPr="00CE5E12">
        <w:rPr>
          <w:rFonts w:ascii="Arial" w:hAnsi="Arial" w:cs="Arial"/>
          <w:lang w:val="en-GB"/>
        </w:rPr>
        <w:t xml:space="preserve">(2025). The role of self-compassion in adults with dyslexia. Annals of Dyslexia, 75, 339–361. </w:t>
      </w:r>
      <w:hyperlink r:id="rId45" w:history="1">
        <w:r w:rsidRPr="00CE5E12">
          <w:rPr>
            <w:rStyle w:val="Hyperlink"/>
            <w:rFonts w:ascii="Arial" w:hAnsi="Arial" w:cs="Arial"/>
            <w:lang w:val="en-GB"/>
          </w:rPr>
          <w:t>https://doi.org/10.1007/s11881-025-00327-0</w:t>
        </w:r>
      </w:hyperlink>
    </w:p>
    <w:p w14:paraId="10377194"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Page, M. J., McKenzie, J. E., Bossuyt, P. M., </w:t>
      </w:r>
      <w:proofErr w:type="spellStart"/>
      <w:r w:rsidRPr="00CE5E12">
        <w:rPr>
          <w:rFonts w:ascii="Arial" w:hAnsi="Arial" w:cs="Arial"/>
          <w:lang w:val="en-GB"/>
        </w:rPr>
        <w:t>Boutron</w:t>
      </w:r>
      <w:proofErr w:type="spellEnd"/>
      <w:r w:rsidRPr="00CE5E12">
        <w:rPr>
          <w:rFonts w:ascii="Arial" w:hAnsi="Arial" w:cs="Arial"/>
          <w:lang w:val="en-GB"/>
        </w:rPr>
        <w:t xml:space="preserve">, I., Hoffmann, T. C., Mulrow, C. D., et al. (2021). The PRISMA 2020 statement: An updated guideline for reporting systematic reviews. The BMJ, 372, n71. </w:t>
      </w:r>
      <w:hyperlink r:id="rId46" w:history="1">
        <w:r w:rsidRPr="00CE5E12">
          <w:rPr>
            <w:rStyle w:val="Hyperlink"/>
            <w:rFonts w:ascii="Arial" w:hAnsi="Arial" w:cs="Arial"/>
            <w:lang w:val="en-GB"/>
          </w:rPr>
          <w:t>https://doi.org/10.1136/bmj.n71</w:t>
        </w:r>
      </w:hyperlink>
    </w:p>
    <w:p w14:paraId="3A0D052C"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Parmentier, C., Simonis, M., Van Mensel, L., </w:t>
      </w:r>
      <w:proofErr w:type="spellStart"/>
      <w:r w:rsidRPr="00CE5E12">
        <w:rPr>
          <w:rFonts w:ascii="Arial" w:hAnsi="Arial" w:cs="Arial"/>
          <w:lang w:val="en-GB"/>
        </w:rPr>
        <w:t>Hiligsmann</w:t>
      </w:r>
      <w:proofErr w:type="spellEnd"/>
      <w:r w:rsidRPr="00CE5E12">
        <w:rPr>
          <w:rFonts w:ascii="Arial" w:hAnsi="Arial" w:cs="Arial"/>
          <w:lang w:val="en-GB"/>
        </w:rPr>
        <w:t xml:space="preserve">, P., </w:t>
      </w:r>
      <w:proofErr w:type="spellStart"/>
      <w:r w:rsidRPr="00CE5E12">
        <w:rPr>
          <w:rFonts w:ascii="Arial" w:hAnsi="Arial" w:cs="Arial"/>
          <w:lang w:val="en-GB"/>
        </w:rPr>
        <w:t>Galand</w:t>
      </w:r>
      <w:proofErr w:type="spellEnd"/>
      <w:r w:rsidRPr="00CE5E12">
        <w:rPr>
          <w:rFonts w:ascii="Arial" w:hAnsi="Arial" w:cs="Arial"/>
          <w:lang w:val="en-GB"/>
        </w:rPr>
        <w:t xml:space="preserve">, B., Lefèvre, N., Magro, L. O., &amp; </w:t>
      </w:r>
      <w:proofErr w:type="spellStart"/>
      <w:r w:rsidRPr="00CE5E12">
        <w:rPr>
          <w:rFonts w:ascii="Arial" w:hAnsi="Arial" w:cs="Arial"/>
          <w:lang w:val="en-GB"/>
        </w:rPr>
        <w:t>Szmalec</w:t>
      </w:r>
      <w:proofErr w:type="spellEnd"/>
      <w:r w:rsidRPr="00CE5E12">
        <w:rPr>
          <w:rFonts w:ascii="Arial" w:hAnsi="Arial" w:cs="Arial"/>
          <w:lang w:val="en-GB"/>
        </w:rPr>
        <w:t xml:space="preserve">, A. (2025). Language proficiency and study achievement of pupils with dyslexia enrolled in content and language integrated learning (CLIL). International Journal of Bilingual Education and Bilingualism, 28(6), 645–661. </w:t>
      </w:r>
      <w:hyperlink r:id="rId47" w:history="1">
        <w:r w:rsidRPr="00CE5E12">
          <w:rPr>
            <w:rStyle w:val="Hyperlink"/>
            <w:rFonts w:ascii="Arial" w:hAnsi="Arial" w:cs="Arial"/>
            <w:lang w:val="en-GB"/>
          </w:rPr>
          <w:t>https://doi.org/10.1080/13670050.2024.2446991</w:t>
        </w:r>
      </w:hyperlink>
    </w:p>
    <w:p w14:paraId="208C2AA0" w14:textId="77777777" w:rsidR="00EA1EE2" w:rsidRPr="00CE5E12" w:rsidRDefault="00EA1EE2" w:rsidP="00CE5E12">
      <w:pPr>
        <w:pStyle w:val="ListParagraph"/>
        <w:numPr>
          <w:ilvl w:val="0"/>
          <w:numId w:val="36"/>
        </w:numPr>
        <w:rPr>
          <w:rFonts w:ascii="Arial" w:hAnsi="Arial" w:cs="Arial"/>
          <w:lang w:val="fr-FR"/>
        </w:rPr>
      </w:pPr>
      <w:r w:rsidRPr="00CE5E12">
        <w:rPr>
          <w:rFonts w:ascii="Arial" w:hAnsi="Arial" w:cs="Arial"/>
          <w:lang w:val="da-DK"/>
        </w:rPr>
        <w:t xml:space="preserve">Parrila, R., Dudley, D., Song, S., et al. </w:t>
      </w:r>
      <w:r w:rsidRPr="00CE5E12">
        <w:rPr>
          <w:rFonts w:ascii="Arial" w:hAnsi="Arial" w:cs="Arial"/>
          <w:lang w:val="en-GB"/>
        </w:rPr>
        <w:t xml:space="preserve">(2020). A meta-analysis of reading-level match dyslexia studies in consistent alphabetic </w:t>
      </w:r>
      <w:r w:rsidRPr="00CE5E12">
        <w:rPr>
          <w:rFonts w:ascii="Arial" w:hAnsi="Arial" w:cs="Arial"/>
          <w:lang w:val="en-GB"/>
        </w:rPr>
        <w:lastRenderedPageBreak/>
        <w:t xml:space="preserve">orthographies. </w:t>
      </w:r>
      <w:r w:rsidRPr="00CE5E12">
        <w:rPr>
          <w:rFonts w:ascii="Arial" w:hAnsi="Arial" w:cs="Arial"/>
          <w:lang w:val="fr-FR"/>
        </w:rPr>
        <w:t xml:space="preserve">Annals of Dyslexia, 70, 1–26. </w:t>
      </w:r>
      <w:hyperlink r:id="rId48" w:history="1">
        <w:r w:rsidRPr="00CE5E12">
          <w:rPr>
            <w:rStyle w:val="Hyperlink"/>
            <w:rFonts w:ascii="Arial" w:hAnsi="Arial" w:cs="Arial"/>
            <w:lang w:val="fr-FR"/>
          </w:rPr>
          <w:t>https://doi.org/10.1007/s11881-019-00187-5</w:t>
        </w:r>
      </w:hyperlink>
    </w:p>
    <w:p w14:paraId="3C4BF419"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fr-FR"/>
        </w:rPr>
        <w:t>Pérez-</w:t>
      </w:r>
      <w:proofErr w:type="spellStart"/>
      <w:r w:rsidRPr="00CE5E12">
        <w:rPr>
          <w:rFonts w:ascii="Arial" w:hAnsi="Arial" w:cs="Arial"/>
          <w:lang w:val="fr-FR"/>
        </w:rPr>
        <w:t>Litago</w:t>
      </w:r>
      <w:proofErr w:type="spellEnd"/>
      <w:r w:rsidRPr="00CE5E12">
        <w:rPr>
          <w:rFonts w:ascii="Arial" w:hAnsi="Arial" w:cs="Arial"/>
          <w:lang w:val="fr-FR"/>
        </w:rPr>
        <w:t xml:space="preserve">, U., Rojas-Guerra, J. M., Martínez-García, C., &amp; Suárez-Coalla, P. (2025). </w:t>
      </w:r>
      <w:r w:rsidRPr="00CE5E12">
        <w:rPr>
          <w:rFonts w:ascii="Arial" w:hAnsi="Arial" w:cs="Arial"/>
          <w:lang w:val="en-GB"/>
        </w:rPr>
        <w:t xml:space="preserve">Language skills of adults with dyslexia in English as a foreign language: Proposal of a language spontaneity deficit hypothesis. Annals of Dyslexia, 75(2), 313–338. </w:t>
      </w:r>
      <w:hyperlink r:id="rId49" w:history="1">
        <w:r w:rsidRPr="00CE5E12">
          <w:rPr>
            <w:rStyle w:val="Hyperlink"/>
            <w:rFonts w:ascii="Arial" w:hAnsi="Arial" w:cs="Arial"/>
            <w:lang w:val="en-GB"/>
          </w:rPr>
          <w:t>https://doi.org/10.1007/s11881-025-00329-0</w:t>
        </w:r>
      </w:hyperlink>
    </w:p>
    <w:p w14:paraId="48E030DB"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Popay, J., Roberts, H., Sowden, A., Petticrew, M., Arai, L., Rodgers, M., Britten, N., Roen, K., &amp; Duffy, S. (2006). Guidance on the conduct of narrative synthesis in systematic reviews. ESRC Methods Programme. </w:t>
      </w:r>
      <w:hyperlink r:id="rId50" w:history="1">
        <w:r w:rsidRPr="00CE5E12">
          <w:rPr>
            <w:rStyle w:val="Hyperlink"/>
            <w:rFonts w:ascii="Arial" w:hAnsi="Arial" w:cs="Arial"/>
            <w:lang w:val="en-GB"/>
          </w:rPr>
          <w:t>https://doi.org/10.13140/2.1.1018.4643</w:t>
        </w:r>
      </w:hyperlink>
    </w:p>
    <w:p w14:paraId="5BBF303A" w14:textId="77777777" w:rsidR="00EA1EE2" w:rsidRPr="00CE5E12" w:rsidRDefault="00EA1EE2" w:rsidP="00CE5E12">
      <w:pPr>
        <w:pStyle w:val="ListParagraph"/>
        <w:numPr>
          <w:ilvl w:val="0"/>
          <w:numId w:val="36"/>
        </w:numPr>
        <w:rPr>
          <w:rFonts w:ascii="Arial" w:hAnsi="Arial" w:cs="Arial"/>
          <w:lang w:val="en-GB"/>
        </w:rPr>
      </w:pPr>
      <w:proofErr w:type="spellStart"/>
      <w:r w:rsidRPr="00CE5E12">
        <w:rPr>
          <w:rFonts w:ascii="Arial" w:hAnsi="Arial" w:cs="Arial"/>
          <w:lang w:val="en-GB"/>
        </w:rPr>
        <w:t>Snowling</w:t>
      </w:r>
      <w:proofErr w:type="spellEnd"/>
      <w:r w:rsidRPr="00CE5E12">
        <w:rPr>
          <w:rFonts w:ascii="Arial" w:hAnsi="Arial" w:cs="Arial"/>
          <w:lang w:val="en-GB"/>
        </w:rPr>
        <w:t xml:space="preserve">, M. J., Hulme, C., &amp; Nation, K. (2020). Defining and understanding dyslexia: Past, present and future. Oxford Review of Education, 46(4), 501–513. </w:t>
      </w:r>
      <w:hyperlink r:id="rId51" w:history="1">
        <w:r w:rsidRPr="00CE5E12">
          <w:rPr>
            <w:rStyle w:val="Hyperlink"/>
            <w:rFonts w:ascii="Arial" w:hAnsi="Arial" w:cs="Arial"/>
            <w:lang w:val="en-GB"/>
          </w:rPr>
          <w:t>https://doi.org/10.1080/03054985.2020.1765756</w:t>
        </w:r>
      </w:hyperlink>
    </w:p>
    <w:p w14:paraId="50AA05C6" w14:textId="77777777" w:rsidR="00EA1EE2" w:rsidRPr="00CE5E12" w:rsidRDefault="00EA1EE2" w:rsidP="00CE5E12">
      <w:pPr>
        <w:pStyle w:val="ListParagraph"/>
        <w:numPr>
          <w:ilvl w:val="0"/>
          <w:numId w:val="36"/>
        </w:numPr>
        <w:rPr>
          <w:rFonts w:ascii="Arial" w:hAnsi="Arial" w:cs="Arial"/>
          <w:lang w:val="en-GB"/>
        </w:rPr>
      </w:pPr>
      <w:proofErr w:type="spellStart"/>
      <w:r w:rsidRPr="00CE5E12">
        <w:rPr>
          <w:rFonts w:ascii="Arial" w:hAnsi="Arial" w:cs="Arial"/>
          <w:lang w:val="en-GB"/>
        </w:rPr>
        <w:t>Snowling</w:t>
      </w:r>
      <w:proofErr w:type="spellEnd"/>
      <w:r w:rsidRPr="00CE5E12">
        <w:rPr>
          <w:rFonts w:ascii="Arial" w:hAnsi="Arial" w:cs="Arial"/>
          <w:lang w:val="en-GB"/>
        </w:rPr>
        <w:t xml:space="preserve">, M. J., Lervåg, A., Nash, H. M., &amp; Hulme, C. (2019). Longitudinal relationships between speech perception, phonological skills and reading in children at high-risk of dyslexia. Developmental Science, 22(1), e12723. </w:t>
      </w:r>
      <w:hyperlink r:id="rId52" w:history="1">
        <w:r w:rsidRPr="00CE5E12">
          <w:rPr>
            <w:rStyle w:val="Hyperlink"/>
            <w:rFonts w:ascii="Arial" w:hAnsi="Arial" w:cs="Arial"/>
            <w:lang w:val="en-GB"/>
          </w:rPr>
          <w:t>https://doi.org/10.1111/desc.12723</w:t>
        </w:r>
      </w:hyperlink>
    </w:p>
    <w:p w14:paraId="25AC5B91"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Solheim, O. J., Arntzen, J., &amp; Foldnes, N. (2024). Norwegian classroom teachers’ and specialized “resource” teachers’ dyslexia knowledge. Reading and Writing, 37, 2619–2641. </w:t>
      </w:r>
      <w:hyperlink r:id="rId53" w:history="1">
        <w:r w:rsidRPr="00CE5E12">
          <w:rPr>
            <w:rStyle w:val="Hyperlink"/>
            <w:rFonts w:ascii="Arial" w:hAnsi="Arial" w:cs="Arial"/>
            <w:lang w:val="en-GB"/>
          </w:rPr>
          <w:t>https://doi.org/10.1007/s11145-023-10486-4</w:t>
        </w:r>
      </w:hyperlink>
    </w:p>
    <w:p w14:paraId="60418CF6"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Stagg, S., Eaton, E., &amp; Sjoblom, A. (2018). Self-efficacy in undergraduate students with dyslexia: A mixed methods investigation. British Journal of Special Education, 45(1), 26–42. </w:t>
      </w:r>
      <w:hyperlink r:id="rId54" w:history="1">
        <w:r w:rsidRPr="00CE5E12">
          <w:rPr>
            <w:rStyle w:val="Hyperlink"/>
            <w:rFonts w:ascii="Arial" w:hAnsi="Arial" w:cs="Arial"/>
            <w:lang w:val="en-GB"/>
          </w:rPr>
          <w:t>https://doi.org/10.1111/1467-8578.12200</w:t>
        </w:r>
      </w:hyperlink>
    </w:p>
    <w:p w14:paraId="4DC9978D" w14:textId="77777777" w:rsidR="00EA1EE2" w:rsidRPr="00CE5E12" w:rsidRDefault="00EA1EE2" w:rsidP="00CE5E12">
      <w:pPr>
        <w:pStyle w:val="ListParagraph"/>
        <w:numPr>
          <w:ilvl w:val="0"/>
          <w:numId w:val="36"/>
        </w:numPr>
        <w:rPr>
          <w:rFonts w:ascii="Arial" w:hAnsi="Arial" w:cs="Arial"/>
          <w:lang w:val="en-GB"/>
        </w:rPr>
      </w:pPr>
      <w:proofErr w:type="spellStart"/>
      <w:r w:rsidRPr="00CE5E12">
        <w:rPr>
          <w:rFonts w:ascii="Arial" w:hAnsi="Arial" w:cs="Arial"/>
          <w:lang w:val="en-GB"/>
        </w:rPr>
        <w:t>Stampoltzis</w:t>
      </w:r>
      <w:proofErr w:type="spellEnd"/>
      <w:r w:rsidRPr="00CE5E12">
        <w:rPr>
          <w:rFonts w:ascii="Arial" w:hAnsi="Arial" w:cs="Arial"/>
          <w:lang w:val="en-GB"/>
        </w:rPr>
        <w:t xml:space="preserve">, A., Paradisi, A. E., &amp; </w:t>
      </w:r>
      <w:proofErr w:type="spellStart"/>
      <w:r w:rsidRPr="00CE5E12">
        <w:rPr>
          <w:rFonts w:ascii="Arial" w:hAnsi="Arial" w:cs="Arial"/>
          <w:lang w:val="en-GB"/>
        </w:rPr>
        <w:t>Theodosakis</w:t>
      </w:r>
      <w:proofErr w:type="spellEnd"/>
      <w:r w:rsidRPr="00CE5E12">
        <w:rPr>
          <w:rFonts w:ascii="Arial" w:hAnsi="Arial" w:cs="Arial"/>
          <w:lang w:val="en-GB"/>
        </w:rPr>
        <w:t xml:space="preserve">, D. (2023). Resilience, mental flourishing, character strengths and job satisfaction of adults with dyslexia compared to a control group. European Journal of Psychology and Educational Research, 6(3), 119–130. </w:t>
      </w:r>
      <w:hyperlink r:id="rId55" w:history="1">
        <w:r w:rsidRPr="00CE5E12">
          <w:rPr>
            <w:rStyle w:val="Hyperlink"/>
            <w:rFonts w:ascii="Arial" w:hAnsi="Arial" w:cs="Arial"/>
            <w:lang w:val="en-GB"/>
          </w:rPr>
          <w:t>https://doi.org/10.12973/ejper.6.3.119</w:t>
        </w:r>
      </w:hyperlink>
    </w:p>
    <w:p w14:paraId="49C7E26D"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fr-FR"/>
        </w:rPr>
        <w:t xml:space="preserve">Taha, J., Stucchi, N., Pagliarini, E., &amp; </w:t>
      </w:r>
      <w:proofErr w:type="spellStart"/>
      <w:r w:rsidRPr="00CE5E12">
        <w:rPr>
          <w:rFonts w:ascii="Arial" w:hAnsi="Arial" w:cs="Arial"/>
          <w:lang w:val="fr-FR"/>
        </w:rPr>
        <w:t>Guasti</w:t>
      </w:r>
      <w:proofErr w:type="spellEnd"/>
      <w:r w:rsidRPr="00CE5E12">
        <w:rPr>
          <w:rFonts w:ascii="Arial" w:hAnsi="Arial" w:cs="Arial"/>
          <w:lang w:val="fr-FR"/>
        </w:rPr>
        <w:t xml:space="preserve">, M. T. (2025). </w:t>
      </w:r>
      <w:r w:rsidRPr="00CE5E12">
        <w:rPr>
          <w:rFonts w:ascii="Arial" w:hAnsi="Arial" w:cs="Arial"/>
          <w:lang w:val="en-GB"/>
        </w:rPr>
        <w:t xml:space="preserve">Unifying language, reading, and handwriting impairments in dyslexia: The inefficient anticipatory planning hypothesis. First Language, 45(5), 622–660. </w:t>
      </w:r>
      <w:hyperlink r:id="rId56" w:history="1">
        <w:r w:rsidRPr="00CE5E12">
          <w:rPr>
            <w:rStyle w:val="Hyperlink"/>
            <w:rFonts w:ascii="Arial" w:hAnsi="Arial" w:cs="Arial"/>
            <w:lang w:val="en-GB"/>
          </w:rPr>
          <w:t>https://doi.org/10.1177/01427237251333482</w:t>
        </w:r>
      </w:hyperlink>
    </w:p>
    <w:p w14:paraId="14464026"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lastRenderedPageBreak/>
        <w:t xml:space="preserve">Thomas, J., &amp; Harden, A. (2008). Methods for the thematic synthesis of qualitative research in systematic reviews. BMC Medical Research Methodology, 8, 45. </w:t>
      </w:r>
      <w:hyperlink r:id="rId57" w:history="1">
        <w:r w:rsidRPr="00CE5E12">
          <w:rPr>
            <w:rStyle w:val="Hyperlink"/>
            <w:rFonts w:ascii="Arial" w:hAnsi="Arial" w:cs="Arial"/>
            <w:lang w:val="en-GB"/>
          </w:rPr>
          <w:t>https://doi.org/10.1186/1471-2288-8-45</w:t>
        </w:r>
      </w:hyperlink>
    </w:p>
    <w:p w14:paraId="6617AF65"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van Viersen, S., de Bree, E. H., &amp; de Jong, P. F. (2019). Protective factors and compensation in resolving dyslexia. Scientific Studies of Reading, 23(6), 461–477. </w:t>
      </w:r>
      <w:hyperlink r:id="rId58" w:history="1">
        <w:r w:rsidRPr="00CE5E12">
          <w:rPr>
            <w:rStyle w:val="Hyperlink"/>
            <w:rFonts w:ascii="Arial" w:hAnsi="Arial" w:cs="Arial"/>
            <w:lang w:val="en-GB"/>
          </w:rPr>
          <w:t>https://doi.org/10.1080/10888438.2019.1603543</w:t>
        </w:r>
      </w:hyperlink>
    </w:p>
    <w:p w14:paraId="35B09B5F"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Vender, M., &amp; </w:t>
      </w:r>
      <w:proofErr w:type="spellStart"/>
      <w:r w:rsidRPr="00CE5E12">
        <w:rPr>
          <w:rFonts w:ascii="Arial" w:hAnsi="Arial" w:cs="Arial"/>
          <w:lang w:val="en-GB"/>
        </w:rPr>
        <w:t>Delfitto</w:t>
      </w:r>
      <w:proofErr w:type="spellEnd"/>
      <w:r w:rsidRPr="00CE5E12">
        <w:rPr>
          <w:rFonts w:ascii="Arial" w:hAnsi="Arial" w:cs="Arial"/>
          <w:lang w:val="en-GB"/>
        </w:rPr>
        <w:t xml:space="preserve">, D. (2025). Bridging the gap in adult dyslexia research: Assessing the efficacy of a linguistic intervention on literacy skills. Annals of Dyslexia, 75(1), 42–70. </w:t>
      </w:r>
      <w:hyperlink r:id="rId59" w:history="1">
        <w:r w:rsidRPr="00CE5E12">
          <w:rPr>
            <w:rStyle w:val="Hyperlink"/>
            <w:rFonts w:ascii="Arial" w:hAnsi="Arial" w:cs="Arial"/>
            <w:lang w:val="en-GB"/>
          </w:rPr>
          <w:t>https://doi.org/10.1007/s11881-024-00314-x</w:t>
        </w:r>
      </w:hyperlink>
    </w:p>
    <w:p w14:paraId="534551A5"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Verhoeven, L., &amp; Keuning, J. (2018). The nature of developmental dyslexia in a transparent orthography. Scientific Studies of Reading, 22(1), 7–23. </w:t>
      </w:r>
      <w:hyperlink r:id="rId60" w:history="1">
        <w:r w:rsidRPr="00CE5E12">
          <w:rPr>
            <w:rStyle w:val="Hyperlink"/>
            <w:rFonts w:ascii="Arial" w:hAnsi="Arial" w:cs="Arial"/>
            <w:lang w:val="en-GB"/>
          </w:rPr>
          <w:t>https://doi.org/10.1080/10888438.2017.1317780</w:t>
        </w:r>
      </w:hyperlink>
    </w:p>
    <w:p w14:paraId="255A0162" w14:textId="77777777" w:rsidR="00EA1EE2" w:rsidRPr="00CE5E12" w:rsidRDefault="00EA1EE2" w:rsidP="00CE5E12">
      <w:pPr>
        <w:pStyle w:val="ListParagraph"/>
        <w:numPr>
          <w:ilvl w:val="0"/>
          <w:numId w:val="36"/>
        </w:numPr>
        <w:rPr>
          <w:rFonts w:ascii="Arial" w:hAnsi="Arial" w:cs="Arial"/>
          <w:lang w:val="en-GB"/>
        </w:rPr>
      </w:pPr>
      <w:proofErr w:type="spellStart"/>
      <w:r w:rsidRPr="00CE5E12">
        <w:rPr>
          <w:rFonts w:ascii="Arial" w:hAnsi="Arial" w:cs="Arial"/>
          <w:lang w:val="en-GB"/>
        </w:rPr>
        <w:t>Verwimp</w:t>
      </w:r>
      <w:proofErr w:type="spellEnd"/>
      <w:r w:rsidRPr="00CE5E12">
        <w:rPr>
          <w:rFonts w:ascii="Arial" w:hAnsi="Arial" w:cs="Arial"/>
          <w:lang w:val="en-GB"/>
        </w:rPr>
        <w:t xml:space="preserve">, C., Vanden </w:t>
      </w:r>
      <w:proofErr w:type="spellStart"/>
      <w:r w:rsidRPr="00CE5E12">
        <w:rPr>
          <w:rFonts w:ascii="Arial" w:hAnsi="Arial" w:cs="Arial"/>
          <w:lang w:val="en-GB"/>
        </w:rPr>
        <w:t>Bempt</w:t>
      </w:r>
      <w:proofErr w:type="spellEnd"/>
      <w:r w:rsidRPr="00CE5E12">
        <w:rPr>
          <w:rFonts w:ascii="Arial" w:hAnsi="Arial" w:cs="Arial"/>
          <w:lang w:val="en-GB"/>
        </w:rPr>
        <w:t xml:space="preserve">, F., </w:t>
      </w:r>
      <w:proofErr w:type="spellStart"/>
      <w:r w:rsidRPr="00CE5E12">
        <w:rPr>
          <w:rFonts w:ascii="Arial" w:hAnsi="Arial" w:cs="Arial"/>
          <w:lang w:val="en-GB"/>
        </w:rPr>
        <w:t>Kellens</w:t>
      </w:r>
      <w:proofErr w:type="spellEnd"/>
      <w:r w:rsidRPr="00CE5E12">
        <w:rPr>
          <w:rFonts w:ascii="Arial" w:hAnsi="Arial" w:cs="Arial"/>
          <w:lang w:val="en-GB"/>
        </w:rPr>
        <w:t xml:space="preserve">, S., Economou, M., </w:t>
      </w:r>
      <w:proofErr w:type="spellStart"/>
      <w:r w:rsidRPr="00CE5E12">
        <w:rPr>
          <w:rFonts w:ascii="Arial" w:hAnsi="Arial" w:cs="Arial"/>
          <w:lang w:val="en-GB"/>
        </w:rPr>
        <w:t>Vandermosten</w:t>
      </w:r>
      <w:proofErr w:type="spellEnd"/>
      <w:r w:rsidRPr="00CE5E12">
        <w:rPr>
          <w:rFonts w:ascii="Arial" w:hAnsi="Arial" w:cs="Arial"/>
          <w:lang w:val="en-GB"/>
        </w:rPr>
        <w:t xml:space="preserve">, M., Wouters, J., Ghesquière, P., &amp; </w:t>
      </w:r>
      <w:proofErr w:type="spellStart"/>
      <w:r w:rsidRPr="00CE5E12">
        <w:rPr>
          <w:rFonts w:ascii="Arial" w:hAnsi="Arial" w:cs="Arial"/>
          <w:lang w:val="en-GB"/>
        </w:rPr>
        <w:t>Vanderauwera</w:t>
      </w:r>
      <w:proofErr w:type="spellEnd"/>
      <w:r w:rsidRPr="00CE5E12">
        <w:rPr>
          <w:rFonts w:ascii="Arial" w:hAnsi="Arial" w:cs="Arial"/>
          <w:lang w:val="en-GB"/>
        </w:rPr>
        <w:t xml:space="preserve">, J. (2020). Pre-literacy heterogeneity in Dutch-speaking kindergartners: Latent profile analysis. Annals of Dyslexia, 70(3), 275–294. </w:t>
      </w:r>
      <w:hyperlink r:id="rId61" w:history="1">
        <w:r w:rsidRPr="00CE5E12">
          <w:rPr>
            <w:rStyle w:val="Hyperlink"/>
            <w:rFonts w:ascii="Arial" w:hAnsi="Arial" w:cs="Arial"/>
            <w:lang w:val="en-GB"/>
          </w:rPr>
          <w:t>https://doi.org/10.1007/s11881-020-00207-9</w:t>
        </w:r>
      </w:hyperlink>
    </w:p>
    <w:p w14:paraId="08F3C94C"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Vogelaar, B., De </w:t>
      </w:r>
      <w:proofErr w:type="spellStart"/>
      <w:r w:rsidRPr="00CE5E12">
        <w:rPr>
          <w:rFonts w:ascii="Arial" w:hAnsi="Arial" w:cs="Arial"/>
          <w:lang w:val="en-GB"/>
        </w:rPr>
        <w:t>Vreeze-Westgeest</w:t>
      </w:r>
      <w:proofErr w:type="spellEnd"/>
      <w:r w:rsidRPr="00CE5E12">
        <w:rPr>
          <w:rFonts w:ascii="Arial" w:hAnsi="Arial" w:cs="Arial"/>
          <w:lang w:val="en-GB"/>
        </w:rPr>
        <w:t xml:space="preserve">, M., Mata, S., &amp; Serrano, F. (2025). Predicting the receptiveness to clinical dyslexia interventions with a dynamic reading and writing test. International Journal of Psychology and Educational Studies, 12(4), 228–242. </w:t>
      </w:r>
      <w:hyperlink r:id="rId62" w:history="1">
        <w:r w:rsidRPr="00CE5E12">
          <w:rPr>
            <w:rStyle w:val="Hyperlink"/>
            <w:rFonts w:ascii="Arial" w:hAnsi="Arial" w:cs="Arial"/>
            <w:lang w:val="en-GB"/>
          </w:rPr>
          <w:t>https://doi.org/10.52380/ijpes.2025.12.4.1354</w:t>
        </w:r>
      </w:hyperlink>
    </w:p>
    <w:p w14:paraId="0B7E2109" w14:textId="77777777" w:rsidR="00EA1EE2" w:rsidRPr="00CE5E12" w:rsidRDefault="00EA1EE2" w:rsidP="00CE5E12">
      <w:pPr>
        <w:pStyle w:val="ListParagraph"/>
        <w:numPr>
          <w:ilvl w:val="0"/>
          <w:numId w:val="36"/>
        </w:numPr>
        <w:rPr>
          <w:rFonts w:ascii="Arial" w:hAnsi="Arial" w:cs="Arial"/>
          <w:lang w:val="en-GB"/>
        </w:rPr>
      </w:pPr>
      <w:r w:rsidRPr="00CE5E12">
        <w:rPr>
          <w:rFonts w:ascii="Arial" w:hAnsi="Arial" w:cs="Arial"/>
          <w:lang w:val="en-GB"/>
        </w:rPr>
        <w:t xml:space="preserve">Whyte, W. (2020). Class and classification: The London Word Blind Centre for Dyslexic Children, 1962–1972. Oxford Review of Education, 46(4), 414–428. </w:t>
      </w:r>
      <w:hyperlink r:id="rId63" w:history="1">
        <w:r w:rsidRPr="00CE5E12">
          <w:rPr>
            <w:rStyle w:val="Hyperlink"/>
            <w:rFonts w:ascii="Arial" w:hAnsi="Arial" w:cs="Arial"/>
            <w:lang w:val="en-GB"/>
          </w:rPr>
          <w:t>https://doi.org/10.1080/03054985.2020.1751099</w:t>
        </w:r>
      </w:hyperlink>
    </w:p>
    <w:p w14:paraId="0868341B" w14:textId="29B33008" w:rsidR="00B01FCD" w:rsidRPr="00CE5E12" w:rsidRDefault="00EA1EE2" w:rsidP="00CE5E12">
      <w:pPr>
        <w:pStyle w:val="ListParagraph"/>
        <w:numPr>
          <w:ilvl w:val="0"/>
          <w:numId w:val="36"/>
        </w:numPr>
        <w:rPr>
          <w:rFonts w:ascii="Arial" w:hAnsi="Arial" w:cs="Arial"/>
          <w:b/>
        </w:rPr>
      </w:pPr>
      <w:r w:rsidRPr="00CE5E12">
        <w:rPr>
          <w:rFonts w:ascii="Arial" w:hAnsi="Arial" w:cs="Arial"/>
          <w:lang w:val="en-GB"/>
        </w:rPr>
        <w:t xml:space="preserve">Wolf, M., Gotlieb, R. J. M., Kim, S. A., et al. (2024). Towards a dynamic, comprehensive conceptualization of dyslexia. </w:t>
      </w:r>
      <w:r w:rsidRPr="00CE5E12">
        <w:rPr>
          <w:rFonts w:ascii="Arial" w:hAnsi="Arial" w:cs="Arial"/>
        </w:rPr>
        <w:t xml:space="preserve">Annals of Dyslexia, 74, 303–324. </w:t>
      </w:r>
      <w:hyperlink r:id="rId64" w:history="1">
        <w:r w:rsidRPr="00CE5E12">
          <w:rPr>
            <w:rStyle w:val="Hyperlink"/>
            <w:rFonts w:ascii="Arial" w:hAnsi="Arial" w:cs="Arial"/>
          </w:rPr>
          <w:t>https://doi.org/10.1007/s11881-023-00297-1</w:t>
        </w:r>
      </w:hyperlink>
    </w:p>
    <w:sectPr w:rsidR="00B01FCD" w:rsidRPr="00CE5E12" w:rsidSect="00501E97">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3608" w14:textId="77777777" w:rsidR="00A02381" w:rsidRDefault="00A02381" w:rsidP="00C37E61">
      <w:r>
        <w:separator/>
      </w:r>
    </w:p>
  </w:endnote>
  <w:endnote w:type="continuationSeparator" w:id="0">
    <w:p w14:paraId="4E5AE04C" w14:textId="77777777" w:rsidR="00A02381" w:rsidRDefault="00A023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B27F" w14:textId="77777777" w:rsidR="00C664B0" w:rsidRDefault="00C66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FB24" w14:textId="743760C6" w:rsidR="00C37E61" w:rsidRPr="00501676" w:rsidRDefault="00FE2D69" w:rsidP="00501676">
    <w:pPr>
      <w:pStyle w:val="Footer"/>
    </w:pPr>
    <w:r w:rsidRPr="0050167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B179" w14:textId="77777777" w:rsidR="009E048A" w:rsidRDefault="009E048A">
    <w:pPr>
      <w:pStyle w:val="Footer"/>
      <w:rPr>
        <w:rFonts w:ascii="Arial" w:hAnsi="Arial" w:cs="Arial"/>
        <w:sz w:val="16"/>
      </w:rPr>
    </w:pPr>
  </w:p>
  <w:p w14:paraId="7C7717A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7FFF8EB" w14:textId="68E3BD08"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E74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B92B" w14:textId="77777777" w:rsidR="00A02381" w:rsidRDefault="00A02381" w:rsidP="00C37E61">
      <w:r>
        <w:separator/>
      </w:r>
    </w:p>
  </w:footnote>
  <w:footnote w:type="continuationSeparator" w:id="0">
    <w:p w14:paraId="006E1127" w14:textId="77777777" w:rsidR="00A02381" w:rsidRDefault="00A023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CCFC" w14:textId="1CFAEE63" w:rsidR="00C664B0" w:rsidRDefault="00000000">
    <w:pPr>
      <w:pStyle w:val="Header"/>
    </w:pPr>
    <w:r>
      <w:rPr>
        <w:noProof/>
      </w:rPr>
      <w:pict w14:anchorId="2F63A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429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B113" w14:textId="6D20437A" w:rsidR="00C664B0" w:rsidRDefault="00000000">
    <w:pPr>
      <w:pStyle w:val="Header"/>
    </w:pPr>
    <w:r>
      <w:rPr>
        <w:noProof/>
      </w:rPr>
      <w:pict w14:anchorId="66448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429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42A2" w14:textId="43F75622" w:rsidR="00296529" w:rsidRPr="00296529" w:rsidRDefault="00000000" w:rsidP="00296529">
    <w:pPr>
      <w:ind w:left="2160"/>
      <w:jc w:val="center"/>
      <w:rPr>
        <w:rFonts w:ascii="Times New Roman" w:eastAsia="Calibri" w:hAnsi="Times New Roman"/>
        <w:i/>
        <w:sz w:val="18"/>
        <w:szCs w:val="22"/>
      </w:rPr>
    </w:pPr>
    <w:r>
      <w:rPr>
        <w:noProof/>
      </w:rPr>
      <w:pict w14:anchorId="00331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429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7E1D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2EC5D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686B5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EB0F8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C03C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CB03E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78B8" w14:textId="0B4A827A" w:rsidR="00C664B0" w:rsidRDefault="00000000">
    <w:pPr>
      <w:pStyle w:val="Header"/>
    </w:pPr>
    <w:r>
      <w:rPr>
        <w:noProof/>
      </w:rPr>
      <w:pict w14:anchorId="1C9E3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42972"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sidR="007D3F72">
      <w:rPr>
        <w:noProof/>
      </w:rPr>
      <mc:AlternateContent>
        <mc:Choice Requires="wps">
          <w:drawing>
            <wp:anchor distT="0" distB="0" distL="114300" distR="114300" simplePos="0" relativeHeight="251669504" behindDoc="1" locked="0" layoutInCell="0" allowOverlap="1" wp14:anchorId="7AA14A76" wp14:editId="25676997">
              <wp:simplePos x="0" y="0"/>
              <wp:positionH relativeFrom="margin">
                <wp:align>center</wp:align>
              </wp:positionH>
              <wp:positionV relativeFrom="margin">
                <wp:align>center</wp:align>
              </wp:positionV>
              <wp:extent cx="6612255" cy="734695"/>
              <wp:effectExtent l="0" t="2190750" r="0" b="2037080"/>
              <wp:wrapNone/>
              <wp:docPr id="208016176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F9C36A" w14:textId="77777777" w:rsidR="007D3F72" w:rsidRDefault="007D3F72" w:rsidP="007D3F72">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A14A76" id="_x0000_t202" coordsize="21600,21600" o:spt="202" path="m,l,21600r21600,l21600,xe">
              <v:stroke joinstyle="miter"/>
              <v:path gradientshapeok="t" o:connecttype="rect"/>
            </v:shapetype>
            <v:shape id="WordArt 6" o:spid="_x0000_s1034" type="#_x0000_t202" style="position:absolute;margin-left:0;margin-top:0;width:520.65pt;height:57.8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" o:allowincell="f" filled="f" stroked="f">
              <v:stroke joinstyle="round"/>
              <o:lock v:ext="edit" shapetype="t"/>
              <v:textbox style="mso-fit-shape-to-text:t">
                <w:txbxContent>
                  <w:p w14:paraId="1FF9C36A" w14:textId="77777777" w:rsidR="007D3F72" w:rsidRDefault="007D3F72" w:rsidP="007D3F72">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FEB0" w14:textId="3A9595B9" w:rsidR="00C664B0" w:rsidRDefault="00000000">
    <w:pPr>
      <w:pStyle w:val="Header"/>
    </w:pPr>
    <w:r>
      <w:rPr>
        <w:noProof/>
      </w:rPr>
      <w:pict w14:anchorId="416B1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42973"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sidR="007D3F72">
      <w:rPr>
        <w:noProof/>
      </w:rPr>
      <mc:AlternateContent>
        <mc:Choice Requires="wps">
          <w:drawing>
            <wp:anchor distT="0" distB="0" distL="114300" distR="114300" simplePos="0" relativeHeight="251673600" behindDoc="1" locked="0" layoutInCell="0" allowOverlap="1" wp14:anchorId="29F15EC2" wp14:editId="29B908DB">
              <wp:simplePos x="0" y="0"/>
              <wp:positionH relativeFrom="margin">
                <wp:align>center</wp:align>
              </wp:positionH>
              <wp:positionV relativeFrom="margin">
                <wp:align>center</wp:align>
              </wp:positionV>
              <wp:extent cx="6612255" cy="734695"/>
              <wp:effectExtent l="0" t="2193290" r="0" b="2034540"/>
              <wp:wrapNone/>
              <wp:docPr id="1924837050"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E9BEF9" w14:textId="77777777" w:rsidR="007D3F72" w:rsidRDefault="007D3F72" w:rsidP="007D3F72">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F15EC2" id="_x0000_t202" coordsize="21600,21600" o:spt="202" path="m,l,21600r21600,l21600,xe">
              <v:stroke joinstyle="miter"/>
              <v:path gradientshapeok="t" o:connecttype="rect"/>
            </v:shapetype>
            <v:shape id="WordArt 8" o:spid="_x0000_s1035" type="#_x0000_t202" style="position:absolute;margin-left:0;margin-top:0;width:520.65pt;height:57.8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" o:allowincell="f" filled="f" stroked="f">
              <v:stroke joinstyle="round"/>
              <o:lock v:ext="edit" shapetype="t"/>
              <v:textbox style="mso-fit-shape-to-text:t">
                <w:txbxContent>
                  <w:p w14:paraId="6AE9BEF9" w14:textId="77777777" w:rsidR="007D3F72" w:rsidRDefault="007D3F72" w:rsidP="007D3F72">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74CF" w14:textId="524CEE3E" w:rsidR="00C664B0" w:rsidRPr="00296529" w:rsidRDefault="00000000" w:rsidP="00296529">
    <w:pPr>
      <w:ind w:left="2160"/>
      <w:jc w:val="center"/>
      <w:rPr>
        <w:rFonts w:ascii="Times New Roman" w:eastAsia="Calibri" w:hAnsi="Times New Roman"/>
        <w:i/>
        <w:sz w:val="18"/>
        <w:szCs w:val="22"/>
      </w:rPr>
    </w:pPr>
    <w:r>
      <w:rPr>
        <w:noProof/>
      </w:rPr>
      <w:pict w14:anchorId="03F53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42971" o:spid="_x0000_s1029"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sidR="007D3F72">
      <w:rPr>
        <w:noProof/>
      </w:rPr>
      <mc:AlternateContent>
        <mc:Choice Requires="wps">
          <w:drawing>
            <wp:anchor distT="0" distB="0" distL="114300" distR="114300" simplePos="0" relativeHeight="251665408" behindDoc="1" locked="0" layoutInCell="0" allowOverlap="1" wp14:anchorId="606AF406" wp14:editId="2136E71C">
              <wp:simplePos x="0" y="0"/>
              <wp:positionH relativeFrom="margin">
                <wp:align>center</wp:align>
              </wp:positionH>
              <wp:positionV relativeFrom="margin">
                <wp:align>center</wp:align>
              </wp:positionV>
              <wp:extent cx="6612255" cy="734695"/>
              <wp:effectExtent l="0" t="2190750" r="0" b="2037080"/>
              <wp:wrapNone/>
              <wp:docPr id="129898202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D25B1C" w14:textId="77777777" w:rsidR="007D3F72" w:rsidRDefault="007D3F72" w:rsidP="007D3F72">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6AF406" id="_x0000_t202" coordsize="21600,21600" o:spt="202" path="m,l,21600r21600,l21600,xe">
              <v:stroke joinstyle="miter"/>
              <v:path gradientshapeok="t" o:connecttype="rect"/>
            </v:shapetype>
            <v:shape id="WordArt 4" o:spid="_x0000_s1036" type="#_x0000_t202" style="position:absolute;left:0;text-align:left;margin-left:0;margin-top:0;width:520.65pt;height:57.8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" o:allowincell="f" filled="f" stroked="f">
              <v:stroke joinstyle="round"/>
              <o:lock v:ext="edit" shapetype="t"/>
              <v:textbox style="mso-fit-shape-to-text:t">
                <w:txbxContent>
                  <w:p w14:paraId="55D25B1C" w14:textId="77777777" w:rsidR="007D3F72" w:rsidRDefault="007D3F72" w:rsidP="007D3F72">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p w14:paraId="322DC885" w14:textId="77777777" w:rsidR="00C664B0" w:rsidRPr="00296529" w:rsidRDefault="00C664B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1726D50" w14:textId="77777777" w:rsidR="00C664B0" w:rsidRPr="00296529" w:rsidRDefault="00C664B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D85C1F" w14:textId="77777777" w:rsidR="00C664B0" w:rsidRPr="00296529" w:rsidRDefault="00C664B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52E4BC" w14:textId="77777777" w:rsidR="00C664B0" w:rsidRDefault="00C664B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1DC11B" w14:textId="77777777" w:rsidR="00C664B0" w:rsidRDefault="00C664B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B862D95" w14:textId="77777777" w:rsidR="00C664B0" w:rsidRDefault="00C664B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E07168"/>
    <w:multiLevelType w:val="multilevel"/>
    <w:tmpl w:val="F9FA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BA44A5"/>
    <w:multiLevelType w:val="multilevel"/>
    <w:tmpl w:val="EE42136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7D514FC"/>
    <w:multiLevelType w:val="hybridMultilevel"/>
    <w:tmpl w:val="72441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4416EC"/>
    <w:multiLevelType w:val="multilevel"/>
    <w:tmpl w:val="1114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A04738"/>
    <w:multiLevelType w:val="hybridMultilevel"/>
    <w:tmpl w:val="77AA1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86AD6"/>
    <w:multiLevelType w:val="hybridMultilevel"/>
    <w:tmpl w:val="3FDA1F5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230333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7079614">
    <w:abstractNumId w:val="20"/>
  </w:num>
  <w:num w:numId="3" w16cid:durableId="1071466841">
    <w:abstractNumId w:val="29"/>
  </w:num>
  <w:num w:numId="4" w16cid:durableId="20805127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46292392">
    <w:abstractNumId w:val="8"/>
  </w:num>
  <w:num w:numId="6" w16cid:durableId="1315716769">
    <w:abstractNumId w:val="6"/>
  </w:num>
  <w:num w:numId="7" w16cid:durableId="1849560700">
    <w:abstractNumId w:val="1"/>
  </w:num>
  <w:num w:numId="8" w16cid:durableId="1924726864">
    <w:abstractNumId w:val="14"/>
  </w:num>
  <w:num w:numId="9" w16cid:durableId="756485213">
    <w:abstractNumId w:val="31"/>
  </w:num>
  <w:num w:numId="10" w16cid:durableId="73557530">
    <w:abstractNumId w:val="2"/>
  </w:num>
  <w:num w:numId="11" w16cid:durableId="948200654">
    <w:abstractNumId w:val="24"/>
  </w:num>
  <w:num w:numId="12" w16cid:durableId="592739321">
    <w:abstractNumId w:val="3"/>
  </w:num>
  <w:num w:numId="13" w16cid:durableId="654577481">
    <w:abstractNumId w:val="23"/>
  </w:num>
  <w:num w:numId="14" w16cid:durableId="1143500310">
    <w:abstractNumId w:val="9"/>
  </w:num>
  <w:num w:numId="15" w16cid:durableId="1318924547">
    <w:abstractNumId w:val="27"/>
  </w:num>
  <w:num w:numId="16" w16cid:durableId="1558666281">
    <w:abstractNumId w:val="5"/>
  </w:num>
  <w:num w:numId="17" w16cid:durableId="807283426">
    <w:abstractNumId w:val="28"/>
  </w:num>
  <w:num w:numId="18" w16cid:durableId="1724408671">
    <w:abstractNumId w:val="16"/>
  </w:num>
  <w:num w:numId="19" w16cid:durableId="1240210455">
    <w:abstractNumId w:val="34"/>
  </w:num>
  <w:num w:numId="20" w16cid:durableId="1308704744">
    <w:abstractNumId w:val="13"/>
  </w:num>
  <w:num w:numId="21" w16cid:durableId="814949489">
    <w:abstractNumId w:val="11"/>
  </w:num>
  <w:num w:numId="22" w16cid:durableId="402601005">
    <w:abstractNumId w:val="15"/>
  </w:num>
  <w:num w:numId="23" w16cid:durableId="1872456917">
    <w:abstractNumId w:val="25"/>
  </w:num>
  <w:num w:numId="24" w16cid:durableId="488719408">
    <w:abstractNumId w:val="32"/>
  </w:num>
  <w:num w:numId="25" w16cid:durableId="731925843">
    <w:abstractNumId w:val="4"/>
  </w:num>
  <w:num w:numId="26" w16cid:durableId="1348756530">
    <w:abstractNumId w:val="21"/>
  </w:num>
  <w:num w:numId="27" w16cid:durableId="239756358">
    <w:abstractNumId w:val="26"/>
  </w:num>
  <w:num w:numId="28" w16cid:durableId="2108647065">
    <w:abstractNumId w:val="33"/>
  </w:num>
  <w:num w:numId="29" w16cid:durableId="2067870425">
    <w:abstractNumId w:val="30"/>
  </w:num>
  <w:num w:numId="30" w16cid:durableId="935207465">
    <w:abstractNumId w:val="12"/>
  </w:num>
  <w:num w:numId="31" w16cid:durableId="1332371770">
    <w:abstractNumId w:val="10"/>
  </w:num>
  <w:num w:numId="32" w16cid:durableId="1050685556">
    <w:abstractNumId w:val="18"/>
  </w:num>
  <w:num w:numId="33" w16cid:durableId="808743824">
    <w:abstractNumId w:val="22"/>
  </w:num>
  <w:num w:numId="34" w16cid:durableId="1040129058">
    <w:abstractNumId w:val="7"/>
  </w:num>
  <w:num w:numId="35" w16cid:durableId="1073577876">
    <w:abstractNumId w:val="17"/>
  </w:num>
  <w:num w:numId="36" w16cid:durableId="8390772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D75"/>
    <w:rsid w:val="00017BD7"/>
    <w:rsid w:val="00030174"/>
    <w:rsid w:val="0004579C"/>
    <w:rsid w:val="000864C7"/>
    <w:rsid w:val="000A47FA"/>
    <w:rsid w:val="000A65D3"/>
    <w:rsid w:val="000B1E33"/>
    <w:rsid w:val="000C1021"/>
    <w:rsid w:val="000D689F"/>
    <w:rsid w:val="000E7B7B"/>
    <w:rsid w:val="000E7D62"/>
    <w:rsid w:val="000F200E"/>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5DE8"/>
    <w:rsid w:val="002460DC"/>
    <w:rsid w:val="00250985"/>
    <w:rsid w:val="002556F6"/>
    <w:rsid w:val="00283105"/>
    <w:rsid w:val="00284C4C"/>
    <w:rsid w:val="00287E68"/>
    <w:rsid w:val="00296529"/>
    <w:rsid w:val="002B27FB"/>
    <w:rsid w:val="002B685A"/>
    <w:rsid w:val="002C5718"/>
    <w:rsid w:val="002C57D2"/>
    <w:rsid w:val="002D1F6F"/>
    <w:rsid w:val="002E0D56"/>
    <w:rsid w:val="00306B90"/>
    <w:rsid w:val="00315186"/>
    <w:rsid w:val="00326809"/>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7322"/>
    <w:rsid w:val="004B72E5"/>
    <w:rsid w:val="004D305E"/>
    <w:rsid w:val="004D4277"/>
    <w:rsid w:val="004F72EC"/>
    <w:rsid w:val="00501676"/>
    <w:rsid w:val="00501E97"/>
    <w:rsid w:val="00502516"/>
    <w:rsid w:val="00505F06"/>
    <w:rsid w:val="00506828"/>
    <w:rsid w:val="0053056E"/>
    <w:rsid w:val="00554FDA"/>
    <w:rsid w:val="005B04CE"/>
    <w:rsid w:val="005C784C"/>
    <w:rsid w:val="005D17F6"/>
    <w:rsid w:val="005E5539"/>
    <w:rsid w:val="00602BF5"/>
    <w:rsid w:val="00617FDD"/>
    <w:rsid w:val="00633614"/>
    <w:rsid w:val="00633F68"/>
    <w:rsid w:val="00636EB2"/>
    <w:rsid w:val="006375B8"/>
    <w:rsid w:val="0066510A"/>
    <w:rsid w:val="00673757"/>
    <w:rsid w:val="00673F9F"/>
    <w:rsid w:val="00675572"/>
    <w:rsid w:val="00686953"/>
    <w:rsid w:val="00687DEA"/>
    <w:rsid w:val="00687E67"/>
    <w:rsid w:val="006967F7"/>
    <w:rsid w:val="006A250C"/>
    <w:rsid w:val="006B21D3"/>
    <w:rsid w:val="006B4810"/>
    <w:rsid w:val="006B57D0"/>
    <w:rsid w:val="006D30FF"/>
    <w:rsid w:val="006D6940"/>
    <w:rsid w:val="006F11EC"/>
    <w:rsid w:val="0070082C"/>
    <w:rsid w:val="007072AE"/>
    <w:rsid w:val="007369E6"/>
    <w:rsid w:val="00746E59"/>
    <w:rsid w:val="00754C9A"/>
    <w:rsid w:val="0075599A"/>
    <w:rsid w:val="00761D52"/>
    <w:rsid w:val="00763C13"/>
    <w:rsid w:val="0077749E"/>
    <w:rsid w:val="00790ADA"/>
    <w:rsid w:val="007B58C5"/>
    <w:rsid w:val="007C2A7D"/>
    <w:rsid w:val="007C6BA9"/>
    <w:rsid w:val="007C76A4"/>
    <w:rsid w:val="007D2288"/>
    <w:rsid w:val="007D3F72"/>
    <w:rsid w:val="007E088F"/>
    <w:rsid w:val="007F7B32"/>
    <w:rsid w:val="00804BC2"/>
    <w:rsid w:val="00813E68"/>
    <w:rsid w:val="0081431A"/>
    <w:rsid w:val="00830052"/>
    <w:rsid w:val="00831CD0"/>
    <w:rsid w:val="0083216F"/>
    <w:rsid w:val="00860000"/>
    <w:rsid w:val="00863BD3"/>
    <w:rsid w:val="008641ED"/>
    <w:rsid w:val="00866D66"/>
    <w:rsid w:val="008671C6"/>
    <w:rsid w:val="00875803"/>
    <w:rsid w:val="00877475"/>
    <w:rsid w:val="008862DB"/>
    <w:rsid w:val="008B459E"/>
    <w:rsid w:val="008C5600"/>
    <w:rsid w:val="008E13AE"/>
    <w:rsid w:val="008E1506"/>
    <w:rsid w:val="008E710C"/>
    <w:rsid w:val="008F69D6"/>
    <w:rsid w:val="00902823"/>
    <w:rsid w:val="00915CA6"/>
    <w:rsid w:val="00927834"/>
    <w:rsid w:val="009500A6"/>
    <w:rsid w:val="00957C18"/>
    <w:rsid w:val="00960579"/>
    <w:rsid w:val="009659BA"/>
    <w:rsid w:val="00983040"/>
    <w:rsid w:val="009869C9"/>
    <w:rsid w:val="009B3FB9"/>
    <w:rsid w:val="009C2465"/>
    <w:rsid w:val="009C3DCF"/>
    <w:rsid w:val="009C4C3F"/>
    <w:rsid w:val="009D35A0"/>
    <w:rsid w:val="009D7EB7"/>
    <w:rsid w:val="009E048A"/>
    <w:rsid w:val="009E08E9"/>
    <w:rsid w:val="009E3DB9"/>
    <w:rsid w:val="009E6E35"/>
    <w:rsid w:val="009F0EDA"/>
    <w:rsid w:val="00A02381"/>
    <w:rsid w:val="00A03B96"/>
    <w:rsid w:val="00A05B19"/>
    <w:rsid w:val="00A065DF"/>
    <w:rsid w:val="00A1134E"/>
    <w:rsid w:val="00A24E7E"/>
    <w:rsid w:val="00A258C3"/>
    <w:rsid w:val="00A347C0"/>
    <w:rsid w:val="00A51431"/>
    <w:rsid w:val="00A539AD"/>
    <w:rsid w:val="00A73494"/>
    <w:rsid w:val="00A80091"/>
    <w:rsid w:val="00A83015"/>
    <w:rsid w:val="00A83E83"/>
    <w:rsid w:val="00A94063"/>
    <w:rsid w:val="00AA3C3D"/>
    <w:rsid w:val="00AA6219"/>
    <w:rsid w:val="00AA74E0"/>
    <w:rsid w:val="00AB703F"/>
    <w:rsid w:val="00AC6BB8"/>
    <w:rsid w:val="00AE008F"/>
    <w:rsid w:val="00AE7DDF"/>
    <w:rsid w:val="00B0021E"/>
    <w:rsid w:val="00B01FCD"/>
    <w:rsid w:val="00B146A2"/>
    <w:rsid w:val="00B1776C"/>
    <w:rsid w:val="00B52583"/>
    <w:rsid w:val="00B52896"/>
    <w:rsid w:val="00B95236"/>
    <w:rsid w:val="00B96BD9"/>
    <w:rsid w:val="00BA1B01"/>
    <w:rsid w:val="00BA2641"/>
    <w:rsid w:val="00BB37AA"/>
    <w:rsid w:val="00BB5132"/>
    <w:rsid w:val="00BC53A0"/>
    <w:rsid w:val="00BE62AD"/>
    <w:rsid w:val="00BF121F"/>
    <w:rsid w:val="00BF1F80"/>
    <w:rsid w:val="00C14EC5"/>
    <w:rsid w:val="00C166EF"/>
    <w:rsid w:val="00C17EB0"/>
    <w:rsid w:val="00C2372E"/>
    <w:rsid w:val="00C27F5F"/>
    <w:rsid w:val="00C30A0F"/>
    <w:rsid w:val="00C37E61"/>
    <w:rsid w:val="00C46518"/>
    <w:rsid w:val="00C54C25"/>
    <w:rsid w:val="00C664B0"/>
    <w:rsid w:val="00C70F1B"/>
    <w:rsid w:val="00C71A47"/>
    <w:rsid w:val="00C7464C"/>
    <w:rsid w:val="00C85588"/>
    <w:rsid w:val="00CA47FF"/>
    <w:rsid w:val="00CB4716"/>
    <w:rsid w:val="00CB607B"/>
    <w:rsid w:val="00CC747F"/>
    <w:rsid w:val="00CD6755"/>
    <w:rsid w:val="00CD6856"/>
    <w:rsid w:val="00CE0089"/>
    <w:rsid w:val="00CE5E12"/>
    <w:rsid w:val="00CE793C"/>
    <w:rsid w:val="00CF193C"/>
    <w:rsid w:val="00D005BA"/>
    <w:rsid w:val="00D173F1"/>
    <w:rsid w:val="00D46120"/>
    <w:rsid w:val="00D72781"/>
    <w:rsid w:val="00D74CB0"/>
    <w:rsid w:val="00D8295D"/>
    <w:rsid w:val="00DA0296"/>
    <w:rsid w:val="00DC2A65"/>
    <w:rsid w:val="00DE15F0"/>
    <w:rsid w:val="00DE5663"/>
    <w:rsid w:val="00DE78AA"/>
    <w:rsid w:val="00E053D0"/>
    <w:rsid w:val="00E15994"/>
    <w:rsid w:val="00E3114E"/>
    <w:rsid w:val="00E31A70"/>
    <w:rsid w:val="00E324BA"/>
    <w:rsid w:val="00E35B02"/>
    <w:rsid w:val="00E66496"/>
    <w:rsid w:val="00E66B35"/>
    <w:rsid w:val="00E66E10"/>
    <w:rsid w:val="00E769F6"/>
    <w:rsid w:val="00E8407C"/>
    <w:rsid w:val="00E84F3C"/>
    <w:rsid w:val="00EA012C"/>
    <w:rsid w:val="00EA1EE2"/>
    <w:rsid w:val="00EA3D66"/>
    <w:rsid w:val="00EC6A55"/>
    <w:rsid w:val="00ED0288"/>
    <w:rsid w:val="00EE52CB"/>
    <w:rsid w:val="00EE7EEF"/>
    <w:rsid w:val="00EF581D"/>
    <w:rsid w:val="00EF7FD8"/>
    <w:rsid w:val="00F0213E"/>
    <w:rsid w:val="00F06F59"/>
    <w:rsid w:val="00F17988"/>
    <w:rsid w:val="00F469F0"/>
    <w:rsid w:val="00F53273"/>
    <w:rsid w:val="00F563E8"/>
    <w:rsid w:val="00F755E4"/>
    <w:rsid w:val="00F77D02"/>
    <w:rsid w:val="00F841E1"/>
    <w:rsid w:val="00FB3A86"/>
    <w:rsid w:val="00FC5218"/>
    <w:rsid w:val="00FD36C8"/>
    <w:rsid w:val="00FE2D5A"/>
    <w:rsid w:val="00FE2D69"/>
    <w:rsid w:val="00FE3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C76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7C76A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9C3DCF"/>
    <w:pPr>
      <w:spacing w:after="160" w:line="278" w:lineRule="auto"/>
      <w:ind w:left="720"/>
      <w:contextualSpacing/>
    </w:pPr>
    <w:rPr>
      <w:rFonts w:asciiTheme="minorHAnsi" w:eastAsiaTheme="minorHAnsi" w:hAnsiTheme="minorHAnsi" w:cstheme="minorBidi"/>
      <w:kern w:val="2"/>
      <w:sz w:val="24"/>
      <w:szCs w:val="24"/>
      <w:lang w:val="de-DE"/>
    </w:rPr>
  </w:style>
  <w:style w:type="paragraph" w:styleId="NoSpacing">
    <w:name w:val="No Spacing"/>
    <w:uiPriority w:val="1"/>
    <w:qFormat/>
    <w:rsid w:val="000864C7"/>
    <w:rPr>
      <w:rFonts w:asciiTheme="minorHAnsi" w:eastAsiaTheme="minorHAnsi" w:hAnsiTheme="minorHAnsi" w:cstheme="minorBidi"/>
      <w:kern w:val="2"/>
      <w:sz w:val="24"/>
      <w:szCs w:val="24"/>
      <w:lang w:val="de-DE"/>
    </w:rPr>
  </w:style>
  <w:style w:type="paragraph" w:styleId="CommentSubject">
    <w:name w:val="annotation subject"/>
    <w:basedOn w:val="CommentText"/>
    <w:next w:val="CommentText"/>
    <w:link w:val="CommentSubjectChar"/>
    <w:semiHidden/>
    <w:unhideWhenUsed/>
    <w:rsid w:val="007D3F72"/>
    <w:rPr>
      <w:rFonts w:ascii="Helvetica" w:hAnsi="Helvetica"/>
      <w:b/>
      <w:bCs/>
      <w:lang w:val="en-US" w:eastAsia="en-US"/>
    </w:rPr>
  </w:style>
  <w:style w:type="character" w:customStyle="1" w:styleId="CommentSubjectChar">
    <w:name w:val="Comment Subject Char"/>
    <w:basedOn w:val="CommentTextChar"/>
    <w:link w:val="CommentSubject"/>
    <w:semiHidden/>
    <w:rsid w:val="007D3F7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desc.13412" TargetMode="External"/><Relationship Id="rId21" Type="http://schemas.openxmlformats.org/officeDocument/2006/relationships/hyperlink" Target="https://doi.org/10.1080/10888438.2019.1572758" TargetMode="External"/><Relationship Id="rId34" Type="http://schemas.openxmlformats.org/officeDocument/2006/relationships/hyperlink" Target="https://doi.org/10.1111/1467-8578.12481" TargetMode="External"/><Relationship Id="rId42" Type="http://schemas.openxmlformats.org/officeDocument/2006/relationships/hyperlink" Target="https://doi.org/10.1111/1467-9817.12375" TargetMode="External"/><Relationship Id="rId47" Type="http://schemas.openxmlformats.org/officeDocument/2006/relationships/hyperlink" Target="https://doi.org/10.1080/13670050.2024.2446991" TargetMode="External"/><Relationship Id="rId50" Type="http://schemas.openxmlformats.org/officeDocument/2006/relationships/hyperlink" Target="https://doi.org/10.13140/2.1.1018.4643" TargetMode="External"/><Relationship Id="rId55" Type="http://schemas.openxmlformats.org/officeDocument/2006/relationships/hyperlink" Target="https://doi.org/10.12973/ejper.6.3.119" TargetMode="External"/><Relationship Id="rId63" Type="http://schemas.openxmlformats.org/officeDocument/2006/relationships/hyperlink" Target="https://doi.org/10.1080/03054985.2020.175109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109/TLT.2022.3170231" TargetMode="External"/><Relationship Id="rId11" Type="http://schemas.openxmlformats.org/officeDocument/2006/relationships/footer" Target="footer2.xml"/><Relationship Id="rId24" Type="http://schemas.openxmlformats.org/officeDocument/2006/relationships/hyperlink" Target="https://doi.org/10.1037/dev0001293" TargetMode="External"/><Relationship Id="rId32" Type="http://schemas.openxmlformats.org/officeDocument/2006/relationships/hyperlink" Target="https://doi.org/10.1007/s11881-021-00226-0" TargetMode="External"/><Relationship Id="rId37" Type="http://schemas.openxmlformats.org/officeDocument/2006/relationships/hyperlink" Target="https://doi.org/10.46328/ijonses.506" TargetMode="External"/><Relationship Id="rId40" Type="http://schemas.openxmlformats.org/officeDocument/2006/relationships/hyperlink" Target="https://doi.org/10.1111/cdev.13459" TargetMode="External"/><Relationship Id="rId45" Type="http://schemas.openxmlformats.org/officeDocument/2006/relationships/hyperlink" Target="https://doi.org/10.1007/s11881-025-00327-0" TargetMode="External"/><Relationship Id="rId53" Type="http://schemas.openxmlformats.org/officeDocument/2006/relationships/hyperlink" Target="https://doi.org/10.1007/s11145-023-10486-4" TargetMode="External"/><Relationship Id="rId58" Type="http://schemas.openxmlformats.org/officeDocument/2006/relationships/hyperlink" Target="https://doi.org/10.1080/10888438.2019.1603543"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07/s11881-020-00207-9" TargetMode="External"/><Relationship Id="rId19" Type="http://schemas.openxmlformats.org/officeDocument/2006/relationships/hyperlink" Target="https://doi.org/10.1007/s10734-024-01314-x" TargetMode="External"/><Relationship Id="rId14" Type="http://schemas.openxmlformats.org/officeDocument/2006/relationships/header" Target="header4.xml"/><Relationship Id="rId22" Type="http://schemas.openxmlformats.org/officeDocument/2006/relationships/hyperlink" Target="https://doi.org/10.29329/ijpe.2020.248.15" TargetMode="External"/><Relationship Id="rId27" Type="http://schemas.openxmlformats.org/officeDocument/2006/relationships/hyperlink" Target="https://doi.org/10.1111/jcal.12624" TargetMode="External"/><Relationship Id="rId30" Type="http://schemas.openxmlformats.org/officeDocument/2006/relationships/hyperlink" Target="https://doi.org/10.1007/s11881-022-00273-1" TargetMode="External"/><Relationship Id="rId35" Type="http://schemas.openxmlformats.org/officeDocument/2006/relationships/hyperlink" Target="https://doi.org/10.1007/s11881-024-00313-y" TargetMode="External"/><Relationship Id="rId43" Type="http://schemas.openxmlformats.org/officeDocument/2006/relationships/hyperlink" Target="https://doi.org/10.1080/03054985.2020.1747418" TargetMode="External"/><Relationship Id="rId48" Type="http://schemas.openxmlformats.org/officeDocument/2006/relationships/hyperlink" Target="https://doi.org/10.1007/s11881-019-00187-5" TargetMode="External"/><Relationship Id="rId56" Type="http://schemas.openxmlformats.org/officeDocument/2006/relationships/hyperlink" Target="https://doi.org/10.1177/01427237251333482" TargetMode="External"/><Relationship Id="rId64" Type="http://schemas.openxmlformats.org/officeDocument/2006/relationships/hyperlink" Target="https://doi.org/10.1007/s11881-023-00297-1" TargetMode="External"/><Relationship Id="rId8" Type="http://schemas.openxmlformats.org/officeDocument/2006/relationships/header" Target="header1.xml"/><Relationship Id="rId51" Type="http://schemas.openxmlformats.org/officeDocument/2006/relationships/hyperlink" Target="https://doi.org/10.1080/03054985.2020.176575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80/14675986.2024.2408134" TargetMode="External"/><Relationship Id="rId33" Type="http://schemas.openxmlformats.org/officeDocument/2006/relationships/hyperlink" Target="https://doi.org/10.1111/mbe.12434" TargetMode="External"/><Relationship Id="rId38" Type="http://schemas.openxmlformats.org/officeDocument/2006/relationships/hyperlink" Target="https://doi.org/10.1002/rrq.333" TargetMode="External"/><Relationship Id="rId46" Type="http://schemas.openxmlformats.org/officeDocument/2006/relationships/hyperlink" Target="https://doi.org/10.1136/bmj.n71" TargetMode="External"/><Relationship Id="rId59" Type="http://schemas.openxmlformats.org/officeDocument/2006/relationships/hyperlink" Target="https://doi.org/10.1007/s11881-024-00314-x" TargetMode="External"/><Relationship Id="rId20" Type="http://schemas.openxmlformats.org/officeDocument/2006/relationships/hyperlink" Target="https://doi.org/10.1111/1471-3802.12627" TargetMode="External"/><Relationship Id="rId41" Type="http://schemas.openxmlformats.org/officeDocument/2006/relationships/hyperlink" Target="https://doi.org/10.1111/1471-3802.12683" TargetMode="External"/><Relationship Id="rId54" Type="http://schemas.openxmlformats.org/officeDocument/2006/relationships/hyperlink" Target="https://doi.org/10.1111/1467-8578.12200" TargetMode="External"/><Relationship Id="rId62" Type="http://schemas.openxmlformats.org/officeDocument/2006/relationships/hyperlink" Target="https://doi.org/10.52380/ijpes.2025.12.4.135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1111/1467-9604.12472" TargetMode="External"/><Relationship Id="rId28" Type="http://schemas.openxmlformats.org/officeDocument/2006/relationships/hyperlink" Target="https://doi.org/10.1191/1478088706qp063oa" TargetMode="External"/><Relationship Id="rId36" Type="http://schemas.openxmlformats.org/officeDocument/2006/relationships/hyperlink" Target="https://doi.org/10.1002/rrq.70047" TargetMode="External"/><Relationship Id="rId49" Type="http://schemas.openxmlformats.org/officeDocument/2006/relationships/hyperlink" Target="https://doi.org/10.1007/s11881-025-00329-0" TargetMode="External"/><Relationship Id="rId57" Type="http://schemas.openxmlformats.org/officeDocument/2006/relationships/hyperlink" Target="https://doi.org/10.1186/1471-2288-8-45" TargetMode="External"/><Relationship Id="rId10" Type="http://schemas.openxmlformats.org/officeDocument/2006/relationships/footer" Target="footer1.xml"/><Relationship Id="rId31" Type="http://schemas.openxmlformats.org/officeDocument/2006/relationships/hyperlink" Target="https://doi.org/10.1080/19404158.2024.2341697" TargetMode="External"/><Relationship Id="rId44" Type="http://schemas.openxmlformats.org/officeDocument/2006/relationships/hyperlink" Target="https://doi.org/10.1111/1467-8578.70028" TargetMode="External"/><Relationship Id="rId52" Type="http://schemas.openxmlformats.org/officeDocument/2006/relationships/hyperlink" Target="https://doi.org/10.1111/desc.12723" TargetMode="External"/><Relationship Id="rId60" Type="http://schemas.openxmlformats.org/officeDocument/2006/relationships/hyperlink" Target="https://doi.org/10.1080/10888438.2017.1317780"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1.png"/><Relationship Id="rId39" Type="http://schemas.openxmlformats.org/officeDocument/2006/relationships/hyperlink" Target="https://doi.org/10.1080/00461520.2019.1659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CB9E0-ED73-466D-8761-54C1D3836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21</Pages>
  <Words>9048</Words>
  <Characters>51580</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60507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7</cp:revision>
  <cp:lastPrinted>1999-07-06T11:00:00Z</cp:lastPrinted>
  <dcterms:created xsi:type="dcterms:W3CDTF">2026-05-22T07:27:00Z</dcterms:created>
  <dcterms:modified xsi:type="dcterms:W3CDTF">2026-05-26T10:53:00Z</dcterms:modified>
</cp:coreProperties>
</file>