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67FC" w14:textId="77777777" w:rsidR="00097579" w:rsidRDefault="004B083D" w:rsidP="00097579">
      <w:pPr>
        <w:pStyle w:val="Title"/>
        <w:spacing w:after="0"/>
        <w:jc w:val="both"/>
        <w:rPr>
          <w:rFonts w:ascii="Arial" w:hAnsi="Arial" w:cs="Arial"/>
        </w:rPr>
      </w:pPr>
      <w:r w:rsidRPr="001D09B0">
        <w:rPr>
          <w:rFonts w:ascii="Arial" w:hAnsi="Arial" w:cs="Arial"/>
        </w:rPr>
        <w:t>Original Research Article</w:t>
      </w:r>
    </w:p>
    <w:p w14:paraId="2F561473" w14:textId="77777777" w:rsidR="00097579" w:rsidRDefault="00097579" w:rsidP="00097579">
      <w:pPr>
        <w:pStyle w:val="Title"/>
        <w:spacing w:after="0"/>
        <w:jc w:val="both"/>
        <w:rPr>
          <w:rFonts w:ascii="Arial" w:hAnsi="Arial" w:cs="Arial"/>
        </w:rPr>
      </w:pPr>
    </w:p>
    <w:p w14:paraId="145B5AD1" w14:textId="77777777" w:rsidR="00097579" w:rsidRPr="00A054E2" w:rsidRDefault="00097579" w:rsidP="00097579">
      <w:pPr>
        <w:pStyle w:val="Title"/>
        <w:spacing w:after="0"/>
        <w:jc w:val="both"/>
        <w:rPr>
          <w:rFonts w:ascii="Arial" w:hAnsi="Arial" w:cs="Arial"/>
        </w:rPr>
      </w:pPr>
    </w:p>
    <w:p w14:paraId="0FB7D201" w14:textId="77777777" w:rsidR="00097579" w:rsidRPr="00A054E2" w:rsidRDefault="004B083D" w:rsidP="00097579">
      <w:pPr>
        <w:pStyle w:val="Author"/>
        <w:spacing w:line="240" w:lineRule="auto"/>
        <w:rPr>
          <w:rFonts w:ascii="Arial" w:hAnsi="Arial" w:cs="Arial"/>
          <w:bCs/>
          <w:iCs/>
          <w:kern w:val="28"/>
          <w:sz w:val="36"/>
        </w:rPr>
      </w:pPr>
      <w:r w:rsidRPr="00A054E2">
        <w:rPr>
          <w:rFonts w:ascii="Arial" w:hAnsi="Arial" w:cs="Arial"/>
          <w:bCs/>
          <w:iCs/>
          <w:kern w:val="28"/>
          <w:sz w:val="36"/>
        </w:rPr>
        <w:t>Pedagogical Performance of Teachers and 21</w:t>
      </w:r>
      <w:r w:rsidRPr="00A054E2">
        <w:rPr>
          <w:rFonts w:ascii="Arial" w:hAnsi="Arial" w:cs="Arial"/>
          <w:bCs/>
          <w:iCs/>
          <w:kern w:val="28"/>
          <w:sz w:val="36"/>
          <w:vertAlign w:val="superscript"/>
        </w:rPr>
        <w:t>st</w:t>
      </w:r>
      <w:r w:rsidRPr="00A054E2">
        <w:rPr>
          <w:rFonts w:ascii="Arial" w:hAnsi="Arial" w:cs="Arial"/>
          <w:bCs/>
          <w:iCs/>
          <w:kern w:val="28"/>
          <w:sz w:val="36"/>
        </w:rPr>
        <w:t xml:space="preserve"> Century Skills of Learners  </w:t>
      </w:r>
    </w:p>
    <w:p w14:paraId="1A002E2F" w14:textId="77777777" w:rsidR="00097579" w:rsidRPr="00A054E2" w:rsidRDefault="00097579" w:rsidP="00097579">
      <w:pPr>
        <w:pStyle w:val="Author"/>
        <w:spacing w:line="240" w:lineRule="auto"/>
        <w:jc w:val="both"/>
        <w:rPr>
          <w:rFonts w:ascii="Arial" w:hAnsi="Arial" w:cs="Arial"/>
          <w:sz w:val="36"/>
        </w:rPr>
      </w:pPr>
    </w:p>
    <w:p w14:paraId="13F86EEF" w14:textId="77777777" w:rsidR="00097579" w:rsidRPr="00A054E2" w:rsidRDefault="004B083D" w:rsidP="00097579">
      <w:pPr>
        <w:pStyle w:val="Copyright"/>
        <w:spacing w:after="0" w:line="240" w:lineRule="auto"/>
        <w:jc w:val="both"/>
        <w:rPr>
          <w:rFonts w:ascii="Arial" w:hAnsi="Arial" w:cs="Arial"/>
        </w:rPr>
        <w:sectPr w:rsidR="00097579" w:rsidRPr="00A054E2" w:rsidSect="00BB3A9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8679E4" wp14:editId="60FEF9AA">
                <wp:extent cx="5303520" cy="635"/>
                <wp:effectExtent l="13335" t="15240" r="17145" b="1333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i1025" type="#_x0000_t32" style="width:417.6pt;height:0.05pt;mso-left-percent:-10001;mso-position-horizontal-relative:char;mso-position-vertical-relative:line;mso-top-percent:-10001;mso-wrap-style:square;visibility:visible" strokeweight="1.5pt">
                <w10:anchorlock/>
              </v:shape>
            </w:pict>
          </mc:Fallback>
        </mc:AlternateContent>
      </w:r>
      <w:r w:rsidRPr="00A054E2">
        <w:rPr>
          <w:rFonts w:ascii="Arial" w:hAnsi="Arial" w:cs="Arial"/>
        </w:rPr>
        <w:t>.</w:t>
      </w:r>
    </w:p>
    <w:p w14:paraId="3CC48098" w14:textId="77777777" w:rsidR="00097579" w:rsidRPr="00A054E2" w:rsidRDefault="004B083D" w:rsidP="00097579">
      <w:pPr>
        <w:pStyle w:val="AbstHead"/>
        <w:spacing w:after="0"/>
        <w:jc w:val="both"/>
        <w:rPr>
          <w:rFonts w:ascii="Arial" w:hAnsi="Arial" w:cs="Arial"/>
        </w:rPr>
      </w:pPr>
      <w:r w:rsidRPr="00A054E2">
        <w:rPr>
          <w:rFonts w:ascii="Arial" w:hAnsi="Arial" w:cs="Arial"/>
        </w:rPr>
        <w:t xml:space="preserve">ABSTRACT </w:t>
      </w:r>
    </w:p>
    <w:p w14:paraId="598622C8" w14:textId="77777777" w:rsidR="00097579" w:rsidRPr="00A054E2" w:rsidRDefault="00097579" w:rsidP="0009757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60767" w14:paraId="073196BE" w14:textId="77777777" w:rsidTr="00D072B6">
        <w:tc>
          <w:tcPr>
            <w:tcW w:w="8198" w:type="dxa"/>
            <w:shd w:val="clear" w:color="auto" w:fill="F2F2F2"/>
          </w:tcPr>
          <w:p w14:paraId="09F12B26" w14:textId="77777777" w:rsidR="00D072B6" w:rsidRPr="00881984" w:rsidRDefault="00D072B6" w:rsidP="00D072B6">
            <w:pPr>
              <w:pStyle w:val="Heading1"/>
              <w:keepNext w:val="0"/>
              <w:spacing w:after="240"/>
              <w:jc w:val="both"/>
              <w:rPr>
                <w:rFonts w:cs="Arial"/>
                <w:b w:val="0"/>
                <w:color w:val="000000"/>
                <w:sz w:val="20"/>
              </w:rPr>
            </w:pPr>
            <w:r w:rsidRPr="00D072B6">
              <w:rPr>
                <w:rFonts w:cs="Arial"/>
                <w:color w:val="000000"/>
                <w:sz w:val="20"/>
                <w:shd w:val="clear" w:color="auto" w:fill="F0F0F0"/>
              </w:rPr>
              <w:t>Purpose:</w:t>
            </w:r>
            <w:r>
              <w:rPr>
                <w:rFonts w:cs="Arial"/>
                <w:b w:val="0"/>
                <w:color w:val="000000"/>
                <w:sz w:val="20"/>
                <w:shd w:val="clear" w:color="auto" w:fill="F0F0F0"/>
              </w:rPr>
              <w:t xml:space="preserve"> This study determined </w:t>
            </w:r>
            <w:r w:rsidRPr="00881984">
              <w:rPr>
                <w:rFonts w:cs="Arial"/>
                <w:b w:val="0"/>
                <w:color w:val="000000"/>
                <w:sz w:val="20"/>
                <w:shd w:val="clear" w:color="auto" w:fill="F0F0F0"/>
              </w:rPr>
              <w:t>the relationship between the pedagogical performance of teachers and the development of 21st-century skills among elementary learners in seven public schools in Don Marcelino District, Davao Occidental. It aimed to determine the extent of teachers’ pedagogical performance, the level of learners’ 21st-century skills, and the significance of the relationship between these variables.</w:t>
            </w:r>
          </w:p>
          <w:p w14:paraId="04111824" w14:textId="77777777" w:rsidR="00D072B6" w:rsidRPr="00881984" w:rsidRDefault="00D072B6" w:rsidP="00D072B6">
            <w:pPr>
              <w:spacing w:before="120" w:after="120"/>
              <w:jc w:val="both"/>
              <w:rPr>
                <w:rFonts w:ascii="Arial" w:hAnsi="Arial" w:cs="Arial"/>
                <w:color w:val="000000"/>
              </w:rPr>
            </w:pPr>
            <w:r w:rsidRPr="00D072B6">
              <w:rPr>
                <w:rFonts w:ascii="Arial" w:hAnsi="Arial" w:cs="Arial"/>
                <w:b/>
                <w:bCs/>
                <w:color w:val="000000"/>
                <w:shd w:val="clear" w:color="auto" w:fill="F0F0F0"/>
              </w:rPr>
              <w:t>Methods:</w:t>
            </w:r>
            <w:r w:rsidRPr="00881984">
              <w:rPr>
                <w:rFonts w:ascii="Arial" w:hAnsi="Arial" w:cs="Arial"/>
                <w:color w:val="000000"/>
                <w:shd w:val="clear" w:color="auto" w:fill="F0F0F0"/>
              </w:rPr>
              <w:t xml:space="preserve"> This study employed a descriptive–correlational research design. The participants included 54 teachers from seven public elementary schools, selected through universal sampling. Data were collected using two adapted questionnaires: one measuring teachers' pedagogical performance based on the Massachusetts Model System for Educator Evaluation, and another assessing learners' 21st-century skill based on the Partnership for 21st Century Skills framework. The learners’ skills were rated by teachers based on observed classroom behaviors. Both instruments utilized a five-point Likert scale. Data were analyzed using mean, standard deviation, and Pearson product–moment correlation coefficient (r).</w:t>
            </w:r>
          </w:p>
          <w:p w14:paraId="1ED7CD8F" w14:textId="77777777" w:rsidR="00D072B6" w:rsidRPr="00881984" w:rsidRDefault="00D072B6" w:rsidP="00D072B6">
            <w:pPr>
              <w:spacing w:before="120" w:after="120"/>
              <w:jc w:val="both"/>
              <w:rPr>
                <w:rFonts w:ascii="Arial" w:hAnsi="Arial" w:cs="Arial"/>
                <w:color w:val="000000"/>
              </w:rPr>
            </w:pPr>
            <w:r w:rsidRPr="00D072B6">
              <w:rPr>
                <w:rFonts w:ascii="Arial" w:hAnsi="Arial" w:cs="Arial"/>
                <w:b/>
                <w:bCs/>
                <w:color w:val="000000"/>
                <w:shd w:val="clear" w:color="auto" w:fill="F0F0F0"/>
              </w:rPr>
              <w:t>Results:</w:t>
            </w:r>
            <w:r w:rsidRPr="00881984">
              <w:rPr>
                <w:rFonts w:ascii="Arial" w:hAnsi="Arial" w:cs="Arial"/>
                <w:color w:val="000000"/>
                <w:shd w:val="clear" w:color="auto" w:fill="F0F0F0"/>
              </w:rPr>
              <w:t xml:space="preserve"> The findings revealed that teachers’ pedagogical performance was generally at a very high extent (M = 4.22, SD = 0.45), with professional culture scoring highest (M = 4.35, SD = 0.39) and family and community engagement lowest (M = 3.98, SD = 0.52). Learners’ 21st-century skills were overall moderate (M = 4.31, SD = 0.47), with life skills the highest (M = 4.44, SD = 0.43) and information, media, and technology skills the lowest (M = 4.12, SD = 0.51). Pearson r analysis indicated a statistically significant moderate positive correlation between teachers’ pedagogical performance and learners’ 21st-century skills (r = 0.68, p &lt; 0.05), suggesting that higher teacher competence is associated with enhanced learner outcomes.</w:t>
            </w:r>
          </w:p>
          <w:p w14:paraId="57F5AE6E" w14:textId="77777777" w:rsidR="00097579" w:rsidRPr="00A054E2" w:rsidRDefault="00D072B6" w:rsidP="00D072B6">
            <w:pPr>
              <w:pStyle w:val="NormalWeb"/>
              <w:jc w:val="both"/>
              <w:rPr>
                <w:rFonts w:ascii="Arial" w:hAnsi="Arial" w:cs="Arial"/>
                <w:sz w:val="22"/>
                <w:szCs w:val="22"/>
              </w:rPr>
            </w:pPr>
            <w:r w:rsidRPr="00D072B6">
              <w:rPr>
                <w:rFonts w:ascii="Arial" w:hAnsi="Arial" w:cs="Arial"/>
                <w:b/>
                <w:bCs/>
                <w:color w:val="000000"/>
                <w:sz w:val="20"/>
                <w:szCs w:val="20"/>
                <w:shd w:val="clear" w:color="auto" w:fill="F0F0F0"/>
              </w:rPr>
              <w:t>Conclusions:</w:t>
            </w:r>
            <w:r w:rsidRPr="00881984">
              <w:rPr>
                <w:rFonts w:ascii="Arial" w:hAnsi="Arial" w:cs="Arial"/>
                <w:color w:val="000000"/>
                <w:sz w:val="20"/>
                <w:szCs w:val="20"/>
                <w:shd w:val="clear" w:color="auto" w:fill="F0F0F0"/>
              </w:rPr>
              <w:t xml:space="preserve"> The study concludes that teachers’ pedagogical performance is significantly associated with learners’ 21st-century skills. However, causal inferences cannot be established, and other contextual factors may contribute to the development of these skills.</w:t>
            </w:r>
          </w:p>
        </w:tc>
      </w:tr>
    </w:tbl>
    <w:p w14:paraId="1470B644" w14:textId="77777777" w:rsidR="00D072B6" w:rsidRPr="00881984" w:rsidRDefault="00D072B6" w:rsidP="00D072B6">
      <w:pPr>
        <w:spacing w:before="120" w:after="120"/>
        <w:rPr>
          <w:rFonts w:ascii="Arial" w:hAnsi="Arial" w:cs="Arial"/>
        </w:rPr>
      </w:pPr>
      <w:r w:rsidRPr="00881984">
        <w:rPr>
          <w:rFonts w:ascii="Arial" w:hAnsi="Arial" w:cs="Arial"/>
          <w:b/>
          <w:bCs/>
          <w:i/>
          <w:iCs/>
        </w:rPr>
        <w:t>Keywords:</w:t>
      </w:r>
      <w:r w:rsidRPr="00881984">
        <w:rPr>
          <w:rFonts w:ascii="Arial" w:hAnsi="Arial" w:cs="Arial"/>
          <w:i/>
          <w:iCs/>
        </w:rPr>
        <w:t xml:space="preserve"> pedagogical performance, 21st-century skills, elementary education, teacher effectiveness, learner outcomes</w:t>
      </w:r>
    </w:p>
    <w:p w14:paraId="430D0DDE" w14:textId="77777777" w:rsidR="00D072B6" w:rsidRPr="00881984" w:rsidRDefault="00D072B6" w:rsidP="00D072B6">
      <w:pPr>
        <w:spacing w:before="120" w:after="120"/>
        <w:rPr>
          <w:rFonts w:ascii="Arial" w:hAnsi="Arial" w:cs="Arial"/>
        </w:rPr>
      </w:pPr>
      <w:r w:rsidRPr="00881984">
        <w:rPr>
          <w:rFonts w:ascii="Arial" w:hAnsi="Arial" w:cs="Arial"/>
          <w:b/>
          <w:bCs/>
        </w:rPr>
        <w:t xml:space="preserve">1. INTRODUCTION </w:t>
      </w:r>
    </w:p>
    <w:p w14:paraId="66D9DC35"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Twenty-first-century skills refer to competencies such as critical thinking, collaboration, creativity, and digital literacy that are necessary for students to navigate contemporary work and life challenges. Pedagogical performance encompasses teachers’ effectiveness in curriculum planning, instructional delivery, classroom management, and assessment </w:t>
      </w:r>
      <w:r w:rsidRPr="00881984">
        <w:rPr>
          <w:rFonts w:ascii="Arial" w:hAnsi="Arial" w:cs="Arial"/>
        </w:rPr>
        <w:lastRenderedPageBreak/>
        <w:t>practices. These days, standards for academic performance have changed with the rapid development of information and communication technology (ICT) and the prominent growth of the global economy (Zhang, 2020).</w:t>
      </w:r>
    </w:p>
    <w:p w14:paraId="4EE1BFEF"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A study by the Philippines and </w:t>
      </w:r>
      <w:proofErr w:type="spellStart"/>
      <w:r w:rsidRPr="00881984">
        <w:rPr>
          <w:rFonts w:ascii="Arial" w:hAnsi="Arial" w:cs="Arial"/>
        </w:rPr>
        <w:t>Oco</w:t>
      </w:r>
      <w:proofErr w:type="spellEnd"/>
      <w:r w:rsidRPr="00881984">
        <w:rPr>
          <w:rFonts w:ascii="Arial" w:hAnsi="Arial" w:cs="Arial"/>
        </w:rPr>
        <w:t xml:space="preserve"> (2025) found that teachers’ competence aligned with the Philippine Professional Standards for Teachers (PPST) is significantly associated with pupils’ 21st-century skills and academic performance. The study highlighted that domains such as content knowledge, pedagogy, and assessment practices are closely linked to learners’ ability to demonstrate critical thinking, collaboration, and problem-solving skills.</w:t>
      </w:r>
    </w:p>
    <w:p w14:paraId="458D1621"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Similarly, research by </w:t>
      </w:r>
      <w:proofErr w:type="spellStart"/>
      <w:r w:rsidRPr="00881984">
        <w:rPr>
          <w:rFonts w:ascii="Arial" w:hAnsi="Arial" w:cs="Arial"/>
        </w:rPr>
        <w:t>Montebon</w:t>
      </w:r>
      <w:proofErr w:type="spellEnd"/>
      <w:r w:rsidRPr="00881984">
        <w:rPr>
          <w:rFonts w:ascii="Arial" w:hAnsi="Arial" w:cs="Arial"/>
        </w:rPr>
        <w:t xml:space="preserve"> and </w:t>
      </w:r>
      <w:proofErr w:type="spellStart"/>
      <w:r w:rsidRPr="00881984">
        <w:rPr>
          <w:rFonts w:ascii="Arial" w:hAnsi="Arial" w:cs="Arial"/>
        </w:rPr>
        <w:t>Dayaganon</w:t>
      </w:r>
      <w:proofErr w:type="spellEnd"/>
      <w:r w:rsidRPr="00881984">
        <w:rPr>
          <w:rFonts w:ascii="Arial" w:hAnsi="Arial" w:cs="Arial"/>
        </w:rPr>
        <w:t xml:space="preserve"> (2025) in Region XI found that 21st-century skills and school culture are key predictors of teaching performance. Their findings also showed that a supportive, collaborative school environment helps teachers use modern pedagogical approaches and promote learners’ competencies.</w:t>
      </w:r>
    </w:p>
    <w:p w14:paraId="5096D5D1"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In the context of digital integration, a study by Cortez and </w:t>
      </w:r>
      <w:proofErr w:type="spellStart"/>
      <w:r w:rsidRPr="00881984">
        <w:rPr>
          <w:rFonts w:ascii="Arial" w:hAnsi="Arial" w:cs="Arial"/>
        </w:rPr>
        <w:t>Ponsades</w:t>
      </w:r>
      <w:proofErr w:type="spellEnd"/>
      <w:r w:rsidRPr="00881984">
        <w:rPr>
          <w:rFonts w:ascii="Arial" w:hAnsi="Arial" w:cs="Arial"/>
        </w:rPr>
        <w:t xml:space="preserve"> (2024) examined the mediating role of 21st-century skills in the relationship between digital literacy and teaching performance. The results showed that teachers’ digital competence contributes to improved instructional practices, which, in turn, support the development of learners’ 21st-century skills.</w:t>
      </w:r>
    </w:p>
    <w:p w14:paraId="459586FF"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Moreover, research by </w:t>
      </w:r>
      <w:proofErr w:type="spellStart"/>
      <w:r w:rsidRPr="00881984">
        <w:rPr>
          <w:rFonts w:ascii="Arial" w:hAnsi="Arial" w:cs="Arial"/>
        </w:rPr>
        <w:t>Soncio</w:t>
      </w:r>
      <w:proofErr w:type="spellEnd"/>
      <w:r w:rsidRPr="00881984">
        <w:rPr>
          <w:rFonts w:ascii="Arial" w:hAnsi="Arial" w:cs="Arial"/>
        </w:rPr>
        <w:t xml:space="preserve"> et al. (2024) showed that Technological Pedagogical Content Knowledge (TPACK) greatly enhances teachers’ 21st-century skills. The study found that integrating technology, pedagogy, and content knowledge boosts teachers’ ability to lead learner-centered, skill-based instruction.</w:t>
      </w:r>
    </w:p>
    <w:p w14:paraId="1468B6D6" w14:textId="77777777" w:rsidR="00D072B6" w:rsidRPr="00881984" w:rsidRDefault="00D072B6" w:rsidP="00D072B6">
      <w:pPr>
        <w:spacing w:before="120" w:after="120"/>
        <w:jc w:val="both"/>
        <w:rPr>
          <w:rFonts w:ascii="Arial" w:hAnsi="Arial" w:cs="Arial"/>
        </w:rPr>
      </w:pPr>
      <w:r w:rsidRPr="00881984">
        <w:rPr>
          <w:rFonts w:ascii="Arial" w:hAnsi="Arial" w:cs="Arial"/>
        </w:rPr>
        <w:t>On the learner side, a study by Bual (2024) in a Philippine senior high school context found that students’ 21st-century skills, particularly in information literacy, critical thinking, and innovation, are only moderately manifested, indicating the need for stronger instructional support and structured learning opportunities.</w:t>
      </w:r>
    </w:p>
    <w:p w14:paraId="103AED30" w14:textId="77777777" w:rsidR="00D072B6" w:rsidRPr="00881984" w:rsidRDefault="00D072B6" w:rsidP="00D072B6">
      <w:pPr>
        <w:spacing w:before="120" w:after="120"/>
        <w:jc w:val="both"/>
        <w:rPr>
          <w:rFonts w:ascii="Arial" w:hAnsi="Arial" w:cs="Arial"/>
        </w:rPr>
      </w:pPr>
      <w:r w:rsidRPr="00881984">
        <w:rPr>
          <w:rFonts w:ascii="Arial" w:hAnsi="Arial" w:cs="Arial"/>
        </w:rPr>
        <w:t>Additionally, Danao et al. (2025) revealed that while future educators demonstrate competence in 21st-century skills, there is variability in their ability to translate these into effective teaching practices. This suggests a gap between theoretical knowledge and classroom application, reinforcing the importance of continuous professional development.</w:t>
      </w:r>
    </w:p>
    <w:p w14:paraId="3FA9FBD1"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Further, research by </w:t>
      </w:r>
      <w:proofErr w:type="spellStart"/>
      <w:r w:rsidRPr="00881984">
        <w:rPr>
          <w:rFonts w:ascii="Arial" w:hAnsi="Arial" w:cs="Arial"/>
        </w:rPr>
        <w:t>Dacles</w:t>
      </w:r>
      <w:proofErr w:type="spellEnd"/>
      <w:r w:rsidRPr="00881984">
        <w:rPr>
          <w:rFonts w:ascii="Arial" w:hAnsi="Arial" w:cs="Arial"/>
        </w:rPr>
        <w:t xml:space="preserve"> (2024) showed that both teaching competencies and learners’ 21st-century skills are interconnected, particularly in science education, where inquiry-based and skills-oriented instruction significantly enhances learners’ cognitive and practical abilities.</w:t>
      </w:r>
    </w:p>
    <w:p w14:paraId="772E4F4C" w14:textId="77777777" w:rsidR="00D072B6" w:rsidRPr="00881984" w:rsidRDefault="00D072B6" w:rsidP="00D072B6">
      <w:pPr>
        <w:spacing w:before="120" w:after="120"/>
        <w:jc w:val="both"/>
        <w:rPr>
          <w:rFonts w:ascii="Arial" w:hAnsi="Arial" w:cs="Arial"/>
        </w:rPr>
      </w:pPr>
      <w:r w:rsidRPr="00881984">
        <w:rPr>
          <w:rFonts w:ascii="Arial" w:hAnsi="Arial" w:cs="Arial"/>
        </w:rPr>
        <w:t>Despite a growing body of literature on teacher effectiveness and 21st-century skills, few studies examine this relationship at the elementary level in geographically isolated and disadvantaged areas (GIDA). This is especially true in rural districts such as Don Marcelino, Davao Occidental. Most existing research focuses on secondary or urban contexts. As a result, there is a gap in understanding how pedagogical practices influence the skill development of younger learners in resource-constrained settings. This study addresses this gap by providing localized empirical evidence.</w:t>
      </w:r>
    </w:p>
    <w:p w14:paraId="46A516A9" w14:textId="77777777" w:rsidR="00D072B6" w:rsidRPr="00881984" w:rsidRDefault="00D072B6" w:rsidP="00D072B6">
      <w:pPr>
        <w:spacing w:before="120" w:after="120"/>
        <w:jc w:val="both"/>
        <w:rPr>
          <w:rFonts w:ascii="Arial" w:hAnsi="Arial" w:cs="Arial"/>
        </w:rPr>
      </w:pPr>
      <w:r w:rsidRPr="00881984">
        <w:rPr>
          <w:rFonts w:ascii="Arial" w:hAnsi="Arial" w:cs="Arial"/>
        </w:rPr>
        <w:t>This study adds to existing research by providing local data from a rural district in Davao Occidental, an underrepresented area. It highlights local issues related to family engagement and digital skills, providing baseline data for future interventions in similar contexts.</w:t>
      </w:r>
    </w:p>
    <w:p w14:paraId="46633B91" w14:textId="77777777" w:rsidR="00D072B6" w:rsidRPr="00D072B6" w:rsidRDefault="00D072B6" w:rsidP="00D072B6">
      <w:pPr>
        <w:pStyle w:val="ListParagraph"/>
        <w:numPr>
          <w:ilvl w:val="1"/>
          <w:numId w:val="7"/>
        </w:numPr>
        <w:spacing w:before="240" w:after="240"/>
        <w:rPr>
          <w:rFonts w:ascii="Arial" w:hAnsi="Arial" w:cs="Arial"/>
        </w:rPr>
      </w:pPr>
      <w:r w:rsidRPr="00D072B6">
        <w:rPr>
          <w:rFonts w:ascii="Arial" w:hAnsi="Arial" w:cs="Arial"/>
          <w:b/>
          <w:bCs/>
        </w:rPr>
        <w:t>Statement of the Problem</w:t>
      </w:r>
    </w:p>
    <w:p w14:paraId="67F11246" w14:textId="77777777" w:rsidR="00D072B6" w:rsidRPr="00881984" w:rsidRDefault="00D072B6" w:rsidP="00D072B6">
      <w:pPr>
        <w:spacing w:before="120" w:after="120"/>
        <w:rPr>
          <w:rFonts w:ascii="Arial" w:hAnsi="Arial" w:cs="Arial"/>
        </w:rPr>
      </w:pPr>
      <w:r w:rsidRPr="00881984">
        <w:rPr>
          <w:rFonts w:ascii="Arial" w:hAnsi="Arial" w:cs="Arial"/>
        </w:rPr>
        <w:t>This study aimed to determine the relationship between teachers' pedagogical performance and learners' 21st-century skills. Specifically, it sought to answer the following questions:</w:t>
      </w:r>
    </w:p>
    <w:p w14:paraId="2656F726" w14:textId="77777777" w:rsidR="00D072B6" w:rsidRPr="00881984" w:rsidRDefault="00D072B6" w:rsidP="00D072B6">
      <w:pPr>
        <w:spacing w:before="120" w:after="120"/>
        <w:rPr>
          <w:rFonts w:ascii="Arial" w:hAnsi="Arial" w:cs="Arial"/>
        </w:rPr>
      </w:pPr>
    </w:p>
    <w:p w14:paraId="71543FF9" w14:textId="77777777" w:rsidR="00D072B6" w:rsidRPr="00881984" w:rsidRDefault="00D072B6" w:rsidP="00D072B6">
      <w:pPr>
        <w:numPr>
          <w:ilvl w:val="0"/>
          <w:numId w:val="5"/>
        </w:numPr>
        <w:spacing w:before="240" w:after="120"/>
        <w:ind w:hanging="329"/>
        <w:rPr>
          <w:rFonts w:ascii="Arial" w:hAnsi="Arial" w:cs="Arial"/>
        </w:rPr>
      </w:pPr>
      <w:r w:rsidRPr="00881984">
        <w:rPr>
          <w:rFonts w:ascii="Arial" w:hAnsi="Arial" w:cs="Arial"/>
        </w:rPr>
        <w:lastRenderedPageBreak/>
        <w:t>What is the extent of the pedagogical performance of teachers manifested in terms of:</w:t>
      </w:r>
    </w:p>
    <w:p w14:paraId="48272520" w14:textId="77777777" w:rsidR="00D072B6" w:rsidRPr="00881984" w:rsidRDefault="00D072B6" w:rsidP="00D072B6">
      <w:pPr>
        <w:numPr>
          <w:ilvl w:val="1"/>
          <w:numId w:val="5"/>
        </w:numPr>
        <w:spacing w:before="120" w:after="120"/>
        <w:ind w:hanging="319"/>
        <w:rPr>
          <w:rFonts w:ascii="Arial" w:hAnsi="Arial" w:cs="Arial"/>
        </w:rPr>
      </w:pPr>
      <w:r w:rsidRPr="00881984">
        <w:rPr>
          <w:rFonts w:ascii="Arial" w:hAnsi="Arial" w:cs="Arial"/>
        </w:rPr>
        <w:t>curriculum, planning, and assessment;</w:t>
      </w:r>
    </w:p>
    <w:p w14:paraId="20C8053C" w14:textId="77777777" w:rsidR="00D072B6" w:rsidRPr="00881984" w:rsidRDefault="00D072B6" w:rsidP="00D072B6">
      <w:pPr>
        <w:numPr>
          <w:ilvl w:val="1"/>
          <w:numId w:val="5"/>
        </w:numPr>
        <w:spacing w:before="120" w:after="120"/>
        <w:ind w:hanging="330"/>
        <w:rPr>
          <w:rFonts w:ascii="Arial" w:hAnsi="Arial" w:cs="Arial"/>
        </w:rPr>
      </w:pPr>
      <w:r w:rsidRPr="00881984">
        <w:rPr>
          <w:rFonts w:ascii="Arial" w:hAnsi="Arial" w:cs="Arial"/>
        </w:rPr>
        <w:t>teaching all the students;</w:t>
      </w:r>
    </w:p>
    <w:p w14:paraId="347D82A6" w14:textId="77777777" w:rsidR="00D072B6" w:rsidRPr="00881984" w:rsidRDefault="00D072B6" w:rsidP="00D072B6">
      <w:pPr>
        <w:numPr>
          <w:ilvl w:val="1"/>
          <w:numId w:val="5"/>
        </w:numPr>
        <w:spacing w:before="120" w:after="120"/>
        <w:ind w:hanging="311"/>
        <w:rPr>
          <w:rFonts w:ascii="Arial" w:hAnsi="Arial" w:cs="Arial"/>
        </w:rPr>
      </w:pPr>
      <w:r w:rsidRPr="00881984">
        <w:rPr>
          <w:rFonts w:ascii="Arial" w:hAnsi="Arial" w:cs="Arial"/>
        </w:rPr>
        <w:t xml:space="preserve">family and community engagement; and </w:t>
      </w:r>
    </w:p>
    <w:p w14:paraId="4E09E874" w14:textId="77777777" w:rsidR="00D072B6" w:rsidRPr="00881984" w:rsidRDefault="00D072B6" w:rsidP="00D072B6">
      <w:pPr>
        <w:numPr>
          <w:ilvl w:val="1"/>
          <w:numId w:val="5"/>
        </w:numPr>
        <w:spacing w:before="120" w:after="120"/>
        <w:ind w:hanging="330"/>
        <w:rPr>
          <w:rFonts w:ascii="Arial" w:hAnsi="Arial" w:cs="Arial"/>
        </w:rPr>
      </w:pPr>
      <w:r w:rsidRPr="00881984">
        <w:rPr>
          <w:rFonts w:ascii="Arial" w:hAnsi="Arial" w:cs="Arial"/>
        </w:rPr>
        <w:t>professional culture?</w:t>
      </w:r>
    </w:p>
    <w:p w14:paraId="6D279549" w14:textId="77777777" w:rsidR="00D072B6" w:rsidRPr="00881984" w:rsidRDefault="00D072B6" w:rsidP="00D072B6">
      <w:pPr>
        <w:numPr>
          <w:ilvl w:val="0"/>
          <w:numId w:val="5"/>
        </w:numPr>
        <w:spacing w:before="120" w:after="120"/>
        <w:ind w:hanging="329"/>
        <w:rPr>
          <w:rFonts w:ascii="Arial" w:hAnsi="Arial" w:cs="Arial"/>
        </w:rPr>
      </w:pPr>
      <w:r w:rsidRPr="00881984">
        <w:rPr>
          <w:rFonts w:ascii="Arial" w:hAnsi="Arial" w:cs="Arial"/>
        </w:rPr>
        <w:t>What is the level of 21st-century skills of learners in terms of:</w:t>
      </w:r>
    </w:p>
    <w:p w14:paraId="229707FC" w14:textId="77777777" w:rsidR="00D072B6" w:rsidRPr="00881984" w:rsidRDefault="00D072B6" w:rsidP="00D072B6">
      <w:pPr>
        <w:numPr>
          <w:ilvl w:val="1"/>
          <w:numId w:val="5"/>
        </w:numPr>
        <w:spacing w:before="120" w:after="120"/>
        <w:ind w:hanging="319"/>
        <w:rPr>
          <w:rFonts w:ascii="Arial" w:hAnsi="Arial" w:cs="Arial"/>
        </w:rPr>
      </w:pPr>
      <w:r w:rsidRPr="00881984">
        <w:rPr>
          <w:rFonts w:ascii="Arial" w:hAnsi="Arial" w:cs="Arial"/>
        </w:rPr>
        <w:t>learning and innovation skills;</w:t>
      </w:r>
    </w:p>
    <w:p w14:paraId="171A08C5" w14:textId="77777777" w:rsidR="00D072B6" w:rsidRPr="00881984" w:rsidRDefault="00D072B6" w:rsidP="00D072B6">
      <w:pPr>
        <w:numPr>
          <w:ilvl w:val="1"/>
          <w:numId w:val="5"/>
        </w:numPr>
        <w:spacing w:before="120" w:after="120"/>
        <w:ind w:hanging="330"/>
        <w:rPr>
          <w:rFonts w:ascii="Arial" w:hAnsi="Arial" w:cs="Arial"/>
        </w:rPr>
      </w:pPr>
      <w:r w:rsidRPr="00881984">
        <w:rPr>
          <w:rFonts w:ascii="Arial" w:hAnsi="Arial" w:cs="Arial"/>
        </w:rPr>
        <w:t>information, media, and technology skills; and</w:t>
      </w:r>
    </w:p>
    <w:p w14:paraId="5CCF2636" w14:textId="77777777" w:rsidR="00D072B6" w:rsidRPr="00881984" w:rsidRDefault="00D072B6" w:rsidP="00D072B6">
      <w:pPr>
        <w:numPr>
          <w:ilvl w:val="1"/>
          <w:numId w:val="5"/>
        </w:numPr>
        <w:spacing w:before="120" w:after="120"/>
        <w:ind w:hanging="311"/>
        <w:rPr>
          <w:rFonts w:ascii="Arial" w:hAnsi="Arial" w:cs="Arial"/>
        </w:rPr>
      </w:pPr>
      <w:r w:rsidRPr="00881984">
        <w:rPr>
          <w:rFonts w:ascii="Arial" w:hAnsi="Arial" w:cs="Arial"/>
        </w:rPr>
        <w:t xml:space="preserve">life skills? </w:t>
      </w:r>
    </w:p>
    <w:p w14:paraId="11F9CBBF" w14:textId="77777777" w:rsidR="00D072B6" w:rsidRPr="00881984" w:rsidRDefault="00D072B6" w:rsidP="00D072B6">
      <w:pPr>
        <w:numPr>
          <w:ilvl w:val="0"/>
          <w:numId w:val="5"/>
        </w:numPr>
        <w:spacing w:before="120" w:after="240"/>
        <w:ind w:hanging="329"/>
        <w:rPr>
          <w:rFonts w:ascii="Arial" w:hAnsi="Arial" w:cs="Arial"/>
        </w:rPr>
      </w:pPr>
      <w:r w:rsidRPr="00881984">
        <w:rPr>
          <w:rFonts w:ascii="Arial" w:hAnsi="Arial" w:cs="Arial"/>
        </w:rPr>
        <w:t>Is there a significant relationship between the pedagogical performance of teachers and the 21st-century skills of learners?</w:t>
      </w:r>
    </w:p>
    <w:p w14:paraId="370A27F8" w14:textId="77777777" w:rsidR="00D072B6" w:rsidRPr="00881984" w:rsidRDefault="00D072B6" w:rsidP="00D072B6">
      <w:pPr>
        <w:spacing w:before="120" w:after="120"/>
        <w:rPr>
          <w:rFonts w:ascii="Arial" w:hAnsi="Arial" w:cs="Arial"/>
        </w:rPr>
      </w:pPr>
    </w:p>
    <w:p w14:paraId="1BAC16CF" w14:textId="77777777" w:rsidR="00D072B6" w:rsidRPr="00D072B6" w:rsidRDefault="00D072B6" w:rsidP="00D072B6">
      <w:pPr>
        <w:pStyle w:val="ListParagraph"/>
        <w:numPr>
          <w:ilvl w:val="1"/>
          <w:numId w:val="7"/>
        </w:numPr>
        <w:spacing w:before="240" w:after="240"/>
        <w:rPr>
          <w:rFonts w:ascii="Arial" w:hAnsi="Arial" w:cs="Arial"/>
        </w:rPr>
      </w:pPr>
      <w:r w:rsidRPr="00D072B6">
        <w:rPr>
          <w:rFonts w:ascii="Arial" w:hAnsi="Arial" w:cs="Arial"/>
          <w:b/>
          <w:bCs/>
        </w:rPr>
        <w:t>Hypotheses</w:t>
      </w:r>
    </w:p>
    <w:p w14:paraId="33F3C224" w14:textId="77777777" w:rsidR="00D072B6" w:rsidRPr="00881984" w:rsidRDefault="00D072B6" w:rsidP="00D072B6">
      <w:pPr>
        <w:numPr>
          <w:ilvl w:val="0"/>
          <w:numId w:val="6"/>
        </w:numPr>
        <w:spacing w:before="240" w:after="120"/>
        <w:ind w:hanging="329"/>
        <w:rPr>
          <w:rFonts w:ascii="Arial" w:hAnsi="Arial" w:cs="Arial"/>
        </w:rPr>
      </w:pPr>
      <w:r w:rsidRPr="00881984">
        <w:rPr>
          <w:rFonts w:ascii="Arial" w:hAnsi="Arial" w:cs="Arial"/>
        </w:rPr>
        <w:t>The following null hypotheses were tested at the 0.05 level of significance.</w:t>
      </w:r>
    </w:p>
    <w:p w14:paraId="296BA8BC" w14:textId="77777777" w:rsidR="00D072B6" w:rsidRPr="00881984" w:rsidRDefault="00D072B6" w:rsidP="00D072B6">
      <w:pPr>
        <w:numPr>
          <w:ilvl w:val="0"/>
          <w:numId w:val="6"/>
        </w:numPr>
        <w:spacing w:before="120" w:after="240"/>
        <w:ind w:hanging="329"/>
        <w:rPr>
          <w:rFonts w:ascii="Arial" w:hAnsi="Arial" w:cs="Arial"/>
        </w:rPr>
      </w:pPr>
      <w:r w:rsidRPr="00881984">
        <w:rPr>
          <w:rFonts w:ascii="Arial" w:hAnsi="Arial" w:cs="Arial"/>
        </w:rPr>
        <w:t>Is there no significant relationship between the pedagogical performance of teachers and the 21st-century skills of learners?</w:t>
      </w:r>
    </w:p>
    <w:p w14:paraId="2234FCFB" w14:textId="77777777" w:rsidR="00D072B6" w:rsidRPr="00881984" w:rsidRDefault="00D072B6" w:rsidP="00D072B6">
      <w:pPr>
        <w:spacing w:before="120" w:after="120"/>
        <w:rPr>
          <w:rFonts w:ascii="Arial" w:hAnsi="Arial" w:cs="Arial"/>
        </w:rPr>
      </w:pPr>
    </w:p>
    <w:p w14:paraId="65D9E400" w14:textId="77777777" w:rsidR="00D072B6" w:rsidRPr="00D072B6" w:rsidRDefault="00D072B6" w:rsidP="00D072B6">
      <w:pPr>
        <w:pStyle w:val="ListParagraph"/>
        <w:numPr>
          <w:ilvl w:val="0"/>
          <w:numId w:val="7"/>
        </w:numPr>
        <w:spacing w:before="240" w:after="240"/>
        <w:rPr>
          <w:rFonts w:ascii="Arial" w:hAnsi="Arial" w:cs="Arial"/>
        </w:rPr>
      </w:pPr>
      <w:r w:rsidRPr="00D072B6">
        <w:rPr>
          <w:rFonts w:ascii="Arial" w:hAnsi="Arial" w:cs="Arial"/>
          <w:b/>
          <w:bCs/>
        </w:rPr>
        <w:t xml:space="preserve">Methodology </w:t>
      </w:r>
    </w:p>
    <w:p w14:paraId="730CC464" w14:textId="77777777" w:rsidR="00D072B6" w:rsidRPr="00881984" w:rsidRDefault="00D072B6" w:rsidP="00D072B6">
      <w:pPr>
        <w:spacing w:before="120" w:after="120"/>
        <w:rPr>
          <w:rFonts w:ascii="Arial" w:hAnsi="Arial" w:cs="Arial"/>
        </w:rPr>
      </w:pPr>
      <w:r w:rsidRPr="00881984">
        <w:rPr>
          <w:rFonts w:ascii="Arial" w:hAnsi="Arial" w:cs="Arial"/>
          <w:b/>
          <w:bCs/>
        </w:rPr>
        <w:t>Research Design</w:t>
      </w:r>
    </w:p>
    <w:p w14:paraId="4BD71BDA"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This study employed a descriptive–correlational research design, which aims to determine the degree and direction of the relationship between variables without manipulating them. This design is appropriate because the study seeks to examine the association between teachers’ pedagogical performance and learners’ 21st-century skills.</w:t>
      </w:r>
    </w:p>
    <w:p w14:paraId="165446DA"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No attempt was made to establish causal relationships; therefore, findings are interpreted in terms of association rather than causation (Creswell, 2014).</w:t>
      </w:r>
    </w:p>
    <w:p w14:paraId="3A2EC5B4" w14:textId="77777777" w:rsidR="00D072B6" w:rsidRPr="00881984" w:rsidRDefault="00D072B6" w:rsidP="00D072B6">
      <w:pPr>
        <w:spacing w:before="120" w:after="120"/>
        <w:jc w:val="both"/>
        <w:rPr>
          <w:rFonts w:ascii="Arial" w:hAnsi="Arial" w:cs="Arial"/>
        </w:rPr>
      </w:pPr>
    </w:p>
    <w:p w14:paraId="2F63602F" w14:textId="77777777" w:rsidR="00D072B6" w:rsidRDefault="00D072B6" w:rsidP="00D072B6">
      <w:pPr>
        <w:spacing w:before="120" w:after="120"/>
        <w:rPr>
          <w:rFonts w:ascii="Arial" w:hAnsi="Arial" w:cs="Arial"/>
          <w:b/>
          <w:bCs/>
        </w:rPr>
      </w:pPr>
      <w:r>
        <w:rPr>
          <w:rFonts w:ascii="Arial" w:hAnsi="Arial" w:cs="Arial"/>
          <w:b/>
          <w:bCs/>
        </w:rPr>
        <w:t>Research Subjects</w:t>
      </w:r>
    </w:p>
    <w:p w14:paraId="126DC418" w14:textId="77777777" w:rsidR="00D072B6" w:rsidRPr="00881984" w:rsidRDefault="00D072B6" w:rsidP="00D072B6">
      <w:pPr>
        <w:spacing w:before="120" w:after="120"/>
        <w:ind w:firstLine="720"/>
        <w:jc w:val="both"/>
        <w:rPr>
          <w:rFonts w:ascii="Arial" w:hAnsi="Arial" w:cs="Arial"/>
        </w:rPr>
      </w:pPr>
      <w:r w:rsidRPr="00881984">
        <w:rPr>
          <w:rFonts w:ascii="Arial" w:hAnsi="Arial" w:cs="Arial"/>
          <w:b/>
          <w:bCs/>
        </w:rPr>
        <w:t>Th</w:t>
      </w:r>
      <w:r w:rsidRPr="00881984">
        <w:rPr>
          <w:rFonts w:ascii="Arial" w:hAnsi="Arial" w:cs="Arial"/>
        </w:rPr>
        <w:t>is research involved all teachers from seven public elementary schools in Don Marcelino District, Don Marcelino, Davao Occidental. There were 54 teacher participants. Universal sampling was used by counting all teachers in the target schools. The survey was conducted in the second semester of 2025. The researcher personally administered the questionnaire to ensure 100% completion.</w:t>
      </w:r>
    </w:p>
    <w:p w14:paraId="1808781B"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 xml:space="preserve">Shown in Table 1 is the distribution of respondents by participating schools. It also shows the percentage of respondents in the total population. It revealed that there were 6 respondents or 11 percent from </w:t>
      </w:r>
      <w:proofErr w:type="spellStart"/>
      <w:r w:rsidRPr="00881984">
        <w:rPr>
          <w:rFonts w:ascii="Arial" w:hAnsi="Arial" w:cs="Arial"/>
        </w:rPr>
        <w:t>Kibatang</w:t>
      </w:r>
      <w:proofErr w:type="spellEnd"/>
      <w:r w:rsidRPr="00881984">
        <w:rPr>
          <w:rFonts w:ascii="Arial" w:hAnsi="Arial" w:cs="Arial"/>
        </w:rPr>
        <w:t xml:space="preserve"> Elementary School, Fred Johnson Elementary School, Thomas Johnson Elementary School, and </w:t>
      </w:r>
      <w:proofErr w:type="spellStart"/>
      <w:r w:rsidRPr="00881984">
        <w:rPr>
          <w:rFonts w:ascii="Arial" w:hAnsi="Arial" w:cs="Arial"/>
        </w:rPr>
        <w:t>Kimote</w:t>
      </w:r>
      <w:proofErr w:type="spellEnd"/>
      <w:r w:rsidRPr="00881984">
        <w:rPr>
          <w:rFonts w:ascii="Arial" w:hAnsi="Arial" w:cs="Arial"/>
        </w:rPr>
        <w:t xml:space="preserve"> Elementary School, respectively; 9 respondents or 17 percent from </w:t>
      </w:r>
      <w:proofErr w:type="spellStart"/>
      <w:r w:rsidRPr="00881984">
        <w:rPr>
          <w:rFonts w:ascii="Arial" w:hAnsi="Arial" w:cs="Arial"/>
        </w:rPr>
        <w:t>Linadasan</w:t>
      </w:r>
      <w:proofErr w:type="spellEnd"/>
      <w:r w:rsidRPr="00881984">
        <w:rPr>
          <w:rFonts w:ascii="Arial" w:hAnsi="Arial" w:cs="Arial"/>
        </w:rPr>
        <w:t xml:space="preserve"> Elementary School and </w:t>
      </w:r>
      <w:proofErr w:type="spellStart"/>
      <w:r w:rsidRPr="00881984">
        <w:rPr>
          <w:rFonts w:ascii="Arial" w:hAnsi="Arial" w:cs="Arial"/>
        </w:rPr>
        <w:t>Palamid</w:t>
      </w:r>
      <w:proofErr w:type="spellEnd"/>
      <w:r w:rsidRPr="00881984">
        <w:rPr>
          <w:rFonts w:ascii="Arial" w:hAnsi="Arial" w:cs="Arial"/>
        </w:rPr>
        <w:t xml:space="preserve"> Elementary School, respectively; 12 respondents or 22 percent from Tador and </w:t>
      </w:r>
      <w:proofErr w:type="spellStart"/>
      <w:r w:rsidRPr="00881984">
        <w:rPr>
          <w:rFonts w:ascii="Arial" w:hAnsi="Arial" w:cs="Arial"/>
        </w:rPr>
        <w:t>Masaglang</w:t>
      </w:r>
      <w:proofErr w:type="spellEnd"/>
      <w:r w:rsidRPr="00881984">
        <w:rPr>
          <w:rFonts w:ascii="Arial" w:hAnsi="Arial" w:cs="Arial"/>
        </w:rPr>
        <w:t xml:space="preserve"> Elementary </w:t>
      </w:r>
      <w:r w:rsidRPr="00881984">
        <w:rPr>
          <w:rFonts w:ascii="Arial" w:hAnsi="Arial" w:cs="Arial"/>
        </w:rPr>
        <w:lastRenderedPageBreak/>
        <w:t xml:space="preserve">School. The total number of respondents in the study was 54 from the seven public elementary schools of the Don Marcelino District, Schools Division of Davao Occidental. </w:t>
      </w:r>
    </w:p>
    <w:p w14:paraId="17F45DCE" w14:textId="77777777" w:rsidR="00D072B6" w:rsidRPr="00881984" w:rsidRDefault="00D072B6" w:rsidP="00D072B6">
      <w:pPr>
        <w:spacing w:before="120" w:after="120"/>
        <w:rPr>
          <w:rFonts w:ascii="Arial" w:hAnsi="Arial" w:cs="Arial"/>
        </w:rPr>
      </w:pPr>
      <w:r w:rsidRPr="00881984">
        <w:rPr>
          <w:rFonts w:ascii="Arial" w:hAnsi="Arial" w:cs="Arial"/>
        </w:rPr>
        <w:t>List 1. Distribution of Respondents</w:t>
      </w:r>
    </w:p>
    <w:tbl>
      <w:tblPr>
        <w:tblStyle w:val="TableGrid"/>
        <w:tblW w:w="0" w:type="auto"/>
        <w:tblLook w:val="04A0" w:firstRow="1" w:lastRow="0" w:firstColumn="1" w:lastColumn="0" w:noHBand="0" w:noVBand="1"/>
      </w:tblPr>
      <w:tblGrid>
        <w:gridCol w:w="3733"/>
        <w:gridCol w:w="2239"/>
        <w:gridCol w:w="2226"/>
      </w:tblGrid>
      <w:tr w:rsidR="00D072B6" w:rsidRPr="00881984" w14:paraId="72091C72" w14:textId="77777777" w:rsidTr="00D072B6">
        <w:trPr>
          <w:trHeight w:val="540"/>
        </w:trPr>
        <w:tc>
          <w:tcPr>
            <w:tcW w:w="2295" w:type="dxa"/>
            <w:hideMark/>
          </w:tcPr>
          <w:p w14:paraId="14BF71F1"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Name Of School</w:t>
            </w:r>
          </w:p>
        </w:tc>
        <w:tc>
          <w:tcPr>
            <w:tcW w:w="2295" w:type="dxa"/>
            <w:hideMark/>
          </w:tcPr>
          <w:p w14:paraId="0F82F6AE"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Number Of</w:t>
            </w:r>
          </w:p>
          <w:p w14:paraId="2E3E39AB"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Respondents</w:t>
            </w:r>
          </w:p>
        </w:tc>
        <w:tc>
          <w:tcPr>
            <w:tcW w:w="2295" w:type="dxa"/>
            <w:hideMark/>
          </w:tcPr>
          <w:p w14:paraId="24372166"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Percentage</w:t>
            </w:r>
          </w:p>
        </w:tc>
      </w:tr>
      <w:tr w:rsidR="00D072B6" w:rsidRPr="00881984" w14:paraId="1BD5C8AF" w14:textId="77777777" w:rsidTr="00D072B6">
        <w:trPr>
          <w:trHeight w:val="540"/>
        </w:trPr>
        <w:tc>
          <w:tcPr>
            <w:tcW w:w="0" w:type="auto"/>
            <w:hideMark/>
          </w:tcPr>
          <w:p w14:paraId="62952BCF" w14:textId="77777777" w:rsidR="00D072B6" w:rsidRPr="00881984" w:rsidRDefault="00D072B6" w:rsidP="0039030E">
            <w:pPr>
              <w:spacing w:before="120" w:after="120"/>
              <w:jc w:val="center"/>
              <w:rPr>
                <w:rFonts w:ascii="Arial" w:hAnsi="Arial" w:cs="Arial"/>
                <w:color w:val="000000"/>
              </w:rPr>
            </w:pPr>
            <w:proofErr w:type="spellStart"/>
            <w:r w:rsidRPr="00881984">
              <w:rPr>
                <w:rFonts w:ascii="Arial" w:hAnsi="Arial" w:cs="Arial"/>
                <w:color w:val="000000"/>
              </w:rPr>
              <w:t>Kibatang</w:t>
            </w:r>
            <w:proofErr w:type="spellEnd"/>
            <w:r w:rsidRPr="00881984">
              <w:rPr>
                <w:rFonts w:ascii="Arial" w:hAnsi="Arial" w:cs="Arial"/>
                <w:color w:val="000000"/>
              </w:rPr>
              <w:t xml:space="preserve"> Elementary School</w:t>
            </w:r>
          </w:p>
        </w:tc>
        <w:tc>
          <w:tcPr>
            <w:tcW w:w="0" w:type="auto"/>
            <w:hideMark/>
          </w:tcPr>
          <w:p w14:paraId="0FBEA1B5" w14:textId="77777777" w:rsidR="00D072B6" w:rsidRPr="00881984" w:rsidRDefault="00D072B6" w:rsidP="0039030E">
            <w:pPr>
              <w:rPr>
                <w:rFonts w:ascii="Arial" w:hAnsi="Arial" w:cs="Arial"/>
                <w:color w:val="000000"/>
              </w:rPr>
            </w:pPr>
            <w:r w:rsidRPr="00881984">
              <w:rPr>
                <w:rFonts w:ascii="Arial" w:hAnsi="Arial" w:cs="Arial"/>
                <w:color w:val="000000"/>
              </w:rPr>
              <w:t>6</w:t>
            </w:r>
          </w:p>
        </w:tc>
        <w:tc>
          <w:tcPr>
            <w:tcW w:w="0" w:type="auto"/>
            <w:hideMark/>
          </w:tcPr>
          <w:p w14:paraId="1F4E59BF" w14:textId="77777777" w:rsidR="00D072B6" w:rsidRPr="00881984" w:rsidRDefault="00D072B6" w:rsidP="0039030E">
            <w:pPr>
              <w:rPr>
                <w:rFonts w:ascii="Arial" w:hAnsi="Arial" w:cs="Arial"/>
                <w:color w:val="000000"/>
              </w:rPr>
            </w:pPr>
            <w:r w:rsidRPr="00881984">
              <w:rPr>
                <w:rFonts w:ascii="Arial" w:hAnsi="Arial" w:cs="Arial"/>
                <w:color w:val="000000"/>
              </w:rPr>
              <w:t>11%</w:t>
            </w:r>
          </w:p>
        </w:tc>
      </w:tr>
      <w:tr w:rsidR="00D072B6" w:rsidRPr="00881984" w14:paraId="499FA09D" w14:textId="77777777" w:rsidTr="00D072B6">
        <w:trPr>
          <w:trHeight w:val="540"/>
        </w:trPr>
        <w:tc>
          <w:tcPr>
            <w:tcW w:w="0" w:type="auto"/>
            <w:hideMark/>
          </w:tcPr>
          <w:p w14:paraId="7380A24F" w14:textId="77777777" w:rsidR="00D072B6" w:rsidRPr="00881984" w:rsidRDefault="00D072B6" w:rsidP="0039030E">
            <w:pPr>
              <w:spacing w:before="120" w:after="120"/>
              <w:jc w:val="center"/>
              <w:rPr>
                <w:rFonts w:ascii="Arial" w:hAnsi="Arial" w:cs="Arial"/>
                <w:color w:val="000000"/>
              </w:rPr>
            </w:pPr>
            <w:proofErr w:type="spellStart"/>
            <w:r w:rsidRPr="00881984">
              <w:rPr>
                <w:rFonts w:ascii="Arial" w:hAnsi="Arial" w:cs="Arial"/>
                <w:color w:val="000000"/>
              </w:rPr>
              <w:t>Palamid</w:t>
            </w:r>
            <w:proofErr w:type="spellEnd"/>
            <w:r w:rsidRPr="00881984">
              <w:rPr>
                <w:rFonts w:ascii="Arial" w:hAnsi="Arial" w:cs="Arial"/>
                <w:color w:val="000000"/>
              </w:rPr>
              <w:t xml:space="preserve"> Elementary School</w:t>
            </w:r>
          </w:p>
        </w:tc>
        <w:tc>
          <w:tcPr>
            <w:tcW w:w="0" w:type="auto"/>
            <w:hideMark/>
          </w:tcPr>
          <w:p w14:paraId="28DFAE81" w14:textId="77777777" w:rsidR="00D072B6" w:rsidRPr="00881984" w:rsidRDefault="00D072B6" w:rsidP="0039030E">
            <w:pPr>
              <w:rPr>
                <w:rFonts w:ascii="Arial" w:hAnsi="Arial" w:cs="Arial"/>
                <w:color w:val="000000"/>
              </w:rPr>
            </w:pPr>
            <w:r w:rsidRPr="00881984">
              <w:rPr>
                <w:rFonts w:ascii="Arial" w:hAnsi="Arial" w:cs="Arial"/>
                <w:color w:val="000000"/>
              </w:rPr>
              <w:t>9</w:t>
            </w:r>
          </w:p>
        </w:tc>
        <w:tc>
          <w:tcPr>
            <w:tcW w:w="0" w:type="auto"/>
            <w:hideMark/>
          </w:tcPr>
          <w:p w14:paraId="283663CE" w14:textId="77777777" w:rsidR="00D072B6" w:rsidRPr="00881984" w:rsidRDefault="00D072B6" w:rsidP="0039030E">
            <w:pPr>
              <w:rPr>
                <w:rFonts w:ascii="Arial" w:hAnsi="Arial" w:cs="Arial"/>
                <w:color w:val="000000"/>
              </w:rPr>
            </w:pPr>
            <w:r w:rsidRPr="00881984">
              <w:rPr>
                <w:rFonts w:ascii="Arial" w:hAnsi="Arial" w:cs="Arial"/>
                <w:color w:val="000000"/>
              </w:rPr>
              <w:t>17%</w:t>
            </w:r>
          </w:p>
        </w:tc>
      </w:tr>
      <w:tr w:rsidR="00D072B6" w:rsidRPr="00881984" w14:paraId="4B383CC5" w14:textId="77777777" w:rsidTr="00D072B6">
        <w:trPr>
          <w:trHeight w:val="540"/>
        </w:trPr>
        <w:tc>
          <w:tcPr>
            <w:tcW w:w="0" w:type="auto"/>
            <w:hideMark/>
          </w:tcPr>
          <w:p w14:paraId="0BE18B84" w14:textId="77777777" w:rsidR="00D072B6" w:rsidRPr="00881984" w:rsidRDefault="00D072B6" w:rsidP="0039030E">
            <w:pPr>
              <w:spacing w:before="120" w:after="120"/>
              <w:jc w:val="center"/>
              <w:rPr>
                <w:rFonts w:ascii="Arial" w:hAnsi="Arial" w:cs="Arial"/>
                <w:color w:val="000000"/>
              </w:rPr>
            </w:pPr>
            <w:proofErr w:type="spellStart"/>
            <w:r w:rsidRPr="00881984">
              <w:rPr>
                <w:rFonts w:ascii="Arial" w:hAnsi="Arial" w:cs="Arial"/>
                <w:color w:val="000000"/>
              </w:rPr>
              <w:t>Linadasan</w:t>
            </w:r>
            <w:proofErr w:type="spellEnd"/>
            <w:r w:rsidRPr="00881984">
              <w:rPr>
                <w:rFonts w:ascii="Arial" w:hAnsi="Arial" w:cs="Arial"/>
                <w:color w:val="000000"/>
              </w:rPr>
              <w:t xml:space="preserve"> Elementary School</w:t>
            </w:r>
          </w:p>
        </w:tc>
        <w:tc>
          <w:tcPr>
            <w:tcW w:w="0" w:type="auto"/>
            <w:hideMark/>
          </w:tcPr>
          <w:p w14:paraId="66B210AE" w14:textId="77777777" w:rsidR="00D072B6" w:rsidRPr="00881984" w:rsidRDefault="00D072B6" w:rsidP="0039030E">
            <w:pPr>
              <w:rPr>
                <w:rFonts w:ascii="Arial" w:hAnsi="Arial" w:cs="Arial"/>
                <w:color w:val="000000"/>
              </w:rPr>
            </w:pPr>
            <w:r w:rsidRPr="00881984">
              <w:rPr>
                <w:rFonts w:ascii="Arial" w:hAnsi="Arial" w:cs="Arial"/>
                <w:color w:val="000000"/>
              </w:rPr>
              <w:t>9</w:t>
            </w:r>
          </w:p>
        </w:tc>
        <w:tc>
          <w:tcPr>
            <w:tcW w:w="0" w:type="auto"/>
            <w:hideMark/>
          </w:tcPr>
          <w:p w14:paraId="5836D939" w14:textId="77777777" w:rsidR="00D072B6" w:rsidRPr="00881984" w:rsidRDefault="00D072B6" w:rsidP="0039030E">
            <w:pPr>
              <w:rPr>
                <w:rFonts w:ascii="Arial" w:hAnsi="Arial" w:cs="Arial"/>
                <w:color w:val="000000"/>
              </w:rPr>
            </w:pPr>
            <w:r w:rsidRPr="00881984">
              <w:rPr>
                <w:rFonts w:ascii="Arial" w:hAnsi="Arial" w:cs="Arial"/>
                <w:color w:val="000000"/>
              </w:rPr>
              <w:t>17%</w:t>
            </w:r>
          </w:p>
        </w:tc>
      </w:tr>
      <w:tr w:rsidR="00D072B6" w:rsidRPr="00881984" w14:paraId="5CE6CADC" w14:textId="77777777" w:rsidTr="00D072B6">
        <w:trPr>
          <w:trHeight w:val="540"/>
        </w:trPr>
        <w:tc>
          <w:tcPr>
            <w:tcW w:w="0" w:type="auto"/>
            <w:hideMark/>
          </w:tcPr>
          <w:p w14:paraId="47801BF8"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 xml:space="preserve">Tador And </w:t>
            </w:r>
            <w:proofErr w:type="spellStart"/>
            <w:r w:rsidRPr="00881984">
              <w:rPr>
                <w:rFonts w:ascii="Arial" w:hAnsi="Arial" w:cs="Arial"/>
                <w:color w:val="000000"/>
              </w:rPr>
              <w:t>Masaglang</w:t>
            </w:r>
            <w:proofErr w:type="spellEnd"/>
            <w:r w:rsidRPr="00881984">
              <w:rPr>
                <w:rFonts w:ascii="Arial" w:hAnsi="Arial" w:cs="Arial"/>
                <w:color w:val="000000"/>
              </w:rPr>
              <w:t xml:space="preserve"> Elementary School</w:t>
            </w:r>
          </w:p>
        </w:tc>
        <w:tc>
          <w:tcPr>
            <w:tcW w:w="0" w:type="auto"/>
            <w:hideMark/>
          </w:tcPr>
          <w:p w14:paraId="18BDE119" w14:textId="77777777" w:rsidR="00D072B6" w:rsidRPr="00881984" w:rsidRDefault="00D072B6" w:rsidP="0039030E">
            <w:pPr>
              <w:rPr>
                <w:rFonts w:ascii="Arial" w:hAnsi="Arial" w:cs="Arial"/>
                <w:color w:val="000000"/>
              </w:rPr>
            </w:pPr>
            <w:r w:rsidRPr="00881984">
              <w:rPr>
                <w:rFonts w:ascii="Arial" w:hAnsi="Arial" w:cs="Arial"/>
                <w:color w:val="000000"/>
              </w:rPr>
              <w:t>12</w:t>
            </w:r>
          </w:p>
        </w:tc>
        <w:tc>
          <w:tcPr>
            <w:tcW w:w="0" w:type="auto"/>
            <w:hideMark/>
          </w:tcPr>
          <w:p w14:paraId="4771340E" w14:textId="77777777" w:rsidR="00D072B6" w:rsidRPr="00881984" w:rsidRDefault="00D072B6" w:rsidP="0039030E">
            <w:pPr>
              <w:rPr>
                <w:rFonts w:ascii="Arial" w:hAnsi="Arial" w:cs="Arial"/>
                <w:color w:val="000000"/>
              </w:rPr>
            </w:pPr>
            <w:r w:rsidRPr="00881984">
              <w:rPr>
                <w:rFonts w:ascii="Arial" w:hAnsi="Arial" w:cs="Arial"/>
                <w:color w:val="000000"/>
              </w:rPr>
              <w:t>22%</w:t>
            </w:r>
          </w:p>
        </w:tc>
      </w:tr>
      <w:tr w:rsidR="00D072B6" w:rsidRPr="00881984" w14:paraId="3A3BAEC7" w14:textId="77777777" w:rsidTr="00D072B6">
        <w:trPr>
          <w:trHeight w:val="540"/>
        </w:trPr>
        <w:tc>
          <w:tcPr>
            <w:tcW w:w="0" w:type="auto"/>
            <w:hideMark/>
          </w:tcPr>
          <w:p w14:paraId="1D014898" w14:textId="77777777" w:rsidR="00D072B6" w:rsidRPr="00881984" w:rsidRDefault="00D072B6" w:rsidP="0039030E">
            <w:pPr>
              <w:spacing w:before="120" w:after="120"/>
              <w:jc w:val="center"/>
              <w:rPr>
                <w:rFonts w:ascii="Arial" w:hAnsi="Arial" w:cs="Arial"/>
                <w:color w:val="000000"/>
              </w:rPr>
            </w:pPr>
            <w:proofErr w:type="spellStart"/>
            <w:r w:rsidRPr="00881984">
              <w:rPr>
                <w:rFonts w:ascii="Arial" w:hAnsi="Arial" w:cs="Arial"/>
                <w:color w:val="000000"/>
              </w:rPr>
              <w:t>Kimote</w:t>
            </w:r>
            <w:proofErr w:type="spellEnd"/>
            <w:r w:rsidRPr="00881984">
              <w:rPr>
                <w:rFonts w:ascii="Arial" w:hAnsi="Arial" w:cs="Arial"/>
                <w:color w:val="000000"/>
              </w:rPr>
              <w:t xml:space="preserve"> Elementary School</w:t>
            </w:r>
          </w:p>
        </w:tc>
        <w:tc>
          <w:tcPr>
            <w:tcW w:w="0" w:type="auto"/>
            <w:hideMark/>
          </w:tcPr>
          <w:p w14:paraId="554AAD8F" w14:textId="77777777" w:rsidR="00D072B6" w:rsidRPr="00881984" w:rsidRDefault="00D072B6" w:rsidP="0039030E">
            <w:pPr>
              <w:rPr>
                <w:rFonts w:ascii="Arial" w:hAnsi="Arial" w:cs="Arial"/>
                <w:color w:val="000000"/>
              </w:rPr>
            </w:pPr>
            <w:r w:rsidRPr="00881984">
              <w:rPr>
                <w:rFonts w:ascii="Arial" w:hAnsi="Arial" w:cs="Arial"/>
                <w:color w:val="000000"/>
              </w:rPr>
              <w:t>6</w:t>
            </w:r>
          </w:p>
        </w:tc>
        <w:tc>
          <w:tcPr>
            <w:tcW w:w="0" w:type="auto"/>
            <w:hideMark/>
          </w:tcPr>
          <w:p w14:paraId="2CF12596" w14:textId="77777777" w:rsidR="00D072B6" w:rsidRPr="00881984" w:rsidRDefault="00D072B6" w:rsidP="0039030E">
            <w:pPr>
              <w:rPr>
                <w:rFonts w:ascii="Arial" w:hAnsi="Arial" w:cs="Arial"/>
                <w:color w:val="000000"/>
              </w:rPr>
            </w:pPr>
            <w:r w:rsidRPr="00881984">
              <w:rPr>
                <w:rFonts w:ascii="Arial" w:hAnsi="Arial" w:cs="Arial"/>
                <w:color w:val="000000"/>
              </w:rPr>
              <w:t>11%</w:t>
            </w:r>
          </w:p>
        </w:tc>
      </w:tr>
      <w:tr w:rsidR="00D072B6" w:rsidRPr="00881984" w14:paraId="39886206" w14:textId="77777777" w:rsidTr="00D072B6">
        <w:trPr>
          <w:trHeight w:val="540"/>
        </w:trPr>
        <w:tc>
          <w:tcPr>
            <w:tcW w:w="0" w:type="auto"/>
            <w:hideMark/>
          </w:tcPr>
          <w:p w14:paraId="1EACE67B"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Thomas Johnson Elementary School</w:t>
            </w:r>
          </w:p>
        </w:tc>
        <w:tc>
          <w:tcPr>
            <w:tcW w:w="0" w:type="auto"/>
            <w:hideMark/>
          </w:tcPr>
          <w:p w14:paraId="6A12BC85" w14:textId="77777777" w:rsidR="00D072B6" w:rsidRPr="00881984" w:rsidRDefault="00D072B6" w:rsidP="0039030E">
            <w:pPr>
              <w:rPr>
                <w:rFonts w:ascii="Arial" w:hAnsi="Arial" w:cs="Arial"/>
                <w:color w:val="000000"/>
              </w:rPr>
            </w:pPr>
            <w:r w:rsidRPr="00881984">
              <w:rPr>
                <w:rFonts w:ascii="Arial" w:hAnsi="Arial" w:cs="Arial"/>
                <w:color w:val="000000"/>
              </w:rPr>
              <w:t>6</w:t>
            </w:r>
          </w:p>
        </w:tc>
        <w:tc>
          <w:tcPr>
            <w:tcW w:w="0" w:type="auto"/>
            <w:hideMark/>
          </w:tcPr>
          <w:p w14:paraId="6BD7313A" w14:textId="77777777" w:rsidR="00D072B6" w:rsidRPr="00881984" w:rsidRDefault="00D072B6" w:rsidP="0039030E">
            <w:pPr>
              <w:rPr>
                <w:rFonts w:ascii="Arial" w:hAnsi="Arial" w:cs="Arial"/>
                <w:color w:val="000000"/>
              </w:rPr>
            </w:pPr>
            <w:r w:rsidRPr="00881984">
              <w:rPr>
                <w:rFonts w:ascii="Arial" w:hAnsi="Arial" w:cs="Arial"/>
                <w:color w:val="000000"/>
              </w:rPr>
              <w:t>11%</w:t>
            </w:r>
          </w:p>
        </w:tc>
      </w:tr>
      <w:tr w:rsidR="00D072B6" w:rsidRPr="00881984" w14:paraId="430D0637" w14:textId="77777777" w:rsidTr="00D072B6">
        <w:trPr>
          <w:trHeight w:val="540"/>
        </w:trPr>
        <w:tc>
          <w:tcPr>
            <w:tcW w:w="0" w:type="auto"/>
            <w:hideMark/>
          </w:tcPr>
          <w:p w14:paraId="40256602"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Fred Johnson Elementary School</w:t>
            </w:r>
          </w:p>
        </w:tc>
        <w:tc>
          <w:tcPr>
            <w:tcW w:w="0" w:type="auto"/>
            <w:hideMark/>
          </w:tcPr>
          <w:p w14:paraId="75C72ECB" w14:textId="77777777" w:rsidR="00D072B6" w:rsidRPr="00881984" w:rsidRDefault="00D072B6" w:rsidP="0039030E">
            <w:pPr>
              <w:rPr>
                <w:rFonts w:ascii="Arial" w:hAnsi="Arial" w:cs="Arial"/>
                <w:color w:val="000000"/>
              </w:rPr>
            </w:pPr>
            <w:r w:rsidRPr="00881984">
              <w:rPr>
                <w:rFonts w:ascii="Arial" w:hAnsi="Arial" w:cs="Arial"/>
                <w:color w:val="000000"/>
              </w:rPr>
              <w:t>6</w:t>
            </w:r>
          </w:p>
        </w:tc>
        <w:tc>
          <w:tcPr>
            <w:tcW w:w="0" w:type="auto"/>
            <w:hideMark/>
          </w:tcPr>
          <w:p w14:paraId="755B1A4E" w14:textId="77777777" w:rsidR="00D072B6" w:rsidRPr="00881984" w:rsidRDefault="00D072B6" w:rsidP="0039030E">
            <w:pPr>
              <w:rPr>
                <w:rFonts w:ascii="Arial" w:hAnsi="Arial" w:cs="Arial"/>
                <w:color w:val="000000"/>
              </w:rPr>
            </w:pPr>
            <w:r w:rsidRPr="00881984">
              <w:rPr>
                <w:rFonts w:ascii="Arial" w:hAnsi="Arial" w:cs="Arial"/>
                <w:color w:val="000000"/>
              </w:rPr>
              <w:t>11%</w:t>
            </w:r>
          </w:p>
        </w:tc>
      </w:tr>
      <w:tr w:rsidR="00D072B6" w:rsidRPr="00881984" w14:paraId="67015615" w14:textId="77777777" w:rsidTr="00D072B6">
        <w:trPr>
          <w:trHeight w:val="540"/>
        </w:trPr>
        <w:tc>
          <w:tcPr>
            <w:tcW w:w="0" w:type="auto"/>
            <w:hideMark/>
          </w:tcPr>
          <w:p w14:paraId="65B44AC3"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Total</w:t>
            </w:r>
          </w:p>
        </w:tc>
        <w:tc>
          <w:tcPr>
            <w:tcW w:w="0" w:type="auto"/>
            <w:hideMark/>
          </w:tcPr>
          <w:p w14:paraId="50A5126D" w14:textId="77777777" w:rsidR="00D072B6" w:rsidRPr="00881984" w:rsidRDefault="00D072B6" w:rsidP="0039030E">
            <w:pPr>
              <w:rPr>
                <w:rFonts w:ascii="Arial" w:hAnsi="Arial" w:cs="Arial"/>
                <w:color w:val="000000"/>
              </w:rPr>
            </w:pPr>
            <w:r w:rsidRPr="00881984">
              <w:rPr>
                <w:rFonts w:ascii="Arial" w:hAnsi="Arial" w:cs="Arial"/>
                <w:color w:val="000000"/>
              </w:rPr>
              <w:t>54</w:t>
            </w:r>
          </w:p>
        </w:tc>
        <w:tc>
          <w:tcPr>
            <w:tcW w:w="0" w:type="auto"/>
            <w:hideMark/>
          </w:tcPr>
          <w:p w14:paraId="67C0B58A" w14:textId="77777777" w:rsidR="00D072B6" w:rsidRPr="00881984" w:rsidRDefault="00D072B6" w:rsidP="0039030E">
            <w:pPr>
              <w:rPr>
                <w:rFonts w:ascii="Arial" w:hAnsi="Arial" w:cs="Arial"/>
                <w:color w:val="000000"/>
              </w:rPr>
            </w:pPr>
            <w:r w:rsidRPr="00881984">
              <w:rPr>
                <w:rFonts w:ascii="Arial" w:hAnsi="Arial" w:cs="Arial"/>
                <w:color w:val="000000"/>
              </w:rPr>
              <w:t>100%</w:t>
            </w:r>
          </w:p>
        </w:tc>
      </w:tr>
    </w:tbl>
    <w:p w14:paraId="3950537F" w14:textId="77777777" w:rsidR="00D072B6" w:rsidRPr="00881984" w:rsidRDefault="00D072B6" w:rsidP="00D072B6">
      <w:pPr>
        <w:spacing w:before="120" w:after="120"/>
        <w:rPr>
          <w:rFonts w:ascii="Arial" w:hAnsi="Arial" w:cs="Arial"/>
        </w:rPr>
      </w:pPr>
    </w:p>
    <w:p w14:paraId="59A0103E"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The study's respondents were teachers only. The assessment of learners’ 21st-century skills was based on teachers’ ratings of their students’ observed classroom behaviors. This approach may introduce common-method bias, as the same respondents evaluated both variables. This limitation is acknowledged in the study. To minimize common-method bias, future studies may include multiple data sources, such as learner self-assessment, peer evaluation, or classroom observation.</w:t>
      </w:r>
    </w:p>
    <w:p w14:paraId="6C9C03F2" w14:textId="77777777" w:rsidR="00D072B6" w:rsidRPr="00881984" w:rsidRDefault="00D072B6" w:rsidP="00D072B6">
      <w:pPr>
        <w:spacing w:before="120" w:after="120"/>
        <w:rPr>
          <w:rFonts w:ascii="Arial" w:hAnsi="Arial" w:cs="Arial"/>
        </w:rPr>
      </w:pPr>
      <w:r w:rsidRPr="00881984">
        <w:rPr>
          <w:rFonts w:ascii="Arial" w:hAnsi="Arial" w:cs="Arial"/>
          <w:b/>
          <w:bCs/>
        </w:rPr>
        <w:t>Research Instruments</w:t>
      </w:r>
    </w:p>
    <w:p w14:paraId="38504A8F"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 xml:space="preserve">This study on teachers' pedagogical practices and learners' 21st-century skills used two adopted questionnaires. </w:t>
      </w:r>
    </w:p>
    <w:p w14:paraId="7B491C4C"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The tool for learners’ 21st-century skills was adapted from the Partnership for 21st Century Learning (P21) framework. The pedagogical performance tool was based on the Massachusetts Model System for Educator Evaluation.</w:t>
      </w:r>
    </w:p>
    <w:p w14:paraId="3ECF9355" w14:textId="77777777" w:rsidR="00D072B6" w:rsidRDefault="00D072B6" w:rsidP="00D072B6">
      <w:pPr>
        <w:spacing w:before="120" w:after="120"/>
        <w:jc w:val="both"/>
        <w:rPr>
          <w:rFonts w:ascii="Arial" w:hAnsi="Arial" w:cs="Arial"/>
        </w:rPr>
      </w:pPr>
      <w:r w:rsidRPr="00881984">
        <w:rPr>
          <w:rFonts w:ascii="Arial" w:hAnsi="Arial" w:cs="Arial"/>
        </w:rPr>
        <w:t>The five-point Likert scale was used to assess teachers' pedagogical performance in this study.</w:t>
      </w:r>
    </w:p>
    <w:p w14:paraId="3C540A4E" w14:textId="77777777" w:rsidR="00D072B6" w:rsidRDefault="00D072B6" w:rsidP="00D072B6">
      <w:pPr>
        <w:spacing w:before="120" w:after="120"/>
        <w:jc w:val="both"/>
        <w:rPr>
          <w:rFonts w:ascii="Arial" w:hAnsi="Arial" w:cs="Arial"/>
        </w:rPr>
      </w:pPr>
    </w:p>
    <w:p w14:paraId="7F1C37C9" w14:textId="77777777" w:rsidR="00D072B6" w:rsidRDefault="00D072B6" w:rsidP="00D072B6">
      <w:pPr>
        <w:spacing w:before="120" w:after="120"/>
        <w:jc w:val="both"/>
        <w:rPr>
          <w:rFonts w:ascii="Arial" w:hAnsi="Arial" w:cs="Arial"/>
        </w:rPr>
      </w:pPr>
    </w:p>
    <w:p w14:paraId="789517F9" w14:textId="77777777" w:rsidR="00D072B6" w:rsidRPr="00881984" w:rsidRDefault="00D072B6" w:rsidP="00D072B6">
      <w:pPr>
        <w:spacing w:before="120" w:after="120"/>
        <w:jc w:val="both"/>
        <w:rPr>
          <w:rFonts w:ascii="Arial" w:hAnsi="Arial" w:cs="Arial"/>
        </w:rPr>
      </w:pPr>
    </w:p>
    <w:p w14:paraId="0AC59256" w14:textId="77777777" w:rsidR="00D072B6" w:rsidRPr="00881984" w:rsidRDefault="00D072B6" w:rsidP="00D072B6">
      <w:pPr>
        <w:spacing w:before="120" w:after="120"/>
        <w:rPr>
          <w:rFonts w:ascii="Arial" w:hAnsi="Arial" w:cs="Arial"/>
        </w:rPr>
      </w:pPr>
    </w:p>
    <w:p w14:paraId="588BAFDA" w14:textId="77777777" w:rsidR="00D072B6" w:rsidRPr="00881984" w:rsidRDefault="00D072B6" w:rsidP="00D072B6">
      <w:pPr>
        <w:spacing w:before="120" w:after="120"/>
        <w:rPr>
          <w:rFonts w:ascii="Arial" w:hAnsi="Arial" w:cs="Arial"/>
        </w:rPr>
      </w:pPr>
      <w:r w:rsidRPr="00881984">
        <w:rPr>
          <w:rFonts w:ascii="Arial" w:hAnsi="Arial" w:cs="Arial"/>
        </w:rPr>
        <w:t xml:space="preserve">List 2- Ranging of the pedagogical performance of teachers </w:t>
      </w:r>
    </w:p>
    <w:tbl>
      <w:tblPr>
        <w:tblStyle w:val="TableGrid"/>
        <w:tblW w:w="0" w:type="auto"/>
        <w:tblLook w:val="04A0" w:firstRow="1" w:lastRow="0" w:firstColumn="1" w:lastColumn="0" w:noHBand="0" w:noVBand="1"/>
      </w:tblPr>
      <w:tblGrid>
        <w:gridCol w:w="1267"/>
        <w:gridCol w:w="1537"/>
        <w:gridCol w:w="5394"/>
      </w:tblGrid>
      <w:tr w:rsidR="00D072B6" w:rsidRPr="00881984" w14:paraId="3A2C157E" w14:textId="77777777" w:rsidTr="00D072B6">
        <w:trPr>
          <w:trHeight w:val="540"/>
        </w:trPr>
        <w:tc>
          <w:tcPr>
            <w:tcW w:w="2295" w:type="dxa"/>
            <w:hideMark/>
          </w:tcPr>
          <w:p w14:paraId="01E62A65" w14:textId="77777777" w:rsidR="00D072B6" w:rsidRPr="00881984" w:rsidRDefault="00D072B6" w:rsidP="0039030E">
            <w:pPr>
              <w:spacing w:before="120" w:after="120"/>
              <w:rPr>
                <w:rFonts w:ascii="Arial" w:hAnsi="Arial" w:cs="Arial"/>
                <w:color w:val="000000"/>
              </w:rPr>
            </w:pPr>
          </w:p>
          <w:p w14:paraId="75F52341"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Range Of Means</w:t>
            </w:r>
          </w:p>
        </w:tc>
        <w:tc>
          <w:tcPr>
            <w:tcW w:w="2295" w:type="dxa"/>
            <w:hideMark/>
          </w:tcPr>
          <w:p w14:paraId="58566827" w14:textId="77777777" w:rsidR="00D072B6" w:rsidRPr="00881984" w:rsidRDefault="00D072B6" w:rsidP="0039030E">
            <w:pPr>
              <w:spacing w:before="120" w:after="120"/>
              <w:rPr>
                <w:rFonts w:ascii="Arial" w:hAnsi="Arial" w:cs="Arial"/>
                <w:color w:val="000000"/>
              </w:rPr>
            </w:pPr>
          </w:p>
          <w:p w14:paraId="05E69489"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Descriptive Equivalent</w:t>
            </w:r>
          </w:p>
        </w:tc>
        <w:tc>
          <w:tcPr>
            <w:tcW w:w="2295" w:type="dxa"/>
            <w:hideMark/>
          </w:tcPr>
          <w:p w14:paraId="79DD029D" w14:textId="77777777" w:rsidR="00D072B6" w:rsidRPr="00881984" w:rsidRDefault="00D072B6" w:rsidP="0039030E">
            <w:pPr>
              <w:spacing w:before="120" w:after="120"/>
              <w:rPr>
                <w:rFonts w:ascii="Arial" w:hAnsi="Arial" w:cs="Arial"/>
                <w:color w:val="000000"/>
              </w:rPr>
            </w:pPr>
          </w:p>
          <w:p w14:paraId="2EBA3FBE"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Interpretation</w:t>
            </w:r>
          </w:p>
        </w:tc>
      </w:tr>
      <w:tr w:rsidR="00D072B6" w:rsidRPr="00881984" w14:paraId="1ACCC3B8" w14:textId="77777777" w:rsidTr="00D072B6">
        <w:trPr>
          <w:trHeight w:val="540"/>
        </w:trPr>
        <w:tc>
          <w:tcPr>
            <w:tcW w:w="0" w:type="auto"/>
            <w:hideMark/>
          </w:tcPr>
          <w:p w14:paraId="484168D3" w14:textId="77777777" w:rsidR="00D072B6" w:rsidRPr="00881984" w:rsidRDefault="00D072B6" w:rsidP="0039030E">
            <w:pPr>
              <w:rPr>
                <w:rFonts w:ascii="Arial" w:hAnsi="Arial" w:cs="Arial"/>
                <w:color w:val="000000"/>
              </w:rPr>
            </w:pPr>
            <w:r w:rsidRPr="00881984">
              <w:rPr>
                <w:rFonts w:ascii="Arial" w:hAnsi="Arial" w:cs="Arial"/>
                <w:color w:val="000000"/>
              </w:rPr>
              <w:br/>
            </w:r>
            <w:r w:rsidRPr="00881984">
              <w:rPr>
                <w:rFonts w:ascii="Arial" w:hAnsi="Arial" w:cs="Arial"/>
                <w:color w:val="000000"/>
              </w:rPr>
              <w:br/>
              <w:t>4.50 – 5.00</w:t>
            </w:r>
          </w:p>
        </w:tc>
        <w:tc>
          <w:tcPr>
            <w:tcW w:w="0" w:type="auto"/>
            <w:hideMark/>
          </w:tcPr>
          <w:p w14:paraId="105F4FA1" w14:textId="77777777" w:rsidR="00D072B6" w:rsidRPr="00881984" w:rsidRDefault="00D072B6" w:rsidP="0039030E">
            <w:pPr>
              <w:rPr>
                <w:rFonts w:ascii="Arial" w:hAnsi="Arial" w:cs="Arial"/>
                <w:color w:val="000000"/>
              </w:rPr>
            </w:pPr>
            <w:r w:rsidRPr="00881984">
              <w:rPr>
                <w:rFonts w:ascii="Arial" w:hAnsi="Arial" w:cs="Arial"/>
                <w:color w:val="000000"/>
              </w:rPr>
              <w:br/>
            </w:r>
            <w:r w:rsidRPr="00881984">
              <w:rPr>
                <w:rFonts w:ascii="Arial" w:hAnsi="Arial" w:cs="Arial"/>
                <w:color w:val="000000"/>
              </w:rPr>
              <w:br/>
              <w:t>Very extensive</w:t>
            </w:r>
          </w:p>
        </w:tc>
        <w:tc>
          <w:tcPr>
            <w:tcW w:w="0" w:type="auto"/>
            <w:hideMark/>
          </w:tcPr>
          <w:p w14:paraId="337E9953" w14:textId="77777777" w:rsidR="00D072B6" w:rsidRPr="00881984" w:rsidRDefault="00D072B6" w:rsidP="0039030E">
            <w:pPr>
              <w:rPr>
                <w:rFonts w:ascii="Arial" w:hAnsi="Arial" w:cs="Arial"/>
                <w:color w:val="000000"/>
              </w:rPr>
            </w:pPr>
            <w:r w:rsidRPr="00881984">
              <w:rPr>
                <w:rFonts w:ascii="Arial" w:hAnsi="Arial" w:cs="Arial"/>
                <w:color w:val="000000"/>
              </w:rPr>
              <w:br/>
              <w:t>It indicates that the provisions relating to teachers' pedagogical performance, as embodied in the item, are clearly evident and extensively manifested.</w:t>
            </w:r>
          </w:p>
        </w:tc>
      </w:tr>
      <w:tr w:rsidR="00D072B6" w:rsidRPr="00881984" w14:paraId="315C53C0" w14:textId="77777777" w:rsidTr="00D072B6">
        <w:trPr>
          <w:trHeight w:val="540"/>
        </w:trPr>
        <w:tc>
          <w:tcPr>
            <w:tcW w:w="0" w:type="auto"/>
            <w:hideMark/>
          </w:tcPr>
          <w:p w14:paraId="3C7D3705" w14:textId="77777777" w:rsidR="00D072B6" w:rsidRPr="00881984" w:rsidRDefault="00D072B6" w:rsidP="0039030E">
            <w:pPr>
              <w:rPr>
                <w:rFonts w:ascii="Arial" w:hAnsi="Arial" w:cs="Arial"/>
                <w:color w:val="000000"/>
              </w:rPr>
            </w:pPr>
            <w:r w:rsidRPr="00881984">
              <w:rPr>
                <w:rFonts w:ascii="Arial" w:hAnsi="Arial" w:cs="Arial"/>
                <w:color w:val="000000"/>
              </w:rPr>
              <w:br/>
              <w:t>3.50 – 4.49</w:t>
            </w:r>
          </w:p>
        </w:tc>
        <w:tc>
          <w:tcPr>
            <w:tcW w:w="0" w:type="auto"/>
            <w:hideMark/>
          </w:tcPr>
          <w:p w14:paraId="2AB4981B" w14:textId="77777777" w:rsidR="00D072B6" w:rsidRPr="00881984" w:rsidRDefault="00D072B6" w:rsidP="0039030E">
            <w:pPr>
              <w:rPr>
                <w:rFonts w:ascii="Arial" w:hAnsi="Arial" w:cs="Arial"/>
                <w:color w:val="000000"/>
              </w:rPr>
            </w:pPr>
            <w:r w:rsidRPr="00881984">
              <w:rPr>
                <w:rFonts w:ascii="Arial" w:hAnsi="Arial" w:cs="Arial"/>
                <w:color w:val="000000"/>
              </w:rPr>
              <w:br/>
              <w:t>Extensive</w:t>
            </w:r>
          </w:p>
        </w:tc>
        <w:tc>
          <w:tcPr>
            <w:tcW w:w="0" w:type="auto"/>
            <w:hideMark/>
          </w:tcPr>
          <w:p w14:paraId="6D3BFCC0" w14:textId="77777777" w:rsidR="00D072B6" w:rsidRPr="00881984" w:rsidRDefault="00D072B6" w:rsidP="0039030E">
            <w:pPr>
              <w:rPr>
                <w:rFonts w:ascii="Arial" w:hAnsi="Arial" w:cs="Arial"/>
                <w:color w:val="000000"/>
              </w:rPr>
            </w:pPr>
            <w:r w:rsidRPr="00881984">
              <w:rPr>
                <w:rFonts w:ascii="Arial" w:hAnsi="Arial" w:cs="Arial"/>
                <w:color w:val="000000"/>
              </w:rPr>
              <w:t>It indicates that the provisions relating to, as embodied in the item, are clearly evident and widely manifest.</w:t>
            </w:r>
          </w:p>
        </w:tc>
      </w:tr>
      <w:tr w:rsidR="00D072B6" w:rsidRPr="00881984" w14:paraId="4C8CE409" w14:textId="77777777" w:rsidTr="00D072B6">
        <w:trPr>
          <w:trHeight w:val="540"/>
        </w:trPr>
        <w:tc>
          <w:tcPr>
            <w:tcW w:w="0" w:type="auto"/>
            <w:hideMark/>
          </w:tcPr>
          <w:p w14:paraId="3E05CC49" w14:textId="77777777" w:rsidR="00D072B6" w:rsidRPr="00881984" w:rsidRDefault="00D072B6" w:rsidP="0039030E">
            <w:pPr>
              <w:rPr>
                <w:rFonts w:ascii="Arial" w:hAnsi="Arial" w:cs="Arial"/>
                <w:color w:val="000000"/>
              </w:rPr>
            </w:pPr>
            <w:r w:rsidRPr="00881984">
              <w:rPr>
                <w:rFonts w:ascii="Arial" w:hAnsi="Arial" w:cs="Arial"/>
                <w:color w:val="000000"/>
              </w:rPr>
              <w:br/>
              <w:t>2.50 – 3.49</w:t>
            </w:r>
          </w:p>
        </w:tc>
        <w:tc>
          <w:tcPr>
            <w:tcW w:w="0" w:type="auto"/>
            <w:hideMark/>
          </w:tcPr>
          <w:p w14:paraId="7F7AD6B2" w14:textId="77777777" w:rsidR="00D072B6" w:rsidRPr="00881984" w:rsidRDefault="00D072B6" w:rsidP="0039030E">
            <w:pPr>
              <w:rPr>
                <w:rFonts w:ascii="Arial" w:hAnsi="Arial" w:cs="Arial"/>
                <w:color w:val="000000"/>
              </w:rPr>
            </w:pPr>
            <w:r w:rsidRPr="00881984">
              <w:rPr>
                <w:rFonts w:ascii="Arial" w:hAnsi="Arial" w:cs="Arial"/>
                <w:color w:val="000000"/>
              </w:rPr>
              <w:br/>
              <w:t>Fairly extensive</w:t>
            </w:r>
          </w:p>
        </w:tc>
        <w:tc>
          <w:tcPr>
            <w:tcW w:w="0" w:type="auto"/>
            <w:hideMark/>
          </w:tcPr>
          <w:p w14:paraId="268B6420" w14:textId="77777777" w:rsidR="00D072B6" w:rsidRPr="00881984" w:rsidRDefault="00D072B6" w:rsidP="0039030E">
            <w:pPr>
              <w:rPr>
                <w:rFonts w:ascii="Arial" w:hAnsi="Arial" w:cs="Arial"/>
                <w:color w:val="000000"/>
              </w:rPr>
            </w:pPr>
            <w:r w:rsidRPr="00881984">
              <w:rPr>
                <w:rFonts w:ascii="Arial" w:hAnsi="Arial" w:cs="Arial"/>
                <w:color w:val="000000"/>
              </w:rPr>
              <w:t>It indicates that the provisions relating to teachers' pedagogical performance, as embodied in the item, are moderately evident and fairly widely manifested.</w:t>
            </w:r>
          </w:p>
        </w:tc>
      </w:tr>
      <w:tr w:rsidR="00D072B6" w:rsidRPr="00881984" w14:paraId="027A3E52" w14:textId="77777777" w:rsidTr="00D072B6">
        <w:trPr>
          <w:trHeight w:val="540"/>
        </w:trPr>
        <w:tc>
          <w:tcPr>
            <w:tcW w:w="0" w:type="auto"/>
            <w:hideMark/>
          </w:tcPr>
          <w:p w14:paraId="541500E3" w14:textId="77777777" w:rsidR="00D072B6" w:rsidRPr="00881984" w:rsidRDefault="00D072B6" w:rsidP="0039030E">
            <w:pPr>
              <w:rPr>
                <w:rFonts w:ascii="Arial" w:hAnsi="Arial" w:cs="Arial"/>
                <w:color w:val="000000"/>
              </w:rPr>
            </w:pPr>
            <w:r w:rsidRPr="00881984">
              <w:rPr>
                <w:rFonts w:ascii="Arial" w:hAnsi="Arial" w:cs="Arial"/>
                <w:color w:val="000000"/>
              </w:rPr>
              <w:br/>
              <w:t>1.50 – 2.49</w:t>
            </w:r>
          </w:p>
        </w:tc>
        <w:tc>
          <w:tcPr>
            <w:tcW w:w="0" w:type="auto"/>
            <w:hideMark/>
          </w:tcPr>
          <w:p w14:paraId="44CFF994" w14:textId="77777777" w:rsidR="00D072B6" w:rsidRPr="00881984" w:rsidRDefault="00D072B6" w:rsidP="0039030E">
            <w:pPr>
              <w:rPr>
                <w:rFonts w:ascii="Arial" w:hAnsi="Arial" w:cs="Arial"/>
                <w:color w:val="000000"/>
              </w:rPr>
            </w:pPr>
            <w:r w:rsidRPr="00881984">
              <w:rPr>
                <w:rFonts w:ascii="Arial" w:hAnsi="Arial" w:cs="Arial"/>
                <w:color w:val="000000"/>
              </w:rPr>
              <w:br/>
              <w:t>Poorly extensive</w:t>
            </w:r>
          </w:p>
        </w:tc>
        <w:tc>
          <w:tcPr>
            <w:tcW w:w="0" w:type="auto"/>
            <w:hideMark/>
          </w:tcPr>
          <w:p w14:paraId="79A678EE" w14:textId="77777777" w:rsidR="00D072B6" w:rsidRPr="00881984" w:rsidRDefault="00D072B6" w:rsidP="0039030E">
            <w:pPr>
              <w:rPr>
                <w:rFonts w:ascii="Arial" w:hAnsi="Arial" w:cs="Arial"/>
                <w:color w:val="000000"/>
              </w:rPr>
            </w:pPr>
            <w:r w:rsidRPr="00881984">
              <w:rPr>
                <w:rFonts w:ascii="Arial" w:hAnsi="Arial" w:cs="Arial"/>
                <w:color w:val="000000"/>
              </w:rPr>
              <w:t xml:space="preserve">It indicates that the provisions relating to, embodied in the item, are seldom evident and are poorly manifested. </w:t>
            </w:r>
          </w:p>
        </w:tc>
      </w:tr>
      <w:tr w:rsidR="00D072B6" w:rsidRPr="00881984" w14:paraId="77851E95" w14:textId="77777777" w:rsidTr="00D072B6">
        <w:trPr>
          <w:trHeight w:val="540"/>
        </w:trPr>
        <w:tc>
          <w:tcPr>
            <w:tcW w:w="0" w:type="auto"/>
            <w:hideMark/>
          </w:tcPr>
          <w:p w14:paraId="26B58D02" w14:textId="77777777" w:rsidR="00D072B6" w:rsidRPr="00881984" w:rsidRDefault="00D072B6" w:rsidP="0039030E">
            <w:pPr>
              <w:rPr>
                <w:rFonts w:ascii="Arial" w:hAnsi="Arial" w:cs="Arial"/>
                <w:color w:val="000000"/>
              </w:rPr>
            </w:pPr>
            <w:r w:rsidRPr="00881984">
              <w:rPr>
                <w:rFonts w:ascii="Arial" w:hAnsi="Arial" w:cs="Arial"/>
                <w:color w:val="000000"/>
              </w:rPr>
              <w:br/>
              <w:t>1.00 – 1.49</w:t>
            </w:r>
          </w:p>
        </w:tc>
        <w:tc>
          <w:tcPr>
            <w:tcW w:w="0" w:type="auto"/>
            <w:hideMark/>
          </w:tcPr>
          <w:p w14:paraId="1DEF4891" w14:textId="77777777" w:rsidR="00D072B6" w:rsidRPr="00881984" w:rsidRDefault="00D072B6" w:rsidP="0039030E">
            <w:pPr>
              <w:rPr>
                <w:rFonts w:ascii="Arial" w:hAnsi="Arial" w:cs="Arial"/>
                <w:color w:val="000000"/>
              </w:rPr>
            </w:pPr>
            <w:r w:rsidRPr="00881984">
              <w:rPr>
                <w:rFonts w:ascii="Arial" w:hAnsi="Arial" w:cs="Arial"/>
                <w:color w:val="000000"/>
              </w:rPr>
              <w:br/>
              <w:t>Very poor extensive</w:t>
            </w:r>
          </w:p>
        </w:tc>
        <w:tc>
          <w:tcPr>
            <w:tcW w:w="0" w:type="auto"/>
            <w:hideMark/>
          </w:tcPr>
          <w:p w14:paraId="7FBFAE0D" w14:textId="77777777" w:rsidR="00D072B6" w:rsidRPr="00881984" w:rsidRDefault="00D072B6" w:rsidP="0039030E">
            <w:pPr>
              <w:rPr>
                <w:rFonts w:ascii="Arial" w:hAnsi="Arial" w:cs="Arial"/>
                <w:color w:val="000000"/>
              </w:rPr>
            </w:pPr>
            <w:r w:rsidRPr="00881984">
              <w:rPr>
                <w:rFonts w:ascii="Arial" w:hAnsi="Arial" w:cs="Arial"/>
                <w:color w:val="000000"/>
              </w:rPr>
              <w:t>It indicates that the provisions relating to, as embodied in the item, and teachers' pedagogical performance, as embodied in the item, were manifested very poorly.</w:t>
            </w:r>
          </w:p>
        </w:tc>
      </w:tr>
    </w:tbl>
    <w:p w14:paraId="48F32FB1" w14:textId="77777777" w:rsidR="00D072B6" w:rsidRPr="00881984" w:rsidRDefault="00D072B6" w:rsidP="00D072B6">
      <w:pPr>
        <w:spacing w:before="120" w:after="120"/>
        <w:rPr>
          <w:rFonts w:ascii="Arial" w:hAnsi="Arial" w:cs="Arial"/>
        </w:rPr>
      </w:pPr>
    </w:p>
    <w:p w14:paraId="347972FE" w14:textId="77777777" w:rsidR="00D072B6" w:rsidRPr="00881984" w:rsidRDefault="00D072B6" w:rsidP="00D072B6">
      <w:pPr>
        <w:spacing w:before="120" w:after="120"/>
        <w:ind w:firstLine="720"/>
        <w:rPr>
          <w:rFonts w:ascii="Arial" w:hAnsi="Arial" w:cs="Arial"/>
        </w:rPr>
      </w:pPr>
      <w:r w:rsidRPr="00881984">
        <w:rPr>
          <w:rFonts w:ascii="Arial" w:hAnsi="Arial" w:cs="Arial"/>
        </w:rPr>
        <w:t>On the other hand, a five-point Likert Scale was used to assess Learners' 21st-century skills in this study.</w:t>
      </w:r>
    </w:p>
    <w:p w14:paraId="323D3E03" w14:textId="77777777" w:rsidR="00D072B6" w:rsidRPr="00881984" w:rsidRDefault="00D072B6" w:rsidP="00D072B6">
      <w:pPr>
        <w:spacing w:before="120" w:after="120"/>
        <w:rPr>
          <w:rFonts w:ascii="Arial" w:hAnsi="Arial" w:cs="Arial"/>
        </w:rPr>
      </w:pPr>
      <w:r w:rsidRPr="00881984">
        <w:rPr>
          <w:rFonts w:ascii="Arial" w:hAnsi="Arial" w:cs="Arial"/>
        </w:rPr>
        <w:t>List 3: Ranging of the assessment of the 21st Century Skills of Learners</w:t>
      </w:r>
    </w:p>
    <w:tbl>
      <w:tblPr>
        <w:tblStyle w:val="TableGrid"/>
        <w:tblW w:w="0" w:type="auto"/>
        <w:tblLook w:val="04A0" w:firstRow="1" w:lastRow="0" w:firstColumn="1" w:lastColumn="0" w:noHBand="0" w:noVBand="1"/>
      </w:tblPr>
      <w:tblGrid>
        <w:gridCol w:w="1342"/>
        <w:gridCol w:w="1600"/>
        <w:gridCol w:w="5256"/>
      </w:tblGrid>
      <w:tr w:rsidR="00D072B6" w:rsidRPr="00881984" w14:paraId="27A15114" w14:textId="77777777" w:rsidTr="00D072B6">
        <w:trPr>
          <w:trHeight w:val="540"/>
        </w:trPr>
        <w:tc>
          <w:tcPr>
            <w:tcW w:w="2295" w:type="dxa"/>
            <w:hideMark/>
          </w:tcPr>
          <w:p w14:paraId="7280B45B" w14:textId="77777777" w:rsidR="00D072B6" w:rsidRPr="00881984" w:rsidRDefault="00D072B6" w:rsidP="0039030E">
            <w:pPr>
              <w:spacing w:before="120" w:after="120"/>
              <w:rPr>
                <w:rFonts w:ascii="Arial" w:hAnsi="Arial" w:cs="Arial"/>
                <w:color w:val="000000"/>
              </w:rPr>
            </w:pPr>
          </w:p>
          <w:p w14:paraId="4E93FAE6"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Range Of Means</w:t>
            </w:r>
          </w:p>
        </w:tc>
        <w:tc>
          <w:tcPr>
            <w:tcW w:w="2295" w:type="dxa"/>
            <w:hideMark/>
          </w:tcPr>
          <w:p w14:paraId="1E0D1C81" w14:textId="77777777" w:rsidR="00D072B6" w:rsidRPr="00881984" w:rsidRDefault="00D072B6" w:rsidP="0039030E">
            <w:pPr>
              <w:spacing w:before="120" w:after="120"/>
              <w:rPr>
                <w:rFonts w:ascii="Arial" w:hAnsi="Arial" w:cs="Arial"/>
                <w:color w:val="000000"/>
              </w:rPr>
            </w:pPr>
          </w:p>
          <w:p w14:paraId="780B3742"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Descriptive Equivalent</w:t>
            </w:r>
          </w:p>
        </w:tc>
        <w:tc>
          <w:tcPr>
            <w:tcW w:w="2295" w:type="dxa"/>
            <w:hideMark/>
          </w:tcPr>
          <w:p w14:paraId="6153DA3B" w14:textId="77777777" w:rsidR="00D072B6" w:rsidRPr="00881984" w:rsidRDefault="00D072B6" w:rsidP="0039030E">
            <w:pPr>
              <w:spacing w:before="120" w:after="120"/>
              <w:rPr>
                <w:rFonts w:ascii="Arial" w:hAnsi="Arial" w:cs="Arial"/>
                <w:color w:val="000000"/>
              </w:rPr>
            </w:pPr>
          </w:p>
          <w:p w14:paraId="68E801FE" w14:textId="77777777" w:rsidR="00D072B6" w:rsidRPr="00881984" w:rsidRDefault="00D072B6" w:rsidP="0039030E">
            <w:pPr>
              <w:spacing w:before="120" w:after="120"/>
              <w:jc w:val="center"/>
              <w:rPr>
                <w:rFonts w:ascii="Arial" w:hAnsi="Arial" w:cs="Arial"/>
                <w:color w:val="000000"/>
              </w:rPr>
            </w:pPr>
            <w:r w:rsidRPr="00881984">
              <w:rPr>
                <w:rFonts w:ascii="Arial" w:hAnsi="Arial" w:cs="Arial"/>
                <w:color w:val="000000"/>
              </w:rPr>
              <w:t>Interpretation</w:t>
            </w:r>
          </w:p>
        </w:tc>
      </w:tr>
      <w:tr w:rsidR="00D072B6" w:rsidRPr="00881984" w14:paraId="7A51AC43" w14:textId="77777777" w:rsidTr="00D072B6">
        <w:trPr>
          <w:trHeight w:val="540"/>
        </w:trPr>
        <w:tc>
          <w:tcPr>
            <w:tcW w:w="0" w:type="auto"/>
            <w:hideMark/>
          </w:tcPr>
          <w:p w14:paraId="72B04401" w14:textId="77777777" w:rsidR="00D072B6" w:rsidRPr="00881984" w:rsidRDefault="00D072B6" w:rsidP="0039030E">
            <w:pPr>
              <w:rPr>
                <w:rFonts w:ascii="Arial" w:hAnsi="Arial" w:cs="Arial"/>
                <w:color w:val="000000"/>
              </w:rPr>
            </w:pPr>
            <w:r w:rsidRPr="00881984">
              <w:rPr>
                <w:rFonts w:ascii="Arial" w:hAnsi="Arial" w:cs="Arial"/>
                <w:color w:val="000000"/>
              </w:rPr>
              <w:br/>
            </w:r>
            <w:r w:rsidRPr="00881984">
              <w:rPr>
                <w:rFonts w:ascii="Arial" w:hAnsi="Arial" w:cs="Arial"/>
                <w:color w:val="000000"/>
              </w:rPr>
              <w:br/>
              <w:t>4.50 – 5.00</w:t>
            </w:r>
          </w:p>
        </w:tc>
        <w:tc>
          <w:tcPr>
            <w:tcW w:w="0" w:type="auto"/>
            <w:hideMark/>
          </w:tcPr>
          <w:p w14:paraId="6F2DCF19" w14:textId="77777777" w:rsidR="00D072B6" w:rsidRPr="00881984" w:rsidRDefault="00D072B6" w:rsidP="0039030E">
            <w:pPr>
              <w:rPr>
                <w:rFonts w:ascii="Arial" w:hAnsi="Arial" w:cs="Arial"/>
                <w:color w:val="000000"/>
              </w:rPr>
            </w:pPr>
            <w:r w:rsidRPr="00881984">
              <w:rPr>
                <w:rFonts w:ascii="Arial" w:hAnsi="Arial" w:cs="Arial"/>
                <w:color w:val="000000"/>
              </w:rPr>
              <w:br/>
            </w:r>
            <w:r w:rsidRPr="00881984">
              <w:rPr>
                <w:rFonts w:ascii="Arial" w:hAnsi="Arial" w:cs="Arial"/>
                <w:color w:val="000000"/>
              </w:rPr>
              <w:br/>
              <w:t>Always manifested</w:t>
            </w:r>
          </w:p>
        </w:tc>
        <w:tc>
          <w:tcPr>
            <w:tcW w:w="0" w:type="auto"/>
            <w:hideMark/>
          </w:tcPr>
          <w:p w14:paraId="4B6EF249" w14:textId="77777777" w:rsidR="00D072B6" w:rsidRPr="00881984" w:rsidRDefault="00D072B6" w:rsidP="0039030E">
            <w:pPr>
              <w:rPr>
                <w:rFonts w:ascii="Arial" w:hAnsi="Arial" w:cs="Arial"/>
                <w:color w:val="000000"/>
              </w:rPr>
            </w:pPr>
            <w:r w:rsidRPr="00881984">
              <w:rPr>
                <w:rFonts w:ascii="Arial" w:hAnsi="Arial" w:cs="Arial"/>
                <w:color w:val="000000"/>
              </w:rPr>
              <w:br/>
            </w:r>
            <w:r w:rsidRPr="00881984">
              <w:rPr>
                <w:rFonts w:ascii="Arial" w:hAnsi="Arial" w:cs="Arial"/>
                <w:color w:val="000000"/>
              </w:rPr>
              <w:br/>
              <w:t>This indicates that the provisions relating to the 21st-century skills of learners embodied in the item are well and consistently manifested.</w:t>
            </w:r>
          </w:p>
        </w:tc>
      </w:tr>
      <w:tr w:rsidR="00D072B6" w:rsidRPr="00881984" w14:paraId="46CB89BD" w14:textId="77777777" w:rsidTr="00D072B6">
        <w:trPr>
          <w:trHeight w:val="540"/>
        </w:trPr>
        <w:tc>
          <w:tcPr>
            <w:tcW w:w="0" w:type="auto"/>
            <w:hideMark/>
          </w:tcPr>
          <w:p w14:paraId="2A4A8D10" w14:textId="77777777" w:rsidR="00D072B6" w:rsidRPr="00881984" w:rsidRDefault="00D072B6" w:rsidP="0039030E">
            <w:pPr>
              <w:rPr>
                <w:rFonts w:ascii="Arial" w:hAnsi="Arial" w:cs="Arial"/>
                <w:color w:val="000000"/>
              </w:rPr>
            </w:pPr>
            <w:r w:rsidRPr="00881984">
              <w:rPr>
                <w:rFonts w:ascii="Arial" w:hAnsi="Arial" w:cs="Arial"/>
                <w:color w:val="000000"/>
              </w:rPr>
              <w:br/>
              <w:t>3.50 – 4.49</w:t>
            </w:r>
          </w:p>
        </w:tc>
        <w:tc>
          <w:tcPr>
            <w:tcW w:w="0" w:type="auto"/>
            <w:hideMark/>
          </w:tcPr>
          <w:p w14:paraId="09126912" w14:textId="77777777" w:rsidR="00D072B6" w:rsidRPr="00881984" w:rsidRDefault="00D072B6" w:rsidP="0039030E">
            <w:pPr>
              <w:rPr>
                <w:rFonts w:ascii="Arial" w:hAnsi="Arial" w:cs="Arial"/>
                <w:color w:val="000000"/>
              </w:rPr>
            </w:pPr>
            <w:r w:rsidRPr="00881984">
              <w:rPr>
                <w:rFonts w:ascii="Arial" w:hAnsi="Arial" w:cs="Arial"/>
                <w:color w:val="000000"/>
              </w:rPr>
              <w:br/>
              <w:t>Sometimes manifested</w:t>
            </w:r>
          </w:p>
        </w:tc>
        <w:tc>
          <w:tcPr>
            <w:tcW w:w="0" w:type="auto"/>
            <w:hideMark/>
          </w:tcPr>
          <w:p w14:paraId="22558B3E" w14:textId="77777777" w:rsidR="00D072B6" w:rsidRPr="00881984" w:rsidRDefault="00D072B6" w:rsidP="0039030E">
            <w:pPr>
              <w:rPr>
                <w:rFonts w:ascii="Arial" w:hAnsi="Arial" w:cs="Arial"/>
                <w:color w:val="000000"/>
              </w:rPr>
            </w:pPr>
            <w:r w:rsidRPr="00881984">
              <w:rPr>
                <w:rFonts w:ascii="Arial" w:hAnsi="Arial" w:cs="Arial"/>
                <w:color w:val="000000"/>
              </w:rPr>
              <w:t>This indicates that the provisions relating to learners' 21st-century skills embodied in the item are sometimes manifested.</w:t>
            </w:r>
          </w:p>
        </w:tc>
      </w:tr>
      <w:tr w:rsidR="00D072B6" w:rsidRPr="00881984" w14:paraId="528F606D" w14:textId="77777777" w:rsidTr="00D072B6">
        <w:trPr>
          <w:trHeight w:val="540"/>
        </w:trPr>
        <w:tc>
          <w:tcPr>
            <w:tcW w:w="0" w:type="auto"/>
            <w:hideMark/>
          </w:tcPr>
          <w:p w14:paraId="096FE4B1" w14:textId="77777777" w:rsidR="00D072B6" w:rsidRPr="00881984" w:rsidRDefault="00D072B6" w:rsidP="0039030E">
            <w:pPr>
              <w:rPr>
                <w:rFonts w:ascii="Arial" w:hAnsi="Arial" w:cs="Arial"/>
                <w:color w:val="000000"/>
              </w:rPr>
            </w:pPr>
            <w:r w:rsidRPr="00881984">
              <w:rPr>
                <w:rFonts w:ascii="Arial" w:hAnsi="Arial" w:cs="Arial"/>
                <w:color w:val="000000"/>
              </w:rPr>
              <w:br/>
              <w:t>2.50 – 3.49</w:t>
            </w:r>
          </w:p>
        </w:tc>
        <w:tc>
          <w:tcPr>
            <w:tcW w:w="0" w:type="auto"/>
            <w:hideMark/>
          </w:tcPr>
          <w:p w14:paraId="24A5034A" w14:textId="77777777" w:rsidR="00D072B6" w:rsidRPr="00881984" w:rsidRDefault="00D072B6" w:rsidP="0039030E">
            <w:pPr>
              <w:rPr>
                <w:rFonts w:ascii="Arial" w:hAnsi="Arial" w:cs="Arial"/>
                <w:color w:val="000000"/>
              </w:rPr>
            </w:pPr>
            <w:r w:rsidRPr="00881984">
              <w:rPr>
                <w:rFonts w:ascii="Arial" w:hAnsi="Arial" w:cs="Arial"/>
                <w:color w:val="000000"/>
              </w:rPr>
              <w:br/>
              <w:t>Seldom manifested</w:t>
            </w:r>
          </w:p>
        </w:tc>
        <w:tc>
          <w:tcPr>
            <w:tcW w:w="0" w:type="auto"/>
            <w:hideMark/>
          </w:tcPr>
          <w:p w14:paraId="697BEF11" w14:textId="77777777" w:rsidR="00D072B6" w:rsidRPr="00881984" w:rsidRDefault="00D072B6" w:rsidP="0039030E">
            <w:pPr>
              <w:rPr>
                <w:rFonts w:ascii="Arial" w:hAnsi="Arial" w:cs="Arial"/>
                <w:color w:val="000000"/>
              </w:rPr>
            </w:pPr>
            <w:r w:rsidRPr="00881984">
              <w:rPr>
                <w:rFonts w:ascii="Arial" w:hAnsi="Arial" w:cs="Arial"/>
                <w:color w:val="000000"/>
              </w:rPr>
              <w:t>This indicates that the provisions relating to learners' 21st-century skills embodied in the item are seldom manifested.</w:t>
            </w:r>
          </w:p>
        </w:tc>
      </w:tr>
      <w:tr w:rsidR="00D072B6" w:rsidRPr="00881984" w14:paraId="482CFB0E" w14:textId="77777777" w:rsidTr="00D072B6">
        <w:trPr>
          <w:trHeight w:val="540"/>
        </w:trPr>
        <w:tc>
          <w:tcPr>
            <w:tcW w:w="0" w:type="auto"/>
            <w:hideMark/>
          </w:tcPr>
          <w:p w14:paraId="61731C19" w14:textId="77777777" w:rsidR="00D072B6" w:rsidRPr="00881984" w:rsidRDefault="00D072B6" w:rsidP="0039030E">
            <w:pPr>
              <w:rPr>
                <w:rFonts w:ascii="Arial" w:hAnsi="Arial" w:cs="Arial"/>
                <w:color w:val="000000"/>
              </w:rPr>
            </w:pPr>
            <w:r w:rsidRPr="00881984">
              <w:rPr>
                <w:rFonts w:ascii="Arial" w:hAnsi="Arial" w:cs="Arial"/>
                <w:color w:val="000000"/>
              </w:rPr>
              <w:br/>
              <w:t>1.50 – 2.49</w:t>
            </w:r>
          </w:p>
        </w:tc>
        <w:tc>
          <w:tcPr>
            <w:tcW w:w="0" w:type="auto"/>
            <w:hideMark/>
          </w:tcPr>
          <w:p w14:paraId="1809D782" w14:textId="77777777" w:rsidR="00D072B6" w:rsidRPr="00881984" w:rsidRDefault="00D072B6" w:rsidP="0039030E">
            <w:pPr>
              <w:rPr>
                <w:rFonts w:ascii="Arial" w:hAnsi="Arial" w:cs="Arial"/>
                <w:color w:val="000000"/>
              </w:rPr>
            </w:pPr>
            <w:r w:rsidRPr="00881984">
              <w:rPr>
                <w:rFonts w:ascii="Arial" w:hAnsi="Arial" w:cs="Arial"/>
                <w:color w:val="000000"/>
              </w:rPr>
              <w:br/>
              <w:t>Rarely manifested</w:t>
            </w:r>
          </w:p>
        </w:tc>
        <w:tc>
          <w:tcPr>
            <w:tcW w:w="0" w:type="auto"/>
            <w:hideMark/>
          </w:tcPr>
          <w:p w14:paraId="4C9D4355" w14:textId="77777777" w:rsidR="00D072B6" w:rsidRPr="00881984" w:rsidRDefault="00D072B6" w:rsidP="0039030E">
            <w:pPr>
              <w:rPr>
                <w:rFonts w:ascii="Arial" w:hAnsi="Arial" w:cs="Arial"/>
                <w:color w:val="000000"/>
              </w:rPr>
            </w:pPr>
            <w:r w:rsidRPr="00881984">
              <w:rPr>
                <w:rFonts w:ascii="Arial" w:hAnsi="Arial" w:cs="Arial"/>
                <w:color w:val="000000"/>
              </w:rPr>
              <w:t>This indicates that the provisions relating to learners' 21st-century skills embodied in the item are rarely manifested.</w:t>
            </w:r>
          </w:p>
        </w:tc>
      </w:tr>
      <w:tr w:rsidR="00D072B6" w:rsidRPr="00881984" w14:paraId="0F7D3511" w14:textId="77777777" w:rsidTr="00D072B6">
        <w:trPr>
          <w:trHeight w:val="540"/>
        </w:trPr>
        <w:tc>
          <w:tcPr>
            <w:tcW w:w="0" w:type="auto"/>
            <w:hideMark/>
          </w:tcPr>
          <w:p w14:paraId="00A82680" w14:textId="77777777" w:rsidR="00D072B6" w:rsidRPr="00881984" w:rsidRDefault="00D072B6" w:rsidP="0039030E">
            <w:pPr>
              <w:rPr>
                <w:rFonts w:ascii="Arial" w:hAnsi="Arial" w:cs="Arial"/>
                <w:color w:val="000000"/>
              </w:rPr>
            </w:pPr>
            <w:r w:rsidRPr="00881984">
              <w:rPr>
                <w:rFonts w:ascii="Arial" w:hAnsi="Arial" w:cs="Arial"/>
                <w:color w:val="000000"/>
              </w:rPr>
              <w:br/>
              <w:t>1.00 – 1.49</w:t>
            </w:r>
          </w:p>
        </w:tc>
        <w:tc>
          <w:tcPr>
            <w:tcW w:w="0" w:type="auto"/>
            <w:hideMark/>
          </w:tcPr>
          <w:p w14:paraId="4DD9AAE1" w14:textId="77777777" w:rsidR="00D072B6" w:rsidRPr="00881984" w:rsidRDefault="00D072B6" w:rsidP="0039030E">
            <w:pPr>
              <w:rPr>
                <w:rFonts w:ascii="Arial" w:hAnsi="Arial" w:cs="Arial"/>
                <w:color w:val="000000"/>
              </w:rPr>
            </w:pPr>
            <w:r w:rsidRPr="00881984">
              <w:rPr>
                <w:rFonts w:ascii="Arial" w:hAnsi="Arial" w:cs="Arial"/>
                <w:color w:val="000000"/>
              </w:rPr>
              <w:br/>
              <w:t>Never manifested</w:t>
            </w:r>
          </w:p>
        </w:tc>
        <w:tc>
          <w:tcPr>
            <w:tcW w:w="0" w:type="auto"/>
            <w:hideMark/>
          </w:tcPr>
          <w:p w14:paraId="327D644A" w14:textId="77777777" w:rsidR="00D072B6" w:rsidRPr="00881984" w:rsidRDefault="00D072B6" w:rsidP="0039030E">
            <w:pPr>
              <w:rPr>
                <w:rFonts w:ascii="Arial" w:hAnsi="Arial" w:cs="Arial"/>
                <w:color w:val="000000"/>
              </w:rPr>
            </w:pPr>
            <w:r w:rsidRPr="00881984">
              <w:rPr>
                <w:rFonts w:ascii="Arial" w:hAnsi="Arial" w:cs="Arial"/>
                <w:color w:val="000000"/>
              </w:rPr>
              <w:t>This indicates that the provisions relating to the 21st-century skills of learners embodied in the item are not evident.</w:t>
            </w:r>
          </w:p>
        </w:tc>
      </w:tr>
    </w:tbl>
    <w:p w14:paraId="516979E8" w14:textId="77777777" w:rsidR="00D072B6" w:rsidRPr="00881984" w:rsidRDefault="00D072B6" w:rsidP="00D072B6">
      <w:pPr>
        <w:spacing w:before="120" w:after="120"/>
        <w:rPr>
          <w:rFonts w:ascii="Arial" w:hAnsi="Arial" w:cs="Arial"/>
        </w:rPr>
      </w:pPr>
    </w:p>
    <w:p w14:paraId="5676A3FA"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To ensure content validity, the tools were reviewed by three experts in educational research and pedagogy. The researcher revised the instruments based on their advice.</w:t>
      </w:r>
    </w:p>
    <w:p w14:paraId="207DA0D6"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lastRenderedPageBreak/>
        <w:t>A pilot test was conducted among 20 teachers from a neighboring district who were not part of the study sample. Internal consistency was assessed using Cronbach’s alpha. The pedagogical performance scale yielded an alpha of 0.91. The 21st-century skills scale yielded an alpha of 0.88, indicating high reliability.</w:t>
      </w:r>
    </w:p>
    <w:p w14:paraId="0E90049E"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These results suggest that the instruments possess acceptable psychometric properties for use in this study.</w:t>
      </w:r>
    </w:p>
    <w:p w14:paraId="460DD0D4" w14:textId="77777777" w:rsidR="00D072B6" w:rsidRPr="00881984" w:rsidRDefault="00D072B6" w:rsidP="00D072B6">
      <w:pPr>
        <w:spacing w:before="120" w:after="120"/>
        <w:rPr>
          <w:rFonts w:ascii="Arial" w:hAnsi="Arial" w:cs="Arial"/>
        </w:rPr>
      </w:pPr>
    </w:p>
    <w:p w14:paraId="1B112E08" w14:textId="77777777" w:rsidR="00D072B6" w:rsidRPr="00881984" w:rsidRDefault="00D072B6" w:rsidP="00D072B6">
      <w:pPr>
        <w:spacing w:before="120" w:after="120"/>
        <w:rPr>
          <w:rFonts w:ascii="Arial" w:hAnsi="Arial" w:cs="Arial"/>
        </w:rPr>
      </w:pPr>
      <w:r w:rsidRPr="00881984">
        <w:rPr>
          <w:rFonts w:ascii="Arial" w:hAnsi="Arial" w:cs="Arial"/>
          <w:b/>
          <w:bCs/>
        </w:rPr>
        <w:t>Data Gathering Procedure</w:t>
      </w:r>
    </w:p>
    <w:p w14:paraId="7D1FBAA6"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The researcher gathered the necessary data through the following procedures:</w:t>
      </w:r>
    </w:p>
    <w:p w14:paraId="45487907"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 xml:space="preserve">Asking permission to conduct the study. The researcher requested permission from the school division superintendent's office to conduct a survey. A letter was sent to the elementary school heads asking permission to conduct the study in their respective schools. This was done to avoid disrupting classes during the survey. </w:t>
      </w:r>
    </w:p>
    <w:p w14:paraId="0857CBCD"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Administration and Retrieval of Questionnaire. Upon approval, the researcher personally distributed and administered the research instrument on teachers' pedagogical performance and learners' 21st-century skills. This was done to ensure 100% retrieval of the questionnaire. A certificate of appearance was obtained from the Heads of Schools to attest to the researcher's honest data collection.</w:t>
      </w:r>
    </w:p>
    <w:p w14:paraId="2B322B2D" w14:textId="77777777" w:rsidR="00D072B6" w:rsidRPr="00881984" w:rsidRDefault="00D072B6" w:rsidP="00D072B6">
      <w:pPr>
        <w:spacing w:before="120" w:after="120"/>
        <w:ind w:firstLine="720"/>
        <w:jc w:val="both"/>
        <w:rPr>
          <w:rFonts w:ascii="Arial" w:hAnsi="Arial" w:cs="Arial"/>
        </w:rPr>
      </w:pPr>
      <w:r w:rsidRPr="00881984">
        <w:rPr>
          <w:rFonts w:ascii="Arial" w:hAnsi="Arial" w:cs="Arial"/>
        </w:rPr>
        <w:t xml:space="preserve">Data were tallied, tabulated, analyzed, and interpreted with confidence and appropriateness. </w:t>
      </w:r>
    </w:p>
    <w:p w14:paraId="3EAF1D90" w14:textId="77777777" w:rsidR="00D072B6" w:rsidRPr="00881984" w:rsidRDefault="00D072B6" w:rsidP="00D072B6">
      <w:pPr>
        <w:spacing w:before="120" w:after="120"/>
        <w:rPr>
          <w:rFonts w:ascii="Arial" w:hAnsi="Arial" w:cs="Arial"/>
        </w:rPr>
      </w:pPr>
      <w:r w:rsidRPr="00881984">
        <w:rPr>
          <w:rFonts w:ascii="Arial" w:hAnsi="Arial" w:cs="Arial"/>
          <w:b/>
          <w:bCs/>
        </w:rPr>
        <w:t>Statistical Treatment of Data</w:t>
      </w:r>
    </w:p>
    <w:p w14:paraId="5F0DEA56" w14:textId="77777777" w:rsidR="00D072B6" w:rsidRPr="00881984" w:rsidRDefault="00D072B6" w:rsidP="00D072B6">
      <w:pPr>
        <w:spacing w:before="120" w:after="120"/>
        <w:rPr>
          <w:rFonts w:ascii="Arial" w:hAnsi="Arial" w:cs="Arial"/>
        </w:rPr>
      </w:pPr>
      <w:r w:rsidRPr="00881984">
        <w:rPr>
          <w:rFonts w:ascii="Arial" w:hAnsi="Arial" w:cs="Arial"/>
        </w:rPr>
        <w:t>The following statistical tools were used in treating the problems in this study.</w:t>
      </w:r>
    </w:p>
    <w:p w14:paraId="33E3DAF5" w14:textId="77777777" w:rsidR="00D072B6" w:rsidRPr="00881984" w:rsidRDefault="00D072B6" w:rsidP="00D072B6">
      <w:pPr>
        <w:spacing w:before="120" w:after="120"/>
        <w:rPr>
          <w:rFonts w:ascii="Arial" w:hAnsi="Arial" w:cs="Arial"/>
        </w:rPr>
      </w:pPr>
      <w:r w:rsidRPr="00881984">
        <w:rPr>
          <w:rFonts w:ascii="Arial" w:hAnsi="Arial" w:cs="Arial"/>
          <w:i/>
          <w:iCs/>
        </w:rPr>
        <w:t>Mean.</w:t>
      </w:r>
      <w:r w:rsidRPr="00881984">
        <w:rPr>
          <w:rFonts w:ascii="Arial" w:hAnsi="Arial" w:cs="Arial"/>
        </w:rPr>
        <w:t xml:space="preserve"> Mean was used to determine the extent of teachers' pedagogical performance and the level of learners' 21st-century skills.</w:t>
      </w:r>
    </w:p>
    <w:p w14:paraId="4753AA31" w14:textId="77777777" w:rsidR="00D072B6" w:rsidRPr="00881984" w:rsidRDefault="00D072B6" w:rsidP="00D072B6">
      <w:pPr>
        <w:spacing w:before="120" w:after="120"/>
        <w:rPr>
          <w:rFonts w:ascii="Arial" w:hAnsi="Arial" w:cs="Arial"/>
        </w:rPr>
      </w:pPr>
      <w:r w:rsidRPr="00881984">
        <w:rPr>
          <w:rFonts w:ascii="Arial" w:hAnsi="Arial" w:cs="Arial"/>
          <w:i/>
          <w:iCs/>
        </w:rPr>
        <w:t>Pearson-r.</w:t>
      </w:r>
      <w:r w:rsidRPr="00881984">
        <w:rPr>
          <w:rFonts w:ascii="Arial" w:hAnsi="Arial" w:cs="Arial"/>
        </w:rPr>
        <w:t xml:space="preserve"> Pearson's r was used to determine the relationship between teachers’ pedagogical performance and learners’ 21st-century skills.</w:t>
      </w:r>
    </w:p>
    <w:p w14:paraId="6FB4F4B0" w14:textId="77777777" w:rsidR="00D072B6" w:rsidRPr="00881984" w:rsidRDefault="00D072B6" w:rsidP="00D072B6">
      <w:pPr>
        <w:spacing w:before="120" w:after="120"/>
        <w:rPr>
          <w:rFonts w:ascii="Arial" w:hAnsi="Arial" w:cs="Arial"/>
        </w:rPr>
      </w:pPr>
    </w:p>
    <w:p w14:paraId="0C1BEA71" w14:textId="77777777" w:rsidR="00D072B6" w:rsidRPr="00D072B6" w:rsidRDefault="00D072B6" w:rsidP="00D072B6">
      <w:pPr>
        <w:spacing w:before="120" w:after="120"/>
        <w:rPr>
          <w:rFonts w:ascii="Arial" w:hAnsi="Arial" w:cs="Arial"/>
        </w:rPr>
      </w:pPr>
      <w:r w:rsidRPr="00D072B6">
        <w:rPr>
          <w:rFonts w:ascii="Arial" w:hAnsi="Arial" w:cs="Arial"/>
          <w:b/>
          <w:bCs/>
        </w:rPr>
        <w:t xml:space="preserve">Results </w:t>
      </w:r>
    </w:p>
    <w:p w14:paraId="25FDB71C" w14:textId="77777777" w:rsidR="00D072B6" w:rsidRPr="00881984" w:rsidRDefault="00D072B6" w:rsidP="00D072B6">
      <w:pPr>
        <w:spacing w:before="120" w:after="120"/>
        <w:rPr>
          <w:rFonts w:ascii="Arial" w:hAnsi="Arial" w:cs="Arial"/>
        </w:rPr>
      </w:pPr>
    </w:p>
    <w:p w14:paraId="116680A5" w14:textId="77777777" w:rsidR="00D072B6" w:rsidRPr="00881984" w:rsidRDefault="00D072B6" w:rsidP="00D072B6">
      <w:pPr>
        <w:spacing w:before="120" w:after="120"/>
        <w:rPr>
          <w:rFonts w:ascii="Arial" w:hAnsi="Arial" w:cs="Arial"/>
        </w:rPr>
      </w:pPr>
      <w:r w:rsidRPr="00881984">
        <w:rPr>
          <w:rFonts w:ascii="Arial" w:hAnsi="Arial" w:cs="Arial"/>
          <w:b/>
          <w:bCs/>
        </w:rPr>
        <w:t>Extent of the Pedagogical Performance of Teachers</w:t>
      </w:r>
    </w:p>
    <w:p w14:paraId="2461FAC2" w14:textId="77777777" w:rsidR="00D072B6" w:rsidRPr="00881984" w:rsidRDefault="00D072B6" w:rsidP="00D072B6">
      <w:pPr>
        <w:spacing w:before="120" w:after="120"/>
        <w:rPr>
          <w:rFonts w:ascii="Arial" w:hAnsi="Arial" w:cs="Arial"/>
        </w:rPr>
      </w:pPr>
      <w:r w:rsidRPr="00881984">
        <w:rPr>
          <w:rFonts w:ascii="Arial" w:hAnsi="Arial" w:cs="Arial"/>
          <w:b/>
          <w:bCs/>
        </w:rPr>
        <w:t>Table 1</w:t>
      </w:r>
    </w:p>
    <w:p w14:paraId="5DDD9C85" w14:textId="77777777" w:rsidR="00D072B6" w:rsidRPr="00881984" w:rsidRDefault="00D072B6" w:rsidP="00D072B6">
      <w:pPr>
        <w:spacing w:before="120" w:after="120"/>
        <w:rPr>
          <w:rFonts w:ascii="Arial" w:hAnsi="Arial" w:cs="Arial"/>
        </w:rPr>
      </w:pPr>
    </w:p>
    <w:p w14:paraId="19CA956D" w14:textId="77777777" w:rsidR="00D072B6" w:rsidRPr="00881984" w:rsidRDefault="00D072B6" w:rsidP="00D072B6">
      <w:pPr>
        <w:spacing w:before="120" w:after="120"/>
        <w:rPr>
          <w:rFonts w:ascii="Arial" w:hAnsi="Arial" w:cs="Arial"/>
        </w:rPr>
      </w:pPr>
      <w:r w:rsidRPr="00881984">
        <w:rPr>
          <w:rFonts w:ascii="Arial" w:hAnsi="Arial" w:cs="Arial"/>
        </w:rPr>
        <w:t xml:space="preserve">Extent of the Pedagogical Performance of Teachers </w:t>
      </w:r>
    </w:p>
    <w:tbl>
      <w:tblPr>
        <w:tblStyle w:val="TableGrid"/>
        <w:tblW w:w="0" w:type="auto"/>
        <w:tblLook w:val="04A0" w:firstRow="1" w:lastRow="0" w:firstColumn="1" w:lastColumn="0" w:noHBand="0" w:noVBand="1"/>
      </w:tblPr>
      <w:tblGrid>
        <w:gridCol w:w="2836"/>
        <w:gridCol w:w="1734"/>
        <w:gridCol w:w="1691"/>
        <w:gridCol w:w="1937"/>
      </w:tblGrid>
      <w:tr w:rsidR="00D072B6" w:rsidRPr="00881984" w14:paraId="17A2E880" w14:textId="77777777" w:rsidTr="00D072B6">
        <w:trPr>
          <w:trHeight w:val="540"/>
        </w:trPr>
        <w:tc>
          <w:tcPr>
            <w:tcW w:w="2295" w:type="dxa"/>
            <w:hideMark/>
          </w:tcPr>
          <w:p w14:paraId="0BD33AC9"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Domain</w:t>
            </w:r>
          </w:p>
        </w:tc>
        <w:tc>
          <w:tcPr>
            <w:tcW w:w="2295" w:type="dxa"/>
            <w:hideMark/>
          </w:tcPr>
          <w:p w14:paraId="4182EFBC"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Mean</w:t>
            </w:r>
          </w:p>
        </w:tc>
        <w:tc>
          <w:tcPr>
            <w:tcW w:w="2295" w:type="dxa"/>
            <w:hideMark/>
          </w:tcPr>
          <w:p w14:paraId="5733DA69"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SD</w:t>
            </w:r>
          </w:p>
        </w:tc>
        <w:tc>
          <w:tcPr>
            <w:tcW w:w="2295" w:type="dxa"/>
            <w:hideMark/>
          </w:tcPr>
          <w:p w14:paraId="7B4EC32F"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Descriptive Remark</w:t>
            </w:r>
          </w:p>
        </w:tc>
      </w:tr>
      <w:tr w:rsidR="00D072B6" w:rsidRPr="00881984" w14:paraId="36FEF4B5" w14:textId="77777777" w:rsidTr="00D072B6">
        <w:trPr>
          <w:trHeight w:val="540"/>
        </w:trPr>
        <w:tc>
          <w:tcPr>
            <w:tcW w:w="0" w:type="auto"/>
            <w:hideMark/>
          </w:tcPr>
          <w:p w14:paraId="5FBE24E1" w14:textId="77777777" w:rsidR="00D072B6" w:rsidRPr="00881984" w:rsidRDefault="00D072B6" w:rsidP="0039030E">
            <w:pPr>
              <w:rPr>
                <w:rFonts w:ascii="Arial" w:hAnsi="Arial" w:cs="Arial"/>
                <w:color w:val="000000"/>
              </w:rPr>
            </w:pPr>
            <w:r w:rsidRPr="00881984">
              <w:rPr>
                <w:rFonts w:ascii="Arial" w:hAnsi="Arial" w:cs="Arial"/>
                <w:color w:val="000000"/>
              </w:rPr>
              <w:t>Curriculum, Planning, and Assessment</w:t>
            </w:r>
          </w:p>
        </w:tc>
        <w:tc>
          <w:tcPr>
            <w:tcW w:w="0" w:type="auto"/>
            <w:hideMark/>
          </w:tcPr>
          <w:p w14:paraId="1C99B64A" w14:textId="77777777" w:rsidR="00D072B6" w:rsidRPr="00881984" w:rsidRDefault="00D072B6" w:rsidP="0039030E">
            <w:pPr>
              <w:rPr>
                <w:rFonts w:ascii="Arial" w:hAnsi="Arial" w:cs="Arial"/>
                <w:color w:val="000000"/>
              </w:rPr>
            </w:pPr>
            <w:r w:rsidRPr="00881984">
              <w:rPr>
                <w:rFonts w:ascii="Arial" w:hAnsi="Arial" w:cs="Arial"/>
                <w:color w:val="000000"/>
              </w:rPr>
              <w:t>4.32</w:t>
            </w:r>
          </w:p>
        </w:tc>
        <w:tc>
          <w:tcPr>
            <w:tcW w:w="0" w:type="auto"/>
            <w:hideMark/>
          </w:tcPr>
          <w:p w14:paraId="4FF2F399" w14:textId="77777777" w:rsidR="00D072B6" w:rsidRPr="00881984" w:rsidRDefault="00D072B6" w:rsidP="0039030E">
            <w:pPr>
              <w:rPr>
                <w:rFonts w:ascii="Arial" w:hAnsi="Arial" w:cs="Arial"/>
                <w:color w:val="000000"/>
              </w:rPr>
            </w:pPr>
            <w:r w:rsidRPr="00881984">
              <w:rPr>
                <w:rFonts w:ascii="Arial" w:hAnsi="Arial" w:cs="Arial"/>
                <w:color w:val="000000"/>
              </w:rPr>
              <w:t>0.41</w:t>
            </w:r>
          </w:p>
        </w:tc>
        <w:tc>
          <w:tcPr>
            <w:tcW w:w="0" w:type="auto"/>
            <w:hideMark/>
          </w:tcPr>
          <w:p w14:paraId="36780FB2" w14:textId="77777777" w:rsidR="00D072B6" w:rsidRPr="00881984" w:rsidRDefault="00D072B6" w:rsidP="0039030E">
            <w:pPr>
              <w:rPr>
                <w:rFonts w:ascii="Arial" w:hAnsi="Arial" w:cs="Arial"/>
                <w:color w:val="000000"/>
              </w:rPr>
            </w:pPr>
            <w:r w:rsidRPr="00881984">
              <w:rPr>
                <w:rFonts w:ascii="Arial" w:hAnsi="Arial" w:cs="Arial"/>
                <w:color w:val="000000"/>
              </w:rPr>
              <w:t>Very High Extent</w:t>
            </w:r>
          </w:p>
        </w:tc>
      </w:tr>
      <w:tr w:rsidR="00D072B6" w:rsidRPr="00881984" w14:paraId="32075D4F" w14:textId="77777777" w:rsidTr="00D072B6">
        <w:trPr>
          <w:trHeight w:val="540"/>
        </w:trPr>
        <w:tc>
          <w:tcPr>
            <w:tcW w:w="0" w:type="auto"/>
            <w:hideMark/>
          </w:tcPr>
          <w:p w14:paraId="6DFEA3CF" w14:textId="77777777" w:rsidR="00D072B6" w:rsidRPr="00881984" w:rsidRDefault="00D072B6" w:rsidP="0039030E">
            <w:pPr>
              <w:rPr>
                <w:rFonts w:ascii="Arial" w:hAnsi="Arial" w:cs="Arial"/>
                <w:color w:val="000000"/>
              </w:rPr>
            </w:pPr>
            <w:r w:rsidRPr="00881984">
              <w:rPr>
                <w:rFonts w:ascii="Arial" w:hAnsi="Arial" w:cs="Arial"/>
                <w:color w:val="000000"/>
              </w:rPr>
              <w:t>Teaching All Students</w:t>
            </w:r>
          </w:p>
        </w:tc>
        <w:tc>
          <w:tcPr>
            <w:tcW w:w="0" w:type="auto"/>
            <w:hideMark/>
          </w:tcPr>
          <w:p w14:paraId="5CDF3728" w14:textId="77777777" w:rsidR="00D072B6" w:rsidRPr="00881984" w:rsidRDefault="00D072B6" w:rsidP="0039030E">
            <w:pPr>
              <w:rPr>
                <w:rFonts w:ascii="Arial" w:hAnsi="Arial" w:cs="Arial"/>
                <w:color w:val="000000"/>
              </w:rPr>
            </w:pPr>
            <w:r w:rsidRPr="00881984">
              <w:rPr>
                <w:rFonts w:ascii="Arial" w:hAnsi="Arial" w:cs="Arial"/>
                <w:color w:val="000000"/>
              </w:rPr>
              <w:t>4.21</w:t>
            </w:r>
          </w:p>
        </w:tc>
        <w:tc>
          <w:tcPr>
            <w:tcW w:w="0" w:type="auto"/>
            <w:hideMark/>
          </w:tcPr>
          <w:p w14:paraId="7A53D637" w14:textId="77777777" w:rsidR="00D072B6" w:rsidRPr="00881984" w:rsidRDefault="00D072B6" w:rsidP="0039030E">
            <w:pPr>
              <w:rPr>
                <w:rFonts w:ascii="Arial" w:hAnsi="Arial" w:cs="Arial"/>
                <w:color w:val="000000"/>
              </w:rPr>
            </w:pPr>
            <w:r w:rsidRPr="00881984">
              <w:rPr>
                <w:rFonts w:ascii="Arial" w:hAnsi="Arial" w:cs="Arial"/>
                <w:color w:val="000000"/>
              </w:rPr>
              <w:t>0.47</w:t>
            </w:r>
          </w:p>
        </w:tc>
        <w:tc>
          <w:tcPr>
            <w:tcW w:w="0" w:type="auto"/>
            <w:hideMark/>
          </w:tcPr>
          <w:p w14:paraId="7D4DF044" w14:textId="77777777" w:rsidR="00D072B6" w:rsidRPr="00881984" w:rsidRDefault="00D072B6" w:rsidP="0039030E">
            <w:pPr>
              <w:rPr>
                <w:rFonts w:ascii="Arial" w:hAnsi="Arial" w:cs="Arial"/>
                <w:color w:val="000000"/>
              </w:rPr>
            </w:pPr>
            <w:r w:rsidRPr="00881984">
              <w:rPr>
                <w:rFonts w:ascii="Arial" w:hAnsi="Arial" w:cs="Arial"/>
                <w:color w:val="000000"/>
              </w:rPr>
              <w:t>Very High Extent</w:t>
            </w:r>
          </w:p>
        </w:tc>
      </w:tr>
      <w:tr w:rsidR="00D072B6" w:rsidRPr="00881984" w14:paraId="527F57A5" w14:textId="77777777" w:rsidTr="00D072B6">
        <w:trPr>
          <w:trHeight w:val="540"/>
        </w:trPr>
        <w:tc>
          <w:tcPr>
            <w:tcW w:w="0" w:type="auto"/>
            <w:hideMark/>
          </w:tcPr>
          <w:p w14:paraId="5F937C3C" w14:textId="77777777" w:rsidR="00D072B6" w:rsidRPr="00881984" w:rsidRDefault="00D072B6" w:rsidP="0039030E">
            <w:pPr>
              <w:rPr>
                <w:rFonts w:ascii="Arial" w:hAnsi="Arial" w:cs="Arial"/>
                <w:color w:val="000000"/>
              </w:rPr>
            </w:pPr>
            <w:r w:rsidRPr="00881984">
              <w:rPr>
                <w:rFonts w:ascii="Arial" w:hAnsi="Arial" w:cs="Arial"/>
                <w:color w:val="000000"/>
              </w:rPr>
              <w:t>Family and Community Engagement</w:t>
            </w:r>
          </w:p>
        </w:tc>
        <w:tc>
          <w:tcPr>
            <w:tcW w:w="0" w:type="auto"/>
            <w:hideMark/>
          </w:tcPr>
          <w:p w14:paraId="3811F026" w14:textId="77777777" w:rsidR="00D072B6" w:rsidRPr="00881984" w:rsidRDefault="00D072B6" w:rsidP="0039030E">
            <w:pPr>
              <w:rPr>
                <w:rFonts w:ascii="Arial" w:hAnsi="Arial" w:cs="Arial"/>
                <w:color w:val="000000"/>
              </w:rPr>
            </w:pPr>
            <w:r w:rsidRPr="00881984">
              <w:rPr>
                <w:rFonts w:ascii="Arial" w:hAnsi="Arial" w:cs="Arial"/>
                <w:color w:val="000000"/>
              </w:rPr>
              <w:t>3.98</w:t>
            </w:r>
          </w:p>
        </w:tc>
        <w:tc>
          <w:tcPr>
            <w:tcW w:w="0" w:type="auto"/>
            <w:hideMark/>
          </w:tcPr>
          <w:p w14:paraId="2336C04B" w14:textId="77777777" w:rsidR="00D072B6" w:rsidRPr="00881984" w:rsidRDefault="00D072B6" w:rsidP="0039030E">
            <w:pPr>
              <w:rPr>
                <w:rFonts w:ascii="Arial" w:hAnsi="Arial" w:cs="Arial"/>
                <w:color w:val="000000"/>
              </w:rPr>
            </w:pPr>
            <w:r w:rsidRPr="00881984">
              <w:rPr>
                <w:rFonts w:ascii="Arial" w:hAnsi="Arial" w:cs="Arial"/>
                <w:color w:val="000000"/>
              </w:rPr>
              <w:t>0.52</w:t>
            </w:r>
          </w:p>
        </w:tc>
        <w:tc>
          <w:tcPr>
            <w:tcW w:w="0" w:type="auto"/>
            <w:hideMark/>
          </w:tcPr>
          <w:p w14:paraId="067BB299" w14:textId="77777777" w:rsidR="00D072B6" w:rsidRPr="00881984" w:rsidRDefault="00D072B6" w:rsidP="0039030E">
            <w:pPr>
              <w:rPr>
                <w:rFonts w:ascii="Arial" w:hAnsi="Arial" w:cs="Arial"/>
                <w:color w:val="000000"/>
              </w:rPr>
            </w:pPr>
            <w:r w:rsidRPr="00881984">
              <w:rPr>
                <w:rFonts w:ascii="Arial" w:hAnsi="Arial" w:cs="Arial"/>
                <w:color w:val="000000"/>
              </w:rPr>
              <w:t>High Extent</w:t>
            </w:r>
          </w:p>
        </w:tc>
      </w:tr>
      <w:tr w:rsidR="00D072B6" w:rsidRPr="00881984" w14:paraId="7CE7C810" w14:textId="77777777" w:rsidTr="00D072B6">
        <w:trPr>
          <w:trHeight w:val="540"/>
        </w:trPr>
        <w:tc>
          <w:tcPr>
            <w:tcW w:w="0" w:type="auto"/>
            <w:hideMark/>
          </w:tcPr>
          <w:p w14:paraId="7A523A64" w14:textId="77777777" w:rsidR="00D072B6" w:rsidRPr="00881984" w:rsidRDefault="00D072B6" w:rsidP="0039030E">
            <w:pPr>
              <w:rPr>
                <w:rFonts w:ascii="Arial" w:hAnsi="Arial" w:cs="Arial"/>
                <w:color w:val="000000"/>
              </w:rPr>
            </w:pPr>
            <w:r w:rsidRPr="00881984">
              <w:rPr>
                <w:rFonts w:ascii="Arial" w:hAnsi="Arial" w:cs="Arial"/>
                <w:color w:val="000000"/>
              </w:rPr>
              <w:lastRenderedPageBreak/>
              <w:t>Professional Culture</w:t>
            </w:r>
          </w:p>
        </w:tc>
        <w:tc>
          <w:tcPr>
            <w:tcW w:w="0" w:type="auto"/>
            <w:hideMark/>
          </w:tcPr>
          <w:p w14:paraId="3F970C48" w14:textId="77777777" w:rsidR="00D072B6" w:rsidRPr="00881984" w:rsidRDefault="00D072B6" w:rsidP="0039030E">
            <w:pPr>
              <w:rPr>
                <w:rFonts w:ascii="Arial" w:hAnsi="Arial" w:cs="Arial"/>
                <w:color w:val="000000"/>
              </w:rPr>
            </w:pPr>
            <w:r w:rsidRPr="00881984">
              <w:rPr>
                <w:rFonts w:ascii="Arial" w:hAnsi="Arial" w:cs="Arial"/>
                <w:color w:val="000000"/>
              </w:rPr>
              <w:t>4.35</w:t>
            </w:r>
          </w:p>
        </w:tc>
        <w:tc>
          <w:tcPr>
            <w:tcW w:w="0" w:type="auto"/>
            <w:hideMark/>
          </w:tcPr>
          <w:p w14:paraId="20BF0D09" w14:textId="77777777" w:rsidR="00D072B6" w:rsidRPr="00881984" w:rsidRDefault="00D072B6" w:rsidP="0039030E">
            <w:pPr>
              <w:rPr>
                <w:rFonts w:ascii="Arial" w:hAnsi="Arial" w:cs="Arial"/>
                <w:color w:val="000000"/>
              </w:rPr>
            </w:pPr>
            <w:r w:rsidRPr="00881984">
              <w:rPr>
                <w:rFonts w:ascii="Arial" w:hAnsi="Arial" w:cs="Arial"/>
                <w:color w:val="000000"/>
              </w:rPr>
              <w:t>0.39</w:t>
            </w:r>
          </w:p>
        </w:tc>
        <w:tc>
          <w:tcPr>
            <w:tcW w:w="0" w:type="auto"/>
            <w:hideMark/>
          </w:tcPr>
          <w:p w14:paraId="5C63D4CE" w14:textId="77777777" w:rsidR="00D072B6" w:rsidRPr="00881984" w:rsidRDefault="00D072B6" w:rsidP="0039030E">
            <w:pPr>
              <w:rPr>
                <w:rFonts w:ascii="Arial" w:hAnsi="Arial" w:cs="Arial"/>
                <w:color w:val="000000"/>
              </w:rPr>
            </w:pPr>
            <w:r w:rsidRPr="00881984">
              <w:rPr>
                <w:rFonts w:ascii="Arial" w:hAnsi="Arial" w:cs="Arial"/>
                <w:color w:val="000000"/>
              </w:rPr>
              <w:t>Very High Extent</w:t>
            </w:r>
          </w:p>
        </w:tc>
      </w:tr>
      <w:tr w:rsidR="00D072B6" w:rsidRPr="00881984" w14:paraId="5C5B0759" w14:textId="77777777" w:rsidTr="00D072B6">
        <w:trPr>
          <w:trHeight w:val="540"/>
        </w:trPr>
        <w:tc>
          <w:tcPr>
            <w:tcW w:w="0" w:type="auto"/>
            <w:hideMark/>
          </w:tcPr>
          <w:p w14:paraId="62F2F6DC"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Overall Mean</w:t>
            </w:r>
          </w:p>
        </w:tc>
        <w:tc>
          <w:tcPr>
            <w:tcW w:w="0" w:type="auto"/>
            <w:hideMark/>
          </w:tcPr>
          <w:p w14:paraId="1DF5493D" w14:textId="77777777" w:rsidR="00D072B6" w:rsidRPr="00881984" w:rsidRDefault="00D072B6" w:rsidP="0039030E">
            <w:pPr>
              <w:rPr>
                <w:rFonts w:ascii="Arial" w:hAnsi="Arial" w:cs="Arial"/>
                <w:color w:val="000000"/>
              </w:rPr>
            </w:pPr>
            <w:r w:rsidRPr="00881984">
              <w:rPr>
                <w:rFonts w:ascii="Arial" w:hAnsi="Arial" w:cs="Arial"/>
                <w:color w:val="000000"/>
              </w:rPr>
              <w:t>4.22</w:t>
            </w:r>
          </w:p>
        </w:tc>
        <w:tc>
          <w:tcPr>
            <w:tcW w:w="0" w:type="auto"/>
            <w:hideMark/>
          </w:tcPr>
          <w:p w14:paraId="6607718A" w14:textId="77777777" w:rsidR="00D072B6" w:rsidRPr="00881984" w:rsidRDefault="00D072B6" w:rsidP="0039030E">
            <w:pPr>
              <w:rPr>
                <w:rFonts w:ascii="Arial" w:hAnsi="Arial" w:cs="Arial"/>
                <w:color w:val="000000"/>
              </w:rPr>
            </w:pPr>
            <w:r w:rsidRPr="00881984">
              <w:rPr>
                <w:rFonts w:ascii="Arial" w:hAnsi="Arial" w:cs="Arial"/>
                <w:color w:val="000000"/>
              </w:rPr>
              <w:t>0.45</w:t>
            </w:r>
          </w:p>
        </w:tc>
        <w:tc>
          <w:tcPr>
            <w:tcW w:w="0" w:type="auto"/>
            <w:hideMark/>
          </w:tcPr>
          <w:p w14:paraId="469BA6CE" w14:textId="77777777" w:rsidR="00D072B6" w:rsidRPr="00881984" w:rsidRDefault="00D072B6" w:rsidP="0039030E">
            <w:pPr>
              <w:rPr>
                <w:rFonts w:ascii="Arial" w:hAnsi="Arial" w:cs="Arial"/>
                <w:color w:val="000000"/>
              </w:rPr>
            </w:pPr>
            <w:r w:rsidRPr="00881984">
              <w:rPr>
                <w:rFonts w:ascii="Arial" w:hAnsi="Arial" w:cs="Arial"/>
                <w:color w:val="000000"/>
              </w:rPr>
              <w:t>Very High Extent</w:t>
            </w:r>
          </w:p>
        </w:tc>
      </w:tr>
    </w:tbl>
    <w:p w14:paraId="2B35CB5B" w14:textId="77777777" w:rsidR="00D072B6" w:rsidRPr="00881984" w:rsidRDefault="00D072B6" w:rsidP="00D072B6">
      <w:pPr>
        <w:spacing w:before="120" w:after="120"/>
        <w:rPr>
          <w:rFonts w:ascii="Arial" w:hAnsi="Arial" w:cs="Arial"/>
        </w:rPr>
      </w:pPr>
    </w:p>
    <w:p w14:paraId="49C73CB9" w14:textId="77777777" w:rsidR="00D072B6" w:rsidRPr="00881984" w:rsidRDefault="00D072B6" w:rsidP="00D072B6">
      <w:pPr>
        <w:spacing w:before="120" w:after="120"/>
        <w:jc w:val="both"/>
        <w:rPr>
          <w:rFonts w:ascii="Arial" w:hAnsi="Arial" w:cs="Arial"/>
        </w:rPr>
      </w:pPr>
      <w:r w:rsidRPr="00881984">
        <w:rPr>
          <w:rFonts w:ascii="Arial" w:hAnsi="Arial" w:cs="Arial"/>
        </w:rPr>
        <w:t>The findings reveal that the overall pedagogical performance of teachers is, to a great extent (M = 4.22, SD = 0.45), indicating that teachers consistently demonstrate strong competence across all measured domains.</w:t>
      </w:r>
    </w:p>
    <w:p w14:paraId="7B7156CD" w14:textId="77777777" w:rsidR="00D072B6" w:rsidRPr="00881984" w:rsidRDefault="00D072B6" w:rsidP="00D072B6">
      <w:pPr>
        <w:spacing w:before="120" w:after="120"/>
        <w:jc w:val="both"/>
        <w:rPr>
          <w:rFonts w:ascii="Arial" w:hAnsi="Arial" w:cs="Arial"/>
        </w:rPr>
      </w:pPr>
      <w:r w:rsidRPr="00881984">
        <w:rPr>
          <w:rFonts w:ascii="Arial" w:hAnsi="Arial" w:cs="Arial"/>
        </w:rPr>
        <w:t>In terms of curriculum, planning, and assessment, the results show a very high extent (M = 4.32, SD = 0.41). This suggests that teachers are highly proficient in designing instructional plans, aligning learning objectives with curriculum standards, and implementing appropriate assessment strategies. The relatively low standard deviation indicates consistency among respondents, suggesting that most teachers share a high level of competence in this domain.</w:t>
      </w:r>
    </w:p>
    <w:p w14:paraId="461BEF42" w14:textId="77777777" w:rsidR="00D072B6" w:rsidRPr="00881984" w:rsidRDefault="00D072B6" w:rsidP="00D072B6">
      <w:pPr>
        <w:spacing w:before="120" w:after="120"/>
        <w:jc w:val="both"/>
        <w:rPr>
          <w:rFonts w:ascii="Arial" w:hAnsi="Arial" w:cs="Arial"/>
        </w:rPr>
      </w:pPr>
      <w:r w:rsidRPr="00881984">
        <w:rPr>
          <w:rFonts w:ascii="Arial" w:hAnsi="Arial" w:cs="Arial"/>
        </w:rPr>
        <w:t>For teaching all students, the domain also registered a very high extent (M = 4.21, SD = 0.47). This implies that teachers effectively employ inclusive teaching practices, differentiate instruction, and address diverse learners' needs. However, the slightly higher standard deviation compared to other domains suggests minor variability in how teachers implement inclusive strategies, which differences may be associated with classroom contexts or available resources.</w:t>
      </w:r>
    </w:p>
    <w:p w14:paraId="38B68953" w14:textId="77777777" w:rsidR="00D072B6" w:rsidRPr="00881984" w:rsidRDefault="00D072B6" w:rsidP="00D072B6">
      <w:pPr>
        <w:spacing w:before="120" w:after="120"/>
        <w:jc w:val="both"/>
        <w:rPr>
          <w:rFonts w:ascii="Arial" w:hAnsi="Arial" w:cs="Arial"/>
        </w:rPr>
      </w:pPr>
      <w:r w:rsidRPr="00881984">
        <w:rPr>
          <w:rFonts w:ascii="Arial" w:hAnsi="Arial" w:cs="Arial"/>
        </w:rPr>
        <w:t>The domain of family and community engagement obtained a high extent (M = 3.98, SD = 0.52), which is comparatively lower than the other domains. This indicates that while teachers are generally engaged with families and communities, there is still room for improvement. The higher standard deviation suggests varied practices among teachers, possibly due to differences in parental involvement, community support, or school communication mechanisms.</w:t>
      </w:r>
    </w:p>
    <w:p w14:paraId="4DBF0088" w14:textId="77777777" w:rsidR="00D072B6" w:rsidRPr="00881984" w:rsidRDefault="00D072B6" w:rsidP="00D072B6">
      <w:pPr>
        <w:spacing w:before="120" w:after="120"/>
        <w:jc w:val="both"/>
        <w:rPr>
          <w:rFonts w:ascii="Arial" w:hAnsi="Arial" w:cs="Arial"/>
        </w:rPr>
      </w:pPr>
      <w:r w:rsidRPr="00881984">
        <w:rPr>
          <w:rFonts w:ascii="Arial" w:hAnsi="Arial" w:cs="Arial"/>
        </w:rPr>
        <w:t>Meanwhile, professional culture yielded the highest mean score and was interpreted as a very high extent (M = 4.35, SD = 0.39). This demonstrates that teachers actively participate in professional collaboration, uphold ethical standards, and contribute to a positive school environment. The low variability indicates a strong shared commitment among teachers toward maintaining a professional and collaborative culture.</w:t>
      </w:r>
    </w:p>
    <w:p w14:paraId="338430E8" w14:textId="77777777" w:rsidR="00D072B6" w:rsidRPr="00881984" w:rsidRDefault="00D072B6" w:rsidP="00D072B6">
      <w:pPr>
        <w:spacing w:before="120" w:after="120"/>
        <w:jc w:val="both"/>
        <w:rPr>
          <w:rFonts w:ascii="Arial" w:hAnsi="Arial" w:cs="Arial"/>
        </w:rPr>
      </w:pPr>
      <w:r w:rsidRPr="00881984">
        <w:rPr>
          <w:rFonts w:ascii="Arial" w:hAnsi="Arial" w:cs="Arial"/>
          <w:b/>
          <w:bCs/>
        </w:rPr>
        <w:t>Level of 21st Century Skills of Learners</w:t>
      </w:r>
    </w:p>
    <w:p w14:paraId="71550367" w14:textId="77777777" w:rsidR="00D072B6" w:rsidRPr="00881984" w:rsidRDefault="00D072B6" w:rsidP="00D072B6">
      <w:pPr>
        <w:spacing w:before="120" w:after="120"/>
        <w:jc w:val="both"/>
        <w:rPr>
          <w:rFonts w:ascii="Arial" w:hAnsi="Arial" w:cs="Arial"/>
        </w:rPr>
      </w:pPr>
      <w:r w:rsidRPr="00881984">
        <w:rPr>
          <w:rFonts w:ascii="Arial" w:hAnsi="Arial" w:cs="Arial"/>
          <w:b/>
          <w:bCs/>
        </w:rPr>
        <w:t>Table 2</w:t>
      </w:r>
    </w:p>
    <w:p w14:paraId="65707F6D"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Level of 21st Century Skills of Learners </w:t>
      </w:r>
    </w:p>
    <w:tbl>
      <w:tblPr>
        <w:tblStyle w:val="TableGrid"/>
        <w:tblW w:w="0" w:type="auto"/>
        <w:tblLook w:val="04A0" w:firstRow="1" w:lastRow="0" w:firstColumn="1" w:lastColumn="0" w:noHBand="0" w:noVBand="1"/>
      </w:tblPr>
      <w:tblGrid>
        <w:gridCol w:w="2923"/>
        <w:gridCol w:w="1702"/>
        <w:gridCol w:w="1656"/>
        <w:gridCol w:w="1917"/>
      </w:tblGrid>
      <w:tr w:rsidR="00D072B6" w:rsidRPr="00881984" w14:paraId="28BF1A8E" w14:textId="77777777" w:rsidTr="00D072B6">
        <w:trPr>
          <w:trHeight w:val="540"/>
        </w:trPr>
        <w:tc>
          <w:tcPr>
            <w:tcW w:w="2295" w:type="dxa"/>
            <w:hideMark/>
          </w:tcPr>
          <w:p w14:paraId="27D55FED"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Domain</w:t>
            </w:r>
          </w:p>
        </w:tc>
        <w:tc>
          <w:tcPr>
            <w:tcW w:w="2295" w:type="dxa"/>
            <w:hideMark/>
          </w:tcPr>
          <w:p w14:paraId="3FCDCD15"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Mean</w:t>
            </w:r>
          </w:p>
        </w:tc>
        <w:tc>
          <w:tcPr>
            <w:tcW w:w="2295" w:type="dxa"/>
            <w:hideMark/>
          </w:tcPr>
          <w:p w14:paraId="55416B21"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SD</w:t>
            </w:r>
          </w:p>
        </w:tc>
        <w:tc>
          <w:tcPr>
            <w:tcW w:w="2295" w:type="dxa"/>
            <w:hideMark/>
          </w:tcPr>
          <w:p w14:paraId="49B7BC49"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Descriptive Equivalent</w:t>
            </w:r>
          </w:p>
        </w:tc>
      </w:tr>
      <w:tr w:rsidR="00D072B6" w:rsidRPr="00881984" w14:paraId="4F95E667" w14:textId="77777777" w:rsidTr="00D072B6">
        <w:trPr>
          <w:trHeight w:val="540"/>
        </w:trPr>
        <w:tc>
          <w:tcPr>
            <w:tcW w:w="0" w:type="auto"/>
            <w:hideMark/>
          </w:tcPr>
          <w:p w14:paraId="466A91DA" w14:textId="77777777" w:rsidR="00D072B6" w:rsidRPr="00881984" w:rsidRDefault="00D072B6" w:rsidP="0039030E">
            <w:pPr>
              <w:rPr>
                <w:rFonts w:ascii="Arial" w:hAnsi="Arial" w:cs="Arial"/>
                <w:color w:val="000000"/>
              </w:rPr>
            </w:pPr>
            <w:r w:rsidRPr="00881984">
              <w:rPr>
                <w:rFonts w:ascii="Arial" w:hAnsi="Arial" w:cs="Arial"/>
                <w:color w:val="000000"/>
              </w:rPr>
              <w:t>Learning and Innovation Skills</w:t>
            </w:r>
          </w:p>
        </w:tc>
        <w:tc>
          <w:tcPr>
            <w:tcW w:w="0" w:type="auto"/>
            <w:hideMark/>
          </w:tcPr>
          <w:p w14:paraId="016A30FD" w14:textId="77777777" w:rsidR="00D072B6" w:rsidRPr="00881984" w:rsidRDefault="00D072B6" w:rsidP="0039030E">
            <w:pPr>
              <w:rPr>
                <w:rFonts w:ascii="Arial" w:hAnsi="Arial" w:cs="Arial"/>
                <w:color w:val="000000"/>
              </w:rPr>
            </w:pPr>
            <w:r w:rsidRPr="00881984">
              <w:rPr>
                <w:rFonts w:ascii="Arial" w:hAnsi="Arial" w:cs="Arial"/>
                <w:color w:val="000000"/>
              </w:rPr>
              <w:t>4.38</w:t>
            </w:r>
          </w:p>
        </w:tc>
        <w:tc>
          <w:tcPr>
            <w:tcW w:w="0" w:type="auto"/>
            <w:hideMark/>
          </w:tcPr>
          <w:p w14:paraId="61E616C0" w14:textId="77777777" w:rsidR="00D072B6" w:rsidRPr="00881984" w:rsidRDefault="00D072B6" w:rsidP="0039030E">
            <w:pPr>
              <w:rPr>
                <w:rFonts w:ascii="Arial" w:hAnsi="Arial" w:cs="Arial"/>
                <w:color w:val="000000"/>
              </w:rPr>
            </w:pPr>
            <w:r w:rsidRPr="00881984">
              <w:rPr>
                <w:rFonts w:ascii="Arial" w:hAnsi="Arial" w:cs="Arial"/>
                <w:color w:val="000000"/>
              </w:rPr>
              <w:t>0.46</w:t>
            </w:r>
          </w:p>
        </w:tc>
        <w:tc>
          <w:tcPr>
            <w:tcW w:w="0" w:type="auto"/>
            <w:hideMark/>
          </w:tcPr>
          <w:p w14:paraId="5303B079" w14:textId="77777777" w:rsidR="00D072B6" w:rsidRPr="00881984" w:rsidRDefault="00D072B6" w:rsidP="0039030E">
            <w:pPr>
              <w:rPr>
                <w:rFonts w:ascii="Arial" w:hAnsi="Arial" w:cs="Arial"/>
                <w:color w:val="000000"/>
              </w:rPr>
            </w:pPr>
            <w:r w:rsidRPr="00881984">
              <w:rPr>
                <w:rFonts w:ascii="Arial" w:hAnsi="Arial" w:cs="Arial"/>
                <w:color w:val="000000"/>
              </w:rPr>
              <w:t>Sometimes Manifested</w:t>
            </w:r>
          </w:p>
        </w:tc>
      </w:tr>
      <w:tr w:rsidR="00D072B6" w:rsidRPr="00881984" w14:paraId="58363FAD" w14:textId="77777777" w:rsidTr="00D072B6">
        <w:trPr>
          <w:trHeight w:val="540"/>
        </w:trPr>
        <w:tc>
          <w:tcPr>
            <w:tcW w:w="0" w:type="auto"/>
            <w:hideMark/>
          </w:tcPr>
          <w:p w14:paraId="44B4CC18" w14:textId="77777777" w:rsidR="00D072B6" w:rsidRPr="00881984" w:rsidRDefault="00D072B6" w:rsidP="0039030E">
            <w:pPr>
              <w:rPr>
                <w:rFonts w:ascii="Arial" w:hAnsi="Arial" w:cs="Arial"/>
                <w:color w:val="000000"/>
              </w:rPr>
            </w:pPr>
            <w:r w:rsidRPr="00881984">
              <w:rPr>
                <w:rFonts w:ascii="Arial" w:hAnsi="Arial" w:cs="Arial"/>
                <w:color w:val="000000"/>
              </w:rPr>
              <w:t>Information, Media, and Technology Skills</w:t>
            </w:r>
          </w:p>
        </w:tc>
        <w:tc>
          <w:tcPr>
            <w:tcW w:w="0" w:type="auto"/>
            <w:hideMark/>
          </w:tcPr>
          <w:p w14:paraId="670683EA" w14:textId="77777777" w:rsidR="00D072B6" w:rsidRPr="00881984" w:rsidRDefault="00D072B6" w:rsidP="0039030E">
            <w:pPr>
              <w:rPr>
                <w:rFonts w:ascii="Arial" w:hAnsi="Arial" w:cs="Arial"/>
                <w:color w:val="000000"/>
              </w:rPr>
            </w:pPr>
            <w:r w:rsidRPr="00881984">
              <w:rPr>
                <w:rFonts w:ascii="Arial" w:hAnsi="Arial" w:cs="Arial"/>
                <w:color w:val="000000"/>
              </w:rPr>
              <w:t>4.12</w:t>
            </w:r>
          </w:p>
        </w:tc>
        <w:tc>
          <w:tcPr>
            <w:tcW w:w="0" w:type="auto"/>
            <w:hideMark/>
          </w:tcPr>
          <w:p w14:paraId="7FFFA7FB" w14:textId="77777777" w:rsidR="00D072B6" w:rsidRPr="00881984" w:rsidRDefault="00D072B6" w:rsidP="0039030E">
            <w:pPr>
              <w:rPr>
                <w:rFonts w:ascii="Arial" w:hAnsi="Arial" w:cs="Arial"/>
                <w:color w:val="000000"/>
              </w:rPr>
            </w:pPr>
            <w:r w:rsidRPr="00881984">
              <w:rPr>
                <w:rFonts w:ascii="Arial" w:hAnsi="Arial" w:cs="Arial"/>
                <w:color w:val="000000"/>
              </w:rPr>
              <w:t>0.51</w:t>
            </w:r>
          </w:p>
        </w:tc>
        <w:tc>
          <w:tcPr>
            <w:tcW w:w="0" w:type="auto"/>
            <w:hideMark/>
          </w:tcPr>
          <w:p w14:paraId="0DDC51AE" w14:textId="77777777" w:rsidR="00D072B6" w:rsidRPr="00881984" w:rsidRDefault="00D072B6" w:rsidP="0039030E">
            <w:pPr>
              <w:rPr>
                <w:rFonts w:ascii="Arial" w:hAnsi="Arial" w:cs="Arial"/>
                <w:color w:val="000000"/>
              </w:rPr>
            </w:pPr>
            <w:r w:rsidRPr="00881984">
              <w:rPr>
                <w:rFonts w:ascii="Arial" w:hAnsi="Arial" w:cs="Arial"/>
                <w:color w:val="000000"/>
              </w:rPr>
              <w:t>Sometimes Manifested</w:t>
            </w:r>
          </w:p>
        </w:tc>
      </w:tr>
      <w:tr w:rsidR="00D072B6" w:rsidRPr="00881984" w14:paraId="6708DFF8" w14:textId="77777777" w:rsidTr="00D072B6">
        <w:trPr>
          <w:trHeight w:val="540"/>
        </w:trPr>
        <w:tc>
          <w:tcPr>
            <w:tcW w:w="0" w:type="auto"/>
            <w:hideMark/>
          </w:tcPr>
          <w:p w14:paraId="3435A3EB" w14:textId="77777777" w:rsidR="00D072B6" w:rsidRPr="00881984" w:rsidRDefault="00D072B6" w:rsidP="0039030E">
            <w:pPr>
              <w:rPr>
                <w:rFonts w:ascii="Arial" w:hAnsi="Arial" w:cs="Arial"/>
                <w:color w:val="000000"/>
              </w:rPr>
            </w:pPr>
            <w:r w:rsidRPr="00881984">
              <w:rPr>
                <w:rFonts w:ascii="Arial" w:hAnsi="Arial" w:cs="Arial"/>
                <w:color w:val="000000"/>
              </w:rPr>
              <w:t>Life Skills</w:t>
            </w:r>
          </w:p>
        </w:tc>
        <w:tc>
          <w:tcPr>
            <w:tcW w:w="0" w:type="auto"/>
            <w:hideMark/>
          </w:tcPr>
          <w:p w14:paraId="08DE4092" w14:textId="77777777" w:rsidR="00D072B6" w:rsidRPr="00881984" w:rsidRDefault="00D072B6" w:rsidP="0039030E">
            <w:pPr>
              <w:rPr>
                <w:rFonts w:ascii="Arial" w:hAnsi="Arial" w:cs="Arial"/>
                <w:color w:val="000000"/>
              </w:rPr>
            </w:pPr>
            <w:r w:rsidRPr="00881984">
              <w:rPr>
                <w:rFonts w:ascii="Arial" w:hAnsi="Arial" w:cs="Arial"/>
                <w:color w:val="000000"/>
              </w:rPr>
              <w:t>4.44</w:t>
            </w:r>
          </w:p>
        </w:tc>
        <w:tc>
          <w:tcPr>
            <w:tcW w:w="0" w:type="auto"/>
            <w:hideMark/>
          </w:tcPr>
          <w:p w14:paraId="515FDE7B" w14:textId="77777777" w:rsidR="00D072B6" w:rsidRPr="00881984" w:rsidRDefault="00D072B6" w:rsidP="0039030E">
            <w:pPr>
              <w:rPr>
                <w:rFonts w:ascii="Arial" w:hAnsi="Arial" w:cs="Arial"/>
                <w:color w:val="000000"/>
              </w:rPr>
            </w:pPr>
            <w:r w:rsidRPr="00881984">
              <w:rPr>
                <w:rFonts w:ascii="Arial" w:hAnsi="Arial" w:cs="Arial"/>
                <w:color w:val="000000"/>
              </w:rPr>
              <w:t>0.43</w:t>
            </w:r>
          </w:p>
        </w:tc>
        <w:tc>
          <w:tcPr>
            <w:tcW w:w="0" w:type="auto"/>
            <w:hideMark/>
          </w:tcPr>
          <w:p w14:paraId="65E6EC6C" w14:textId="77777777" w:rsidR="00D072B6" w:rsidRPr="00881984" w:rsidRDefault="00D072B6" w:rsidP="0039030E">
            <w:pPr>
              <w:rPr>
                <w:rFonts w:ascii="Arial" w:hAnsi="Arial" w:cs="Arial"/>
                <w:color w:val="000000"/>
              </w:rPr>
            </w:pPr>
            <w:r w:rsidRPr="00881984">
              <w:rPr>
                <w:rFonts w:ascii="Arial" w:hAnsi="Arial" w:cs="Arial"/>
                <w:color w:val="000000"/>
              </w:rPr>
              <w:t>Sometimes Manifested</w:t>
            </w:r>
          </w:p>
        </w:tc>
      </w:tr>
      <w:tr w:rsidR="00D072B6" w:rsidRPr="00881984" w14:paraId="7E862F01" w14:textId="77777777" w:rsidTr="00D072B6">
        <w:trPr>
          <w:trHeight w:val="540"/>
        </w:trPr>
        <w:tc>
          <w:tcPr>
            <w:tcW w:w="0" w:type="auto"/>
            <w:hideMark/>
          </w:tcPr>
          <w:p w14:paraId="5A852D25" w14:textId="77777777" w:rsidR="00D072B6" w:rsidRPr="00881984" w:rsidRDefault="00D072B6" w:rsidP="0039030E">
            <w:pPr>
              <w:spacing w:before="120" w:after="120"/>
              <w:rPr>
                <w:rFonts w:ascii="Arial" w:hAnsi="Arial" w:cs="Arial"/>
                <w:color w:val="000000"/>
              </w:rPr>
            </w:pPr>
            <w:r w:rsidRPr="00881984">
              <w:rPr>
                <w:rFonts w:ascii="Arial" w:hAnsi="Arial" w:cs="Arial"/>
                <w:b/>
                <w:bCs/>
                <w:color w:val="000000"/>
              </w:rPr>
              <w:t>Overall Mean</w:t>
            </w:r>
          </w:p>
        </w:tc>
        <w:tc>
          <w:tcPr>
            <w:tcW w:w="0" w:type="auto"/>
            <w:hideMark/>
          </w:tcPr>
          <w:p w14:paraId="4221CE8A" w14:textId="77777777" w:rsidR="00D072B6" w:rsidRPr="00881984" w:rsidRDefault="00D072B6" w:rsidP="0039030E">
            <w:pPr>
              <w:rPr>
                <w:rFonts w:ascii="Arial" w:hAnsi="Arial" w:cs="Arial"/>
                <w:color w:val="000000"/>
              </w:rPr>
            </w:pPr>
            <w:r w:rsidRPr="00881984">
              <w:rPr>
                <w:rFonts w:ascii="Arial" w:hAnsi="Arial" w:cs="Arial"/>
                <w:color w:val="000000"/>
              </w:rPr>
              <w:t>4.31</w:t>
            </w:r>
          </w:p>
        </w:tc>
        <w:tc>
          <w:tcPr>
            <w:tcW w:w="0" w:type="auto"/>
            <w:hideMark/>
          </w:tcPr>
          <w:p w14:paraId="25FD65C4" w14:textId="77777777" w:rsidR="00D072B6" w:rsidRPr="00881984" w:rsidRDefault="00D072B6" w:rsidP="0039030E">
            <w:pPr>
              <w:rPr>
                <w:rFonts w:ascii="Arial" w:hAnsi="Arial" w:cs="Arial"/>
                <w:color w:val="000000"/>
              </w:rPr>
            </w:pPr>
            <w:r w:rsidRPr="00881984">
              <w:rPr>
                <w:rFonts w:ascii="Arial" w:hAnsi="Arial" w:cs="Arial"/>
                <w:color w:val="000000"/>
              </w:rPr>
              <w:t>0.47</w:t>
            </w:r>
          </w:p>
        </w:tc>
        <w:tc>
          <w:tcPr>
            <w:tcW w:w="0" w:type="auto"/>
            <w:hideMark/>
          </w:tcPr>
          <w:p w14:paraId="0535DDAF" w14:textId="77777777" w:rsidR="00D072B6" w:rsidRPr="00881984" w:rsidRDefault="00D072B6" w:rsidP="0039030E">
            <w:pPr>
              <w:rPr>
                <w:rFonts w:ascii="Arial" w:hAnsi="Arial" w:cs="Arial"/>
                <w:color w:val="000000"/>
              </w:rPr>
            </w:pPr>
            <w:r w:rsidRPr="00881984">
              <w:rPr>
                <w:rFonts w:ascii="Arial" w:hAnsi="Arial" w:cs="Arial"/>
                <w:color w:val="000000"/>
              </w:rPr>
              <w:t>Sometimes Manifested</w:t>
            </w:r>
          </w:p>
        </w:tc>
      </w:tr>
    </w:tbl>
    <w:p w14:paraId="7CC62E8C" w14:textId="77777777" w:rsidR="00D072B6" w:rsidRPr="00881984" w:rsidRDefault="00D072B6" w:rsidP="00D072B6">
      <w:pPr>
        <w:spacing w:before="120" w:after="120"/>
        <w:rPr>
          <w:rFonts w:ascii="Arial" w:hAnsi="Arial" w:cs="Arial"/>
        </w:rPr>
      </w:pPr>
    </w:p>
    <w:p w14:paraId="59F4B45B" w14:textId="77777777" w:rsidR="00D072B6" w:rsidRPr="00881984" w:rsidRDefault="00D072B6" w:rsidP="00D072B6">
      <w:pPr>
        <w:spacing w:before="120" w:after="120"/>
        <w:jc w:val="both"/>
        <w:rPr>
          <w:rFonts w:ascii="Arial" w:hAnsi="Arial" w:cs="Arial"/>
        </w:rPr>
      </w:pPr>
      <w:r w:rsidRPr="00881984">
        <w:rPr>
          <w:rFonts w:ascii="Arial" w:hAnsi="Arial" w:cs="Arial"/>
        </w:rPr>
        <w:lastRenderedPageBreak/>
        <w:t>The findings indicate that learners demonstrate 21st-century skills at a generally high level (M = 4.31), although these skills are not yet consistently exhibited across all contexts.</w:t>
      </w:r>
    </w:p>
    <w:p w14:paraId="1BB7FEDF" w14:textId="77777777" w:rsidR="00D072B6" w:rsidRPr="00881984" w:rsidRDefault="00D072B6" w:rsidP="00D072B6">
      <w:pPr>
        <w:spacing w:before="120" w:after="120"/>
        <w:jc w:val="both"/>
        <w:rPr>
          <w:rFonts w:ascii="Arial" w:hAnsi="Arial" w:cs="Arial"/>
        </w:rPr>
      </w:pPr>
      <w:r w:rsidRPr="00881984">
        <w:rPr>
          <w:rFonts w:ascii="Arial" w:hAnsi="Arial" w:cs="Arial"/>
        </w:rPr>
        <w:t>Regarding learning and innovation skills, the results yielded a mean of 4.38 (SD = 0.46), indicating that these skills sometimes manifested. This implies that learners need to demonstrate critical thinking, creativity, collaboration, and problem-solving skills in many instances. However, the score falling just below the “always manifested” threshold suggests that these competencies are still developing and may require more structured opportunities and reinforcement. The relatively low standard deviation indicates that learners’ responses are fairly consistent.</w:t>
      </w:r>
    </w:p>
    <w:p w14:paraId="7CB9757E" w14:textId="77777777" w:rsidR="00D072B6" w:rsidRPr="00881984" w:rsidRDefault="00D072B6" w:rsidP="00D072B6">
      <w:pPr>
        <w:spacing w:before="120" w:after="120"/>
        <w:jc w:val="both"/>
        <w:rPr>
          <w:rFonts w:ascii="Arial" w:hAnsi="Arial" w:cs="Arial"/>
        </w:rPr>
      </w:pPr>
      <w:r w:rsidRPr="00881984">
        <w:rPr>
          <w:rFonts w:ascii="Arial" w:hAnsi="Arial" w:cs="Arial"/>
        </w:rPr>
        <w:t>For information, media, and technology skills, the computed mean is 4.12 (SD = 0.51), indicating that they sometimes manifest. This indicates that learners possess functional abilities to access, evaluate, and use information and digital tools. However, the slightly lower mean compared to other domains suggests that learners may still face challenges with higher-order digital literacy skills, such as critically evaluating online sources and using media responsibly. The higher standard deviation reflects some variability in learners’ competencies, possibly due to differences in access to technology and exposure to digital learning environments.</w:t>
      </w:r>
    </w:p>
    <w:p w14:paraId="71DD63B9" w14:textId="77777777" w:rsidR="00D072B6" w:rsidRPr="00881984" w:rsidRDefault="00D072B6" w:rsidP="00D072B6">
      <w:pPr>
        <w:spacing w:before="120" w:after="120"/>
        <w:jc w:val="both"/>
        <w:rPr>
          <w:rFonts w:ascii="Arial" w:hAnsi="Arial" w:cs="Arial"/>
        </w:rPr>
      </w:pPr>
      <w:r w:rsidRPr="00881984">
        <w:rPr>
          <w:rFonts w:ascii="Arial" w:hAnsi="Arial" w:cs="Arial"/>
        </w:rPr>
        <w:t>Meanwhile, life skills obtained the highest mean score of 4.44 (SD = 0.43), indicating that they sometimes manifested. This finding indicates that learners frequently demonstrate adaptability, initiative, social skills, and responsibility in their daily activities. Although this domain ranks highest, it still falls short of being “always manifested,” suggesting the need for continuous development of learners’ personal and interpersonal competencies to prepare them for real-world challenges.</w:t>
      </w:r>
    </w:p>
    <w:p w14:paraId="5547A146" w14:textId="77777777" w:rsidR="00D072B6" w:rsidRPr="00881984" w:rsidRDefault="00D072B6" w:rsidP="00D072B6">
      <w:pPr>
        <w:spacing w:before="120" w:after="120"/>
        <w:jc w:val="both"/>
        <w:rPr>
          <w:rFonts w:ascii="Arial" w:hAnsi="Arial" w:cs="Arial"/>
        </w:rPr>
      </w:pPr>
      <w:r w:rsidRPr="00881984">
        <w:rPr>
          <w:rFonts w:ascii="Arial" w:hAnsi="Arial" w:cs="Arial"/>
          <w:b/>
          <w:bCs/>
        </w:rPr>
        <w:t>Relationship Between Pedagogical Performance of Teachers and 21st Century Skills of Learners</w:t>
      </w:r>
    </w:p>
    <w:p w14:paraId="3802D804" w14:textId="77777777" w:rsidR="00D072B6" w:rsidRPr="00881984" w:rsidRDefault="00D072B6" w:rsidP="00D072B6">
      <w:pPr>
        <w:spacing w:before="120" w:after="120"/>
        <w:rPr>
          <w:rFonts w:ascii="Arial" w:hAnsi="Arial" w:cs="Arial"/>
        </w:rPr>
      </w:pPr>
      <w:r w:rsidRPr="00881984">
        <w:rPr>
          <w:rFonts w:ascii="Arial" w:hAnsi="Arial" w:cs="Arial"/>
          <w:b/>
          <w:bCs/>
        </w:rPr>
        <w:t>Table 3</w:t>
      </w:r>
    </w:p>
    <w:p w14:paraId="6025E645" w14:textId="77777777" w:rsidR="00D072B6" w:rsidRPr="00881984" w:rsidRDefault="00D072B6" w:rsidP="00D072B6">
      <w:pPr>
        <w:spacing w:before="120" w:after="120"/>
        <w:rPr>
          <w:rFonts w:ascii="Arial" w:hAnsi="Arial" w:cs="Arial"/>
        </w:rPr>
      </w:pPr>
      <w:r w:rsidRPr="00881984">
        <w:rPr>
          <w:rFonts w:ascii="Arial" w:hAnsi="Arial" w:cs="Arial"/>
        </w:rPr>
        <w:t xml:space="preserve">Correlation Between Pedagogical Performance of Teachers and 21st Century Skills of Learners </w:t>
      </w:r>
    </w:p>
    <w:p w14:paraId="28FFD696" w14:textId="77777777" w:rsidR="00D072B6" w:rsidRPr="00881984" w:rsidRDefault="00D072B6" w:rsidP="00D072B6">
      <w:pPr>
        <w:spacing w:before="120" w:after="120"/>
        <w:rPr>
          <w:rFonts w:ascii="Arial" w:hAnsi="Arial" w:cs="Arial"/>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451"/>
        <w:gridCol w:w="1230"/>
        <w:gridCol w:w="1230"/>
        <w:gridCol w:w="1854"/>
        <w:gridCol w:w="1427"/>
      </w:tblGrid>
      <w:tr w:rsidR="00D072B6" w:rsidRPr="00881984" w14:paraId="65A117CD" w14:textId="77777777" w:rsidTr="0039030E">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9D7F315"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Variables Compared</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C956E7A" w14:textId="77777777" w:rsidR="00D072B6" w:rsidRPr="00881984" w:rsidRDefault="00D072B6" w:rsidP="0039030E">
            <w:pPr>
              <w:spacing w:before="120" w:after="120"/>
              <w:jc w:val="center"/>
              <w:rPr>
                <w:rFonts w:ascii="Arial" w:hAnsi="Arial" w:cs="Arial"/>
                <w:color w:val="000000"/>
              </w:rPr>
            </w:pPr>
            <w:proofErr w:type="spellStart"/>
            <w:r w:rsidRPr="00881984">
              <w:rPr>
                <w:rFonts w:ascii="Arial" w:hAnsi="Arial" w:cs="Arial"/>
                <w:b/>
                <w:bCs/>
                <w:color w:val="000000"/>
              </w:rPr>
              <w:t>r-value</w:t>
            </w:r>
            <w:proofErr w:type="spellEnd"/>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BBC3648"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p-value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E7B3AA7"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Interpretation</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885F1FC" w14:textId="77777777" w:rsidR="00D072B6" w:rsidRPr="00881984" w:rsidRDefault="00D072B6" w:rsidP="0039030E">
            <w:pPr>
              <w:spacing w:before="120" w:after="120"/>
              <w:jc w:val="center"/>
              <w:rPr>
                <w:rFonts w:ascii="Arial" w:hAnsi="Arial" w:cs="Arial"/>
                <w:color w:val="000000"/>
              </w:rPr>
            </w:pPr>
            <w:r w:rsidRPr="00881984">
              <w:rPr>
                <w:rFonts w:ascii="Arial" w:hAnsi="Arial" w:cs="Arial"/>
                <w:b/>
                <w:bCs/>
                <w:color w:val="000000"/>
              </w:rPr>
              <w:t>Decision on Ho</w:t>
            </w:r>
          </w:p>
        </w:tc>
      </w:tr>
      <w:tr w:rsidR="00D072B6" w:rsidRPr="00881984" w14:paraId="3BA1C5D0" w14:textId="77777777" w:rsidTr="0039030E">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1B09B5" w14:textId="77777777" w:rsidR="00D072B6" w:rsidRPr="00881984" w:rsidRDefault="00D072B6" w:rsidP="0039030E">
            <w:pPr>
              <w:rPr>
                <w:rFonts w:ascii="Arial" w:hAnsi="Arial" w:cs="Arial"/>
                <w:color w:val="000000"/>
              </w:rPr>
            </w:pPr>
            <w:r w:rsidRPr="00881984">
              <w:rPr>
                <w:rFonts w:ascii="Arial" w:hAnsi="Arial" w:cs="Arial"/>
                <w:color w:val="000000"/>
              </w:rPr>
              <w:t>Pedagogical Performance and 21st Century Skills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5056B8" w14:textId="77777777" w:rsidR="00D072B6" w:rsidRPr="00881984" w:rsidRDefault="00D072B6" w:rsidP="0039030E">
            <w:pPr>
              <w:rPr>
                <w:rFonts w:ascii="Arial" w:hAnsi="Arial" w:cs="Arial"/>
                <w:color w:val="000000"/>
              </w:rPr>
            </w:pPr>
            <w:r w:rsidRPr="00881984">
              <w:rPr>
                <w:rFonts w:ascii="Arial" w:hAnsi="Arial" w:cs="Arial"/>
                <w:color w:val="000000"/>
              </w:rPr>
              <w:t>0.68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D1BB553" w14:textId="77777777" w:rsidR="00D072B6" w:rsidRPr="00881984" w:rsidRDefault="00D072B6" w:rsidP="0039030E">
            <w:pPr>
              <w:rPr>
                <w:rFonts w:ascii="Arial" w:hAnsi="Arial" w:cs="Arial"/>
                <w:color w:val="000000"/>
              </w:rPr>
            </w:pPr>
            <w:r w:rsidRPr="00881984">
              <w:rPr>
                <w:rFonts w:ascii="Arial" w:hAnsi="Arial" w:cs="Arial"/>
                <w:color w:val="000000"/>
              </w:rPr>
              <w:t>0.000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07FAE2" w14:textId="77777777" w:rsidR="00D072B6" w:rsidRPr="00881984" w:rsidRDefault="00D072B6" w:rsidP="0039030E">
            <w:pPr>
              <w:rPr>
                <w:rFonts w:ascii="Arial" w:hAnsi="Arial" w:cs="Arial"/>
                <w:color w:val="000000"/>
              </w:rPr>
            </w:pPr>
            <w:r w:rsidRPr="00881984">
              <w:rPr>
                <w:rFonts w:ascii="Arial" w:hAnsi="Arial" w:cs="Arial"/>
                <w:color w:val="000000"/>
              </w:rPr>
              <w:t>Moderate Positive Correlation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C307FC1" w14:textId="77777777" w:rsidR="00D072B6" w:rsidRPr="00881984" w:rsidRDefault="00D072B6" w:rsidP="0039030E">
            <w:pPr>
              <w:rPr>
                <w:rFonts w:ascii="Arial" w:hAnsi="Arial" w:cs="Arial"/>
                <w:color w:val="000000"/>
              </w:rPr>
            </w:pPr>
            <w:r w:rsidRPr="00881984">
              <w:rPr>
                <w:rFonts w:ascii="Arial" w:hAnsi="Arial" w:cs="Arial"/>
                <w:color w:val="000000"/>
              </w:rPr>
              <w:t>Reject Ho</w:t>
            </w:r>
          </w:p>
        </w:tc>
      </w:tr>
    </w:tbl>
    <w:p w14:paraId="482E86F7" w14:textId="77777777" w:rsidR="00D072B6" w:rsidRPr="00881984" w:rsidRDefault="00D072B6" w:rsidP="00D072B6">
      <w:pPr>
        <w:spacing w:before="120" w:after="120"/>
        <w:rPr>
          <w:rFonts w:ascii="Arial" w:hAnsi="Arial" w:cs="Arial"/>
        </w:rPr>
      </w:pPr>
      <w:r w:rsidRPr="00881984">
        <w:rPr>
          <w:rFonts w:ascii="Arial" w:hAnsi="Arial" w:cs="Arial"/>
          <w:i/>
          <w:iCs/>
        </w:rPr>
        <w:t>Significance Level: α = 0.05</w:t>
      </w:r>
    </w:p>
    <w:p w14:paraId="3BFC99BB" w14:textId="77777777" w:rsidR="00D072B6" w:rsidRPr="00881984" w:rsidRDefault="00D072B6" w:rsidP="00D072B6">
      <w:pPr>
        <w:spacing w:before="120" w:after="120"/>
        <w:jc w:val="both"/>
        <w:rPr>
          <w:rFonts w:ascii="Arial" w:hAnsi="Arial" w:cs="Arial"/>
        </w:rPr>
      </w:pPr>
      <w:r w:rsidRPr="00881984">
        <w:rPr>
          <w:rFonts w:ascii="Arial" w:hAnsi="Arial" w:cs="Arial"/>
        </w:rPr>
        <w:t>The Pearson r correlation analysis revealed a moderate positive relationship between teachers’ pedagogical performance and learners’ 21st-century skills (r = 0.68, p &lt; 0.05). This indicates that as teachers' pedagogical performance increases, learners’ 21st-century skills also tend to improve. Since the computed p-value (0.000) is less than the 0.05 level of significance, the null hypothesis is rejected, confirming that the relationship is statistically significant.</w:t>
      </w:r>
    </w:p>
    <w:p w14:paraId="64A27944"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The findings suggest that the consistently very great extent of teachers' pedagogical performance (M = 4.22, SD = 0.45), particularly in domains such as curriculum planning, inclusive teaching practices, and professional culture, meaningfully corresponds to the development of learners' 21st-century skills, which were found to be sometimes manifested (M = 4.31, SD = 0.47). This relationship underscores the critical role of effective teaching </w:t>
      </w:r>
      <w:r w:rsidRPr="00881984">
        <w:rPr>
          <w:rFonts w:ascii="Arial" w:hAnsi="Arial" w:cs="Arial"/>
        </w:rPr>
        <w:lastRenderedPageBreak/>
        <w:t>practices in fostering essential competencies, including critical thinking, collaboration, digital literacy, and life skills.</w:t>
      </w:r>
    </w:p>
    <w:p w14:paraId="481319D8" w14:textId="77777777" w:rsidR="00D072B6" w:rsidRPr="00881984" w:rsidRDefault="00D072B6" w:rsidP="00D072B6">
      <w:pPr>
        <w:spacing w:before="120" w:after="120"/>
        <w:jc w:val="both"/>
        <w:rPr>
          <w:rFonts w:ascii="Arial" w:hAnsi="Arial" w:cs="Arial"/>
        </w:rPr>
      </w:pPr>
      <w:r w:rsidRPr="00881984">
        <w:rPr>
          <w:rFonts w:ascii="Arial" w:hAnsi="Arial" w:cs="Arial"/>
        </w:rPr>
        <w:t>Specifically, strong performance in curriculum, planning, and assessment, as well as in professional culture, may enhance structured learning experiences and collaborative environments that support skill acquisition. Similarly, effective practices in teaching all students promote inclusivity, allowing diverse learners to develop essential competencies. However, the relatively lower rating in family and community engagement may partially explain why learners' 21st-century skills are not yet "always manifested," suggesting that external support systems also play a role in skill development.</w:t>
      </w:r>
    </w:p>
    <w:p w14:paraId="1FD33BC7" w14:textId="77777777" w:rsidR="00D072B6" w:rsidRPr="00881984" w:rsidRDefault="00D072B6" w:rsidP="00D072B6">
      <w:pPr>
        <w:spacing w:before="120" w:after="120"/>
        <w:jc w:val="both"/>
        <w:rPr>
          <w:rFonts w:ascii="Arial" w:hAnsi="Arial" w:cs="Arial"/>
        </w:rPr>
      </w:pPr>
      <w:r w:rsidRPr="00881984">
        <w:rPr>
          <w:rFonts w:ascii="Arial" w:hAnsi="Arial" w:cs="Arial"/>
        </w:rPr>
        <w:t>The moderate strength of the correlation implies that, while pedagogical performance is a significant contributing factor, other variables, such as learners' motivation, access to technology, socio-economic background, and school resources, may also be related to the development of 21st-century skills.</w:t>
      </w:r>
    </w:p>
    <w:p w14:paraId="05A8FFA3" w14:textId="77777777" w:rsidR="00D072B6" w:rsidRPr="00881984" w:rsidRDefault="00D072B6" w:rsidP="00D072B6">
      <w:pPr>
        <w:spacing w:before="120" w:after="120"/>
        <w:jc w:val="both"/>
        <w:rPr>
          <w:rFonts w:ascii="Arial" w:hAnsi="Arial" w:cs="Arial"/>
        </w:rPr>
      </w:pPr>
      <w:r w:rsidRPr="00881984">
        <w:rPr>
          <w:rFonts w:ascii="Arial" w:hAnsi="Arial" w:cs="Arial"/>
          <w:b/>
          <w:bCs/>
        </w:rPr>
        <w:t>Discussion</w:t>
      </w:r>
    </w:p>
    <w:p w14:paraId="3F63C87D" w14:textId="77777777" w:rsidR="00D072B6" w:rsidRPr="00881984" w:rsidRDefault="00D072B6" w:rsidP="00D072B6">
      <w:pPr>
        <w:spacing w:before="120" w:after="120"/>
        <w:jc w:val="both"/>
        <w:rPr>
          <w:rFonts w:ascii="Arial" w:hAnsi="Arial" w:cs="Arial"/>
        </w:rPr>
      </w:pPr>
      <w:r w:rsidRPr="00881984">
        <w:rPr>
          <w:rFonts w:ascii="Arial" w:hAnsi="Arial" w:cs="Arial"/>
          <w:b/>
          <w:bCs/>
        </w:rPr>
        <w:t>Extent of the Pedagogical Performance of Teachers</w:t>
      </w:r>
    </w:p>
    <w:p w14:paraId="720F26B1" w14:textId="77777777" w:rsidR="00D072B6" w:rsidRPr="00881984" w:rsidRDefault="00D072B6" w:rsidP="00D072B6">
      <w:pPr>
        <w:spacing w:before="120" w:after="120"/>
        <w:jc w:val="both"/>
        <w:rPr>
          <w:rFonts w:ascii="Arial" w:hAnsi="Arial" w:cs="Arial"/>
        </w:rPr>
      </w:pPr>
      <w:r w:rsidRPr="00881984">
        <w:rPr>
          <w:rFonts w:ascii="Arial" w:hAnsi="Arial" w:cs="Arial"/>
        </w:rPr>
        <w:t>The findings presented in Table 1 indicate that the overall pedagogical performance of teachers is, to a great extent (M = 4.22, SD = 0.45), suggesting that teachers consistently demonstrate strong competence across the key domains of teaching practice. This result aligns with the framework of effective teaching, which emphasizes mastery of content, instructional planning, and professional engagement as essential components of quality education (Danielson, 2013).</w:t>
      </w:r>
    </w:p>
    <w:p w14:paraId="4A4C58D9" w14:textId="77777777" w:rsidR="00D072B6" w:rsidRPr="00881984" w:rsidRDefault="00D072B6" w:rsidP="00D072B6">
      <w:pPr>
        <w:spacing w:before="120" w:after="120"/>
        <w:jc w:val="both"/>
        <w:rPr>
          <w:rFonts w:ascii="Arial" w:hAnsi="Arial" w:cs="Arial"/>
        </w:rPr>
      </w:pPr>
      <w:r w:rsidRPr="00881984">
        <w:rPr>
          <w:rFonts w:ascii="Arial" w:hAnsi="Arial" w:cs="Arial"/>
        </w:rPr>
        <w:t>Specifically, the domain of curriculum, planning, and assessment received a mean score of 4.32 (SD = 0.41), indicating a very great extent. This indicates that teachers are highly capable of aligning instructional objectives with curriculum standards, designing coherent lesson plans, and utilizing appropriate assessment strategies. Such competence is critical in ensuring that instruction is purposeful and responsive to learners' needs. According to Biggs and Tang (2011), constructive alignment between curriculum, teaching strategies, and assessment enhances student learning outcomes and promotes deeper understanding.</w:t>
      </w:r>
    </w:p>
    <w:p w14:paraId="6DF9631B" w14:textId="77777777" w:rsidR="00D072B6" w:rsidRPr="00881984" w:rsidRDefault="00D072B6" w:rsidP="00D072B6">
      <w:pPr>
        <w:spacing w:before="120" w:after="120"/>
        <w:jc w:val="both"/>
        <w:rPr>
          <w:rFonts w:ascii="Arial" w:hAnsi="Arial" w:cs="Arial"/>
        </w:rPr>
      </w:pPr>
      <w:r w:rsidRPr="00881984">
        <w:rPr>
          <w:rFonts w:ascii="Arial" w:hAnsi="Arial" w:cs="Arial"/>
        </w:rPr>
        <w:t>In the domain of teaching all students, the mean score of 4.21 (SD = 0.47) also reflects a very great extent. This suggests that teachers effectively implement inclusive teaching practices and differentiate instruction to accommodate diverse learners. This finding supports the principles of inclusive education, which emphasize the need for teachers to adapt instruction to meet diverse learners' needs and promote equitable access to learning opportunities (Tomlinson, 2014). The slightly higher standard deviation, however, indicates some variability in the implementation of inclusive practices, which may be attributed to contextual factors such as class size and resource availability.</w:t>
      </w:r>
    </w:p>
    <w:p w14:paraId="135C00B1" w14:textId="77777777" w:rsidR="00D072B6" w:rsidRPr="00881984" w:rsidRDefault="00D072B6" w:rsidP="00D072B6">
      <w:pPr>
        <w:spacing w:before="120" w:after="120"/>
        <w:jc w:val="both"/>
        <w:rPr>
          <w:rFonts w:ascii="Arial" w:hAnsi="Arial" w:cs="Arial"/>
        </w:rPr>
      </w:pPr>
      <w:r w:rsidRPr="00881984">
        <w:rPr>
          <w:rFonts w:ascii="Arial" w:hAnsi="Arial" w:cs="Arial"/>
        </w:rPr>
        <w:t>Meanwhile, family and community engagement yielded a mean score of 3.98 (SD = 0.52), interpreted as a great extent. Although still positive, this domain recorded the lowest mean among the four areas, indicating that teachers' engagement with families and communities is less consistent than that of other pedagogical practices. Epstein (2011) emphasizes that strong school-family-community partnerships are essential in supporting student achievement and holistic development. The higher variability in responses suggests differences in teachers' capacity or opportunities to engage stakeholders, which may be affected by socio-cultural and institutional factors.</w:t>
      </w:r>
    </w:p>
    <w:p w14:paraId="4B933FC5"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The domain of professional culture obtained the highest mean score of 4.35 (SD = 0.39), interpreted as a very great extent. This demonstrates that teachers actively participate in professional collaboration, uphold ethical standards, and contribute to a positive school environment. This finding supports the notion that collaborative professional cultures enhance teacher effectiveness and student learning outcomes (Hargreaves &amp; Fullan, 2012). The low </w:t>
      </w:r>
      <w:r w:rsidRPr="00881984">
        <w:rPr>
          <w:rFonts w:ascii="Arial" w:hAnsi="Arial" w:cs="Arial"/>
        </w:rPr>
        <w:lastRenderedPageBreak/>
        <w:t>standard deviation further indicates a shared commitment among teachers toward maintaining professionalism and collegiality.</w:t>
      </w:r>
    </w:p>
    <w:p w14:paraId="6B024E9E" w14:textId="77777777" w:rsidR="00D072B6" w:rsidRPr="00881984" w:rsidRDefault="00D072B6" w:rsidP="00D072B6">
      <w:pPr>
        <w:spacing w:before="120" w:after="120"/>
        <w:jc w:val="both"/>
        <w:rPr>
          <w:rFonts w:ascii="Arial" w:hAnsi="Arial" w:cs="Arial"/>
        </w:rPr>
      </w:pPr>
      <w:r w:rsidRPr="00881984">
        <w:rPr>
          <w:rFonts w:ascii="Arial" w:hAnsi="Arial" w:cs="Arial"/>
          <w:b/>
          <w:bCs/>
        </w:rPr>
        <w:t>Level of 21st Century Skills of Learners</w:t>
      </w:r>
    </w:p>
    <w:p w14:paraId="528EEC5F" w14:textId="77777777" w:rsidR="00D072B6" w:rsidRPr="00881984" w:rsidRDefault="00D072B6" w:rsidP="00D072B6">
      <w:pPr>
        <w:spacing w:before="120" w:after="120"/>
        <w:jc w:val="both"/>
        <w:rPr>
          <w:rFonts w:ascii="Arial" w:hAnsi="Arial" w:cs="Arial"/>
        </w:rPr>
      </w:pPr>
      <w:r w:rsidRPr="00881984">
        <w:rPr>
          <w:rFonts w:ascii="Arial" w:hAnsi="Arial" w:cs="Arial"/>
        </w:rPr>
        <w:t>Table 2 presents the level of 21st-century skills among learners, which is interpreted as sometimes manifested (M = 4.31, SD = 0.47). This suggests that while learners demonstrate these essential competencies, their application is not yet fully consistent across different contexts. This finding reflects the ongoing challenge of integrating 21st-century skills into classroom practice, as emphasized by Trilling and Fadel (2009).</w:t>
      </w:r>
    </w:p>
    <w:p w14:paraId="500EE4C8" w14:textId="77777777" w:rsidR="00D072B6" w:rsidRPr="00881984" w:rsidRDefault="00D072B6" w:rsidP="00D072B6">
      <w:pPr>
        <w:spacing w:before="120" w:after="120"/>
        <w:jc w:val="both"/>
        <w:rPr>
          <w:rFonts w:ascii="Arial" w:hAnsi="Arial" w:cs="Arial"/>
        </w:rPr>
      </w:pPr>
      <w:r w:rsidRPr="00881984">
        <w:rPr>
          <w:rFonts w:ascii="Arial" w:hAnsi="Arial" w:cs="Arial"/>
        </w:rPr>
        <w:t>The domain of learning and innovation skills obtained a mean of 4.38 (SD = 0.46), indicating that it sometimes manifests. This indicates that learners can demonstrate critical thinking, creativity, collaboration, and problem-solving skills across a range of situations. However, the result also implies that these competencies require further reinforcement to achieve consistent application. According to Partnership for 21st Century Skills (P21, 2019), these skills are fundamental in preparing learners for complex, real-world challenges.</w:t>
      </w:r>
    </w:p>
    <w:p w14:paraId="666BB88D" w14:textId="77777777" w:rsidR="00D072B6" w:rsidRPr="00881984" w:rsidRDefault="00D072B6" w:rsidP="00D072B6">
      <w:pPr>
        <w:spacing w:before="120" w:after="120"/>
        <w:jc w:val="both"/>
        <w:rPr>
          <w:rFonts w:ascii="Arial" w:hAnsi="Arial" w:cs="Arial"/>
        </w:rPr>
      </w:pPr>
      <w:r w:rsidRPr="00881984">
        <w:rPr>
          <w:rFonts w:ascii="Arial" w:hAnsi="Arial" w:cs="Arial"/>
        </w:rPr>
        <w:t>For information, media, and technology skills, the mean score of 4.12 (SD = 0.51) indicates that these skills are also sometimes manifested. This suggests that learners possess basic digital literacy skills but may still struggle with higher-order competencies such as evaluating information critically and using technology responsibly. Voogt and Roblin (2012) highlight that digital competence is a crucial component of 21st-century learning, requiring not only technical skills but also critical and ethical understanding of media.</w:t>
      </w:r>
    </w:p>
    <w:p w14:paraId="4D93E8A4" w14:textId="77777777" w:rsidR="00D072B6" w:rsidRPr="00881984" w:rsidRDefault="00D072B6" w:rsidP="00D072B6">
      <w:pPr>
        <w:spacing w:before="120" w:after="120"/>
        <w:jc w:val="both"/>
        <w:rPr>
          <w:rFonts w:ascii="Arial" w:hAnsi="Arial" w:cs="Arial"/>
        </w:rPr>
      </w:pPr>
      <w:r w:rsidRPr="00881984">
        <w:rPr>
          <w:rFonts w:ascii="Arial" w:hAnsi="Arial" w:cs="Arial"/>
        </w:rPr>
        <w:t>Meanwhile, life skills recorded the highest mean score of 4.44 (SD = 0.43), indicating that it sometimes manifests. This indicates that learners frequently demonstrate adaptability, initiative, and social responsibility. These findings are consistent with the framework of 21st-century competencies, which emphasizes the importance of personal and interpersonal skills in achieving success in both academic and real-world settings (OECD, 2018). However, the results also suggest that these skills are not yet consistently practiced at the highest level.</w:t>
      </w:r>
    </w:p>
    <w:p w14:paraId="3E50B93D" w14:textId="77777777" w:rsidR="00D072B6" w:rsidRPr="00881984" w:rsidRDefault="00D072B6" w:rsidP="00D072B6">
      <w:pPr>
        <w:spacing w:before="120" w:after="120"/>
        <w:jc w:val="both"/>
        <w:rPr>
          <w:rFonts w:ascii="Arial" w:hAnsi="Arial" w:cs="Arial"/>
        </w:rPr>
      </w:pPr>
      <w:r w:rsidRPr="00881984">
        <w:rPr>
          <w:rFonts w:ascii="Arial" w:hAnsi="Arial" w:cs="Arial"/>
          <w:b/>
          <w:bCs/>
        </w:rPr>
        <w:t>Relationship Between Pedagogical Performance of Teachers and 21st Century Skills of Learners</w:t>
      </w:r>
    </w:p>
    <w:p w14:paraId="39DF34F3" w14:textId="77777777" w:rsidR="00D072B6" w:rsidRPr="00881984" w:rsidRDefault="00D072B6" w:rsidP="00D072B6">
      <w:pPr>
        <w:spacing w:before="120" w:after="120"/>
        <w:jc w:val="both"/>
        <w:rPr>
          <w:rFonts w:ascii="Arial" w:hAnsi="Arial" w:cs="Arial"/>
        </w:rPr>
      </w:pPr>
      <w:r w:rsidRPr="00881984">
        <w:rPr>
          <w:rFonts w:ascii="Arial" w:hAnsi="Arial" w:cs="Arial"/>
        </w:rPr>
        <w:t>Table 3 presents the Pearson's r correlation results, indicating a moderate positive relationship between teachers’ pedagogical performance and learners’ 21st-century skills (r = 0.68, p &lt; 0.05). This indicates that improvements in teachers’ pedagogical practices are associated with corresponding increases in learners’ 21st-century skills. Since the computed p-value is less than 0.05, the null hypothesis is rejected, confirming that the relationship is statistically significant.</w:t>
      </w:r>
    </w:p>
    <w:p w14:paraId="42FF154F" w14:textId="77777777" w:rsidR="00D072B6" w:rsidRPr="00881984" w:rsidRDefault="00D072B6" w:rsidP="00D072B6">
      <w:pPr>
        <w:spacing w:before="120" w:after="120"/>
        <w:jc w:val="both"/>
        <w:rPr>
          <w:rFonts w:ascii="Arial" w:hAnsi="Arial" w:cs="Arial"/>
        </w:rPr>
      </w:pPr>
      <w:r w:rsidRPr="00881984">
        <w:rPr>
          <w:rFonts w:ascii="Arial" w:hAnsi="Arial" w:cs="Arial"/>
        </w:rPr>
        <w:t>The moderate correlation (r = 0.68) suggests that while pedagogical performance plays a substantial role, it accounts for only part of the variance in learners’ skills. This implies that other ecological factors, such as home environment, access to technology, and school leadership, significantly influence skill acquisition. This aligns with Bronfenbrenner’s Ecological Systems Theory, which emphasizes the interaction of multiple environmental systems in shaping learner development.</w:t>
      </w:r>
    </w:p>
    <w:p w14:paraId="4EE15908" w14:textId="77777777" w:rsidR="00D072B6" w:rsidRPr="00881984" w:rsidRDefault="00D072B6" w:rsidP="00D072B6">
      <w:pPr>
        <w:spacing w:before="120" w:after="120"/>
        <w:jc w:val="both"/>
        <w:rPr>
          <w:rFonts w:ascii="Arial" w:hAnsi="Arial" w:cs="Arial"/>
        </w:rPr>
      </w:pPr>
      <w:r w:rsidRPr="00881984">
        <w:rPr>
          <w:rFonts w:ascii="Arial" w:hAnsi="Arial" w:cs="Arial"/>
        </w:rPr>
        <w:t>This finding supports the assertion that effective teaching practices play a crucial role in developing learners’ competencies. Darling-Hammond et al. (2020) emphasized that high-quality teaching is strongly associated with student outcomes, particularly in fostering critical thinking, collaboration, and problem-solving skills.</w:t>
      </w:r>
    </w:p>
    <w:p w14:paraId="36215FDF" w14:textId="77777777" w:rsidR="00D072B6" w:rsidRPr="00881984" w:rsidRDefault="00D072B6" w:rsidP="00D072B6">
      <w:pPr>
        <w:spacing w:before="120" w:after="120"/>
        <w:jc w:val="both"/>
        <w:rPr>
          <w:rFonts w:ascii="Arial" w:hAnsi="Arial" w:cs="Arial"/>
        </w:rPr>
      </w:pPr>
      <w:r w:rsidRPr="00881984">
        <w:rPr>
          <w:rFonts w:ascii="Arial" w:hAnsi="Arial" w:cs="Arial"/>
        </w:rPr>
        <w:t xml:space="preserve">The very great extent of teachers' pedagogical performance, particularly in curriculum planning and professional culture, is likely related to the development of structured and supportive learning environments that promote skill acquisition. Similarly, effective practices in teaching all students ensure inclusivity, allowing diverse learners to develop essential </w:t>
      </w:r>
      <w:r w:rsidRPr="00881984">
        <w:rPr>
          <w:rFonts w:ascii="Arial" w:hAnsi="Arial" w:cs="Arial"/>
        </w:rPr>
        <w:lastRenderedPageBreak/>
        <w:t>competencies. However, the relatively lower rating in family and community engagement may partly explain why learners' 21st-century skills are not yet "always manifested," highlighting the importance of external support systems in education (Epstein, 2011).</w:t>
      </w:r>
    </w:p>
    <w:p w14:paraId="3967D14B" w14:textId="77777777" w:rsidR="00D072B6" w:rsidRPr="00881984" w:rsidRDefault="00D072B6" w:rsidP="00D072B6">
      <w:pPr>
        <w:spacing w:before="120" w:after="120"/>
        <w:jc w:val="both"/>
        <w:rPr>
          <w:rFonts w:ascii="Arial" w:hAnsi="Arial" w:cs="Arial"/>
        </w:rPr>
      </w:pPr>
      <w:r w:rsidRPr="00881984">
        <w:rPr>
          <w:rFonts w:ascii="Arial" w:hAnsi="Arial" w:cs="Arial"/>
        </w:rPr>
        <w:t>The moderate strength of the correlation further suggests that, while pedagogical performance is a significant factor, other variables such as learners' motivation, access to technology, socio-economic background, and school resources also play a role. In contrast, pedagogical performance is a significant factor; other variables, such as learners' motivation, access to technology, socio-economic background, and school resources, are also associated with the development of 21st-century skills. It aligns with the ecological perspective. In contrast, eclectics on learning recognize that multiple factors interact to shape educational outcomes (Bronfenbrenner, 1979).</w:t>
      </w:r>
    </w:p>
    <w:p w14:paraId="5ED4F792" w14:textId="77777777" w:rsidR="00D072B6" w:rsidRPr="00881984" w:rsidRDefault="00D072B6" w:rsidP="00D072B6">
      <w:pPr>
        <w:spacing w:before="120" w:after="120"/>
        <w:jc w:val="both"/>
        <w:rPr>
          <w:rFonts w:ascii="Arial" w:hAnsi="Arial" w:cs="Arial"/>
        </w:rPr>
      </w:pPr>
      <w:r w:rsidRPr="00881984">
        <w:rPr>
          <w:rFonts w:ascii="Arial" w:hAnsi="Arial" w:cs="Arial"/>
        </w:rPr>
        <w:t>The findings underscore the critical role of teachers in shaping learners’ 21st-century competencies. Enhancing pedagogical practices and strengthening support systems within and beyond the school are essential for fostering the consistent development of these skills.</w:t>
      </w:r>
    </w:p>
    <w:p w14:paraId="2B2A8743" w14:textId="77777777" w:rsidR="00D072B6" w:rsidRPr="00881984" w:rsidRDefault="00D072B6" w:rsidP="00D072B6">
      <w:pPr>
        <w:spacing w:before="120" w:after="120"/>
        <w:jc w:val="both"/>
        <w:rPr>
          <w:rFonts w:ascii="Arial" w:hAnsi="Arial" w:cs="Arial"/>
        </w:rPr>
      </w:pPr>
    </w:p>
    <w:p w14:paraId="1993EC69" w14:textId="77777777" w:rsidR="00D072B6" w:rsidRPr="00881984" w:rsidRDefault="00D072B6" w:rsidP="00D072B6">
      <w:pPr>
        <w:spacing w:before="120" w:after="120"/>
        <w:jc w:val="both"/>
        <w:rPr>
          <w:rFonts w:ascii="Arial" w:hAnsi="Arial" w:cs="Arial"/>
        </w:rPr>
      </w:pPr>
      <w:r w:rsidRPr="00881984">
        <w:rPr>
          <w:rFonts w:ascii="Arial" w:hAnsi="Arial" w:cs="Arial"/>
          <w:b/>
          <w:bCs/>
        </w:rPr>
        <w:t>4. Conclusion</w:t>
      </w:r>
    </w:p>
    <w:p w14:paraId="5AE12E2B" w14:textId="77777777" w:rsidR="00D072B6" w:rsidRPr="00881984" w:rsidRDefault="00D072B6" w:rsidP="00D072B6">
      <w:pPr>
        <w:spacing w:before="120" w:after="120"/>
        <w:jc w:val="both"/>
        <w:rPr>
          <w:rFonts w:ascii="Arial" w:hAnsi="Arial" w:cs="Arial"/>
        </w:rPr>
      </w:pPr>
    </w:p>
    <w:p w14:paraId="0BB5000A" w14:textId="77777777" w:rsidR="00D072B6" w:rsidRPr="00881984" w:rsidRDefault="00D072B6" w:rsidP="00D072B6">
      <w:pPr>
        <w:spacing w:before="120" w:after="120"/>
        <w:jc w:val="both"/>
        <w:rPr>
          <w:rFonts w:ascii="Arial" w:hAnsi="Arial" w:cs="Arial"/>
        </w:rPr>
      </w:pPr>
      <w:r w:rsidRPr="00881984">
        <w:rPr>
          <w:rFonts w:ascii="Arial" w:hAnsi="Arial" w:cs="Arial"/>
        </w:rPr>
        <w:t>The study established a significant positive relationship between teachers’ pedagogical performance and learners’ 21st-century skills, highlighting the crucial role of effective teaching in developing essential learner competencies. While teachers demonstrated high levels of pedagogical competence, learners’ skills were not yet consistently manifested, particularly in ICT-related domains. This suggests the need for targeted interventions, including enhanced digital integration, strengthened school–community partnerships, and continuous professional development. Future research should employ mixed-methods or experimental designs to further validate causal relationships and explore additional influencing variables.</w:t>
      </w:r>
    </w:p>
    <w:p w14:paraId="39CF3FFF" w14:textId="77777777" w:rsidR="00D072B6" w:rsidRPr="00881984" w:rsidRDefault="00D072B6" w:rsidP="00D072B6">
      <w:pPr>
        <w:spacing w:before="120" w:after="120"/>
        <w:rPr>
          <w:rFonts w:ascii="Arial" w:hAnsi="Arial" w:cs="Arial"/>
        </w:rPr>
      </w:pPr>
    </w:p>
    <w:p w14:paraId="7E80FE05" w14:textId="77777777" w:rsidR="00D072B6" w:rsidRPr="00881984" w:rsidRDefault="00D072B6" w:rsidP="00D072B6">
      <w:pPr>
        <w:spacing w:before="120" w:after="120"/>
        <w:rPr>
          <w:rFonts w:ascii="Arial" w:hAnsi="Arial" w:cs="Arial"/>
        </w:rPr>
      </w:pPr>
    </w:p>
    <w:p w14:paraId="359E0007" w14:textId="77777777" w:rsidR="00D072B6" w:rsidRPr="00881984" w:rsidRDefault="00D072B6" w:rsidP="00D072B6">
      <w:pPr>
        <w:spacing w:before="120" w:after="120"/>
        <w:rPr>
          <w:rFonts w:ascii="Arial" w:hAnsi="Arial" w:cs="Arial"/>
        </w:rPr>
      </w:pPr>
      <w:r w:rsidRPr="00881984">
        <w:rPr>
          <w:rFonts w:ascii="Arial" w:hAnsi="Arial" w:cs="Arial"/>
          <w:b/>
          <w:bCs/>
        </w:rPr>
        <w:t>ETHICAL APPROVAL</w:t>
      </w:r>
    </w:p>
    <w:p w14:paraId="0973C9EA" w14:textId="77777777" w:rsidR="00D072B6" w:rsidRDefault="00D072B6" w:rsidP="00D072B6">
      <w:pPr>
        <w:spacing w:before="120" w:after="120"/>
        <w:rPr>
          <w:rFonts w:ascii="Arial" w:hAnsi="Arial" w:cs="Arial"/>
        </w:rPr>
      </w:pPr>
      <w:r w:rsidRPr="00881984">
        <w:rPr>
          <w:rFonts w:ascii="Arial" w:hAnsi="Arial" w:cs="Arial"/>
        </w:rPr>
        <w:t>All authors hereby declare that all experiments have been examined and approved by the appropriate ethics committee and have therefore been performed in accordance with the ethical standards laid down in the 1964 Declaration of Helsinki.</w:t>
      </w:r>
    </w:p>
    <w:p w14:paraId="692791C5" w14:textId="77777777" w:rsidR="00C23653" w:rsidRDefault="00C23653" w:rsidP="00D072B6">
      <w:pPr>
        <w:spacing w:before="120" w:after="120"/>
        <w:rPr>
          <w:rFonts w:ascii="Arial" w:hAnsi="Arial" w:cs="Arial"/>
        </w:rPr>
      </w:pPr>
    </w:p>
    <w:p w14:paraId="49274B82" w14:textId="77777777" w:rsidR="00C23653" w:rsidRPr="00C23653" w:rsidRDefault="00C23653" w:rsidP="00C23653">
      <w:pPr>
        <w:spacing w:before="120" w:after="120"/>
        <w:rPr>
          <w:rFonts w:ascii="Arial" w:hAnsi="Arial" w:cs="Arial"/>
          <w:b/>
          <w:bCs/>
          <w:sz w:val="28"/>
          <w:szCs w:val="28"/>
        </w:rPr>
      </w:pPr>
      <w:r w:rsidRPr="00C23653">
        <w:rPr>
          <w:rFonts w:ascii="Arial" w:hAnsi="Arial" w:cs="Arial"/>
          <w:b/>
          <w:bCs/>
          <w:sz w:val="28"/>
          <w:szCs w:val="28"/>
        </w:rPr>
        <w:t xml:space="preserve">Consent </w:t>
      </w:r>
    </w:p>
    <w:p w14:paraId="398A9A03" w14:textId="03889A24" w:rsidR="00C23653" w:rsidRPr="00881984" w:rsidRDefault="00C23653" w:rsidP="00C23653">
      <w:pPr>
        <w:spacing w:before="120" w:after="120"/>
        <w:rPr>
          <w:rFonts w:ascii="Arial" w:hAnsi="Arial" w:cs="Arial"/>
        </w:rPr>
      </w:pPr>
      <w:r w:rsidRPr="00C23653">
        <w:rPr>
          <w:rFonts w:ascii="Arial" w:hAnsi="Arial" w:cs="Arial"/>
        </w:rPr>
        <w:t>As per international standards or university standards, Participants’ written consent has been collected and preserved by the author(s).</w:t>
      </w:r>
    </w:p>
    <w:p w14:paraId="3A15C06B" w14:textId="77777777" w:rsidR="009C0870" w:rsidRDefault="009C0870" w:rsidP="00D072B6">
      <w:pPr>
        <w:spacing w:before="120" w:after="120"/>
        <w:rPr>
          <w:rFonts w:ascii="Arial" w:hAnsi="Arial" w:cs="Arial"/>
        </w:rPr>
      </w:pPr>
    </w:p>
    <w:p w14:paraId="6F839B5D" w14:textId="77777777" w:rsidR="00D072B6" w:rsidRPr="00881984" w:rsidRDefault="009C0870" w:rsidP="00D072B6">
      <w:pPr>
        <w:spacing w:before="120" w:after="120"/>
        <w:rPr>
          <w:rFonts w:ascii="Arial" w:hAnsi="Arial" w:cs="Arial"/>
        </w:rPr>
      </w:pPr>
      <w:r w:rsidRPr="00881984">
        <w:rPr>
          <w:rFonts w:ascii="Arial" w:hAnsi="Arial" w:cs="Arial"/>
          <w:b/>
          <w:bCs/>
        </w:rPr>
        <w:t>REFERENCES</w:t>
      </w:r>
    </w:p>
    <w:p w14:paraId="26EC3E77" w14:textId="77777777" w:rsidR="00D072B6" w:rsidRPr="00881984" w:rsidRDefault="00D072B6" w:rsidP="00D072B6">
      <w:pPr>
        <w:spacing w:before="120" w:after="120"/>
        <w:rPr>
          <w:rFonts w:ascii="Arial" w:hAnsi="Arial" w:cs="Arial"/>
        </w:rPr>
      </w:pPr>
    </w:p>
    <w:p w14:paraId="5025227D" w14:textId="77777777" w:rsidR="00D072B6" w:rsidRPr="00881984" w:rsidRDefault="00D072B6" w:rsidP="00D072B6">
      <w:pPr>
        <w:spacing w:before="120" w:after="120"/>
        <w:rPr>
          <w:rFonts w:ascii="Arial" w:hAnsi="Arial" w:cs="Arial"/>
        </w:rPr>
      </w:pPr>
      <w:r w:rsidRPr="00881984">
        <w:rPr>
          <w:rFonts w:ascii="Arial" w:hAnsi="Arial" w:cs="Arial"/>
        </w:rPr>
        <w:t>Biggs, J., &amp; Tang, C. (2011). Teaching for Quality Learning at University. Maidenhead, UK: Open University Press. - References - Scientific Research Publishing. (n.d.). https://www.scirp.org/reference/referencespapers?referenceid=1856033</w:t>
      </w:r>
    </w:p>
    <w:p w14:paraId="3BA8E549" w14:textId="77777777" w:rsidR="00D072B6" w:rsidRPr="00881984" w:rsidRDefault="00D072B6" w:rsidP="00D072B6">
      <w:pPr>
        <w:spacing w:before="120" w:after="120"/>
        <w:rPr>
          <w:rFonts w:ascii="Arial" w:hAnsi="Arial" w:cs="Arial"/>
        </w:rPr>
      </w:pPr>
      <w:r w:rsidRPr="00881984">
        <w:rPr>
          <w:rFonts w:ascii="Arial" w:hAnsi="Arial" w:cs="Arial"/>
        </w:rPr>
        <w:t>Bual, J. M. (2024). Measuring the students’ practice of 21st-century skills in a Philippine Catholic senior high school. Asian Research Journal of Arts &amp; Social Sciences, 22(12), 322–334. https://doi.org/10.9734/arjass/2024/v22i12617</w:t>
      </w:r>
    </w:p>
    <w:p w14:paraId="5970ED1F" w14:textId="77777777" w:rsidR="00D072B6" w:rsidRPr="00881984" w:rsidRDefault="00D072B6" w:rsidP="00D072B6">
      <w:pPr>
        <w:spacing w:before="120" w:after="120"/>
        <w:rPr>
          <w:rFonts w:ascii="Arial" w:hAnsi="Arial" w:cs="Arial"/>
        </w:rPr>
      </w:pPr>
      <w:r w:rsidRPr="00881984">
        <w:rPr>
          <w:rFonts w:ascii="Arial" w:hAnsi="Arial" w:cs="Arial"/>
        </w:rPr>
        <w:lastRenderedPageBreak/>
        <w:t xml:space="preserve">Cortez, R. F. C., &amp; </w:t>
      </w:r>
      <w:proofErr w:type="spellStart"/>
      <w:r w:rsidRPr="00881984">
        <w:rPr>
          <w:rFonts w:ascii="Arial" w:hAnsi="Arial" w:cs="Arial"/>
        </w:rPr>
        <w:t>Ponsades</w:t>
      </w:r>
      <w:proofErr w:type="spellEnd"/>
      <w:r w:rsidRPr="00881984">
        <w:rPr>
          <w:rFonts w:ascii="Arial" w:hAnsi="Arial" w:cs="Arial"/>
        </w:rPr>
        <w:t>, O. (2024). The mediating effect of 21st-century skills on the relationship between digital literacy and teaching performance. International Journal of Research and Innovation in Social Science, VIII(I), 526–539. https://doi.org/10.47772/ijriss.2024.801039</w:t>
      </w:r>
    </w:p>
    <w:p w14:paraId="5C45A2AA" w14:textId="77777777" w:rsidR="00D072B6" w:rsidRPr="00881984" w:rsidRDefault="00D072B6" w:rsidP="00D072B6">
      <w:pPr>
        <w:spacing w:before="120" w:after="120"/>
        <w:rPr>
          <w:rFonts w:ascii="Arial" w:hAnsi="Arial" w:cs="Arial"/>
        </w:rPr>
      </w:pPr>
      <w:r w:rsidRPr="00881984">
        <w:rPr>
          <w:rFonts w:ascii="Arial" w:hAnsi="Arial" w:cs="Arial"/>
        </w:rPr>
        <w:t xml:space="preserve">Danao, J. L., </w:t>
      </w:r>
      <w:proofErr w:type="spellStart"/>
      <w:r w:rsidRPr="00881984">
        <w:rPr>
          <w:rFonts w:ascii="Arial" w:hAnsi="Arial" w:cs="Arial"/>
        </w:rPr>
        <w:t>Lauigan</w:t>
      </w:r>
      <w:proofErr w:type="spellEnd"/>
      <w:r w:rsidRPr="00881984">
        <w:rPr>
          <w:rFonts w:ascii="Arial" w:hAnsi="Arial" w:cs="Arial"/>
        </w:rPr>
        <w:t xml:space="preserve">, C., Lana, K. M., Ladia, J. M., </w:t>
      </w:r>
      <w:proofErr w:type="spellStart"/>
      <w:r w:rsidRPr="00881984">
        <w:rPr>
          <w:rFonts w:ascii="Arial" w:hAnsi="Arial" w:cs="Arial"/>
        </w:rPr>
        <w:t>Caraggayan</w:t>
      </w:r>
      <w:proofErr w:type="spellEnd"/>
      <w:r w:rsidRPr="00881984">
        <w:rPr>
          <w:rFonts w:ascii="Arial" w:hAnsi="Arial" w:cs="Arial"/>
        </w:rPr>
        <w:t xml:space="preserve">, A., Barua, R., </w:t>
      </w:r>
      <w:proofErr w:type="spellStart"/>
      <w:r w:rsidRPr="00881984">
        <w:rPr>
          <w:rFonts w:ascii="Arial" w:hAnsi="Arial" w:cs="Arial"/>
        </w:rPr>
        <w:t>Bitamug</w:t>
      </w:r>
      <w:proofErr w:type="spellEnd"/>
      <w:r w:rsidRPr="00881984">
        <w:rPr>
          <w:rFonts w:ascii="Arial" w:hAnsi="Arial" w:cs="Arial"/>
        </w:rPr>
        <w:t xml:space="preserve">, P., Clemente, B., Clemente, R., &amp; </w:t>
      </w:r>
      <w:proofErr w:type="spellStart"/>
      <w:r w:rsidRPr="00881984">
        <w:rPr>
          <w:rFonts w:ascii="Arial" w:hAnsi="Arial" w:cs="Arial"/>
        </w:rPr>
        <w:t>Calagui</w:t>
      </w:r>
      <w:proofErr w:type="spellEnd"/>
      <w:r w:rsidRPr="00881984">
        <w:rPr>
          <w:rFonts w:ascii="Arial" w:hAnsi="Arial" w:cs="Arial"/>
        </w:rPr>
        <w:t>, J. C. (2025). Pre-Service teachers’ academic performance and competence on 21st-century learning skills. Studies in Interdisciplinary Horizons, 1(2), 32–44. https://doi.org/10.64358/x29hdf70</w:t>
      </w:r>
    </w:p>
    <w:p w14:paraId="767E3CE1" w14:textId="77777777" w:rsidR="00D072B6" w:rsidRPr="00881984" w:rsidRDefault="00D072B6" w:rsidP="00D072B6">
      <w:pPr>
        <w:spacing w:before="120" w:after="120"/>
        <w:rPr>
          <w:rFonts w:ascii="Arial" w:hAnsi="Arial" w:cs="Arial"/>
        </w:rPr>
      </w:pPr>
      <w:r w:rsidRPr="00881984">
        <w:rPr>
          <w:rFonts w:ascii="Arial" w:hAnsi="Arial" w:cs="Arial"/>
        </w:rPr>
        <w:t>Darling-Hammond, L., Flook, L., Cook-Harvey, C., Barron, B., &amp; Osher, D. (2019). Implications for educational practice of the science of learning and development. Applied Developmental Science, 24(2), 97–140. https://doi.org/10.1080/10888691.2018.1537791</w:t>
      </w:r>
    </w:p>
    <w:p w14:paraId="63F27DDF" w14:textId="77777777" w:rsidR="00D072B6" w:rsidRPr="00881984" w:rsidRDefault="00D072B6" w:rsidP="00D072B6">
      <w:pPr>
        <w:spacing w:before="120" w:after="120"/>
        <w:rPr>
          <w:rFonts w:ascii="Arial" w:hAnsi="Arial" w:cs="Arial"/>
        </w:rPr>
      </w:pPr>
      <w:r w:rsidRPr="00881984">
        <w:rPr>
          <w:rFonts w:ascii="Arial" w:hAnsi="Arial" w:cs="Arial"/>
        </w:rPr>
        <w:t>Epstein, J. L. (2018). School, family, and community partnerships. https://doi.org/10.4324/9780429494673</w:t>
      </w:r>
    </w:p>
    <w:p w14:paraId="68D3B0D9" w14:textId="77777777" w:rsidR="00D072B6" w:rsidRPr="00881984" w:rsidRDefault="00D072B6" w:rsidP="00D072B6">
      <w:pPr>
        <w:spacing w:before="120" w:after="120"/>
        <w:rPr>
          <w:rFonts w:ascii="Arial" w:hAnsi="Arial" w:cs="Arial"/>
        </w:rPr>
      </w:pPr>
      <w:r w:rsidRPr="00881984">
        <w:rPr>
          <w:rFonts w:ascii="Arial" w:hAnsi="Arial" w:cs="Arial"/>
        </w:rPr>
        <w:t>Hargreaves, A., &amp; Fullan, M. (n.d.). Professional Capital: transforming teaching in every school. https://eric.ed.gov/?id=ED530692</w:t>
      </w:r>
    </w:p>
    <w:p w14:paraId="1C3450B2" w14:textId="77777777" w:rsidR="00D072B6" w:rsidRPr="00881984" w:rsidRDefault="00D072B6" w:rsidP="00D072B6">
      <w:pPr>
        <w:spacing w:before="120" w:after="120"/>
        <w:rPr>
          <w:rFonts w:ascii="Arial" w:hAnsi="Arial" w:cs="Arial"/>
        </w:rPr>
      </w:pPr>
      <w:r w:rsidRPr="00881984">
        <w:rPr>
          <w:rFonts w:ascii="Arial" w:hAnsi="Arial" w:cs="Arial"/>
        </w:rPr>
        <w:t>Howells, K. (2018). The future of education and skills: education 2030: the future we want. Create (Canterbury Christ Church University). http://create.canterbury.ac.uk/17331/1/E2030%20Position%20Paper%20%2805.04.2018%29.pdf</w:t>
      </w:r>
    </w:p>
    <w:p w14:paraId="1E088AAB" w14:textId="77777777" w:rsidR="00D072B6" w:rsidRPr="00881984" w:rsidRDefault="00D072B6" w:rsidP="00D072B6">
      <w:pPr>
        <w:spacing w:before="120" w:after="120"/>
        <w:rPr>
          <w:rFonts w:ascii="Arial" w:hAnsi="Arial" w:cs="Arial"/>
        </w:rPr>
      </w:pPr>
      <w:r w:rsidRPr="00881984">
        <w:rPr>
          <w:rFonts w:ascii="Arial" w:hAnsi="Arial" w:cs="Arial"/>
        </w:rPr>
        <w:t>http://static.battelleforkids.org/documents/p21/P21_Framework_DefinitionsBFK.pdf</w:t>
      </w:r>
    </w:p>
    <w:p w14:paraId="48BC78F8" w14:textId="77777777" w:rsidR="00D072B6" w:rsidRPr="00881984" w:rsidRDefault="00D072B6" w:rsidP="00D072B6">
      <w:pPr>
        <w:spacing w:before="120" w:after="120"/>
        <w:rPr>
          <w:rFonts w:ascii="Arial" w:hAnsi="Arial" w:cs="Arial"/>
        </w:rPr>
      </w:pPr>
      <w:proofErr w:type="spellStart"/>
      <w:r w:rsidRPr="00881984">
        <w:rPr>
          <w:rFonts w:ascii="Arial" w:hAnsi="Arial" w:cs="Arial"/>
        </w:rPr>
        <w:t>Montebon</w:t>
      </w:r>
      <w:proofErr w:type="spellEnd"/>
      <w:r w:rsidRPr="00881984">
        <w:rPr>
          <w:rFonts w:ascii="Arial" w:hAnsi="Arial" w:cs="Arial"/>
        </w:rPr>
        <w:t xml:space="preserve">, L. M., &amp; </w:t>
      </w:r>
      <w:proofErr w:type="spellStart"/>
      <w:r w:rsidRPr="00881984">
        <w:rPr>
          <w:rFonts w:ascii="Arial" w:hAnsi="Arial" w:cs="Arial"/>
        </w:rPr>
        <w:t>Dayaganon</w:t>
      </w:r>
      <w:proofErr w:type="spellEnd"/>
      <w:r w:rsidRPr="00881984">
        <w:rPr>
          <w:rFonts w:ascii="Arial" w:hAnsi="Arial" w:cs="Arial"/>
        </w:rPr>
        <w:t>, A. J. (2025). 21st Century Skills and School Culture as Predictors of Teaching Performance among Secondary School Teachers of Region XI: A Convergent Design. journal.tofedu.or.id. https://doi.org/10.61445/tofedu.v4i6.610</w:t>
      </w:r>
    </w:p>
    <w:p w14:paraId="01799A70" w14:textId="77777777" w:rsidR="00D072B6" w:rsidRPr="00881984" w:rsidRDefault="00D072B6" w:rsidP="00D072B6">
      <w:pPr>
        <w:spacing w:before="120" w:after="120"/>
        <w:rPr>
          <w:rFonts w:ascii="Arial" w:hAnsi="Arial" w:cs="Arial"/>
        </w:rPr>
      </w:pPr>
      <w:r w:rsidRPr="00881984">
        <w:rPr>
          <w:rFonts w:ascii="Arial" w:hAnsi="Arial" w:cs="Arial"/>
        </w:rPr>
        <w:t>Partnership for 21st Century Skills (2019). Framework for 21st Century Learning Definitions. Partnership for 21st Century Skills.</w:t>
      </w:r>
    </w:p>
    <w:p w14:paraId="31267415" w14:textId="77777777" w:rsidR="00D072B6" w:rsidRPr="00881984" w:rsidRDefault="00D072B6" w:rsidP="00D072B6">
      <w:pPr>
        <w:spacing w:before="120" w:after="120"/>
        <w:rPr>
          <w:rFonts w:ascii="Arial" w:hAnsi="Arial" w:cs="Arial"/>
        </w:rPr>
      </w:pPr>
      <w:r w:rsidRPr="00881984">
        <w:rPr>
          <w:rFonts w:ascii="Arial" w:hAnsi="Arial" w:cs="Arial"/>
        </w:rPr>
        <w:t xml:space="preserve">Philippines, D. O. M. O. M. O., &amp; </w:t>
      </w:r>
      <w:proofErr w:type="spellStart"/>
      <w:r w:rsidRPr="00881984">
        <w:rPr>
          <w:rFonts w:ascii="Arial" w:hAnsi="Arial" w:cs="Arial"/>
        </w:rPr>
        <w:t>Oco</w:t>
      </w:r>
      <w:proofErr w:type="spellEnd"/>
      <w:r w:rsidRPr="00881984">
        <w:rPr>
          <w:rFonts w:ascii="Arial" w:hAnsi="Arial" w:cs="Arial"/>
        </w:rPr>
        <w:t>, R. M. (2025b). Teachers’ teaching competence and pupils’ 21st-century skills and performance. INTERNATIONAL JOURNAL OF MULTIDISCIPLINARY RESEARCH AND ANALYSIS, 08(05). https://doi.org/10.47191/ijmra/v8-i05-76</w:t>
      </w:r>
    </w:p>
    <w:p w14:paraId="2B4028B7" w14:textId="77777777" w:rsidR="00D072B6" w:rsidRPr="00881984" w:rsidRDefault="00D072B6" w:rsidP="00D072B6">
      <w:pPr>
        <w:spacing w:before="120" w:after="120"/>
        <w:rPr>
          <w:rFonts w:ascii="Arial" w:hAnsi="Arial" w:cs="Arial"/>
        </w:rPr>
      </w:pPr>
      <w:proofErr w:type="spellStart"/>
      <w:r w:rsidRPr="00881984">
        <w:rPr>
          <w:rFonts w:ascii="Arial" w:hAnsi="Arial" w:cs="Arial"/>
        </w:rPr>
        <w:t>Soncio</w:t>
      </w:r>
      <w:proofErr w:type="spellEnd"/>
      <w:r w:rsidRPr="00881984">
        <w:rPr>
          <w:rFonts w:ascii="Arial" w:hAnsi="Arial" w:cs="Arial"/>
        </w:rPr>
        <w:t xml:space="preserve">, M. S., </w:t>
      </w:r>
      <w:proofErr w:type="spellStart"/>
      <w:r w:rsidRPr="00881984">
        <w:rPr>
          <w:rFonts w:ascii="Arial" w:hAnsi="Arial" w:cs="Arial"/>
        </w:rPr>
        <w:t>Bairoy</w:t>
      </w:r>
      <w:proofErr w:type="spellEnd"/>
      <w:r w:rsidRPr="00881984">
        <w:rPr>
          <w:rFonts w:ascii="Arial" w:hAnsi="Arial" w:cs="Arial"/>
        </w:rPr>
        <w:t>, D. M., &amp; Repollo, J. L. (2024). The effect of TPACK on Developing 21st-Century Teaching Skills: A Pre-Service Teacher’s Perspective. International Journal of Research and Innovation in Social Science, VIII(IX), 1804–1815. https://doi.org/10.47772/ijriss.2024.8090148</w:t>
      </w:r>
    </w:p>
    <w:p w14:paraId="5766C6B7" w14:textId="77777777" w:rsidR="00D072B6" w:rsidRPr="00881984" w:rsidRDefault="00D072B6" w:rsidP="00D072B6">
      <w:pPr>
        <w:spacing w:before="120" w:after="120"/>
        <w:rPr>
          <w:rFonts w:ascii="Arial" w:hAnsi="Arial" w:cs="Arial"/>
        </w:rPr>
      </w:pPr>
      <w:r w:rsidRPr="00881984">
        <w:rPr>
          <w:rFonts w:ascii="Arial" w:hAnsi="Arial" w:cs="Arial"/>
        </w:rPr>
        <w:t>The Ecology of Human Development — Harvard University Press. (n.d.). Harvard University Press. https://www.hup.harvard.edu/books/9780674224575</w:t>
      </w:r>
    </w:p>
    <w:p w14:paraId="1CE22E97" w14:textId="77777777" w:rsidR="00D072B6" w:rsidRPr="00881984" w:rsidRDefault="00D072B6" w:rsidP="00D072B6">
      <w:pPr>
        <w:spacing w:before="120" w:after="120"/>
        <w:rPr>
          <w:rFonts w:ascii="Arial" w:hAnsi="Arial" w:cs="Arial"/>
        </w:rPr>
      </w:pPr>
      <w:r w:rsidRPr="00881984">
        <w:rPr>
          <w:rFonts w:ascii="Arial" w:hAnsi="Arial" w:cs="Arial"/>
        </w:rPr>
        <w:t>THE FRAMEWORK FOR TEACHING EVALUATION INSTRUMENT - Danielson Group. (2025, October 22). Danielson Group. https://danielsongroup.org/resources/the-framework-for-teaching-evaluation-instrument/</w:t>
      </w:r>
    </w:p>
    <w:p w14:paraId="2C221965" w14:textId="77777777" w:rsidR="00D072B6" w:rsidRPr="00881984" w:rsidRDefault="00D072B6" w:rsidP="00D072B6">
      <w:pPr>
        <w:spacing w:before="120" w:after="120"/>
        <w:rPr>
          <w:rFonts w:ascii="Arial" w:hAnsi="Arial" w:cs="Arial"/>
        </w:rPr>
      </w:pPr>
      <w:r w:rsidRPr="00881984">
        <w:rPr>
          <w:rFonts w:ascii="Arial" w:hAnsi="Arial" w:cs="Arial"/>
        </w:rPr>
        <w:t>TOMLINSON, C.A. (2014). THE DIFFERENTIATED CLASSROOM RESPONDS TO THE NEEDS OF ALL LEARNERS. 2ND EDITION, ASCD, ALEXANDRIA. - REFERENCES - SCIENTIFIC RESEARCH PUBLISHING. (n.d.). https://www.scirp.org/reference/referencespapers?referenceid=2055060</w:t>
      </w:r>
    </w:p>
    <w:p w14:paraId="3334F68F" w14:textId="77777777" w:rsidR="00D072B6" w:rsidRPr="00881984" w:rsidRDefault="00D072B6" w:rsidP="00D072B6">
      <w:pPr>
        <w:spacing w:before="120" w:after="120"/>
        <w:rPr>
          <w:rFonts w:ascii="Arial" w:hAnsi="Arial" w:cs="Arial"/>
        </w:rPr>
      </w:pPr>
      <w:r w:rsidRPr="00881984">
        <w:rPr>
          <w:rFonts w:ascii="Arial" w:hAnsi="Arial" w:cs="Arial"/>
        </w:rPr>
        <w:t>Trilling, B., &amp; Fadel, C. (2009). 21st century skills: Learning for life in our times. Jossey-Bass/Wiley.</w:t>
      </w:r>
    </w:p>
    <w:p w14:paraId="11E38EA3" w14:textId="77777777" w:rsidR="00D072B6" w:rsidRPr="00881984" w:rsidRDefault="00D072B6" w:rsidP="00D072B6">
      <w:pPr>
        <w:spacing w:before="120" w:after="120"/>
        <w:rPr>
          <w:rFonts w:ascii="Arial" w:hAnsi="Arial" w:cs="Arial"/>
        </w:rPr>
      </w:pPr>
      <w:r w:rsidRPr="00881984">
        <w:rPr>
          <w:rFonts w:ascii="Arial" w:hAnsi="Arial" w:cs="Arial"/>
        </w:rPr>
        <w:t xml:space="preserve">Voogt, J., &amp; Roblin, N. P. (2012). A Comparative Analysis of International Frameworks for 21st Century Competences Implications for National Curriculum Policies. Journal of </w:t>
      </w:r>
      <w:r w:rsidRPr="00881984">
        <w:rPr>
          <w:rFonts w:ascii="Arial" w:hAnsi="Arial" w:cs="Arial"/>
        </w:rPr>
        <w:lastRenderedPageBreak/>
        <w:t>Curriculum Studies, 44, 299-321. - References - Scientific Research Publishing. (n.d.). https://www.scirp.org/reference/referencespapers?referenceid=2207809</w:t>
      </w:r>
    </w:p>
    <w:p w14:paraId="61E3D004" w14:textId="77777777" w:rsidR="00D072B6" w:rsidRPr="00881984" w:rsidRDefault="00D072B6" w:rsidP="00D072B6">
      <w:pPr>
        <w:spacing w:before="120" w:after="120"/>
        <w:rPr>
          <w:rFonts w:ascii="Arial" w:hAnsi="Arial" w:cs="Arial"/>
        </w:rPr>
      </w:pPr>
    </w:p>
    <w:p w14:paraId="7BB00A42" w14:textId="77777777" w:rsidR="000D6776" w:rsidRPr="00674575" w:rsidRDefault="00D072B6" w:rsidP="00D072B6">
      <w:pPr>
        <w:pStyle w:val="NormalWeb"/>
        <w:jc w:val="both"/>
        <w:rPr>
          <w:b/>
          <w:caps/>
          <w:sz w:val="20"/>
        </w:rPr>
      </w:pPr>
      <w:r w:rsidRPr="00881984">
        <w:rPr>
          <w:rFonts w:ascii="Arial" w:hAnsi="Arial" w:cs="Arial"/>
          <w:sz w:val="20"/>
          <w:szCs w:val="20"/>
        </w:rPr>
        <w:t>Zhang, W. (2020). The smart city in a digital world, by VINCENT MOSCO. Chinese Journal of Communication. https://doi.org</w:t>
      </w:r>
    </w:p>
    <w:sectPr w:rsidR="000D6776" w:rsidRPr="00674575" w:rsidSect="00D072B6">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4DAA" w14:textId="77777777" w:rsidR="00E2592B" w:rsidRDefault="00E2592B">
      <w:r>
        <w:separator/>
      </w:r>
    </w:p>
  </w:endnote>
  <w:endnote w:type="continuationSeparator" w:id="0">
    <w:p w14:paraId="5BC2FCE1" w14:textId="77777777" w:rsidR="00E2592B" w:rsidRDefault="00E2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F8BA" w14:textId="77777777" w:rsidR="00BB3A97" w:rsidRDefault="00BB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3774" w14:textId="77777777" w:rsidR="00BB3A97" w:rsidRDefault="00BB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22E6" w14:textId="77777777" w:rsidR="00754C9A" w:rsidRPr="00BB3A97" w:rsidRDefault="00754C9A" w:rsidP="00BB3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4EA2" w14:textId="77777777" w:rsidR="00E352BC" w:rsidRPr="00C37E61" w:rsidRDefault="00E352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F7E3" w14:textId="77777777" w:rsidR="00E2592B" w:rsidRDefault="00E2592B">
      <w:r>
        <w:separator/>
      </w:r>
    </w:p>
  </w:footnote>
  <w:footnote w:type="continuationSeparator" w:id="0">
    <w:p w14:paraId="399E51FB" w14:textId="77777777" w:rsidR="00E2592B" w:rsidRDefault="00E2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B1B6" w14:textId="77777777" w:rsidR="00BB3A97" w:rsidRDefault="00000000">
    <w:pPr>
      <w:pStyle w:val="Header"/>
    </w:pPr>
    <w:r>
      <w:rPr>
        <w:noProof/>
      </w:rPr>
      <w:pict w14:anchorId="1DC25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0" o:spid="_x0000_s3073"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F6A2" w14:textId="77777777" w:rsidR="00BB3A97" w:rsidRDefault="00000000">
    <w:pPr>
      <w:pStyle w:val="Header"/>
    </w:pPr>
    <w:r>
      <w:rPr>
        <w:noProof/>
      </w:rPr>
      <w:pict w14:anchorId="43335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1" o:spid="_x0000_s307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7FEC" w14:textId="77777777" w:rsidR="00296529" w:rsidRPr="00296529" w:rsidRDefault="00000000" w:rsidP="00296529">
    <w:pPr>
      <w:ind w:left="2160"/>
      <w:jc w:val="center"/>
      <w:rPr>
        <w:rFonts w:ascii="Times New Roman" w:eastAsia="Calibri" w:hAnsi="Times New Roman"/>
        <w:i/>
        <w:sz w:val="18"/>
        <w:szCs w:val="22"/>
      </w:rPr>
    </w:pPr>
    <w:r>
      <w:rPr>
        <w:noProof/>
      </w:rPr>
      <w:pict w14:anchorId="23D44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09" o:spid="_x0000_s3075" type="#_x0000_t136" style="position:absolute;left:0;text-align:left;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D26403" w14:textId="77777777" w:rsidR="00296529" w:rsidRPr="00296529" w:rsidRDefault="004B083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53BAC8" w14:textId="77777777" w:rsidR="00296529" w:rsidRPr="00296529" w:rsidRDefault="004B083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314F84" w14:textId="77777777" w:rsidR="00296529" w:rsidRPr="00296529" w:rsidRDefault="004B083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C45207" w14:textId="77777777" w:rsidR="00296529" w:rsidRDefault="004B083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8B7D34" w14:textId="77777777" w:rsidR="00296529" w:rsidRDefault="004B083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4F299A" w14:textId="77777777" w:rsidR="00296529" w:rsidRDefault="004B083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C695" w14:textId="77777777" w:rsidR="00E352BC" w:rsidRDefault="00000000">
    <w:pPr>
      <w:pStyle w:val="Header"/>
    </w:pPr>
    <w:r>
      <w:rPr>
        <w:noProof/>
      </w:rPr>
      <w:pict w14:anchorId="21271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3" o:spid="_x0000_s3080"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6C46" w14:textId="77777777" w:rsidR="00E352BC" w:rsidRDefault="00000000">
    <w:pPr>
      <w:pStyle w:val="Header"/>
    </w:pPr>
    <w:r>
      <w:rPr>
        <w:noProof/>
      </w:rPr>
      <w:pict w14:anchorId="73671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4" o:spid="_x0000_s3081"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5408" w14:textId="77777777" w:rsidR="00E352BC" w:rsidRDefault="00000000">
    <w:pPr>
      <w:pStyle w:val="Header"/>
    </w:pPr>
    <w:r>
      <w:rPr>
        <w:noProof/>
      </w:rPr>
      <w:pict w14:anchorId="54560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7612" o:spid="_x0000_s3079"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2C671C"/>
    <w:multiLevelType w:val="multilevel"/>
    <w:tmpl w:val="B128FD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707386"/>
    <w:multiLevelType w:val="hybridMultilevel"/>
    <w:tmpl w:val="AC42D6C8"/>
    <w:lvl w:ilvl="0" w:tplc="36780B88">
      <w:start w:val="1"/>
      <w:numFmt w:val="decimal"/>
      <w:lvlText w:val="%1."/>
      <w:lvlJc w:val="left"/>
      <w:pPr>
        <w:ind w:left="720" w:hanging="360"/>
      </w:pPr>
      <w:rPr>
        <w:rFonts w:hint="default"/>
        <w:b w:val="0"/>
      </w:rPr>
    </w:lvl>
    <w:lvl w:ilvl="1" w:tplc="C5F03CB2" w:tentative="1">
      <w:start w:val="1"/>
      <w:numFmt w:val="lowerLetter"/>
      <w:lvlText w:val="%2."/>
      <w:lvlJc w:val="left"/>
      <w:pPr>
        <w:ind w:left="1440" w:hanging="360"/>
      </w:pPr>
    </w:lvl>
    <w:lvl w:ilvl="2" w:tplc="CBA89D8A" w:tentative="1">
      <w:start w:val="1"/>
      <w:numFmt w:val="lowerRoman"/>
      <w:lvlText w:val="%3."/>
      <w:lvlJc w:val="right"/>
      <w:pPr>
        <w:ind w:left="2160" w:hanging="180"/>
      </w:pPr>
    </w:lvl>
    <w:lvl w:ilvl="3" w:tplc="387EC418" w:tentative="1">
      <w:start w:val="1"/>
      <w:numFmt w:val="decimal"/>
      <w:lvlText w:val="%4."/>
      <w:lvlJc w:val="left"/>
      <w:pPr>
        <w:ind w:left="2880" w:hanging="360"/>
      </w:pPr>
    </w:lvl>
    <w:lvl w:ilvl="4" w:tplc="42867A80" w:tentative="1">
      <w:start w:val="1"/>
      <w:numFmt w:val="lowerLetter"/>
      <w:lvlText w:val="%5."/>
      <w:lvlJc w:val="left"/>
      <w:pPr>
        <w:ind w:left="3600" w:hanging="360"/>
      </w:pPr>
    </w:lvl>
    <w:lvl w:ilvl="5" w:tplc="045C93BA" w:tentative="1">
      <w:start w:val="1"/>
      <w:numFmt w:val="lowerRoman"/>
      <w:lvlText w:val="%6."/>
      <w:lvlJc w:val="right"/>
      <w:pPr>
        <w:ind w:left="4320" w:hanging="180"/>
      </w:pPr>
    </w:lvl>
    <w:lvl w:ilvl="6" w:tplc="D758E286" w:tentative="1">
      <w:start w:val="1"/>
      <w:numFmt w:val="decimal"/>
      <w:lvlText w:val="%7."/>
      <w:lvlJc w:val="left"/>
      <w:pPr>
        <w:ind w:left="5040" w:hanging="360"/>
      </w:pPr>
    </w:lvl>
    <w:lvl w:ilvl="7" w:tplc="D69A83BC" w:tentative="1">
      <w:start w:val="1"/>
      <w:numFmt w:val="lowerLetter"/>
      <w:lvlText w:val="%8."/>
      <w:lvlJc w:val="left"/>
      <w:pPr>
        <w:ind w:left="5760" w:hanging="360"/>
      </w:pPr>
    </w:lvl>
    <w:lvl w:ilvl="8" w:tplc="5D829942" w:tentative="1">
      <w:start w:val="1"/>
      <w:numFmt w:val="lowerRoman"/>
      <w:lvlText w:val="%9."/>
      <w:lvlJc w:val="right"/>
      <w:pPr>
        <w:ind w:left="6480" w:hanging="180"/>
      </w:pPr>
    </w:lvl>
  </w:abstractNum>
  <w:abstractNum w:abstractNumId="5" w15:restartNumberingAfterBreak="0">
    <w:nsid w:val="5F6566C4"/>
    <w:multiLevelType w:val="multilevel"/>
    <w:tmpl w:val="9D9AA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F17052E"/>
    <w:multiLevelType w:val="multilevel"/>
    <w:tmpl w:val="B9EC3F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328223">
    <w:abstractNumId w:val="3"/>
  </w:num>
  <w:num w:numId="2" w16cid:durableId="2117284264">
    <w:abstractNumId w:val="5"/>
  </w:num>
  <w:num w:numId="3" w16cid:durableId="775753724">
    <w:abstractNumId w:val="4"/>
  </w:num>
  <w:num w:numId="4" w16cid:durableId="330302790">
    <w:abstractNumId w:val="0"/>
  </w:num>
  <w:num w:numId="5" w16cid:durableId="1667005003">
    <w:abstractNumId w:val="1"/>
  </w:num>
  <w:num w:numId="6" w16cid:durableId="758328531">
    <w:abstractNumId w:val="2"/>
  </w:num>
  <w:num w:numId="7" w16cid:durableId="1363365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F4"/>
    <w:rsid w:val="00052671"/>
    <w:rsid w:val="00097579"/>
    <w:rsid w:val="000A6713"/>
    <w:rsid w:val="000D6776"/>
    <w:rsid w:val="000E4ED1"/>
    <w:rsid w:val="00107082"/>
    <w:rsid w:val="0015737F"/>
    <w:rsid w:val="001751F7"/>
    <w:rsid w:val="001D09B0"/>
    <w:rsid w:val="00227D25"/>
    <w:rsid w:val="0026202D"/>
    <w:rsid w:val="00295A7A"/>
    <w:rsid w:val="00296529"/>
    <w:rsid w:val="002C2087"/>
    <w:rsid w:val="002D03E9"/>
    <w:rsid w:val="00342240"/>
    <w:rsid w:val="003A6790"/>
    <w:rsid w:val="003F5B3B"/>
    <w:rsid w:val="0043737B"/>
    <w:rsid w:val="004B083D"/>
    <w:rsid w:val="00502235"/>
    <w:rsid w:val="00613FDC"/>
    <w:rsid w:val="00635A18"/>
    <w:rsid w:val="00674575"/>
    <w:rsid w:val="006C0BA1"/>
    <w:rsid w:val="006D6CF4"/>
    <w:rsid w:val="00754C9A"/>
    <w:rsid w:val="007C4709"/>
    <w:rsid w:val="00860767"/>
    <w:rsid w:val="0087378D"/>
    <w:rsid w:val="008838A2"/>
    <w:rsid w:val="008F0530"/>
    <w:rsid w:val="00953D18"/>
    <w:rsid w:val="009C0441"/>
    <w:rsid w:val="009C0870"/>
    <w:rsid w:val="00A054E2"/>
    <w:rsid w:val="00A07EEB"/>
    <w:rsid w:val="00AD4990"/>
    <w:rsid w:val="00BB3A97"/>
    <w:rsid w:val="00C07222"/>
    <w:rsid w:val="00C23653"/>
    <w:rsid w:val="00C37E61"/>
    <w:rsid w:val="00D03CEC"/>
    <w:rsid w:val="00D072B6"/>
    <w:rsid w:val="00D57886"/>
    <w:rsid w:val="00E2592B"/>
    <w:rsid w:val="00E352BC"/>
    <w:rsid w:val="00EB4440"/>
    <w:rsid w:val="00EF1395"/>
    <w:rsid w:val="00F407BB"/>
    <w:rsid w:val="00F54287"/>
    <w:rsid w:val="00FE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4873F0E3"/>
  <w15:chartTrackingRefBased/>
  <w15:docId w15:val="{E2D6FD68-54F5-4E6C-9062-A1FAD456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79"/>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09757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579"/>
    <w:rPr>
      <w:rFonts w:ascii="Arial" w:eastAsia="Times New Roman" w:hAnsi="Arial" w:cs="Times New Roman"/>
      <w:b/>
      <w:kern w:val="28"/>
      <w:sz w:val="28"/>
      <w:szCs w:val="20"/>
    </w:rPr>
  </w:style>
  <w:style w:type="paragraph" w:customStyle="1" w:styleId="Author">
    <w:name w:val="Author"/>
    <w:basedOn w:val="Normal"/>
    <w:rsid w:val="00097579"/>
    <w:pPr>
      <w:spacing w:line="280" w:lineRule="exact"/>
      <w:jc w:val="right"/>
    </w:pPr>
    <w:rPr>
      <w:b/>
      <w:sz w:val="24"/>
    </w:rPr>
  </w:style>
  <w:style w:type="paragraph" w:customStyle="1" w:styleId="Body">
    <w:name w:val="Body"/>
    <w:basedOn w:val="Normal"/>
    <w:rsid w:val="00097579"/>
    <w:pPr>
      <w:spacing w:after="240"/>
      <w:jc w:val="both"/>
    </w:pPr>
  </w:style>
  <w:style w:type="paragraph" w:customStyle="1" w:styleId="AbstHead">
    <w:name w:val="Abst Head"/>
    <w:basedOn w:val="Normal"/>
    <w:rsid w:val="00097579"/>
    <w:pPr>
      <w:keepNext/>
      <w:spacing w:after="240"/>
    </w:pPr>
    <w:rPr>
      <w:b/>
      <w:caps/>
      <w:sz w:val="22"/>
    </w:rPr>
  </w:style>
  <w:style w:type="paragraph" w:customStyle="1" w:styleId="ConcHead">
    <w:name w:val="Conc Head"/>
    <w:basedOn w:val="Normal"/>
    <w:rsid w:val="00097579"/>
    <w:pPr>
      <w:keepNext/>
      <w:spacing w:after="240"/>
    </w:pPr>
    <w:rPr>
      <w:b/>
      <w:caps/>
      <w:sz w:val="22"/>
    </w:rPr>
  </w:style>
  <w:style w:type="paragraph" w:customStyle="1" w:styleId="AcknHead">
    <w:name w:val="Ackn Head"/>
    <w:basedOn w:val="Normal"/>
    <w:rsid w:val="00097579"/>
    <w:pPr>
      <w:keepNext/>
      <w:spacing w:after="240"/>
    </w:pPr>
    <w:rPr>
      <w:b/>
      <w:caps/>
      <w:sz w:val="22"/>
    </w:rPr>
  </w:style>
  <w:style w:type="paragraph" w:customStyle="1" w:styleId="ReferHead">
    <w:name w:val="Refer Head"/>
    <w:basedOn w:val="Normal"/>
    <w:rsid w:val="00097579"/>
    <w:pPr>
      <w:keepNext/>
      <w:spacing w:after="240"/>
    </w:pPr>
    <w:rPr>
      <w:b/>
      <w:caps/>
      <w:sz w:val="22"/>
    </w:rPr>
  </w:style>
  <w:style w:type="paragraph" w:customStyle="1" w:styleId="Copyright">
    <w:name w:val="Copyright"/>
    <w:basedOn w:val="Normal"/>
    <w:rsid w:val="00097579"/>
    <w:pPr>
      <w:spacing w:after="960" w:line="200" w:lineRule="exact"/>
    </w:pPr>
    <w:rPr>
      <w:sz w:val="16"/>
    </w:rPr>
  </w:style>
  <w:style w:type="paragraph" w:styleId="Title">
    <w:name w:val="Title"/>
    <w:basedOn w:val="Normal"/>
    <w:link w:val="TitleChar"/>
    <w:qFormat/>
    <w:rsid w:val="00097579"/>
    <w:pPr>
      <w:spacing w:after="360"/>
      <w:jc w:val="right"/>
    </w:pPr>
    <w:rPr>
      <w:b/>
      <w:kern w:val="28"/>
      <w:sz w:val="36"/>
    </w:rPr>
  </w:style>
  <w:style w:type="character" w:customStyle="1" w:styleId="TitleChar">
    <w:name w:val="Title Char"/>
    <w:basedOn w:val="DefaultParagraphFont"/>
    <w:link w:val="Title"/>
    <w:rsid w:val="00097579"/>
    <w:rPr>
      <w:rFonts w:ascii="Helvetica" w:eastAsia="Times New Roman" w:hAnsi="Helvetica" w:cs="Times New Roman"/>
      <w:b/>
      <w:kern w:val="28"/>
      <w:sz w:val="36"/>
      <w:szCs w:val="20"/>
    </w:rPr>
  </w:style>
  <w:style w:type="paragraph" w:customStyle="1" w:styleId="Head1">
    <w:name w:val="Head1"/>
    <w:basedOn w:val="Normal"/>
    <w:rsid w:val="00097579"/>
    <w:pPr>
      <w:keepNext/>
      <w:spacing w:after="240"/>
    </w:pPr>
    <w:rPr>
      <w:b/>
      <w:caps/>
      <w:sz w:val="22"/>
    </w:rPr>
  </w:style>
  <w:style w:type="paragraph" w:customStyle="1" w:styleId="Appendix">
    <w:name w:val="Appendix"/>
    <w:basedOn w:val="Normal"/>
    <w:rsid w:val="00097579"/>
    <w:pPr>
      <w:keepNext/>
      <w:spacing w:after="240"/>
    </w:pPr>
    <w:rPr>
      <w:b/>
      <w:caps/>
      <w:sz w:val="22"/>
    </w:rPr>
  </w:style>
  <w:style w:type="paragraph" w:styleId="Footer">
    <w:name w:val="footer"/>
    <w:basedOn w:val="Normal"/>
    <w:link w:val="FooterChar"/>
    <w:rsid w:val="00097579"/>
    <w:pPr>
      <w:tabs>
        <w:tab w:val="center" w:pos="4320"/>
        <w:tab w:val="right" w:pos="8640"/>
      </w:tabs>
    </w:pPr>
  </w:style>
  <w:style w:type="character" w:customStyle="1" w:styleId="FooterChar">
    <w:name w:val="Footer Char"/>
    <w:basedOn w:val="DefaultParagraphFont"/>
    <w:link w:val="Footer"/>
    <w:rsid w:val="00097579"/>
    <w:rPr>
      <w:rFonts w:ascii="Helvetica" w:eastAsia="Times New Roman" w:hAnsi="Helvetica" w:cs="Times New Roman"/>
      <w:sz w:val="20"/>
      <w:szCs w:val="20"/>
    </w:rPr>
  </w:style>
  <w:style w:type="paragraph" w:styleId="Header">
    <w:name w:val="header"/>
    <w:basedOn w:val="Normal"/>
    <w:link w:val="HeaderChar"/>
    <w:rsid w:val="00097579"/>
    <w:pPr>
      <w:tabs>
        <w:tab w:val="center" w:pos="4320"/>
        <w:tab w:val="right" w:pos="8640"/>
      </w:tabs>
    </w:pPr>
  </w:style>
  <w:style w:type="character" w:customStyle="1" w:styleId="HeaderChar">
    <w:name w:val="Header Char"/>
    <w:basedOn w:val="DefaultParagraphFont"/>
    <w:link w:val="Header"/>
    <w:rsid w:val="00097579"/>
    <w:rPr>
      <w:rFonts w:ascii="Helvetica" w:eastAsia="Times New Roman" w:hAnsi="Helvetica" w:cs="Times New Roman"/>
      <w:sz w:val="20"/>
      <w:szCs w:val="20"/>
    </w:rPr>
  </w:style>
  <w:style w:type="table" w:styleId="TableGrid">
    <w:name w:val="Table Grid"/>
    <w:basedOn w:val="TableNormal"/>
    <w:uiPriority w:val="59"/>
    <w:rsid w:val="000975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9757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97579"/>
    <w:rPr>
      <w:b/>
      <w:bCs/>
    </w:rPr>
  </w:style>
  <w:style w:type="paragraph" w:styleId="ListParagraph">
    <w:name w:val="List Paragraph"/>
    <w:basedOn w:val="Normal"/>
    <w:uiPriority w:val="34"/>
    <w:qFormat/>
    <w:rsid w:val="00097579"/>
    <w:pPr>
      <w:ind w:left="720"/>
      <w:contextualSpacing/>
    </w:pPr>
  </w:style>
  <w:style w:type="paragraph" w:styleId="NoSpacing">
    <w:name w:val="No Spacing"/>
    <w:uiPriority w:val="1"/>
    <w:qFormat/>
    <w:rsid w:val="00097579"/>
    <w:pPr>
      <w:spacing w:after="0" w:line="240" w:lineRule="auto"/>
    </w:pPr>
    <w:rPr>
      <w:rFonts w:ascii="Helvetica" w:eastAsia="Times New Roman" w:hAnsi="Helvetica" w:cs="Times New Roman"/>
      <w:sz w:val="20"/>
      <w:szCs w:val="20"/>
    </w:rPr>
  </w:style>
  <w:style w:type="table" w:styleId="TableGridLight">
    <w:name w:val="Grid Table Light"/>
    <w:basedOn w:val="TableNormal"/>
    <w:uiPriority w:val="40"/>
    <w:rsid w:val="0009757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37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407475">
      <w:bodyDiv w:val="1"/>
      <w:marLeft w:val="0"/>
      <w:marRight w:val="0"/>
      <w:marTop w:val="0"/>
      <w:marBottom w:val="0"/>
      <w:divBdr>
        <w:top w:val="none" w:sz="0" w:space="0" w:color="auto"/>
        <w:left w:val="none" w:sz="0" w:space="0" w:color="auto"/>
        <w:bottom w:val="none" w:sz="0" w:space="0" w:color="auto"/>
        <w:right w:val="none" w:sz="0" w:space="0" w:color="auto"/>
      </w:divBdr>
      <w:divsChild>
        <w:div w:id="1114205363">
          <w:marLeft w:val="-720"/>
          <w:marRight w:val="0"/>
          <w:marTop w:val="0"/>
          <w:marBottom w:val="0"/>
          <w:divBdr>
            <w:top w:val="none" w:sz="0" w:space="0" w:color="auto"/>
            <w:left w:val="none" w:sz="0" w:space="0" w:color="auto"/>
            <w:bottom w:val="none" w:sz="0" w:space="0" w:color="auto"/>
            <w:right w:val="none" w:sz="0" w:space="0" w:color="auto"/>
          </w:divBdr>
        </w:div>
      </w:divsChild>
    </w:div>
    <w:div w:id="15342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5105</Words>
  <Characters>29103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dc:creator>
  <cp:lastModifiedBy>Editor Acc 101</cp:lastModifiedBy>
  <cp:revision>25</cp:revision>
  <dcterms:created xsi:type="dcterms:W3CDTF">2026-04-01T02:35:00Z</dcterms:created>
  <dcterms:modified xsi:type="dcterms:W3CDTF">2026-04-11T06:57:00Z</dcterms:modified>
</cp:coreProperties>
</file>