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CE76" w14:textId="77777777" w:rsidR="00754C9A" w:rsidRDefault="00754C9A" w:rsidP="00441B6F">
      <w:pPr>
        <w:pStyle w:val="Title"/>
        <w:spacing w:after="0"/>
        <w:jc w:val="both"/>
        <w:rPr>
          <w:rFonts w:ascii="Arial" w:hAnsi="Arial" w:cs="Arial"/>
        </w:rPr>
      </w:pPr>
    </w:p>
    <w:p w14:paraId="167193FE" w14:textId="40C4EE04" w:rsidR="00A258C3" w:rsidRPr="00F1794A" w:rsidRDefault="00CB6DE3" w:rsidP="00F1794A">
      <w:pPr>
        <w:keepNext/>
        <w:keepLines/>
        <w:jc w:val="center"/>
        <w:outlineLvl w:val="0"/>
        <w:rPr>
          <w:rFonts w:ascii="Arial" w:eastAsia="Book Antiqua" w:hAnsi="Arial" w:cs="Arial"/>
          <w:b/>
          <w:color w:val="000000"/>
          <w:sz w:val="22"/>
          <w:szCs w:val="22"/>
        </w:rPr>
      </w:pPr>
      <w:r w:rsidRPr="00F1794A">
        <w:rPr>
          <w:rFonts w:ascii="Arial" w:eastAsia="Book Antiqua" w:hAnsi="Arial" w:cs="Arial"/>
          <w:b/>
          <w:color w:val="000000"/>
          <w:sz w:val="22"/>
          <w:szCs w:val="22"/>
        </w:rPr>
        <w:t>NC II ASSESSMNT RESULTS AND AREAS FOR IMPROVEMENT IN SMAW AMONG</w:t>
      </w:r>
      <w:r w:rsidR="00F1794A">
        <w:rPr>
          <w:rFonts w:ascii="Arial" w:eastAsia="Book Antiqua" w:hAnsi="Arial" w:cs="Arial"/>
          <w:b/>
          <w:color w:val="000000"/>
          <w:sz w:val="22"/>
          <w:szCs w:val="22"/>
        </w:rPr>
        <w:t xml:space="preserve"> </w:t>
      </w:r>
      <w:r w:rsidRPr="00F1794A">
        <w:rPr>
          <w:rFonts w:ascii="Arial" w:eastAsia="Book Antiqua" w:hAnsi="Arial" w:cs="Arial"/>
          <w:b/>
          <w:color w:val="000000"/>
          <w:sz w:val="22"/>
          <w:szCs w:val="22"/>
        </w:rPr>
        <w:t>GRADE 12 STUDENTS: BASIS FOR TRAINING ENHANCEMENT</w:t>
      </w:r>
    </w:p>
    <w:p w14:paraId="1A4E97D7" w14:textId="77777777" w:rsidR="00F1794A" w:rsidRDefault="00F1794A" w:rsidP="00CB6DE3">
      <w:pPr>
        <w:keepNext/>
        <w:keepLines/>
        <w:jc w:val="center"/>
        <w:outlineLvl w:val="0"/>
        <w:rPr>
          <w:rFonts w:ascii="Book Antiqua" w:eastAsia="Book Antiqua" w:hAnsi="Book Antiqua" w:cs="Book Antiqua"/>
          <w:b/>
          <w:color w:val="000000"/>
          <w:sz w:val="16"/>
          <w:szCs w:val="16"/>
          <w:lang w:val="it-IT"/>
        </w:rPr>
      </w:pPr>
    </w:p>
    <w:p w14:paraId="219A468C" w14:textId="378E8F91" w:rsidR="00B01FCD" w:rsidRPr="00FB3A86" w:rsidRDefault="00DC754D"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75CC620F" wp14:editId="1A127911">
                <wp:extent cx="5303520" cy="635"/>
                <wp:effectExtent l="17145" t="15240" r="13335" b="13335"/>
                <wp:docPr id="929022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EDB71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7BA20D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A8956F0" w14:textId="77777777" w:rsidTr="001E44FE">
        <w:tc>
          <w:tcPr>
            <w:tcW w:w="9576" w:type="dxa"/>
            <w:shd w:val="clear" w:color="auto" w:fill="F2F2F2"/>
          </w:tcPr>
          <w:p w14:paraId="7536989B" w14:textId="40667A0B" w:rsidR="00505F06" w:rsidRPr="00BA1B01" w:rsidRDefault="00FA7428" w:rsidP="00531684">
            <w:pPr>
              <w:keepNext/>
              <w:keepLines/>
              <w:ind w:left="710"/>
              <w:jc w:val="both"/>
              <w:outlineLvl w:val="0"/>
              <w:rPr>
                <w:rFonts w:ascii="Arial" w:eastAsia="Calibri" w:hAnsi="Arial" w:cs="Arial"/>
                <w:szCs w:val="22"/>
              </w:rPr>
            </w:pPr>
            <w:r w:rsidRPr="00FA7428">
              <w:rPr>
                <w:rFonts w:ascii="Arial" w:hAnsi="Arial" w:cs="Arial"/>
                <w:b/>
                <w:bCs/>
                <w:sz w:val="22"/>
                <w:szCs w:val="22"/>
              </w:rPr>
              <w:t>ABSTRACT</w:t>
            </w:r>
            <w:r w:rsidR="00CB6DE3" w:rsidRPr="00CB6DE3">
              <w:rPr>
                <w:rFonts w:ascii="Book Antiqua" w:eastAsia="Book Antiqua" w:hAnsi="Book Antiqua" w:cs="Book Antiqua"/>
                <w:b/>
                <w:color w:val="000000"/>
                <w:sz w:val="22"/>
                <w:szCs w:val="22"/>
              </w:rPr>
              <w:t xml:space="preserve">. </w:t>
            </w:r>
            <w:r w:rsidR="00531684" w:rsidRPr="00F1794A">
              <w:rPr>
                <w:rFonts w:ascii="Arial" w:eastAsia="Book Antiqua" w:hAnsi="Arial" w:cs="Arial"/>
                <w:bCs/>
                <w:color w:val="000000"/>
                <w:sz w:val="22"/>
                <w:szCs w:val="22"/>
              </w:rPr>
              <w:t xml:space="preserve">This study examined the technical proficiency of Grade 12 students in Shielded Metal Arc Welding (SMAW) using the Philippine National Certificate Level II (NC II) competency standards as the assessment framework. Specifically, the study aimed to identify competency mastery patterns and determine task-level performance gaps that may not be evident in overall certification outcomes. Employing a descriptive research design, the study analyzed the NC II assessment results of 20 Grade 12 SMAW students from Goma National High School, Division of </w:t>
            </w:r>
            <w:proofErr w:type="spellStart"/>
            <w:r w:rsidR="00531684" w:rsidRPr="00F1794A">
              <w:rPr>
                <w:rFonts w:ascii="Arial" w:eastAsia="Book Antiqua" w:hAnsi="Arial" w:cs="Arial"/>
                <w:bCs/>
                <w:color w:val="000000"/>
                <w:sz w:val="22"/>
                <w:szCs w:val="22"/>
              </w:rPr>
              <w:t>Digos</w:t>
            </w:r>
            <w:proofErr w:type="spellEnd"/>
            <w:r w:rsidR="00531684" w:rsidRPr="00F1794A">
              <w:rPr>
                <w:rFonts w:ascii="Arial" w:eastAsia="Book Antiqua" w:hAnsi="Arial" w:cs="Arial"/>
                <w:bCs/>
                <w:color w:val="000000"/>
                <w:sz w:val="22"/>
                <w:szCs w:val="22"/>
              </w:rPr>
              <w:t xml:space="preserve"> City, during the School Year 2025–2026. Findings revealed a high overall competency rate, with 95% of students classified as “Competent” in the core 6G welding position. However, detailed competency analysis showed persistent gaps in precision-based tasks, particularly Perform Root Pass and Perform Capping, where 25% of learners experienced difficulties in meeting required technical standards. These findings indicate that binary certification outcomes (Competent/Not Yet Competent) may conceal critical competency deficiencies in specific welding operations, which could affect workforce readiness, technical performance, and alignment with industry expectations. In response, the study proposes a Training Enhancement Plan emphasizing simulation-based practice, targeted remediation, and curriculum refinement to strengthen identified weak competencies. By adopting a task-level assessment approach, the study contributes a data-driven framework for improving competency-based vocational education and enhancing technical proficiency among SMAW learners.</w:t>
            </w:r>
          </w:p>
        </w:tc>
      </w:tr>
    </w:tbl>
    <w:p w14:paraId="11D90CEF" w14:textId="77777777" w:rsidR="00636EB2" w:rsidRDefault="00636EB2" w:rsidP="00441B6F">
      <w:pPr>
        <w:pStyle w:val="Body"/>
        <w:spacing w:after="0"/>
        <w:rPr>
          <w:rFonts w:ascii="Arial" w:hAnsi="Arial" w:cs="Arial"/>
          <w:i/>
        </w:rPr>
      </w:pPr>
    </w:p>
    <w:p w14:paraId="62DEEF6E" w14:textId="44C62B85" w:rsidR="00790ADA" w:rsidRDefault="00A24E7E" w:rsidP="00441B6F">
      <w:pPr>
        <w:pStyle w:val="Body"/>
        <w:spacing w:after="0"/>
        <w:rPr>
          <w:rFonts w:ascii="Arial" w:hAnsi="Arial" w:cs="Arial"/>
          <w:i/>
        </w:rPr>
      </w:pPr>
      <w:r>
        <w:rPr>
          <w:rFonts w:ascii="Arial" w:hAnsi="Arial" w:cs="Arial"/>
          <w:i/>
        </w:rPr>
        <w:t xml:space="preserve">Keywords: </w:t>
      </w:r>
      <w:r w:rsidR="00C03D7C" w:rsidRPr="00C03D7C">
        <w:rPr>
          <w:rFonts w:ascii="Arial" w:hAnsi="Arial" w:cs="Arial"/>
          <w:i/>
        </w:rPr>
        <w:t>Shielded Metal Arc Welding (SMAW); National Certificate II (NC II); Competency-Based Assessment; Technical and Vocational Education and Training (TVET); Workforce Readiness</w:t>
      </w:r>
    </w:p>
    <w:p w14:paraId="11705D56" w14:textId="77777777" w:rsidR="00C03D7C" w:rsidRDefault="00C03D7C" w:rsidP="00441B6F">
      <w:pPr>
        <w:pStyle w:val="Body"/>
        <w:spacing w:after="0"/>
        <w:rPr>
          <w:rFonts w:ascii="Arial" w:hAnsi="Arial" w:cs="Arial"/>
          <w:i/>
        </w:rPr>
      </w:pPr>
    </w:p>
    <w:p w14:paraId="3480FD7D" w14:textId="636A3AC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F49B0F" w14:textId="3A6F712C" w:rsidR="0033385E" w:rsidRPr="00C03D7C" w:rsidRDefault="0033385E" w:rsidP="0033385E">
      <w:pPr>
        <w:jc w:val="both"/>
        <w:rPr>
          <w:rFonts w:ascii="Arial" w:eastAsia="Calibri" w:hAnsi="Arial" w:cs="Arial"/>
          <w:kern w:val="2"/>
          <w:sz w:val="22"/>
          <w:szCs w:val="22"/>
          <w:lang w:val="en-PH"/>
          <w14:ligatures w14:val="standardContextual"/>
        </w:rPr>
      </w:pPr>
      <w:r w:rsidRPr="00C03D7C">
        <w:rPr>
          <w:rFonts w:ascii="Arial" w:eastAsia="Calibri" w:hAnsi="Arial" w:cs="Arial"/>
          <w:kern w:val="2"/>
          <w:sz w:val="22"/>
          <w:szCs w:val="22"/>
          <w:lang w:val="en-PH"/>
          <w14:ligatures w14:val="standardContextual"/>
        </w:rPr>
        <w:t>Vocational Education and Training (VET) is widely recognized as a critical mechanism for addressing skills gaps and supporting economic development by equipping learners with industry-relevant competencies required in the workforce (</w:t>
      </w:r>
      <w:proofErr w:type="spellStart"/>
      <w:r w:rsidR="00E46CAA" w:rsidRPr="00C03D7C">
        <w:rPr>
          <w:rFonts w:ascii="Arial" w:eastAsia="Calibri" w:hAnsi="Arial" w:cs="Arial"/>
          <w:kern w:val="2"/>
          <w:sz w:val="22"/>
          <w:szCs w:val="22"/>
          <w:lang w:val="en-PH"/>
          <w14:ligatures w14:val="standardContextual"/>
        </w:rPr>
        <w:t>Yusvana</w:t>
      </w:r>
      <w:proofErr w:type="spellEnd"/>
      <w:r w:rsidRPr="00C03D7C">
        <w:rPr>
          <w:rFonts w:ascii="Arial" w:eastAsia="Calibri" w:hAnsi="Arial" w:cs="Arial"/>
          <w:kern w:val="2"/>
          <w:sz w:val="22"/>
          <w:szCs w:val="22"/>
          <w:lang w:val="en-PH"/>
          <w14:ligatures w14:val="standardContextual"/>
        </w:rPr>
        <w:t>, 202</w:t>
      </w:r>
      <w:r w:rsidR="00E46CAA" w:rsidRPr="00C03D7C">
        <w:rPr>
          <w:rFonts w:ascii="Arial" w:eastAsia="Calibri" w:hAnsi="Arial" w:cs="Arial"/>
          <w:kern w:val="2"/>
          <w:sz w:val="22"/>
          <w:szCs w:val="22"/>
          <w:lang w:val="en-PH"/>
          <w14:ligatures w14:val="standardContextual"/>
        </w:rPr>
        <w:t>5</w:t>
      </w:r>
      <w:r w:rsidRPr="00C03D7C">
        <w:rPr>
          <w:rFonts w:ascii="Arial" w:eastAsia="Calibri" w:hAnsi="Arial" w:cs="Arial"/>
          <w:kern w:val="2"/>
          <w:sz w:val="22"/>
          <w:szCs w:val="22"/>
          <w:lang w:val="en-PH"/>
          <w14:ligatures w14:val="standardContextual"/>
        </w:rPr>
        <w:t xml:space="preserve">). Within VET programs, welding has emerged as one of the most important technical fields due to the increasing global demand for skilled workers in construction, manufacturing, shipbuilding, and related industries. </w:t>
      </w:r>
      <w:proofErr w:type="spellStart"/>
      <w:r w:rsidRPr="00C03D7C">
        <w:rPr>
          <w:rFonts w:ascii="Arial" w:eastAsia="Calibri" w:hAnsi="Arial" w:cs="Arial"/>
          <w:kern w:val="2"/>
          <w:sz w:val="22"/>
          <w:szCs w:val="22"/>
          <w:lang w:val="en-PH"/>
          <w14:ligatures w14:val="standardContextual"/>
        </w:rPr>
        <w:t>Marope</w:t>
      </w:r>
      <w:proofErr w:type="spellEnd"/>
      <w:r w:rsidRPr="00C03D7C">
        <w:rPr>
          <w:rFonts w:ascii="Arial" w:eastAsia="Calibri" w:hAnsi="Arial" w:cs="Arial"/>
          <w:kern w:val="2"/>
          <w:sz w:val="22"/>
          <w:szCs w:val="22"/>
          <w:lang w:val="en-PH"/>
          <w14:ligatures w14:val="standardContextual"/>
        </w:rPr>
        <w:t xml:space="preserve"> et al. (2015) emphasized that VET plays a significant role in preparing individuals to meet the demands of an increasingly competitive and interconnected economy, highlighting its importance across various national contexts.</w:t>
      </w:r>
    </w:p>
    <w:p w14:paraId="77ED539B" w14:textId="77777777" w:rsidR="0033385E" w:rsidRPr="00C03D7C" w:rsidRDefault="0033385E" w:rsidP="0033385E">
      <w:pPr>
        <w:jc w:val="both"/>
        <w:rPr>
          <w:rFonts w:ascii="Arial" w:eastAsia="Calibri" w:hAnsi="Arial" w:cs="Arial"/>
          <w:kern w:val="2"/>
          <w:sz w:val="22"/>
          <w:szCs w:val="22"/>
          <w:lang w:val="en-PH"/>
          <w14:ligatures w14:val="standardContextual"/>
        </w:rPr>
      </w:pPr>
    </w:p>
    <w:p w14:paraId="66AD543F" w14:textId="77777777" w:rsidR="0033385E" w:rsidRPr="00C03D7C" w:rsidRDefault="0033385E" w:rsidP="0033385E">
      <w:pPr>
        <w:jc w:val="both"/>
        <w:rPr>
          <w:rFonts w:ascii="Arial" w:eastAsia="Calibri" w:hAnsi="Arial" w:cs="Arial"/>
          <w:kern w:val="2"/>
          <w:sz w:val="22"/>
          <w:szCs w:val="22"/>
          <w:lang w:val="en-PH"/>
          <w14:ligatures w14:val="standardContextual"/>
        </w:rPr>
      </w:pPr>
      <w:r w:rsidRPr="00C03D7C">
        <w:rPr>
          <w:rFonts w:ascii="Arial" w:eastAsia="Calibri" w:hAnsi="Arial" w:cs="Arial"/>
          <w:kern w:val="2"/>
          <w:sz w:val="22"/>
          <w:szCs w:val="22"/>
          <w:lang w:val="en-PH"/>
          <w14:ligatures w14:val="standardContextual"/>
        </w:rPr>
        <w:t xml:space="preserve">Welding education combines technical skills development with theoretical knowledge, providing the foundation for competent practice in the profession. According to </w:t>
      </w:r>
      <w:proofErr w:type="spellStart"/>
      <w:r w:rsidRPr="00C03D7C">
        <w:rPr>
          <w:rFonts w:ascii="Arial" w:eastAsia="Calibri" w:hAnsi="Arial" w:cs="Arial"/>
          <w:kern w:val="2"/>
          <w:sz w:val="22"/>
          <w:szCs w:val="22"/>
          <w:lang w:val="en-PH"/>
          <w14:ligatures w14:val="standardContextual"/>
        </w:rPr>
        <w:t>Wettaka</w:t>
      </w:r>
      <w:proofErr w:type="spellEnd"/>
      <w:r w:rsidRPr="00C03D7C">
        <w:rPr>
          <w:rFonts w:ascii="Arial" w:eastAsia="Calibri" w:hAnsi="Arial" w:cs="Arial"/>
          <w:kern w:val="2"/>
          <w:sz w:val="22"/>
          <w:szCs w:val="22"/>
          <w:lang w:val="en-PH"/>
          <w14:ligatures w14:val="standardContextual"/>
        </w:rPr>
        <w:t xml:space="preserve"> (2020), effective welding instruction requires a carefully structured curriculum </w:t>
      </w:r>
      <w:r w:rsidRPr="00C03D7C">
        <w:rPr>
          <w:rFonts w:ascii="Arial" w:eastAsia="Calibri" w:hAnsi="Arial" w:cs="Arial"/>
          <w:kern w:val="2"/>
          <w:sz w:val="22"/>
          <w:szCs w:val="22"/>
          <w:lang w:val="en-PH"/>
          <w14:ligatures w14:val="standardContextual"/>
        </w:rPr>
        <w:lastRenderedPageBreak/>
        <w:t>that balances classroom learning with extensive hands-on experience to ensure technical mastery. Likewise, pedagogical approaches such as project-based learning and experiential learning have been found effective in improving learner engagement, strengthening skill acquisition, and enhancing readiness for real-world welding tasks (Aminu &amp; Nasiru, 2025). These instructional approaches support the competency-based orientation of vocational education by emphasizing demonstrable performance and workplace readiness.</w:t>
      </w:r>
    </w:p>
    <w:p w14:paraId="2285E74E" w14:textId="77777777" w:rsidR="0033385E" w:rsidRPr="00C03D7C" w:rsidRDefault="0033385E" w:rsidP="0033385E">
      <w:pPr>
        <w:jc w:val="both"/>
        <w:rPr>
          <w:rFonts w:ascii="Arial" w:eastAsia="Calibri" w:hAnsi="Arial" w:cs="Arial"/>
          <w:kern w:val="2"/>
          <w:sz w:val="22"/>
          <w:szCs w:val="22"/>
          <w:lang w:val="en-PH"/>
          <w14:ligatures w14:val="standardContextual"/>
        </w:rPr>
      </w:pPr>
    </w:p>
    <w:p w14:paraId="06075CD4" w14:textId="77777777" w:rsidR="0033385E" w:rsidRPr="00C03D7C" w:rsidRDefault="0033385E" w:rsidP="0033385E">
      <w:pPr>
        <w:jc w:val="both"/>
        <w:rPr>
          <w:rFonts w:ascii="Arial" w:eastAsia="Calibri" w:hAnsi="Arial" w:cs="Arial"/>
          <w:kern w:val="2"/>
          <w:sz w:val="22"/>
          <w:szCs w:val="22"/>
          <w:lang w:val="en-PH"/>
          <w14:ligatures w14:val="standardContextual"/>
        </w:rPr>
      </w:pPr>
      <w:r w:rsidRPr="00C03D7C">
        <w:rPr>
          <w:rFonts w:ascii="Arial" w:eastAsia="Calibri" w:hAnsi="Arial" w:cs="Arial"/>
          <w:kern w:val="2"/>
          <w:sz w:val="22"/>
          <w:szCs w:val="22"/>
          <w:lang w:val="en-PH"/>
          <w14:ligatures w14:val="standardContextual"/>
        </w:rPr>
        <w:t>Globally, vocational education systems continue to evolve in response to technological advancement, Industry 4.0, and increasing labor market competitiveness. Similar to regional neighbors such as Indonesia, where vocational high schools are adapting to economic globalization and industrial transformation to meet workforce demands (Hartanto et al., 2019), the Philippines has likewise strengthened its educational reforms through the K–12 curriculum to improve workforce preparedness and international competitiveness. In Indonesia, Vocational High Schools (VHS) serve as a major mechanism for preparing learners for direct labor market participation by developing technical competencies and employability skills (</w:t>
      </w:r>
      <w:proofErr w:type="spellStart"/>
      <w:r w:rsidRPr="00C03D7C">
        <w:rPr>
          <w:rFonts w:ascii="Arial" w:eastAsia="Calibri" w:hAnsi="Arial" w:cs="Arial"/>
          <w:kern w:val="2"/>
          <w:sz w:val="22"/>
          <w:szCs w:val="22"/>
          <w:lang w:val="en-PH"/>
          <w14:ligatures w14:val="standardContextual"/>
        </w:rPr>
        <w:t>Fajaryati</w:t>
      </w:r>
      <w:proofErr w:type="spellEnd"/>
      <w:r w:rsidRPr="00C03D7C">
        <w:rPr>
          <w:rFonts w:ascii="Arial" w:eastAsia="Calibri" w:hAnsi="Arial" w:cs="Arial"/>
          <w:kern w:val="2"/>
          <w:sz w:val="22"/>
          <w:szCs w:val="22"/>
          <w:lang w:val="en-PH"/>
          <w14:ligatures w14:val="standardContextual"/>
        </w:rPr>
        <w:t xml:space="preserve"> et al., 2020). Competency certification in specialized areas such as welding is also emphasized to ensure alignment between educational outcomes and industry expectations (</w:t>
      </w:r>
      <w:proofErr w:type="spellStart"/>
      <w:r w:rsidRPr="00C03D7C">
        <w:rPr>
          <w:rFonts w:ascii="Arial" w:eastAsia="Calibri" w:hAnsi="Arial" w:cs="Arial"/>
          <w:kern w:val="2"/>
          <w:sz w:val="22"/>
          <w:szCs w:val="22"/>
          <w:lang w:val="en-PH"/>
          <w14:ligatures w14:val="standardContextual"/>
        </w:rPr>
        <w:t>Daryono</w:t>
      </w:r>
      <w:proofErr w:type="spellEnd"/>
      <w:r w:rsidRPr="00C03D7C">
        <w:rPr>
          <w:rFonts w:ascii="Arial" w:eastAsia="Calibri" w:hAnsi="Arial" w:cs="Arial"/>
          <w:kern w:val="2"/>
          <w:sz w:val="22"/>
          <w:szCs w:val="22"/>
          <w:lang w:val="en-PH"/>
          <w14:ligatures w14:val="standardContextual"/>
        </w:rPr>
        <w:t xml:space="preserve"> et al., 2020; Rahmah &amp; Muslim, 2019).</w:t>
      </w:r>
    </w:p>
    <w:p w14:paraId="6380DB0C" w14:textId="77777777" w:rsidR="0033385E" w:rsidRPr="00C03D7C" w:rsidRDefault="0033385E" w:rsidP="0033385E">
      <w:pPr>
        <w:jc w:val="both"/>
        <w:rPr>
          <w:rFonts w:ascii="Arial" w:eastAsia="Calibri" w:hAnsi="Arial" w:cs="Arial"/>
          <w:kern w:val="2"/>
          <w:sz w:val="22"/>
          <w:szCs w:val="22"/>
          <w:lang w:val="en-PH"/>
          <w14:ligatures w14:val="standardContextual"/>
        </w:rPr>
      </w:pPr>
    </w:p>
    <w:p w14:paraId="616057BD" w14:textId="77777777" w:rsidR="0033385E" w:rsidRPr="00C03D7C" w:rsidRDefault="0033385E" w:rsidP="0033385E">
      <w:pPr>
        <w:jc w:val="both"/>
        <w:rPr>
          <w:rFonts w:ascii="Arial" w:eastAsia="Calibri" w:hAnsi="Arial" w:cs="Arial"/>
          <w:kern w:val="2"/>
          <w:sz w:val="22"/>
          <w:szCs w:val="22"/>
          <w:lang w:val="en-PH"/>
          <w14:ligatures w14:val="standardContextual"/>
        </w:rPr>
      </w:pPr>
      <w:r w:rsidRPr="00C03D7C">
        <w:rPr>
          <w:rFonts w:ascii="Arial" w:eastAsia="Calibri" w:hAnsi="Arial" w:cs="Arial"/>
          <w:kern w:val="2"/>
          <w:sz w:val="22"/>
          <w:szCs w:val="22"/>
          <w:lang w:val="en-PH"/>
          <w14:ligatures w14:val="standardContextual"/>
        </w:rPr>
        <w:t>Similarly, the Philippine K–12 curriculum implemented by the Department of Education (DepEd) was designed to align the country’s educational system with international standards and produce graduates equipped with 21st-century competencies (DepEd Order No. 8, s. 2015). The curriculum reform particularly strengthened the Technical-Vocational-Livelihood (TVL) track to improve employability and support workforce development aligned with industry needs (Okabe, 2018). Within the TVL track, Shielded Metal Arc Welding (SMAW) is offered as a specialized program intended to develop industry-relevant technical competencies among Grade 11 and Grade 12 learners. The program promotes technical proficiency, workplace safety, and employability while ensuring alignment between learner competencies and labor market requirements (TESDA; UNESCO-UNEVOC, 2021).</w:t>
      </w:r>
    </w:p>
    <w:p w14:paraId="4812DB94" w14:textId="77777777" w:rsidR="0033385E" w:rsidRPr="00C03D7C" w:rsidRDefault="0033385E" w:rsidP="0033385E">
      <w:pPr>
        <w:jc w:val="both"/>
        <w:rPr>
          <w:rFonts w:ascii="Arial" w:eastAsia="Calibri" w:hAnsi="Arial" w:cs="Arial"/>
          <w:kern w:val="2"/>
          <w:sz w:val="22"/>
          <w:szCs w:val="22"/>
          <w:lang w:val="en-PH"/>
          <w14:ligatures w14:val="standardContextual"/>
        </w:rPr>
      </w:pPr>
    </w:p>
    <w:p w14:paraId="167EA884" w14:textId="77777777" w:rsidR="0033385E" w:rsidRDefault="0033385E" w:rsidP="0033385E">
      <w:pPr>
        <w:jc w:val="both"/>
        <w:rPr>
          <w:rFonts w:ascii="Arial" w:eastAsia="Calibri" w:hAnsi="Arial" w:cs="Arial"/>
          <w:kern w:val="2"/>
          <w:sz w:val="22"/>
          <w:szCs w:val="22"/>
          <w:lang w:val="en-PH"/>
          <w14:ligatures w14:val="standardContextual"/>
        </w:rPr>
      </w:pPr>
      <w:r w:rsidRPr="00C03D7C">
        <w:rPr>
          <w:rFonts w:ascii="Arial" w:eastAsia="Calibri" w:hAnsi="Arial" w:cs="Arial"/>
          <w:kern w:val="2"/>
          <w:sz w:val="22"/>
          <w:szCs w:val="22"/>
          <w:lang w:val="en-PH"/>
          <w14:ligatures w14:val="standardContextual"/>
        </w:rPr>
        <w:t>The inclusion of SMAW in the senior high school curriculum reflects the growing recognition of welding as a critical technical field supporting infrastructure development, manufacturing, and industrial growth. SMAW NC II standards require learners to demonstrate proficiency in operational tasks such as material preparation, equipment setup, and welding procedures in accordance with internationally recognized standards such as the American Welding Society (AWS D1.1) and the American Society of Mechanical Engineers (ASME IX) (TESDA-PTC-SDN, n.d.; TESDA-SNCAT, 2020). Mastery of these competencies is essential because welding performance directly affects structural integrity, product quality, occupational safety, and industrial efficiency. Consequently, competency certification serves not only as proof of skill attainment but also as an indicator of workforce readiness and industry alignment.</w:t>
      </w:r>
    </w:p>
    <w:p w14:paraId="77C8FB06" w14:textId="77777777" w:rsidR="00C03D7C" w:rsidRDefault="00C03D7C" w:rsidP="0033385E">
      <w:pPr>
        <w:jc w:val="both"/>
        <w:rPr>
          <w:rFonts w:ascii="Arial" w:eastAsia="Calibri" w:hAnsi="Arial" w:cs="Arial"/>
          <w:kern w:val="2"/>
          <w:sz w:val="22"/>
          <w:szCs w:val="22"/>
          <w:lang w:val="en-PH"/>
          <w14:ligatures w14:val="standardContextual"/>
        </w:rPr>
      </w:pPr>
    </w:p>
    <w:p w14:paraId="7D206478" w14:textId="77777777" w:rsidR="00C03D7C" w:rsidRDefault="00C03D7C" w:rsidP="00C03D7C">
      <w:pPr>
        <w:jc w:val="both"/>
        <w:rPr>
          <w:rFonts w:ascii="Arial" w:eastAsia="Calibri" w:hAnsi="Arial" w:cs="Arial"/>
          <w:kern w:val="2"/>
          <w:sz w:val="22"/>
          <w:szCs w:val="22"/>
          <w:lang w:val="en-PH"/>
          <w14:ligatures w14:val="standardContextual"/>
        </w:rPr>
      </w:pPr>
      <w:r w:rsidRPr="00C03D7C">
        <w:rPr>
          <w:rFonts w:ascii="Arial" w:eastAsia="Calibri" w:hAnsi="Arial" w:cs="Arial"/>
          <w:kern w:val="2"/>
          <w:sz w:val="22"/>
          <w:szCs w:val="22"/>
          <w:lang w:val="en-PH"/>
          <w14:ligatures w14:val="standardContextual"/>
        </w:rPr>
        <w:lastRenderedPageBreak/>
        <w:t>Consequently, competency achievement should be examined beyond pass-or-fail certification outcomes. Task-level competency analysis provides deeper insight into learner performance by identifying specific areas where mastery remains limited. Such analysis enables educators and trainers to determine least-mastered competencies and implement evidence-based interventions to strengthen instructional delivery, improve technical skill acquisition, and enhance training effectiveness.</w:t>
      </w:r>
    </w:p>
    <w:p w14:paraId="2DEC3D25" w14:textId="77777777" w:rsidR="00C03D7C" w:rsidRPr="00C03D7C" w:rsidRDefault="00C03D7C" w:rsidP="00C03D7C">
      <w:pPr>
        <w:jc w:val="both"/>
        <w:rPr>
          <w:rFonts w:ascii="Arial" w:eastAsia="Calibri" w:hAnsi="Arial" w:cs="Arial"/>
          <w:kern w:val="2"/>
          <w:sz w:val="22"/>
          <w:szCs w:val="22"/>
          <w:lang w:val="en-PH"/>
          <w14:ligatures w14:val="standardContextual"/>
        </w:rPr>
      </w:pPr>
    </w:p>
    <w:p w14:paraId="285C653B" w14:textId="5EBB44EE" w:rsidR="00C03D7C" w:rsidRPr="00C03D7C" w:rsidRDefault="00C03D7C" w:rsidP="00C03D7C">
      <w:pPr>
        <w:jc w:val="both"/>
        <w:rPr>
          <w:rFonts w:ascii="Arial" w:eastAsia="Calibri" w:hAnsi="Arial" w:cs="Arial"/>
          <w:kern w:val="2"/>
          <w:sz w:val="22"/>
          <w:szCs w:val="22"/>
          <w:lang w:val="en-PH"/>
          <w14:ligatures w14:val="standardContextual"/>
        </w:rPr>
      </w:pPr>
      <w:r w:rsidRPr="00C03D7C">
        <w:rPr>
          <w:rFonts w:ascii="Arial" w:eastAsia="Calibri" w:hAnsi="Arial" w:cs="Arial"/>
          <w:kern w:val="2"/>
          <w:sz w:val="22"/>
          <w:szCs w:val="22"/>
          <w:lang w:val="en-PH"/>
          <w14:ligatures w14:val="standardContextual"/>
        </w:rPr>
        <w:t>Given these concerns, this study aimed to analyze the NC II assessment results of Grade 12 SMAW students to determine competency mastery patterns and identify specific welding competencies requiring improvement. Specifically, the study sought to examine competency-level assessment outcomes, identify least-mastered SMAW tasks, and provide evidence-based recommendations for training enhancement. Through task-level performance analysis, the study intends to contribute to strengthening instructional design, improving technical proficiency, and ensuring that SMAW graduates are not only certified but also industry-ready and capable of meeting workplace standards.</w:t>
      </w:r>
    </w:p>
    <w:p w14:paraId="09A49BA9" w14:textId="77777777" w:rsidR="0033385E" w:rsidRDefault="0033385E" w:rsidP="0033385E">
      <w:pPr>
        <w:jc w:val="both"/>
        <w:rPr>
          <w:rFonts w:ascii="Arial" w:eastAsia="Calibri" w:hAnsi="Arial" w:cs="Arial"/>
          <w:kern w:val="2"/>
          <w:sz w:val="22"/>
          <w:szCs w:val="22"/>
          <w:lang w:val="en-PH"/>
          <w14:ligatures w14:val="standardContextual"/>
        </w:rPr>
      </w:pPr>
    </w:p>
    <w:p w14:paraId="4E6AA540" w14:textId="77777777" w:rsidR="0033385E" w:rsidRPr="0033385E" w:rsidRDefault="0033385E" w:rsidP="0033385E">
      <w:pPr>
        <w:jc w:val="both"/>
        <w:rPr>
          <w:rFonts w:ascii="Arial" w:eastAsia="Calibri" w:hAnsi="Arial" w:cs="Arial"/>
          <w:kern w:val="2"/>
          <w:sz w:val="22"/>
          <w:szCs w:val="22"/>
          <w:lang w:val="en-PH"/>
          <w14:ligatures w14:val="standardContextual"/>
        </w:rPr>
      </w:pPr>
    </w:p>
    <w:p w14:paraId="46B94DFA" w14:textId="0A80843E"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DF14AC8" w14:textId="77777777" w:rsidR="00790ADA" w:rsidRPr="00FB3A86" w:rsidRDefault="00790ADA" w:rsidP="00441B6F">
      <w:pPr>
        <w:pStyle w:val="AbstHead"/>
        <w:spacing w:after="0"/>
        <w:jc w:val="both"/>
        <w:rPr>
          <w:rFonts w:ascii="Arial" w:hAnsi="Arial" w:cs="Arial"/>
        </w:rPr>
      </w:pPr>
    </w:p>
    <w:p w14:paraId="252CDF2A" w14:textId="77777777" w:rsidR="00F1794A" w:rsidRPr="00F1794A" w:rsidRDefault="00F1794A" w:rsidP="00F1794A">
      <w:pPr>
        <w:jc w:val="both"/>
        <w:rPr>
          <w:rFonts w:ascii="Arial" w:eastAsia="Book Antiqua" w:hAnsi="Arial" w:cs="Arial"/>
          <w:color w:val="000000"/>
          <w:sz w:val="22"/>
          <w:szCs w:val="22"/>
        </w:rPr>
      </w:pPr>
      <w:r w:rsidRPr="00F1794A">
        <w:rPr>
          <w:rFonts w:ascii="Arial" w:eastAsia="Book Antiqua" w:hAnsi="Arial" w:cs="Arial"/>
          <w:color w:val="000000"/>
          <w:sz w:val="22"/>
          <w:szCs w:val="22"/>
        </w:rPr>
        <w:t>This chapter presents the systematic procedures and methodological framework employed in conducting the study and obtaining the data necessary to achieve the research objectives. Specifically, it describes the research locale, research design, participants and sampling technique, data gathering procedures, ethical considerations, and data analysis methods used in examining the competency performance of Grade 12 students in Shielded Metal Arc Welding (SMAW) based on their National Certificate Level II (NC II) assessment outcomes.</w:t>
      </w:r>
    </w:p>
    <w:p w14:paraId="402A570E" w14:textId="77777777" w:rsidR="00F1794A" w:rsidRDefault="00F1794A" w:rsidP="00F1794A">
      <w:pPr>
        <w:jc w:val="both"/>
        <w:rPr>
          <w:rFonts w:ascii="Arial" w:eastAsia="Book Antiqua" w:hAnsi="Arial" w:cs="Arial"/>
          <w:color w:val="000000"/>
          <w:sz w:val="22"/>
          <w:szCs w:val="22"/>
        </w:rPr>
      </w:pPr>
    </w:p>
    <w:p w14:paraId="457A15AA" w14:textId="32715082" w:rsidR="00F1794A" w:rsidRPr="00F1794A" w:rsidRDefault="00F1794A" w:rsidP="00F1794A">
      <w:pPr>
        <w:jc w:val="both"/>
        <w:rPr>
          <w:rFonts w:ascii="Arial" w:eastAsia="Book Antiqua" w:hAnsi="Arial" w:cs="Arial"/>
          <w:color w:val="000000"/>
          <w:sz w:val="22"/>
          <w:szCs w:val="22"/>
        </w:rPr>
      </w:pPr>
      <w:r w:rsidRPr="00F1794A">
        <w:rPr>
          <w:rFonts w:ascii="Arial" w:eastAsia="Book Antiqua" w:hAnsi="Arial" w:cs="Arial"/>
          <w:color w:val="000000"/>
          <w:sz w:val="22"/>
          <w:szCs w:val="22"/>
        </w:rPr>
        <w:t>The study utilized a descriptive research design, which was considered appropriate because it focused on describing, analyzing, and interpreting existing competency performance data without manipulating variables or introducing experimental interventions. The design enabled the researchers to examine competency mastery patterns, identify least-mastered SMAW tasks, and determine areas requiring instructional enhancement based on actual assessment results. Through this approach, the study aligned with its objective of conducting competency-level assessment analysis to support evidence-based training improvement.</w:t>
      </w:r>
    </w:p>
    <w:p w14:paraId="1ED78424" w14:textId="77777777" w:rsidR="00F1794A" w:rsidRDefault="00F1794A" w:rsidP="00F1794A">
      <w:pPr>
        <w:jc w:val="both"/>
        <w:rPr>
          <w:rFonts w:ascii="Arial" w:eastAsia="Book Antiqua" w:hAnsi="Arial" w:cs="Arial"/>
          <w:color w:val="000000"/>
          <w:sz w:val="22"/>
          <w:szCs w:val="22"/>
        </w:rPr>
      </w:pPr>
    </w:p>
    <w:p w14:paraId="779DF891" w14:textId="272057DD" w:rsidR="00F1794A" w:rsidRPr="00F1794A" w:rsidRDefault="00F1794A" w:rsidP="00F1794A">
      <w:pPr>
        <w:jc w:val="both"/>
        <w:rPr>
          <w:rFonts w:ascii="Arial" w:eastAsia="Book Antiqua" w:hAnsi="Arial" w:cs="Arial"/>
          <w:color w:val="000000"/>
          <w:sz w:val="22"/>
          <w:szCs w:val="22"/>
        </w:rPr>
      </w:pPr>
      <w:r w:rsidRPr="00F1794A">
        <w:rPr>
          <w:rFonts w:ascii="Arial" w:eastAsia="Book Antiqua" w:hAnsi="Arial" w:cs="Arial"/>
          <w:color w:val="000000"/>
          <w:sz w:val="22"/>
          <w:szCs w:val="22"/>
        </w:rPr>
        <w:t>The participants consisted of Grade 12 students enrolled in the SMAW program who had completed the required training modules and participated in the TESDA NC II competency assessment. Total enumeration (total sampling) was employed to include all eligible participants with complete and available NC II assessment records. This sampling approach ensured complete representation of the target population and allowed the study to capture actual competency outcomes relevant to the investigation of specific skill gaps and training needs.</w:t>
      </w:r>
    </w:p>
    <w:p w14:paraId="74B72FFA" w14:textId="77777777" w:rsidR="00F1794A" w:rsidRDefault="00F1794A" w:rsidP="00F1794A">
      <w:pPr>
        <w:jc w:val="both"/>
        <w:rPr>
          <w:rFonts w:ascii="Arial" w:eastAsia="Book Antiqua" w:hAnsi="Arial" w:cs="Arial"/>
          <w:color w:val="000000"/>
          <w:sz w:val="22"/>
          <w:szCs w:val="22"/>
        </w:rPr>
      </w:pPr>
    </w:p>
    <w:p w14:paraId="0255BC67" w14:textId="44E3DD8C" w:rsidR="00F1794A" w:rsidRPr="00F1794A" w:rsidRDefault="00F1794A" w:rsidP="00F1794A">
      <w:pPr>
        <w:jc w:val="both"/>
        <w:rPr>
          <w:rFonts w:ascii="Arial" w:eastAsia="Book Antiqua" w:hAnsi="Arial" w:cs="Arial"/>
          <w:color w:val="000000"/>
          <w:sz w:val="22"/>
          <w:szCs w:val="22"/>
        </w:rPr>
      </w:pPr>
      <w:r w:rsidRPr="00F1794A">
        <w:rPr>
          <w:rFonts w:ascii="Arial" w:eastAsia="Book Antiqua" w:hAnsi="Arial" w:cs="Arial"/>
          <w:color w:val="000000"/>
          <w:sz w:val="22"/>
          <w:szCs w:val="22"/>
        </w:rPr>
        <w:t xml:space="preserve">Data collection was conducted through the retrieval and examination of official NC II assessment records obtained from the school and relevant authorities, subject to </w:t>
      </w:r>
      <w:r w:rsidRPr="00F1794A">
        <w:rPr>
          <w:rFonts w:ascii="Arial" w:eastAsia="Book Antiqua" w:hAnsi="Arial" w:cs="Arial"/>
          <w:color w:val="000000"/>
          <w:sz w:val="22"/>
          <w:szCs w:val="22"/>
        </w:rPr>
        <w:lastRenderedPageBreak/>
        <w:t>appropriate permissions and ethical protocols. The assessment records served as the primary data source because they reflected authentic competency performance evaluated using TESDA standards. The use of official records enhanced data reliability and provided an objective basis for identifying performance trends and competency deficiencies among learners.</w:t>
      </w:r>
    </w:p>
    <w:p w14:paraId="266B4D42" w14:textId="77777777" w:rsidR="00F1794A" w:rsidRDefault="00F1794A" w:rsidP="00F1794A">
      <w:pPr>
        <w:jc w:val="both"/>
        <w:rPr>
          <w:rFonts w:ascii="Arial" w:eastAsia="Book Antiqua" w:hAnsi="Arial" w:cs="Arial"/>
          <w:color w:val="000000"/>
          <w:sz w:val="22"/>
          <w:szCs w:val="22"/>
        </w:rPr>
      </w:pPr>
    </w:p>
    <w:p w14:paraId="2E297A49" w14:textId="0E9C8A1E" w:rsidR="00F1794A" w:rsidRPr="00F1794A" w:rsidRDefault="00F1794A" w:rsidP="00F1794A">
      <w:pPr>
        <w:jc w:val="both"/>
        <w:rPr>
          <w:rFonts w:ascii="Arial" w:eastAsia="Book Antiqua" w:hAnsi="Arial" w:cs="Arial"/>
          <w:color w:val="000000"/>
          <w:sz w:val="22"/>
          <w:szCs w:val="22"/>
        </w:rPr>
      </w:pPr>
      <w:r w:rsidRPr="00F1794A">
        <w:rPr>
          <w:rFonts w:ascii="Arial" w:eastAsia="Book Antiqua" w:hAnsi="Arial" w:cs="Arial"/>
          <w:color w:val="000000"/>
          <w:sz w:val="22"/>
          <w:szCs w:val="22"/>
        </w:rPr>
        <w:t>The data analysis process involved the organization, tabulation, and interpretation of NC II competency results to determine levels of mastery across specific SMAW tasks. Descriptive statistical procedures, including frequency counts, percentages, and competency distribution analysis, were used to examine performance patterns and identify least-mastered competencies. Particular attention was given to task-level assessment outcomes to reveal competency gaps that may not be evident from overall certification results alone. The findings served as the basis for developing evidence-based training enhancement strategies aimed at strengthening technical proficiency and workforce readiness.</w:t>
      </w:r>
    </w:p>
    <w:p w14:paraId="3822BE46" w14:textId="77777777" w:rsidR="00F1794A" w:rsidRDefault="00F1794A" w:rsidP="00F1794A">
      <w:pPr>
        <w:jc w:val="both"/>
        <w:rPr>
          <w:rFonts w:ascii="Arial" w:eastAsia="Book Antiqua" w:hAnsi="Arial" w:cs="Arial"/>
          <w:color w:val="000000"/>
          <w:sz w:val="22"/>
          <w:szCs w:val="22"/>
        </w:rPr>
      </w:pPr>
    </w:p>
    <w:p w14:paraId="08450536" w14:textId="69BDF9BD" w:rsidR="00F1794A" w:rsidRPr="00F1794A" w:rsidRDefault="00F1794A" w:rsidP="00F1794A">
      <w:pPr>
        <w:jc w:val="both"/>
        <w:rPr>
          <w:rFonts w:ascii="Arial" w:eastAsia="Book Antiqua" w:hAnsi="Arial" w:cs="Arial"/>
          <w:color w:val="000000"/>
          <w:sz w:val="22"/>
          <w:szCs w:val="22"/>
        </w:rPr>
      </w:pPr>
      <w:r w:rsidRPr="00F1794A">
        <w:rPr>
          <w:rFonts w:ascii="Arial" w:eastAsia="Book Antiqua" w:hAnsi="Arial" w:cs="Arial"/>
          <w:color w:val="000000"/>
          <w:sz w:val="22"/>
          <w:szCs w:val="22"/>
        </w:rPr>
        <w:t>Ethical standards were likewise observed throughout the conduct of the study. Permission to access assessment records was secured from the concerned authorities, and participant information was treated with confidentiality through coding and anonymization procedures. The collected data were used solely for academic and research purposes.</w:t>
      </w:r>
    </w:p>
    <w:p w14:paraId="480F22B5" w14:textId="77777777" w:rsidR="00F1794A" w:rsidRDefault="00F1794A" w:rsidP="00F1794A">
      <w:pPr>
        <w:jc w:val="both"/>
        <w:rPr>
          <w:rFonts w:ascii="Arial" w:eastAsia="Book Antiqua" w:hAnsi="Arial" w:cs="Arial"/>
          <w:color w:val="000000"/>
          <w:sz w:val="22"/>
          <w:szCs w:val="22"/>
        </w:rPr>
      </w:pPr>
    </w:p>
    <w:p w14:paraId="5AE5A60F" w14:textId="685961F0" w:rsidR="00F1794A" w:rsidRPr="00F1794A" w:rsidRDefault="00F1794A" w:rsidP="00F1794A">
      <w:pPr>
        <w:jc w:val="both"/>
        <w:rPr>
          <w:rFonts w:ascii="Arial" w:eastAsia="Book Antiqua" w:hAnsi="Arial" w:cs="Arial"/>
          <w:color w:val="000000"/>
          <w:sz w:val="22"/>
          <w:szCs w:val="22"/>
        </w:rPr>
      </w:pPr>
      <w:r w:rsidRPr="00F1794A">
        <w:rPr>
          <w:rFonts w:ascii="Arial" w:eastAsia="Book Antiqua" w:hAnsi="Arial" w:cs="Arial"/>
          <w:color w:val="000000"/>
          <w:sz w:val="22"/>
          <w:szCs w:val="22"/>
        </w:rPr>
        <w:t>By outlining these methodological procedures, the study ensures transparency, methodological rigor, and replicability in examining SMAW competency outcomes. Furthermore, the methodology establishes a clear alignment between the descriptive research approach, competency assessment objectives, and the formulation of targeted training enhancement interventions.</w:t>
      </w:r>
    </w:p>
    <w:p w14:paraId="36B82DA5" w14:textId="556B9641" w:rsidR="00790ADA" w:rsidRPr="00F1794A" w:rsidRDefault="00790ADA" w:rsidP="00F1794A">
      <w:pPr>
        <w:jc w:val="both"/>
        <w:rPr>
          <w:rFonts w:ascii="Arial" w:eastAsia="Book Antiqua" w:hAnsi="Arial" w:cs="Arial"/>
          <w:color w:val="000000"/>
          <w:sz w:val="22"/>
          <w:szCs w:val="22"/>
        </w:rPr>
      </w:pPr>
    </w:p>
    <w:p w14:paraId="52BBF0AD" w14:textId="76347CF9" w:rsidR="00AA74E0" w:rsidRDefault="00F1794A" w:rsidP="00441B6F">
      <w:pPr>
        <w:pStyle w:val="Body"/>
        <w:spacing w:after="0"/>
        <w:rPr>
          <w:rFonts w:ascii="Arial" w:hAnsi="Arial" w:cs="Arial"/>
        </w:rPr>
      </w:pPr>
      <w:r w:rsidRPr="00C30A0F">
        <w:rPr>
          <w:rFonts w:ascii="Arial" w:hAnsi="Arial" w:cs="Arial"/>
          <w:b/>
          <w:sz w:val="22"/>
        </w:rPr>
        <w:t xml:space="preserve">2.1 </w:t>
      </w:r>
      <w:r>
        <w:rPr>
          <w:rFonts w:ascii="Arial" w:hAnsi="Arial" w:cs="Arial"/>
          <w:b/>
          <w:sz w:val="22"/>
        </w:rPr>
        <w:t>RESEARCH LOCALE</w:t>
      </w:r>
    </w:p>
    <w:p w14:paraId="7AE4109A" w14:textId="77777777" w:rsidR="00CB6DE3" w:rsidRDefault="00CB6DE3" w:rsidP="00441B6F">
      <w:pPr>
        <w:pStyle w:val="Body"/>
        <w:spacing w:after="0"/>
        <w:rPr>
          <w:rFonts w:ascii="Arial" w:hAnsi="Arial" w:cs="Arial"/>
        </w:rPr>
      </w:pPr>
    </w:p>
    <w:p w14:paraId="622A9893" w14:textId="77777777" w:rsidR="00CB6DE3" w:rsidRPr="00F1794A" w:rsidRDefault="00CB6DE3" w:rsidP="00CB6DE3">
      <w:pPr>
        <w:jc w:val="both"/>
        <w:rPr>
          <w:rFonts w:ascii="Arial" w:eastAsia="Book Antiqua" w:hAnsi="Arial" w:cs="Arial"/>
          <w:color w:val="000000"/>
          <w:sz w:val="22"/>
          <w:szCs w:val="22"/>
        </w:rPr>
      </w:pPr>
      <w:r w:rsidRPr="00F1794A">
        <w:rPr>
          <w:rFonts w:ascii="Arial" w:eastAsia="Book Antiqua" w:hAnsi="Arial" w:cs="Arial"/>
          <w:color w:val="000000"/>
          <w:sz w:val="22"/>
          <w:szCs w:val="22"/>
        </w:rPr>
        <w:t xml:space="preserve">The study was conducted at Goma National High School, in the Division of </w:t>
      </w:r>
      <w:proofErr w:type="spellStart"/>
      <w:r w:rsidRPr="00F1794A">
        <w:rPr>
          <w:rFonts w:ascii="Arial" w:eastAsia="Book Antiqua" w:hAnsi="Arial" w:cs="Arial"/>
          <w:color w:val="000000"/>
          <w:sz w:val="22"/>
          <w:szCs w:val="22"/>
        </w:rPr>
        <w:t>Digos</w:t>
      </w:r>
      <w:proofErr w:type="spellEnd"/>
      <w:r w:rsidRPr="00F1794A">
        <w:rPr>
          <w:rFonts w:ascii="Arial" w:eastAsia="Book Antiqua" w:hAnsi="Arial" w:cs="Arial"/>
          <w:color w:val="000000"/>
          <w:sz w:val="22"/>
          <w:szCs w:val="22"/>
        </w:rPr>
        <w:t xml:space="preserve"> City, where the SMAW program is offered as part of the senior high school curriculum. The institution is accredited by TESDA and implements NC II standards in line with national competency-based education requirements. This setting provides a controlled environment where the students’ skills are assessed according to TESDA’s standardized procedures, ensuring the validity and reliability of the data collected.</w:t>
      </w:r>
    </w:p>
    <w:p w14:paraId="7E4F9713" w14:textId="1E5FBC35" w:rsidR="00CB6DE3" w:rsidRPr="00F1794A" w:rsidRDefault="00F1794A" w:rsidP="00CB6DE3">
      <w:pPr>
        <w:pStyle w:val="Heading1"/>
        <w:spacing w:after="0"/>
        <w:jc w:val="both"/>
        <w:rPr>
          <w:rFonts w:eastAsia="Book Antiqua" w:cs="Arial"/>
          <w:kern w:val="0"/>
          <w:sz w:val="22"/>
          <w:szCs w:val="22"/>
        </w:rPr>
      </w:pPr>
      <w:r w:rsidRPr="00F1794A">
        <w:rPr>
          <w:rFonts w:cs="Arial"/>
          <w:sz w:val="22"/>
          <w:szCs w:val="22"/>
        </w:rPr>
        <w:t xml:space="preserve">2.2 </w:t>
      </w:r>
      <w:r w:rsidRPr="00F1794A">
        <w:rPr>
          <w:rFonts w:eastAsia="Book Antiqua" w:cs="Arial"/>
          <w:kern w:val="0"/>
          <w:sz w:val="22"/>
          <w:szCs w:val="22"/>
        </w:rPr>
        <w:t>RESEARCH DESIGN</w:t>
      </w:r>
    </w:p>
    <w:p w14:paraId="008E688C" w14:textId="77777777" w:rsidR="00CB6DE3" w:rsidRPr="00F1794A" w:rsidRDefault="00CB6DE3" w:rsidP="00CB6DE3">
      <w:pPr>
        <w:rPr>
          <w:sz w:val="22"/>
          <w:szCs w:val="22"/>
        </w:rPr>
      </w:pPr>
    </w:p>
    <w:p w14:paraId="4E63A3C5" w14:textId="518D016C" w:rsidR="00CB6DE3" w:rsidRPr="00F1794A" w:rsidRDefault="00CB6DE3" w:rsidP="00CB6DE3">
      <w:pPr>
        <w:ind w:right="49"/>
        <w:jc w:val="both"/>
        <w:rPr>
          <w:rFonts w:ascii="Arial" w:eastAsia="Book Antiqua" w:hAnsi="Arial" w:cs="Arial"/>
          <w:bCs/>
          <w:color w:val="000000"/>
          <w:sz w:val="22"/>
          <w:szCs w:val="22"/>
        </w:rPr>
      </w:pPr>
      <w:r w:rsidRPr="00F1794A">
        <w:rPr>
          <w:rFonts w:ascii="Arial" w:eastAsia="Book Antiqua" w:hAnsi="Arial" w:cs="Arial"/>
          <w:bCs/>
          <w:color w:val="000000"/>
          <w:sz w:val="22"/>
          <w:szCs w:val="22"/>
        </w:rPr>
        <w:t xml:space="preserve">This study used a descriptive research design, which is appropriate for examining and documenting existing conditions without manipulating variables. Descriptive research is commonly applied in education to provide a clear picture of performance patterns and trends rather than exploring cause-and-effect relationships (Creswell &amp; Poth, 2018; </w:t>
      </w:r>
      <w:r w:rsidR="0033385E" w:rsidRPr="00F1794A">
        <w:rPr>
          <w:rFonts w:ascii="Arial" w:eastAsia="Book Antiqua" w:hAnsi="Arial" w:cs="Arial"/>
          <w:bCs/>
          <w:color w:val="000000"/>
          <w:sz w:val="22"/>
          <w:szCs w:val="22"/>
        </w:rPr>
        <w:t>Putri et al.</w:t>
      </w:r>
      <w:r w:rsidRPr="00F1794A">
        <w:rPr>
          <w:rFonts w:ascii="Arial" w:eastAsia="Book Antiqua" w:hAnsi="Arial" w:cs="Arial"/>
          <w:bCs/>
          <w:color w:val="000000"/>
          <w:sz w:val="22"/>
          <w:szCs w:val="22"/>
        </w:rPr>
        <w:t xml:space="preserve">, 2025). In this study, it allowed for a detailed analysis of the SMAW NC II assessment results of Grade 12 students, identifying competencies that were least mastered. The approach enabled an objective presentation of student performance data, which served as a basis for recommending targeted training improvements. Unlike experimental designs, descriptive research provides an accurate account of observed phenomena, making it suitable for performance-based </w:t>
      </w:r>
      <w:r w:rsidRPr="00F1794A">
        <w:rPr>
          <w:rFonts w:ascii="Arial" w:eastAsia="Book Antiqua" w:hAnsi="Arial" w:cs="Arial"/>
          <w:bCs/>
          <w:color w:val="000000"/>
          <w:sz w:val="22"/>
          <w:szCs w:val="22"/>
        </w:rPr>
        <w:lastRenderedPageBreak/>
        <w:t>studies and curriculum evaluation (Creswell &amp; Poth, 2018; Distance Learning Institute, 2025).</w:t>
      </w:r>
    </w:p>
    <w:p w14:paraId="42CBB3DB" w14:textId="2474E38A" w:rsidR="00CB6DE3" w:rsidRPr="00F1794A" w:rsidRDefault="00F1794A" w:rsidP="00CB6DE3">
      <w:pPr>
        <w:pStyle w:val="Heading1"/>
        <w:spacing w:after="0"/>
        <w:jc w:val="both"/>
        <w:rPr>
          <w:rFonts w:eastAsia="Book Antiqua" w:cs="Arial"/>
          <w:kern w:val="0"/>
          <w:sz w:val="22"/>
          <w:szCs w:val="22"/>
        </w:rPr>
      </w:pPr>
      <w:r w:rsidRPr="00F1794A">
        <w:rPr>
          <w:rFonts w:cs="Arial"/>
          <w:i/>
          <w:sz w:val="22"/>
          <w:szCs w:val="22"/>
        </w:rPr>
        <w:t>2.3</w:t>
      </w:r>
      <w:r w:rsidRPr="00F1794A">
        <w:rPr>
          <w:rFonts w:eastAsia="Book Antiqua" w:cs="Arial"/>
          <w:kern w:val="0"/>
          <w:sz w:val="22"/>
          <w:szCs w:val="22"/>
        </w:rPr>
        <w:t xml:space="preserve"> RESEARCH PARTICIPANTS</w:t>
      </w:r>
    </w:p>
    <w:p w14:paraId="5B71EC37" w14:textId="77777777" w:rsidR="00CB6DE3" w:rsidRPr="00906F8D" w:rsidRDefault="00CB6DE3" w:rsidP="00CB6DE3"/>
    <w:p w14:paraId="456F0AEE" w14:textId="77777777" w:rsidR="007176F1" w:rsidRPr="00F1794A" w:rsidRDefault="007176F1" w:rsidP="007176F1">
      <w:pPr>
        <w:pStyle w:val="Heading1"/>
        <w:spacing w:before="0"/>
        <w:jc w:val="both"/>
        <w:rPr>
          <w:rFonts w:eastAsia="Book Antiqua" w:cs="Arial"/>
          <w:b w:val="0"/>
          <w:bCs/>
          <w:color w:val="000000"/>
          <w:kern w:val="0"/>
          <w:sz w:val="22"/>
          <w:szCs w:val="22"/>
        </w:rPr>
      </w:pPr>
      <w:r w:rsidRPr="00F1794A">
        <w:rPr>
          <w:rFonts w:eastAsia="Book Antiqua" w:cs="Arial"/>
          <w:b w:val="0"/>
          <w:bCs/>
          <w:color w:val="000000"/>
          <w:kern w:val="0"/>
          <w:sz w:val="22"/>
          <w:szCs w:val="22"/>
        </w:rPr>
        <w:t>The participants of the study consisted of 20 Grade 12 students enrolled in the Shielded Metal Arc Welding (SMAW) program, all of whom had completed the required training modules and participated in the TESDA National Certificate Level II (NC II) assessment. Total enumeration (total sampling) was employed because the study included all eligible SMAW students with complete and available NC II assessment records during the conduct of the study. Selection was therefore based on enrollment in the SMAW program and the availability of official NC II results.</w:t>
      </w:r>
    </w:p>
    <w:p w14:paraId="50033031" w14:textId="77777777" w:rsidR="007176F1" w:rsidRPr="00F1794A" w:rsidRDefault="007176F1" w:rsidP="007176F1">
      <w:pPr>
        <w:pStyle w:val="Heading1"/>
        <w:jc w:val="both"/>
        <w:rPr>
          <w:rFonts w:eastAsia="Book Antiqua" w:cs="Arial"/>
          <w:b w:val="0"/>
          <w:bCs/>
          <w:color w:val="000000"/>
          <w:kern w:val="0"/>
          <w:sz w:val="22"/>
          <w:szCs w:val="22"/>
        </w:rPr>
      </w:pPr>
      <w:r w:rsidRPr="00F1794A">
        <w:rPr>
          <w:rFonts w:eastAsia="Book Antiqua" w:cs="Arial"/>
          <w:b w:val="0"/>
          <w:bCs/>
          <w:color w:val="000000"/>
          <w:kern w:val="0"/>
          <w:sz w:val="22"/>
          <w:szCs w:val="22"/>
        </w:rPr>
        <w:t>Using total enumeration ensured that all members of the target population were represented, allowing the study to capture actual competency performance outcomes and provide reliable evidence for identifying specific areas requiring improvement (Creswell &amp; Poth, 2018). However, because the study involved only 20 participants from a single institution, the findings should be interpreted within the context of the study setting. Although the results provide meaningful insights into competency performance and training enhancement needs, the relatively small sample size may limit the generalizability of the findings to other schools, SMAW programs, or broader TVET populations.</w:t>
      </w:r>
    </w:p>
    <w:p w14:paraId="3450F9D9" w14:textId="3B6A5B53" w:rsidR="00906F8D" w:rsidRPr="00F1794A" w:rsidRDefault="00F1794A" w:rsidP="00906F8D">
      <w:pPr>
        <w:pStyle w:val="Heading1"/>
        <w:spacing w:after="0"/>
        <w:jc w:val="both"/>
        <w:rPr>
          <w:rFonts w:eastAsia="Book Antiqua" w:cs="Arial"/>
          <w:bCs/>
          <w:kern w:val="0"/>
          <w:sz w:val="22"/>
          <w:szCs w:val="22"/>
        </w:rPr>
      </w:pPr>
      <w:r w:rsidRPr="00F1794A">
        <w:rPr>
          <w:rFonts w:eastAsia="Book Antiqua" w:cs="Arial"/>
          <w:bCs/>
          <w:i/>
          <w:iCs/>
          <w:color w:val="000000"/>
          <w:sz w:val="22"/>
          <w:szCs w:val="22"/>
        </w:rPr>
        <w:t xml:space="preserve">2.4. </w:t>
      </w:r>
      <w:r w:rsidRPr="00F1794A">
        <w:rPr>
          <w:rFonts w:eastAsia="Book Antiqua" w:cs="Arial"/>
          <w:bCs/>
          <w:kern w:val="0"/>
          <w:sz w:val="22"/>
          <w:szCs w:val="22"/>
        </w:rPr>
        <w:t>DATA GATHERING PROCEDURE</w:t>
      </w:r>
    </w:p>
    <w:p w14:paraId="5A68E9F7" w14:textId="77777777" w:rsidR="00906F8D" w:rsidRPr="00906F8D" w:rsidRDefault="00906F8D" w:rsidP="00906F8D">
      <w:pPr>
        <w:rPr>
          <w:rFonts w:ascii="Arial" w:hAnsi="Arial" w:cs="Arial"/>
          <w:bCs/>
          <w:sz w:val="22"/>
          <w:szCs w:val="22"/>
        </w:rPr>
      </w:pPr>
    </w:p>
    <w:p w14:paraId="218DD818" w14:textId="055FA04B" w:rsidR="00906F8D" w:rsidRDefault="00906F8D" w:rsidP="00906F8D">
      <w:pPr>
        <w:jc w:val="both"/>
        <w:rPr>
          <w:rFonts w:ascii="Arial" w:eastAsia="Book Antiqua" w:hAnsi="Arial" w:cs="Arial"/>
          <w:bCs/>
          <w:sz w:val="22"/>
          <w:szCs w:val="22"/>
        </w:rPr>
      </w:pPr>
      <w:r w:rsidRPr="00906F8D">
        <w:rPr>
          <w:rFonts w:ascii="Arial" w:eastAsia="Book Antiqua" w:hAnsi="Arial" w:cs="Arial"/>
          <w:bCs/>
          <w:sz w:val="22"/>
          <w:szCs w:val="22"/>
        </w:rPr>
        <w:t xml:space="preserve">The primary data source consisted of official NC II assessment results provided by the school and TESDA. These results include task- and competency-level scores for each student, indicating whether a student was “Competent” or “Not Yet Competent” in each assessed skill. The researchers requested access to these records and ensured confidentiality by coding student identities. No interviews or surveys were conducted, as the analysis focuses exclusively on documented performance outcomes. </w:t>
      </w:r>
    </w:p>
    <w:p w14:paraId="5768DC83" w14:textId="14804FB8" w:rsidR="00906F8D" w:rsidRPr="00F1794A" w:rsidRDefault="00F1794A" w:rsidP="00906F8D">
      <w:pPr>
        <w:pStyle w:val="Heading1"/>
        <w:spacing w:after="0"/>
        <w:jc w:val="both"/>
        <w:rPr>
          <w:rFonts w:eastAsia="Book Antiqua" w:cs="Arial"/>
          <w:kern w:val="0"/>
          <w:sz w:val="22"/>
          <w:szCs w:val="22"/>
        </w:rPr>
      </w:pPr>
      <w:proofErr w:type="gramStart"/>
      <w:r w:rsidRPr="00F1794A">
        <w:rPr>
          <w:rFonts w:eastAsia="Book Antiqua" w:cs="Arial"/>
          <w:bCs/>
          <w:i/>
          <w:iCs/>
          <w:sz w:val="22"/>
          <w:szCs w:val="22"/>
        </w:rPr>
        <w:t>2.5</w:t>
      </w:r>
      <w:r w:rsidRPr="00F1794A">
        <w:rPr>
          <w:rFonts w:eastAsia="Book Antiqua" w:cs="Arial"/>
          <w:color w:val="1F4E79"/>
          <w:kern w:val="0"/>
          <w:sz w:val="22"/>
          <w:szCs w:val="22"/>
        </w:rPr>
        <w:t xml:space="preserve">  </w:t>
      </w:r>
      <w:r w:rsidRPr="00F1794A">
        <w:rPr>
          <w:rFonts w:eastAsia="Book Antiqua" w:cs="Arial"/>
          <w:kern w:val="0"/>
          <w:sz w:val="22"/>
          <w:szCs w:val="22"/>
        </w:rPr>
        <w:t>DATA</w:t>
      </w:r>
      <w:proofErr w:type="gramEnd"/>
      <w:r w:rsidRPr="00F1794A">
        <w:rPr>
          <w:rFonts w:eastAsia="Book Antiqua" w:cs="Arial"/>
          <w:kern w:val="0"/>
          <w:sz w:val="22"/>
          <w:szCs w:val="22"/>
        </w:rPr>
        <w:t xml:space="preserve"> ANALYSIS</w:t>
      </w:r>
    </w:p>
    <w:p w14:paraId="722FC73D" w14:textId="77777777" w:rsidR="00906F8D" w:rsidRPr="00906F8D" w:rsidRDefault="00906F8D" w:rsidP="00906F8D"/>
    <w:p w14:paraId="6CE06C86" w14:textId="77777777" w:rsidR="00906F8D" w:rsidRPr="00F1794A" w:rsidRDefault="00906F8D" w:rsidP="00906F8D">
      <w:pPr>
        <w:ind w:right="49"/>
        <w:jc w:val="both"/>
        <w:rPr>
          <w:rFonts w:ascii="Arial" w:eastAsia="Book Antiqua" w:hAnsi="Arial" w:cs="Arial"/>
          <w:color w:val="000000"/>
          <w:sz w:val="22"/>
          <w:szCs w:val="22"/>
        </w:rPr>
      </w:pPr>
      <w:r w:rsidRPr="00F1794A">
        <w:rPr>
          <w:rFonts w:ascii="Arial" w:eastAsia="Book Antiqua" w:hAnsi="Arial" w:cs="Arial"/>
          <w:color w:val="000000"/>
          <w:sz w:val="22"/>
          <w:szCs w:val="22"/>
        </w:rPr>
        <w:t>Data analysis involved quantitative examination of the NC II results to identify specific areas where students demonstrated weaknesses. The steps included: a) Organizing data by competency units (e.g., arc striking, bead formation, equipment handling, safety procedures), b) Calculating frequencies and percentages of students who were “Competent” and “Not Yet Competent” in each unit, c) Ranking competencies based on the number of students with low scores or “Not Yet Competent” results to highlight the least mastered skills, and d) Identifying performance trends to determine recurring difficulties across the cohort. The results of this analysis served as a basis for recommending targeted training enhancements to strengthen student proficiency in the identified weak areas. Descriptive statistics such as frequency tables, percentages, and simple charts were used to clearly present the findings (Creswell &amp; Poth, 2018; Distance Learning Institute, 2025).</w:t>
      </w:r>
    </w:p>
    <w:p w14:paraId="2445A391" w14:textId="77777777" w:rsidR="00CB6DE3" w:rsidRPr="00CB6DE3" w:rsidRDefault="00CB6DE3" w:rsidP="00CB6DE3">
      <w:pPr>
        <w:keepNext/>
        <w:keepLines/>
        <w:jc w:val="both"/>
        <w:outlineLvl w:val="0"/>
        <w:rPr>
          <w:rFonts w:ascii="Book Antiqua" w:eastAsia="Book Antiqua" w:hAnsi="Book Antiqua" w:cs="Book Antiqua"/>
          <w:b/>
          <w:color w:val="000000"/>
        </w:rPr>
      </w:pPr>
    </w:p>
    <w:p w14:paraId="566C3BC3" w14:textId="58423034" w:rsidR="00902823" w:rsidRPr="00F1794A" w:rsidRDefault="00F1794A" w:rsidP="00CB6DE3">
      <w:pPr>
        <w:pStyle w:val="Body"/>
        <w:spacing w:after="0"/>
        <w:rPr>
          <w:rFonts w:ascii="Arial" w:hAnsi="Arial" w:cs="Arial"/>
          <w:b/>
          <w:bCs/>
        </w:rPr>
      </w:pPr>
      <w:r w:rsidRPr="00F1794A">
        <w:rPr>
          <w:rFonts w:ascii="Arial" w:hAnsi="Arial" w:cs="Arial"/>
          <w:b/>
          <w:bCs/>
        </w:rPr>
        <w:t>3. RESULTS AND DISCUSSION</w:t>
      </w:r>
    </w:p>
    <w:p w14:paraId="113D8EDF" w14:textId="77777777" w:rsidR="00790ADA" w:rsidRPr="00FB3A86" w:rsidRDefault="00790ADA" w:rsidP="00441B6F">
      <w:pPr>
        <w:pStyle w:val="Head1"/>
        <w:spacing w:after="0"/>
        <w:jc w:val="both"/>
        <w:rPr>
          <w:rFonts w:ascii="Arial" w:hAnsi="Arial" w:cs="Arial"/>
        </w:rPr>
      </w:pPr>
    </w:p>
    <w:p w14:paraId="6BA0ED97" w14:textId="77777777" w:rsidR="00906F8D" w:rsidRPr="00F1794A" w:rsidRDefault="00906F8D" w:rsidP="00906F8D">
      <w:pPr>
        <w:ind w:right="49"/>
        <w:jc w:val="both"/>
        <w:rPr>
          <w:rFonts w:ascii="Arial" w:eastAsia="Book Antiqua" w:hAnsi="Arial" w:cs="Arial"/>
          <w:color w:val="000000"/>
          <w:sz w:val="22"/>
          <w:szCs w:val="22"/>
          <w:lang w:val="en-PH"/>
        </w:rPr>
      </w:pPr>
      <w:r w:rsidRPr="00F1794A">
        <w:rPr>
          <w:rFonts w:ascii="Arial" w:eastAsia="Book Antiqua" w:hAnsi="Arial" w:cs="Arial"/>
          <w:color w:val="000000"/>
          <w:sz w:val="22"/>
          <w:szCs w:val="22"/>
          <w:lang w:val="en-PH"/>
        </w:rPr>
        <w:t>This chapter presents and interprets the findings of the study, focusing on the performance of Grade 12 SMAW students based on their NC II assessment results. The analysis highlights the specific competency areas where students demonstrated strengths and where challenges were observed, providing a comprehensive view of overall skill mastery. By examining task-level performance, the study identifies patterns and trends that reveal which aspects of the Shielded Metal Arc Welding process are most difficult for learners.</w:t>
      </w:r>
    </w:p>
    <w:p w14:paraId="17C79C9D" w14:textId="77777777" w:rsidR="00906F8D" w:rsidRPr="00906F8D" w:rsidRDefault="00906F8D" w:rsidP="00906F8D">
      <w:pPr>
        <w:jc w:val="both"/>
        <w:rPr>
          <w:rFonts w:ascii="Arial" w:eastAsia="Book Antiqua" w:hAnsi="Arial" w:cs="Arial"/>
          <w:b/>
          <w:bCs/>
          <w:color w:val="000000"/>
          <w:sz w:val="22"/>
          <w:szCs w:val="22"/>
        </w:rPr>
      </w:pPr>
    </w:p>
    <w:p w14:paraId="5FCFF618" w14:textId="77777777" w:rsidR="00906F8D" w:rsidRPr="00906F8D" w:rsidRDefault="00906F8D" w:rsidP="00906F8D">
      <w:pPr>
        <w:keepNext/>
        <w:keepLines/>
        <w:jc w:val="both"/>
        <w:outlineLvl w:val="0"/>
        <w:rPr>
          <w:rFonts w:ascii="Arial" w:eastAsia="Book Antiqua" w:hAnsi="Arial" w:cs="Arial"/>
          <w:b/>
          <w:bCs/>
          <w:color w:val="000000"/>
          <w:sz w:val="22"/>
          <w:szCs w:val="22"/>
        </w:rPr>
      </w:pPr>
      <w:r w:rsidRPr="00906F8D">
        <w:rPr>
          <w:rFonts w:ascii="Arial" w:eastAsia="Book Antiqua" w:hAnsi="Arial" w:cs="Arial"/>
          <w:b/>
          <w:bCs/>
          <w:color w:val="000000"/>
          <w:sz w:val="22"/>
          <w:szCs w:val="22"/>
        </w:rPr>
        <w:t xml:space="preserve">3.1 National Certification II (NCII) Assessment Result </w:t>
      </w:r>
    </w:p>
    <w:p w14:paraId="4820E65D" w14:textId="77777777" w:rsidR="00906F8D" w:rsidRPr="00F1794A" w:rsidRDefault="00906F8D" w:rsidP="00906F8D">
      <w:pPr>
        <w:jc w:val="both"/>
        <w:rPr>
          <w:rFonts w:ascii="Arial" w:eastAsia="Book Antiqua" w:hAnsi="Arial" w:cs="Arial"/>
          <w:b/>
          <w:bCs/>
          <w:i/>
          <w:iCs/>
          <w:color w:val="000000"/>
          <w:sz w:val="22"/>
          <w:szCs w:val="22"/>
        </w:rPr>
      </w:pPr>
      <w:r w:rsidRPr="00F1794A">
        <w:rPr>
          <w:rFonts w:ascii="Arial" w:eastAsia="Book Antiqua" w:hAnsi="Arial" w:cs="Arial"/>
          <w:b/>
          <w:bCs/>
          <w:i/>
          <w:iCs/>
          <w:color w:val="000000"/>
          <w:sz w:val="22"/>
          <w:szCs w:val="22"/>
        </w:rPr>
        <w:t>Performance of Grade 12 Students in SMAW NC II</w:t>
      </w:r>
    </w:p>
    <w:p w14:paraId="313249FD" w14:textId="77777777" w:rsidR="00906F8D" w:rsidRPr="00F1794A" w:rsidRDefault="00906F8D" w:rsidP="00906F8D">
      <w:pPr>
        <w:jc w:val="both"/>
        <w:rPr>
          <w:rFonts w:ascii="Arial" w:eastAsia="Book Antiqua" w:hAnsi="Arial" w:cs="Arial"/>
          <w:color w:val="000000"/>
          <w:sz w:val="22"/>
          <w:szCs w:val="22"/>
        </w:rPr>
      </w:pPr>
      <w:r w:rsidRPr="00F1794A">
        <w:rPr>
          <w:rFonts w:ascii="Arial" w:eastAsia="Book Antiqua" w:hAnsi="Arial" w:cs="Arial"/>
          <w:color w:val="000000"/>
          <w:sz w:val="22"/>
          <w:szCs w:val="22"/>
        </w:rPr>
        <w:t>Table 1 presents the overall performance of Grade 12 students in the SMAW NC II assessment, focusing on the core competency of welding carbon steel plates and pipes in the 6G position. Out of the 20 students evaluated, 19 (95%) were classified as “Competent,” while only 1 student (5%) was rated as “Not Yet Competent.” This indicates a high passing rate, suggesting that most students were able to meet the required minimum competency standards. The results imply that the majority of the students demonstrated the ability to perform the root pass effectively in accordance with the Welding Procedure Specification (WPS). This includes the application of proper welding techniques, adherence to safety protocols, inspection for defects, and compliance with established welding standards. Moreover, the students exhibited competence in cleaning the root pass by removing slag, spatter, and other visible imperfections. This reflects their ability to maintain cleanliness, ensure the absence of discontinuities, and follow the prescribed WPS procedures. In addition, the findings show that the students were capable of executing subsequent or filling passes, applying appropriate welding techniques to build up the joint while maintaining weld quality and checking for defects to meet acceptable standards. Furthermore, the students demonstrated proficiency in performing the capping pass, which involves completing the final weld layer with proper appearance, uniformity, and structural integrity. This includes producing visually acceptable welds and conducting necessary inspection and corrections when defects are identified.</w:t>
      </w:r>
    </w:p>
    <w:p w14:paraId="714D3E55" w14:textId="77777777" w:rsidR="00906F8D" w:rsidRPr="00F1794A" w:rsidRDefault="00906F8D" w:rsidP="00906F8D">
      <w:pPr>
        <w:jc w:val="both"/>
        <w:rPr>
          <w:rFonts w:ascii="Arial" w:eastAsia="Book Antiqua" w:hAnsi="Arial" w:cs="Arial"/>
          <w:color w:val="000000"/>
          <w:sz w:val="22"/>
          <w:szCs w:val="22"/>
        </w:rPr>
      </w:pPr>
    </w:p>
    <w:p w14:paraId="5C0DEDBA" w14:textId="13482C3E" w:rsidR="00906F8D" w:rsidRPr="00F1794A" w:rsidRDefault="00906F8D" w:rsidP="00906F8D">
      <w:pPr>
        <w:jc w:val="both"/>
        <w:rPr>
          <w:rFonts w:ascii="Arial" w:eastAsia="Book Antiqua" w:hAnsi="Arial" w:cs="Arial"/>
          <w:color w:val="000000"/>
          <w:sz w:val="22"/>
          <w:szCs w:val="22"/>
        </w:rPr>
      </w:pPr>
      <w:r w:rsidRPr="00F1794A">
        <w:rPr>
          <w:rFonts w:ascii="Arial" w:eastAsia="Book Antiqua" w:hAnsi="Arial" w:cs="Arial"/>
          <w:color w:val="000000"/>
          <w:sz w:val="22"/>
          <w:szCs w:val="22"/>
        </w:rPr>
        <w:t xml:space="preserve">The high level of competency observed among the students reflects the effectiveness of competency-based training implemented in technical-vocational education. Competency-based education focuses on the development of practical skills and the demonstration of task performance aligned with industry standards, ensuring that learners are work-ready (Yoshida, 2025). In the context of welding, achieving </w:t>
      </w:r>
    </w:p>
    <w:p w14:paraId="3B5D3166" w14:textId="27FAD018" w:rsidR="00906F8D" w:rsidRPr="00F1794A" w:rsidRDefault="00906F8D" w:rsidP="00906F8D">
      <w:pPr>
        <w:jc w:val="both"/>
        <w:rPr>
          <w:rFonts w:ascii="Arial" w:eastAsia="Book Antiqua" w:hAnsi="Arial" w:cs="Arial"/>
          <w:color w:val="000000"/>
          <w:sz w:val="22"/>
          <w:szCs w:val="22"/>
        </w:rPr>
      </w:pPr>
      <w:r w:rsidRPr="00F1794A">
        <w:rPr>
          <w:rFonts w:ascii="Arial" w:eastAsia="Book Antiqua" w:hAnsi="Arial" w:cs="Arial"/>
          <w:color w:val="000000"/>
          <w:sz w:val="22"/>
          <w:szCs w:val="22"/>
        </w:rPr>
        <w:t xml:space="preserve"> </w:t>
      </w:r>
    </w:p>
    <w:p w14:paraId="2F71E007" w14:textId="4521A819" w:rsidR="00863BD3" w:rsidRPr="00F1794A" w:rsidRDefault="009500A6" w:rsidP="00441B6F">
      <w:pPr>
        <w:tabs>
          <w:tab w:val="left" w:pos="1080"/>
        </w:tabs>
        <w:jc w:val="both"/>
        <w:rPr>
          <w:rFonts w:ascii="Arial" w:eastAsia="Book Antiqua" w:hAnsi="Arial" w:cs="Arial"/>
          <w:b/>
          <w:bCs/>
          <w:color w:val="000000"/>
          <w:sz w:val="22"/>
          <w:szCs w:val="22"/>
        </w:rPr>
      </w:pPr>
      <w:r w:rsidRPr="00F1794A">
        <w:rPr>
          <w:rFonts w:ascii="Arial" w:hAnsi="Arial" w:cs="Arial"/>
          <w:b/>
          <w:sz w:val="22"/>
          <w:szCs w:val="22"/>
        </w:rPr>
        <w:t>Table 1.</w:t>
      </w:r>
      <w:r w:rsidR="00863BD3" w:rsidRPr="00F1794A">
        <w:rPr>
          <w:rFonts w:ascii="Arial" w:hAnsi="Arial" w:cs="Arial"/>
          <w:b/>
          <w:sz w:val="22"/>
          <w:szCs w:val="22"/>
        </w:rPr>
        <w:tab/>
      </w:r>
      <w:r w:rsidR="00906F8D" w:rsidRPr="00F1794A">
        <w:rPr>
          <w:rFonts w:ascii="Arial" w:eastAsia="Book Antiqua" w:hAnsi="Arial" w:cs="Arial"/>
          <w:b/>
          <w:bCs/>
          <w:color w:val="000000"/>
          <w:sz w:val="22"/>
          <w:szCs w:val="22"/>
        </w:rPr>
        <w:t>Performance of Grade 12 Students in SMAW NC II (n = 20)</w:t>
      </w:r>
    </w:p>
    <w:p w14:paraId="373A910A" w14:textId="77777777" w:rsidR="00906F8D" w:rsidRPr="00F1794A" w:rsidRDefault="00906F8D" w:rsidP="00441B6F">
      <w:pPr>
        <w:tabs>
          <w:tab w:val="left" w:pos="1080"/>
        </w:tabs>
        <w:jc w:val="both"/>
        <w:rPr>
          <w:rFonts w:ascii="Arial" w:hAnsi="Arial" w:cs="Arial"/>
          <w:b/>
          <w:sz w:val="22"/>
          <w:szCs w:val="22"/>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019"/>
        <w:gridCol w:w="1329"/>
        <w:gridCol w:w="2920"/>
      </w:tblGrid>
      <w:tr w:rsidR="00906F8D" w:rsidRPr="00F1794A" w14:paraId="64F76F39" w14:textId="77777777" w:rsidTr="00906F8D">
        <w:trPr>
          <w:jc w:val="center"/>
        </w:trPr>
        <w:tc>
          <w:tcPr>
            <w:tcW w:w="3150" w:type="dxa"/>
            <w:tcBorders>
              <w:top w:val="single" w:sz="4" w:space="0" w:color="auto"/>
              <w:bottom w:val="single" w:sz="4" w:space="0" w:color="auto"/>
              <w:right w:val="single" w:sz="4" w:space="0" w:color="auto"/>
            </w:tcBorders>
          </w:tcPr>
          <w:p w14:paraId="777E9362" w14:textId="77777777" w:rsidR="00906F8D" w:rsidRPr="00F1794A" w:rsidRDefault="00906F8D" w:rsidP="00906F8D">
            <w:pPr>
              <w:jc w:val="both"/>
              <w:rPr>
                <w:rFonts w:ascii="Arial" w:hAnsi="Arial" w:cs="Arial"/>
                <w:b/>
                <w:sz w:val="22"/>
                <w:szCs w:val="22"/>
              </w:rPr>
            </w:pPr>
            <w:r w:rsidRPr="00F1794A">
              <w:rPr>
                <w:rFonts w:ascii="Arial" w:hAnsi="Arial" w:cs="Arial"/>
                <w:b/>
                <w:sz w:val="22"/>
                <w:szCs w:val="22"/>
              </w:rPr>
              <w:t>Assessment Result</w:t>
            </w:r>
          </w:p>
        </w:tc>
        <w:tc>
          <w:tcPr>
            <w:tcW w:w="1067" w:type="dxa"/>
            <w:tcBorders>
              <w:top w:val="single" w:sz="4" w:space="0" w:color="auto"/>
              <w:bottom w:val="single" w:sz="4" w:space="0" w:color="auto"/>
              <w:right w:val="single" w:sz="4" w:space="0" w:color="auto"/>
            </w:tcBorders>
          </w:tcPr>
          <w:p w14:paraId="4DE8FDA1" w14:textId="77777777" w:rsidR="00906F8D" w:rsidRPr="00F1794A" w:rsidRDefault="00906F8D" w:rsidP="00906F8D">
            <w:pPr>
              <w:jc w:val="both"/>
              <w:rPr>
                <w:rFonts w:ascii="Arial" w:hAnsi="Arial" w:cs="Arial"/>
                <w:b/>
                <w:bCs/>
                <w:sz w:val="22"/>
                <w:szCs w:val="22"/>
              </w:rPr>
            </w:pPr>
            <w:r w:rsidRPr="00F1794A">
              <w:rPr>
                <w:rFonts w:ascii="Arial" w:hAnsi="Arial" w:cs="Arial"/>
                <w:b/>
                <w:bCs/>
                <w:sz w:val="22"/>
                <w:szCs w:val="22"/>
              </w:rPr>
              <w:t>Frequency (f)</w:t>
            </w:r>
          </w:p>
        </w:tc>
        <w:tc>
          <w:tcPr>
            <w:tcW w:w="3051" w:type="dxa"/>
            <w:tcBorders>
              <w:top w:val="single" w:sz="4" w:space="0" w:color="auto"/>
              <w:bottom w:val="single" w:sz="4" w:space="0" w:color="auto"/>
            </w:tcBorders>
          </w:tcPr>
          <w:p w14:paraId="7E56DA08" w14:textId="77777777" w:rsidR="00906F8D" w:rsidRPr="00F1794A" w:rsidRDefault="00906F8D" w:rsidP="00906F8D">
            <w:pPr>
              <w:jc w:val="both"/>
              <w:rPr>
                <w:rFonts w:ascii="Arial" w:hAnsi="Arial" w:cs="Arial"/>
                <w:b/>
                <w:bCs/>
                <w:sz w:val="22"/>
                <w:szCs w:val="22"/>
              </w:rPr>
            </w:pPr>
            <w:r w:rsidRPr="00F1794A">
              <w:rPr>
                <w:rFonts w:ascii="Arial" w:hAnsi="Arial" w:cs="Arial"/>
                <w:b/>
                <w:bCs/>
                <w:sz w:val="22"/>
                <w:szCs w:val="22"/>
              </w:rPr>
              <w:t>Percentage (%)</w:t>
            </w:r>
          </w:p>
        </w:tc>
      </w:tr>
    </w:tbl>
    <w:tbl>
      <w:tblPr>
        <w:tblStyle w:val="TableGrid"/>
        <w:tblW w:w="0" w:type="auto"/>
        <w:tblBorders>
          <w:top w:val="double" w:sz="12" w:space="0" w:color="auto"/>
          <w:left w:val="none" w:sz="0" w:space="0" w:color="auto"/>
          <w:bottom w:val="double" w:sz="12" w:space="0" w:color="auto"/>
          <w:right w:val="none" w:sz="0" w:space="0" w:color="auto"/>
          <w:insideH w:val="none" w:sz="0" w:space="0" w:color="auto"/>
          <w:insideV w:val="none" w:sz="0" w:space="0" w:color="auto"/>
        </w:tblBorders>
        <w:tblLook w:val="04A0" w:firstRow="1" w:lastRow="0" w:firstColumn="1" w:lastColumn="0" w:noHBand="0" w:noVBand="1"/>
      </w:tblPr>
      <w:tblGrid>
        <w:gridCol w:w="2811"/>
        <w:gridCol w:w="2672"/>
        <w:gridCol w:w="2725"/>
      </w:tblGrid>
      <w:tr w:rsidR="00906F8D" w:rsidRPr="00F1794A" w14:paraId="64C432D6" w14:textId="77777777" w:rsidTr="00906F8D">
        <w:tc>
          <w:tcPr>
            <w:tcW w:w="8424" w:type="dxa"/>
            <w:gridSpan w:val="3"/>
            <w:tcBorders>
              <w:top w:val="single" w:sz="4" w:space="0" w:color="auto"/>
            </w:tcBorders>
          </w:tcPr>
          <w:p w14:paraId="0372C38A" w14:textId="77777777" w:rsidR="00906F8D" w:rsidRPr="00F1794A" w:rsidRDefault="00906F8D" w:rsidP="001357D6">
            <w:pPr>
              <w:rPr>
                <w:rFonts w:ascii="Arial" w:hAnsi="Arial" w:cs="Arial"/>
              </w:rPr>
            </w:pPr>
            <w:r w:rsidRPr="00F1794A">
              <w:rPr>
                <w:rFonts w:ascii="Arial" w:hAnsi="Arial" w:cs="Arial"/>
                <w:b/>
                <w:bCs/>
              </w:rPr>
              <w:t>Core Competency</w:t>
            </w:r>
            <w:r w:rsidRPr="00F1794A">
              <w:rPr>
                <w:rFonts w:ascii="Arial" w:hAnsi="Arial" w:cs="Arial"/>
              </w:rPr>
              <w:t>: Weld carbon steel plate and pipes using SMAW 6G</w:t>
            </w:r>
          </w:p>
        </w:tc>
      </w:tr>
      <w:tr w:rsidR="00906F8D" w:rsidRPr="00F1794A" w14:paraId="5A6C82B8" w14:textId="77777777" w:rsidTr="00906F8D">
        <w:tc>
          <w:tcPr>
            <w:tcW w:w="2869" w:type="dxa"/>
            <w:tcBorders>
              <w:top w:val="single" w:sz="4" w:space="0" w:color="auto"/>
            </w:tcBorders>
          </w:tcPr>
          <w:p w14:paraId="55DF344D" w14:textId="77777777" w:rsidR="00906F8D" w:rsidRPr="00F1794A" w:rsidRDefault="00906F8D" w:rsidP="001357D6">
            <w:pPr>
              <w:rPr>
                <w:rFonts w:ascii="Arial" w:hAnsi="Arial" w:cs="Arial"/>
              </w:rPr>
            </w:pPr>
            <w:r w:rsidRPr="00F1794A">
              <w:rPr>
                <w:rFonts w:ascii="Arial" w:hAnsi="Arial" w:cs="Arial"/>
              </w:rPr>
              <w:t xml:space="preserve">Competent </w:t>
            </w:r>
          </w:p>
        </w:tc>
        <w:tc>
          <w:tcPr>
            <w:tcW w:w="2756" w:type="dxa"/>
            <w:tcBorders>
              <w:top w:val="single" w:sz="4" w:space="0" w:color="auto"/>
            </w:tcBorders>
          </w:tcPr>
          <w:p w14:paraId="6EE651C6" w14:textId="77777777" w:rsidR="00906F8D" w:rsidRPr="00F1794A" w:rsidRDefault="00906F8D" w:rsidP="001357D6">
            <w:pPr>
              <w:jc w:val="center"/>
              <w:rPr>
                <w:rFonts w:ascii="Arial" w:hAnsi="Arial" w:cs="Arial"/>
              </w:rPr>
            </w:pPr>
            <w:r w:rsidRPr="00F1794A">
              <w:rPr>
                <w:rFonts w:ascii="Arial" w:hAnsi="Arial" w:cs="Arial"/>
              </w:rPr>
              <w:t>19</w:t>
            </w:r>
          </w:p>
        </w:tc>
        <w:tc>
          <w:tcPr>
            <w:tcW w:w="2799" w:type="dxa"/>
            <w:tcBorders>
              <w:top w:val="single" w:sz="4" w:space="0" w:color="auto"/>
            </w:tcBorders>
          </w:tcPr>
          <w:p w14:paraId="14DC1709" w14:textId="77777777" w:rsidR="00906F8D" w:rsidRPr="00F1794A" w:rsidRDefault="00906F8D" w:rsidP="001357D6">
            <w:pPr>
              <w:jc w:val="center"/>
              <w:rPr>
                <w:rFonts w:ascii="Arial" w:hAnsi="Arial" w:cs="Arial"/>
              </w:rPr>
            </w:pPr>
            <w:r w:rsidRPr="00F1794A">
              <w:rPr>
                <w:rFonts w:ascii="Arial" w:hAnsi="Arial" w:cs="Arial"/>
              </w:rPr>
              <w:t>95%</w:t>
            </w:r>
          </w:p>
        </w:tc>
      </w:tr>
      <w:tr w:rsidR="00906F8D" w:rsidRPr="00F1794A" w14:paraId="2221B779" w14:textId="77777777" w:rsidTr="00906F8D">
        <w:tc>
          <w:tcPr>
            <w:tcW w:w="2869" w:type="dxa"/>
          </w:tcPr>
          <w:p w14:paraId="0FDFAD81" w14:textId="77777777" w:rsidR="00906F8D" w:rsidRPr="00F1794A" w:rsidRDefault="00906F8D" w:rsidP="001357D6">
            <w:pPr>
              <w:rPr>
                <w:rFonts w:ascii="Arial" w:hAnsi="Arial" w:cs="Arial"/>
              </w:rPr>
            </w:pPr>
            <w:r w:rsidRPr="00F1794A">
              <w:rPr>
                <w:rFonts w:ascii="Arial" w:hAnsi="Arial" w:cs="Arial"/>
              </w:rPr>
              <w:t xml:space="preserve">Not Yet Competent </w:t>
            </w:r>
          </w:p>
        </w:tc>
        <w:tc>
          <w:tcPr>
            <w:tcW w:w="2756" w:type="dxa"/>
          </w:tcPr>
          <w:p w14:paraId="130FED7B" w14:textId="77777777" w:rsidR="00906F8D" w:rsidRPr="00F1794A" w:rsidRDefault="00906F8D" w:rsidP="001357D6">
            <w:pPr>
              <w:jc w:val="center"/>
              <w:rPr>
                <w:rFonts w:ascii="Arial" w:hAnsi="Arial" w:cs="Arial"/>
              </w:rPr>
            </w:pPr>
            <w:r w:rsidRPr="00F1794A">
              <w:rPr>
                <w:rFonts w:ascii="Arial" w:hAnsi="Arial" w:cs="Arial"/>
              </w:rPr>
              <w:t>1</w:t>
            </w:r>
          </w:p>
        </w:tc>
        <w:tc>
          <w:tcPr>
            <w:tcW w:w="2799" w:type="dxa"/>
          </w:tcPr>
          <w:p w14:paraId="65164353" w14:textId="77777777" w:rsidR="00906F8D" w:rsidRPr="00F1794A" w:rsidRDefault="00906F8D" w:rsidP="001357D6">
            <w:pPr>
              <w:jc w:val="center"/>
              <w:rPr>
                <w:rFonts w:ascii="Arial" w:hAnsi="Arial" w:cs="Arial"/>
              </w:rPr>
            </w:pPr>
            <w:r w:rsidRPr="00F1794A">
              <w:rPr>
                <w:rFonts w:ascii="Arial" w:hAnsi="Arial" w:cs="Arial"/>
              </w:rPr>
              <w:t>5%</w:t>
            </w:r>
          </w:p>
        </w:tc>
      </w:tr>
      <w:tr w:rsidR="00906F8D" w:rsidRPr="00F1794A" w14:paraId="38CB69C4" w14:textId="77777777" w:rsidTr="00906F8D">
        <w:tc>
          <w:tcPr>
            <w:tcW w:w="2869" w:type="dxa"/>
          </w:tcPr>
          <w:p w14:paraId="02885B27" w14:textId="77777777" w:rsidR="00906F8D" w:rsidRPr="00F1794A" w:rsidRDefault="00906F8D" w:rsidP="001357D6">
            <w:pPr>
              <w:rPr>
                <w:rFonts w:ascii="Arial" w:hAnsi="Arial" w:cs="Arial"/>
              </w:rPr>
            </w:pPr>
            <w:r w:rsidRPr="00F1794A">
              <w:rPr>
                <w:rFonts w:ascii="Arial" w:hAnsi="Arial" w:cs="Arial"/>
              </w:rPr>
              <w:t>Total</w:t>
            </w:r>
          </w:p>
        </w:tc>
        <w:tc>
          <w:tcPr>
            <w:tcW w:w="2756" w:type="dxa"/>
          </w:tcPr>
          <w:p w14:paraId="441D9181" w14:textId="77777777" w:rsidR="00906F8D" w:rsidRPr="00F1794A" w:rsidRDefault="00906F8D" w:rsidP="001357D6">
            <w:pPr>
              <w:jc w:val="center"/>
              <w:rPr>
                <w:rFonts w:ascii="Arial" w:hAnsi="Arial" w:cs="Arial"/>
              </w:rPr>
            </w:pPr>
            <w:r w:rsidRPr="00F1794A">
              <w:rPr>
                <w:rFonts w:ascii="Arial" w:hAnsi="Arial" w:cs="Arial"/>
              </w:rPr>
              <w:t>20</w:t>
            </w:r>
          </w:p>
        </w:tc>
        <w:tc>
          <w:tcPr>
            <w:tcW w:w="2799" w:type="dxa"/>
          </w:tcPr>
          <w:p w14:paraId="3D63CD65" w14:textId="77777777" w:rsidR="00906F8D" w:rsidRPr="00F1794A" w:rsidRDefault="00906F8D" w:rsidP="001357D6">
            <w:pPr>
              <w:jc w:val="center"/>
              <w:rPr>
                <w:rFonts w:ascii="Arial" w:hAnsi="Arial" w:cs="Arial"/>
              </w:rPr>
            </w:pPr>
            <w:r w:rsidRPr="00F1794A">
              <w:rPr>
                <w:rFonts w:ascii="Arial" w:hAnsi="Arial" w:cs="Arial"/>
              </w:rPr>
              <w:t>100%</w:t>
            </w:r>
          </w:p>
        </w:tc>
      </w:tr>
    </w:tbl>
    <w:p w14:paraId="034E704D" w14:textId="77777777" w:rsidR="00F1794A" w:rsidRDefault="00F1794A" w:rsidP="00906F8D">
      <w:pPr>
        <w:jc w:val="both"/>
        <w:rPr>
          <w:rFonts w:ascii="Arial" w:eastAsia="Book Antiqua" w:hAnsi="Arial" w:cs="Arial"/>
          <w:b/>
          <w:bCs/>
          <w:color w:val="000000"/>
          <w:sz w:val="22"/>
          <w:szCs w:val="22"/>
        </w:rPr>
      </w:pPr>
    </w:p>
    <w:p w14:paraId="68826989" w14:textId="6749D5AD" w:rsidR="0054374A" w:rsidRDefault="0054374A" w:rsidP="00906F8D">
      <w:pPr>
        <w:jc w:val="both"/>
        <w:rPr>
          <w:rFonts w:ascii="Arial" w:eastAsia="Book Antiqua" w:hAnsi="Arial" w:cs="Arial"/>
          <w:color w:val="000000"/>
          <w:sz w:val="22"/>
          <w:szCs w:val="22"/>
        </w:rPr>
      </w:pPr>
      <w:r w:rsidRPr="0054374A">
        <w:rPr>
          <w:rFonts w:ascii="Arial" w:eastAsia="Book Antiqua" w:hAnsi="Arial" w:cs="Arial"/>
          <w:color w:val="000000"/>
          <w:sz w:val="22"/>
          <w:szCs w:val="22"/>
        </w:rPr>
        <w:lastRenderedPageBreak/>
        <w:t>competency in the 6G position, a highly advanced and industry-relevant welding skill, indicates that students possess a substantial level of technical proficiency required in real-world applications. Furthermore, the result supports the role of certification systems such as those implemented by Technical Education and Skills Development</w:t>
      </w:r>
    </w:p>
    <w:p w14:paraId="0343D8E3" w14:textId="7CEE9977" w:rsidR="00906F8D" w:rsidRPr="00F1794A" w:rsidRDefault="00F1794A" w:rsidP="00906F8D">
      <w:pPr>
        <w:jc w:val="both"/>
        <w:rPr>
          <w:rFonts w:ascii="Arial" w:eastAsia="Book Antiqua" w:hAnsi="Arial" w:cs="Arial"/>
          <w:color w:val="000000"/>
          <w:sz w:val="22"/>
          <w:szCs w:val="22"/>
        </w:rPr>
      </w:pPr>
      <w:r w:rsidRPr="00F1794A">
        <w:rPr>
          <w:rFonts w:ascii="Arial" w:eastAsia="Book Antiqua" w:hAnsi="Arial" w:cs="Arial"/>
          <w:color w:val="000000"/>
          <w:sz w:val="22"/>
          <w:szCs w:val="22"/>
        </w:rPr>
        <w:t xml:space="preserve">Authority in maintaining quality standards in vocational education. According to TESDA, National Certificates are awarded to individuals who demonstrate competence in all required units of a qualification, ensuring alignment with industry expectations and employability </w:t>
      </w:r>
      <w:r w:rsidR="00906F8D" w:rsidRPr="00F1794A">
        <w:rPr>
          <w:rFonts w:ascii="Arial" w:eastAsia="Book Antiqua" w:hAnsi="Arial" w:cs="Arial"/>
          <w:color w:val="000000"/>
          <w:sz w:val="22"/>
          <w:szCs w:val="22"/>
        </w:rPr>
        <w:t>requirements. This implies that the 95% competency rate among students may translate to increased opportunities for employment in sectors such as construction, manufacturing, and shipbuilding.</w:t>
      </w:r>
    </w:p>
    <w:p w14:paraId="5CE41EDB" w14:textId="77777777" w:rsidR="00906F8D" w:rsidRPr="00F1794A" w:rsidRDefault="00906F8D" w:rsidP="00906F8D">
      <w:pPr>
        <w:jc w:val="both"/>
        <w:rPr>
          <w:rFonts w:ascii="Arial" w:eastAsia="Book Antiqua" w:hAnsi="Arial" w:cs="Arial"/>
          <w:color w:val="000000"/>
          <w:sz w:val="22"/>
          <w:szCs w:val="22"/>
        </w:rPr>
      </w:pPr>
    </w:p>
    <w:p w14:paraId="36809FB6" w14:textId="77777777" w:rsidR="00906F8D" w:rsidRPr="00F1794A" w:rsidRDefault="00906F8D" w:rsidP="00906F8D">
      <w:pPr>
        <w:jc w:val="both"/>
        <w:rPr>
          <w:rFonts w:ascii="Arial" w:eastAsia="Book Antiqua" w:hAnsi="Arial" w:cs="Arial"/>
          <w:color w:val="000000"/>
          <w:sz w:val="22"/>
          <w:szCs w:val="22"/>
        </w:rPr>
      </w:pPr>
      <w:r w:rsidRPr="00F1794A">
        <w:rPr>
          <w:rFonts w:ascii="Arial" w:eastAsia="Book Antiqua" w:hAnsi="Arial" w:cs="Arial"/>
          <w:color w:val="000000"/>
          <w:sz w:val="22"/>
          <w:szCs w:val="22"/>
        </w:rPr>
        <w:t>However, while the overall result indicates a high level of achievement, it is important to note that competency-based assessments provide a binary outcome (Competent or Not Yet Competent), which may not fully capture variations in skill mastery among students. Previous studies have emphasized that even when learners meet minimum competency standards, there may still be underlying gaps in specific skills that require further development (</w:t>
      </w:r>
      <w:proofErr w:type="spellStart"/>
      <w:r w:rsidRPr="00F1794A">
        <w:rPr>
          <w:rFonts w:ascii="Arial" w:eastAsia="Book Antiqua" w:hAnsi="Arial" w:cs="Arial"/>
          <w:color w:val="000000"/>
          <w:sz w:val="22"/>
          <w:szCs w:val="22"/>
        </w:rPr>
        <w:t>Marope</w:t>
      </w:r>
      <w:proofErr w:type="spellEnd"/>
      <w:r w:rsidRPr="00F1794A">
        <w:rPr>
          <w:rFonts w:ascii="Arial" w:eastAsia="Book Antiqua" w:hAnsi="Arial" w:cs="Arial"/>
          <w:color w:val="000000"/>
          <w:sz w:val="22"/>
          <w:szCs w:val="22"/>
        </w:rPr>
        <w:t xml:space="preserve"> et al., 2015; Kilag et al., 2024). This suggests that relying solely on overall pass rates may overlook areas where students experience difficulty. The result implies that despite the high percentage of students who passed the assessment, further analysis at the competency level is necessary to identify specific areas needing improvement. Such detailed examination provides a more comprehensive understanding of student performance and serves as a basis for developing targeted training enhancements to strengthen welding competencies.</w:t>
      </w:r>
    </w:p>
    <w:p w14:paraId="7F7BE606" w14:textId="77777777" w:rsidR="00906F8D" w:rsidRPr="00906F8D" w:rsidRDefault="00906F8D" w:rsidP="00906F8D">
      <w:pPr>
        <w:jc w:val="both"/>
        <w:rPr>
          <w:rFonts w:ascii="Arial" w:eastAsia="Book Antiqua" w:hAnsi="Arial" w:cs="Arial"/>
          <w:b/>
          <w:bCs/>
          <w:color w:val="000000"/>
          <w:sz w:val="22"/>
          <w:szCs w:val="22"/>
        </w:rPr>
      </w:pPr>
    </w:p>
    <w:p w14:paraId="4F347D5F" w14:textId="77777777" w:rsidR="00906F8D" w:rsidRPr="00906F8D" w:rsidRDefault="00906F8D" w:rsidP="00906F8D">
      <w:pPr>
        <w:jc w:val="both"/>
        <w:rPr>
          <w:rFonts w:ascii="Arial" w:eastAsia="Book Antiqua" w:hAnsi="Arial" w:cs="Arial"/>
          <w:b/>
          <w:bCs/>
          <w:i/>
          <w:iCs/>
          <w:color w:val="000000"/>
          <w:sz w:val="22"/>
          <w:szCs w:val="22"/>
        </w:rPr>
      </w:pPr>
      <w:r w:rsidRPr="00906F8D">
        <w:rPr>
          <w:rFonts w:ascii="Arial" w:eastAsia="Book Antiqua" w:hAnsi="Arial" w:cs="Arial"/>
          <w:b/>
          <w:bCs/>
          <w:i/>
          <w:iCs/>
          <w:color w:val="000000"/>
          <w:sz w:val="22"/>
          <w:szCs w:val="22"/>
        </w:rPr>
        <w:t>3.2. Performance of Grade 12 Students in SMAW NC II by Element and Performance Criteria</w:t>
      </w:r>
    </w:p>
    <w:p w14:paraId="2BBA95D5" w14:textId="0217AFF4" w:rsidR="00906F8D" w:rsidRPr="00F1794A" w:rsidRDefault="00906F8D" w:rsidP="00906F8D">
      <w:pPr>
        <w:jc w:val="both"/>
        <w:rPr>
          <w:rFonts w:ascii="Arial" w:eastAsia="Book Antiqua" w:hAnsi="Arial" w:cs="Arial"/>
          <w:color w:val="000000"/>
          <w:sz w:val="22"/>
          <w:szCs w:val="22"/>
        </w:rPr>
      </w:pPr>
      <w:r w:rsidRPr="00F1794A">
        <w:rPr>
          <w:rFonts w:ascii="Arial" w:eastAsia="Book Antiqua" w:hAnsi="Arial" w:cs="Arial"/>
          <w:color w:val="000000"/>
          <w:sz w:val="22"/>
          <w:szCs w:val="22"/>
        </w:rPr>
        <w:t xml:space="preserve">Table </w:t>
      </w:r>
      <w:r w:rsidR="00685747" w:rsidRPr="00F1794A">
        <w:rPr>
          <w:rFonts w:ascii="Arial" w:eastAsia="Book Antiqua" w:hAnsi="Arial" w:cs="Arial"/>
          <w:color w:val="000000"/>
          <w:sz w:val="22"/>
          <w:szCs w:val="22"/>
        </w:rPr>
        <w:t xml:space="preserve">2 </w:t>
      </w:r>
      <w:r w:rsidRPr="00F1794A">
        <w:rPr>
          <w:rFonts w:ascii="Arial" w:eastAsia="Book Antiqua" w:hAnsi="Arial" w:cs="Arial"/>
          <w:color w:val="000000"/>
          <w:sz w:val="22"/>
          <w:szCs w:val="22"/>
        </w:rPr>
        <w:t>presents the performance of Grade 12 students in SMAW NC II across specific elements and performance criteria, providing a detailed view of competency-level outcomes. The results reveal variations in student performance across the four major elements: performing root pass, cleaning root pass, welding subsequent or filling passes, and performing capping.</w:t>
      </w:r>
    </w:p>
    <w:p w14:paraId="3012CA92" w14:textId="77777777" w:rsidR="00906F8D" w:rsidRPr="00F1794A" w:rsidRDefault="00906F8D" w:rsidP="00906F8D">
      <w:pPr>
        <w:jc w:val="both"/>
        <w:rPr>
          <w:rFonts w:ascii="Arial" w:eastAsia="Book Antiqua" w:hAnsi="Arial" w:cs="Arial"/>
          <w:color w:val="000000"/>
          <w:sz w:val="22"/>
          <w:szCs w:val="22"/>
        </w:rPr>
      </w:pPr>
    </w:p>
    <w:p w14:paraId="7672D495" w14:textId="5ECE00A8" w:rsidR="00F1794A" w:rsidRDefault="00906F8D" w:rsidP="00906F8D">
      <w:pPr>
        <w:jc w:val="both"/>
        <w:rPr>
          <w:rFonts w:ascii="Arial" w:eastAsia="Book Antiqua" w:hAnsi="Arial" w:cs="Arial"/>
          <w:color w:val="000000"/>
          <w:sz w:val="22"/>
          <w:szCs w:val="22"/>
        </w:rPr>
      </w:pPr>
      <w:r w:rsidRPr="00F1794A">
        <w:rPr>
          <w:rFonts w:ascii="Arial" w:eastAsia="Book Antiqua" w:hAnsi="Arial" w:cs="Arial"/>
          <w:color w:val="000000"/>
          <w:sz w:val="22"/>
          <w:szCs w:val="22"/>
        </w:rPr>
        <w:t xml:space="preserve">Among the four elements, Perform Root Pass and Perform Capping emerged as the least mastered competencies. In the root pass, the percentage of students rated as “Competent” ranged from 75% to 85%, with 5 students (25%) experiencing difficulty in executing the root pass according to the Welding Procedure Specification (WPS). Similarly, in the capping process, only 75% of the students demonstrated competence in performing the task according to specifications, while 25% encountered challenges </w:t>
      </w:r>
    </w:p>
    <w:p w14:paraId="14FE9670" w14:textId="77777777" w:rsidR="00F1794A" w:rsidRPr="00F1794A" w:rsidRDefault="00F1794A" w:rsidP="00F1794A">
      <w:pPr>
        <w:ind w:left="720" w:hanging="720"/>
        <w:rPr>
          <w:rFonts w:ascii="Arial" w:eastAsia="Calibri" w:hAnsi="Arial" w:cs="Arial"/>
          <w:b/>
          <w:bCs/>
          <w:kern w:val="2"/>
          <w:sz w:val="22"/>
          <w:szCs w:val="22"/>
          <w:lang w:val="en-PH" w:eastAsia="en-PH"/>
        </w:rPr>
      </w:pPr>
      <w:r w:rsidRPr="00F1794A">
        <w:rPr>
          <w:rFonts w:ascii="Arial" w:eastAsia="Calibri" w:hAnsi="Arial" w:cs="Arial"/>
          <w:b/>
          <w:bCs/>
          <w:kern w:val="2"/>
          <w:sz w:val="22"/>
          <w:szCs w:val="22"/>
          <w:lang w:val="en-PH" w:eastAsia="en-PH"/>
        </w:rPr>
        <w:t>Table 2. Performance of Grade 12 Students in SMAW NC II by Element and Performance Criteria (n = 20)</w:t>
      </w:r>
    </w:p>
    <w:tbl>
      <w:tblPr>
        <w:tblW w:w="8679" w:type="dxa"/>
        <w:tblCellSpacing w:w="15" w:type="dxa"/>
        <w:tblInd w:w="-180" w:type="dxa"/>
        <w:tblBorders>
          <w:top w:val="double" w:sz="12" w:space="0" w:color="auto"/>
          <w:bottom w:val="double" w:sz="12" w:space="0" w:color="auto"/>
        </w:tblBorders>
        <w:tblCellMar>
          <w:top w:w="15" w:type="dxa"/>
          <w:left w:w="15" w:type="dxa"/>
          <w:bottom w:w="15" w:type="dxa"/>
          <w:right w:w="15" w:type="dxa"/>
        </w:tblCellMar>
        <w:tblLook w:val="04A0" w:firstRow="1" w:lastRow="0" w:firstColumn="1" w:lastColumn="0" w:noHBand="0" w:noVBand="1"/>
      </w:tblPr>
      <w:tblGrid>
        <w:gridCol w:w="2066"/>
        <w:gridCol w:w="1943"/>
        <w:gridCol w:w="1209"/>
        <w:gridCol w:w="1209"/>
        <w:gridCol w:w="1247"/>
        <w:gridCol w:w="1005"/>
      </w:tblGrid>
      <w:tr w:rsidR="00F1794A" w:rsidRPr="00F1794A" w14:paraId="1EC2CDF4" w14:textId="77777777" w:rsidTr="00E21FAD">
        <w:trPr>
          <w:tblHeader/>
          <w:tblCellSpacing w:w="15" w:type="dxa"/>
        </w:trPr>
        <w:tc>
          <w:tcPr>
            <w:tcW w:w="2021" w:type="dxa"/>
            <w:tcBorders>
              <w:top w:val="double" w:sz="12" w:space="0" w:color="auto"/>
              <w:bottom w:val="single" w:sz="4" w:space="0" w:color="auto"/>
            </w:tcBorders>
            <w:vAlign w:val="center"/>
            <w:hideMark/>
          </w:tcPr>
          <w:p w14:paraId="05DE1524" w14:textId="77777777" w:rsidR="00F1794A" w:rsidRPr="00F1794A" w:rsidRDefault="00F1794A" w:rsidP="00663E09">
            <w:pPr>
              <w:jc w:val="center"/>
              <w:rPr>
                <w:rFonts w:ascii="Arial" w:eastAsia="Calibri" w:hAnsi="Arial" w:cs="Arial"/>
                <w:b/>
                <w:bCs/>
                <w:kern w:val="2"/>
                <w:sz w:val="22"/>
                <w:szCs w:val="22"/>
                <w:lang w:val="en-PH" w:eastAsia="en-PH"/>
              </w:rPr>
            </w:pPr>
            <w:r w:rsidRPr="00F1794A">
              <w:rPr>
                <w:rFonts w:ascii="Arial" w:eastAsia="Calibri" w:hAnsi="Arial" w:cs="Arial"/>
                <w:b/>
                <w:bCs/>
                <w:kern w:val="2"/>
                <w:sz w:val="22"/>
                <w:szCs w:val="22"/>
                <w:lang w:val="en-PH" w:eastAsia="en-PH"/>
              </w:rPr>
              <w:t>Elements</w:t>
            </w:r>
          </w:p>
        </w:tc>
        <w:tc>
          <w:tcPr>
            <w:tcW w:w="1913" w:type="dxa"/>
            <w:tcBorders>
              <w:top w:val="double" w:sz="12" w:space="0" w:color="auto"/>
              <w:bottom w:val="single" w:sz="4" w:space="0" w:color="auto"/>
            </w:tcBorders>
            <w:vAlign w:val="center"/>
            <w:hideMark/>
          </w:tcPr>
          <w:p w14:paraId="33DDC060" w14:textId="77777777" w:rsidR="00F1794A" w:rsidRPr="00F1794A" w:rsidRDefault="00F1794A" w:rsidP="00663E09">
            <w:pPr>
              <w:jc w:val="center"/>
              <w:rPr>
                <w:rFonts w:ascii="Arial" w:eastAsia="Calibri" w:hAnsi="Arial" w:cs="Arial"/>
                <w:b/>
                <w:bCs/>
                <w:kern w:val="2"/>
                <w:sz w:val="22"/>
                <w:szCs w:val="22"/>
                <w:lang w:val="en-PH" w:eastAsia="en-PH"/>
              </w:rPr>
            </w:pPr>
            <w:r w:rsidRPr="00F1794A">
              <w:rPr>
                <w:rFonts w:ascii="Arial" w:eastAsia="Calibri" w:hAnsi="Arial" w:cs="Arial"/>
                <w:b/>
                <w:bCs/>
                <w:kern w:val="2"/>
                <w:sz w:val="22"/>
                <w:szCs w:val="22"/>
                <w:lang w:val="en-PH" w:eastAsia="en-PH"/>
              </w:rPr>
              <w:t>Performance Criteria</w:t>
            </w:r>
          </w:p>
        </w:tc>
        <w:tc>
          <w:tcPr>
            <w:tcW w:w="0" w:type="auto"/>
            <w:tcBorders>
              <w:top w:val="double" w:sz="12" w:space="0" w:color="auto"/>
              <w:bottom w:val="single" w:sz="4" w:space="0" w:color="auto"/>
            </w:tcBorders>
            <w:vAlign w:val="center"/>
            <w:hideMark/>
          </w:tcPr>
          <w:p w14:paraId="5D29E27D" w14:textId="77777777" w:rsidR="00F1794A" w:rsidRPr="00F1794A" w:rsidRDefault="00F1794A" w:rsidP="00663E09">
            <w:pPr>
              <w:jc w:val="center"/>
              <w:rPr>
                <w:rFonts w:ascii="Arial" w:eastAsia="Calibri" w:hAnsi="Arial" w:cs="Arial"/>
                <w:b/>
                <w:bCs/>
                <w:kern w:val="2"/>
                <w:sz w:val="22"/>
                <w:szCs w:val="22"/>
                <w:lang w:val="en-PH" w:eastAsia="en-PH"/>
              </w:rPr>
            </w:pPr>
            <w:r w:rsidRPr="00F1794A">
              <w:rPr>
                <w:rFonts w:ascii="Arial" w:eastAsia="Calibri" w:hAnsi="Arial" w:cs="Arial"/>
                <w:b/>
                <w:bCs/>
                <w:kern w:val="2"/>
                <w:sz w:val="22"/>
                <w:szCs w:val="22"/>
                <w:lang w:val="en-PH" w:eastAsia="en-PH"/>
              </w:rPr>
              <w:t>Competent (f)</w:t>
            </w:r>
          </w:p>
        </w:tc>
        <w:tc>
          <w:tcPr>
            <w:tcW w:w="0" w:type="auto"/>
            <w:tcBorders>
              <w:top w:val="double" w:sz="12" w:space="0" w:color="auto"/>
              <w:bottom w:val="single" w:sz="4" w:space="0" w:color="auto"/>
            </w:tcBorders>
            <w:vAlign w:val="center"/>
            <w:hideMark/>
          </w:tcPr>
          <w:p w14:paraId="2AE2B76B" w14:textId="77777777" w:rsidR="00F1794A" w:rsidRPr="00F1794A" w:rsidRDefault="00F1794A" w:rsidP="00663E09">
            <w:pPr>
              <w:jc w:val="center"/>
              <w:rPr>
                <w:rFonts w:ascii="Arial" w:eastAsia="Calibri" w:hAnsi="Arial" w:cs="Arial"/>
                <w:b/>
                <w:bCs/>
                <w:kern w:val="2"/>
                <w:sz w:val="22"/>
                <w:szCs w:val="22"/>
                <w:lang w:val="en-PH" w:eastAsia="en-PH"/>
              </w:rPr>
            </w:pPr>
            <w:r w:rsidRPr="00F1794A">
              <w:rPr>
                <w:rFonts w:ascii="Arial" w:eastAsia="Calibri" w:hAnsi="Arial" w:cs="Arial"/>
                <w:b/>
                <w:bCs/>
                <w:kern w:val="2"/>
                <w:sz w:val="22"/>
                <w:szCs w:val="22"/>
                <w:lang w:val="en-PH" w:eastAsia="en-PH"/>
              </w:rPr>
              <w:t>Not Yet Competent (f)</w:t>
            </w:r>
          </w:p>
        </w:tc>
        <w:tc>
          <w:tcPr>
            <w:tcW w:w="0" w:type="auto"/>
            <w:tcBorders>
              <w:top w:val="double" w:sz="12" w:space="0" w:color="auto"/>
              <w:bottom w:val="single" w:sz="4" w:space="0" w:color="auto"/>
            </w:tcBorders>
            <w:vAlign w:val="center"/>
            <w:hideMark/>
          </w:tcPr>
          <w:p w14:paraId="56A34DD3" w14:textId="77777777" w:rsidR="00F1794A" w:rsidRPr="00F1794A" w:rsidRDefault="00F1794A" w:rsidP="00663E09">
            <w:pPr>
              <w:jc w:val="center"/>
              <w:rPr>
                <w:rFonts w:ascii="Arial" w:eastAsia="Calibri" w:hAnsi="Arial" w:cs="Arial"/>
                <w:b/>
                <w:bCs/>
                <w:kern w:val="2"/>
                <w:sz w:val="22"/>
                <w:szCs w:val="22"/>
                <w:lang w:val="en-PH" w:eastAsia="en-PH"/>
              </w:rPr>
            </w:pPr>
            <w:r w:rsidRPr="00F1794A">
              <w:rPr>
                <w:rFonts w:ascii="Arial" w:eastAsia="Calibri" w:hAnsi="Arial" w:cs="Arial"/>
                <w:b/>
                <w:bCs/>
                <w:kern w:val="2"/>
                <w:sz w:val="22"/>
                <w:szCs w:val="22"/>
                <w:lang w:val="en-PH" w:eastAsia="en-PH"/>
              </w:rPr>
              <w:t>Percentage Competent (%)</w:t>
            </w:r>
          </w:p>
        </w:tc>
        <w:tc>
          <w:tcPr>
            <w:tcW w:w="960" w:type="dxa"/>
            <w:tcBorders>
              <w:top w:val="double" w:sz="12" w:space="0" w:color="auto"/>
              <w:bottom w:val="single" w:sz="4" w:space="0" w:color="auto"/>
            </w:tcBorders>
            <w:vAlign w:val="center"/>
            <w:hideMark/>
          </w:tcPr>
          <w:p w14:paraId="51ED7C35" w14:textId="77777777" w:rsidR="00F1794A" w:rsidRPr="00F1794A" w:rsidRDefault="00F1794A" w:rsidP="00663E09">
            <w:pPr>
              <w:jc w:val="center"/>
              <w:rPr>
                <w:rFonts w:ascii="Arial" w:eastAsia="Calibri" w:hAnsi="Arial" w:cs="Arial"/>
                <w:b/>
                <w:bCs/>
                <w:kern w:val="2"/>
                <w:sz w:val="22"/>
                <w:szCs w:val="22"/>
                <w:lang w:val="en-PH" w:eastAsia="en-PH"/>
              </w:rPr>
            </w:pPr>
            <w:r w:rsidRPr="00F1794A">
              <w:rPr>
                <w:rFonts w:ascii="Arial" w:eastAsia="Calibri" w:hAnsi="Arial" w:cs="Arial"/>
                <w:b/>
                <w:bCs/>
                <w:kern w:val="2"/>
                <w:sz w:val="22"/>
                <w:szCs w:val="22"/>
                <w:lang w:val="en-PH" w:eastAsia="en-PH"/>
              </w:rPr>
              <w:t>Remarks</w:t>
            </w:r>
          </w:p>
        </w:tc>
      </w:tr>
      <w:tr w:rsidR="00F1794A" w:rsidRPr="00F1794A" w14:paraId="0D1A3BA6" w14:textId="77777777" w:rsidTr="00E21FAD">
        <w:trPr>
          <w:tblCellSpacing w:w="15" w:type="dxa"/>
        </w:trPr>
        <w:tc>
          <w:tcPr>
            <w:tcW w:w="2021" w:type="dxa"/>
            <w:vAlign w:val="center"/>
            <w:hideMark/>
          </w:tcPr>
          <w:p w14:paraId="3263D52B" w14:textId="77777777" w:rsidR="00F1794A" w:rsidRPr="00F1794A" w:rsidRDefault="00F1794A" w:rsidP="00663E09">
            <w:pP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 Perform Root Pass</w:t>
            </w:r>
          </w:p>
        </w:tc>
        <w:tc>
          <w:tcPr>
            <w:tcW w:w="1913" w:type="dxa"/>
            <w:vAlign w:val="center"/>
            <w:hideMark/>
          </w:tcPr>
          <w:p w14:paraId="3AF5B00F" w14:textId="77777777" w:rsidR="00F1794A" w:rsidRPr="00F1794A" w:rsidRDefault="00F1794A" w:rsidP="00663E09">
            <w:pPr>
              <w:jc w:val="both"/>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1.1 Root pass performed according to WPS/specifications</w:t>
            </w:r>
          </w:p>
        </w:tc>
        <w:tc>
          <w:tcPr>
            <w:tcW w:w="0" w:type="auto"/>
            <w:vAlign w:val="center"/>
            <w:hideMark/>
          </w:tcPr>
          <w:p w14:paraId="7E6FF654"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15</w:t>
            </w:r>
          </w:p>
        </w:tc>
        <w:tc>
          <w:tcPr>
            <w:tcW w:w="0" w:type="auto"/>
            <w:vAlign w:val="center"/>
            <w:hideMark/>
          </w:tcPr>
          <w:p w14:paraId="2849EE47"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5</w:t>
            </w:r>
          </w:p>
        </w:tc>
        <w:tc>
          <w:tcPr>
            <w:tcW w:w="0" w:type="auto"/>
            <w:vAlign w:val="center"/>
            <w:hideMark/>
          </w:tcPr>
          <w:p w14:paraId="3746D3B7"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75%</w:t>
            </w:r>
          </w:p>
        </w:tc>
        <w:tc>
          <w:tcPr>
            <w:tcW w:w="960" w:type="dxa"/>
            <w:vAlign w:val="center"/>
            <w:hideMark/>
          </w:tcPr>
          <w:p w14:paraId="3334D69E"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Least Mastered</w:t>
            </w:r>
          </w:p>
        </w:tc>
      </w:tr>
      <w:tr w:rsidR="00F1794A" w:rsidRPr="00F1794A" w14:paraId="641F3840" w14:textId="77777777" w:rsidTr="00E21FAD">
        <w:trPr>
          <w:tblCellSpacing w:w="15" w:type="dxa"/>
        </w:trPr>
        <w:tc>
          <w:tcPr>
            <w:tcW w:w="2021" w:type="dxa"/>
            <w:vAlign w:val="center"/>
            <w:hideMark/>
          </w:tcPr>
          <w:p w14:paraId="426F1763" w14:textId="77777777" w:rsidR="00F1794A" w:rsidRPr="00F1794A" w:rsidRDefault="00F1794A" w:rsidP="00663E09">
            <w:pPr>
              <w:rPr>
                <w:rFonts w:ascii="Arial" w:eastAsia="Calibri" w:hAnsi="Arial" w:cs="Arial"/>
                <w:kern w:val="2"/>
                <w:sz w:val="22"/>
                <w:szCs w:val="22"/>
                <w:lang w:val="en-PH" w:eastAsia="en-PH"/>
              </w:rPr>
            </w:pPr>
          </w:p>
        </w:tc>
        <w:tc>
          <w:tcPr>
            <w:tcW w:w="1913" w:type="dxa"/>
            <w:vAlign w:val="center"/>
            <w:hideMark/>
          </w:tcPr>
          <w:p w14:paraId="3AE100C4" w14:textId="77777777" w:rsidR="00F1794A" w:rsidRPr="00F1794A" w:rsidRDefault="00F1794A" w:rsidP="00663E09">
            <w:pPr>
              <w:jc w:val="both"/>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1.2 Observance of safety procedures</w:t>
            </w:r>
          </w:p>
        </w:tc>
        <w:tc>
          <w:tcPr>
            <w:tcW w:w="0" w:type="auto"/>
            <w:vAlign w:val="center"/>
            <w:hideMark/>
          </w:tcPr>
          <w:p w14:paraId="64E723D6"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16</w:t>
            </w:r>
          </w:p>
        </w:tc>
        <w:tc>
          <w:tcPr>
            <w:tcW w:w="0" w:type="auto"/>
            <w:vAlign w:val="center"/>
            <w:hideMark/>
          </w:tcPr>
          <w:p w14:paraId="1256B145"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4</w:t>
            </w:r>
          </w:p>
        </w:tc>
        <w:tc>
          <w:tcPr>
            <w:tcW w:w="0" w:type="auto"/>
            <w:vAlign w:val="center"/>
            <w:hideMark/>
          </w:tcPr>
          <w:p w14:paraId="22DB6674"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80%</w:t>
            </w:r>
          </w:p>
        </w:tc>
        <w:tc>
          <w:tcPr>
            <w:tcW w:w="960" w:type="dxa"/>
            <w:vAlign w:val="center"/>
            <w:hideMark/>
          </w:tcPr>
          <w:p w14:paraId="55F6476E" w14:textId="77777777" w:rsidR="00F1794A" w:rsidRPr="00F1794A" w:rsidRDefault="00F1794A" w:rsidP="00663E09">
            <w:pPr>
              <w:jc w:val="center"/>
              <w:rPr>
                <w:rFonts w:ascii="Arial" w:eastAsia="Calibri" w:hAnsi="Arial" w:cs="Arial"/>
                <w:kern w:val="2"/>
                <w:sz w:val="22"/>
                <w:szCs w:val="22"/>
                <w:lang w:val="en-PH" w:eastAsia="en-PH"/>
              </w:rPr>
            </w:pPr>
          </w:p>
        </w:tc>
      </w:tr>
      <w:tr w:rsidR="00F1794A" w:rsidRPr="00F1794A" w14:paraId="2D478E28" w14:textId="77777777" w:rsidTr="00E21FAD">
        <w:trPr>
          <w:tblCellSpacing w:w="15" w:type="dxa"/>
        </w:trPr>
        <w:tc>
          <w:tcPr>
            <w:tcW w:w="2021" w:type="dxa"/>
            <w:vAlign w:val="center"/>
            <w:hideMark/>
          </w:tcPr>
          <w:p w14:paraId="1CBDE1AB" w14:textId="77777777" w:rsidR="00F1794A" w:rsidRPr="00F1794A" w:rsidRDefault="00F1794A" w:rsidP="00663E09">
            <w:pPr>
              <w:rPr>
                <w:rFonts w:ascii="Arial" w:eastAsia="Calibri" w:hAnsi="Arial" w:cs="Arial"/>
                <w:kern w:val="2"/>
                <w:sz w:val="22"/>
                <w:szCs w:val="22"/>
                <w:lang w:val="en-PH" w:eastAsia="en-PH"/>
              </w:rPr>
            </w:pPr>
          </w:p>
        </w:tc>
        <w:tc>
          <w:tcPr>
            <w:tcW w:w="1913" w:type="dxa"/>
            <w:vAlign w:val="center"/>
            <w:hideMark/>
          </w:tcPr>
          <w:p w14:paraId="3B871E9C" w14:textId="77777777" w:rsidR="00F1794A" w:rsidRPr="00F1794A" w:rsidRDefault="00F1794A" w:rsidP="00663E09">
            <w:pPr>
              <w:jc w:val="both"/>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1.3 Weld checked and repaired if needed</w:t>
            </w:r>
          </w:p>
        </w:tc>
        <w:tc>
          <w:tcPr>
            <w:tcW w:w="0" w:type="auto"/>
            <w:vAlign w:val="center"/>
            <w:hideMark/>
          </w:tcPr>
          <w:p w14:paraId="49AE1712"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16</w:t>
            </w:r>
          </w:p>
        </w:tc>
        <w:tc>
          <w:tcPr>
            <w:tcW w:w="0" w:type="auto"/>
            <w:vAlign w:val="center"/>
            <w:hideMark/>
          </w:tcPr>
          <w:p w14:paraId="36B7E38F"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4</w:t>
            </w:r>
          </w:p>
        </w:tc>
        <w:tc>
          <w:tcPr>
            <w:tcW w:w="0" w:type="auto"/>
            <w:vAlign w:val="center"/>
            <w:hideMark/>
          </w:tcPr>
          <w:p w14:paraId="47A1AC81"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80%</w:t>
            </w:r>
          </w:p>
        </w:tc>
        <w:tc>
          <w:tcPr>
            <w:tcW w:w="960" w:type="dxa"/>
            <w:vAlign w:val="center"/>
            <w:hideMark/>
          </w:tcPr>
          <w:p w14:paraId="2063BC9D" w14:textId="77777777" w:rsidR="00F1794A" w:rsidRPr="00F1794A" w:rsidRDefault="00F1794A" w:rsidP="00663E09">
            <w:pPr>
              <w:jc w:val="center"/>
              <w:rPr>
                <w:rFonts w:ascii="Arial" w:eastAsia="Calibri" w:hAnsi="Arial" w:cs="Arial"/>
                <w:kern w:val="2"/>
                <w:sz w:val="22"/>
                <w:szCs w:val="22"/>
                <w:lang w:val="en-PH" w:eastAsia="en-PH"/>
              </w:rPr>
            </w:pPr>
          </w:p>
        </w:tc>
      </w:tr>
      <w:tr w:rsidR="00F1794A" w:rsidRPr="00F1794A" w14:paraId="3655F333" w14:textId="77777777" w:rsidTr="00E21FAD">
        <w:trPr>
          <w:tblCellSpacing w:w="15" w:type="dxa"/>
        </w:trPr>
        <w:tc>
          <w:tcPr>
            <w:tcW w:w="2021" w:type="dxa"/>
            <w:vAlign w:val="center"/>
            <w:hideMark/>
          </w:tcPr>
          <w:p w14:paraId="2D255412" w14:textId="77777777" w:rsidR="00F1794A" w:rsidRPr="00F1794A" w:rsidRDefault="00F1794A" w:rsidP="00663E09">
            <w:pPr>
              <w:rPr>
                <w:rFonts w:ascii="Arial" w:eastAsia="Calibri" w:hAnsi="Arial" w:cs="Arial"/>
                <w:kern w:val="2"/>
                <w:sz w:val="22"/>
                <w:szCs w:val="22"/>
                <w:lang w:val="en-PH" w:eastAsia="en-PH"/>
              </w:rPr>
            </w:pPr>
          </w:p>
        </w:tc>
        <w:tc>
          <w:tcPr>
            <w:tcW w:w="1913" w:type="dxa"/>
            <w:vAlign w:val="center"/>
            <w:hideMark/>
          </w:tcPr>
          <w:p w14:paraId="0C171195" w14:textId="77777777" w:rsidR="00F1794A" w:rsidRPr="00F1794A" w:rsidRDefault="00F1794A" w:rsidP="00663E09">
            <w:pPr>
              <w:jc w:val="both"/>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1.4 Weld acceptable based on standards</w:t>
            </w:r>
          </w:p>
        </w:tc>
        <w:tc>
          <w:tcPr>
            <w:tcW w:w="0" w:type="auto"/>
            <w:vAlign w:val="center"/>
            <w:hideMark/>
          </w:tcPr>
          <w:p w14:paraId="6C0A28D7"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17</w:t>
            </w:r>
          </w:p>
        </w:tc>
        <w:tc>
          <w:tcPr>
            <w:tcW w:w="0" w:type="auto"/>
            <w:vAlign w:val="center"/>
            <w:hideMark/>
          </w:tcPr>
          <w:p w14:paraId="5CCDA448"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3</w:t>
            </w:r>
          </w:p>
        </w:tc>
        <w:tc>
          <w:tcPr>
            <w:tcW w:w="0" w:type="auto"/>
            <w:vAlign w:val="center"/>
            <w:hideMark/>
          </w:tcPr>
          <w:p w14:paraId="582458D0"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85%</w:t>
            </w:r>
          </w:p>
        </w:tc>
        <w:tc>
          <w:tcPr>
            <w:tcW w:w="960" w:type="dxa"/>
            <w:vAlign w:val="center"/>
            <w:hideMark/>
          </w:tcPr>
          <w:p w14:paraId="05700AAB" w14:textId="77777777" w:rsidR="00F1794A" w:rsidRPr="00F1794A" w:rsidRDefault="00F1794A" w:rsidP="00663E09">
            <w:pPr>
              <w:jc w:val="center"/>
              <w:rPr>
                <w:rFonts w:ascii="Arial" w:eastAsia="Calibri" w:hAnsi="Arial" w:cs="Arial"/>
                <w:kern w:val="2"/>
                <w:sz w:val="22"/>
                <w:szCs w:val="22"/>
                <w:lang w:val="en-PH" w:eastAsia="en-PH"/>
              </w:rPr>
            </w:pPr>
          </w:p>
        </w:tc>
      </w:tr>
      <w:tr w:rsidR="00F1794A" w:rsidRPr="00F1794A" w14:paraId="4151EC6B" w14:textId="77777777" w:rsidTr="00E21FAD">
        <w:trPr>
          <w:tblCellSpacing w:w="15" w:type="dxa"/>
        </w:trPr>
        <w:tc>
          <w:tcPr>
            <w:tcW w:w="2021" w:type="dxa"/>
            <w:vAlign w:val="center"/>
            <w:hideMark/>
          </w:tcPr>
          <w:p w14:paraId="1A5FC465" w14:textId="77777777" w:rsidR="00F1794A" w:rsidRPr="00F1794A" w:rsidRDefault="00F1794A" w:rsidP="00663E09">
            <w:pPr>
              <w:rPr>
                <w:rFonts w:ascii="Arial" w:eastAsia="Calibri" w:hAnsi="Arial" w:cs="Arial"/>
                <w:kern w:val="2"/>
                <w:sz w:val="22"/>
                <w:szCs w:val="22"/>
                <w:lang w:val="en-PH" w:eastAsia="en-PH"/>
              </w:rPr>
            </w:pPr>
          </w:p>
        </w:tc>
        <w:tc>
          <w:tcPr>
            <w:tcW w:w="1913" w:type="dxa"/>
            <w:vAlign w:val="center"/>
            <w:hideMark/>
          </w:tcPr>
          <w:p w14:paraId="66FE1A80" w14:textId="77777777" w:rsidR="00F1794A" w:rsidRPr="00F1794A" w:rsidRDefault="00F1794A" w:rsidP="00663E09">
            <w:pPr>
              <w:jc w:val="both"/>
              <w:rPr>
                <w:rFonts w:ascii="Arial" w:eastAsia="Calibri" w:hAnsi="Arial" w:cs="Arial"/>
                <w:kern w:val="2"/>
                <w:sz w:val="22"/>
                <w:szCs w:val="22"/>
                <w:lang w:val="en-PH" w:eastAsia="en-PH"/>
              </w:rPr>
            </w:pPr>
          </w:p>
        </w:tc>
        <w:tc>
          <w:tcPr>
            <w:tcW w:w="0" w:type="auto"/>
            <w:vAlign w:val="center"/>
          </w:tcPr>
          <w:p w14:paraId="3D4B891A" w14:textId="77777777" w:rsidR="00F1794A" w:rsidRPr="00F1794A" w:rsidRDefault="00F1794A" w:rsidP="00663E09">
            <w:pPr>
              <w:jc w:val="center"/>
              <w:rPr>
                <w:rFonts w:ascii="Arial" w:eastAsia="Calibri" w:hAnsi="Arial" w:cs="Arial"/>
                <w:kern w:val="2"/>
                <w:sz w:val="22"/>
                <w:szCs w:val="22"/>
                <w:lang w:val="en-PH" w:eastAsia="en-PH"/>
              </w:rPr>
            </w:pPr>
          </w:p>
        </w:tc>
        <w:tc>
          <w:tcPr>
            <w:tcW w:w="0" w:type="auto"/>
            <w:vAlign w:val="center"/>
          </w:tcPr>
          <w:p w14:paraId="15D773CE" w14:textId="77777777" w:rsidR="00F1794A" w:rsidRPr="00F1794A" w:rsidRDefault="00F1794A" w:rsidP="00663E09">
            <w:pPr>
              <w:jc w:val="center"/>
              <w:rPr>
                <w:rFonts w:ascii="Arial" w:eastAsia="Calibri" w:hAnsi="Arial" w:cs="Arial"/>
                <w:kern w:val="2"/>
                <w:sz w:val="22"/>
                <w:szCs w:val="22"/>
                <w:lang w:val="en-PH" w:eastAsia="en-PH"/>
              </w:rPr>
            </w:pPr>
          </w:p>
        </w:tc>
        <w:tc>
          <w:tcPr>
            <w:tcW w:w="0" w:type="auto"/>
            <w:vAlign w:val="center"/>
          </w:tcPr>
          <w:p w14:paraId="058252A6" w14:textId="77777777" w:rsidR="00F1794A" w:rsidRPr="00F1794A" w:rsidRDefault="00F1794A" w:rsidP="00663E09">
            <w:pPr>
              <w:jc w:val="center"/>
              <w:rPr>
                <w:rFonts w:ascii="Arial" w:eastAsia="Calibri" w:hAnsi="Arial" w:cs="Arial"/>
                <w:kern w:val="2"/>
                <w:sz w:val="22"/>
                <w:szCs w:val="22"/>
                <w:lang w:val="en-PH" w:eastAsia="en-PH"/>
              </w:rPr>
            </w:pPr>
          </w:p>
        </w:tc>
        <w:tc>
          <w:tcPr>
            <w:tcW w:w="960" w:type="dxa"/>
            <w:vAlign w:val="center"/>
          </w:tcPr>
          <w:p w14:paraId="73A94F3E" w14:textId="77777777" w:rsidR="00F1794A" w:rsidRPr="00F1794A" w:rsidRDefault="00F1794A" w:rsidP="00663E09">
            <w:pPr>
              <w:rPr>
                <w:rFonts w:ascii="Arial" w:eastAsia="Calibri" w:hAnsi="Arial" w:cs="Arial"/>
                <w:kern w:val="2"/>
                <w:sz w:val="22"/>
                <w:szCs w:val="22"/>
                <w:lang w:val="en-PH" w:eastAsia="en-PH"/>
              </w:rPr>
            </w:pPr>
          </w:p>
        </w:tc>
      </w:tr>
      <w:tr w:rsidR="00F1794A" w:rsidRPr="00F1794A" w14:paraId="7C15E908" w14:textId="77777777" w:rsidTr="00E21FAD">
        <w:trPr>
          <w:tblCellSpacing w:w="15" w:type="dxa"/>
        </w:trPr>
        <w:tc>
          <w:tcPr>
            <w:tcW w:w="2021" w:type="dxa"/>
            <w:vAlign w:val="center"/>
            <w:hideMark/>
          </w:tcPr>
          <w:p w14:paraId="7EE7981D" w14:textId="77777777" w:rsidR="00F1794A" w:rsidRPr="00F1794A" w:rsidRDefault="00F1794A" w:rsidP="00663E09">
            <w:pP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2. Clean Root Pass</w:t>
            </w:r>
          </w:p>
        </w:tc>
        <w:tc>
          <w:tcPr>
            <w:tcW w:w="1913" w:type="dxa"/>
            <w:vAlign w:val="center"/>
            <w:hideMark/>
          </w:tcPr>
          <w:p w14:paraId="15C3892C" w14:textId="77777777" w:rsidR="00F1794A" w:rsidRPr="00F1794A" w:rsidRDefault="00F1794A" w:rsidP="00663E09">
            <w:pPr>
              <w:jc w:val="both"/>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2.1 Root pass cleaned and defect-free</w:t>
            </w:r>
          </w:p>
        </w:tc>
        <w:tc>
          <w:tcPr>
            <w:tcW w:w="0" w:type="auto"/>
            <w:vAlign w:val="center"/>
            <w:hideMark/>
          </w:tcPr>
          <w:p w14:paraId="0972218C"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18</w:t>
            </w:r>
          </w:p>
        </w:tc>
        <w:tc>
          <w:tcPr>
            <w:tcW w:w="0" w:type="auto"/>
            <w:vAlign w:val="center"/>
            <w:hideMark/>
          </w:tcPr>
          <w:p w14:paraId="7A7DB30D"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2</w:t>
            </w:r>
          </w:p>
        </w:tc>
        <w:tc>
          <w:tcPr>
            <w:tcW w:w="0" w:type="auto"/>
            <w:vAlign w:val="center"/>
            <w:hideMark/>
          </w:tcPr>
          <w:p w14:paraId="434AE698"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90%</w:t>
            </w:r>
          </w:p>
        </w:tc>
        <w:tc>
          <w:tcPr>
            <w:tcW w:w="960" w:type="dxa"/>
            <w:vAlign w:val="center"/>
            <w:hideMark/>
          </w:tcPr>
          <w:p w14:paraId="2B7D2C36" w14:textId="77777777" w:rsidR="00F1794A" w:rsidRPr="00F1794A" w:rsidRDefault="00F1794A" w:rsidP="00663E09">
            <w:pPr>
              <w:jc w:val="center"/>
              <w:rPr>
                <w:rFonts w:ascii="Arial" w:eastAsia="Calibri" w:hAnsi="Arial" w:cs="Arial"/>
                <w:kern w:val="2"/>
                <w:sz w:val="22"/>
                <w:szCs w:val="22"/>
                <w:lang w:val="en-PH" w:eastAsia="en-PH"/>
              </w:rPr>
            </w:pPr>
          </w:p>
        </w:tc>
      </w:tr>
      <w:tr w:rsidR="00F1794A" w:rsidRPr="00F1794A" w14:paraId="493A5305" w14:textId="77777777" w:rsidTr="00E21FAD">
        <w:trPr>
          <w:tblCellSpacing w:w="15" w:type="dxa"/>
        </w:trPr>
        <w:tc>
          <w:tcPr>
            <w:tcW w:w="2021" w:type="dxa"/>
            <w:vAlign w:val="center"/>
            <w:hideMark/>
          </w:tcPr>
          <w:p w14:paraId="6F99DACE" w14:textId="77777777" w:rsidR="00F1794A" w:rsidRPr="00F1794A" w:rsidRDefault="00F1794A" w:rsidP="00663E09">
            <w:pPr>
              <w:rPr>
                <w:rFonts w:ascii="Arial" w:eastAsia="Calibri" w:hAnsi="Arial" w:cs="Arial"/>
                <w:kern w:val="2"/>
                <w:sz w:val="22"/>
                <w:szCs w:val="22"/>
                <w:lang w:val="en-PH" w:eastAsia="en-PH"/>
              </w:rPr>
            </w:pPr>
          </w:p>
        </w:tc>
        <w:tc>
          <w:tcPr>
            <w:tcW w:w="1913" w:type="dxa"/>
            <w:vAlign w:val="center"/>
            <w:hideMark/>
          </w:tcPr>
          <w:p w14:paraId="7C6BF742" w14:textId="77777777" w:rsidR="00F1794A" w:rsidRPr="00F1794A" w:rsidRDefault="00F1794A" w:rsidP="00663E09">
            <w:pPr>
              <w:jc w:val="both"/>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2.2 Performed according to approved WPS</w:t>
            </w:r>
          </w:p>
        </w:tc>
        <w:tc>
          <w:tcPr>
            <w:tcW w:w="0" w:type="auto"/>
            <w:vAlign w:val="center"/>
            <w:hideMark/>
          </w:tcPr>
          <w:p w14:paraId="54F9AADE"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17</w:t>
            </w:r>
          </w:p>
        </w:tc>
        <w:tc>
          <w:tcPr>
            <w:tcW w:w="0" w:type="auto"/>
            <w:vAlign w:val="center"/>
            <w:hideMark/>
          </w:tcPr>
          <w:p w14:paraId="091CE549"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3</w:t>
            </w:r>
          </w:p>
        </w:tc>
        <w:tc>
          <w:tcPr>
            <w:tcW w:w="0" w:type="auto"/>
            <w:vAlign w:val="center"/>
            <w:hideMark/>
          </w:tcPr>
          <w:p w14:paraId="3494E4CE"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85%</w:t>
            </w:r>
          </w:p>
        </w:tc>
        <w:tc>
          <w:tcPr>
            <w:tcW w:w="960" w:type="dxa"/>
            <w:vAlign w:val="center"/>
            <w:hideMark/>
          </w:tcPr>
          <w:p w14:paraId="4F1A9105" w14:textId="77777777" w:rsidR="00F1794A" w:rsidRPr="00F1794A" w:rsidRDefault="00F1794A" w:rsidP="00663E09">
            <w:pPr>
              <w:jc w:val="center"/>
              <w:rPr>
                <w:rFonts w:ascii="Arial" w:eastAsia="Calibri" w:hAnsi="Arial" w:cs="Arial"/>
                <w:kern w:val="2"/>
                <w:sz w:val="22"/>
                <w:szCs w:val="22"/>
                <w:lang w:val="en-PH" w:eastAsia="en-PH"/>
              </w:rPr>
            </w:pPr>
          </w:p>
        </w:tc>
      </w:tr>
      <w:tr w:rsidR="00F1794A" w:rsidRPr="00F1794A" w14:paraId="77EC95B3" w14:textId="77777777" w:rsidTr="00E21FAD">
        <w:trPr>
          <w:tblCellSpacing w:w="15" w:type="dxa"/>
        </w:trPr>
        <w:tc>
          <w:tcPr>
            <w:tcW w:w="2021" w:type="dxa"/>
            <w:vAlign w:val="center"/>
          </w:tcPr>
          <w:p w14:paraId="5D8FB75D" w14:textId="77777777" w:rsidR="00F1794A" w:rsidRPr="00F1794A" w:rsidRDefault="00F1794A" w:rsidP="00663E09">
            <w:pPr>
              <w:rPr>
                <w:rFonts w:ascii="Arial" w:eastAsia="Calibri" w:hAnsi="Arial" w:cs="Arial"/>
                <w:kern w:val="2"/>
                <w:sz w:val="22"/>
                <w:szCs w:val="22"/>
                <w:lang w:val="en-PH" w:eastAsia="en-PH"/>
              </w:rPr>
            </w:pPr>
          </w:p>
        </w:tc>
        <w:tc>
          <w:tcPr>
            <w:tcW w:w="1913" w:type="dxa"/>
            <w:vAlign w:val="center"/>
          </w:tcPr>
          <w:p w14:paraId="6D7A4EBD" w14:textId="77777777" w:rsidR="00F1794A" w:rsidRPr="00F1794A" w:rsidRDefault="00F1794A" w:rsidP="00663E09">
            <w:pPr>
              <w:jc w:val="both"/>
              <w:rPr>
                <w:rFonts w:ascii="Arial" w:eastAsia="Calibri" w:hAnsi="Arial" w:cs="Arial"/>
                <w:kern w:val="2"/>
                <w:sz w:val="22"/>
                <w:szCs w:val="22"/>
                <w:lang w:val="en-PH" w:eastAsia="en-PH"/>
              </w:rPr>
            </w:pPr>
          </w:p>
        </w:tc>
        <w:tc>
          <w:tcPr>
            <w:tcW w:w="0" w:type="auto"/>
            <w:vAlign w:val="center"/>
          </w:tcPr>
          <w:p w14:paraId="082B8E57" w14:textId="77777777" w:rsidR="00F1794A" w:rsidRPr="00F1794A" w:rsidRDefault="00F1794A" w:rsidP="00663E09">
            <w:pPr>
              <w:jc w:val="center"/>
              <w:rPr>
                <w:rFonts w:ascii="Arial" w:eastAsia="Calibri" w:hAnsi="Arial" w:cs="Arial"/>
                <w:kern w:val="2"/>
                <w:sz w:val="22"/>
                <w:szCs w:val="22"/>
                <w:lang w:val="en-PH" w:eastAsia="en-PH"/>
              </w:rPr>
            </w:pPr>
          </w:p>
        </w:tc>
        <w:tc>
          <w:tcPr>
            <w:tcW w:w="0" w:type="auto"/>
            <w:vAlign w:val="center"/>
          </w:tcPr>
          <w:p w14:paraId="0A0065D1" w14:textId="77777777" w:rsidR="00F1794A" w:rsidRPr="00F1794A" w:rsidRDefault="00F1794A" w:rsidP="00663E09">
            <w:pPr>
              <w:jc w:val="center"/>
              <w:rPr>
                <w:rFonts w:ascii="Arial" w:eastAsia="Calibri" w:hAnsi="Arial" w:cs="Arial"/>
                <w:kern w:val="2"/>
                <w:sz w:val="22"/>
                <w:szCs w:val="22"/>
                <w:lang w:val="en-PH" w:eastAsia="en-PH"/>
              </w:rPr>
            </w:pPr>
          </w:p>
        </w:tc>
        <w:tc>
          <w:tcPr>
            <w:tcW w:w="0" w:type="auto"/>
            <w:vAlign w:val="center"/>
          </w:tcPr>
          <w:p w14:paraId="4C4EBDF8" w14:textId="77777777" w:rsidR="00F1794A" w:rsidRPr="00F1794A" w:rsidRDefault="00F1794A" w:rsidP="00663E09">
            <w:pPr>
              <w:jc w:val="center"/>
              <w:rPr>
                <w:rFonts w:ascii="Arial" w:eastAsia="Calibri" w:hAnsi="Arial" w:cs="Arial"/>
                <w:kern w:val="2"/>
                <w:sz w:val="22"/>
                <w:szCs w:val="22"/>
                <w:lang w:val="en-PH" w:eastAsia="en-PH"/>
              </w:rPr>
            </w:pPr>
          </w:p>
        </w:tc>
        <w:tc>
          <w:tcPr>
            <w:tcW w:w="960" w:type="dxa"/>
            <w:vAlign w:val="center"/>
            <w:hideMark/>
          </w:tcPr>
          <w:p w14:paraId="03DAB208" w14:textId="77777777" w:rsidR="00F1794A" w:rsidRPr="00F1794A" w:rsidRDefault="00F1794A" w:rsidP="00663E09">
            <w:pPr>
              <w:jc w:val="center"/>
              <w:rPr>
                <w:rFonts w:ascii="Arial" w:eastAsia="Calibri" w:hAnsi="Arial" w:cs="Arial"/>
                <w:kern w:val="2"/>
                <w:sz w:val="22"/>
                <w:szCs w:val="22"/>
                <w:lang w:val="en-PH" w:eastAsia="en-PH"/>
              </w:rPr>
            </w:pPr>
          </w:p>
        </w:tc>
      </w:tr>
      <w:tr w:rsidR="00F1794A" w:rsidRPr="00F1794A" w14:paraId="2F5D481B" w14:textId="77777777" w:rsidTr="00E21FAD">
        <w:trPr>
          <w:tblCellSpacing w:w="15" w:type="dxa"/>
        </w:trPr>
        <w:tc>
          <w:tcPr>
            <w:tcW w:w="2021" w:type="dxa"/>
            <w:vAlign w:val="center"/>
            <w:hideMark/>
          </w:tcPr>
          <w:p w14:paraId="4A37E817" w14:textId="77777777" w:rsidR="00F1794A" w:rsidRPr="00F1794A" w:rsidRDefault="00F1794A" w:rsidP="00663E09">
            <w:pP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3. Weld Subsequent/Filling Passes</w:t>
            </w:r>
          </w:p>
        </w:tc>
        <w:tc>
          <w:tcPr>
            <w:tcW w:w="1913" w:type="dxa"/>
            <w:vAlign w:val="center"/>
            <w:hideMark/>
          </w:tcPr>
          <w:p w14:paraId="5DCFA221" w14:textId="77777777" w:rsidR="00F1794A" w:rsidRPr="00F1794A" w:rsidRDefault="00F1794A" w:rsidP="00663E09">
            <w:pPr>
              <w:jc w:val="both"/>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3.1 Filling passes done according to WPS</w:t>
            </w:r>
          </w:p>
        </w:tc>
        <w:tc>
          <w:tcPr>
            <w:tcW w:w="0" w:type="auto"/>
            <w:vAlign w:val="center"/>
            <w:hideMark/>
          </w:tcPr>
          <w:p w14:paraId="018BBBC9"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18</w:t>
            </w:r>
          </w:p>
        </w:tc>
        <w:tc>
          <w:tcPr>
            <w:tcW w:w="0" w:type="auto"/>
            <w:vAlign w:val="center"/>
            <w:hideMark/>
          </w:tcPr>
          <w:p w14:paraId="68AFC1CB"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2</w:t>
            </w:r>
          </w:p>
        </w:tc>
        <w:tc>
          <w:tcPr>
            <w:tcW w:w="0" w:type="auto"/>
            <w:vAlign w:val="center"/>
            <w:hideMark/>
          </w:tcPr>
          <w:p w14:paraId="39AA764B"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90%</w:t>
            </w:r>
          </w:p>
        </w:tc>
        <w:tc>
          <w:tcPr>
            <w:tcW w:w="960" w:type="dxa"/>
            <w:vAlign w:val="center"/>
            <w:hideMark/>
          </w:tcPr>
          <w:p w14:paraId="5B88EF9D" w14:textId="77777777" w:rsidR="00F1794A" w:rsidRPr="00F1794A" w:rsidRDefault="00F1794A" w:rsidP="00663E09">
            <w:pPr>
              <w:jc w:val="center"/>
              <w:rPr>
                <w:rFonts w:ascii="Arial" w:eastAsia="Calibri" w:hAnsi="Arial" w:cs="Arial"/>
                <w:kern w:val="2"/>
                <w:sz w:val="22"/>
                <w:szCs w:val="22"/>
                <w:lang w:val="en-PH" w:eastAsia="en-PH"/>
              </w:rPr>
            </w:pPr>
          </w:p>
        </w:tc>
      </w:tr>
      <w:tr w:rsidR="00F1794A" w:rsidRPr="00F1794A" w14:paraId="7A1FF004" w14:textId="77777777" w:rsidTr="00E21FAD">
        <w:trPr>
          <w:tblCellSpacing w:w="15" w:type="dxa"/>
        </w:trPr>
        <w:tc>
          <w:tcPr>
            <w:tcW w:w="2021" w:type="dxa"/>
            <w:vAlign w:val="center"/>
            <w:hideMark/>
          </w:tcPr>
          <w:p w14:paraId="28A40721" w14:textId="77777777" w:rsidR="00F1794A" w:rsidRPr="00F1794A" w:rsidRDefault="00F1794A" w:rsidP="00663E09">
            <w:pPr>
              <w:rPr>
                <w:rFonts w:ascii="Arial" w:eastAsia="Calibri" w:hAnsi="Arial" w:cs="Arial"/>
                <w:kern w:val="2"/>
                <w:sz w:val="22"/>
                <w:szCs w:val="22"/>
                <w:lang w:val="en-PH" w:eastAsia="en-PH"/>
              </w:rPr>
            </w:pPr>
          </w:p>
        </w:tc>
        <w:tc>
          <w:tcPr>
            <w:tcW w:w="1913" w:type="dxa"/>
            <w:vAlign w:val="center"/>
            <w:hideMark/>
          </w:tcPr>
          <w:p w14:paraId="37B2563B" w14:textId="77777777" w:rsidR="00F1794A" w:rsidRPr="00F1794A" w:rsidRDefault="00F1794A" w:rsidP="00663E09">
            <w:pPr>
              <w:jc w:val="both"/>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3.2 Weld checked and repaired if needed</w:t>
            </w:r>
          </w:p>
        </w:tc>
        <w:tc>
          <w:tcPr>
            <w:tcW w:w="0" w:type="auto"/>
            <w:vAlign w:val="center"/>
            <w:hideMark/>
          </w:tcPr>
          <w:p w14:paraId="4FA2D5B9"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17</w:t>
            </w:r>
          </w:p>
        </w:tc>
        <w:tc>
          <w:tcPr>
            <w:tcW w:w="0" w:type="auto"/>
            <w:vAlign w:val="center"/>
            <w:hideMark/>
          </w:tcPr>
          <w:p w14:paraId="34EDEE34"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3</w:t>
            </w:r>
          </w:p>
        </w:tc>
        <w:tc>
          <w:tcPr>
            <w:tcW w:w="0" w:type="auto"/>
            <w:vAlign w:val="center"/>
            <w:hideMark/>
          </w:tcPr>
          <w:p w14:paraId="26D80C1F"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85%</w:t>
            </w:r>
          </w:p>
        </w:tc>
        <w:tc>
          <w:tcPr>
            <w:tcW w:w="960" w:type="dxa"/>
            <w:vAlign w:val="center"/>
            <w:hideMark/>
          </w:tcPr>
          <w:p w14:paraId="4955C2D3" w14:textId="77777777" w:rsidR="00F1794A" w:rsidRPr="00F1794A" w:rsidRDefault="00F1794A" w:rsidP="00663E09">
            <w:pPr>
              <w:jc w:val="center"/>
              <w:rPr>
                <w:rFonts w:ascii="Arial" w:eastAsia="Calibri" w:hAnsi="Arial" w:cs="Arial"/>
                <w:kern w:val="2"/>
                <w:sz w:val="22"/>
                <w:szCs w:val="22"/>
                <w:lang w:val="en-PH" w:eastAsia="en-PH"/>
              </w:rPr>
            </w:pPr>
          </w:p>
        </w:tc>
      </w:tr>
      <w:tr w:rsidR="00F1794A" w:rsidRPr="00F1794A" w14:paraId="42C4EC30" w14:textId="77777777" w:rsidTr="00E21FAD">
        <w:trPr>
          <w:tblCellSpacing w:w="15" w:type="dxa"/>
        </w:trPr>
        <w:tc>
          <w:tcPr>
            <w:tcW w:w="2021" w:type="dxa"/>
            <w:vAlign w:val="center"/>
            <w:hideMark/>
          </w:tcPr>
          <w:p w14:paraId="3647C1B7" w14:textId="77777777" w:rsidR="00F1794A" w:rsidRPr="00F1794A" w:rsidRDefault="00F1794A" w:rsidP="00663E09">
            <w:pPr>
              <w:rPr>
                <w:rFonts w:ascii="Arial" w:eastAsia="Calibri" w:hAnsi="Arial" w:cs="Arial"/>
                <w:kern w:val="2"/>
                <w:sz w:val="22"/>
                <w:szCs w:val="22"/>
                <w:lang w:val="en-PH" w:eastAsia="en-PH"/>
              </w:rPr>
            </w:pPr>
          </w:p>
        </w:tc>
        <w:tc>
          <w:tcPr>
            <w:tcW w:w="1913" w:type="dxa"/>
            <w:vAlign w:val="center"/>
            <w:hideMark/>
          </w:tcPr>
          <w:p w14:paraId="79DF517C" w14:textId="77777777" w:rsidR="00F1794A" w:rsidRPr="00F1794A" w:rsidRDefault="00F1794A" w:rsidP="00663E09">
            <w:pPr>
              <w:jc w:val="both"/>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3.3 Weld acceptable based on standards</w:t>
            </w:r>
          </w:p>
        </w:tc>
        <w:tc>
          <w:tcPr>
            <w:tcW w:w="0" w:type="auto"/>
            <w:vAlign w:val="center"/>
            <w:hideMark/>
          </w:tcPr>
          <w:p w14:paraId="0745F13F"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17</w:t>
            </w:r>
          </w:p>
        </w:tc>
        <w:tc>
          <w:tcPr>
            <w:tcW w:w="0" w:type="auto"/>
            <w:vAlign w:val="center"/>
            <w:hideMark/>
          </w:tcPr>
          <w:p w14:paraId="2144A048"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3</w:t>
            </w:r>
          </w:p>
        </w:tc>
        <w:tc>
          <w:tcPr>
            <w:tcW w:w="0" w:type="auto"/>
            <w:vAlign w:val="center"/>
            <w:hideMark/>
          </w:tcPr>
          <w:p w14:paraId="60C5ABF1"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85%</w:t>
            </w:r>
          </w:p>
        </w:tc>
        <w:tc>
          <w:tcPr>
            <w:tcW w:w="960" w:type="dxa"/>
            <w:vAlign w:val="center"/>
            <w:hideMark/>
          </w:tcPr>
          <w:p w14:paraId="1A6228D3" w14:textId="77777777" w:rsidR="00F1794A" w:rsidRPr="00F1794A" w:rsidRDefault="00F1794A" w:rsidP="00663E09">
            <w:pPr>
              <w:jc w:val="center"/>
              <w:rPr>
                <w:rFonts w:ascii="Arial" w:eastAsia="Calibri" w:hAnsi="Arial" w:cs="Arial"/>
                <w:kern w:val="2"/>
                <w:sz w:val="22"/>
                <w:szCs w:val="22"/>
                <w:lang w:val="en-PH" w:eastAsia="en-PH"/>
              </w:rPr>
            </w:pPr>
          </w:p>
        </w:tc>
      </w:tr>
      <w:tr w:rsidR="00F1794A" w:rsidRPr="00F1794A" w14:paraId="16A81716" w14:textId="77777777" w:rsidTr="00E21FAD">
        <w:trPr>
          <w:tblCellSpacing w:w="15" w:type="dxa"/>
        </w:trPr>
        <w:tc>
          <w:tcPr>
            <w:tcW w:w="2021" w:type="dxa"/>
            <w:vAlign w:val="center"/>
          </w:tcPr>
          <w:p w14:paraId="17A5B67F" w14:textId="77777777" w:rsidR="00F1794A" w:rsidRPr="00F1794A" w:rsidRDefault="00F1794A" w:rsidP="00663E09">
            <w:pPr>
              <w:rPr>
                <w:rFonts w:ascii="Arial" w:eastAsia="Calibri" w:hAnsi="Arial" w:cs="Arial"/>
                <w:kern w:val="2"/>
                <w:sz w:val="22"/>
                <w:szCs w:val="22"/>
                <w:lang w:val="en-PH" w:eastAsia="en-PH"/>
              </w:rPr>
            </w:pPr>
          </w:p>
        </w:tc>
        <w:tc>
          <w:tcPr>
            <w:tcW w:w="1913" w:type="dxa"/>
            <w:vAlign w:val="center"/>
          </w:tcPr>
          <w:p w14:paraId="4B56DD6F" w14:textId="77777777" w:rsidR="00F1794A" w:rsidRPr="00F1794A" w:rsidRDefault="00F1794A" w:rsidP="00663E09">
            <w:pPr>
              <w:jc w:val="both"/>
              <w:rPr>
                <w:rFonts w:ascii="Arial" w:eastAsia="Calibri" w:hAnsi="Arial" w:cs="Arial"/>
                <w:kern w:val="2"/>
                <w:sz w:val="22"/>
                <w:szCs w:val="22"/>
                <w:lang w:val="en-PH" w:eastAsia="en-PH"/>
              </w:rPr>
            </w:pPr>
          </w:p>
        </w:tc>
        <w:tc>
          <w:tcPr>
            <w:tcW w:w="0" w:type="auto"/>
            <w:vAlign w:val="center"/>
          </w:tcPr>
          <w:p w14:paraId="5E79C71C" w14:textId="77777777" w:rsidR="00F1794A" w:rsidRPr="00F1794A" w:rsidRDefault="00F1794A" w:rsidP="00663E09">
            <w:pPr>
              <w:jc w:val="center"/>
              <w:rPr>
                <w:rFonts w:ascii="Arial" w:eastAsia="Calibri" w:hAnsi="Arial" w:cs="Arial"/>
                <w:kern w:val="2"/>
                <w:sz w:val="22"/>
                <w:szCs w:val="22"/>
                <w:lang w:val="en-PH" w:eastAsia="en-PH"/>
              </w:rPr>
            </w:pPr>
          </w:p>
        </w:tc>
        <w:tc>
          <w:tcPr>
            <w:tcW w:w="0" w:type="auto"/>
            <w:vAlign w:val="center"/>
          </w:tcPr>
          <w:p w14:paraId="00D86A92" w14:textId="77777777" w:rsidR="00F1794A" w:rsidRPr="00F1794A" w:rsidRDefault="00F1794A" w:rsidP="00663E09">
            <w:pPr>
              <w:jc w:val="center"/>
              <w:rPr>
                <w:rFonts w:ascii="Arial" w:eastAsia="Calibri" w:hAnsi="Arial" w:cs="Arial"/>
                <w:kern w:val="2"/>
                <w:sz w:val="22"/>
                <w:szCs w:val="22"/>
                <w:lang w:val="en-PH" w:eastAsia="en-PH"/>
              </w:rPr>
            </w:pPr>
          </w:p>
        </w:tc>
        <w:tc>
          <w:tcPr>
            <w:tcW w:w="0" w:type="auto"/>
            <w:vAlign w:val="center"/>
          </w:tcPr>
          <w:p w14:paraId="097D1E03" w14:textId="77777777" w:rsidR="00F1794A" w:rsidRPr="00F1794A" w:rsidRDefault="00F1794A" w:rsidP="00663E09">
            <w:pPr>
              <w:jc w:val="center"/>
              <w:rPr>
                <w:rFonts w:ascii="Arial" w:eastAsia="Calibri" w:hAnsi="Arial" w:cs="Arial"/>
                <w:kern w:val="2"/>
                <w:sz w:val="22"/>
                <w:szCs w:val="22"/>
                <w:lang w:val="en-PH" w:eastAsia="en-PH"/>
              </w:rPr>
            </w:pPr>
          </w:p>
        </w:tc>
        <w:tc>
          <w:tcPr>
            <w:tcW w:w="960" w:type="dxa"/>
            <w:vAlign w:val="center"/>
            <w:hideMark/>
          </w:tcPr>
          <w:p w14:paraId="1FF50AB2" w14:textId="77777777" w:rsidR="00F1794A" w:rsidRPr="00F1794A" w:rsidRDefault="00F1794A" w:rsidP="00663E09">
            <w:pPr>
              <w:jc w:val="center"/>
              <w:rPr>
                <w:rFonts w:ascii="Arial" w:eastAsia="Calibri" w:hAnsi="Arial" w:cs="Arial"/>
                <w:kern w:val="2"/>
                <w:sz w:val="22"/>
                <w:szCs w:val="22"/>
                <w:lang w:val="en-PH" w:eastAsia="en-PH"/>
              </w:rPr>
            </w:pPr>
          </w:p>
        </w:tc>
      </w:tr>
      <w:tr w:rsidR="00F1794A" w:rsidRPr="00F1794A" w14:paraId="1B4F2E0E" w14:textId="77777777" w:rsidTr="00E21FAD">
        <w:trPr>
          <w:tblCellSpacing w:w="15" w:type="dxa"/>
        </w:trPr>
        <w:tc>
          <w:tcPr>
            <w:tcW w:w="2021" w:type="dxa"/>
            <w:vAlign w:val="center"/>
            <w:hideMark/>
          </w:tcPr>
          <w:p w14:paraId="498A5C9A" w14:textId="77777777" w:rsidR="00F1794A" w:rsidRPr="00F1794A" w:rsidRDefault="00F1794A" w:rsidP="00663E09">
            <w:pP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4. Perform Capping</w:t>
            </w:r>
          </w:p>
        </w:tc>
        <w:tc>
          <w:tcPr>
            <w:tcW w:w="1913" w:type="dxa"/>
            <w:vAlign w:val="center"/>
            <w:hideMark/>
          </w:tcPr>
          <w:p w14:paraId="5C0F6B94" w14:textId="77777777" w:rsidR="00F1794A" w:rsidRPr="00F1794A" w:rsidRDefault="00F1794A" w:rsidP="00663E09">
            <w:pPr>
              <w:jc w:val="both"/>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4.1 Capping done according to WPS/specifications</w:t>
            </w:r>
          </w:p>
        </w:tc>
        <w:tc>
          <w:tcPr>
            <w:tcW w:w="0" w:type="auto"/>
            <w:vAlign w:val="center"/>
            <w:hideMark/>
          </w:tcPr>
          <w:p w14:paraId="569EF703"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15</w:t>
            </w:r>
          </w:p>
        </w:tc>
        <w:tc>
          <w:tcPr>
            <w:tcW w:w="0" w:type="auto"/>
            <w:vAlign w:val="center"/>
            <w:hideMark/>
          </w:tcPr>
          <w:p w14:paraId="2B771DA9"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5</w:t>
            </w:r>
          </w:p>
        </w:tc>
        <w:tc>
          <w:tcPr>
            <w:tcW w:w="0" w:type="auto"/>
            <w:vAlign w:val="center"/>
            <w:hideMark/>
          </w:tcPr>
          <w:p w14:paraId="13B9A1A2"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 xml:space="preserve">75%       </w:t>
            </w:r>
          </w:p>
        </w:tc>
        <w:tc>
          <w:tcPr>
            <w:tcW w:w="960" w:type="dxa"/>
            <w:vAlign w:val="center"/>
            <w:hideMark/>
          </w:tcPr>
          <w:p w14:paraId="537A7108"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Least Mastered</w:t>
            </w:r>
          </w:p>
        </w:tc>
      </w:tr>
      <w:tr w:rsidR="00F1794A" w:rsidRPr="00F1794A" w14:paraId="6C77493C" w14:textId="77777777" w:rsidTr="00E21FAD">
        <w:trPr>
          <w:tblCellSpacing w:w="15" w:type="dxa"/>
        </w:trPr>
        <w:tc>
          <w:tcPr>
            <w:tcW w:w="2021" w:type="dxa"/>
            <w:vAlign w:val="center"/>
            <w:hideMark/>
          </w:tcPr>
          <w:p w14:paraId="47A68303" w14:textId="77777777" w:rsidR="00F1794A" w:rsidRPr="00F1794A" w:rsidRDefault="00F1794A" w:rsidP="00663E09">
            <w:pPr>
              <w:rPr>
                <w:rFonts w:ascii="Arial" w:eastAsia="Calibri" w:hAnsi="Arial" w:cs="Arial"/>
                <w:kern w:val="2"/>
                <w:sz w:val="22"/>
                <w:szCs w:val="22"/>
                <w:lang w:val="en-PH" w:eastAsia="en-PH"/>
              </w:rPr>
            </w:pPr>
          </w:p>
        </w:tc>
        <w:tc>
          <w:tcPr>
            <w:tcW w:w="1913" w:type="dxa"/>
            <w:vAlign w:val="center"/>
            <w:hideMark/>
          </w:tcPr>
          <w:p w14:paraId="59FCDF35" w14:textId="77777777" w:rsidR="00F1794A" w:rsidRPr="00F1794A" w:rsidRDefault="00F1794A" w:rsidP="00663E09">
            <w:pPr>
              <w:jc w:val="both"/>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4.2 Weld checked and repaired if needed</w:t>
            </w:r>
          </w:p>
        </w:tc>
        <w:tc>
          <w:tcPr>
            <w:tcW w:w="0" w:type="auto"/>
            <w:vAlign w:val="center"/>
            <w:hideMark/>
          </w:tcPr>
          <w:p w14:paraId="550BDB48"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17</w:t>
            </w:r>
          </w:p>
        </w:tc>
        <w:tc>
          <w:tcPr>
            <w:tcW w:w="0" w:type="auto"/>
            <w:vAlign w:val="center"/>
            <w:hideMark/>
          </w:tcPr>
          <w:p w14:paraId="42E829A1"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3</w:t>
            </w:r>
          </w:p>
        </w:tc>
        <w:tc>
          <w:tcPr>
            <w:tcW w:w="0" w:type="auto"/>
            <w:vAlign w:val="center"/>
            <w:hideMark/>
          </w:tcPr>
          <w:p w14:paraId="5F91E279"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85%</w:t>
            </w:r>
          </w:p>
        </w:tc>
        <w:tc>
          <w:tcPr>
            <w:tcW w:w="960" w:type="dxa"/>
            <w:vAlign w:val="center"/>
            <w:hideMark/>
          </w:tcPr>
          <w:p w14:paraId="7AAA25C1" w14:textId="77777777" w:rsidR="00F1794A" w:rsidRPr="00F1794A" w:rsidRDefault="00F1794A" w:rsidP="00663E09">
            <w:pPr>
              <w:jc w:val="center"/>
              <w:rPr>
                <w:rFonts w:ascii="Arial" w:eastAsia="Calibri" w:hAnsi="Arial" w:cs="Arial"/>
                <w:kern w:val="2"/>
                <w:sz w:val="22"/>
                <w:szCs w:val="22"/>
                <w:lang w:val="en-PH" w:eastAsia="en-PH"/>
              </w:rPr>
            </w:pPr>
          </w:p>
        </w:tc>
      </w:tr>
      <w:tr w:rsidR="00F1794A" w:rsidRPr="00F1794A" w14:paraId="6618CFB8" w14:textId="77777777" w:rsidTr="00E21FAD">
        <w:trPr>
          <w:tblCellSpacing w:w="15" w:type="dxa"/>
        </w:trPr>
        <w:tc>
          <w:tcPr>
            <w:tcW w:w="2021" w:type="dxa"/>
            <w:vAlign w:val="center"/>
            <w:hideMark/>
          </w:tcPr>
          <w:p w14:paraId="374160D5" w14:textId="77777777" w:rsidR="00F1794A" w:rsidRPr="00F1794A" w:rsidRDefault="00F1794A" w:rsidP="00663E09">
            <w:pPr>
              <w:rPr>
                <w:rFonts w:ascii="Arial" w:eastAsia="Calibri" w:hAnsi="Arial" w:cs="Arial"/>
                <w:kern w:val="2"/>
                <w:sz w:val="22"/>
                <w:szCs w:val="22"/>
                <w:lang w:val="en-PH" w:eastAsia="en-PH"/>
              </w:rPr>
            </w:pPr>
          </w:p>
        </w:tc>
        <w:tc>
          <w:tcPr>
            <w:tcW w:w="1913" w:type="dxa"/>
            <w:vAlign w:val="center"/>
            <w:hideMark/>
          </w:tcPr>
          <w:p w14:paraId="622CA3B8" w14:textId="77777777" w:rsidR="00F1794A" w:rsidRPr="00F1794A" w:rsidRDefault="00F1794A" w:rsidP="00663E09">
            <w:pPr>
              <w:jc w:val="both"/>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4.3 Weld acceptable based on standards</w:t>
            </w:r>
          </w:p>
        </w:tc>
        <w:tc>
          <w:tcPr>
            <w:tcW w:w="0" w:type="auto"/>
            <w:vAlign w:val="center"/>
            <w:hideMark/>
          </w:tcPr>
          <w:p w14:paraId="6591A99A"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16</w:t>
            </w:r>
          </w:p>
        </w:tc>
        <w:tc>
          <w:tcPr>
            <w:tcW w:w="0" w:type="auto"/>
            <w:vAlign w:val="center"/>
            <w:hideMark/>
          </w:tcPr>
          <w:p w14:paraId="20245808"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4</w:t>
            </w:r>
          </w:p>
        </w:tc>
        <w:tc>
          <w:tcPr>
            <w:tcW w:w="0" w:type="auto"/>
            <w:vAlign w:val="center"/>
            <w:hideMark/>
          </w:tcPr>
          <w:p w14:paraId="2D51F1A4" w14:textId="77777777" w:rsidR="00F1794A" w:rsidRPr="00F1794A" w:rsidRDefault="00F1794A" w:rsidP="00663E09">
            <w:pPr>
              <w:jc w:val="center"/>
              <w:rPr>
                <w:rFonts w:ascii="Arial" w:eastAsia="Calibri" w:hAnsi="Arial" w:cs="Arial"/>
                <w:kern w:val="2"/>
                <w:sz w:val="22"/>
                <w:szCs w:val="22"/>
                <w:lang w:val="en-PH" w:eastAsia="en-PH"/>
              </w:rPr>
            </w:pPr>
            <w:r w:rsidRPr="00F1794A">
              <w:rPr>
                <w:rFonts w:ascii="Arial" w:eastAsia="Calibri" w:hAnsi="Arial" w:cs="Arial"/>
                <w:kern w:val="2"/>
                <w:sz w:val="22"/>
                <w:szCs w:val="22"/>
                <w:lang w:val="en-PH" w:eastAsia="en-PH"/>
              </w:rPr>
              <w:t>80%</w:t>
            </w:r>
          </w:p>
        </w:tc>
        <w:tc>
          <w:tcPr>
            <w:tcW w:w="960" w:type="dxa"/>
            <w:vAlign w:val="center"/>
            <w:hideMark/>
          </w:tcPr>
          <w:p w14:paraId="3BAFE60A" w14:textId="77777777" w:rsidR="00F1794A" w:rsidRPr="00F1794A" w:rsidRDefault="00F1794A" w:rsidP="00663E09">
            <w:pPr>
              <w:jc w:val="center"/>
              <w:rPr>
                <w:rFonts w:ascii="Arial" w:eastAsia="Calibri" w:hAnsi="Arial" w:cs="Arial"/>
                <w:kern w:val="2"/>
                <w:sz w:val="22"/>
                <w:szCs w:val="22"/>
                <w:lang w:val="en-PH" w:eastAsia="en-PH"/>
              </w:rPr>
            </w:pPr>
          </w:p>
        </w:tc>
      </w:tr>
    </w:tbl>
    <w:p w14:paraId="1205F105" w14:textId="77777777" w:rsidR="00F1794A" w:rsidRDefault="00F1794A" w:rsidP="00906F8D">
      <w:pPr>
        <w:jc w:val="both"/>
        <w:rPr>
          <w:rFonts w:ascii="Arial" w:eastAsia="Book Antiqua" w:hAnsi="Arial" w:cs="Arial"/>
          <w:color w:val="000000"/>
          <w:sz w:val="22"/>
          <w:szCs w:val="22"/>
        </w:rPr>
      </w:pPr>
    </w:p>
    <w:p w14:paraId="5BF213BC" w14:textId="7F2CE666" w:rsidR="00906F8D" w:rsidRPr="00F1794A" w:rsidRDefault="0054374A" w:rsidP="00906F8D">
      <w:pPr>
        <w:jc w:val="both"/>
        <w:rPr>
          <w:rFonts w:ascii="Arial" w:eastAsia="Book Antiqua" w:hAnsi="Arial" w:cs="Arial"/>
          <w:color w:val="000000"/>
          <w:sz w:val="22"/>
          <w:szCs w:val="22"/>
        </w:rPr>
      </w:pPr>
      <w:r w:rsidRPr="0054374A">
        <w:rPr>
          <w:rFonts w:ascii="Arial" w:eastAsia="Book Antiqua" w:hAnsi="Arial" w:cs="Arial"/>
          <w:color w:val="000000"/>
          <w:sz w:val="22"/>
          <w:szCs w:val="22"/>
        </w:rPr>
        <w:t xml:space="preserve">in achieving acceptable weld quality. These findings suggest that students face greater difficulty in both the initial and final stages of the welding process, which require precision, control, and consistency. In contrast, higher levels of competency were observed in Clean Root Pass and Weld Subsequent/Filling Passes, where most </w:t>
      </w:r>
      <w:r w:rsidR="00906F8D" w:rsidRPr="00F1794A">
        <w:rPr>
          <w:rFonts w:ascii="Arial" w:eastAsia="Book Antiqua" w:hAnsi="Arial" w:cs="Arial"/>
          <w:color w:val="000000"/>
          <w:sz w:val="22"/>
          <w:szCs w:val="22"/>
        </w:rPr>
        <w:lastRenderedPageBreak/>
        <w:t>students achieved competency levels ranging from 85% to 90%. This indicates that students are relatively more proficient in intermediate welding tasks, particularly in cleaning and applying additional weld layers, which may involve more repetitive practice and structured guidance during training.</w:t>
      </w:r>
    </w:p>
    <w:p w14:paraId="70EC052F" w14:textId="77777777" w:rsidR="00906F8D" w:rsidRPr="00F1794A" w:rsidRDefault="00906F8D" w:rsidP="00906F8D">
      <w:pPr>
        <w:jc w:val="both"/>
        <w:rPr>
          <w:rFonts w:ascii="Arial" w:eastAsia="Book Antiqua" w:hAnsi="Arial" w:cs="Arial"/>
          <w:color w:val="000000"/>
          <w:sz w:val="22"/>
          <w:szCs w:val="22"/>
        </w:rPr>
      </w:pPr>
    </w:p>
    <w:p w14:paraId="298FDFE0" w14:textId="5DCFCA42" w:rsidR="00906F8D" w:rsidRPr="00F1794A" w:rsidRDefault="00906F8D" w:rsidP="00906F8D">
      <w:pPr>
        <w:jc w:val="both"/>
        <w:rPr>
          <w:rFonts w:ascii="Arial" w:eastAsia="Book Antiqua" w:hAnsi="Arial" w:cs="Arial"/>
          <w:color w:val="000000"/>
          <w:sz w:val="22"/>
          <w:szCs w:val="22"/>
        </w:rPr>
      </w:pPr>
      <w:r w:rsidRPr="00F1794A">
        <w:rPr>
          <w:rFonts w:ascii="Arial" w:eastAsia="Book Antiqua" w:hAnsi="Arial" w:cs="Arial"/>
          <w:color w:val="000000"/>
          <w:sz w:val="22"/>
          <w:szCs w:val="22"/>
        </w:rPr>
        <w:t>The observed pattern of results highlights an important aspect of competency-based assessment. While overall performance may indicate high levels of achievement, detailed analysis at the task level reveals specific areas where learners continue to experience difficulty. According to competency-based training principles, mastery of each stage of a task is essential for ensuring overall skill proficiency and workplace readiness (</w:t>
      </w:r>
      <w:proofErr w:type="spellStart"/>
      <w:r w:rsidRPr="00F1794A">
        <w:rPr>
          <w:rFonts w:ascii="Arial" w:eastAsia="Book Antiqua" w:hAnsi="Arial" w:cs="Arial"/>
          <w:color w:val="000000"/>
          <w:sz w:val="22"/>
          <w:szCs w:val="22"/>
        </w:rPr>
        <w:t>Marope</w:t>
      </w:r>
      <w:proofErr w:type="spellEnd"/>
      <w:r w:rsidRPr="00F1794A">
        <w:rPr>
          <w:rFonts w:ascii="Arial" w:eastAsia="Book Antiqua" w:hAnsi="Arial" w:cs="Arial"/>
          <w:color w:val="000000"/>
          <w:sz w:val="22"/>
          <w:szCs w:val="22"/>
        </w:rPr>
        <w:t xml:space="preserve"> et al., 2015). In welding, both the root pass and capping pass are critical, as errors in these stages can affect the structural integrity and visual acceptability of the weld (Wettaka, 2020). Furthermore, the findings support previous studies emphasizing that technical skills requiring high precision and control are often the most challenging for learners to master (</w:t>
      </w:r>
      <w:proofErr w:type="spellStart"/>
      <w:r w:rsidR="00E46CAA" w:rsidRPr="00F1794A">
        <w:rPr>
          <w:rFonts w:ascii="Arial" w:eastAsia="Book Antiqua" w:hAnsi="Arial" w:cs="Arial"/>
          <w:color w:val="000000"/>
          <w:sz w:val="22"/>
          <w:szCs w:val="22"/>
        </w:rPr>
        <w:t>Tauchid</w:t>
      </w:r>
      <w:proofErr w:type="spellEnd"/>
      <w:r w:rsidR="00E46CAA" w:rsidRPr="00F1794A">
        <w:rPr>
          <w:rFonts w:ascii="Arial" w:eastAsia="Book Antiqua" w:hAnsi="Arial" w:cs="Arial"/>
          <w:color w:val="000000"/>
          <w:sz w:val="22"/>
          <w:szCs w:val="22"/>
        </w:rPr>
        <w:t xml:space="preserve"> et al.</w:t>
      </w:r>
      <w:r w:rsidRPr="00F1794A">
        <w:rPr>
          <w:rFonts w:ascii="Arial" w:eastAsia="Book Antiqua" w:hAnsi="Arial" w:cs="Arial"/>
          <w:color w:val="000000"/>
          <w:sz w:val="22"/>
          <w:szCs w:val="22"/>
        </w:rPr>
        <w:t>, 20</w:t>
      </w:r>
      <w:r w:rsidR="00E46CAA" w:rsidRPr="00F1794A">
        <w:rPr>
          <w:rFonts w:ascii="Arial" w:eastAsia="Book Antiqua" w:hAnsi="Arial" w:cs="Arial"/>
          <w:color w:val="000000"/>
          <w:sz w:val="22"/>
          <w:szCs w:val="22"/>
        </w:rPr>
        <w:t>24</w:t>
      </w:r>
      <w:r w:rsidRPr="00F1794A">
        <w:rPr>
          <w:rFonts w:ascii="Arial" w:eastAsia="Book Antiqua" w:hAnsi="Arial" w:cs="Arial"/>
          <w:color w:val="000000"/>
          <w:sz w:val="22"/>
          <w:szCs w:val="22"/>
        </w:rPr>
        <w:t>). The root pass demands accurate penetration and alignment, while capping requires proper finishing and uniformity, making these stages more complex compared to intermediate welding tasks.</w:t>
      </w:r>
    </w:p>
    <w:p w14:paraId="0F8C5B56" w14:textId="77777777" w:rsidR="00906F8D" w:rsidRPr="00F1794A" w:rsidRDefault="00906F8D" w:rsidP="00906F8D">
      <w:pPr>
        <w:jc w:val="both"/>
        <w:rPr>
          <w:rFonts w:ascii="Arial" w:eastAsia="Book Antiqua" w:hAnsi="Arial" w:cs="Arial"/>
          <w:color w:val="000000"/>
          <w:sz w:val="22"/>
          <w:szCs w:val="22"/>
        </w:rPr>
      </w:pPr>
    </w:p>
    <w:p w14:paraId="5E572164" w14:textId="77777777" w:rsidR="00906F8D" w:rsidRPr="00E21FAD" w:rsidRDefault="00906F8D" w:rsidP="00906F8D">
      <w:pPr>
        <w:jc w:val="both"/>
        <w:rPr>
          <w:rFonts w:ascii="Arial" w:eastAsia="Book Antiqua" w:hAnsi="Arial" w:cs="Arial"/>
          <w:color w:val="000000"/>
          <w:sz w:val="22"/>
          <w:szCs w:val="22"/>
        </w:rPr>
      </w:pPr>
      <w:r w:rsidRPr="00E21FAD">
        <w:rPr>
          <w:rFonts w:ascii="Arial" w:eastAsia="Book Antiqua" w:hAnsi="Arial" w:cs="Arial"/>
          <w:color w:val="000000"/>
          <w:sz w:val="22"/>
          <w:szCs w:val="22"/>
        </w:rPr>
        <w:t>These results suggest the need for targeted training interventions focusing on the least mastered competencies. Enhancing instructional strategies such as increased hands-on practice, guided demonstrations, and focused remediation sessions can help improve student performance in these critical areas. By addressing these specific gaps, training programs can better ensure that students not only achieve certification but also develop a higher level of skill mastery aligned with industry standards.</w:t>
      </w:r>
    </w:p>
    <w:p w14:paraId="16B1107F" w14:textId="77777777" w:rsidR="00906F8D" w:rsidRPr="00906F8D" w:rsidRDefault="00906F8D" w:rsidP="00906F8D">
      <w:pPr>
        <w:jc w:val="both"/>
        <w:rPr>
          <w:rFonts w:ascii="Book Antiqua" w:eastAsia="Book Antiqua" w:hAnsi="Book Antiqua" w:cs="Book Antiqua"/>
          <w:color w:val="000000"/>
        </w:rPr>
      </w:pPr>
    </w:p>
    <w:p w14:paraId="01756AA1" w14:textId="008887AD" w:rsidR="00906F8D" w:rsidRDefault="00C30A0F" w:rsidP="00906F8D">
      <w:pPr>
        <w:pStyle w:val="NoSpacing"/>
        <w:ind w:firstLine="0"/>
        <w:rPr>
          <w:rFonts w:ascii="Arial" w:hAnsi="Arial" w:cs="Arial"/>
          <w:b/>
          <w:i/>
          <w:iCs/>
          <w:sz w:val="22"/>
        </w:rPr>
      </w:pPr>
      <w:r>
        <w:rPr>
          <w:rFonts w:ascii="Arial" w:hAnsi="Arial" w:cs="Arial"/>
          <w:b/>
          <w:caps/>
          <w:sz w:val="22"/>
        </w:rPr>
        <w:t>3</w:t>
      </w:r>
      <w:r w:rsidRPr="00C30A0F">
        <w:rPr>
          <w:rFonts w:ascii="Arial" w:hAnsi="Arial" w:cs="Arial"/>
          <w:b/>
          <w:caps/>
          <w:sz w:val="22"/>
        </w:rPr>
        <w:t xml:space="preserve">.1 </w:t>
      </w:r>
      <w:r w:rsidR="00906F8D" w:rsidRPr="00906F8D">
        <w:rPr>
          <w:rFonts w:ascii="Arial" w:hAnsi="Arial" w:cs="Arial"/>
          <w:b/>
          <w:i/>
          <w:iCs/>
          <w:sz w:val="22"/>
        </w:rPr>
        <w:t>Training Enhancement Plan</w:t>
      </w:r>
    </w:p>
    <w:p w14:paraId="10C9AA47" w14:textId="1BB282FE" w:rsidR="00906F8D" w:rsidRDefault="00906F8D" w:rsidP="00906F8D">
      <w:pPr>
        <w:pStyle w:val="NoSpacing"/>
        <w:ind w:firstLine="0"/>
        <w:rPr>
          <w:rFonts w:ascii="Arial" w:hAnsi="Arial" w:cs="Arial"/>
          <w:b/>
          <w:i/>
          <w:iCs/>
          <w:sz w:val="22"/>
        </w:rPr>
      </w:pPr>
    </w:p>
    <w:p w14:paraId="1DB8331C" w14:textId="441708C0" w:rsidR="00906F8D" w:rsidRPr="00E21FAD" w:rsidRDefault="00906F8D" w:rsidP="00906F8D">
      <w:pPr>
        <w:ind w:right="49"/>
        <w:jc w:val="both"/>
        <w:rPr>
          <w:rFonts w:ascii="Arial" w:eastAsia="Book Antiqua" w:hAnsi="Arial" w:cs="Arial"/>
          <w:color w:val="000000"/>
          <w:sz w:val="22"/>
          <w:szCs w:val="22"/>
          <w:lang w:val="en-PH" w:eastAsia="en-PH"/>
        </w:rPr>
      </w:pPr>
      <w:r w:rsidRPr="00E21FAD">
        <w:rPr>
          <w:rFonts w:ascii="Arial" w:eastAsia="Book Antiqua" w:hAnsi="Arial" w:cs="Arial"/>
          <w:color w:val="000000"/>
          <w:sz w:val="22"/>
          <w:szCs w:val="22"/>
        </w:rPr>
        <w:t xml:space="preserve">Table 3 presents the proposed intervention is a strategic Training Enhancement Plan designed to address specific technical gaps in Shielded Metal Arc Welding (SMAW) instruction. The primary focus of this plan is to improve precision and consistency in the root pass and capping stages, which are currently identified as areas where learners lack mastery. By focusing on these high-stakes competencies, the program aims to shift from a general assessment-based approach to a more rigorous, </w:t>
      </w:r>
    </w:p>
    <w:tbl>
      <w:tblPr>
        <w:tblW w:w="0" w:type="auto"/>
        <w:tblCellSpacing w:w="1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15" w:type="dxa"/>
          <w:left w:w="15" w:type="dxa"/>
          <w:bottom w:w="15" w:type="dxa"/>
          <w:right w:w="15" w:type="dxa"/>
        </w:tblCellMar>
        <w:tblLook w:val="04A0" w:firstRow="1" w:lastRow="0" w:firstColumn="1" w:lastColumn="0" w:noHBand="0" w:noVBand="1"/>
      </w:tblPr>
      <w:tblGrid>
        <w:gridCol w:w="1463"/>
        <w:gridCol w:w="1557"/>
        <w:gridCol w:w="1916"/>
        <w:gridCol w:w="1645"/>
        <w:gridCol w:w="1611"/>
      </w:tblGrid>
      <w:tr w:rsidR="00906F8D" w:rsidRPr="00E21FAD" w14:paraId="63A79F7B" w14:textId="77777777" w:rsidTr="001357D6">
        <w:trPr>
          <w:tblHeader/>
          <w:tblCellSpacing w:w="15" w:type="dxa"/>
        </w:trPr>
        <w:tc>
          <w:tcPr>
            <w:tcW w:w="0" w:type="auto"/>
            <w:vAlign w:val="center"/>
            <w:hideMark/>
          </w:tcPr>
          <w:p w14:paraId="0BD84FB0" w14:textId="77777777" w:rsidR="00906F8D" w:rsidRPr="00E21FAD" w:rsidRDefault="00906F8D" w:rsidP="00E21FAD">
            <w:pPr>
              <w:ind w:right="49"/>
              <w:jc w:val="center"/>
              <w:rPr>
                <w:rFonts w:ascii="Arial" w:eastAsia="Calibri" w:hAnsi="Arial" w:cs="Arial"/>
                <w:b/>
                <w:bCs/>
                <w:kern w:val="2"/>
                <w:sz w:val="22"/>
                <w:szCs w:val="22"/>
                <w:lang w:val="en-PH" w:eastAsia="en-PH"/>
              </w:rPr>
            </w:pPr>
            <w:r w:rsidRPr="00E21FAD">
              <w:rPr>
                <w:rFonts w:ascii="Arial" w:eastAsia="Calibri" w:hAnsi="Arial" w:cs="Arial"/>
                <w:b/>
                <w:bCs/>
                <w:kern w:val="2"/>
                <w:sz w:val="22"/>
                <w:szCs w:val="22"/>
                <w:lang w:val="en-PH" w:eastAsia="en-PH"/>
              </w:rPr>
              <w:t>Focus Area</w:t>
            </w:r>
          </w:p>
        </w:tc>
        <w:tc>
          <w:tcPr>
            <w:tcW w:w="1687" w:type="dxa"/>
            <w:vAlign w:val="center"/>
            <w:hideMark/>
          </w:tcPr>
          <w:p w14:paraId="0475BD20" w14:textId="77777777" w:rsidR="00906F8D" w:rsidRPr="00E21FAD" w:rsidRDefault="00906F8D" w:rsidP="00E21FAD">
            <w:pPr>
              <w:ind w:right="49"/>
              <w:jc w:val="center"/>
              <w:rPr>
                <w:rFonts w:ascii="Arial" w:eastAsia="Calibri" w:hAnsi="Arial" w:cs="Arial"/>
                <w:b/>
                <w:bCs/>
                <w:kern w:val="2"/>
                <w:sz w:val="22"/>
                <w:szCs w:val="22"/>
                <w:lang w:val="en-PH" w:eastAsia="en-PH"/>
              </w:rPr>
            </w:pPr>
            <w:r w:rsidRPr="00E21FAD">
              <w:rPr>
                <w:rFonts w:ascii="Arial" w:eastAsia="Calibri" w:hAnsi="Arial" w:cs="Arial"/>
                <w:b/>
                <w:bCs/>
                <w:kern w:val="2"/>
                <w:sz w:val="22"/>
                <w:szCs w:val="22"/>
                <w:lang w:val="en-PH" w:eastAsia="en-PH"/>
              </w:rPr>
              <w:t>Identified Gaps / Challenges</w:t>
            </w:r>
          </w:p>
        </w:tc>
        <w:tc>
          <w:tcPr>
            <w:tcW w:w="2358" w:type="dxa"/>
            <w:vAlign w:val="center"/>
            <w:hideMark/>
          </w:tcPr>
          <w:p w14:paraId="33E53238" w14:textId="77777777" w:rsidR="00906F8D" w:rsidRPr="00E21FAD" w:rsidRDefault="00906F8D" w:rsidP="00E21FAD">
            <w:pPr>
              <w:ind w:right="49"/>
              <w:jc w:val="center"/>
              <w:rPr>
                <w:rFonts w:ascii="Arial" w:eastAsia="Calibri" w:hAnsi="Arial" w:cs="Arial"/>
                <w:b/>
                <w:bCs/>
                <w:kern w:val="2"/>
                <w:sz w:val="22"/>
                <w:szCs w:val="22"/>
                <w:lang w:val="en-PH" w:eastAsia="en-PH"/>
              </w:rPr>
            </w:pPr>
            <w:r w:rsidRPr="00E21FAD">
              <w:rPr>
                <w:rFonts w:ascii="Arial" w:eastAsia="Calibri" w:hAnsi="Arial" w:cs="Arial"/>
                <w:b/>
                <w:bCs/>
                <w:kern w:val="2"/>
                <w:sz w:val="22"/>
                <w:szCs w:val="22"/>
                <w:lang w:val="en-PH" w:eastAsia="en-PH"/>
              </w:rPr>
              <w:t>Proposed Strategies / Interventions</w:t>
            </w:r>
          </w:p>
        </w:tc>
        <w:tc>
          <w:tcPr>
            <w:tcW w:w="1903" w:type="dxa"/>
            <w:vAlign w:val="center"/>
            <w:hideMark/>
          </w:tcPr>
          <w:p w14:paraId="7AC44DA8" w14:textId="77777777" w:rsidR="00906F8D" w:rsidRPr="00E21FAD" w:rsidRDefault="00906F8D" w:rsidP="00E21FAD">
            <w:pPr>
              <w:ind w:right="49"/>
              <w:jc w:val="center"/>
              <w:rPr>
                <w:rFonts w:ascii="Arial" w:eastAsia="Calibri" w:hAnsi="Arial" w:cs="Arial"/>
                <w:b/>
                <w:bCs/>
                <w:kern w:val="2"/>
                <w:sz w:val="22"/>
                <w:szCs w:val="22"/>
                <w:lang w:val="en-PH" w:eastAsia="en-PH"/>
              </w:rPr>
            </w:pPr>
            <w:r w:rsidRPr="00E21FAD">
              <w:rPr>
                <w:rFonts w:ascii="Arial" w:eastAsia="Calibri" w:hAnsi="Arial" w:cs="Arial"/>
                <w:b/>
                <w:bCs/>
                <w:kern w:val="2"/>
                <w:sz w:val="22"/>
                <w:szCs w:val="22"/>
                <w:lang w:val="en-PH" w:eastAsia="en-PH"/>
              </w:rPr>
              <w:t>Expected Outcomes / Impact</w:t>
            </w:r>
          </w:p>
        </w:tc>
        <w:tc>
          <w:tcPr>
            <w:tcW w:w="1837" w:type="dxa"/>
            <w:vAlign w:val="center"/>
            <w:hideMark/>
          </w:tcPr>
          <w:p w14:paraId="57E41287" w14:textId="77777777" w:rsidR="00906F8D" w:rsidRPr="00E21FAD" w:rsidRDefault="00906F8D" w:rsidP="00E21FAD">
            <w:pPr>
              <w:ind w:right="49"/>
              <w:jc w:val="center"/>
              <w:rPr>
                <w:rFonts w:ascii="Arial" w:eastAsia="Calibri" w:hAnsi="Arial" w:cs="Arial"/>
                <w:b/>
                <w:bCs/>
                <w:kern w:val="2"/>
                <w:sz w:val="22"/>
                <w:szCs w:val="22"/>
                <w:lang w:val="en-PH" w:eastAsia="en-PH"/>
              </w:rPr>
            </w:pPr>
            <w:r w:rsidRPr="00E21FAD">
              <w:rPr>
                <w:rFonts w:ascii="Arial" w:eastAsia="Calibri" w:hAnsi="Arial" w:cs="Arial"/>
                <w:b/>
                <w:bCs/>
                <w:kern w:val="2"/>
                <w:sz w:val="22"/>
                <w:szCs w:val="22"/>
                <w:lang w:val="en-PH" w:eastAsia="en-PH"/>
              </w:rPr>
              <w:t>Alignment / Notes</w:t>
            </w:r>
          </w:p>
        </w:tc>
      </w:tr>
      <w:tr w:rsidR="00906F8D" w:rsidRPr="00E21FAD" w14:paraId="14592D8E" w14:textId="77777777" w:rsidTr="001357D6">
        <w:trPr>
          <w:tblCellSpacing w:w="15" w:type="dxa"/>
        </w:trPr>
        <w:tc>
          <w:tcPr>
            <w:tcW w:w="0" w:type="auto"/>
            <w:vAlign w:val="center"/>
            <w:hideMark/>
          </w:tcPr>
          <w:p w14:paraId="309E14BD" w14:textId="77777777" w:rsidR="00906F8D" w:rsidRPr="00E21FAD" w:rsidRDefault="00906F8D" w:rsidP="00906F8D">
            <w:pPr>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Targeted Skills Development</w:t>
            </w:r>
          </w:p>
        </w:tc>
        <w:tc>
          <w:tcPr>
            <w:tcW w:w="1687" w:type="dxa"/>
            <w:vAlign w:val="center"/>
            <w:hideMark/>
          </w:tcPr>
          <w:p w14:paraId="3B8E7572" w14:textId="77777777" w:rsidR="00906F8D" w:rsidRPr="00E21FAD" w:rsidRDefault="00906F8D" w:rsidP="00906F8D">
            <w:pPr>
              <w:jc w:val="both"/>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Root pass and capping stages are less mastered; require precision, control, and consistency</w:t>
            </w:r>
          </w:p>
        </w:tc>
        <w:tc>
          <w:tcPr>
            <w:tcW w:w="2358" w:type="dxa"/>
            <w:vAlign w:val="center"/>
            <w:hideMark/>
          </w:tcPr>
          <w:p w14:paraId="633C67A2" w14:textId="77777777" w:rsidR="00906F8D" w:rsidRPr="00E21FAD" w:rsidRDefault="00906F8D" w:rsidP="00906F8D">
            <w:pPr>
              <w:jc w:val="both"/>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 xml:space="preserve">-Intensive, competency-focused practice sessions (arc striking, electrode manipulation, bead control, finishing) </w:t>
            </w:r>
            <w:r w:rsidRPr="00E21FAD">
              <w:rPr>
                <w:rFonts w:ascii="Arial" w:eastAsia="Calibri" w:hAnsi="Arial" w:cs="Arial"/>
                <w:kern w:val="2"/>
                <w:sz w:val="22"/>
                <w:szCs w:val="22"/>
                <w:lang w:val="en-PH" w:eastAsia="en-PH"/>
              </w:rPr>
              <w:br/>
              <w:t xml:space="preserve">- Supervised lab exercises with </w:t>
            </w:r>
            <w:r w:rsidRPr="00E21FAD">
              <w:rPr>
                <w:rFonts w:ascii="Arial" w:eastAsia="Calibri" w:hAnsi="Arial" w:cs="Arial"/>
                <w:kern w:val="2"/>
                <w:sz w:val="22"/>
                <w:szCs w:val="22"/>
                <w:lang w:val="en-PH" w:eastAsia="en-PH"/>
              </w:rPr>
              <w:lastRenderedPageBreak/>
              <w:t xml:space="preserve">real-time feedback </w:t>
            </w:r>
            <w:r w:rsidRPr="00E21FAD">
              <w:rPr>
                <w:rFonts w:ascii="Arial" w:eastAsia="Calibri" w:hAnsi="Arial" w:cs="Arial"/>
                <w:kern w:val="2"/>
                <w:sz w:val="22"/>
                <w:szCs w:val="22"/>
                <w:lang w:val="en-PH" w:eastAsia="en-PH"/>
              </w:rPr>
              <w:br/>
              <w:t xml:space="preserve">- Simulation-based training for controlled practice </w:t>
            </w:r>
            <w:r w:rsidRPr="00E21FAD">
              <w:rPr>
                <w:rFonts w:ascii="Arial" w:eastAsia="Calibri" w:hAnsi="Arial" w:cs="Arial"/>
                <w:kern w:val="2"/>
                <w:sz w:val="22"/>
                <w:szCs w:val="22"/>
                <w:lang w:val="en-PH" w:eastAsia="en-PH"/>
              </w:rPr>
              <w:br/>
              <w:t>- Mentorship or peer-assisted learning programs</w:t>
            </w:r>
          </w:p>
        </w:tc>
        <w:tc>
          <w:tcPr>
            <w:tcW w:w="1903" w:type="dxa"/>
            <w:vAlign w:val="center"/>
            <w:hideMark/>
          </w:tcPr>
          <w:p w14:paraId="1F60AE29" w14:textId="77777777" w:rsidR="00906F8D" w:rsidRPr="00E21FAD" w:rsidRDefault="00906F8D" w:rsidP="00906F8D">
            <w:pPr>
              <w:jc w:val="both"/>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lastRenderedPageBreak/>
              <w:t xml:space="preserve">- Improved precision and consistency in root pass and capping </w:t>
            </w:r>
            <w:r w:rsidRPr="00E21FAD">
              <w:rPr>
                <w:rFonts w:ascii="Arial" w:eastAsia="Calibri" w:hAnsi="Arial" w:cs="Arial"/>
                <w:kern w:val="2"/>
                <w:sz w:val="22"/>
                <w:szCs w:val="22"/>
                <w:lang w:val="en-PH" w:eastAsia="en-PH"/>
              </w:rPr>
              <w:br/>
              <w:t xml:space="preserve">- Reduced errors during actual welding </w:t>
            </w:r>
            <w:r w:rsidRPr="00E21FAD">
              <w:rPr>
                <w:rFonts w:ascii="Arial" w:eastAsia="Calibri" w:hAnsi="Arial" w:cs="Arial"/>
                <w:kern w:val="2"/>
                <w:sz w:val="22"/>
                <w:szCs w:val="22"/>
                <w:lang w:val="en-PH" w:eastAsia="en-PH"/>
              </w:rPr>
              <w:br/>
              <w:t xml:space="preserve">- Increased learner </w:t>
            </w:r>
            <w:r w:rsidRPr="00E21FAD">
              <w:rPr>
                <w:rFonts w:ascii="Arial" w:eastAsia="Calibri" w:hAnsi="Arial" w:cs="Arial"/>
                <w:kern w:val="2"/>
                <w:sz w:val="22"/>
                <w:szCs w:val="22"/>
                <w:lang w:val="en-PH" w:eastAsia="en-PH"/>
              </w:rPr>
              <w:lastRenderedPageBreak/>
              <w:t>confidence and skill acquisition</w:t>
            </w:r>
          </w:p>
        </w:tc>
        <w:tc>
          <w:tcPr>
            <w:tcW w:w="1837" w:type="dxa"/>
            <w:vAlign w:val="center"/>
            <w:hideMark/>
          </w:tcPr>
          <w:p w14:paraId="5B061B7B" w14:textId="77777777" w:rsidR="00906F8D" w:rsidRPr="00E21FAD" w:rsidRDefault="00906F8D" w:rsidP="00906F8D">
            <w:pPr>
              <w:jc w:val="both"/>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lastRenderedPageBreak/>
              <w:t>Supports learner-centered, hands-on development; addresses critical weak areas directly</w:t>
            </w:r>
          </w:p>
        </w:tc>
      </w:tr>
      <w:tr w:rsidR="00906F8D" w:rsidRPr="00E21FAD" w14:paraId="6615E1BD" w14:textId="77777777" w:rsidTr="001357D6">
        <w:trPr>
          <w:tblCellSpacing w:w="15" w:type="dxa"/>
        </w:trPr>
        <w:tc>
          <w:tcPr>
            <w:tcW w:w="0" w:type="auto"/>
            <w:vAlign w:val="center"/>
            <w:hideMark/>
          </w:tcPr>
          <w:p w14:paraId="3C355B55" w14:textId="77777777" w:rsidR="00906F8D" w:rsidRPr="00E21FAD" w:rsidRDefault="00906F8D" w:rsidP="00906F8D">
            <w:pPr>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Curriculum Enhancement</w:t>
            </w:r>
          </w:p>
        </w:tc>
        <w:tc>
          <w:tcPr>
            <w:tcW w:w="1687" w:type="dxa"/>
            <w:vAlign w:val="center"/>
            <w:hideMark/>
          </w:tcPr>
          <w:p w14:paraId="65FD8EF0" w14:textId="77777777" w:rsidR="00906F8D" w:rsidRPr="00E21FAD" w:rsidRDefault="00906F8D" w:rsidP="00906F8D">
            <w:pPr>
              <w:jc w:val="both"/>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Existing SMAW syllabus insufficient emphasis on challenging competencies</w:t>
            </w:r>
          </w:p>
        </w:tc>
        <w:tc>
          <w:tcPr>
            <w:tcW w:w="2358" w:type="dxa"/>
            <w:vAlign w:val="center"/>
            <w:hideMark/>
          </w:tcPr>
          <w:p w14:paraId="4B617CD5" w14:textId="77777777" w:rsidR="00906F8D" w:rsidRPr="00E21FAD" w:rsidRDefault="00906F8D" w:rsidP="00906F8D">
            <w:pPr>
              <w:jc w:val="both"/>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 xml:space="preserve">- Restructure training sequence to prioritize root pass and capping </w:t>
            </w:r>
            <w:r w:rsidRPr="00E21FAD">
              <w:rPr>
                <w:rFonts w:ascii="Arial" w:eastAsia="Calibri" w:hAnsi="Arial" w:cs="Arial"/>
                <w:kern w:val="2"/>
                <w:sz w:val="22"/>
                <w:szCs w:val="22"/>
                <w:lang w:val="en-PH" w:eastAsia="en-PH"/>
              </w:rPr>
              <w:br/>
              <w:t xml:space="preserve">- Additional hands-on exercises and repetitive skill drills </w:t>
            </w:r>
            <w:r w:rsidRPr="00E21FAD">
              <w:rPr>
                <w:rFonts w:ascii="Arial" w:eastAsia="Calibri" w:hAnsi="Arial" w:cs="Arial"/>
                <w:kern w:val="2"/>
                <w:sz w:val="22"/>
                <w:szCs w:val="22"/>
                <w:lang w:val="en-PH" w:eastAsia="en-PH"/>
              </w:rPr>
              <w:br/>
              <w:t xml:space="preserve">- Step-by-step demonstrations and guided instruction </w:t>
            </w:r>
            <w:r w:rsidRPr="00E21FAD">
              <w:rPr>
                <w:rFonts w:ascii="Arial" w:eastAsia="Calibri" w:hAnsi="Arial" w:cs="Arial"/>
                <w:kern w:val="2"/>
                <w:sz w:val="22"/>
                <w:szCs w:val="22"/>
                <w:lang w:val="en-PH" w:eastAsia="en-PH"/>
              </w:rPr>
              <w:br/>
              <w:t>- Formative assessment checkpoints throughout program</w:t>
            </w:r>
          </w:p>
        </w:tc>
        <w:tc>
          <w:tcPr>
            <w:tcW w:w="1903" w:type="dxa"/>
            <w:vAlign w:val="center"/>
            <w:hideMark/>
          </w:tcPr>
          <w:p w14:paraId="75FEC394" w14:textId="77777777" w:rsidR="00906F8D" w:rsidRPr="00E21FAD" w:rsidRDefault="00906F8D" w:rsidP="00906F8D">
            <w:pPr>
              <w:jc w:val="both"/>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 xml:space="preserve">- Mastery of critical welding stages </w:t>
            </w:r>
            <w:r w:rsidRPr="00E21FAD">
              <w:rPr>
                <w:rFonts w:ascii="Arial" w:eastAsia="Calibri" w:hAnsi="Arial" w:cs="Arial"/>
                <w:kern w:val="2"/>
                <w:sz w:val="22"/>
                <w:szCs w:val="22"/>
                <w:lang w:val="en-PH" w:eastAsia="en-PH"/>
              </w:rPr>
              <w:br/>
              <w:t xml:space="preserve">- Early identification of learning gaps </w:t>
            </w:r>
            <w:r w:rsidRPr="00E21FAD">
              <w:rPr>
                <w:rFonts w:ascii="Arial" w:eastAsia="Calibri" w:hAnsi="Arial" w:cs="Arial"/>
                <w:kern w:val="2"/>
                <w:sz w:val="22"/>
                <w:szCs w:val="22"/>
                <w:lang w:val="en-PH" w:eastAsia="en-PH"/>
              </w:rPr>
              <w:br/>
              <w:t>- Timely remediation and progressive skill reinforcement</w:t>
            </w:r>
          </w:p>
        </w:tc>
        <w:tc>
          <w:tcPr>
            <w:tcW w:w="1837" w:type="dxa"/>
            <w:vAlign w:val="center"/>
            <w:hideMark/>
          </w:tcPr>
          <w:p w14:paraId="49A1FA8D" w14:textId="77777777" w:rsidR="00906F8D" w:rsidRPr="00E21FAD" w:rsidRDefault="00906F8D" w:rsidP="00906F8D">
            <w:pPr>
              <w:jc w:val="both"/>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Aligns with evidence-based instructional design; ensures continuous competency monitoring</w:t>
            </w:r>
          </w:p>
        </w:tc>
      </w:tr>
      <w:tr w:rsidR="00906F8D" w:rsidRPr="00E21FAD" w14:paraId="598C89A4" w14:textId="77777777" w:rsidTr="001357D6">
        <w:trPr>
          <w:tblCellSpacing w:w="15" w:type="dxa"/>
        </w:trPr>
        <w:tc>
          <w:tcPr>
            <w:tcW w:w="0" w:type="auto"/>
            <w:vAlign w:val="center"/>
            <w:hideMark/>
          </w:tcPr>
          <w:p w14:paraId="70820CCA" w14:textId="77777777" w:rsidR="00906F8D" w:rsidRPr="00E21FAD" w:rsidRDefault="00906F8D" w:rsidP="00906F8D">
            <w:pPr>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Alignment with TESDA &amp; Industry Needs</w:t>
            </w:r>
          </w:p>
        </w:tc>
        <w:tc>
          <w:tcPr>
            <w:tcW w:w="1687" w:type="dxa"/>
            <w:vAlign w:val="center"/>
            <w:hideMark/>
          </w:tcPr>
          <w:p w14:paraId="48318842" w14:textId="77777777" w:rsidR="00906F8D" w:rsidRPr="00E21FAD" w:rsidRDefault="00906F8D" w:rsidP="00906F8D">
            <w:pPr>
              <w:jc w:val="both"/>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Ensuring NC II competency translates to workplace readiness</w:t>
            </w:r>
          </w:p>
        </w:tc>
        <w:tc>
          <w:tcPr>
            <w:tcW w:w="2358" w:type="dxa"/>
            <w:vAlign w:val="center"/>
            <w:hideMark/>
          </w:tcPr>
          <w:p w14:paraId="2F4534F4" w14:textId="77777777" w:rsidR="00906F8D" w:rsidRPr="00E21FAD" w:rsidRDefault="00906F8D" w:rsidP="00906F8D">
            <w:pPr>
              <w:jc w:val="both"/>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 xml:space="preserve">- Strengthen instruction to meet NC II competency standards </w:t>
            </w:r>
            <w:r w:rsidRPr="00E21FAD">
              <w:rPr>
                <w:rFonts w:ascii="Arial" w:eastAsia="Calibri" w:hAnsi="Arial" w:cs="Arial"/>
                <w:kern w:val="2"/>
                <w:sz w:val="22"/>
                <w:szCs w:val="22"/>
                <w:lang w:val="en-PH" w:eastAsia="en-PH"/>
              </w:rPr>
              <w:br/>
              <w:t xml:space="preserve">- Focus on skill retention and employability relevance </w:t>
            </w:r>
            <w:r w:rsidRPr="00E21FAD">
              <w:rPr>
                <w:rFonts w:ascii="Arial" w:eastAsia="Calibri" w:hAnsi="Arial" w:cs="Arial"/>
                <w:kern w:val="2"/>
                <w:sz w:val="22"/>
                <w:szCs w:val="22"/>
                <w:lang w:val="en-PH" w:eastAsia="en-PH"/>
              </w:rPr>
              <w:br/>
              <w:t>- Encourage advanced certification and adaptation to industry demands</w:t>
            </w:r>
          </w:p>
        </w:tc>
        <w:tc>
          <w:tcPr>
            <w:tcW w:w="1903" w:type="dxa"/>
            <w:vAlign w:val="center"/>
            <w:hideMark/>
          </w:tcPr>
          <w:p w14:paraId="0D0D3A7A" w14:textId="77777777" w:rsidR="00906F8D" w:rsidRPr="00E21FAD" w:rsidRDefault="00906F8D" w:rsidP="00906F8D">
            <w:pPr>
              <w:jc w:val="both"/>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 xml:space="preserve">- Graduates demonstrate structural integrity and visual quality in welding tasks </w:t>
            </w:r>
            <w:r w:rsidRPr="00E21FAD">
              <w:rPr>
                <w:rFonts w:ascii="Arial" w:eastAsia="Calibri" w:hAnsi="Arial" w:cs="Arial"/>
                <w:kern w:val="2"/>
                <w:sz w:val="22"/>
                <w:szCs w:val="22"/>
                <w:lang w:val="en-PH" w:eastAsia="en-PH"/>
              </w:rPr>
              <w:br/>
              <w:t xml:space="preserve">- Increased employability and productivity </w:t>
            </w:r>
            <w:r w:rsidRPr="00E21FAD">
              <w:rPr>
                <w:rFonts w:ascii="Arial" w:eastAsia="Calibri" w:hAnsi="Arial" w:cs="Arial"/>
                <w:kern w:val="2"/>
                <w:sz w:val="22"/>
                <w:szCs w:val="22"/>
                <w:lang w:val="en-PH" w:eastAsia="en-PH"/>
              </w:rPr>
              <w:br/>
              <w:t>- Long-term retention of core welding competencies</w:t>
            </w:r>
          </w:p>
        </w:tc>
        <w:tc>
          <w:tcPr>
            <w:tcW w:w="1837" w:type="dxa"/>
            <w:vAlign w:val="center"/>
            <w:hideMark/>
          </w:tcPr>
          <w:p w14:paraId="4F8918E3" w14:textId="77777777" w:rsidR="00906F8D" w:rsidRPr="00E21FAD" w:rsidRDefault="00906F8D" w:rsidP="00906F8D">
            <w:pPr>
              <w:jc w:val="both"/>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Aligns with TESDA competency-based standards and industry expectations; enhances workforce readiness</w:t>
            </w:r>
          </w:p>
        </w:tc>
      </w:tr>
      <w:tr w:rsidR="00906F8D" w:rsidRPr="00E21FAD" w14:paraId="22803BC3" w14:textId="77777777" w:rsidTr="001357D6">
        <w:trPr>
          <w:tblCellSpacing w:w="15" w:type="dxa"/>
        </w:trPr>
        <w:tc>
          <w:tcPr>
            <w:tcW w:w="0" w:type="auto"/>
            <w:vAlign w:val="center"/>
            <w:hideMark/>
          </w:tcPr>
          <w:p w14:paraId="7F8935DC" w14:textId="77777777" w:rsidR="00906F8D" w:rsidRPr="00E21FAD" w:rsidRDefault="00906F8D" w:rsidP="00906F8D">
            <w:pPr>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Overall Insight</w:t>
            </w:r>
          </w:p>
        </w:tc>
        <w:tc>
          <w:tcPr>
            <w:tcW w:w="1687" w:type="dxa"/>
            <w:vAlign w:val="center"/>
            <w:hideMark/>
          </w:tcPr>
          <w:p w14:paraId="4DE43E98" w14:textId="77777777" w:rsidR="00906F8D" w:rsidRPr="00E21FAD" w:rsidRDefault="00906F8D" w:rsidP="00906F8D">
            <w:pPr>
              <w:jc w:val="both"/>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Competency goes beyond passing assessments</w:t>
            </w:r>
          </w:p>
        </w:tc>
        <w:tc>
          <w:tcPr>
            <w:tcW w:w="2358" w:type="dxa"/>
            <w:vAlign w:val="center"/>
            <w:hideMark/>
          </w:tcPr>
          <w:p w14:paraId="484228DB" w14:textId="77777777" w:rsidR="00906F8D" w:rsidRPr="00E21FAD" w:rsidRDefault="00906F8D" w:rsidP="00906F8D">
            <w:pPr>
              <w:jc w:val="both"/>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t xml:space="preserve">- Implement integrated, targeted, and standards-aligned training </w:t>
            </w:r>
            <w:r w:rsidRPr="00E21FAD">
              <w:rPr>
                <w:rFonts w:ascii="Arial" w:eastAsia="Calibri" w:hAnsi="Arial" w:cs="Arial"/>
                <w:kern w:val="2"/>
                <w:sz w:val="22"/>
                <w:szCs w:val="22"/>
                <w:lang w:val="en-PH" w:eastAsia="en-PH"/>
              </w:rPr>
              <w:br/>
              <w:t xml:space="preserve">- Emphasize depth of skill mastery </w:t>
            </w:r>
            <w:r w:rsidRPr="00E21FAD">
              <w:rPr>
                <w:rFonts w:ascii="Arial" w:eastAsia="Calibri" w:hAnsi="Arial" w:cs="Arial"/>
                <w:kern w:val="2"/>
                <w:sz w:val="22"/>
                <w:szCs w:val="22"/>
                <w:lang w:val="en-PH" w:eastAsia="en-PH"/>
              </w:rPr>
              <w:lastRenderedPageBreak/>
              <w:t>through practice and feedback</w:t>
            </w:r>
          </w:p>
        </w:tc>
        <w:tc>
          <w:tcPr>
            <w:tcW w:w="1903" w:type="dxa"/>
            <w:vAlign w:val="center"/>
            <w:hideMark/>
          </w:tcPr>
          <w:p w14:paraId="2D263905" w14:textId="77777777" w:rsidR="00906F8D" w:rsidRPr="00E21FAD" w:rsidRDefault="00906F8D" w:rsidP="00906F8D">
            <w:pPr>
              <w:jc w:val="both"/>
              <w:rPr>
                <w:rFonts w:ascii="Arial" w:eastAsia="Calibri" w:hAnsi="Arial" w:cs="Arial"/>
                <w:kern w:val="2"/>
                <w:sz w:val="22"/>
                <w:szCs w:val="22"/>
                <w:lang w:val="en-PH" w:eastAsia="en-PH"/>
              </w:rPr>
            </w:pPr>
            <w:r w:rsidRPr="00E21FAD">
              <w:rPr>
                <w:rFonts w:ascii="Arial" w:eastAsia="Calibri" w:hAnsi="Arial" w:cs="Arial"/>
                <w:kern w:val="2"/>
                <w:sz w:val="22"/>
                <w:szCs w:val="22"/>
                <w:lang w:val="en-PH" w:eastAsia="en-PH"/>
              </w:rPr>
              <w:lastRenderedPageBreak/>
              <w:t xml:space="preserve">- Students better prepared for real-world welding </w:t>
            </w:r>
            <w:r w:rsidRPr="00E21FAD">
              <w:rPr>
                <w:rFonts w:ascii="Arial" w:eastAsia="Calibri" w:hAnsi="Arial" w:cs="Arial"/>
                <w:kern w:val="2"/>
                <w:sz w:val="22"/>
                <w:szCs w:val="22"/>
                <w:lang w:val="en-PH" w:eastAsia="en-PH"/>
              </w:rPr>
              <w:br/>
              <w:t xml:space="preserve">- Enhanced quality of </w:t>
            </w:r>
            <w:r w:rsidRPr="00E21FAD">
              <w:rPr>
                <w:rFonts w:ascii="Arial" w:eastAsia="Calibri" w:hAnsi="Arial" w:cs="Arial"/>
                <w:kern w:val="2"/>
                <w:sz w:val="22"/>
                <w:szCs w:val="22"/>
                <w:lang w:val="en-PH" w:eastAsia="en-PH"/>
              </w:rPr>
              <w:lastRenderedPageBreak/>
              <w:t>technical-vocation</w:t>
            </w:r>
          </w:p>
        </w:tc>
        <w:tc>
          <w:tcPr>
            <w:tcW w:w="1837" w:type="dxa"/>
            <w:vAlign w:val="center"/>
            <w:hideMark/>
          </w:tcPr>
          <w:p w14:paraId="2E663807" w14:textId="77777777" w:rsidR="00906F8D" w:rsidRPr="00E21FAD" w:rsidRDefault="00906F8D" w:rsidP="00906F8D">
            <w:pPr>
              <w:jc w:val="both"/>
              <w:rPr>
                <w:rFonts w:ascii="Arial" w:eastAsia="Calibri" w:hAnsi="Arial" w:cs="Arial"/>
                <w:kern w:val="2"/>
                <w:sz w:val="22"/>
                <w:szCs w:val="22"/>
                <w:lang w:val="en-PH" w:eastAsia="en-PH"/>
              </w:rPr>
            </w:pPr>
          </w:p>
        </w:tc>
      </w:tr>
    </w:tbl>
    <w:p w14:paraId="2A58023F" w14:textId="77777777" w:rsidR="00906F8D" w:rsidRPr="00906F8D" w:rsidRDefault="00906F8D" w:rsidP="00906F8D">
      <w:pPr>
        <w:pStyle w:val="NoSpacing"/>
        <w:ind w:firstLine="0"/>
        <w:rPr>
          <w:bCs/>
          <w:i/>
          <w:iCs/>
        </w:rPr>
      </w:pPr>
    </w:p>
    <w:p w14:paraId="43CE8598" w14:textId="3FB778FF" w:rsidR="00E21FAD" w:rsidRPr="00E21FAD" w:rsidRDefault="0054374A" w:rsidP="00E21FAD">
      <w:pPr>
        <w:jc w:val="both"/>
        <w:rPr>
          <w:rFonts w:ascii="Arial" w:eastAsia="Book Antiqua" w:hAnsi="Arial" w:cs="Arial"/>
          <w:color w:val="000000"/>
          <w:sz w:val="22"/>
          <w:szCs w:val="22"/>
          <w:lang w:val="en-PH"/>
        </w:rPr>
      </w:pPr>
      <w:r w:rsidRPr="0054374A">
        <w:rPr>
          <w:rFonts w:ascii="Arial" w:eastAsia="Book Antiqua" w:hAnsi="Arial" w:cs="Arial"/>
          <w:color w:val="000000"/>
          <w:sz w:val="22"/>
          <w:szCs w:val="22"/>
          <w:lang w:val="en-PH"/>
        </w:rPr>
        <w:t xml:space="preserve">industry-aligned training model. This initiative seeks to ensure that every graduate does not just meet the basic requirements of TESDA NC II standards but demonstrates the structural integrity and visual quality required for immediate workplace readiness. The intervention operates through three core strategies; the </w:t>
      </w:r>
      <w:r w:rsidR="00E21FAD" w:rsidRPr="00E21FAD">
        <w:rPr>
          <w:rFonts w:ascii="Arial" w:eastAsia="Book Antiqua" w:hAnsi="Arial" w:cs="Arial"/>
          <w:color w:val="000000"/>
          <w:sz w:val="22"/>
          <w:szCs w:val="22"/>
          <w:lang w:val="en-PH"/>
        </w:rPr>
        <w:t>targeted skill development, curriculum enhancement, and industry alignment. Under Targeted Skills Development, the plan introduces intensive, competency-focused practice sessions such as arc striking and bead control, complemented by simulation-based training and real-time feedback. To support this, the Curriculum Enhancement strategy proposes a restructured training sequence that prioritizes the most challenging competencies and includes repetitive skill drills to ensure mastery. The discussion emphasizes that true competency goes beyond merely passing a test; it requires a depth of skill mastery achieved through continuous feedback and mentorship. Ultimately, these efforts are expected to lead to increased employability, reduced errors in actual welding tasks, and long-term retention of core welding skills.</w:t>
      </w:r>
    </w:p>
    <w:p w14:paraId="24AD007E" w14:textId="51D7185D" w:rsidR="00FD5450" w:rsidRPr="00E21FAD" w:rsidRDefault="00FD5450" w:rsidP="00E21FAD">
      <w:pPr>
        <w:spacing w:before="120"/>
        <w:ind w:right="49"/>
        <w:jc w:val="both"/>
        <w:rPr>
          <w:rFonts w:ascii="Arial" w:eastAsia="Book Antiqua" w:hAnsi="Arial" w:cs="Arial"/>
          <w:color w:val="000000"/>
          <w:sz w:val="22"/>
          <w:szCs w:val="22"/>
          <w:lang w:val="en-PH"/>
        </w:rPr>
      </w:pPr>
      <w:r w:rsidRPr="00E21FAD">
        <w:rPr>
          <w:rFonts w:ascii="Arial" w:eastAsia="Book Antiqua" w:hAnsi="Arial" w:cs="Arial"/>
          <w:color w:val="000000"/>
          <w:sz w:val="22"/>
          <w:szCs w:val="22"/>
          <w:lang w:val="en-PH"/>
        </w:rPr>
        <w:t xml:space="preserve">This intervention shifts the training focus from mere assessment completion to true technical mastery. By prioritizing critical welding stages and standard-aligned instruction, the plan guarantees that students are better prepared for real-world applications. This commitment to excellence ensures a more productive workforce and long-term retention of core competencies in the technical-vocational competencies of the SMAW curriculum in the Department of Education. </w:t>
      </w:r>
    </w:p>
    <w:p w14:paraId="1BF89B8C" w14:textId="77777777" w:rsidR="00FD5450" w:rsidRPr="00E21FAD" w:rsidRDefault="00FD5450" w:rsidP="00E21FAD">
      <w:pPr>
        <w:keepNext/>
        <w:keepLines/>
        <w:jc w:val="both"/>
        <w:outlineLvl w:val="0"/>
        <w:rPr>
          <w:rFonts w:ascii="Arial" w:eastAsia="Book Antiqua" w:hAnsi="Arial" w:cs="Arial"/>
          <w:color w:val="000000"/>
          <w:sz w:val="22"/>
          <w:szCs w:val="22"/>
        </w:rPr>
      </w:pPr>
    </w:p>
    <w:p w14:paraId="0C5A61CF" w14:textId="77777777" w:rsidR="00790ADA" w:rsidRPr="00E21FAD" w:rsidRDefault="00790ADA" w:rsidP="00E21FAD">
      <w:pPr>
        <w:pStyle w:val="Body"/>
        <w:spacing w:after="0"/>
        <w:rPr>
          <w:rFonts w:ascii="Arial" w:hAnsi="Arial" w:cs="Arial"/>
        </w:rPr>
      </w:pPr>
    </w:p>
    <w:p w14:paraId="0267053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3EC4C0" w14:textId="77777777" w:rsidR="00790ADA" w:rsidRPr="00FB3A86" w:rsidRDefault="00790ADA" w:rsidP="00441B6F">
      <w:pPr>
        <w:pStyle w:val="ConcHead"/>
        <w:spacing w:after="0"/>
        <w:jc w:val="both"/>
        <w:rPr>
          <w:rFonts w:ascii="Arial" w:hAnsi="Arial" w:cs="Arial"/>
        </w:rPr>
      </w:pPr>
    </w:p>
    <w:p w14:paraId="6355B657" w14:textId="77777777" w:rsidR="00843A20" w:rsidRPr="00E21FAD" w:rsidRDefault="00FD5450" w:rsidP="00FD5450">
      <w:pPr>
        <w:jc w:val="both"/>
        <w:rPr>
          <w:rFonts w:ascii="Arial" w:eastAsia="Book Antiqua" w:hAnsi="Arial" w:cs="Arial"/>
          <w:color w:val="000000"/>
          <w:sz w:val="22"/>
          <w:szCs w:val="22"/>
        </w:rPr>
      </w:pPr>
      <w:r w:rsidRPr="00E21FAD">
        <w:rPr>
          <w:rFonts w:ascii="Arial" w:eastAsia="Book Antiqua" w:hAnsi="Arial" w:cs="Arial"/>
          <w:color w:val="000000"/>
          <w:sz w:val="22"/>
          <w:szCs w:val="22"/>
        </w:rPr>
        <w:t>The analysis of Grade 12 students’ performance in the SMAW NC II assessment demonstrates that the majority of learners achieved competency in welding carbon steel plates and pipes, with an overall passing rate of 95% in the core competency. This indicates that students generally possess the necessary technical skills, including proper welding technique, adherence to safety procedures, and the ability to execute intermediate tasks such as cleaning the root pass and applying subsequent weld layers. These strengths reflect the effectiveness of the competency-based training provided and suggest that the SMAW program adequately prepares students to meet minimum industry standards.</w:t>
      </w:r>
      <w:r w:rsidR="00F81A4F" w:rsidRPr="00E21FAD">
        <w:rPr>
          <w:rFonts w:ascii="Arial" w:eastAsia="Book Antiqua" w:hAnsi="Arial" w:cs="Arial"/>
          <w:color w:val="000000"/>
          <w:sz w:val="22"/>
          <w:szCs w:val="22"/>
        </w:rPr>
        <w:t xml:space="preserve"> </w:t>
      </w:r>
      <w:r w:rsidRPr="00E21FAD">
        <w:rPr>
          <w:rFonts w:ascii="Arial" w:eastAsia="Book Antiqua" w:hAnsi="Arial" w:cs="Arial"/>
          <w:color w:val="000000"/>
          <w:sz w:val="22"/>
          <w:szCs w:val="22"/>
        </w:rPr>
        <w:t xml:space="preserve">Despite these positive outcomes, certain competencies, particularly performing the root pass and performing the capping pass, emerged as the least mastered among students. Difficulties in these areas may affect weld quality, structural integrity, and overall workplace readiness. The identification of these weak points highlights the need for targeted interventions, such as additional practice, guided demonstrations, and focused remediation sessions, to ensure that students achieve proficiency in all critical stages of the welding process. Overall, the findings underscore the importance of data-driven and targeted training enhancements in SMAW instruction. By addressing the specific </w:t>
      </w:r>
      <w:r w:rsidRPr="00E21FAD">
        <w:rPr>
          <w:rFonts w:ascii="Arial" w:eastAsia="Book Antiqua" w:hAnsi="Arial" w:cs="Arial"/>
          <w:color w:val="000000"/>
          <w:sz w:val="22"/>
          <w:szCs w:val="22"/>
        </w:rPr>
        <w:lastRenderedPageBreak/>
        <w:t xml:space="preserve">competency gaps identified through NC II assessment results, trainers can refine instructional strategies, optimize curriculum design, and strengthen hands-on training. Such measures will not only improve student performance but also enhance employability, workplace efficiency, and long-term skill retention, ensuring that graduates are fully prepared for the demands of the welding industry. </w:t>
      </w:r>
    </w:p>
    <w:p w14:paraId="206BE6DD" w14:textId="77777777" w:rsidR="00843A20" w:rsidRDefault="00843A20" w:rsidP="00FD5450">
      <w:pPr>
        <w:jc w:val="both"/>
        <w:rPr>
          <w:rFonts w:ascii="Book Antiqua" w:eastAsia="Book Antiqua" w:hAnsi="Book Antiqua" w:cs="Book Antiqua"/>
          <w:color w:val="000000"/>
        </w:rPr>
      </w:pPr>
    </w:p>
    <w:p w14:paraId="5385F3BD" w14:textId="152760A6" w:rsidR="00843A20" w:rsidRPr="00843A20" w:rsidRDefault="00843A20" w:rsidP="00FD5450">
      <w:pPr>
        <w:jc w:val="both"/>
        <w:rPr>
          <w:rFonts w:ascii="Arial" w:eastAsia="Book Antiqua" w:hAnsi="Arial" w:cs="Arial"/>
          <w:b/>
          <w:bCs/>
          <w:color w:val="000000"/>
          <w:sz w:val="22"/>
          <w:szCs w:val="22"/>
        </w:rPr>
      </w:pPr>
      <w:r w:rsidRPr="00843A20">
        <w:rPr>
          <w:rFonts w:ascii="Arial" w:eastAsia="Book Antiqua" w:hAnsi="Arial" w:cs="Arial"/>
          <w:b/>
          <w:bCs/>
          <w:color w:val="000000"/>
          <w:sz w:val="22"/>
          <w:szCs w:val="22"/>
        </w:rPr>
        <w:t>4.1.</w:t>
      </w:r>
      <w:r w:rsidRPr="00843A20">
        <w:rPr>
          <w:rFonts w:ascii="Arial" w:eastAsia="Book Antiqua" w:hAnsi="Arial" w:cs="Arial"/>
          <w:color w:val="000000"/>
          <w:sz w:val="22"/>
          <w:szCs w:val="22"/>
        </w:rPr>
        <w:t xml:space="preserve"> </w:t>
      </w:r>
      <w:r w:rsidRPr="00843A20">
        <w:rPr>
          <w:rFonts w:ascii="Arial" w:eastAsia="Book Antiqua" w:hAnsi="Arial" w:cs="Arial"/>
          <w:b/>
          <w:bCs/>
          <w:color w:val="000000"/>
          <w:sz w:val="22"/>
          <w:szCs w:val="22"/>
        </w:rPr>
        <w:t>LIMITATIONS OF THE STUDY</w:t>
      </w:r>
    </w:p>
    <w:p w14:paraId="23E89C78" w14:textId="77777777" w:rsidR="00843A20" w:rsidRDefault="00843A20" w:rsidP="00FD5450">
      <w:pPr>
        <w:jc w:val="both"/>
        <w:rPr>
          <w:rFonts w:ascii="Book Antiqua" w:eastAsia="Book Antiqua" w:hAnsi="Book Antiqua" w:cs="Book Antiqua"/>
          <w:color w:val="000000"/>
        </w:rPr>
      </w:pPr>
    </w:p>
    <w:p w14:paraId="52B95A46" w14:textId="784B5544" w:rsidR="00843A20" w:rsidRPr="00E21FAD" w:rsidRDefault="00843A20" w:rsidP="00FD5450">
      <w:pPr>
        <w:jc w:val="both"/>
        <w:rPr>
          <w:rFonts w:ascii="Arial" w:eastAsia="Book Antiqua" w:hAnsi="Arial" w:cs="Arial"/>
          <w:color w:val="000000"/>
          <w:sz w:val="22"/>
          <w:szCs w:val="22"/>
        </w:rPr>
      </w:pPr>
      <w:r w:rsidRPr="00E21FAD">
        <w:rPr>
          <w:rFonts w:ascii="Arial" w:eastAsia="Book Antiqua" w:hAnsi="Arial" w:cs="Arial"/>
          <w:color w:val="000000"/>
          <w:sz w:val="22"/>
          <w:szCs w:val="22"/>
        </w:rPr>
        <w:t>This study is subject to several limitations that should be considered when interpreting the findings. First, the study involved only 20 Grade 12 SMAW students from Goma National High School, limiting the generalizability of the results to other schools, institutions, or larger populations of Technical-Vocational-Livelihood (TVL) learners. Second, the study relied exclusively on official NC II assessment records as the primary source of data and did not include qualitative methods such as interviews, observations, or learner reflections that could provide deeper insights into the factors influencing competency gaps. Third, the study employed a descriptive research design focused on documenting performance patterns and identifying least-mastered competencies; therefore, it did not examine causal relationships or determine the factors contributing to variations in student performance. Finally, the analysis was limited to competency outcomes within Shielded Metal Arc Welding (SMAW) NC II and did not include comparisons with other technical-vocational specializations or certification programs. Despite these limitations, the study provides valuable evidence for identifying competency gaps and developing targeted training enhancement strategies in SMAW instruction.</w:t>
      </w:r>
    </w:p>
    <w:p w14:paraId="7DCAC96F" w14:textId="77777777" w:rsidR="00843A20" w:rsidRDefault="00843A20" w:rsidP="00FD5450">
      <w:pPr>
        <w:jc w:val="both"/>
        <w:rPr>
          <w:rFonts w:ascii="Book Antiqua" w:eastAsia="Book Antiqua" w:hAnsi="Book Antiqua" w:cs="Book Antiqua"/>
          <w:color w:val="000000"/>
        </w:rPr>
      </w:pPr>
    </w:p>
    <w:p w14:paraId="4C435964" w14:textId="2ECD4246" w:rsidR="00843A20" w:rsidRPr="00843A20" w:rsidRDefault="00843A20" w:rsidP="00FD5450">
      <w:pPr>
        <w:jc w:val="both"/>
        <w:rPr>
          <w:rFonts w:ascii="Arial" w:eastAsia="Book Antiqua" w:hAnsi="Arial" w:cs="Arial"/>
          <w:b/>
          <w:bCs/>
          <w:color w:val="000000"/>
          <w:sz w:val="22"/>
          <w:szCs w:val="22"/>
        </w:rPr>
      </w:pPr>
      <w:r w:rsidRPr="00843A20">
        <w:rPr>
          <w:rFonts w:ascii="Arial" w:eastAsia="Book Antiqua" w:hAnsi="Arial" w:cs="Arial"/>
          <w:b/>
          <w:bCs/>
          <w:color w:val="000000"/>
          <w:sz w:val="22"/>
          <w:szCs w:val="22"/>
        </w:rPr>
        <w:t>4.2. RECOMMENDATIONS</w:t>
      </w:r>
    </w:p>
    <w:p w14:paraId="6F49F195" w14:textId="77777777" w:rsidR="007C618F" w:rsidRDefault="007C618F" w:rsidP="00FD5450">
      <w:pPr>
        <w:jc w:val="both"/>
        <w:rPr>
          <w:rFonts w:ascii="Arial" w:eastAsia="Book Antiqua" w:hAnsi="Arial" w:cs="Arial"/>
          <w:color w:val="000000"/>
          <w:sz w:val="22"/>
          <w:szCs w:val="22"/>
        </w:rPr>
      </w:pPr>
    </w:p>
    <w:p w14:paraId="7B289BDF" w14:textId="3E878018" w:rsidR="00FD5450" w:rsidRPr="00E21FAD" w:rsidRDefault="00FD5450" w:rsidP="00FD5450">
      <w:pPr>
        <w:jc w:val="both"/>
        <w:rPr>
          <w:rFonts w:ascii="Arial" w:eastAsia="Book Antiqua" w:hAnsi="Arial" w:cs="Arial"/>
          <w:color w:val="000000"/>
          <w:sz w:val="22"/>
          <w:szCs w:val="22"/>
        </w:rPr>
      </w:pPr>
      <w:r w:rsidRPr="00E21FAD">
        <w:rPr>
          <w:rFonts w:ascii="Arial" w:eastAsia="Book Antiqua" w:hAnsi="Arial" w:cs="Arial"/>
          <w:color w:val="000000"/>
          <w:sz w:val="22"/>
          <w:szCs w:val="22"/>
        </w:rPr>
        <w:t>To enhance the welding program based on the identified gaps, it is recommended to implement intensive, competency-focused practice sessions that prioritize the root pass and capping stages through repetitive skill drills and real-time feedback. The training sequence should be restructured to incorporate simulation-based learning and formative assessment checkpoints to identify learning gaps early and ensure consistent bead control and precision. Furthermore, the curriculum must be strengthened to align strictly with industry standards and TESDA NC II competencies, emphasizing structural integrity and visual quality to ensure graduates are fully prepared for high-stakes workplace demands.</w:t>
      </w:r>
    </w:p>
    <w:p w14:paraId="69226A34" w14:textId="77777777" w:rsidR="00FD5450" w:rsidRPr="00FD5450" w:rsidRDefault="00FD5450" w:rsidP="00FD5450">
      <w:pPr>
        <w:jc w:val="both"/>
        <w:rPr>
          <w:rFonts w:ascii="Book Antiqua" w:eastAsia="Book Antiqua" w:hAnsi="Book Antiqua" w:cs="Book Antiqua"/>
          <w:color w:val="000000"/>
        </w:rPr>
      </w:pPr>
    </w:p>
    <w:p w14:paraId="53DCC4B3" w14:textId="77777777" w:rsidR="00D95E8E" w:rsidRDefault="00D95E8E" w:rsidP="00441B6F">
      <w:pPr>
        <w:pStyle w:val="ReferHead"/>
        <w:spacing w:after="0"/>
        <w:jc w:val="both"/>
        <w:rPr>
          <w:rFonts w:ascii="Arial" w:hAnsi="Arial" w:cs="Arial"/>
          <w:szCs w:val="22"/>
        </w:rPr>
      </w:pPr>
      <w:r>
        <w:rPr>
          <w:rFonts w:ascii="Arial" w:hAnsi="Arial" w:cs="Arial"/>
          <w:szCs w:val="22"/>
        </w:rPr>
        <w:t>5.</w:t>
      </w:r>
      <w:r w:rsidRPr="00D95E8E">
        <w:t xml:space="preserve"> </w:t>
      </w:r>
      <w:r w:rsidRPr="00D95E8E">
        <w:rPr>
          <w:rFonts w:ascii="Arial" w:hAnsi="Arial" w:cs="Arial"/>
          <w:szCs w:val="22"/>
        </w:rPr>
        <w:t>Acknowledgements</w:t>
      </w:r>
    </w:p>
    <w:p w14:paraId="53FE1E40" w14:textId="12D589C4" w:rsidR="007C618F" w:rsidRPr="007C618F" w:rsidRDefault="007C618F" w:rsidP="007C618F">
      <w:pPr>
        <w:pStyle w:val="ReferHead"/>
        <w:spacing w:before="120" w:after="0"/>
        <w:jc w:val="both"/>
        <w:rPr>
          <w:rFonts w:ascii="Arial" w:hAnsi="Arial" w:cs="Arial"/>
          <w:b w:val="0"/>
          <w:bCs/>
          <w:szCs w:val="22"/>
        </w:rPr>
      </w:pPr>
      <w:r>
        <w:rPr>
          <w:rFonts w:ascii="Arial" w:hAnsi="Arial" w:cs="Arial"/>
          <w:b w:val="0"/>
          <w:bCs/>
          <w:caps w:val="0"/>
          <w:szCs w:val="22"/>
        </w:rPr>
        <w:t>T</w:t>
      </w:r>
      <w:r w:rsidRPr="007C618F">
        <w:rPr>
          <w:rFonts w:ascii="Arial" w:hAnsi="Arial" w:cs="Arial"/>
          <w:b w:val="0"/>
          <w:bCs/>
          <w:caps w:val="0"/>
          <w:szCs w:val="22"/>
        </w:rPr>
        <w:t xml:space="preserve">he authors express their sincere gratitude to the administration, faculty members, and staff of </w:t>
      </w:r>
      <w:r>
        <w:rPr>
          <w:rFonts w:ascii="Arial" w:hAnsi="Arial" w:cs="Arial"/>
          <w:b w:val="0"/>
          <w:bCs/>
          <w:caps w:val="0"/>
          <w:szCs w:val="22"/>
        </w:rPr>
        <w:t>G</w:t>
      </w:r>
      <w:r w:rsidRPr="007C618F">
        <w:rPr>
          <w:rFonts w:ascii="Arial" w:hAnsi="Arial" w:cs="Arial"/>
          <w:b w:val="0"/>
          <w:bCs/>
          <w:caps w:val="0"/>
          <w:szCs w:val="22"/>
        </w:rPr>
        <w:t xml:space="preserve">oma </w:t>
      </w:r>
      <w:r>
        <w:rPr>
          <w:rFonts w:ascii="Arial" w:hAnsi="Arial" w:cs="Arial"/>
          <w:b w:val="0"/>
          <w:bCs/>
          <w:caps w:val="0"/>
          <w:szCs w:val="22"/>
        </w:rPr>
        <w:t>N</w:t>
      </w:r>
      <w:r w:rsidRPr="007C618F">
        <w:rPr>
          <w:rFonts w:ascii="Arial" w:hAnsi="Arial" w:cs="Arial"/>
          <w:b w:val="0"/>
          <w:bCs/>
          <w:caps w:val="0"/>
          <w:szCs w:val="22"/>
        </w:rPr>
        <w:t xml:space="preserve">ational </w:t>
      </w:r>
      <w:r>
        <w:rPr>
          <w:rFonts w:ascii="Arial" w:hAnsi="Arial" w:cs="Arial"/>
          <w:b w:val="0"/>
          <w:bCs/>
          <w:caps w:val="0"/>
          <w:szCs w:val="22"/>
        </w:rPr>
        <w:t>H</w:t>
      </w:r>
      <w:r w:rsidRPr="007C618F">
        <w:rPr>
          <w:rFonts w:ascii="Arial" w:hAnsi="Arial" w:cs="Arial"/>
          <w:b w:val="0"/>
          <w:bCs/>
          <w:caps w:val="0"/>
          <w:szCs w:val="22"/>
        </w:rPr>
        <w:t>igh school for their support and cooperation throughout the conduct of this study. special appreciation is extended to the SMAW teachers and grade 12 students who participated in the TESDA National Certificate Level I</w:t>
      </w:r>
      <w:r>
        <w:rPr>
          <w:rFonts w:ascii="Arial" w:hAnsi="Arial" w:cs="Arial"/>
          <w:b w:val="0"/>
          <w:bCs/>
          <w:caps w:val="0"/>
          <w:szCs w:val="22"/>
        </w:rPr>
        <w:t>I</w:t>
      </w:r>
      <w:r w:rsidRPr="007C618F">
        <w:rPr>
          <w:rFonts w:ascii="Arial" w:hAnsi="Arial" w:cs="Arial"/>
          <w:b w:val="0"/>
          <w:bCs/>
          <w:caps w:val="0"/>
          <w:szCs w:val="22"/>
        </w:rPr>
        <w:t xml:space="preserve"> (NC II) assessment and whose performance records served as the basis of this investigation.</w:t>
      </w:r>
    </w:p>
    <w:p w14:paraId="56DB5849" w14:textId="4FC8FDD0" w:rsidR="007C618F" w:rsidRPr="007C618F" w:rsidRDefault="007C618F" w:rsidP="007C618F">
      <w:pPr>
        <w:pStyle w:val="ReferHead"/>
        <w:jc w:val="both"/>
        <w:rPr>
          <w:rFonts w:ascii="Arial" w:hAnsi="Arial" w:cs="Arial"/>
          <w:b w:val="0"/>
          <w:bCs/>
          <w:szCs w:val="22"/>
        </w:rPr>
      </w:pPr>
      <w:r w:rsidRPr="007C618F">
        <w:rPr>
          <w:rFonts w:ascii="Arial" w:hAnsi="Arial" w:cs="Arial"/>
          <w:b w:val="0"/>
          <w:bCs/>
          <w:caps w:val="0"/>
          <w:szCs w:val="22"/>
        </w:rPr>
        <w:t xml:space="preserve">the authors also acknowledge the Technical Education </w:t>
      </w:r>
      <w:r w:rsidR="00FC6041">
        <w:rPr>
          <w:rFonts w:ascii="Arial" w:hAnsi="Arial" w:cs="Arial"/>
          <w:b w:val="0"/>
          <w:bCs/>
          <w:caps w:val="0"/>
          <w:szCs w:val="22"/>
        </w:rPr>
        <w:t>a</w:t>
      </w:r>
      <w:r w:rsidRPr="007C618F">
        <w:rPr>
          <w:rFonts w:ascii="Arial" w:hAnsi="Arial" w:cs="Arial"/>
          <w:b w:val="0"/>
          <w:bCs/>
          <w:caps w:val="0"/>
          <w:szCs w:val="22"/>
        </w:rPr>
        <w:t xml:space="preserve">nd Skills Development Authority (TESDA) and the school personnel involved in facilitating access to the </w:t>
      </w:r>
      <w:r w:rsidRPr="007C618F">
        <w:rPr>
          <w:rFonts w:ascii="Arial" w:hAnsi="Arial" w:cs="Arial"/>
          <w:b w:val="0"/>
          <w:bCs/>
          <w:caps w:val="0"/>
          <w:szCs w:val="22"/>
        </w:rPr>
        <w:lastRenderedPageBreak/>
        <w:t>official assessment records used in the study. their assistance significantly contributed to the completion of this research.</w:t>
      </w:r>
    </w:p>
    <w:p w14:paraId="173554D7" w14:textId="38F2B5DD" w:rsidR="007C618F" w:rsidRPr="00FC6041" w:rsidRDefault="007C618F" w:rsidP="00FC6041">
      <w:pPr>
        <w:pStyle w:val="ReferHead"/>
        <w:jc w:val="both"/>
        <w:rPr>
          <w:rFonts w:ascii="Arial" w:hAnsi="Arial" w:cs="Arial"/>
          <w:b w:val="0"/>
          <w:bCs/>
          <w:szCs w:val="22"/>
        </w:rPr>
      </w:pPr>
      <w:r w:rsidRPr="007C618F">
        <w:rPr>
          <w:rFonts w:ascii="Arial" w:hAnsi="Arial" w:cs="Arial"/>
          <w:b w:val="0"/>
          <w:bCs/>
          <w:caps w:val="0"/>
          <w:szCs w:val="22"/>
        </w:rPr>
        <w:t>finally, the authors extend their appreciation to colleagues, advisers, and all individuals who provided encouragement and valuable insights during the development and completion of this study</w:t>
      </w:r>
    </w:p>
    <w:p w14:paraId="70987763" w14:textId="77777777" w:rsidR="00D95E8E" w:rsidRDefault="00D95E8E" w:rsidP="00441B6F">
      <w:pPr>
        <w:pStyle w:val="ReferHead"/>
        <w:spacing w:after="0"/>
        <w:jc w:val="both"/>
        <w:rPr>
          <w:rFonts w:ascii="Arial" w:hAnsi="Arial" w:cs="Arial"/>
          <w:szCs w:val="22"/>
        </w:rPr>
      </w:pPr>
    </w:p>
    <w:p w14:paraId="39A1E26C" w14:textId="77777777" w:rsidR="00D95E8E" w:rsidRDefault="00D95E8E" w:rsidP="00441B6F">
      <w:pPr>
        <w:pStyle w:val="ReferHead"/>
        <w:spacing w:after="0"/>
        <w:jc w:val="both"/>
        <w:rPr>
          <w:rFonts w:ascii="Arial" w:hAnsi="Arial" w:cs="Arial"/>
          <w:szCs w:val="22"/>
        </w:rPr>
      </w:pPr>
      <w:r>
        <w:rPr>
          <w:rFonts w:ascii="Arial" w:hAnsi="Arial" w:cs="Arial"/>
          <w:szCs w:val="22"/>
        </w:rPr>
        <w:t>5.1.</w:t>
      </w:r>
      <w:r w:rsidRPr="00D95E8E">
        <w:rPr>
          <w:rFonts w:ascii="Arial" w:hAnsi="Arial" w:cs="Arial"/>
          <w:szCs w:val="22"/>
        </w:rPr>
        <w:t xml:space="preserve"> Competing Interests</w:t>
      </w:r>
    </w:p>
    <w:p w14:paraId="27EBF614" w14:textId="345F2974" w:rsidR="00D95E8E" w:rsidRPr="00FC6041" w:rsidRDefault="00FC6041" w:rsidP="00441B6F">
      <w:pPr>
        <w:pStyle w:val="ReferHead"/>
        <w:spacing w:after="0"/>
        <w:jc w:val="both"/>
        <w:rPr>
          <w:rFonts w:ascii="Arial" w:hAnsi="Arial" w:cs="Arial"/>
          <w:b w:val="0"/>
          <w:bCs/>
          <w:szCs w:val="22"/>
        </w:rPr>
      </w:pPr>
      <w:r>
        <w:rPr>
          <w:rFonts w:ascii="Arial" w:hAnsi="Arial" w:cs="Arial"/>
          <w:b w:val="0"/>
          <w:bCs/>
          <w:caps w:val="0"/>
          <w:szCs w:val="22"/>
        </w:rPr>
        <w:t>T</w:t>
      </w:r>
      <w:r w:rsidRPr="00FC6041">
        <w:rPr>
          <w:rFonts w:ascii="Arial" w:hAnsi="Arial" w:cs="Arial"/>
          <w:b w:val="0"/>
          <w:bCs/>
          <w:caps w:val="0"/>
          <w:szCs w:val="22"/>
        </w:rPr>
        <w:t>he authors declare that no competing interests exist regarding the publication of this manuscript. the authors have no financial, professional, institutional, or personal relationships that could have influenced the conduct, analysis, interpretation, or reporting of the study findings.</w:t>
      </w:r>
    </w:p>
    <w:p w14:paraId="114E3E93" w14:textId="77777777" w:rsidR="00FC6041" w:rsidRDefault="00FC6041" w:rsidP="00441B6F">
      <w:pPr>
        <w:pStyle w:val="ReferHead"/>
        <w:spacing w:after="0"/>
        <w:jc w:val="both"/>
        <w:rPr>
          <w:rFonts w:ascii="Arial" w:hAnsi="Arial" w:cs="Arial"/>
          <w:szCs w:val="22"/>
        </w:rPr>
      </w:pPr>
    </w:p>
    <w:p w14:paraId="600E8ADC" w14:textId="5C79A59A" w:rsidR="00D95E8E" w:rsidRDefault="00D95E8E" w:rsidP="00441B6F">
      <w:pPr>
        <w:pStyle w:val="ReferHead"/>
        <w:spacing w:after="0"/>
        <w:jc w:val="both"/>
        <w:rPr>
          <w:rFonts w:ascii="Arial" w:hAnsi="Arial" w:cs="Arial"/>
          <w:szCs w:val="22"/>
        </w:rPr>
      </w:pPr>
      <w:r>
        <w:rPr>
          <w:rFonts w:ascii="Arial" w:hAnsi="Arial" w:cs="Arial"/>
          <w:szCs w:val="22"/>
        </w:rPr>
        <w:t xml:space="preserve">5.2. </w:t>
      </w:r>
      <w:r w:rsidRPr="00D95E8E">
        <w:rPr>
          <w:rFonts w:ascii="Arial" w:hAnsi="Arial" w:cs="Arial"/>
          <w:szCs w:val="22"/>
        </w:rPr>
        <w:t>Authors’ Contributions</w:t>
      </w:r>
    </w:p>
    <w:p w14:paraId="798E44EE" w14:textId="058A199A" w:rsidR="00D95E8E" w:rsidRPr="00FC6041" w:rsidRDefault="00FC6041" w:rsidP="00FC6041">
      <w:pPr>
        <w:pStyle w:val="NoSpacing"/>
        <w:rPr>
          <w:rFonts w:ascii="Arial" w:hAnsi="Arial" w:cs="Arial"/>
          <w:sz w:val="22"/>
        </w:rPr>
      </w:pPr>
      <w:r w:rsidRPr="00FC6041">
        <w:rPr>
          <w:rFonts w:ascii="Arial" w:hAnsi="Arial" w:cs="Arial"/>
          <w:sz w:val="22"/>
        </w:rPr>
        <w:t>All six authors collaboratively contributed to the conceptualization, design, implementation, and completion of the study. The authors jointly participated in the development of the research framework, review of related literature, methodology formulation, data collection, analysis and interpretation of results, and development of the training enhancement plan. They also collectively contributed to the writing, review, revision, and finalization of the manuscript. All authors read, approved, and agreed to the final version of the manuscript for publication.</w:t>
      </w:r>
    </w:p>
    <w:p w14:paraId="3F07F63C" w14:textId="77777777" w:rsidR="00D95E8E" w:rsidRPr="00FC6041" w:rsidRDefault="00D95E8E" w:rsidP="00FC6041">
      <w:pPr>
        <w:pStyle w:val="NoSpacing"/>
        <w:rPr>
          <w:rFonts w:ascii="Arial" w:hAnsi="Arial" w:cs="Arial"/>
          <w:sz w:val="22"/>
        </w:rPr>
      </w:pPr>
    </w:p>
    <w:p w14:paraId="6B31559D" w14:textId="77777777" w:rsidR="00D95E8E" w:rsidRDefault="00D95E8E" w:rsidP="00441B6F">
      <w:pPr>
        <w:pStyle w:val="ReferHead"/>
        <w:spacing w:after="0"/>
        <w:jc w:val="both"/>
        <w:rPr>
          <w:rFonts w:ascii="Arial" w:hAnsi="Arial" w:cs="Arial"/>
          <w:szCs w:val="22"/>
        </w:rPr>
      </w:pPr>
    </w:p>
    <w:p w14:paraId="78232D44" w14:textId="7DC78B20" w:rsidR="00B01FCD" w:rsidRPr="00E21FAD" w:rsidRDefault="00B01FCD" w:rsidP="00441B6F">
      <w:pPr>
        <w:pStyle w:val="ReferHead"/>
        <w:spacing w:after="0"/>
        <w:jc w:val="both"/>
        <w:rPr>
          <w:rFonts w:ascii="Arial" w:hAnsi="Arial" w:cs="Arial"/>
          <w:szCs w:val="22"/>
        </w:rPr>
      </w:pPr>
      <w:r w:rsidRPr="00E21FAD">
        <w:rPr>
          <w:rFonts w:ascii="Arial" w:hAnsi="Arial" w:cs="Arial"/>
          <w:szCs w:val="22"/>
        </w:rPr>
        <w:t>References</w:t>
      </w:r>
    </w:p>
    <w:p w14:paraId="788C79B8" w14:textId="77777777" w:rsidR="00790ADA" w:rsidRPr="00E21FAD" w:rsidRDefault="00790ADA" w:rsidP="00441B6F">
      <w:pPr>
        <w:pStyle w:val="ReferHead"/>
        <w:spacing w:after="0"/>
        <w:jc w:val="both"/>
        <w:rPr>
          <w:rFonts w:ascii="Arial" w:hAnsi="Arial" w:cs="Arial"/>
          <w:szCs w:val="22"/>
        </w:rPr>
      </w:pPr>
    </w:p>
    <w:p w14:paraId="762886C7" w14:textId="46FE7353" w:rsidR="00E21FAD" w:rsidRPr="002B4418" w:rsidRDefault="00E21FAD" w:rsidP="002B4418">
      <w:pPr>
        <w:pStyle w:val="ListParagraph"/>
        <w:numPr>
          <w:ilvl w:val="0"/>
          <w:numId w:val="31"/>
        </w:numPr>
        <w:spacing w:after="160" w:line="259" w:lineRule="auto"/>
        <w:jc w:val="both"/>
        <w:rPr>
          <w:rFonts w:ascii="Arial" w:eastAsia="Calibri" w:hAnsi="Arial" w:cs="Arial"/>
          <w:kern w:val="2"/>
          <w:sz w:val="22"/>
          <w:szCs w:val="22"/>
          <w:lang w:val="en-PH"/>
        </w:rPr>
      </w:pPr>
      <w:r w:rsidRPr="002B4418">
        <w:rPr>
          <w:rFonts w:ascii="Arial" w:eastAsia="Calibri" w:hAnsi="Arial" w:cs="Arial"/>
          <w:kern w:val="2"/>
          <w:sz w:val="22"/>
          <w:szCs w:val="22"/>
          <w:lang w:val="en-PH"/>
        </w:rPr>
        <w:t>Aminu, A., &amp; Nasiru, M. (2025). Effects of Project-Based learning Strategy on Performance and Retention in Metalworks among Students in Technical Colleges of Katsina state, Nigeria. Federal University Gusau Faculty of Education Journal, 2(3), 75-87. DOI: https://doi.org/10.64348/zije.202519</w:t>
      </w:r>
    </w:p>
    <w:p w14:paraId="01AA75A8" w14:textId="79817313" w:rsidR="00FD5450" w:rsidRPr="002B4418" w:rsidRDefault="00FD5450" w:rsidP="002B4418">
      <w:pPr>
        <w:pStyle w:val="ListParagraph"/>
        <w:numPr>
          <w:ilvl w:val="0"/>
          <w:numId w:val="31"/>
        </w:numPr>
        <w:spacing w:after="160" w:line="259" w:lineRule="auto"/>
        <w:jc w:val="both"/>
        <w:rPr>
          <w:rFonts w:ascii="Arial" w:eastAsia="Calibri" w:hAnsi="Arial" w:cs="Arial"/>
          <w:kern w:val="2"/>
          <w:sz w:val="22"/>
          <w:szCs w:val="22"/>
          <w:lang w:val="en-PH"/>
        </w:rPr>
      </w:pPr>
      <w:proofErr w:type="spellStart"/>
      <w:r w:rsidRPr="002B4418">
        <w:rPr>
          <w:rFonts w:ascii="Arial" w:eastAsia="Calibri" w:hAnsi="Arial" w:cs="Arial"/>
          <w:kern w:val="2"/>
          <w:sz w:val="22"/>
          <w:szCs w:val="22"/>
          <w:lang w:val="en-PH"/>
        </w:rPr>
        <w:t>Bedrejo</w:t>
      </w:r>
      <w:proofErr w:type="spellEnd"/>
      <w:r w:rsidRPr="002B4418">
        <w:rPr>
          <w:rFonts w:ascii="Arial" w:eastAsia="Calibri" w:hAnsi="Arial" w:cs="Arial"/>
          <w:kern w:val="2"/>
          <w:sz w:val="22"/>
          <w:szCs w:val="22"/>
          <w:lang w:val="en-PH"/>
        </w:rPr>
        <w:t xml:space="preserve"> et al., (2023). </w:t>
      </w:r>
      <w:r w:rsidRPr="002B4418">
        <w:rPr>
          <w:rFonts w:ascii="Arial" w:eastAsia="Calibri" w:hAnsi="Arial" w:cs="Arial"/>
          <w:i/>
          <w:iCs/>
          <w:kern w:val="2"/>
          <w:sz w:val="22"/>
          <w:szCs w:val="22"/>
          <w:lang w:val="en-PH"/>
        </w:rPr>
        <w:t>Knowledge on Welding Tools of SMAW Learners</w:t>
      </w:r>
      <w:r w:rsidRPr="002B4418">
        <w:rPr>
          <w:rFonts w:ascii="Arial" w:eastAsia="Calibri" w:hAnsi="Arial" w:cs="Arial"/>
          <w:kern w:val="2"/>
          <w:sz w:val="22"/>
          <w:szCs w:val="22"/>
          <w:lang w:val="en-PH"/>
        </w:rPr>
        <w:t xml:space="preserve">. </w:t>
      </w:r>
      <w:proofErr w:type="spellStart"/>
      <w:r w:rsidRPr="002B4418">
        <w:rPr>
          <w:rFonts w:ascii="Arial" w:eastAsia="Calibri" w:hAnsi="Arial" w:cs="Arial"/>
          <w:kern w:val="2"/>
          <w:sz w:val="22"/>
          <w:szCs w:val="22"/>
          <w:lang w:val="en-PH"/>
        </w:rPr>
        <w:t>Banate</w:t>
      </w:r>
      <w:proofErr w:type="spellEnd"/>
      <w:r w:rsidRPr="002B4418">
        <w:rPr>
          <w:rFonts w:ascii="Arial" w:eastAsia="Calibri" w:hAnsi="Arial" w:cs="Arial"/>
          <w:kern w:val="2"/>
          <w:sz w:val="22"/>
          <w:szCs w:val="22"/>
          <w:lang w:val="en-PH"/>
        </w:rPr>
        <w:t xml:space="preserve"> National High School, Iloilo, Philippines. https://www.scribd.com</w:t>
      </w:r>
    </w:p>
    <w:p w14:paraId="037065A1" w14:textId="3EECEF38" w:rsidR="00FD5450" w:rsidRPr="002B4418" w:rsidRDefault="00FD5450" w:rsidP="002B4418">
      <w:pPr>
        <w:pStyle w:val="ListParagraph"/>
        <w:numPr>
          <w:ilvl w:val="0"/>
          <w:numId w:val="31"/>
        </w:numPr>
        <w:spacing w:after="160" w:line="259" w:lineRule="auto"/>
        <w:jc w:val="both"/>
        <w:rPr>
          <w:rFonts w:ascii="Arial" w:eastAsia="Calibri" w:hAnsi="Arial" w:cs="Arial"/>
          <w:kern w:val="2"/>
          <w:sz w:val="22"/>
          <w:szCs w:val="22"/>
          <w:lang w:val="en-PH"/>
        </w:rPr>
      </w:pPr>
      <w:r w:rsidRPr="002B4418">
        <w:rPr>
          <w:rFonts w:ascii="Arial" w:eastAsia="Calibri" w:hAnsi="Arial" w:cs="Arial"/>
          <w:kern w:val="2"/>
          <w:sz w:val="22"/>
          <w:szCs w:val="22"/>
          <w:lang w:val="en-PH"/>
        </w:rPr>
        <w:t>Creswell, J. W., &amp; Poth, C. N. (201</w:t>
      </w:r>
      <w:r w:rsidR="0033385E" w:rsidRPr="002B4418">
        <w:rPr>
          <w:rFonts w:ascii="Arial" w:eastAsia="Calibri" w:hAnsi="Arial" w:cs="Arial"/>
          <w:kern w:val="2"/>
          <w:sz w:val="22"/>
          <w:szCs w:val="22"/>
          <w:lang w:val="en-PH"/>
        </w:rPr>
        <w:t>8</w:t>
      </w:r>
      <w:r w:rsidRPr="002B4418">
        <w:rPr>
          <w:rFonts w:ascii="Arial" w:eastAsia="Calibri" w:hAnsi="Arial" w:cs="Arial"/>
          <w:kern w:val="2"/>
          <w:sz w:val="22"/>
          <w:szCs w:val="22"/>
          <w:lang w:val="en-PH"/>
        </w:rPr>
        <w:t xml:space="preserve">). Qualitative inquiry and research design: Choosing among five approaches. </w:t>
      </w:r>
      <w:r w:rsidRPr="002B4418">
        <w:rPr>
          <w:rFonts w:ascii="Arial" w:eastAsia="Calibri" w:hAnsi="Arial" w:cs="Arial"/>
          <w:i/>
          <w:iCs/>
          <w:kern w:val="2"/>
          <w:sz w:val="22"/>
          <w:szCs w:val="22"/>
          <w:lang w:val="en-PH"/>
        </w:rPr>
        <w:t>Sage publications</w:t>
      </w:r>
      <w:r w:rsidRPr="002B4418">
        <w:rPr>
          <w:rFonts w:ascii="Arial" w:eastAsia="Calibri" w:hAnsi="Arial" w:cs="Arial"/>
          <w:kern w:val="2"/>
          <w:sz w:val="22"/>
          <w:szCs w:val="22"/>
          <w:lang w:val="en-PH"/>
        </w:rPr>
        <w:t>.</w:t>
      </w:r>
    </w:p>
    <w:p w14:paraId="09F774CD" w14:textId="77777777" w:rsidR="00FD5450" w:rsidRPr="002B4418" w:rsidRDefault="00FD5450" w:rsidP="002B4418">
      <w:pPr>
        <w:pStyle w:val="ListParagraph"/>
        <w:numPr>
          <w:ilvl w:val="0"/>
          <w:numId w:val="31"/>
        </w:numPr>
        <w:spacing w:after="160" w:line="259" w:lineRule="auto"/>
        <w:jc w:val="both"/>
        <w:rPr>
          <w:rFonts w:ascii="Arial" w:eastAsia="Calibri" w:hAnsi="Arial" w:cs="Arial"/>
          <w:kern w:val="2"/>
          <w:sz w:val="22"/>
          <w:szCs w:val="22"/>
          <w:lang w:val="en-PH"/>
        </w:rPr>
      </w:pPr>
      <w:proofErr w:type="spellStart"/>
      <w:r w:rsidRPr="002B4418">
        <w:rPr>
          <w:rFonts w:ascii="Arial" w:eastAsia="Calibri" w:hAnsi="Arial" w:cs="Arial"/>
          <w:kern w:val="2"/>
          <w:sz w:val="22"/>
          <w:szCs w:val="22"/>
          <w:lang w:val="en-PH"/>
        </w:rPr>
        <w:t>Daryono</w:t>
      </w:r>
      <w:proofErr w:type="spellEnd"/>
      <w:r w:rsidRPr="002B4418">
        <w:rPr>
          <w:rFonts w:ascii="Arial" w:eastAsia="Calibri" w:hAnsi="Arial" w:cs="Arial"/>
          <w:kern w:val="2"/>
          <w:sz w:val="22"/>
          <w:szCs w:val="22"/>
          <w:lang w:val="en-PH"/>
        </w:rPr>
        <w:t xml:space="preserve">, R. W., Yolando, A. P., </w:t>
      </w:r>
      <w:proofErr w:type="spellStart"/>
      <w:r w:rsidRPr="002B4418">
        <w:rPr>
          <w:rFonts w:ascii="Arial" w:eastAsia="Calibri" w:hAnsi="Arial" w:cs="Arial"/>
          <w:kern w:val="2"/>
          <w:sz w:val="22"/>
          <w:szCs w:val="22"/>
          <w:lang w:val="en-PH"/>
        </w:rPr>
        <w:t>Jaedun</w:t>
      </w:r>
      <w:proofErr w:type="spellEnd"/>
      <w:r w:rsidRPr="002B4418">
        <w:rPr>
          <w:rFonts w:ascii="Arial" w:eastAsia="Calibri" w:hAnsi="Arial" w:cs="Arial"/>
          <w:kern w:val="2"/>
          <w:sz w:val="22"/>
          <w:szCs w:val="22"/>
          <w:lang w:val="en-PH"/>
        </w:rPr>
        <w:t xml:space="preserve">, A., &amp; Hidayat, N. (2020). Competency of vocational </w:t>
      </w:r>
      <w:proofErr w:type="gramStart"/>
      <w:r w:rsidRPr="002B4418">
        <w:rPr>
          <w:rFonts w:ascii="Arial" w:eastAsia="Calibri" w:hAnsi="Arial" w:cs="Arial"/>
          <w:kern w:val="2"/>
          <w:sz w:val="22"/>
          <w:szCs w:val="22"/>
          <w:lang w:val="en-PH"/>
        </w:rPr>
        <w:t>schools  required</w:t>
      </w:r>
      <w:proofErr w:type="gramEnd"/>
      <w:r w:rsidRPr="002B4418">
        <w:rPr>
          <w:rFonts w:ascii="Arial" w:eastAsia="Calibri" w:hAnsi="Arial" w:cs="Arial"/>
          <w:kern w:val="2"/>
          <w:sz w:val="22"/>
          <w:szCs w:val="22"/>
          <w:lang w:val="en-PH"/>
        </w:rPr>
        <w:t xml:space="preserve"> by construction industry in consultants’ supervisor. </w:t>
      </w:r>
      <w:r w:rsidRPr="002B4418">
        <w:rPr>
          <w:rFonts w:ascii="Arial" w:eastAsia="Calibri" w:hAnsi="Arial" w:cs="Arial"/>
          <w:i/>
          <w:iCs/>
          <w:kern w:val="2"/>
          <w:sz w:val="22"/>
          <w:szCs w:val="22"/>
          <w:lang w:val="en-PH"/>
        </w:rPr>
        <w:t>Journal of Physics: Conference Series, 1456(1).</w:t>
      </w:r>
      <w:r w:rsidRPr="002B4418">
        <w:rPr>
          <w:rFonts w:ascii="Arial" w:eastAsia="Calibri" w:hAnsi="Arial" w:cs="Arial"/>
          <w:kern w:val="2"/>
          <w:sz w:val="22"/>
          <w:szCs w:val="22"/>
          <w:lang w:val="en-PH"/>
        </w:rPr>
        <w:t xml:space="preserve"> https://doi.org/10.1088/1742-6596/1456/1/012057</w:t>
      </w:r>
    </w:p>
    <w:p w14:paraId="7548864F" w14:textId="77777777" w:rsidR="00FD5450" w:rsidRPr="002B4418" w:rsidRDefault="00FD5450" w:rsidP="002B4418">
      <w:pPr>
        <w:pStyle w:val="ListParagraph"/>
        <w:numPr>
          <w:ilvl w:val="0"/>
          <w:numId w:val="31"/>
        </w:numPr>
        <w:spacing w:after="160" w:line="259" w:lineRule="auto"/>
        <w:jc w:val="both"/>
        <w:rPr>
          <w:rFonts w:ascii="Arial" w:eastAsia="Calibri" w:hAnsi="Arial" w:cs="Arial"/>
          <w:kern w:val="2"/>
          <w:sz w:val="22"/>
          <w:szCs w:val="22"/>
          <w:lang w:val="en-PH"/>
        </w:rPr>
      </w:pPr>
      <w:r w:rsidRPr="002B4418">
        <w:rPr>
          <w:rFonts w:ascii="Arial" w:eastAsia="Calibri" w:hAnsi="Arial" w:cs="Arial"/>
          <w:kern w:val="2"/>
          <w:sz w:val="22"/>
          <w:szCs w:val="22"/>
          <w:lang w:val="en-PH"/>
        </w:rPr>
        <w:t>Department of Education (2019). https://www.deped.gov.ph/wp-content/uploads/2019/01/Shielded-Metal-Arc-Welding-NC-I-CG.pdf</w:t>
      </w:r>
    </w:p>
    <w:p w14:paraId="7A557395" w14:textId="77777777" w:rsidR="00FD5450" w:rsidRPr="002B4418" w:rsidRDefault="00FD5450" w:rsidP="002B4418">
      <w:pPr>
        <w:pStyle w:val="ListParagraph"/>
        <w:numPr>
          <w:ilvl w:val="0"/>
          <w:numId w:val="31"/>
        </w:numPr>
        <w:spacing w:after="160" w:line="259" w:lineRule="auto"/>
        <w:jc w:val="both"/>
        <w:rPr>
          <w:rFonts w:ascii="Arial" w:eastAsia="Calibri" w:hAnsi="Arial" w:cs="Arial"/>
          <w:kern w:val="2"/>
          <w:sz w:val="22"/>
          <w:szCs w:val="22"/>
          <w:lang w:val="en-PH"/>
        </w:rPr>
      </w:pPr>
      <w:r w:rsidRPr="002B4418">
        <w:rPr>
          <w:rFonts w:ascii="Arial" w:eastAsia="Calibri" w:hAnsi="Arial" w:cs="Arial"/>
          <w:kern w:val="2"/>
          <w:sz w:val="22"/>
          <w:szCs w:val="22"/>
          <w:lang w:val="en-PH"/>
        </w:rPr>
        <w:t xml:space="preserve">Distance Learning Institute. (2025). Descriptive research in education: Methods and applications. Retrieved from </w:t>
      </w:r>
      <w:hyperlink r:id="rId14" w:history="1">
        <w:r w:rsidRPr="002B4418">
          <w:rPr>
            <w:rFonts w:ascii="Arial" w:eastAsia="Calibri" w:hAnsi="Arial" w:cs="Arial"/>
            <w:kern w:val="2"/>
            <w:sz w:val="22"/>
            <w:szCs w:val="22"/>
            <w:lang w:val="en-PH"/>
          </w:rPr>
          <w:t>https://distancelearning.institute/research/descriptive-research-education-methods-applications/</w:t>
        </w:r>
      </w:hyperlink>
    </w:p>
    <w:p w14:paraId="2223C322" w14:textId="77777777" w:rsidR="00FD5450" w:rsidRPr="002B4418" w:rsidRDefault="00FD5450" w:rsidP="002B4418">
      <w:pPr>
        <w:pStyle w:val="ListParagraph"/>
        <w:numPr>
          <w:ilvl w:val="0"/>
          <w:numId w:val="31"/>
        </w:numPr>
        <w:spacing w:after="160" w:line="259" w:lineRule="auto"/>
        <w:jc w:val="both"/>
        <w:rPr>
          <w:rFonts w:ascii="Arial" w:eastAsia="Calibri" w:hAnsi="Arial" w:cs="Arial"/>
          <w:kern w:val="2"/>
          <w:sz w:val="22"/>
          <w:szCs w:val="22"/>
          <w:lang w:val="it-IT"/>
        </w:rPr>
      </w:pPr>
      <w:r w:rsidRPr="002B4418">
        <w:rPr>
          <w:rFonts w:ascii="Arial" w:eastAsia="Calibri" w:hAnsi="Arial" w:cs="Arial"/>
          <w:kern w:val="2"/>
          <w:sz w:val="22"/>
          <w:szCs w:val="22"/>
          <w:lang w:val="it-IT"/>
        </w:rPr>
        <w:t xml:space="preserve">Hartanto, C. F. B., Rusdarti, R., &amp; Abdurrahman, A. (2019). Tantangan pendidikan vokasi di era revolusi industri 4.0 dalam menyiapkan sumber daya manusia yang unggul. In Prosiding Seminar Nasional Pascasarjana (Vol. 2, </w:t>
      </w:r>
      <w:r w:rsidRPr="002B4418">
        <w:rPr>
          <w:rFonts w:ascii="Arial" w:eastAsia="Calibri" w:hAnsi="Arial" w:cs="Arial"/>
          <w:kern w:val="2"/>
          <w:sz w:val="22"/>
          <w:szCs w:val="22"/>
          <w:lang w:val="it-IT"/>
        </w:rPr>
        <w:lastRenderedPageBreak/>
        <w:t>No. 1, pp. 163-171). https://proceedings.unnes.ac.id/snpasca/article/download/267/394</w:t>
      </w:r>
    </w:p>
    <w:p w14:paraId="5101AF31" w14:textId="77777777" w:rsidR="00FD5450" w:rsidRPr="002B4418" w:rsidRDefault="00FD5450" w:rsidP="002B4418">
      <w:pPr>
        <w:pStyle w:val="ListParagraph"/>
        <w:numPr>
          <w:ilvl w:val="0"/>
          <w:numId w:val="31"/>
        </w:numPr>
        <w:spacing w:after="160" w:line="259" w:lineRule="auto"/>
        <w:jc w:val="both"/>
        <w:rPr>
          <w:rFonts w:ascii="Arial" w:eastAsia="Calibri" w:hAnsi="Arial" w:cs="Arial"/>
          <w:kern w:val="2"/>
          <w:sz w:val="22"/>
          <w:szCs w:val="22"/>
          <w:lang w:val="en-PH"/>
        </w:rPr>
      </w:pPr>
      <w:r w:rsidRPr="002B4418">
        <w:rPr>
          <w:rFonts w:ascii="Arial" w:eastAsia="Calibri" w:hAnsi="Arial" w:cs="Arial"/>
          <w:kern w:val="2"/>
          <w:sz w:val="22"/>
          <w:szCs w:val="22"/>
          <w:lang w:val="it-IT"/>
        </w:rPr>
        <w:t xml:space="preserve">Fajaryati, N., Budiyono, B., Akhyar, M., &amp; Wiranto, W. (2020). </w:t>
      </w:r>
      <w:r w:rsidRPr="002B4418">
        <w:rPr>
          <w:rFonts w:ascii="Arial" w:eastAsia="Calibri" w:hAnsi="Arial" w:cs="Arial"/>
          <w:kern w:val="2"/>
          <w:sz w:val="22"/>
          <w:szCs w:val="22"/>
          <w:lang w:val="en-PH"/>
        </w:rPr>
        <w:t xml:space="preserve">The employability skills needed to </w:t>
      </w:r>
      <w:proofErr w:type="gramStart"/>
      <w:r w:rsidRPr="002B4418">
        <w:rPr>
          <w:rFonts w:ascii="Arial" w:eastAsia="Calibri" w:hAnsi="Arial" w:cs="Arial"/>
          <w:kern w:val="2"/>
          <w:sz w:val="22"/>
          <w:szCs w:val="22"/>
          <w:lang w:val="en-PH"/>
        </w:rPr>
        <w:t>face  the</w:t>
      </w:r>
      <w:proofErr w:type="gramEnd"/>
      <w:r w:rsidRPr="002B4418">
        <w:rPr>
          <w:rFonts w:ascii="Arial" w:eastAsia="Calibri" w:hAnsi="Arial" w:cs="Arial"/>
          <w:kern w:val="2"/>
          <w:sz w:val="22"/>
          <w:szCs w:val="22"/>
          <w:lang w:val="en-PH"/>
        </w:rPr>
        <w:t xml:space="preserve"> demands of work in the future: Systematic literature reviews. Open Engineering, 10(1), 595–603. https://doi.org/10.1515/eng-2020-0072</w:t>
      </w:r>
    </w:p>
    <w:p w14:paraId="2A282963" w14:textId="77777777" w:rsidR="00E21FAD" w:rsidRPr="002B4418" w:rsidRDefault="00FD5450" w:rsidP="002B4418">
      <w:pPr>
        <w:pStyle w:val="ListParagraph"/>
        <w:numPr>
          <w:ilvl w:val="0"/>
          <w:numId w:val="31"/>
        </w:numPr>
        <w:spacing w:after="160" w:line="259" w:lineRule="auto"/>
        <w:jc w:val="both"/>
        <w:rPr>
          <w:rFonts w:ascii="Arial" w:eastAsia="Calibri" w:hAnsi="Arial" w:cs="Arial"/>
          <w:kern w:val="2"/>
          <w:sz w:val="22"/>
          <w:szCs w:val="22"/>
          <w:lang w:val="en-PH"/>
        </w:rPr>
      </w:pPr>
      <w:proofErr w:type="spellStart"/>
      <w:r w:rsidRPr="002B4418">
        <w:rPr>
          <w:rFonts w:ascii="Arial" w:eastAsia="Calibri" w:hAnsi="Arial" w:cs="Arial"/>
          <w:kern w:val="2"/>
          <w:sz w:val="22"/>
          <w:szCs w:val="22"/>
          <w:lang w:val="en-PH"/>
        </w:rPr>
        <w:t>Marope</w:t>
      </w:r>
      <w:proofErr w:type="spellEnd"/>
      <w:r w:rsidRPr="002B4418">
        <w:rPr>
          <w:rFonts w:ascii="Arial" w:eastAsia="Calibri" w:hAnsi="Arial" w:cs="Arial"/>
          <w:kern w:val="2"/>
          <w:sz w:val="22"/>
          <w:szCs w:val="22"/>
          <w:lang w:val="en-PH"/>
        </w:rPr>
        <w:t>, P. T. M., Chakroun, B., &amp; Holmes, K. P. (2015). Unleashing the potential: Transforming technical and vocational education and training. UNESCO Publishing.</w:t>
      </w:r>
    </w:p>
    <w:p w14:paraId="095AF7A9" w14:textId="77777777" w:rsidR="007B4AAD" w:rsidRPr="002B4418" w:rsidRDefault="00E21FAD" w:rsidP="002B4418">
      <w:pPr>
        <w:pStyle w:val="ListParagraph"/>
        <w:numPr>
          <w:ilvl w:val="0"/>
          <w:numId w:val="31"/>
        </w:numPr>
        <w:spacing w:after="160" w:line="259" w:lineRule="auto"/>
        <w:jc w:val="both"/>
        <w:rPr>
          <w:rFonts w:ascii="Arial" w:hAnsi="Arial" w:cs="Arial"/>
          <w:sz w:val="22"/>
          <w:szCs w:val="22"/>
          <w:lang w:val="en-PH" w:eastAsia="en-PH"/>
        </w:rPr>
      </w:pPr>
      <w:r w:rsidRPr="002B4418">
        <w:rPr>
          <w:rFonts w:ascii="Arial" w:hAnsi="Arial" w:cs="Arial"/>
          <w:sz w:val="22"/>
          <w:szCs w:val="22"/>
          <w:lang w:val="en-PH" w:eastAsia="en-PH"/>
        </w:rPr>
        <w:t xml:space="preserve">Okabe, M. (2018). </w:t>
      </w:r>
      <w:r w:rsidRPr="002B4418">
        <w:rPr>
          <w:rFonts w:ascii="Arial" w:hAnsi="Arial" w:cs="Arial"/>
          <w:i/>
          <w:iCs/>
          <w:sz w:val="22"/>
          <w:szCs w:val="22"/>
          <w:lang w:val="en-PH" w:eastAsia="en-PH"/>
        </w:rPr>
        <w:t>Where does Philippine education go? The “K to 12” program and reform of Philippine basic education</w:t>
      </w:r>
      <w:r w:rsidRPr="002B4418">
        <w:rPr>
          <w:rFonts w:ascii="Arial" w:hAnsi="Arial" w:cs="Arial"/>
          <w:sz w:val="22"/>
          <w:szCs w:val="22"/>
          <w:lang w:val="en-PH" w:eastAsia="en-PH"/>
        </w:rPr>
        <w:t>. Institute of Developing Economies</w:t>
      </w:r>
    </w:p>
    <w:p w14:paraId="411AD13D" w14:textId="76015E25" w:rsidR="007B4AAD" w:rsidRPr="002B4418" w:rsidRDefault="007B4AAD" w:rsidP="002B4418">
      <w:pPr>
        <w:pStyle w:val="ListParagraph"/>
        <w:numPr>
          <w:ilvl w:val="0"/>
          <w:numId w:val="31"/>
        </w:numPr>
        <w:spacing w:after="160" w:line="259" w:lineRule="auto"/>
        <w:jc w:val="both"/>
        <w:rPr>
          <w:rFonts w:ascii="Arial" w:eastAsia="Calibri" w:hAnsi="Arial" w:cs="Arial"/>
          <w:kern w:val="2"/>
          <w:sz w:val="22"/>
          <w:szCs w:val="22"/>
          <w:lang w:val="en-PH"/>
          <w14:ligatures w14:val="standardContextual"/>
        </w:rPr>
      </w:pPr>
      <w:r w:rsidRPr="002B4418">
        <w:rPr>
          <w:rFonts w:ascii="Arial" w:eastAsia="Calibri" w:hAnsi="Arial" w:cs="Arial"/>
          <w:kern w:val="2"/>
          <w:sz w:val="22"/>
          <w:szCs w:val="22"/>
          <w:lang w:val="it-IT"/>
          <w14:ligatures w14:val="standardContextual"/>
        </w:rPr>
        <w:t xml:space="preserve">Putri, L., Rezani, M. R., &amp; Hermina, D. (2025). </w:t>
      </w:r>
      <w:r w:rsidRPr="002B4418">
        <w:rPr>
          <w:rFonts w:ascii="Arial" w:eastAsia="Calibri" w:hAnsi="Arial" w:cs="Arial"/>
          <w:kern w:val="2"/>
          <w:sz w:val="22"/>
          <w:szCs w:val="22"/>
          <w:lang w:val="en-PH"/>
          <w14:ligatures w14:val="standardContextual"/>
        </w:rPr>
        <w:t xml:space="preserve">Correlational research design. </w:t>
      </w:r>
      <w:proofErr w:type="spellStart"/>
      <w:r w:rsidRPr="002B4418">
        <w:rPr>
          <w:rFonts w:ascii="Arial" w:eastAsia="Calibri" w:hAnsi="Arial" w:cs="Arial"/>
          <w:kern w:val="2"/>
          <w:sz w:val="22"/>
          <w:szCs w:val="22"/>
          <w:lang w:val="en-PH"/>
          <w14:ligatures w14:val="standardContextual"/>
        </w:rPr>
        <w:t>Jurnal</w:t>
      </w:r>
      <w:proofErr w:type="spellEnd"/>
      <w:r w:rsidRPr="002B4418">
        <w:rPr>
          <w:rFonts w:ascii="Arial" w:eastAsia="Calibri" w:hAnsi="Arial" w:cs="Arial"/>
          <w:kern w:val="2"/>
          <w:sz w:val="22"/>
          <w:szCs w:val="22"/>
          <w:lang w:val="en-PH"/>
          <w14:ligatures w14:val="standardContextual"/>
        </w:rPr>
        <w:t xml:space="preserve"> Riset </w:t>
      </w:r>
      <w:proofErr w:type="spellStart"/>
      <w:r w:rsidRPr="002B4418">
        <w:rPr>
          <w:rFonts w:ascii="Arial" w:eastAsia="Calibri" w:hAnsi="Arial" w:cs="Arial"/>
          <w:kern w:val="2"/>
          <w:sz w:val="22"/>
          <w:szCs w:val="22"/>
          <w:lang w:val="en-PH"/>
          <w14:ligatures w14:val="standardContextual"/>
        </w:rPr>
        <w:t>Multidisiplin</w:t>
      </w:r>
      <w:proofErr w:type="spellEnd"/>
      <w:r w:rsidRPr="002B4418">
        <w:rPr>
          <w:rFonts w:ascii="Arial" w:eastAsia="Calibri" w:hAnsi="Arial" w:cs="Arial"/>
          <w:kern w:val="2"/>
          <w:sz w:val="22"/>
          <w:szCs w:val="22"/>
          <w:lang w:val="en-PH"/>
          <w14:ligatures w14:val="standardContextual"/>
        </w:rPr>
        <w:t xml:space="preserve"> </w:t>
      </w:r>
      <w:proofErr w:type="spellStart"/>
      <w:r w:rsidRPr="002B4418">
        <w:rPr>
          <w:rFonts w:ascii="Arial" w:eastAsia="Calibri" w:hAnsi="Arial" w:cs="Arial"/>
          <w:kern w:val="2"/>
          <w:sz w:val="22"/>
          <w:szCs w:val="22"/>
          <w:lang w:val="en-PH"/>
          <w14:ligatures w14:val="standardContextual"/>
        </w:rPr>
        <w:t>Edukasi</w:t>
      </w:r>
      <w:proofErr w:type="spellEnd"/>
      <w:r w:rsidRPr="002B4418">
        <w:rPr>
          <w:rFonts w:ascii="Arial" w:eastAsia="Calibri" w:hAnsi="Arial" w:cs="Arial"/>
          <w:kern w:val="2"/>
          <w:sz w:val="22"/>
          <w:szCs w:val="22"/>
          <w:lang w:val="en-PH"/>
          <w14:ligatures w14:val="standardContextual"/>
        </w:rPr>
        <w:t>, 2(6), 306-317.</w:t>
      </w:r>
      <w:r w:rsidR="002A74AD" w:rsidRPr="002B4418">
        <w:rPr>
          <w:rFonts w:ascii="Arial" w:eastAsia="Calibri" w:hAnsi="Arial" w:cs="Arial"/>
          <w:kern w:val="2"/>
          <w:sz w:val="22"/>
          <w:szCs w:val="22"/>
          <w:lang w:val="en-PH"/>
          <w14:ligatures w14:val="standardContextual"/>
        </w:rPr>
        <w:t xml:space="preserve"> https://journal.hasbaedukasi.co.id/index.php/jurmie</w:t>
      </w:r>
    </w:p>
    <w:p w14:paraId="7756BB32" w14:textId="0AB0F104" w:rsidR="00FD5450" w:rsidRPr="002B4418" w:rsidRDefault="00FD5450" w:rsidP="002B4418">
      <w:pPr>
        <w:pStyle w:val="ListParagraph"/>
        <w:numPr>
          <w:ilvl w:val="0"/>
          <w:numId w:val="31"/>
        </w:numPr>
        <w:spacing w:after="160" w:line="259" w:lineRule="auto"/>
        <w:jc w:val="both"/>
        <w:rPr>
          <w:rFonts w:ascii="Arial" w:eastAsia="Calibri" w:hAnsi="Arial" w:cs="Arial"/>
          <w:kern w:val="2"/>
          <w:sz w:val="22"/>
          <w:szCs w:val="22"/>
          <w:lang w:val="en-PH"/>
        </w:rPr>
      </w:pPr>
      <w:r w:rsidRPr="002B4418">
        <w:rPr>
          <w:rFonts w:ascii="Arial" w:eastAsia="Calibri" w:hAnsi="Arial" w:cs="Arial"/>
          <w:kern w:val="2"/>
          <w:sz w:val="22"/>
          <w:szCs w:val="22"/>
          <w:lang w:val="en-PH"/>
        </w:rPr>
        <w:t>Rahmah, L., &amp; Muslim, S. (2019). Implementation of Competence Certification Test for the Improvement of Vocational School of Work Graduation Readiness. 379(</w:t>
      </w:r>
      <w:proofErr w:type="spellStart"/>
      <w:r w:rsidRPr="002B4418">
        <w:rPr>
          <w:rFonts w:ascii="Arial" w:eastAsia="Calibri" w:hAnsi="Arial" w:cs="Arial"/>
          <w:kern w:val="2"/>
          <w:sz w:val="22"/>
          <w:szCs w:val="22"/>
          <w:lang w:val="en-PH"/>
        </w:rPr>
        <w:t>Veic</w:t>
      </w:r>
      <w:proofErr w:type="spellEnd"/>
      <w:r w:rsidRPr="002B4418">
        <w:rPr>
          <w:rFonts w:ascii="Arial" w:eastAsia="Calibri" w:hAnsi="Arial" w:cs="Arial"/>
          <w:kern w:val="2"/>
          <w:sz w:val="22"/>
          <w:szCs w:val="22"/>
          <w:lang w:val="en-PH"/>
        </w:rPr>
        <w:t>), 230–237.  https://doi.org/10.2991/assehr.k.191217.038</w:t>
      </w:r>
    </w:p>
    <w:p w14:paraId="555859A9" w14:textId="77777777" w:rsidR="00FD5450" w:rsidRPr="002B4418" w:rsidRDefault="00FD5450" w:rsidP="002B4418">
      <w:pPr>
        <w:pStyle w:val="ListParagraph"/>
        <w:numPr>
          <w:ilvl w:val="0"/>
          <w:numId w:val="31"/>
        </w:numPr>
        <w:spacing w:after="160" w:line="259" w:lineRule="auto"/>
        <w:jc w:val="both"/>
        <w:rPr>
          <w:rFonts w:ascii="Arial" w:eastAsia="Calibri" w:hAnsi="Arial" w:cs="Arial"/>
          <w:kern w:val="2"/>
          <w:sz w:val="22"/>
          <w:szCs w:val="22"/>
          <w:lang w:val="en-PH"/>
        </w:rPr>
      </w:pPr>
      <w:r w:rsidRPr="002B4418">
        <w:rPr>
          <w:rFonts w:ascii="Arial" w:eastAsia="Calibri" w:hAnsi="Arial" w:cs="Arial"/>
          <w:kern w:val="2"/>
          <w:sz w:val="22"/>
          <w:szCs w:val="22"/>
          <w:lang w:val="en-PH"/>
        </w:rPr>
        <w:t xml:space="preserve">Syauqi, K., Ardian, A., &amp; </w:t>
      </w:r>
      <w:proofErr w:type="spellStart"/>
      <w:r w:rsidRPr="002B4418">
        <w:rPr>
          <w:rFonts w:ascii="Arial" w:eastAsia="Calibri" w:hAnsi="Arial" w:cs="Arial"/>
          <w:kern w:val="2"/>
          <w:sz w:val="22"/>
          <w:szCs w:val="22"/>
          <w:lang w:val="en-PH"/>
        </w:rPr>
        <w:t>Sugiyono</w:t>
      </w:r>
      <w:proofErr w:type="spellEnd"/>
      <w:r w:rsidRPr="002B4418">
        <w:rPr>
          <w:rFonts w:ascii="Arial" w:eastAsia="Calibri" w:hAnsi="Arial" w:cs="Arial"/>
          <w:kern w:val="2"/>
          <w:sz w:val="22"/>
          <w:szCs w:val="22"/>
          <w:lang w:val="en-PH"/>
        </w:rPr>
        <w:t>, S. (2025). Strategy for Improving SMAW Welding Practice Learning: Case Study at Vocational High School. Journal of Vocational Education Studies, 8(2), 304-318. doi.org/10.12928/</w:t>
      </w:r>
      <w:proofErr w:type="gramStart"/>
      <w:r w:rsidRPr="002B4418">
        <w:rPr>
          <w:rFonts w:ascii="Arial" w:eastAsia="Calibri" w:hAnsi="Arial" w:cs="Arial"/>
          <w:kern w:val="2"/>
          <w:sz w:val="22"/>
          <w:szCs w:val="22"/>
          <w:lang w:val="en-PH"/>
        </w:rPr>
        <w:t>joves.v</w:t>
      </w:r>
      <w:proofErr w:type="gramEnd"/>
      <w:r w:rsidRPr="002B4418">
        <w:rPr>
          <w:rFonts w:ascii="Arial" w:eastAsia="Calibri" w:hAnsi="Arial" w:cs="Arial"/>
          <w:kern w:val="2"/>
          <w:sz w:val="22"/>
          <w:szCs w:val="22"/>
          <w:lang w:val="en-PH"/>
        </w:rPr>
        <w:t>8i2.12594</w:t>
      </w:r>
    </w:p>
    <w:p w14:paraId="7BABAF11" w14:textId="3042FD41" w:rsidR="007B4AAD" w:rsidRPr="002B4418" w:rsidRDefault="007B4AAD" w:rsidP="002B4418">
      <w:pPr>
        <w:pStyle w:val="ListParagraph"/>
        <w:numPr>
          <w:ilvl w:val="0"/>
          <w:numId w:val="31"/>
        </w:numPr>
        <w:spacing w:after="160" w:line="259" w:lineRule="auto"/>
        <w:jc w:val="both"/>
        <w:rPr>
          <w:rFonts w:ascii="Arial" w:eastAsia="Calibri" w:hAnsi="Arial" w:cs="Arial"/>
          <w:kern w:val="2"/>
          <w:sz w:val="22"/>
          <w:szCs w:val="22"/>
          <w:lang w:val="en-PH"/>
        </w:rPr>
      </w:pPr>
      <w:r w:rsidRPr="002B4418">
        <w:rPr>
          <w:rFonts w:ascii="Arial" w:eastAsia="Calibri" w:hAnsi="Arial" w:cs="Arial"/>
          <w:kern w:val="2"/>
          <w:sz w:val="22"/>
          <w:szCs w:val="22"/>
          <w:lang w:val="en-PH"/>
        </w:rPr>
        <w:t xml:space="preserve">Tauchid, A., Agung Barata, M., Wafa, K., &amp; </w:t>
      </w:r>
      <w:proofErr w:type="spellStart"/>
      <w:r w:rsidRPr="002B4418">
        <w:rPr>
          <w:rFonts w:ascii="Arial" w:eastAsia="Calibri" w:hAnsi="Arial" w:cs="Arial"/>
          <w:kern w:val="2"/>
          <w:sz w:val="22"/>
          <w:szCs w:val="22"/>
          <w:lang w:val="en-PH"/>
        </w:rPr>
        <w:t>Wijayanti</w:t>
      </w:r>
      <w:proofErr w:type="spellEnd"/>
      <w:r w:rsidRPr="002B4418">
        <w:rPr>
          <w:rFonts w:ascii="Arial" w:eastAsia="Calibri" w:hAnsi="Arial" w:cs="Arial"/>
          <w:kern w:val="2"/>
          <w:sz w:val="22"/>
          <w:szCs w:val="22"/>
          <w:lang w:val="en-PH"/>
        </w:rPr>
        <w:t xml:space="preserve">, R. (2024). Navigating challenges in remote speaking tasks: Unveiling technical and non-technical problems faced by students. International Review of Research in Open and Distributed Learning, 25(4), 87-106. https://doi.org/10.19173/irrodl.v25i4.7772 </w:t>
      </w:r>
      <w:proofErr w:type="spellStart"/>
      <w:r w:rsidRPr="002B4418">
        <w:rPr>
          <w:rFonts w:ascii="Arial" w:eastAsia="Calibri" w:hAnsi="Arial" w:cs="Arial"/>
          <w:kern w:val="2"/>
          <w:sz w:val="22"/>
          <w:szCs w:val="22"/>
          <w:lang w:val="en-PH"/>
        </w:rPr>
        <w:t>CopiedAn</w:t>
      </w:r>
      <w:proofErr w:type="spellEnd"/>
      <w:r w:rsidRPr="002B4418">
        <w:rPr>
          <w:rFonts w:ascii="Arial" w:eastAsia="Calibri" w:hAnsi="Arial" w:cs="Arial"/>
          <w:kern w:val="2"/>
          <w:sz w:val="22"/>
          <w:szCs w:val="22"/>
          <w:lang w:val="en-PH"/>
        </w:rPr>
        <w:t xml:space="preserve"> error has occurred</w:t>
      </w:r>
    </w:p>
    <w:p w14:paraId="397482D5" w14:textId="77777777" w:rsidR="00FD5450" w:rsidRPr="002B4418" w:rsidRDefault="00FD5450" w:rsidP="002B4418">
      <w:pPr>
        <w:pStyle w:val="ListParagraph"/>
        <w:numPr>
          <w:ilvl w:val="0"/>
          <w:numId w:val="31"/>
        </w:numPr>
        <w:spacing w:after="160" w:line="259" w:lineRule="auto"/>
        <w:jc w:val="both"/>
        <w:rPr>
          <w:rFonts w:ascii="Arial" w:eastAsia="Calibri" w:hAnsi="Arial" w:cs="Arial"/>
          <w:kern w:val="2"/>
          <w:sz w:val="22"/>
          <w:szCs w:val="22"/>
          <w:lang w:val="en-PH"/>
        </w:rPr>
      </w:pPr>
      <w:r w:rsidRPr="002B4418">
        <w:rPr>
          <w:rFonts w:ascii="Arial" w:eastAsia="Calibri" w:hAnsi="Arial" w:cs="Arial"/>
          <w:kern w:val="2"/>
          <w:sz w:val="22"/>
          <w:szCs w:val="22"/>
          <w:lang w:val="en-PH"/>
        </w:rPr>
        <w:t>Technical Education and Skills Development Authority – PTC</w:t>
      </w:r>
      <w:r w:rsidRPr="002B4418">
        <w:rPr>
          <w:rFonts w:ascii="Cambria Math" w:eastAsia="Calibri" w:hAnsi="Cambria Math" w:cs="Cambria Math"/>
          <w:kern w:val="2"/>
          <w:sz w:val="22"/>
          <w:szCs w:val="22"/>
          <w:lang w:val="en-PH"/>
        </w:rPr>
        <w:t>‑</w:t>
      </w:r>
      <w:r w:rsidRPr="002B4418">
        <w:rPr>
          <w:rFonts w:ascii="Arial" w:eastAsia="Calibri" w:hAnsi="Arial" w:cs="Arial"/>
          <w:kern w:val="2"/>
          <w:sz w:val="22"/>
          <w:szCs w:val="22"/>
          <w:lang w:val="en-PH"/>
        </w:rPr>
        <w:t>SDN. (n.d.). Shielded Metal Arc Welding (SMAW) NC II qualification details. Retrieved from https://sites.google.com/tesda.gov.ph/tesda-ptc-sdn/programs-and-services/program-offerings/qualifications/smaw-nc-ii</w:t>
      </w:r>
    </w:p>
    <w:p w14:paraId="45CC086F" w14:textId="77777777" w:rsidR="00FD5450" w:rsidRPr="002B4418" w:rsidRDefault="00FD5450" w:rsidP="002B4418">
      <w:pPr>
        <w:pStyle w:val="ListParagraph"/>
        <w:numPr>
          <w:ilvl w:val="0"/>
          <w:numId w:val="31"/>
        </w:numPr>
        <w:spacing w:after="160" w:line="259" w:lineRule="auto"/>
        <w:jc w:val="both"/>
        <w:rPr>
          <w:rFonts w:ascii="Arial" w:eastAsia="Calibri" w:hAnsi="Arial" w:cs="Arial"/>
          <w:kern w:val="2"/>
          <w:sz w:val="22"/>
          <w:szCs w:val="22"/>
          <w:lang w:val="en-PH"/>
        </w:rPr>
      </w:pPr>
      <w:r w:rsidRPr="002B4418">
        <w:rPr>
          <w:rFonts w:ascii="Arial" w:eastAsia="Calibri" w:hAnsi="Arial" w:cs="Arial"/>
          <w:kern w:val="2"/>
          <w:sz w:val="22"/>
          <w:szCs w:val="22"/>
          <w:lang w:val="en-PH"/>
        </w:rPr>
        <w:t>Technical Education and Skills Development Authority – SNCAT. (2020). Shielded Metal Arc Welding (SMAW) NC II competencies. Retrieved from https://sites.google.com/tesda.gov.ph/sncat-tesda/mobile-training-program-mtp/shielded-metal-arc-welding-nc-smaw-ii</w:t>
      </w:r>
    </w:p>
    <w:p w14:paraId="3F6C691C" w14:textId="77777777" w:rsidR="00FD5450" w:rsidRPr="002B4418" w:rsidRDefault="00FD5450" w:rsidP="002B4418">
      <w:pPr>
        <w:pStyle w:val="ListParagraph"/>
        <w:numPr>
          <w:ilvl w:val="0"/>
          <w:numId w:val="31"/>
        </w:numPr>
        <w:spacing w:after="160" w:line="259" w:lineRule="auto"/>
        <w:jc w:val="both"/>
        <w:rPr>
          <w:rFonts w:ascii="Arial" w:eastAsia="Calibri" w:hAnsi="Arial" w:cs="Arial"/>
          <w:kern w:val="2"/>
          <w:sz w:val="22"/>
          <w:szCs w:val="22"/>
          <w:lang w:val="en-PH"/>
        </w:rPr>
      </w:pPr>
      <w:r w:rsidRPr="002B4418">
        <w:rPr>
          <w:rFonts w:ascii="Arial" w:eastAsia="Calibri" w:hAnsi="Arial" w:cs="Arial"/>
          <w:kern w:val="2"/>
          <w:sz w:val="22"/>
          <w:szCs w:val="22"/>
          <w:lang w:val="en-PH"/>
        </w:rPr>
        <w:t>Technical Education and Skills Development Authority. (n.d.). Training regulations (SMAW). Retrieved fromhttps://www.tesda.gov.ph/Download/Training_Regulations?SearchTitle=SMAW&amp;Searchcat=System.Web.Mvc.SelectList</w:t>
      </w:r>
    </w:p>
    <w:p w14:paraId="286F6454" w14:textId="7B6E7B86" w:rsidR="007B4AAD" w:rsidRPr="002B4418" w:rsidRDefault="007B4AAD" w:rsidP="002B4418">
      <w:pPr>
        <w:pStyle w:val="ListParagraph"/>
        <w:numPr>
          <w:ilvl w:val="0"/>
          <w:numId w:val="31"/>
        </w:numPr>
        <w:spacing w:after="160" w:line="259" w:lineRule="auto"/>
        <w:jc w:val="both"/>
        <w:rPr>
          <w:rFonts w:ascii="Arial" w:eastAsia="Calibri" w:hAnsi="Arial" w:cs="Arial"/>
          <w:kern w:val="2"/>
          <w:sz w:val="22"/>
          <w:szCs w:val="22"/>
          <w:lang w:val="en-PH"/>
        </w:rPr>
      </w:pPr>
      <w:r w:rsidRPr="002B4418">
        <w:rPr>
          <w:rFonts w:ascii="Arial" w:eastAsia="Calibri" w:hAnsi="Arial" w:cs="Arial"/>
          <w:kern w:val="2"/>
          <w:sz w:val="22"/>
          <w:szCs w:val="22"/>
          <w:lang w:val="en-PH"/>
        </w:rPr>
        <w:t>UNESCO-UNEVOC. (2021). Technical and vocational education and training in the Philippines. UNESCO-UNEVOC International Centre.</w:t>
      </w:r>
    </w:p>
    <w:p w14:paraId="3D092865" w14:textId="1EA4842D" w:rsidR="00FD5450" w:rsidRPr="002B4418" w:rsidRDefault="00FD5450" w:rsidP="002B4418">
      <w:pPr>
        <w:pStyle w:val="ListParagraph"/>
        <w:numPr>
          <w:ilvl w:val="0"/>
          <w:numId w:val="31"/>
        </w:numPr>
        <w:spacing w:after="160" w:line="259" w:lineRule="auto"/>
        <w:jc w:val="both"/>
        <w:rPr>
          <w:rFonts w:ascii="Arial" w:eastAsia="Calibri" w:hAnsi="Arial" w:cs="Arial"/>
          <w:kern w:val="2"/>
          <w:sz w:val="22"/>
          <w:szCs w:val="22"/>
          <w:lang w:val="en-PH"/>
        </w:rPr>
      </w:pPr>
      <w:proofErr w:type="spellStart"/>
      <w:r w:rsidRPr="002B4418">
        <w:rPr>
          <w:rFonts w:ascii="Arial" w:eastAsia="Calibri" w:hAnsi="Arial" w:cs="Arial"/>
          <w:kern w:val="2"/>
          <w:sz w:val="22"/>
          <w:szCs w:val="22"/>
          <w:lang w:val="en-PH"/>
        </w:rPr>
        <w:t>Wettaka</w:t>
      </w:r>
      <w:proofErr w:type="spellEnd"/>
      <w:r w:rsidRPr="002B4418">
        <w:rPr>
          <w:rFonts w:ascii="Arial" w:eastAsia="Calibri" w:hAnsi="Arial" w:cs="Arial"/>
          <w:kern w:val="2"/>
          <w:sz w:val="22"/>
          <w:szCs w:val="22"/>
          <w:lang w:val="en-PH"/>
        </w:rPr>
        <w:t>, J. (2020). Improving hands-on training for skill acquisition of engineering Students at the department of mechanical and production engineering, Kyambogo university (Doctoral dissertation, Kyambogo University (un published work)</w:t>
      </w:r>
    </w:p>
    <w:p w14:paraId="235F80A3" w14:textId="77777777" w:rsidR="00FD5450" w:rsidRPr="002B4418" w:rsidRDefault="00FD5450" w:rsidP="002B4418">
      <w:pPr>
        <w:pStyle w:val="ListParagraph"/>
        <w:numPr>
          <w:ilvl w:val="0"/>
          <w:numId w:val="31"/>
        </w:numPr>
        <w:spacing w:after="160" w:line="259" w:lineRule="auto"/>
        <w:jc w:val="both"/>
        <w:rPr>
          <w:rFonts w:ascii="Arial" w:eastAsia="Calibri" w:hAnsi="Arial" w:cs="Arial"/>
          <w:kern w:val="2"/>
          <w:sz w:val="22"/>
          <w:szCs w:val="22"/>
          <w:lang w:val="en-PH"/>
        </w:rPr>
      </w:pPr>
      <w:r w:rsidRPr="002B4418">
        <w:rPr>
          <w:rFonts w:ascii="Arial" w:eastAsia="Calibri" w:hAnsi="Arial" w:cs="Arial"/>
          <w:kern w:val="2"/>
          <w:sz w:val="22"/>
          <w:szCs w:val="22"/>
          <w:lang w:val="en-PH"/>
        </w:rPr>
        <w:lastRenderedPageBreak/>
        <w:t>Yoshida, Y. M. (2025). Work readiness of senior high school students in the Technical-Vocational-Livelihood track. International Journal of Pedagogy and Learning Community (IJPLC), 2(1), 1-12. DOI:10.24036/2ytjvj68</w:t>
      </w:r>
    </w:p>
    <w:p w14:paraId="2A127D79" w14:textId="2D708E45" w:rsidR="007B4AAD" w:rsidRPr="002B4418" w:rsidRDefault="007B4AAD" w:rsidP="002B4418">
      <w:pPr>
        <w:pStyle w:val="ListParagraph"/>
        <w:numPr>
          <w:ilvl w:val="0"/>
          <w:numId w:val="31"/>
        </w:numPr>
        <w:spacing w:after="160" w:line="259" w:lineRule="auto"/>
        <w:jc w:val="both"/>
        <w:rPr>
          <w:rFonts w:ascii="Arial" w:eastAsia="Calibri" w:hAnsi="Arial" w:cs="Arial"/>
          <w:kern w:val="2"/>
          <w:sz w:val="22"/>
          <w:szCs w:val="22"/>
          <w:lang w:val="en-PH"/>
        </w:rPr>
      </w:pPr>
      <w:r w:rsidRPr="002B4418">
        <w:rPr>
          <w:rFonts w:ascii="Arial" w:eastAsia="Calibri" w:hAnsi="Arial" w:cs="Arial"/>
          <w:kern w:val="2"/>
          <w:sz w:val="22"/>
          <w:szCs w:val="22"/>
          <w:lang w:val="en-PH"/>
        </w:rPr>
        <w:t>Yusvana, R. (2025). Addressing the skills gap in technical and vocational training for sustainable socio-economic growth and development. International Journal of Research and Innovation in Social Science, 8(IIIS), 6311-6325. DOI: https://dx.doi.org/10.47772/IJRISS.2024.803474S</w:t>
      </w:r>
    </w:p>
    <w:p w14:paraId="21D6ADCE" w14:textId="77777777" w:rsidR="00FD5450" w:rsidRPr="00FD5450" w:rsidRDefault="00FD5450" w:rsidP="00FD5450">
      <w:pPr>
        <w:spacing w:after="160" w:line="259" w:lineRule="auto"/>
        <w:rPr>
          <w:rFonts w:ascii="Calibri" w:eastAsia="Calibri" w:hAnsi="Calibri"/>
          <w:kern w:val="2"/>
          <w:sz w:val="22"/>
          <w:szCs w:val="22"/>
          <w:lang w:val="en-PH"/>
        </w:rPr>
      </w:pPr>
      <w:r w:rsidRPr="00FD5450">
        <w:rPr>
          <w:rFonts w:ascii="Calibri" w:eastAsia="Calibri" w:hAnsi="Calibri"/>
          <w:kern w:val="2"/>
          <w:sz w:val="22"/>
          <w:szCs w:val="22"/>
          <w:lang w:val="en-PH"/>
        </w:rPr>
        <w:t xml:space="preserve">. </w:t>
      </w:r>
    </w:p>
    <w:p w14:paraId="172CC7B7" w14:textId="77777777" w:rsidR="00FD5450" w:rsidRPr="00FD5450" w:rsidRDefault="00FD5450" w:rsidP="00FD5450">
      <w:pPr>
        <w:spacing w:after="4" w:line="475" w:lineRule="auto"/>
        <w:ind w:right="49" w:firstLine="710"/>
        <w:jc w:val="both"/>
        <w:rPr>
          <w:rFonts w:ascii="Book Antiqua" w:eastAsia="Book Antiqua" w:hAnsi="Book Antiqua" w:cs="Book Antiqua"/>
          <w:color w:val="000000"/>
          <w:szCs w:val="22"/>
        </w:rPr>
      </w:pPr>
    </w:p>
    <w:p w14:paraId="7A8B8881" w14:textId="77777777" w:rsidR="00B01FCD" w:rsidRPr="00FB3A86" w:rsidRDefault="00B01FCD" w:rsidP="00FD5450">
      <w:pPr>
        <w:pStyle w:val="Body"/>
        <w:spacing w:after="0"/>
        <w:rPr>
          <w:rFonts w:ascii="Arial" w:hAnsi="Arial" w:cs="Arial"/>
          <w:b/>
        </w:rPr>
      </w:pPr>
    </w:p>
    <w:sectPr w:rsidR="00B01FCD" w:rsidRPr="00FB3A86" w:rsidSect="00FD5450">
      <w:footerReference w:type="default" r:id="rId15"/>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7A64" w14:textId="77777777" w:rsidR="00320B96" w:rsidRDefault="00320B96" w:rsidP="00C37E61">
      <w:r>
        <w:separator/>
      </w:r>
    </w:p>
  </w:endnote>
  <w:endnote w:type="continuationSeparator" w:id="0">
    <w:p w14:paraId="6F8F732E" w14:textId="77777777" w:rsidR="00320B96" w:rsidRDefault="00320B9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FAA2" w14:textId="77777777" w:rsidR="00760E7B" w:rsidRDefault="00760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8B8A" w14:textId="77777777" w:rsidR="00760E7B" w:rsidRDefault="00760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7C91" w14:textId="77777777" w:rsidR="009E048A" w:rsidRDefault="009E048A">
    <w:pPr>
      <w:pStyle w:val="Footer"/>
      <w:rPr>
        <w:rFonts w:ascii="Arial" w:hAnsi="Arial" w:cs="Arial"/>
        <w:sz w:val="16"/>
      </w:rPr>
    </w:pPr>
  </w:p>
  <w:p w14:paraId="4453B61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A7D9461" w14:textId="77777777" w:rsidR="009E048A" w:rsidRDefault="009E048A">
    <w:pPr>
      <w:pStyle w:val="Footer"/>
      <w:rPr>
        <w:rFonts w:ascii="Arial" w:hAnsi="Arial" w:cs="Arial"/>
        <w:sz w:val="16"/>
      </w:rPr>
    </w:pPr>
  </w:p>
  <w:p w14:paraId="1EB2290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C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0AA8" w14:textId="77777777" w:rsidR="00320B96" w:rsidRDefault="00320B96" w:rsidP="00C37E61">
      <w:r>
        <w:separator/>
      </w:r>
    </w:p>
  </w:footnote>
  <w:footnote w:type="continuationSeparator" w:id="0">
    <w:p w14:paraId="760DF3DE" w14:textId="77777777" w:rsidR="00320B96" w:rsidRDefault="00320B9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BFD9" w14:textId="77777777" w:rsidR="00760E7B" w:rsidRDefault="00760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7B1C" w14:textId="77777777" w:rsidR="00760E7B" w:rsidRDefault="00760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BD05" w14:textId="77777777" w:rsidR="00296529" w:rsidRPr="00296529" w:rsidRDefault="00296529" w:rsidP="00296529">
    <w:pPr>
      <w:ind w:left="2160"/>
      <w:jc w:val="center"/>
      <w:rPr>
        <w:rFonts w:ascii="Times New Roman" w:eastAsia="Calibri" w:hAnsi="Times New Roman"/>
        <w:i/>
        <w:sz w:val="18"/>
        <w:szCs w:val="22"/>
      </w:rPr>
    </w:pPr>
  </w:p>
  <w:p w14:paraId="7A65675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3B79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AD792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0D95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4046C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E7424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237D66"/>
    <w:multiLevelType w:val="hybridMultilevel"/>
    <w:tmpl w:val="F36E6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482085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5947005">
    <w:abstractNumId w:val="15"/>
  </w:num>
  <w:num w:numId="3" w16cid:durableId="671375739">
    <w:abstractNumId w:val="24"/>
  </w:num>
  <w:num w:numId="4" w16cid:durableId="158067462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37405118">
    <w:abstractNumId w:val="7"/>
  </w:num>
  <w:num w:numId="6" w16cid:durableId="1554660494">
    <w:abstractNumId w:val="6"/>
  </w:num>
  <w:num w:numId="7" w16cid:durableId="513613833">
    <w:abstractNumId w:val="1"/>
  </w:num>
  <w:num w:numId="8" w16cid:durableId="1666008382">
    <w:abstractNumId w:val="12"/>
  </w:num>
  <w:num w:numId="9" w16cid:durableId="678042244">
    <w:abstractNumId w:val="26"/>
  </w:num>
  <w:num w:numId="10" w16cid:durableId="1018627874">
    <w:abstractNumId w:val="2"/>
  </w:num>
  <w:num w:numId="11" w16cid:durableId="1402292145">
    <w:abstractNumId w:val="18"/>
  </w:num>
  <w:num w:numId="12" w16cid:durableId="1203056089">
    <w:abstractNumId w:val="3"/>
  </w:num>
  <w:num w:numId="13" w16cid:durableId="685062639">
    <w:abstractNumId w:val="17"/>
  </w:num>
  <w:num w:numId="14" w16cid:durableId="373651902">
    <w:abstractNumId w:val="8"/>
  </w:num>
  <w:num w:numId="15" w16cid:durableId="467360800">
    <w:abstractNumId w:val="22"/>
  </w:num>
  <w:num w:numId="16" w16cid:durableId="466435060">
    <w:abstractNumId w:val="5"/>
  </w:num>
  <w:num w:numId="17" w16cid:durableId="842477944">
    <w:abstractNumId w:val="23"/>
  </w:num>
  <w:num w:numId="18" w16cid:durableId="261114771">
    <w:abstractNumId w:val="14"/>
  </w:num>
  <w:num w:numId="19" w16cid:durableId="44646161">
    <w:abstractNumId w:val="29"/>
  </w:num>
  <w:num w:numId="20" w16cid:durableId="1698584063">
    <w:abstractNumId w:val="11"/>
  </w:num>
  <w:num w:numId="21" w16cid:durableId="1438646411">
    <w:abstractNumId w:val="9"/>
  </w:num>
  <w:num w:numId="22" w16cid:durableId="597250286">
    <w:abstractNumId w:val="13"/>
  </w:num>
  <w:num w:numId="23" w16cid:durableId="1531409027">
    <w:abstractNumId w:val="20"/>
  </w:num>
  <w:num w:numId="24" w16cid:durableId="35587832">
    <w:abstractNumId w:val="27"/>
  </w:num>
  <w:num w:numId="25" w16cid:durableId="997878742">
    <w:abstractNumId w:val="4"/>
  </w:num>
  <w:num w:numId="26" w16cid:durableId="931665936">
    <w:abstractNumId w:val="16"/>
  </w:num>
  <w:num w:numId="27" w16cid:durableId="1046492262">
    <w:abstractNumId w:val="21"/>
  </w:num>
  <w:num w:numId="28" w16cid:durableId="1527253449">
    <w:abstractNumId w:val="28"/>
  </w:num>
  <w:num w:numId="29" w16cid:durableId="1373112761">
    <w:abstractNumId w:val="25"/>
  </w:num>
  <w:num w:numId="30" w16cid:durableId="344094499">
    <w:abstractNumId w:val="10"/>
  </w:num>
  <w:num w:numId="31" w16cid:durableId="20253537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544C"/>
    <w:rsid w:val="000E7B7B"/>
    <w:rsid w:val="000E7D62"/>
    <w:rsid w:val="00103357"/>
    <w:rsid w:val="001124A1"/>
    <w:rsid w:val="00123C9F"/>
    <w:rsid w:val="00126190"/>
    <w:rsid w:val="00130F17"/>
    <w:rsid w:val="001320BF"/>
    <w:rsid w:val="00163BC4"/>
    <w:rsid w:val="00191062"/>
    <w:rsid w:val="00192B72"/>
    <w:rsid w:val="00192D8A"/>
    <w:rsid w:val="00193AD5"/>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74AD"/>
    <w:rsid w:val="002B27FB"/>
    <w:rsid w:val="002B4418"/>
    <w:rsid w:val="002B685A"/>
    <w:rsid w:val="002C57D2"/>
    <w:rsid w:val="002E0D56"/>
    <w:rsid w:val="00315186"/>
    <w:rsid w:val="00320B96"/>
    <w:rsid w:val="0033343E"/>
    <w:rsid w:val="0033385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182E"/>
    <w:rsid w:val="004D305E"/>
    <w:rsid w:val="004D4277"/>
    <w:rsid w:val="00502516"/>
    <w:rsid w:val="00505F06"/>
    <w:rsid w:val="00506828"/>
    <w:rsid w:val="0053056E"/>
    <w:rsid w:val="00531684"/>
    <w:rsid w:val="0054374A"/>
    <w:rsid w:val="00554FDA"/>
    <w:rsid w:val="00576D61"/>
    <w:rsid w:val="00582BEB"/>
    <w:rsid w:val="005C784C"/>
    <w:rsid w:val="005D17F6"/>
    <w:rsid w:val="005E5539"/>
    <w:rsid w:val="00602BF5"/>
    <w:rsid w:val="00617FDD"/>
    <w:rsid w:val="0062056D"/>
    <w:rsid w:val="00633614"/>
    <w:rsid w:val="00633F68"/>
    <w:rsid w:val="00636EB2"/>
    <w:rsid w:val="006375B8"/>
    <w:rsid w:val="0066510A"/>
    <w:rsid w:val="00673F9F"/>
    <w:rsid w:val="00685747"/>
    <w:rsid w:val="00686953"/>
    <w:rsid w:val="00687DEA"/>
    <w:rsid w:val="00687E67"/>
    <w:rsid w:val="00692669"/>
    <w:rsid w:val="006967F7"/>
    <w:rsid w:val="006A250C"/>
    <w:rsid w:val="006B21D3"/>
    <w:rsid w:val="006B57D0"/>
    <w:rsid w:val="006D30FF"/>
    <w:rsid w:val="006D6940"/>
    <w:rsid w:val="006E66C9"/>
    <w:rsid w:val="006F11EC"/>
    <w:rsid w:val="0070082C"/>
    <w:rsid w:val="007176F1"/>
    <w:rsid w:val="007369E6"/>
    <w:rsid w:val="00746E59"/>
    <w:rsid w:val="00754C9A"/>
    <w:rsid w:val="0075599A"/>
    <w:rsid w:val="00760E7B"/>
    <w:rsid w:val="00761D52"/>
    <w:rsid w:val="0077749E"/>
    <w:rsid w:val="00790ADA"/>
    <w:rsid w:val="007B4AAD"/>
    <w:rsid w:val="007C618F"/>
    <w:rsid w:val="007C75D7"/>
    <w:rsid w:val="007D2288"/>
    <w:rsid w:val="007E088F"/>
    <w:rsid w:val="007F7B32"/>
    <w:rsid w:val="00804BC2"/>
    <w:rsid w:val="0081431A"/>
    <w:rsid w:val="0083216F"/>
    <w:rsid w:val="00843A20"/>
    <w:rsid w:val="00860000"/>
    <w:rsid w:val="00863BD3"/>
    <w:rsid w:val="008641ED"/>
    <w:rsid w:val="00866D66"/>
    <w:rsid w:val="008671C6"/>
    <w:rsid w:val="00875803"/>
    <w:rsid w:val="008B459E"/>
    <w:rsid w:val="008E13AE"/>
    <w:rsid w:val="008E1506"/>
    <w:rsid w:val="008E710C"/>
    <w:rsid w:val="008F69D6"/>
    <w:rsid w:val="00902823"/>
    <w:rsid w:val="00906F8D"/>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2584"/>
    <w:rsid w:val="00A03B96"/>
    <w:rsid w:val="00A05B19"/>
    <w:rsid w:val="00A1134E"/>
    <w:rsid w:val="00A24E7E"/>
    <w:rsid w:val="00A258C3"/>
    <w:rsid w:val="00A347C0"/>
    <w:rsid w:val="00A403CA"/>
    <w:rsid w:val="00A51431"/>
    <w:rsid w:val="00A539AD"/>
    <w:rsid w:val="00A94063"/>
    <w:rsid w:val="00AA5963"/>
    <w:rsid w:val="00AA6219"/>
    <w:rsid w:val="00AA74E0"/>
    <w:rsid w:val="00AB703F"/>
    <w:rsid w:val="00AC6BB8"/>
    <w:rsid w:val="00AE008F"/>
    <w:rsid w:val="00B01FCD"/>
    <w:rsid w:val="00B1776C"/>
    <w:rsid w:val="00B52583"/>
    <w:rsid w:val="00B52896"/>
    <w:rsid w:val="00B77AB0"/>
    <w:rsid w:val="00B95236"/>
    <w:rsid w:val="00B96BD9"/>
    <w:rsid w:val="00BA1B01"/>
    <w:rsid w:val="00BA2641"/>
    <w:rsid w:val="00BB37AA"/>
    <w:rsid w:val="00BC53A0"/>
    <w:rsid w:val="00BE62AD"/>
    <w:rsid w:val="00BF121F"/>
    <w:rsid w:val="00BF1F80"/>
    <w:rsid w:val="00C03D7C"/>
    <w:rsid w:val="00C166EF"/>
    <w:rsid w:val="00C17EB0"/>
    <w:rsid w:val="00C27F5F"/>
    <w:rsid w:val="00C30A0F"/>
    <w:rsid w:val="00C37E61"/>
    <w:rsid w:val="00C44B70"/>
    <w:rsid w:val="00C70F1B"/>
    <w:rsid w:val="00C71A47"/>
    <w:rsid w:val="00C7464C"/>
    <w:rsid w:val="00C85588"/>
    <w:rsid w:val="00CB6DE3"/>
    <w:rsid w:val="00CD6755"/>
    <w:rsid w:val="00CD6856"/>
    <w:rsid w:val="00CE0089"/>
    <w:rsid w:val="00CE793C"/>
    <w:rsid w:val="00CF193C"/>
    <w:rsid w:val="00D173F1"/>
    <w:rsid w:val="00D63D51"/>
    <w:rsid w:val="00D74CB0"/>
    <w:rsid w:val="00D8295D"/>
    <w:rsid w:val="00D95E8E"/>
    <w:rsid w:val="00DC2A65"/>
    <w:rsid w:val="00DC754D"/>
    <w:rsid w:val="00DD784F"/>
    <w:rsid w:val="00DE15F0"/>
    <w:rsid w:val="00DE5663"/>
    <w:rsid w:val="00DE78AA"/>
    <w:rsid w:val="00E053D0"/>
    <w:rsid w:val="00E15994"/>
    <w:rsid w:val="00E21FAD"/>
    <w:rsid w:val="00E3114E"/>
    <w:rsid w:val="00E31A70"/>
    <w:rsid w:val="00E35B02"/>
    <w:rsid w:val="00E46CAA"/>
    <w:rsid w:val="00E66496"/>
    <w:rsid w:val="00E66B35"/>
    <w:rsid w:val="00E66E10"/>
    <w:rsid w:val="00E769F6"/>
    <w:rsid w:val="00E8407C"/>
    <w:rsid w:val="00E84F3C"/>
    <w:rsid w:val="00EA012C"/>
    <w:rsid w:val="00EC6A55"/>
    <w:rsid w:val="00ED0288"/>
    <w:rsid w:val="00EE52CB"/>
    <w:rsid w:val="00EF581D"/>
    <w:rsid w:val="00EF7FD8"/>
    <w:rsid w:val="00F06F59"/>
    <w:rsid w:val="00F1794A"/>
    <w:rsid w:val="00F17988"/>
    <w:rsid w:val="00F469F0"/>
    <w:rsid w:val="00F53273"/>
    <w:rsid w:val="00F755E4"/>
    <w:rsid w:val="00F77D02"/>
    <w:rsid w:val="00F81A4F"/>
    <w:rsid w:val="00FA7428"/>
    <w:rsid w:val="00FB3A86"/>
    <w:rsid w:val="00FC6041"/>
    <w:rsid w:val="00FD36C8"/>
    <w:rsid w:val="00FD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89D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906F8D"/>
    <w:pPr>
      <w:ind w:right="49" w:firstLine="710"/>
      <w:jc w:val="both"/>
    </w:pPr>
    <w:rPr>
      <w:rFonts w:ascii="Book Antiqua" w:eastAsia="Book Antiqua" w:hAnsi="Book Antiqua" w:cs="Book Antiqua"/>
      <w:color w:val="000000"/>
      <w:szCs w:val="22"/>
    </w:rPr>
  </w:style>
  <w:style w:type="paragraph" w:styleId="ListParagraph">
    <w:name w:val="List Paragraph"/>
    <w:basedOn w:val="Normal"/>
    <w:uiPriority w:val="34"/>
    <w:qFormat/>
    <w:rsid w:val="002B4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istancelearning.institute/research/descriptive-research-education-methods-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15</Pages>
  <Words>5755</Words>
  <Characters>32807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38486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21</cp:revision>
  <cp:lastPrinted>1999-07-06T11:00:00Z</cp:lastPrinted>
  <dcterms:created xsi:type="dcterms:W3CDTF">2026-05-22T11:46:00Z</dcterms:created>
  <dcterms:modified xsi:type="dcterms:W3CDTF">2026-05-23T07:33:00Z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de08f834-5002-4876-8466-e522de1ba224</vt:lpwstr>
  </property>
</Properties>
</file>