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AC706" w14:textId="77777777" w:rsidR="00E531CD" w:rsidRPr="00FF6C3B" w:rsidRDefault="00E531CD" w:rsidP="00FF6C3B">
      <w:pPr>
        <w:spacing w:after="0" w:line="240" w:lineRule="auto"/>
        <w:jc w:val="right"/>
        <w:rPr>
          <w:rFonts w:ascii="Times New Roman" w:eastAsia="Times New Roman" w:hAnsi="Times New Roman" w:cs="Times New Roman"/>
          <w:b/>
          <w:bCs/>
          <w:iCs/>
          <w:kern w:val="28"/>
          <w:sz w:val="20"/>
          <w:szCs w:val="20"/>
        </w:rPr>
      </w:pPr>
    </w:p>
    <w:p w14:paraId="437208C5" w14:textId="0198B80E" w:rsidR="003F47A0" w:rsidRPr="00FF6C3B" w:rsidRDefault="00AE2874" w:rsidP="00FF6C3B">
      <w:pPr>
        <w:pStyle w:val="Heading1"/>
        <w:rPr>
          <w:rFonts w:ascii="Times New Roman" w:eastAsia="Times New Roman" w:hAnsi="Times New Roman" w:cs="Times New Roman"/>
          <w:kern w:val="28"/>
          <w:sz w:val="48"/>
          <w:szCs w:val="48"/>
        </w:rPr>
      </w:pPr>
      <w:r w:rsidRPr="00FF6C3B">
        <w:rPr>
          <w:rFonts w:ascii="Times New Roman" w:eastAsia="Times New Roman" w:hAnsi="Times New Roman" w:cs="Times New Roman"/>
          <w:kern w:val="28"/>
          <w:sz w:val="48"/>
          <w:szCs w:val="48"/>
        </w:rPr>
        <w:t>Comparative Performance of New and Remanufactured Lithium-Ion EV Battery Packs in Ghana</w:t>
      </w:r>
    </w:p>
    <w:p w14:paraId="599F76FB" w14:textId="77777777" w:rsidR="00BD060A" w:rsidRPr="00F860CE" w:rsidRDefault="00BD060A" w:rsidP="00FF6C3B">
      <w:pPr>
        <w:keepNext/>
        <w:tabs>
          <w:tab w:val="left" w:pos="3870"/>
        </w:tabs>
        <w:spacing w:after="0" w:line="240" w:lineRule="auto"/>
        <w:rPr>
          <w:rFonts w:ascii="Times New Roman" w:eastAsia="Times New Roman" w:hAnsi="Times New Roman" w:cs="Times New Roman"/>
          <w:b/>
          <w:caps/>
          <w:sz w:val="20"/>
          <w:szCs w:val="20"/>
        </w:rPr>
      </w:pPr>
    </w:p>
    <w:p w14:paraId="55A459AB" w14:textId="1D166230" w:rsidR="00BD060A" w:rsidRPr="00FF6C3B" w:rsidRDefault="008C1E2B" w:rsidP="00FF6C3B">
      <w:pPr>
        <w:pStyle w:val="Heading2"/>
        <w:rPr>
          <w:rFonts w:ascii="Times New Roman" w:eastAsia="Times New Roman" w:hAnsi="Times New Roman" w:cs="Times New Roman"/>
        </w:rPr>
      </w:pPr>
      <w:r w:rsidRPr="00FF6C3B">
        <w:rPr>
          <w:rFonts w:ascii="Times New Roman" w:eastAsia="Times New Roman" w:hAnsi="Times New Roman" w:cs="Times New Roman"/>
        </w:rPr>
        <w:t>Abstract</w:t>
      </w:r>
    </w:p>
    <w:p w14:paraId="1D10D0D6" w14:textId="77777777" w:rsidR="00BD060A" w:rsidRPr="00F860CE" w:rsidRDefault="00BD060A" w:rsidP="00FF6C3B">
      <w:pPr>
        <w:keepNext/>
        <w:spacing w:after="0" w:line="240" w:lineRule="auto"/>
        <w:rPr>
          <w:rFonts w:ascii="Times New Roman" w:eastAsia="Times New Roman" w:hAnsi="Times New Roman" w:cs="Times New Roman"/>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BD060A" w:rsidRPr="00FF6C3B" w14:paraId="4D0F60E4" w14:textId="77777777" w:rsidTr="00C531FA">
        <w:trPr>
          <w:jc w:val="center"/>
        </w:trPr>
        <w:tc>
          <w:tcPr>
            <w:tcW w:w="9040" w:type="dxa"/>
          </w:tcPr>
          <w:p w14:paraId="23D2B429" w14:textId="77777777" w:rsidR="00833821" w:rsidRPr="00FF6C3B" w:rsidRDefault="00833821" w:rsidP="00FF6C3B">
            <w:pPr>
              <w:spacing w:after="0" w:line="240" w:lineRule="auto"/>
              <w:jc w:val="both"/>
              <w:rPr>
                <w:rFonts w:ascii="Times New Roman" w:eastAsia="Calibri" w:hAnsi="Times New Roman" w:cs="Times New Roman"/>
                <w:sz w:val="20"/>
              </w:rPr>
            </w:pPr>
            <w:r w:rsidRPr="00FF6C3B">
              <w:rPr>
                <w:rFonts w:ascii="Times New Roman" w:eastAsia="Calibri" w:hAnsi="Times New Roman" w:cs="Times New Roman"/>
                <w:b/>
                <w:bCs/>
                <w:sz w:val="20"/>
              </w:rPr>
              <w:t>Background:</w:t>
            </w:r>
            <w:r w:rsidRPr="00FF6C3B">
              <w:rPr>
                <w:rFonts w:ascii="Times New Roman" w:eastAsia="Calibri" w:hAnsi="Times New Roman" w:cs="Times New Roman"/>
                <w:sz w:val="20"/>
              </w:rPr>
              <w:t xml:space="preserve"> The rapid transition toward electric mobility has increased the demand for lithium-ion electric vehicle (EV) batteries; however, the high cost of new battery packs remains a major barrier to EV adoption in developing countries such as Ghana. This study comparatively assessed the real-world performance of new and remanufactured lithium-ion EV battery packs under Ghanaian driving and environmental conditions through practical road testing.</w:t>
            </w:r>
          </w:p>
          <w:p w14:paraId="6556547F" w14:textId="77777777" w:rsidR="00833821" w:rsidRPr="00FF6C3B" w:rsidRDefault="00833821" w:rsidP="00FF6C3B">
            <w:pPr>
              <w:spacing w:after="0" w:line="240" w:lineRule="auto"/>
              <w:jc w:val="both"/>
              <w:rPr>
                <w:rFonts w:ascii="Times New Roman" w:eastAsia="Calibri" w:hAnsi="Times New Roman" w:cs="Times New Roman"/>
                <w:sz w:val="20"/>
              </w:rPr>
            </w:pPr>
            <w:r w:rsidRPr="00FF6C3B">
              <w:rPr>
                <w:rFonts w:ascii="Times New Roman" w:eastAsia="Calibri" w:hAnsi="Times New Roman" w:cs="Times New Roman"/>
                <w:b/>
                <w:bCs/>
                <w:sz w:val="20"/>
              </w:rPr>
              <w:t xml:space="preserve">Objective: </w:t>
            </w:r>
            <w:r w:rsidRPr="00FF6C3B">
              <w:rPr>
                <w:rFonts w:ascii="Times New Roman" w:eastAsia="Calibri" w:hAnsi="Times New Roman" w:cs="Times New Roman"/>
                <w:sz w:val="20"/>
              </w:rPr>
              <w:t>The study aims to evaluate and compare the technical and environmental viability of using remanufactured lithium-ion batteries as a sustainable alternative to new or degraded batteries for electric vehicles in Ghana.</w:t>
            </w:r>
          </w:p>
          <w:p w14:paraId="3BF4708B" w14:textId="77777777" w:rsidR="00833821" w:rsidRPr="00FF6C3B" w:rsidRDefault="00833821" w:rsidP="00FF6C3B">
            <w:pPr>
              <w:spacing w:after="0" w:line="240" w:lineRule="auto"/>
              <w:jc w:val="both"/>
              <w:rPr>
                <w:rFonts w:ascii="Times New Roman" w:eastAsia="Calibri" w:hAnsi="Times New Roman" w:cs="Times New Roman"/>
                <w:sz w:val="20"/>
              </w:rPr>
            </w:pPr>
            <w:r w:rsidRPr="00FF6C3B">
              <w:rPr>
                <w:rFonts w:ascii="Times New Roman" w:eastAsia="Calibri" w:hAnsi="Times New Roman" w:cs="Times New Roman"/>
                <w:b/>
                <w:bCs/>
                <w:sz w:val="20"/>
              </w:rPr>
              <w:t>Method:</w:t>
            </w:r>
            <w:r w:rsidRPr="00FF6C3B">
              <w:rPr>
                <w:rFonts w:ascii="Times New Roman" w:eastAsia="Calibri" w:hAnsi="Times New Roman" w:cs="Times New Roman"/>
                <w:sz w:val="20"/>
              </w:rPr>
              <w:t xml:space="preserve"> An experimental comparative research design was employed using a converted electric vehicle fitted alternately with a new battery pack and a remanufactured battery pack. The batteries were evaluated under morning, afternoon, and evening driving scenarios across level roads, hilly terrains, highways, and traffic-congested conditions. Key performance indicators assessed included state of charge (SOC), battery percentage drop, charging efficiency, internal resistance, thermal performance, voltage stability, and driving range.</w:t>
            </w:r>
          </w:p>
          <w:p w14:paraId="2B8E4742" w14:textId="77777777" w:rsidR="00833821" w:rsidRPr="00FF6C3B" w:rsidRDefault="00833821" w:rsidP="00FF6C3B">
            <w:pPr>
              <w:spacing w:after="0" w:line="240" w:lineRule="auto"/>
              <w:jc w:val="both"/>
              <w:rPr>
                <w:rFonts w:ascii="Times New Roman" w:eastAsia="Calibri" w:hAnsi="Times New Roman" w:cs="Times New Roman"/>
                <w:sz w:val="20"/>
              </w:rPr>
            </w:pPr>
            <w:r w:rsidRPr="00FF6C3B">
              <w:rPr>
                <w:rFonts w:ascii="Times New Roman" w:eastAsia="Calibri" w:hAnsi="Times New Roman" w:cs="Times New Roman"/>
                <w:b/>
                <w:bCs/>
                <w:sz w:val="20"/>
              </w:rPr>
              <w:t>Results:</w:t>
            </w:r>
            <w:r w:rsidRPr="00FF6C3B">
              <w:rPr>
                <w:rFonts w:ascii="Times New Roman" w:eastAsia="Calibri" w:hAnsi="Times New Roman" w:cs="Times New Roman"/>
                <w:sz w:val="20"/>
              </w:rPr>
              <w:t xml:space="preserve"> The results showed that the new battery exhibited superior overall performance compared to the remanufactured battery. Internal resistance measurements revealed that the new battery recorded lower resistance values of 20 </w:t>
            </w:r>
            <w:proofErr w:type="spellStart"/>
            <w:r w:rsidRPr="00FF6C3B">
              <w:rPr>
                <w:rFonts w:ascii="Times New Roman" w:eastAsia="Calibri" w:hAnsi="Times New Roman" w:cs="Times New Roman"/>
                <w:sz w:val="20"/>
              </w:rPr>
              <w:t>mΩ</w:t>
            </w:r>
            <w:proofErr w:type="spellEnd"/>
            <w:r w:rsidRPr="00FF6C3B">
              <w:rPr>
                <w:rFonts w:ascii="Times New Roman" w:eastAsia="Calibri" w:hAnsi="Times New Roman" w:cs="Times New Roman"/>
                <w:sz w:val="20"/>
              </w:rPr>
              <w:t xml:space="preserve"> at the cell level and 22 </w:t>
            </w:r>
            <w:proofErr w:type="spellStart"/>
            <w:r w:rsidRPr="00FF6C3B">
              <w:rPr>
                <w:rFonts w:ascii="Times New Roman" w:eastAsia="Calibri" w:hAnsi="Times New Roman" w:cs="Times New Roman"/>
                <w:sz w:val="20"/>
              </w:rPr>
              <w:t>mΩ</w:t>
            </w:r>
            <w:proofErr w:type="spellEnd"/>
            <w:r w:rsidRPr="00FF6C3B">
              <w:rPr>
                <w:rFonts w:ascii="Times New Roman" w:eastAsia="Calibri" w:hAnsi="Times New Roman" w:cs="Times New Roman"/>
                <w:sz w:val="20"/>
              </w:rPr>
              <w:t xml:space="preserve"> at the module level, whereas the remanufactured battery recorded higher values of 35 </w:t>
            </w:r>
            <w:proofErr w:type="spellStart"/>
            <w:r w:rsidRPr="00FF6C3B">
              <w:rPr>
                <w:rFonts w:ascii="Times New Roman" w:eastAsia="Calibri" w:hAnsi="Times New Roman" w:cs="Times New Roman"/>
                <w:sz w:val="20"/>
              </w:rPr>
              <w:t>mΩ</w:t>
            </w:r>
            <w:proofErr w:type="spellEnd"/>
            <w:r w:rsidRPr="00FF6C3B">
              <w:rPr>
                <w:rFonts w:ascii="Times New Roman" w:eastAsia="Calibri" w:hAnsi="Times New Roman" w:cs="Times New Roman"/>
                <w:sz w:val="20"/>
              </w:rPr>
              <w:t xml:space="preserve"> and 41 </w:t>
            </w:r>
            <w:proofErr w:type="spellStart"/>
            <w:r w:rsidRPr="00FF6C3B">
              <w:rPr>
                <w:rFonts w:ascii="Times New Roman" w:eastAsia="Calibri" w:hAnsi="Times New Roman" w:cs="Times New Roman"/>
                <w:sz w:val="20"/>
              </w:rPr>
              <w:t>mΩ</w:t>
            </w:r>
            <w:proofErr w:type="spellEnd"/>
            <w:r w:rsidRPr="00FF6C3B">
              <w:rPr>
                <w:rFonts w:ascii="Times New Roman" w:eastAsia="Calibri" w:hAnsi="Times New Roman" w:cs="Times New Roman"/>
                <w:sz w:val="20"/>
              </w:rPr>
              <w:t>, respectively, indicating increased energy losses and degradation tendencies in the remanufactured system. The charging analysis further demonstrated that the new battery reached 100% SOC within 90 minutes using a 60 kW DC fast charger, while the remanufactured battery required 120 minutes under similar charging conditions.</w:t>
            </w:r>
          </w:p>
          <w:p w14:paraId="0C5082C0" w14:textId="55F55F09" w:rsidR="00833821" w:rsidRPr="00FF6C3B" w:rsidRDefault="00833821" w:rsidP="00FF6C3B">
            <w:pPr>
              <w:spacing w:after="0" w:line="240" w:lineRule="auto"/>
              <w:jc w:val="both"/>
              <w:rPr>
                <w:rFonts w:ascii="Times New Roman" w:eastAsia="Calibri" w:hAnsi="Times New Roman" w:cs="Times New Roman"/>
                <w:sz w:val="20"/>
              </w:rPr>
            </w:pPr>
            <w:r w:rsidRPr="00FF6C3B">
              <w:rPr>
                <w:rFonts w:ascii="Times New Roman" w:eastAsia="Calibri" w:hAnsi="Times New Roman" w:cs="Times New Roman"/>
                <w:sz w:val="20"/>
              </w:rPr>
              <w:t xml:space="preserve">Road test results indicated a strong negative correlation between travel distance and battery percentage for both battery systems across all test periods. During the morning test, the Pearson correlation coefficients were </w:t>
            </w:r>
            <m:oMath>
              <m:r>
                <w:rPr>
                  <w:rFonts w:ascii="Cambria Math" w:eastAsia="Calibri" w:hAnsi="Cambria Math" w:cs="Times New Roman"/>
                  <w:sz w:val="20"/>
                </w:rPr>
                <m:t>r=-0.958</m:t>
              </m:r>
            </m:oMath>
            <w:r w:rsidRPr="00FF6C3B">
              <w:rPr>
                <w:rFonts w:ascii="Times New Roman" w:eastAsia="Calibri" w:hAnsi="Times New Roman" w:cs="Times New Roman"/>
                <w:sz w:val="20"/>
              </w:rPr>
              <w:t xml:space="preserve">for the new battery and </w:t>
            </w:r>
            <m:oMath>
              <m:r>
                <w:rPr>
                  <w:rFonts w:ascii="Cambria Math" w:eastAsia="Calibri" w:hAnsi="Cambria Math" w:cs="Times New Roman"/>
                  <w:sz w:val="20"/>
                </w:rPr>
                <m:t>r=-0.975</m:t>
              </m:r>
            </m:oMath>
            <w:r w:rsidRPr="00FF6C3B">
              <w:rPr>
                <w:rFonts w:ascii="Times New Roman" w:eastAsia="Calibri" w:hAnsi="Times New Roman" w:cs="Times New Roman"/>
                <w:sz w:val="20"/>
              </w:rPr>
              <w:t>for the remanufactured battery, with p-values less than 0.0001, confirming statistically significant discharge behavior. Similar trends were observed during the afternoon (</w:t>
            </w:r>
            <m:oMath>
              <m:r>
                <w:rPr>
                  <w:rFonts w:ascii="Cambria Math" w:eastAsia="Calibri" w:hAnsi="Cambria Math" w:cs="Times New Roman"/>
                  <w:sz w:val="20"/>
                </w:rPr>
                <m:t>r=-0.918</m:t>
              </m:r>
            </m:oMath>
            <w:r w:rsidRPr="00FF6C3B">
              <w:rPr>
                <w:rFonts w:ascii="Times New Roman" w:eastAsia="Calibri" w:hAnsi="Times New Roman" w:cs="Times New Roman"/>
                <w:sz w:val="20"/>
              </w:rPr>
              <w:t xml:space="preserve"> and </w:t>
            </w:r>
            <m:oMath>
              <m:r>
                <w:rPr>
                  <w:rFonts w:ascii="Cambria Math" w:eastAsia="Calibri" w:hAnsi="Cambria Math" w:cs="Times New Roman"/>
                  <w:sz w:val="20"/>
                </w:rPr>
                <m:t>r=-0.978</m:t>
              </m:r>
            </m:oMath>
            <w:r w:rsidRPr="00FF6C3B">
              <w:rPr>
                <w:rFonts w:ascii="Times New Roman" w:eastAsia="Calibri" w:hAnsi="Times New Roman" w:cs="Times New Roman"/>
                <w:sz w:val="20"/>
              </w:rPr>
              <w:t>) and evening (</w:t>
            </w:r>
            <m:oMath>
              <m:r>
                <w:rPr>
                  <w:rFonts w:ascii="Cambria Math" w:eastAsia="Calibri" w:hAnsi="Cambria Math" w:cs="Times New Roman"/>
                  <w:sz w:val="20"/>
                </w:rPr>
                <m:t>r=-0.829</m:t>
              </m:r>
            </m:oMath>
            <w:r w:rsidRPr="00FF6C3B">
              <w:rPr>
                <w:rFonts w:ascii="Times New Roman" w:eastAsia="Calibri" w:hAnsi="Times New Roman" w:cs="Times New Roman"/>
                <w:sz w:val="20"/>
              </w:rPr>
              <w:t xml:space="preserve"> and </w:t>
            </w:r>
            <m:oMath>
              <m:r>
                <w:rPr>
                  <w:rFonts w:ascii="Cambria Math" w:eastAsia="Calibri" w:hAnsi="Cambria Math" w:cs="Times New Roman"/>
                  <w:sz w:val="20"/>
                </w:rPr>
                <m:t>r=-0.885</m:t>
              </m:r>
            </m:oMath>
            <w:r w:rsidRPr="00FF6C3B">
              <w:rPr>
                <w:rFonts w:ascii="Times New Roman" w:eastAsia="Calibri" w:hAnsi="Times New Roman" w:cs="Times New Roman"/>
                <w:sz w:val="20"/>
              </w:rPr>
              <w:t>) sessions. The average battery percentage drop across all operational periods was higher for the new battery (186.99%) than the remanufactured battery (173.33%), with performance differences increasing progressively from morning (2%), afternoon (4%), to evening (7.33%) conditions.</w:t>
            </w:r>
          </w:p>
          <w:p w14:paraId="292861CF" w14:textId="07B4B614" w:rsidR="003F47A0" w:rsidRPr="00FF6C3B" w:rsidRDefault="00833821" w:rsidP="00FF6C3B">
            <w:pPr>
              <w:spacing w:after="0" w:line="240" w:lineRule="auto"/>
              <w:jc w:val="both"/>
              <w:rPr>
                <w:rFonts w:ascii="Times New Roman" w:eastAsia="Calibri" w:hAnsi="Times New Roman" w:cs="Times New Roman"/>
                <w:sz w:val="20"/>
              </w:rPr>
            </w:pPr>
            <w:r w:rsidRPr="00FF6C3B">
              <w:rPr>
                <w:rFonts w:ascii="Times New Roman" w:eastAsia="Calibri" w:hAnsi="Times New Roman" w:cs="Times New Roman"/>
                <w:b/>
                <w:bCs/>
                <w:sz w:val="20"/>
              </w:rPr>
              <w:t>Conclusion:</w:t>
            </w:r>
            <w:r w:rsidRPr="00FF6C3B">
              <w:rPr>
                <w:rFonts w:ascii="Times New Roman" w:eastAsia="Calibri" w:hAnsi="Times New Roman" w:cs="Times New Roman"/>
                <w:sz w:val="20"/>
              </w:rPr>
              <w:t xml:space="preserve"> The findings demonstrate that although remanufactured lithium-ion batteries exhibit moderate reductions in efficiency, thermal stability, and energy retention compared to new batteries, they still maintain accep</w:t>
            </w:r>
            <w:r w:rsidRPr="0074590E">
              <w:rPr>
                <w:rFonts w:ascii="Times New Roman" w:eastAsia="Calibri" w:hAnsi="Times New Roman" w:cs="Times New Roman"/>
                <w:sz w:val="20"/>
              </w:rPr>
              <w:t>table</w:t>
            </w:r>
            <w:r w:rsidRPr="00FF6C3B">
              <w:rPr>
                <w:rFonts w:ascii="Times New Roman" w:eastAsia="Calibri" w:hAnsi="Times New Roman" w:cs="Times New Roman"/>
                <w:sz w:val="20"/>
              </w:rPr>
              <w:t xml:space="preserve"> operational performance for short-distance and urban EV applications. The study concludes that remanufactured EV batteries can provide a cost-effective and environmentally sustainable alternative for electric mobility deployment in Ghana, particularly within commercial transportation and circular economy frameworks.</w:t>
            </w:r>
          </w:p>
          <w:p w14:paraId="3DBE6AAE" w14:textId="77777777" w:rsidR="003F47A0" w:rsidRPr="00700CB4" w:rsidRDefault="003F47A0" w:rsidP="00FF6C3B">
            <w:pPr>
              <w:spacing w:after="0" w:line="240" w:lineRule="auto"/>
              <w:jc w:val="both"/>
              <w:rPr>
                <w:rFonts w:ascii="Times New Roman" w:eastAsia="Calibri" w:hAnsi="Times New Roman" w:cs="Times New Roman"/>
                <w:sz w:val="16"/>
                <w:szCs w:val="18"/>
              </w:rPr>
            </w:pPr>
          </w:p>
        </w:tc>
      </w:tr>
    </w:tbl>
    <w:p w14:paraId="6204E6D7" w14:textId="77777777" w:rsidR="00D851AD" w:rsidRPr="00B73072" w:rsidRDefault="00D851AD" w:rsidP="00FF6C3B">
      <w:pPr>
        <w:spacing w:after="0" w:line="240" w:lineRule="auto"/>
        <w:ind w:left="1080" w:hanging="1080"/>
        <w:jc w:val="both"/>
        <w:rPr>
          <w:rFonts w:ascii="Times New Roman" w:eastAsia="Times New Roman" w:hAnsi="Times New Roman" w:cs="Times New Roman"/>
          <w:i/>
          <w:sz w:val="14"/>
          <w:szCs w:val="14"/>
        </w:rPr>
      </w:pPr>
    </w:p>
    <w:p w14:paraId="7118A20A" w14:textId="3846B86C" w:rsidR="00BD060A" w:rsidRPr="00FF6C3B" w:rsidRDefault="00BD060A" w:rsidP="00FF6C3B">
      <w:pPr>
        <w:widowControl w:val="0"/>
        <w:spacing w:after="0" w:line="240" w:lineRule="auto"/>
        <w:ind w:left="900" w:hanging="900"/>
        <w:jc w:val="both"/>
        <w:rPr>
          <w:rFonts w:ascii="Times New Roman" w:eastAsia="Times New Roman" w:hAnsi="Times New Roman" w:cs="Times New Roman"/>
          <w:bCs/>
          <w:i/>
          <w:iCs/>
          <w:sz w:val="20"/>
          <w:szCs w:val="20"/>
        </w:rPr>
      </w:pPr>
      <w:r w:rsidRPr="00FF6C3B">
        <w:rPr>
          <w:rFonts w:ascii="Times New Roman" w:eastAsia="Times New Roman" w:hAnsi="Times New Roman" w:cs="Times New Roman"/>
          <w:i/>
          <w:sz w:val="20"/>
          <w:szCs w:val="20"/>
        </w:rPr>
        <w:t xml:space="preserve">Keywords: </w:t>
      </w:r>
      <w:r w:rsidR="00833821" w:rsidRPr="00FF6C3B">
        <w:rPr>
          <w:rFonts w:ascii="Times New Roman" w:eastAsia="Times New Roman" w:hAnsi="Times New Roman" w:cs="Times New Roman"/>
          <w:bCs/>
          <w:i/>
          <w:iCs/>
          <w:sz w:val="20"/>
          <w:szCs w:val="20"/>
        </w:rPr>
        <w:t>Electric vehicle batteries</w:t>
      </w:r>
      <w:r w:rsidR="008B2EF2" w:rsidRPr="00FF6C3B">
        <w:rPr>
          <w:rFonts w:ascii="Times New Roman" w:eastAsia="Times New Roman" w:hAnsi="Times New Roman" w:cs="Times New Roman"/>
          <w:bCs/>
          <w:i/>
          <w:iCs/>
          <w:sz w:val="20"/>
          <w:szCs w:val="20"/>
        </w:rPr>
        <w:t xml:space="preserve">; </w:t>
      </w:r>
      <w:r w:rsidR="00833821" w:rsidRPr="00FF6C3B">
        <w:rPr>
          <w:rFonts w:ascii="Times New Roman" w:eastAsia="Times New Roman" w:hAnsi="Times New Roman" w:cs="Times New Roman"/>
          <w:bCs/>
          <w:i/>
          <w:iCs/>
          <w:sz w:val="20"/>
          <w:szCs w:val="20"/>
        </w:rPr>
        <w:t>lithium-ion batteries</w:t>
      </w:r>
      <w:r w:rsidR="008B2EF2" w:rsidRPr="00FF6C3B">
        <w:rPr>
          <w:rFonts w:ascii="Times New Roman" w:eastAsia="Times New Roman" w:hAnsi="Times New Roman" w:cs="Times New Roman"/>
          <w:bCs/>
          <w:i/>
          <w:iCs/>
          <w:sz w:val="20"/>
          <w:szCs w:val="20"/>
        </w:rPr>
        <w:t xml:space="preserve">; </w:t>
      </w:r>
      <w:r w:rsidR="00833821" w:rsidRPr="00FF6C3B">
        <w:rPr>
          <w:rFonts w:ascii="Times New Roman" w:eastAsia="Times New Roman" w:hAnsi="Times New Roman" w:cs="Times New Roman"/>
          <w:bCs/>
          <w:i/>
          <w:iCs/>
          <w:sz w:val="20"/>
          <w:szCs w:val="20"/>
        </w:rPr>
        <w:t>remanufactured batteries</w:t>
      </w:r>
      <w:r w:rsidR="008B2EF2" w:rsidRPr="00FF6C3B">
        <w:rPr>
          <w:rFonts w:ascii="Times New Roman" w:eastAsia="Times New Roman" w:hAnsi="Times New Roman" w:cs="Times New Roman"/>
          <w:bCs/>
          <w:i/>
          <w:iCs/>
          <w:sz w:val="20"/>
          <w:szCs w:val="20"/>
        </w:rPr>
        <w:t xml:space="preserve">; </w:t>
      </w:r>
      <w:r w:rsidR="00833821" w:rsidRPr="00FF6C3B">
        <w:rPr>
          <w:rFonts w:ascii="Times New Roman" w:eastAsia="Times New Roman" w:hAnsi="Times New Roman" w:cs="Times New Roman"/>
          <w:bCs/>
          <w:i/>
          <w:iCs/>
          <w:sz w:val="20"/>
          <w:szCs w:val="20"/>
        </w:rPr>
        <w:t>battery degradation</w:t>
      </w:r>
      <w:r w:rsidR="008B2EF2" w:rsidRPr="00FF6C3B">
        <w:rPr>
          <w:rFonts w:ascii="Times New Roman" w:eastAsia="Times New Roman" w:hAnsi="Times New Roman" w:cs="Times New Roman"/>
          <w:bCs/>
          <w:i/>
          <w:iCs/>
          <w:sz w:val="20"/>
          <w:szCs w:val="20"/>
        </w:rPr>
        <w:t xml:space="preserve">; </w:t>
      </w:r>
      <w:r w:rsidR="00833821" w:rsidRPr="00FF6C3B">
        <w:rPr>
          <w:rFonts w:ascii="Times New Roman" w:eastAsia="Times New Roman" w:hAnsi="Times New Roman" w:cs="Times New Roman"/>
          <w:bCs/>
          <w:i/>
          <w:iCs/>
          <w:sz w:val="20"/>
          <w:szCs w:val="20"/>
        </w:rPr>
        <w:t>state of health</w:t>
      </w:r>
      <w:r w:rsidR="008B2EF2" w:rsidRPr="00FF6C3B">
        <w:rPr>
          <w:rFonts w:ascii="Times New Roman" w:eastAsia="Times New Roman" w:hAnsi="Times New Roman" w:cs="Times New Roman"/>
          <w:bCs/>
          <w:i/>
          <w:iCs/>
          <w:sz w:val="20"/>
          <w:szCs w:val="20"/>
        </w:rPr>
        <w:t>;</w:t>
      </w:r>
      <w:r w:rsidR="00833821" w:rsidRPr="00FF6C3B">
        <w:rPr>
          <w:rFonts w:ascii="Times New Roman" w:eastAsia="Times New Roman" w:hAnsi="Times New Roman" w:cs="Times New Roman"/>
          <w:bCs/>
          <w:i/>
          <w:iCs/>
          <w:sz w:val="20"/>
          <w:szCs w:val="20"/>
        </w:rPr>
        <w:t xml:space="preserve"> circular economy</w:t>
      </w:r>
      <w:r w:rsidR="008B2EF2" w:rsidRPr="00FF6C3B">
        <w:rPr>
          <w:rFonts w:ascii="Times New Roman" w:eastAsia="Times New Roman" w:hAnsi="Times New Roman" w:cs="Times New Roman"/>
          <w:bCs/>
          <w:i/>
          <w:iCs/>
          <w:sz w:val="20"/>
          <w:szCs w:val="20"/>
        </w:rPr>
        <w:t xml:space="preserve">; </w:t>
      </w:r>
      <w:r w:rsidR="00833821" w:rsidRPr="00FF6C3B">
        <w:rPr>
          <w:rFonts w:ascii="Times New Roman" w:eastAsia="Times New Roman" w:hAnsi="Times New Roman" w:cs="Times New Roman"/>
          <w:bCs/>
          <w:i/>
          <w:iCs/>
          <w:sz w:val="20"/>
          <w:szCs w:val="20"/>
        </w:rPr>
        <w:t>battery management system</w:t>
      </w:r>
      <w:r w:rsidR="008B2EF2" w:rsidRPr="00FF6C3B">
        <w:rPr>
          <w:rFonts w:ascii="Times New Roman" w:eastAsia="Times New Roman" w:hAnsi="Times New Roman" w:cs="Times New Roman"/>
          <w:bCs/>
          <w:i/>
          <w:iCs/>
          <w:sz w:val="20"/>
          <w:szCs w:val="20"/>
        </w:rPr>
        <w:t xml:space="preserve">; </w:t>
      </w:r>
      <w:r w:rsidR="00833821" w:rsidRPr="00FF6C3B">
        <w:rPr>
          <w:rFonts w:ascii="Times New Roman" w:eastAsia="Times New Roman" w:hAnsi="Times New Roman" w:cs="Times New Roman"/>
          <w:bCs/>
          <w:i/>
          <w:iCs/>
          <w:sz w:val="20"/>
          <w:szCs w:val="20"/>
        </w:rPr>
        <w:t>Ghana.</w:t>
      </w:r>
    </w:p>
    <w:p w14:paraId="41284062" w14:textId="77777777" w:rsidR="00100E8D" w:rsidRPr="00B73072" w:rsidRDefault="00100E8D" w:rsidP="00FF6C3B">
      <w:pPr>
        <w:spacing w:after="0" w:line="240" w:lineRule="auto"/>
        <w:jc w:val="both"/>
        <w:rPr>
          <w:rFonts w:ascii="Times New Roman" w:eastAsia="Calibri" w:hAnsi="Times New Roman" w:cs="Times New Roman"/>
          <w:b/>
          <w:bCs/>
          <w:color w:val="0D0D0D" w:themeColor="text1" w:themeTint="F2"/>
          <w:kern w:val="2"/>
          <w:sz w:val="16"/>
          <w:szCs w:val="16"/>
        </w:rPr>
      </w:pPr>
    </w:p>
    <w:p w14:paraId="28073FFA" w14:textId="0C69450B" w:rsidR="00100E8D" w:rsidRPr="00100E8D" w:rsidRDefault="00100E8D" w:rsidP="00FF6C3B">
      <w:pPr>
        <w:spacing w:after="0" w:line="240" w:lineRule="auto"/>
        <w:jc w:val="both"/>
        <w:rPr>
          <w:rFonts w:ascii="Times New Roman" w:eastAsia="Calibri" w:hAnsi="Times New Roman" w:cs="Times New Roman"/>
          <w:b/>
          <w:bCs/>
          <w:color w:val="0D0D0D" w:themeColor="text1" w:themeTint="F2"/>
          <w:kern w:val="2"/>
          <w:sz w:val="24"/>
          <w:szCs w:val="24"/>
        </w:rPr>
      </w:pPr>
      <w:r w:rsidRPr="00100E8D">
        <w:rPr>
          <w:rFonts w:ascii="Times New Roman" w:eastAsia="Calibri" w:hAnsi="Times New Roman" w:cs="Times New Roman"/>
          <w:b/>
          <w:bCs/>
          <w:color w:val="0D0D0D" w:themeColor="text1" w:themeTint="F2"/>
          <w:kern w:val="2"/>
          <w:sz w:val="24"/>
          <w:szCs w:val="24"/>
        </w:rPr>
        <w:t>Acronyms</w:t>
      </w:r>
    </w:p>
    <w:p w14:paraId="60541CB5" w14:textId="77777777" w:rsidR="00700CB4" w:rsidRPr="00700CB4" w:rsidRDefault="00700CB4" w:rsidP="00FF6C3B">
      <w:pPr>
        <w:spacing w:after="0" w:line="240" w:lineRule="auto"/>
        <w:jc w:val="both"/>
        <w:rPr>
          <w:rFonts w:ascii="Times New Roman" w:eastAsia="Calibri" w:hAnsi="Times New Roman" w:cs="Times New Roman"/>
          <w:b/>
          <w:bCs/>
          <w:color w:val="0D0D0D" w:themeColor="text1" w:themeTint="F2"/>
          <w:kern w:val="2"/>
          <w:sz w:val="16"/>
          <w:szCs w:val="16"/>
        </w:rPr>
      </w:pPr>
    </w:p>
    <w:p w14:paraId="19553AEB" w14:textId="36230E2E"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AR</w:t>
      </w:r>
      <w:r w:rsidR="00700CB4" w:rsidRPr="00700CB4">
        <w:rPr>
          <w:rFonts w:ascii="Times New Roman" w:eastAsia="Calibri" w:hAnsi="Times New Roman" w:cs="Times New Roman"/>
          <w:i/>
          <w:iCs/>
          <w:color w:val="0D0D0D" w:themeColor="text1" w:themeTint="F2"/>
          <w:kern w:val="2"/>
          <w:sz w:val="20"/>
          <w:szCs w:val="20"/>
        </w:rPr>
        <w:tab/>
        <w:t xml:space="preserve">: </w:t>
      </w:r>
      <w:r w:rsidRPr="00700CB4">
        <w:rPr>
          <w:rFonts w:ascii="Times New Roman" w:eastAsia="Calibri" w:hAnsi="Times New Roman" w:cs="Times New Roman"/>
          <w:i/>
          <w:iCs/>
          <w:color w:val="0D0D0D" w:themeColor="text1" w:themeTint="F2"/>
          <w:kern w:val="2"/>
          <w:sz w:val="20"/>
          <w:szCs w:val="20"/>
        </w:rPr>
        <w:t>Augmented Reality</w:t>
      </w:r>
    </w:p>
    <w:p w14:paraId="75C21126" w14:textId="77975ACA"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Bad cells</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&lt; 3.0 volts per cell</w:t>
      </w:r>
    </w:p>
    <w:p w14:paraId="3118DF75" w14:textId="5D771827"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BMS</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Battery Management System</w:t>
      </w:r>
    </w:p>
    <w:p w14:paraId="224160B3" w14:textId="1F814C3C"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BYD</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Buy Your Dreams</w:t>
      </w:r>
    </w:p>
    <w:p w14:paraId="41277AA9" w14:textId="5F959D56"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lastRenderedPageBreak/>
        <w:t>DC</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Direct Current</w:t>
      </w:r>
    </w:p>
    <w:p w14:paraId="229971C0" w14:textId="7B7D420B"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EOL</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End-of-Life</w:t>
      </w:r>
    </w:p>
    <w:p w14:paraId="73AD89BF" w14:textId="2E1510CD"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EV</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Electric Vehicle</w:t>
      </w:r>
    </w:p>
    <w:p w14:paraId="638A4AA9" w14:textId="3BFD933F"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EPA</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Environmental Protection Agency</w:t>
      </w:r>
    </w:p>
    <w:p w14:paraId="4B5F3359" w14:textId="265895FC"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Good cells</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&gt; 3.5 – 3.7 volts per cell</w:t>
      </w:r>
    </w:p>
    <w:p w14:paraId="1E41C423" w14:textId="6FE8CF69" w:rsidR="00100E8D" w:rsidRPr="00700CB4" w:rsidRDefault="00100E8D" w:rsidP="00700CB4">
      <w:pPr>
        <w:tabs>
          <w:tab w:val="left" w:pos="1440"/>
          <w:tab w:val="left" w:pos="23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GHG</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Greenhouse gas</w:t>
      </w:r>
    </w:p>
    <w:p w14:paraId="5C0E2E48" w14:textId="3DC9A763"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IR</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Internal resistance</w:t>
      </w:r>
    </w:p>
    <w:p w14:paraId="27126982" w14:textId="60E73888"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IoT</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Internet of Things</w:t>
      </w:r>
    </w:p>
    <w:p w14:paraId="0866628B" w14:textId="43EAC5A5"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ISO</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International Standard Organization</w:t>
      </w:r>
    </w:p>
    <w:p w14:paraId="5ADF1874" w14:textId="1E36E64D"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LCA</w:t>
      </w:r>
      <w:r w:rsidR="00700CB4" w:rsidRPr="00700CB4">
        <w:rPr>
          <w:rFonts w:ascii="Times New Roman" w:eastAsia="Calibri" w:hAnsi="Times New Roman" w:cs="Times New Roman"/>
          <w:i/>
          <w:iCs/>
          <w:color w:val="0D0D0D" w:themeColor="text1" w:themeTint="F2"/>
          <w:kern w:val="2"/>
          <w:sz w:val="20"/>
          <w:szCs w:val="20"/>
        </w:rPr>
        <w:tab/>
        <w:t xml:space="preserve">: </w:t>
      </w:r>
      <w:r w:rsidRPr="00700CB4">
        <w:rPr>
          <w:rFonts w:ascii="Times New Roman" w:eastAsia="Calibri" w:hAnsi="Times New Roman" w:cs="Times New Roman"/>
          <w:i/>
          <w:iCs/>
          <w:color w:val="0D0D0D" w:themeColor="text1" w:themeTint="F2"/>
          <w:kern w:val="2"/>
          <w:sz w:val="20"/>
          <w:szCs w:val="20"/>
        </w:rPr>
        <w:t>Life Cycle Assessment</w:t>
      </w:r>
    </w:p>
    <w:p w14:paraId="3BBA0F8E" w14:textId="7155FE9B"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LIB</w:t>
      </w:r>
      <w:r w:rsidR="00700CB4" w:rsidRPr="00700CB4">
        <w:rPr>
          <w:rFonts w:ascii="Times New Roman" w:eastAsia="Calibri" w:hAnsi="Times New Roman" w:cs="Times New Roman"/>
          <w:i/>
          <w:iCs/>
          <w:color w:val="0D0D0D" w:themeColor="text1" w:themeTint="F2"/>
          <w:kern w:val="2"/>
          <w:sz w:val="20"/>
          <w:szCs w:val="20"/>
        </w:rPr>
        <w:tab/>
        <w:t xml:space="preserve">: </w:t>
      </w:r>
      <w:r w:rsidRPr="00700CB4">
        <w:rPr>
          <w:rFonts w:ascii="Times New Roman" w:eastAsia="Calibri" w:hAnsi="Times New Roman" w:cs="Times New Roman"/>
          <w:i/>
          <w:iCs/>
          <w:color w:val="0D0D0D" w:themeColor="text1" w:themeTint="F2"/>
          <w:kern w:val="2"/>
          <w:sz w:val="20"/>
          <w:szCs w:val="20"/>
        </w:rPr>
        <w:t>Lithium-Ion Battery</w:t>
      </w:r>
    </w:p>
    <w:p w14:paraId="6BF38643" w14:textId="5CE7FF15"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Times New Roman" w:hAnsi="Times New Roman" w:cs="Times New Roman"/>
          <w:i/>
          <w:iCs/>
          <w:color w:val="0D0D0D" w:themeColor="text1" w:themeTint="F2"/>
          <w:kern w:val="2"/>
          <w:sz w:val="20"/>
          <w:szCs w:val="20"/>
        </w:rPr>
        <w:t>mΩ</w:t>
      </w:r>
      <w:r w:rsidR="00700CB4" w:rsidRPr="00700CB4">
        <w:rPr>
          <w:rFonts w:ascii="Times New Roman" w:eastAsia="Times New Roman" w:hAnsi="Times New Roman" w:cs="Times New Roman"/>
          <w:i/>
          <w:iCs/>
          <w:color w:val="0D0D0D" w:themeColor="text1" w:themeTint="F2"/>
          <w:kern w:val="2"/>
          <w:sz w:val="20"/>
          <w:szCs w:val="20"/>
        </w:rPr>
        <w:tab/>
        <w:t>:</w:t>
      </w:r>
      <w:r w:rsidRPr="00700CB4">
        <w:rPr>
          <w:rFonts w:ascii="Times New Roman" w:eastAsia="Times New Roman" w:hAnsi="Times New Roman" w:cs="Times New Roman"/>
          <w:i/>
          <w:iCs/>
          <w:color w:val="0D0D0D" w:themeColor="text1" w:themeTint="F2"/>
          <w:kern w:val="2"/>
          <w:sz w:val="20"/>
          <w:szCs w:val="20"/>
        </w:rPr>
        <w:t xml:space="preserve"> million ohms</w:t>
      </w:r>
    </w:p>
    <w:p w14:paraId="7872A3B5" w14:textId="07EE2022"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OCV</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Open Circuit Voltage</w:t>
      </w:r>
    </w:p>
    <w:p w14:paraId="60FF6232" w14:textId="76C163C6"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OEM</w:t>
      </w:r>
      <w:r w:rsidR="00700CB4" w:rsidRPr="00700CB4">
        <w:rPr>
          <w:rFonts w:ascii="Times New Roman" w:eastAsia="Calibri" w:hAnsi="Times New Roman" w:cs="Times New Roman"/>
          <w:i/>
          <w:iCs/>
          <w:color w:val="0D0D0D" w:themeColor="text1" w:themeTint="F2"/>
          <w:kern w:val="2"/>
          <w:sz w:val="20"/>
          <w:szCs w:val="20"/>
        </w:rPr>
        <w:tab/>
      </w:r>
      <w:r w:rsidRPr="00700CB4">
        <w:rPr>
          <w:rFonts w:ascii="Times New Roman" w:eastAsia="Calibri" w:hAnsi="Times New Roman" w:cs="Times New Roman"/>
          <w:i/>
          <w:iCs/>
          <w:color w:val="0D0D0D" w:themeColor="text1" w:themeTint="F2"/>
          <w:kern w:val="2"/>
          <w:sz w:val="20"/>
          <w:szCs w:val="20"/>
        </w:rPr>
        <w:t>: Original Equipment Manufacturer</w:t>
      </w:r>
    </w:p>
    <w:p w14:paraId="4066F35A" w14:textId="08F1AC33" w:rsidR="00100E8D" w:rsidRPr="00700CB4"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RUL</w:t>
      </w:r>
      <w:r w:rsidR="00700CB4" w:rsidRPr="00700CB4">
        <w:rPr>
          <w:rFonts w:ascii="Times New Roman" w:eastAsia="Calibri" w:hAnsi="Times New Roman" w:cs="Times New Roman"/>
          <w:i/>
          <w:iCs/>
          <w:color w:val="0D0D0D" w:themeColor="text1" w:themeTint="F2"/>
          <w:kern w:val="2"/>
          <w:sz w:val="20"/>
          <w:szCs w:val="20"/>
        </w:rPr>
        <w:tab/>
      </w:r>
      <w:r w:rsidRPr="00700CB4">
        <w:rPr>
          <w:rFonts w:ascii="Times New Roman" w:eastAsia="Calibri" w:hAnsi="Times New Roman" w:cs="Times New Roman"/>
          <w:i/>
          <w:iCs/>
          <w:color w:val="0D0D0D" w:themeColor="text1" w:themeTint="F2"/>
          <w:kern w:val="2"/>
          <w:sz w:val="20"/>
          <w:szCs w:val="20"/>
        </w:rPr>
        <w:t>: Remaining Useful Life</w:t>
      </w:r>
    </w:p>
    <w:p w14:paraId="4DAF337C" w14:textId="0AB8F754" w:rsidR="00100E8D" w:rsidRPr="00700CB4" w:rsidRDefault="00100E8D" w:rsidP="00700CB4">
      <w:pPr>
        <w:tabs>
          <w:tab w:val="left" w:pos="1440"/>
        </w:tabs>
        <w:spacing w:after="0" w:line="240" w:lineRule="auto"/>
        <w:jc w:val="both"/>
        <w:rPr>
          <w:rFonts w:ascii="Times New Roman" w:eastAsia="Calibri" w:hAnsi="Times New Roman" w:cs="Times New Roman"/>
          <w:b/>
          <w:bCs/>
          <w:i/>
          <w:iCs/>
          <w:color w:val="0D0D0D" w:themeColor="text1" w:themeTint="F2"/>
          <w:kern w:val="2"/>
        </w:rPr>
      </w:pPr>
      <w:r w:rsidRPr="00700CB4">
        <w:rPr>
          <w:rFonts w:ascii="Times New Roman" w:eastAsia="Calibri" w:hAnsi="Times New Roman" w:cs="Times New Roman"/>
          <w:i/>
          <w:iCs/>
          <w:color w:val="0D0D0D" w:themeColor="text1" w:themeTint="F2"/>
          <w:kern w:val="2"/>
          <w:sz w:val="20"/>
          <w:szCs w:val="20"/>
        </w:rPr>
        <w:t>SOC</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State of Charge</w:t>
      </w:r>
    </w:p>
    <w:p w14:paraId="463F015C" w14:textId="5AEBAE6D" w:rsidR="00100E8D" w:rsidRDefault="00100E8D"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r w:rsidRPr="00700CB4">
        <w:rPr>
          <w:rFonts w:ascii="Times New Roman" w:eastAsia="Calibri" w:hAnsi="Times New Roman" w:cs="Times New Roman"/>
          <w:i/>
          <w:iCs/>
          <w:color w:val="0D0D0D" w:themeColor="text1" w:themeTint="F2"/>
          <w:kern w:val="2"/>
          <w:sz w:val="20"/>
          <w:szCs w:val="20"/>
        </w:rPr>
        <w:t>SOH</w:t>
      </w:r>
      <w:r w:rsidR="00700CB4" w:rsidRPr="00700CB4">
        <w:rPr>
          <w:rFonts w:ascii="Times New Roman" w:eastAsia="Calibri" w:hAnsi="Times New Roman" w:cs="Times New Roman"/>
          <w:i/>
          <w:iCs/>
          <w:color w:val="0D0D0D" w:themeColor="text1" w:themeTint="F2"/>
          <w:kern w:val="2"/>
          <w:sz w:val="20"/>
          <w:szCs w:val="20"/>
        </w:rPr>
        <w:tab/>
        <w:t>:</w:t>
      </w:r>
      <w:r w:rsidRPr="00700CB4">
        <w:rPr>
          <w:rFonts w:ascii="Times New Roman" w:eastAsia="Calibri" w:hAnsi="Times New Roman" w:cs="Times New Roman"/>
          <w:i/>
          <w:iCs/>
          <w:color w:val="0D0D0D" w:themeColor="text1" w:themeTint="F2"/>
          <w:kern w:val="2"/>
          <w:sz w:val="20"/>
          <w:szCs w:val="20"/>
        </w:rPr>
        <w:t xml:space="preserve"> State of Health</w:t>
      </w:r>
    </w:p>
    <w:p w14:paraId="43C53845" w14:textId="77777777" w:rsidR="00F843BF" w:rsidRPr="00700CB4" w:rsidRDefault="00F843BF" w:rsidP="00700CB4">
      <w:pPr>
        <w:tabs>
          <w:tab w:val="left" w:pos="1440"/>
        </w:tabs>
        <w:spacing w:after="0" w:line="240" w:lineRule="auto"/>
        <w:jc w:val="both"/>
        <w:rPr>
          <w:rFonts w:ascii="Times New Roman" w:eastAsia="Calibri" w:hAnsi="Times New Roman" w:cs="Times New Roman"/>
          <w:i/>
          <w:iCs/>
          <w:color w:val="0D0D0D" w:themeColor="text1" w:themeTint="F2"/>
          <w:kern w:val="2"/>
          <w:sz w:val="20"/>
          <w:szCs w:val="20"/>
        </w:rPr>
      </w:pPr>
    </w:p>
    <w:p w14:paraId="2F64EDA9" w14:textId="392E2BCB" w:rsidR="00FF6C3B" w:rsidRPr="00FF6C3B" w:rsidRDefault="00FF6C3B" w:rsidP="00FF6C3B">
      <w:pPr>
        <w:spacing w:after="0" w:line="240" w:lineRule="auto"/>
        <w:jc w:val="both"/>
        <w:rPr>
          <w:rFonts w:ascii="Times New Roman" w:eastAsia="Calibri" w:hAnsi="Times New Roman" w:cs="Times New Roman"/>
          <w:b/>
          <w:bCs/>
          <w:color w:val="0D0D0D" w:themeColor="text1" w:themeTint="F2"/>
          <w:kern w:val="2"/>
        </w:rPr>
      </w:pPr>
      <w:r w:rsidRPr="00FF6C3B">
        <w:rPr>
          <w:rFonts w:ascii="Times New Roman" w:eastAsia="Calibri" w:hAnsi="Times New Roman" w:cs="Times New Roman"/>
          <w:b/>
          <w:bCs/>
          <w:color w:val="0D0D0D" w:themeColor="text1" w:themeTint="F2"/>
          <w:kern w:val="2"/>
        </w:rPr>
        <w:t>1. Introduction</w:t>
      </w:r>
    </w:p>
    <w:p w14:paraId="4DFE2A82" w14:textId="77777777" w:rsidR="00FF6C3B" w:rsidRPr="00FF6C3B" w:rsidRDefault="00FF6C3B" w:rsidP="00FF6C3B">
      <w:pPr>
        <w:spacing w:after="0" w:line="240" w:lineRule="auto"/>
        <w:jc w:val="both"/>
        <w:rPr>
          <w:rFonts w:ascii="Times New Roman" w:eastAsia="Calibri" w:hAnsi="Times New Roman" w:cs="Times New Roman"/>
          <w:b/>
          <w:bCs/>
          <w:color w:val="0D0D0D" w:themeColor="text1" w:themeTint="F2"/>
          <w:kern w:val="2"/>
          <w:sz w:val="20"/>
          <w:szCs w:val="20"/>
        </w:rPr>
      </w:pPr>
    </w:p>
    <w:p w14:paraId="2AB1AD52" w14:textId="5B8FC431"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Times New Roman" w:hAnsi="Times New Roman" w:cs="Times New Roman"/>
          <w:color w:val="0D0D0D" w:themeColor="text1" w:themeTint="F2"/>
          <w:kern w:val="2"/>
          <w:sz w:val="20"/>
          <w:szCs w:val="20"/>
        </w:rPr>
        <w:t>In light of global warming, there has been a noticeable increase in concerns about sustainability</w:t>
      </w:r>
      <w:r w:rsidR="004451FF">
        <w:rPr>
          <w:rFonts w:ascii="Times New Roman" w:eastAsia="Times New Roman" w:hAnsi="Times New Roman" w:cs="Times New Roman"/>
          <w:color w:val="0D0D0D" w:themeColor="text1" w:themeTint="F2"/>
          <w:kern w:val="2"/>
          <w:sz w:val="20"/>
          <w:szCs w:val="20"/>
        </w:rPr>
        <w:t xml:space="preserve"> (</w:t>
      </w:r>
      <w:r w:rsidR="004451FF" w:rsidRPr="004451FF">
        <w:rPr>
          <w:rFonts w:ascii="Times New Roman" w:eastAsia="Times New Roman" w:hAnsi="Times New Roman" w:cs="Times New Roman"/>
          <w:color w:val="0D0D0D" w:themeColor="text1" w:themeTint="F2"/>
          <w:kern w:val="2"/>
          <w:sz w:val="20"/>
          <w:szCs w:val="20"/>
          <w:lang w:val="en-GB"/>
        </w:rPr>
        <w:t>Chovancová et al., 2023</w:t>
      </w:r>
      <w:r w:rsidR="004451FF">
        <w:rPr>
          <w:rFonts w:ascii="Times New Roman" w:eastAsia="Times New Roman" w:hAnsi="Times New Roman" w:cs="Times New Roman"/>
          <w:color w:val="0D0D0D" w:themeColor="text1" w:themeTint="F2"/>
          <w:kern w:val="2"/>
          <w:sz w:val="20"/>
          <w:szCs w:val="20"/>
        </w:rPr>
        <w:t>)</w:t>
      </w:r>
      <w:r w:rsidRPr="00FF6C3B">
        <w:rPr>
          <w:rFonts w:ascii="Times New Roman" w:eastAsia="Times New Roman" w:hAnsi="Times New Roman" w:cs="Times New Roman"/>
          <w:color w:val="0D0D0D" w:themeColor="text1" w:themeTint="F2"/>
          <w:kern w:val="2"/>
          <w:sz w:val="20"/>
          <w:szCs w:val="20"/>
        </w:rPr>
        <w:t>.</w:t>
      </w:r>
      <w:r w:rsidR="004451FF">
        <w:rPr>
          <w:rFonts w:ascii="Times New Roman" w:eastAsia="Times New Roman" w:hAnsi="Times New Roman" w:cs="Times New Roman"/>
          <w:color w:val="0D0D0D" w:themeColor="text1" w:themeTint="F2"/>
          <w:kern w:val="2"/>
          <w:sz w:val="20"/>
          <w:szCs w:val="20"/>
        </w:rPr>
        <w:t xml:space="preserve"> </w:t>
      </w:r>
      <w:r w:rsidRPr="00FF6C3B">
        <w:rPr>
          <w:rFonts w:ascii="Times New Roman" w:eastAsia="Times New Roman" w:hAnsi="Times New Roman" w:cs="Times New Roman"/>
          <w:color w:val="0D0D0D" w:themeColor="text1" w:themeTint="F2"/>
          <w:kern w:val="2"/>
          <w:sz w:val="20"/>
          <w:szCs w:val="20"/>
        </w:rPr>
        <w:t xml:space="preserve">Approximately 27% of all greenhouse gas emissions in the European Union originate from the transportation sector, with road transport accounting for 71.7% of these emissions. This is largely due to the growing impact of climate change brought on by CO2 emissions from traditional fossil fuel-powered vehicles, posing a threat to environmental sustainability. </w:t>
      </w:r>
      <w:r w:rsidRPr="00FF6C3B">
        <w:rPr>
          <w:rFonts w:ascii="Times New Roman" w:eastAsia="Calibri" w:hAnsi="Times New Roman" w:cs="Times New Roman"/>
          <w:color w:val="0D0D0D" w:themeColor="text1" w:themeTint="F2"/>
          <w:kern w:val="2"/>
          <w:sz w:val="20"/>
          <w:szCs w:val="20"/>
        </w:rPr>
        <w:t>Over the past decade, there have been increasing gr</w:t>
      </w:r>
      <w:r w:rsidRPr="00FF6C3B">
        <w:rPr>
          <w:rFonts w:ascii="Times New Roman" w:eastAsia="Times New Roman" w:hAnsi="Times New Roman" w:cs="Times New Roman"/>
          <w:color w:val="0D0D0D" w:themeColor="text1" w:themeTint="F2"/>
          <w:kern w:val="2"/>
          <w:sz w:val="20"/>
          <w:szCs w:val="20"/>
        </w:rPr>
        <w:t>eenhouse gas (GHG) emissions worldwide caused by the transportation industry</w:t>
      </w:r>
      <w:r>
        <w:rPr>
          <w:rFonts w:ascii="Times New Roman" w:eastAsia="Times New Roman" w:hAnsi="Times New Roman" w:cs="Times New Roman"/>
          <w:color w:val="0D0D0D" w:themeColor="text1" w:themeTint="F2"/>
          <w:kern w:val="2"/>
          <w:sz w:val="20"/>
          <w:szCs w:val="20"/>
        </w:rPr>
        <w:t xml:space="preserve"> </w:t>
      </w:r>
      <w:r w:rsidR="006A374D">
        <w:rPr>
          <w:rFonts w:ascii="Times New Roman" w:eastAsia="Times New Roman" w:hAnsi="Times New Roman" w:cs="Times New Roman"/>
          <w:noProof/>
          <w:color w:val="0D0D0D" w:themeColor="text1" w:themeTint="F2"/>
          <w:kern w:val="2"/>
          <w:sz w:val="20"/>
          <w:szCs w:val="20"/>
        </w:rPr>
        <w:t>(</w:t>
      </w:r>
      <w:r w:rsidR="006A374D" w:rsidRPr="006A374D">
        <w:rPr>
          <w:rFonts w:ascii="Times New Roman" w:eastAsia="Times New Roman" w:hAnsi="Times New Roman" w:cs="Times New Roman"/>
          <w:noProof/>
          <w:color w:val="0D0D0D" w:themeColor="text1" w:themeTint="F2"/>
          <w:kern w:val="2"/>
          <w:sz w:val="20"/>
          <w:szCs w:val="20"/>
          <w:lang w:val="en-GB"/>
        </w:rPr>
        <w:t>Lamb et al., 2021</w:t>
      </w:r>
      <w:r w:rsidR="006A374D">
        <w:rPr>
          <w:rFonts w:ascii="Times New Roman" w:eastAsia="Times New Roman" w:hAnsi="Times New Roman" w:cs="Times New Roman"/>
          <w:noProof/>
          <w:color w:val="0D0D0D" w:themeColor="text1" w:themeTint="F2"/>
          <w:kern w:val="2"/>
          <w:sz w:val="20"/>
          <w:szCs w:val="20"/>
        </w:rPr>
        <w:t>)</w:t>
      </w:r>
      <w:r w:rsidRPr="00FF6C3B">
        <w:rPr>
          <w:rFonts w:ascii="Times New Roman" w:eastAsia="Times New Roman" w:hAnsi="Times New Roman" w:cs="Times New Roman"/>
          <w:color w:val="0D0D0D" w:themeColor="text1" w:themeTint="F2"/>
          <w:kern w:val="2"/>
          <w:sz w:val="20"/>
          <w:szCs w:val="20"/>
        </w:rPr>
        <w:t>. It is estimated that the transport sector alone accounts for 91 % of greenhouse gas (GHG) emissions, and similar trends are observed in Africa and specifically, Ghana</w:t>
      </w:r>
      <w:r w:rsidR="006A374D">
        <w:rPr>
          <w:rFonts w:ascii="Times New Roman" w:eastAsia="Times New Roman" w:hAnsi="Times New Roman" w:cs="Times New Roman"/>
          <w:noProof/>
          <w:color w:val="0D0D0D" w:themeColor="text1" w:themeTint="F2"/>
          <w:kern w:val="2"/>
          <w:sz w:val="20"/>
          <w:szCs w:val="20"/>
        </w:rPr>
        <w:t xml:space="preserve"> (</w:t>
      </w:r>
      <w:r w:rsidR="006A374D" w:rsidRPr="006A374D">
        <w:rPr>
          <w:rFonts w:ascii="Times New Roman" w:eastAsia="Times New Roman" w:hAnsi="Times New Roman" w:cs="Times New Roman"/>
          <w:noProof/>
          <w:color w:val="0D0D0D" w:themeColor="text1" w:themeTint="F2"/>
          <w:kern w:val="2"/>
          <w:sz w:val="20"/>
          <w:szCs w:val="20"/>
          <w:lang w:val="en-GB"/>
        </w:rPr>
        <w:t>Tchanche, 2021</w:t>
      </w:r>
      <w:r w:rsidR="006A374D">
        <w:rPr>
          <w:rFonts w:ascii="Times New Roman" w:eastAsia="Times New Roman" w:hAnsi="Times New Roman" w:cs="Times New Roman"/>
          <w:noProof/>
          <w:color w:val="0D0D0D" w:themeColor="text1" w:themeTint="F2"/>
          <w:kern w:val="2"/>
          <w:sz w:val="20"/>
          <w:szCs w:val="20"/>
        </w:rPr>
        <w:t>)</w:t>
      </w:r>
      <w:r w:rsidRPr="00FF6C3B">
        <w:rPr>
          <w:rFonts w:ascii="Times New Roman" w:eastAsia="Times New Roman" w:hAnsi="Times New Roman" w:cs="Times New Roman"/>
          <w:color w:val="0D0D0D" w:themeColor="text1" w:themeTint="F2"/>
          <w:kern w:val="2"/>
          <w:sz w:val="20"/>
          <w:szCs w:val="20"/>
        </w:rPr>
        <w:t xml:space="preserve">. </w:t>
      </w:r>
      <w:r w:rsidR="006A374D">
        <w:rPr>
          <w:rFonts w:ascii="Times New Roman" w:eastAsia="Times New Roman" w:hAnsi="Times New Roman" w:cs="Times New Roman"/>
          <w:noProof/>
          <w:color w:val="0D0D0D" w:themeColor="text1" w:themeTint="F2"/>
          <w:kern w:val="2"/>
          <w:sz w:val="20"/>
          <w:szCs w:val="20"/>
        </w:rPr>
        <w:t>(</w:t>
      </w:r>
      <w:r w:rsidR="006A374D" w:rsidRPr="006A374D">
        <w:rPr>
          <w:rFonts w:ascii="Times New Roman" w:eastAsia="Times New Roman" w:hAnsi="Times New Roman" w:cs="Times New Roman"/>
          <w:noProof/>
          <w:color w:val="0D0D0D" w:themeColor="text1" w:themeTint="F2"/>
          <w:kern w:val="2"/>
          <w:sz w:val="20"/>
          <w:szCs w:val="20"/>
          <w:lang w:val="en-GB"/>
        </w:rPr>
        <w:t>Kwame et al., 2024</w:t>
      </w:r>
      <w:r w:rsidR="006A374D">
        <w:rPr>
          <w:rFonts w:ascii="Times New Roman" w:eastAsia="Times New Roman" w:hAnsi="Times New Roman" w:cs="Times New Roman"/>
          <w:noProof/>
          <w:color w:val="0D0D0D" w:themeColor="text1" w:themeTint="F2"/>
          <w:kern w:val="2"/>
          <w:sz w:val="20"/>
          <w:szCs w:val="20"/>
        </w:rPr>
        <w:t xml:space="preserve">) </w:t>
      </w:r>
      <w:r w:rsidRPr="00FF6C3B">
        <w:rPr>
          <w:rFonts w:ascii="Times New Roman" w:eastAsia="Times New Roman" w:hAnsi="Times New Roman" w:cs="Times New Roman"/>
          <w:color w:val="0D0D0D" w:themeColor="text1" w:themeTint="F2"/>
          <w:kern w:val="2"/>
          <w:sz w:val="20"/>
          <w:szCs w:val="20"/>
        </w:rPr>
        <w:t>T</w:t>
      </w:r>
      <w:r w:rsidRPr="00FF6C3B">
        <w:rPr>
          <w:rFonts w:ascii="Times New Roman" w:eastAsia="Calibri" w:hAnsi="Times New Roman" w:cs="Times New Roman"/>
          <w:color w:val="0D0D0D" w:themeColor="text1" w:themeTint="F2"/>
          <w:kern w:val="2"/>
          <w:sz w:val="20"/>
          <w:szCs w:val="20"/>
        </w:rPr>
        <w:t>he Environmental Protection Agency, Ghana (EPA) has identified vehicular exhaust emissions as the single largest contributor among the major sources of air pollution in Ghana, where mobile combustion emissions summed up to 7.2MtCO2e in 2016</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Fellendorf, 2018</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Road transportation alone contributed to 11.11% of Ghana’s total CO2 emissions in 2016, with a cumulative impact of 59.9% since the year 2000</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Ahenkorah et al., 2022</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w:t>
      </w:r>
      <w:r w:rsidRPr="00FF6C3B">
        <w:rPr>
          <w:rFonts w:ascii="Times New Roman" w:eastAsia="Times New Roman" w:hAnsi="Times New Roman" w:cs="Times New Roman"/>
          <w:color w:val="0D0D0D" w:themeColor="text1" w:themeTint="F2"/>
          <w:kern w:val="2"/>
          <w:sz w:val="20"/>
          <w:szCs w:val="20"/>
        </w:rPr>
        <w:t>A robust road transportation system is essential to the operation of industries, education, health, and agriculture, and since GHG emissions are causing global warming and climate change, it is now vital to cut emissions across the board, especially in the transportation sector</w:t>
      </w:r>
      <w:r w:rsidR="000F1B90">
        <w:rPr>
          <w:rFonts w:ascii="Times New Roman" w:eastAsia="Times New Roman" w:hAnsi="Times New Roman" w:cs="Times New Roman"/>
          <w:noProof/>
          <w:color w:val="0D0D0D" w:themeColor="text1" w:themeTint="F2"/>
          <w:kern w:val="2"/>
          <w:sz w:val="20"/>
          <w:szCs w:val="20"/>
        </w:rPr>
        <w:t xml:space="preserve"> (</w:t>
      </w:r>
      <w:r w:rsidR="000F1B90" w:rsidRPr="000F1B90">
        <w:rPr>
          <w:rFonts w:ascii="Times New Roman" w:eastAsia="Times New Roman" w:hAnsi="Times New Roman" w:cs="Times New Roman"/>
          <w:noProof/>
          <w:color w:val="0D0D0D" w:themeColor="text1" w:themeTint="F2"/>
          <w:kern w:val="2"/>
          <w:sz w:val="20"/>
          <w:szCs w:val="20"/>
          <w:lang w:val="en-GB"/>
        </w:rPr>
        <w:t>Kaiser &amp; Barstow, 2022</w:t>
      </w:r>
      <w:r w:rsidR="000F1B90">
        <w:rPr>
          <w:rFonts w:ascii="Times New Roman" w:eastAsia="Times New Roman" w:hAnsi="Times New Roman" w:cs="Times New Roman"/>
          <w:noProof/>
          <w:color w:val="0D0D0D" w:themeColor="text1" w:themeTint="F2"/>
          <w:kern w:val="2"/>
          <w:sz w:val="20"/>
          <w:szCs w:val="20"/>
        </w:rPr>
        <w:t>)</w:t>
      </w:r>
      <w:r w:rsidRPr="00FF6C3B">
        <w:rPr>
          <w:rFonts w:ascii="Times New Roman" w:eastAsia="Times New Roman" w:hAnsi="Times New Roman" w:cs="Times New Roman"/>
          <w:color w:val="0D0D0D" w:themeColor="text1" w:themeTint="F2"/>
          <w:kern w:val="2"/>
          <w:sz w:val="20"/>
          <w:szCs w:val="20"/>
        </w:rPr>
        <w:t xml:space="preserve">. </w:t>
      </w:r>
      <w:r w:rsidR="000F1B90">
        <w:rPr>
          <w:rFonts w:ascii="Times New Roman" w:eastAsia="Times New Roman" w:hAnsi="Times New Roman" w:cs="Times New Roman"/>
          <w:noProof/>
          <w:color w:val="0D0D0D" w:themeColor="text1" w:themeTint="F2"/>
          <w:kern w:val="2"/>
          <w:sz w:val="20"/>
          <w:szCs w:val="20"/>
        </w:rPr>
        <w:t>(</w:t>
      </w:r>
      <w:r w:rsidR="000F1B90" w:rsidRPr="000F1B90">
        <w:rPr>
          <w:rFonts w:ascii="Times New Roman" w:eastAsia="Times New Roman" w:hAnsi="Times New Roman" w:cs="Times New Roman"/>
          <w:noProof/>
          <w:color w:val="0D0D0D" w:themeColor="text1" w:themeTint="F2"/>
          <w:kern w:val="2"/>
          <w:sz w:val="20"/>
          <w:szCs w:val="20"/>
          <w:lang w:val="en-GB"/>
        </w:rPr>
        <w:t>Baker, 2024</w:t>
      </w:r>
      <w:r w:rsidR="000F1B90">
        <w:rPr>
          <w:rFonts w:ascii="Times New Roman" w:eastAsia="Times New Roman" w:hAnsi="Times New Roman" w:cs="Times New Roman"/>
          <w:noProof/>
          <w:color w:val="0D0D0D" w:themeColor="text1" w:themeTint="F2"/>
          <w:kern w:val="2"/>
          <w:sz w:val="20"/>
          <w:szCs w:val="20"/>
        </w:rPr>
        <w:t xml:space="preserve">) </w:t>
      </w:r>
      <w:r w:rsidRPr="00FF6C3B">
        <w:rPr>
          <w:rFonts w:ascii="Times New Roman" w:eastAsia="Times New Roman" w:hAnsi="Times New Roman" w:cs="Times New Roman"/>
          <w:color w:val="0D0D0D" w:themeColor="text1" w:themeTint="F2"/>
          <w:kern w:val="2"/>
          <w:sz w:val="20"/>
          <w:szCs w:val="20"/>
        </w:rPr>
        <w:t>Compared to internal combustion engine (ICE) vehicles, electric vehicles (EVs) offer a chance to lower transportation-related GHG emissions, no tailpipe emissions, fewer parts, and quiet operation.</w:t>
      </w:r>
      <w:r w:rsidR="000F1B90">
        <w:rPr>
          <w:rFonts w:ascii="Times New Roman" w:eastAsia="Times New Roman" w:hAnsi="Times New Roman" w:cs="Times New Roman"/>
          <w:noProof/>
          <w:color w:val="0D0D0D" w:themeColor="text1" w:themeTint="F2"/>
          <w:kern w:val="2"/>
          <w:sz w:val="20"/>
          <w:szCs w:val="20"/>
        </w:rPr>
        <w:t xml:space="preserve"> (</w:t>
      </w:r>
      <w:r w:rsidR="000F1B90" w:rsidRPr="000F1B90">
        <w:rPr>
          <w:rFonts w:ascii="Times New Roman" w:eastAsia="Times New Roman" w:hAnsi="Times New Roman" w:cs="Times New Roman"/>
          <w:noProof/>
          <w:color w:val="0D0D0D" w:themeColor="text1" w:themeTint="F2"/>
          <w:kern w:val="2"/>
          <w:sz w:val="20"/>
          <w:szCs w:val="20"/>
          <w:lang w:val="en-GB"/>
        </w:rPr>
        <w:t>Raimi et al., 2022</w:t>
      </w:r>
      <w:r w:rsidR="000F1B90">
        <w:rPr>
          <w:rFonts w:ascii="Times New Roman" w:eastAsia="Times New Roman"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The International Energy Agency (IEA) in its 10-point plan to reduce oil use, has identified the electrification of road vehicles as the most promising pathway to reducing greenhouse emissions</w:t>
      </w:r>
      <w:r w:rsidRPr="00FF6C3B">
        <w:rPr>
          <w:rFonts w:ascii="Times New Roman" w:eastAsia="Times New Roman" w:hAnsi="Times New Roman" w:cs="Times New Roman"/>
          <w:color w:val="0D0D0D" w:themeColor="text1" w:themeTint="F2"/>
          <w:kern w:val="2"/>
          <w:sz w:val="20"/>
          <w:szCs w:val="20"/>
        </w:rPr>
        <w:t xml:space="preserve"> and</w:t>
      </w:r>
      <w:r w:rsidRPr="00FF6C3B">
        <w:rPr>
          <w:rFonts w:ascii="Times New Roman" w:eastAsia="Calibri" w:hAnsi="Times New Roman" w:cs="Times New Roman"/>
          <w:color w:val="0D0D0D" w:themeColor="text1" w:themeTint="F2"/>
          <w:kern w:val="2"/>
          <w:sz w:val="20"/>
          <w:szCs w:val="20"/>
        </w:rPr>
        <w:t xml:space="preserve"> in its updated Nationally Determined Contributions (NDCs) to the United Nations Framework Convention on Climate Change (UNFCCC), Ghana intends to reduce emissions by 64 MtCO2e by 2030 and has named the transportation sector as one of its ten adaptation and resilience areas in its NDCs. According to the National Energy Transition Framework, all road and rail mobility in Ghana will be electricity and hydrogen-</w:t>
      </w:r>
      <w:proofErr w:type="spellStart"/>
      <w:r w:rsidRPr="00FF6C3B">
        <w:rPr>
          <w:rFonts w:ascii="Times New Roman" w:eastAsia="Calibri" w:hAnsi="Times New Roman" w:cs="Times New Roman"/>
          <w:color w:val="0D0D0D" w:themeColor="text1" w:themeTint="F2"/>
          <w:kern w:val="2"/>
          <w:sz w:val="20"/>
          <w:szCs w:val="20"/>
        </w:rPr>
        <w:t>fuelled</w:t>
      </w:r>
      <w:proofErr w:type="spellEnd"/>
      <w:r w:rsidRPr="00FF6C3B">
        <w:rPr>
          <w:rFonts w:ascii="Times New Roman" w:eastAsia="Calibri" w:hAnsi="Times New Roman" w:cs="Times New Roman"/>
          <w:color w:val="0D0D0D" w:themeColor="text1" w:themeTint="F2"/>
          <w:kern w:val="2"/>
          <w:sz w:val="20"/>
          <w:szCs w:val="20"/>
        </w:rPr>
        <w:t xml:space="preserve"> by 2070, while off-road ICEV will be phased out by 2040</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Aidam et al., 2025</w:t>
      </w:r>
      <w:r w:rsidR="005357A7">
        <w:rPr>
          <w:rFonts w:ascii="Times New Roman" w:eastAsia="Calibri" w:hAnsi="Times New Roman" w:cs="Times New Roman"/>
          <w:noProof/>
          <w:color w:val="0D0D0D" w:themeColor="text1" w:themeTint="F2"/>
          <w:kern w:val="2"/>
          <w:sz w:val="20"/>
          <w:szCs w:val="20"/>
          <w:lang w:val="en-GB"/>
        </w:rPr>
        <w:t xml:space="preserve">; </w:t>
      </w:r>
      <w:r w:rsidR="005357A7" w:rsidRPr="005357A7">
        <w:rPr>
          <w:rFonts w:ascii="Times New Roman" w:eastAsia="Calibri" w:hAnsi="Times New Roman" w:cs="Times New Roman"/>
          <w:noProof/>
          <w:color w:val="0D0D0D" w:themeColor="text1" w:themeTint="F2"/>
          <w:kern w:val="2"/>
          <w:sz w:val="20"/>
          <w:szCs w:val="20"/>
          <w:lang w:val="en-GB"/>
        </w:rPr>
        <w:t>Roy et al., 2022</w:t>
      </w:r>
      <w:r w:rsidR="005357A7">
        <w:rPr>
          <w:rFonts w:ascii="Times New Roman" w:eastAsia="Calibri" w:hAnsi="Times New Roman" w:cs="Times New Roman"/>
          <w:noProof/>
          <w:color w:val="0D0D0D" w:themeColor="text1" w:themeTint="F2"/>
          <w:kern w:val="2"/>
          <w:sz w:val="20"/>
          <w:szCs w:val="20"/>
          <w:lang w:val="en-GB"/>
        </w:rPr>
        <w:t xml:space="preserve">; </w:t>
      </w:r>
      <w:r w:rsidR="005357A7" w:rsidRPr="005357A7">
        <w:rPr>
          <w:rFonts w:ascii="Times New Roman" w:eastAsia="Calibri" w:hAnsi="Times New Roman" w:cs="Times New Roman"/>
          <w:noProof/>
          <w:color w:val="0D0D0D" w:themeColor="text1" w:themeTint="F2"/>
          <w:kern w:val="2"/>
          <w:sz w:val="20"/>
          <w:szCs w:val="20"/>
          <w:lang w:val="en-GB"/>
        </w:rPr>
        <w:t>Kotak et al., 2021</w:t>
      </w:r>
      <w:r w:rsidR="005357A7">
        <w:rPr>
          <w:rFonts w:ascii="Times New Roman" w:eastAsia="Calibri" w:hAnsi="Times New Roman" w:cs="Times New Roman"/>
          <w:noProof/>
          <w:color w:val="0D0D0D" w:themeColor="text1" w:themeTint="F2"/>
          <w:kern w:val="2"/>
          <w:sz w:val="20"/>
          <w:szCs w:val="20"/>
          <w:lang w:val="en-GB"/>
        </w:rPr>
        <w:t xml:space="preserve">; </w:t>
      </w:r>
      <w:r w:rsidR="005357A7" w:rsidRPr="005357A7">
        <w:rPr>
          <w:rFonts w:ascii="Times New Roman" w:eastAsia="Calibri" w:hAnsi="Times New Roman" w:cs="Times New Roman"/>
          <w:noProof/>
          <w:color w:val="0D0D0D" w:themeColor="text1" w:themeTint="F2"/>
          <w:kern w:val="2"/>
          <w:sz w:val="20"/>
          <w:szCs w:val="20"/>
          <w:lang w:val="en-GB"/>
        </w:rPr>
        <w:t>Rafiq &amp; Aslam, 2023</w:t>
      </w:r>
      <w:r w:rsidR="005357A7">
        <w:rPr>
          <w:rFonts w:ascii="Times New Roman" w:eastAsia="Calibri" w:hAnsi="Times New Roman" w:cs="Times New Roman"/>
          <w:noProof/>
          <w:color w:val="0D0D0D" w:themeColor="text1" w:themeTint="F2"/>
          <w:kern w:val="2"/>
          <w:sz w:val="20"/>
          <w:szCs w:val="20"/>
          <w:lang w:val="en-GB"/>
        </w:rPr>
        <w:t xml:space="preserve">; </w:t>
      </w:r>
      <w:r w:rsidR="005357A7" w:rsidRPr="005357A7">
        <w:rPr>
          <w:rFonts w:ascii="Times New Roman" w:eastAsia="Calibri" w:hAnsi="Times New Roman" w:cs="Times New Roman"/>
          <w:noProof/>
          <w:color w:val="0D0D0D" w:themeColor="text1" w:themeTint="F2"/>
          <w:kern w:val="2"/>
          <w:sz w:val="20"/>
          <w:szCs w:val="20"/>
          <w:lang w:val="en-GB"/>
        </w:rPr>
        <w:t>Vichard et al., 2021</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w:t>
      </w:r>
    </w:p>
    <w:p w14:paraId="5FD9CF3D" w14:textId="77777777" w:rsidR="00FF6C3B" w:rsidRPr="0036282A" w:rsidRDefault="00FF6C3B" w:rsidP="00FF6C3B">
      <w:pPr>
        <w:spacing w:after="0" w:line="240" w:lineRule="auto"/>
        <w:jc w:val="both"/>
        <w:rPr>
          <w:rFonts w:ascii="Times New Roman" w:eastAsia="Calibri" w:hAnsi="Times New Roman" w:cs="Times New Roman"/>
          <w:color w:val="0D0D0D" w:themeColor="text1" w:themeTint="F2"/>
          <w:kern w:val="2"/>
          <w:sz w:val="16"/>
          <w:szCs w:val="16"/>
        </w:rPr>
      </w:pPr>
    </w:p>
    <w:p w14:paraId="7D52F26F" w14:textId="1B87C53A"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 xml:space="preserve"> </w:t>
      </w:r>
      <w:r w:rsidR="000F1B90">
        <w:rPr>
          <w:rFonts w:ascii="Times New Roman" w:eastAsia="Calibri" w:hAnsi="Times New Roman" w:cs="Times New Roman"/>
          <w:noProof/>
          <w:color w:val="0D0D0D" w:themeColor="text1" w:themeTint="F2"/>
          <w:kern w:val="2"/>
          <w:sz w:val="20"/>
          <w:szCs w:val="20"/>
        </w:rPr>
        <w:t>(</w:t>
      </w:r>
      <w:r w:rsidR="000F1B90" w:rsidRPr="000F1B90">
        <w:rPr>
          <w:rFonts w:ascii="Times New Roman" w:eastAsia="Calibri" w:hAnsi="Times New Roman" w:cs="Times New Roman"/>
          <w:noProof/>
          <w:color w:val="0D0D0D" w:themeColor="text1" w:themeTint="F2"/>
          <w:kern w:val="2"/>
          <w:sz w:val="20"/>
          <w:szCs w:val="20"/>
          <w:lang w:val="en-GB"/>
        </w:rPr>
        <w:t>Eid et al., 2022</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Electric vehicle (EV) batteries are rechargeable energy storage systems that power electric vehicles by storing electrical energy and supplying it to an electric motor, which drives the vehicle, hence, it’s central to the performance and viability of the lithium-ion battery, which significantly influences vehicle range, is less costly, has high-energy density, and environmental impact,</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although other types are also used</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Hao et al., 2020</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However, as EV adoption increases, so does the demand for a comprehensive understanding of battery lifecycle management, particularly concerning new, degraded, and remanufactured battery systems</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Waseem et al., 2023</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This study presents a comparative assessment of new and remanufactured electric vehicle batteries to evaluate their respective performance and competencies under certain driving road conditions. </w:t>
      </w:r>
      <w:r w:rsidRPr="00FF6C3B">
        <w:rPr>
          <w:rFonts w:ascii="Times New Roman" w:eastAsia="Times New Roman" w:hAnsi="Times New Roman" w:cs="Times New Roman"/>
          <w:color w:val="0D0D0D" w:themeColor="text1" w:themeTint="F2"/>
          <w:kern w:val="2"/>
          <w:sz w:val="20"/>
          <w:szCs w:val="20"/>
        </w:rPr>
        <w:t xml:space="preserve">Although they provide the best performance, </w:t>
      </w:r>
      <w:r w:rsidR="000F1B90">
        <w:rPr>
          <w:rFonts w:ascii="Times New Roman" w:eastAsia="Times New Roman" w:hAnsi="Times New Roman" w:cs="Times New Roman"/>
          <w:noProof/>
          <w:color w:val="0D0D0D" w:themeColor="text1" w:themeTint="F2"/>
          <w:kern w:val="2"/>
          <w:sz w:val="20"/>
          <w:szCs w:val="20"/>
        </w:rPr>
        <w:t>(</w:t>
      </w:r>
      <w:r w:rsidR="000F1B90" w:rsidRPr="000F1B90">
        <w:rPr>
          <w:rFonts w:ascii="Times New Roman" w:eastAsia="Times New Roman" w:hAnsi="Times New Roman" w:cs="Times New Roman"/>
          <w:noProof/>
          <w:color w:val="0D0D0D" w:themeColor="text1" w:themeTint="F2"/>
          <w:kern w:val="2"/>
          <w:sz w:val="20"/>
          <w:szCs w:val="20"/>
          <w:lang w:val="en-GB"/>
        </w:rPr>
        <w:t>Yu et al., 2021</w:t>
      </w:r>
      <w:r w:rsidR="000F1B90">
        <w:rPr>
          <w:rFonts w:ascii="Times New Roman" w:eastAsia="Times New Roman" w:hAnsi="Times New Roman" w:cs="Times New Roman"/>
          <w:noProof/>
          <w:color w:val="0D0D0D" w:themeColor="text1" w:themeTint="F2"/>
          <w:kern w:val="2"/>
          <w:sz w:val="20"/>
          <w:szCs w:val="20"/>
        </w:rPr>
        <w:t xml:space="preserve">) </w:t>
      </w:r>
      <w:r w:rsidRPr="00FF6C3B">
        <w:rPr>
          <w:rFonts w:ascii="Times New Roman" w:eastAsia="Times New Roman" w:hAnsi="Times New Roman" w:cs="Times New Roman"/>
          <w:color w:val="0D0D0D" w:themeColor="text1" w:themeTint="F2"/>
          <w:kern w:val="2"/>
          <w:sz w:val="20"/>
          <w:szCs w:val="20"/>
        </w:rPr>
        <w:t xml:space="preserve">new batteries are those batteries that have the highest performance and stability under all environmental conditions.  </w:t>
      </w:r>
      <w:r w:rsidRPr="00FF6C3B">
        <w:rPr>
          <w:rFonts w:ascii="Times New Roman" w:eastAsia="Calibri" w:hAnsi="Times New Roman" w:cs="Times New Roman"/>
          <w:color w:val="0D0D0D" w:themeColor="text1" w:themeTint="F2"/>
          <w:kern w:val="2"/>
          <w:sz w:val="20"/>
          <w:szCs w:val="20"/>
        </w:rPr>
        <w:t>In contrast, degraded batteries are those batteries that have experienced capacity and efficiency loss through prolonged use and pose challenges for continued in-</w:t>
      </w:r>
      <w:r w:rsidRPr="00FF6C3B">
        <w:rPr>
          <w:rFonts w:ascii="Times New Roman" w:eastAsia="Calibri" w:hAnsi="Times New Roman" w:cs="Times New Roman"/>
          <w:color w:val="0D0D0D" w:themeColor="text1" w:themeTint="F2"/>
          <w:kern w:val="2"/>
          <w:sz w:val="20"/>
          <w:szCs w:val="20"/>
        </w:rPr>
        <w:lastRenderedPageBreak/>
        <w:t>vehicle application, but present opportunities for second-life uses</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Alamri, 2024</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Remanufactured batteries are batteries that involve restoring degraded battery packs to near-original performance through repair or replacement of degraded components, especially the cells, that represent a promising middle ground with the potential to extend battery lifespan and reduce waste</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Chirumalla et al., 2024</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According to </w:t>
      </w:r>
      <w:r w:rsidR="000F1B90">
        <w:rPr>
          <w:rFonts w:ascii="Times New Roman" w:eastAsia="Calibri" w:hAnsi="Times New Roman" w:cs="Times New Roman"/>
          <w:noProof/>
          <w:color w:val="0D0D0D" w:themeColor="text1" w:themeTint="F2"/>
          <w:kern w:val="2"/>
          <w:sz w:val="20"/>
          <w:szCs w:val="20"/>
        </w:rPr>
        <w:t>(</w:t>
      </w:r>
      <w:r w:rsidR="000F1B90" w:rsidRPr="000F1B90">
        <w:rPr>
          <w:rFonts w:ascii="Times New Roman" w:eastAsia="Calibri" w:hAnsi="Times New Roman" w:cs="Times New Roman"/>
          <w:noProof/>
          <w:color w:val="0D0D0D" w:themeColor="text1" w:themeTint="F2"/>
          <w:kern w:val="2"/>
          <w:sz w:val="20"/>
          <w:szCs w:val="20"/>
          <w:lang w:val="en-GB"/>
        </w:rPr>
        <w:t>Murdock et al., 2021</w:t>
      </w:r>
      <w:r w:rsidR="000F1B90">
        <w:rPr>
          <w:rFonts w:ascii="Times New Roman" w:eastAsia="Calibri" w:hAnsi="Times New Roman" w:cs="Times New Roman"/>
          <w:noProof/>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studies, such as advances in cathode chemistry, such as the transition from LCO to NMC and NCA compositions, have improved specific energy and longevity. The extraction of raw materials like lithium, cobalt, and nickel raises environmental and ethical concerns, making it essential to explore alternatives to full battery replacement</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da Silva Lima et al., 2023</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w:t>
      </w:r>
      <w:r>
        <w:rPr>
          <w:rFonts w:ascii="Times New Roman" w:eastAsia="Calibri" w:hAnsi="Times New Roman" w:cs="Times New Roman"/>
          <w:color w:val="0D0D0D" w:themeColor="text1" w:themeTint="F2"/>
          <w:kern w:val="2"/>
          <w:sz w:val="20"/>
          <w:szCs w:val="20"/>
        </w:rPr>
        <w:t xml:space="preserve"> </w:t>
      </w:r>
      <w:r w:rsidR="000F1B90">
        <w:rPr>
          <w:rFonts w:ascii="Times New Roman" w:eastAsia="Calibri" w:hAnsi="Times New Roman" w:cs="Times New Roman"/>
          <w:noProof/>
          <w:color w:val="0D0D0D" w:themeColor="text1" w:themeTint="F2"/>
          <w:kern w:val="2"/>
          <w:sz w:val="20"/>
          <w:szCs w:val="20"/>
        </w:rPr>
        <w:t>(</w:t>
      </w:r>
      <w:r w:rsidR="000F1B90" w:rsidRPr="000F1B90">
        <w:rPr>
          <w:rFonts w:ascii="Times New Roman" w:eastAsia="Calibri" w:hAnsi="Times New Roman" w:cs="Times New Roman"/>
          <w:noProof/>
          <w:color w:val="0D0D0D" w:themeColor="text1" w:themeTint="F2"/>
          <w:kern w:val="2"/>
          <w:sz w:val="20"/>
          <w:szCs w:val="20"/>
          <w:lang w:val="en-GB"/>
        </w:rPr>
        <w:t>Shi et al., 2025</w:t>
      </w:r>
      <w:r w:rsidR="000F1B90">
        <w:rPr>
          <w:rFonts w:ascii="Times New Roman" w:eastAsia="Calibri" w:hAnsi="Times New Roman" w:cs="Times New Roman"/>
          <w:noProof/>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have</w:t>
      </w:r>
      <w:r>
        <w:rPr>
          <w:rFonts w:ascii="Times New Roman" w:eastAsia="Calibri" w:hAnsi="Times New Roman" w:cs="Times New Roman"/>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shown that degradation is influenced by factors such as charge/discharge rates, temperature, depth of discharge, and usage patterns. Degraded EV batteries typically fall below 70–80% of their original capacity, making them less sui</w:t>
      </w:r>
      <w:r w:rsidRPr="0074590E">
        <w:rPr>
          <w:rFonts w:ascii="Times New Roman" w:eastAsia="Calibri" w:hAnsi="Times New Roman" w:cs="Times New Roman"/>
          <w:color w:val="0D0D0D" w:themeColor="text1" w:themeTint="F2"/>
          <w:kern w:val="2"/>
          <w:sz w:val="20"/>
          <w:szCs w:val="20"/>
        </w:rPr>
        <w:t>table</w:t>
      </w:r>
      <w:r w:rsidRPr="00FF6C3B">
        <w:rPr>
          <w:rFonts w:ascii="Times New Roman" w:eastAsia="Calibri" w:hAnsi="Times New Roman" w:cs="Times New Roman"/>
          <w:color w:val="0D0D0D" w:themeColor="text1" w:themeTint="F2"/>
          <w:kern w:val="2"/>
          <w:sz w:val="20"/>
          <w:szCs w:val="20"/>
        </w:rPr>
        <w:t xml:space="preserve"> for EV applications but still potentially valuable for less demanding stationary energy storage systems</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Leippi et al., 2022</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This concept, known as "second-life" usage, has been explored in various pilot projects, including grid support and renewable energy buffering, indicating that degraded batteries can still deliver meaningful economic and environmental benefits. </w:t>
      </w:r>
      <w:r w:rsidR="000F1B90">
        <w:rPr>
          <w:rFonts w:ascii="Times New Roman" w:eastAsia="Calibri" w:hAnsi="Times New Roman" w:cs="Times New Roman"/>
          <w:noProof/>
          <w:color w:val="0D0D0D" w:themeColor="text1" w:themeTint="F2"/>
          <w:kern w:val="2"/>
          <w:sz w:val="20"/>
          <w:szCs w:val="20"/>
        </w:rPr>
        <w:t>(</w:t>
      </w:r>
      <w:r w:rsidR="000F1B90" w:rsidRPr="000F1B90">
        <w:rPr>
          <w:rFonts w:ascii="Times New Roman" w:eastAsia="Calibri" w:hAnsi="Times New Roman" w:cs="Times New Roman"/>
          <w:noProof/>
          <w:color w:val="0D0D0D" w:themeColor="text1" w:themeTint="F2"/>
          <w:kern w:val="2"/>
          <w:sz w:val="20"/>
          <w:szCs w:val="20"/>
          <w:lang w:val="en-GB"/>
        </w:rPr>
        <w:t>Wrålsen &amp; O'Born, 2023</w:t>
      </w:r>
      <w:r w:rsidR="000F1B90">
        <w:rPr>
          <w:rFonts w:ascii="Times New Roman" w:eastAsia="Calibri" w:hAnsi="Times New Roman" w:cs="Times New Roman"/>
          <w:noProof/>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Highlight remanufacturing as a viable approach to extend battery service life while minimizing material use and emissions associated with new battery production. Remanufactured batteries often achieve 75–90% of the performance of new batteries at a significantly lower cost, though consistency and safety remain key concerns</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Yu et al., 2021</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Moreover, according to the International Standard Organization (ISO14040), the remanufacturing process involves several stages, including inspection, cleaning, disassembly, reprocessing, reassembly, and testing of the core by automakers</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Schuh et al., 2023</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Standardization of testing and certification methods is still evolving, which influences market trust and regulatory acceptance. </w:t>
      </w:r>
      <w:r w:rsidR="000F1B90">
        <w:rPr>
          <w:rFonts w:ascii="Times New Roman" w:eastAsia="Calibri" w:hAnsi="Times New Roman" w:cs="Times New Roman"/>
          <w:noProof/>
          <w:color w:val="0D0D0D" w:themeColor="text1" w:themeTint="F2"/>
          <w:kern w:val="2"/>
          <w:sz w:val="20"/>
          <w:szCs w:val="20"/>
        </w:rPr>
        <w:t>(</w:t>
      </w:r>
      <w:r w:rsidR="000F1B90" w:rsidRPr="000F1B90">
        <w:rPr>
          <w:rFonts w:ascii="Times New Roman" w:eastAsia="Calibri" w:hAnsi="Times New Roman" w:cs="Times New Roman"/>
          <w:noProof/>
          <w:color w:val="0D0D0D" w:themeColor="text1" w:themeTint="F2"/>
          <w:kern w:val="2"/>
          <w:sz w:val="20"/>
          <w:szCs w:val="20"/>
          <w:lang w:val="en-GB"/>
        </w:rPr>
        <w:t>Hoffmann et al., 2025</w:t>
      </w:r>
      <w:r w:rsidR="000F1B90">
        <w:rPr>
          <w:rFonts w:ascii="Times New Roman" w:eastAsia="Calibri" w:hAnsi="Times New Roman" w:cs="Times New Roman"/>
          <w:noProof/>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The term” core” in remanufacturing refers to the product or component that is used or worn out and needs to undergo a remanufacturing process to be utilized. Therefore, the advancement of electric vehicle battery remanufacturing has recently reduced environmental impacts, extended battery life, and reduced consumption of raw materials</w:t>
      </w:r>
      <w:r w:rsidR="000F1B90">
        <w:rPr>
          <w:rFonts w:ascii="Times New Roman" w:eastAsia="Calibri" w:hAnsi="Times New Roman" w:cs="Times New Roman"/>
          <w:noProof/>
          <w:color w:val="0D0D0D" w:themeColor="text1" w:themeTint="F2"/>
          <w:kern w:val="2"/>
          <w:sz w:val="20"/>
          <w:szCs w:val="20"/>
        </w:rPr>
        <w:t xml:space="preserve"> (</w:t>
      </w:r>
      <w:r w:rsidR="000F1B90" w:rsidRPr="000F1B90">
        <w:rPr>
          <w:rFonts w:ascii="Times New Roman" w:eastAsia="Calibri" w:hAnsi="Times New Roman" w:cs="Times New Roman"/>
          <w:noProof/>
          <w:color w:val="0D0D0D" w:themeColor="text1" w:themeTint="F2"/>
          <w:kern w:val="2"/>
          <w:sz w:val="20"/>
          <w:szCs w:val="20"/>
          <w:lang w:val="en-GB"/>
        </w:rPr>
        <w:t>Harper et al., 2023</w:t>
      </w:r>
      <w:r w:rsidR="000F1B90">
        <w:rPr>
          <w:rFonts w:ascii="Times New Roman" w:eastAsia="Calibri" w:hAnsi="Times New Roman" w:cs="Times New Roman"/>
          <w:noProof/>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making it a crucial circular economy strategy, but the potential risks in handling and storing degraded lithium-ion batteries and the Uncertainty about the environmental impact of battery remanufacturing processes in Ghana pose a great challenge. The organization of this paper is as follows: Section 2 covers an overview of the study. The methodology used to undertake the study is covered in Section 3. Section 4 presents the real-world performance testing results on both EV batteries. Finally, the conclusions for the comparative assessment of EV batteries are presented in Section 5.</w:t>
      </w:r>
    </w:p>
    <w:p w14:paraId="0C36834F" w14:textId="77777777" w:rsidR="00FF6C3B" w:rsidRPr="0036282A" w:rsidRDefault="00FF6C3B" w:rsidP="00FF6C3B">
      <w:pPr>
        <w:spacing w:after="0" w:line="240" w:lineRule="auto"/>
        <w:jc w:val="both"/>
        <w:rPr>
          <w:rFonts w:ascii="Times New Roman" w:eastAsia="Calibri" w:hAnsi="Times New Roman" w:cs="Times New Roman"/>
          <w:b/>
          <w:bCs/>
          <w:color w:val="0D0D0D" w:themeColor="text1" w:themeTint="F2"/>
          <w:kern w:val="2"/>
          <w:sz w:val="16"/>
          <w:szCs w:val="16"/>
          <w:shd w:val="clear" w:color="auto" w:fill="FFFFFF"/>
        </w:rPr>
      </w:pPr>
    </w:p>
    <w:p w14:paraId="225816FD" w14:textId="0BF26FD7" w:rsidR="00FF6C3B" w:rsidRPr="00FF6C3B" w:rsidRDefault="00FF6C3B" w:rsidP="00FF6C3B">
      <w:pPr>
        <w:spacing w:after="0" w:line="240" w:lineRule="auto"/>
        <w:jc w:val="both"/>
        <w:rPr>
          <w:rFonts w:ascii="Times New Roman" w:eastAsia="Calibri" w:hAnsi="Times New Roman" w:cs="Times New Roman"/>
          <w:b/>
          <w:bCs/>
          <w:color w:val="0D0D0D" w:themeColor="text1" w:themeTint="F2"/>
          <w:kern w:val="2"/>
        </w:rPr>
      </w:pPr>
      <w:r w:rsidRPr="00FF6C3B">
        <w:rPr>
          <w:rFonts w:ascii="Times New Roman" w:eastAsia="Calibri" w:hAnsi="Times New Roman" w:cs="Times New Roman"/>
          <w:b/>
          <w:bCs/>
          <w:color w:val="0D0D0D" w:themeColor="text1" w:themeTint="F2"/>
          <w:kern w:val="2"/>
        </w:rPr>
        <w:t>2. Overview of Battery Remanufacturing</w:t>
      </w:r>
    </w:p>
    <w:p w14:paraId="28769E9C" w14:textId="77777777" w:rsidR="00FF6C3B" w:rsidRPr="0036282A" w:rsidRDefault="00FF6C3B" w:rsidP="00FF6C3B">
      <w:pPr>
        <w:spacing w:after="0" w:line="240" w:lineRule="auto"/>
        <w:jc w:val="both"/>
        <w:rPr>
          <w:rFonts w:ascii="Times New Roman" w:eastAsia="Calibri" w:hAnsi="Times New Roman" w:cs="Times New Roman"/>
          <w:b/>
          <w:bCs/>
          <w:color w:val="0D0D0D" w:themeColor="text1" w:themeTint="F2"/>
          <w:kern w:val="2"/>
          <w:sz w:val="16"/>
          <w:szCs w:val="16"/>
        </w:rPr>
      </w:pPr>
    </w:p>
    <w:p w14:paraId="69AF9113" w14:textId="67A845E5"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bookmarkStart w:id="0" w:name="_Hlk204297478"/>
      <w:r w:rsidRPr="00FF6C3B">
        <w:rPr>
          <w:rFonts w:ascii="Times New Roman" w:eastAsia="Times New Roman" w:hAnsi="Times New Roman" w:cs="Times New Roman"/>
          <w:color w:val="0D0D0D" w:themeColor="text1" w:themeTint="F2"/>
          <w:sz w:val="20"/>
          <w:szCs w:val="20"/>
        </w:rPr>
        <w:t xml:space="preserve">With its reliance on Asia, Europe currently produces very little LIB. </w:t>
      </w:r>
      <w:r w:rsidR="000F1B90">
        <w:rPr>
          <w:rFonts w:ascii="Times New Roman" w:eastAsia="Times New Roman" w:hAnsi="Times New Roman" w:cs="Times New Roman"/>
          <w:noProof/>
          <w:color w:val="0D0D0D" w:themeColor="text1" w:themeTint="F2"/>
          <w:sz w:val="20"/>
          <w:szCs w:val="20"/>
        </w:rPr>
        <w:t>(</w:t>
      </w:r>
      <w:r w:rsidR="000F1B90" w:rsidRPr="000F1B90">
        <w:rPr>
          <w:rFonts w:ascii="Times New Roman" w:eastAsia="Times New Roman" w:hAnsi="Times New Roman" w:cs="Times New Roman"/>
          <w:noProof/>
          <w:color w:val="0D0D0D" w:themeColor="text1" w:themeTint="F2"/>
          <w:sz w:val="20"/>
          <w:szCs w:val="20"/>
          <w:lang w:val="en-GB"/>
        </w:rPr>
        <w:t>Rallo et al., 2022</w:t>
      </w:r>
      <w:r w:rsidR="000F1B90">
        <w:rPr>
          <w:rFonts w:ascii="Times New Roman" w:eastAsia="Times New Roman" w:hAnsi="Times New Roman" w:cs="Times New Roman"/>
          <w:noProof/>
          <w:color w:val="0D0D0D" w:themeColor="text1" w:themeTint="F2"/>
          <w:sz w:val="20"/>
          <w:szCs w:val="20"/>
        </w:rPr>
        <w:t xml:space="preserve">) </w:t>
      </w:r>
      <w:r w:rsidRPr="00FF6C3B">
        <w:rPr>
          <w:rFonts w:ascii="Times New Roman" w:eastAsia="Times New Roman" w:hAnsi="Times New Roman" w:cs="Times New Roman"/>
          <w:color w:val="0D0D0D" w:themeColor="text1" w:themeTint="F2"/>
          <w:sz w:val="20"/>
          <w:szCs w:val="20"/>
        </w:rPr>
        <w:t>To lessen reliance on imports and centralized production, battery manufacturers are multiplying, especially in Europe, where production capacity is expected to reach 960 GWh by 2030, or 33% of global capacity. The world's LIB capacity surpassed 2.8 TWh in 2023, with China accounting for almost 70% of the total yearly capacity</w:t>
      </w:r>
      <w:r w:rsidR="000F1B90">
        <w:rPr>
          <w:rFonts w:ascii="Times New Roman" w:eastAsia="Times New Roman" w:hAnsi="Times New Roman" w:cs="Times New Roman"/>
          <w:noProof/>
          <w:color w:val="0D0D0D" w:themeColor="text1" w:themeTint="F2"/>
          <w:sz w:val="20"/>
          <w:szCs w:val="20"/>
        </w:rPr>
        <w:t xml:space="preserve"> (</w:t>
      </w:r>
      <w:r w:rsidR="000F1B90" w:rsidRPr="000F1B90">
        <w:rPr>
          <w:rFonts w:ascii="Times New Roman" w:eastAsia="Times New Roman" w:hAnsi="Times New Roman" w:cs="Times New Roman"/>
          <w:noProof/>
          <w:color w:val="0D0D0D" w:themeColor="text1" w:themeTint="F2"/>
          <w:sz w:val="20"/>
          <w:szCs w:val="20"/>
          <w:lang w:val="en-GB"/>
        </w:rPr>
        <w:t>Nekahi et al., 2025</w:t>
      </w:r>
      <w:r w:rsidR="000F1B90">
        <w:rPr>
          <w:rFonts w:ascii="Times New Roman" w:eastAsia="Times New Roman" w:hAnsi="Times New Roman" w:cs="Times New Roman"/>
          <w:noProof/>
          <w:color w:val="0D0D0D" w:themeColor="text1" w:themeTint="F2"/>
          <w:sz w:val="20"/>
          <w:szCs w:val="20"/>
        </w:rPr>
        <w:t>)</w:t>
      </w:r>
      <w:r w:rsidRPr="00FF6C3B">
        <w:rPr>
          <w:rFonts w:ascii="Times New Roman" w:eastAsia="Times New Roman" w:hAnsi="Times New Roman" w:cs="Times New Roman"/>
          <w:color w:val="0D0D0D" w:themeColor="text1" w:themeTint="F2"/>
          <w:sz w:val="20"/>
          <w:szCs w:val="20"/>
        </w:rPr>
        <w:t>. Germany was the biggest market in Europe, with 150.8 GWh of LIB capacity, or around 5.4% of the overall capacity</w:t>
      </w:r>
      <w:r w:rsidR="000F1B90">
        <w:rPr>
          <w:rFonts w:ascii="Times New Roman" w:eastAsia="Times New Roman" w:hAnsi="Times New Roman" w:cs="Times New Roman"/>
          <w:noProof/>
          <w:color w:val="0D0D0D" w:themeColor="text1" w:themeTint="F2"/>
          <w:sz w:val="20"/>
          <w:szCs w:val="20"/>
        </w:rPr>
        <w:t xml:space="preserve"> (</w:t>
      </w:r>
      <w:r w:rsidR="000F1B90" w:rsidRPr="000F1B90">
        <w:rPr>
          <w:rFonts w:ascii="Times New Roman" w:eastAsia="Times New Roman" w:hAnsi="Times New Roman" w:cs="Times New Roman"/>
          <w:noProof/>
          <w:color w:val="0D0D0D" w:themeColor="text1" w:themeTint="F2"/>
          <w:sz w:val="20"/>
          <w:szCs w:val="20"/>
          <w:lang w:val="en-GB"/>
        </w:rPr>
        <w:t>Bielewski et al., 2024</w:t>
      </w:r>
      <w:r w:rsidR="000F1B90">
        <w:rPr>
          <w:rFonts w:ascii="Times New Roman" w:eastAsia="Times New Roman" w:hAnsi="Times New Roman" w:cs="Times New Roman"/>
          <w:noProof/>
          <w:color w:val="0D0D0D" w:themeColor="text1" w:themeTint="F2"/>
          <w:sz w:val="20"/>
          <w:szCs w:val="20"/>
        </w:rPr>
        <w:t>)</w:t>
      </w:r>
      <w:r w:rsidRPr="00FF6C3B">
        <w:rPr>
          <w:rFonts w:ascii="Times New Roman" w:eastAsia="Times New Roman" w:hAnsi="Times New Roman" w:cs="Times New Roman"/>
          <w:color w:val="0D0D0D" w:themeColor="text1" w:themeTint="F2"/>
          <w:sz w:val="20"/>
          <w:szCs w:val="20"/>
        </w:rPr>
        <w:t xml:space="preserve">. Even with this rise, Europe will continue to depend on Asian primary materials to take advantage of the large number of EVs sold. </w:t>
      </w:r>
      <w:r w:rsidR="000F1B90">
        <w:rPr>
          <w:rFonts w:ascii="Times New Roman" w:eastAsia="Times New Roman" w:hAnsi="Times New Roman" w:cs="Times New Roman"/>
          <w:noProof/>
          <w:color w:val="0D0D0D" w:themeColor="text1" w:themeTint="F2"/>
          <w:sz w:val="20"/>
          <w:szCs w:val="20"/>
        </w:rPr>
        <w:t>(</w:t>
      </w:r>
      <w:r w:rsidR="000F1B90" w:rsidRPr="000F1B90">
        <w:rPr>
          <w:rFonts w:ascii="Times New Roman" w:eastAsia="Times New Roman" w:hAnsi="Times New Roman" w:cs="Times New Roman"/>
          <w:noProof/>
          <w:color w:val="0D0D0D" w:themeColor="text1" w:themeTint="F2"/>
          <w:sz w:val="20"/>
          <w:szCs w:val="20"/>
          <w:lang w:val="en-GB"/>
        </w:rPr>
        <w:t>Zhu et al., 2021</w:t>
      </w:r>
      <w:r w:rsidR="000F1B90">
        <w:rPr>
          <w:rFonts w:ascii="Times New Roman" w:eastAsia="Times New Roman" w:hAnsi="Times New Roman" w:cs="Times New Roman"/>
          <w:noProof/>
          <w:color w:val="0D0D0D" w:themeColor="text1" w:themeTint="F2"/>
          <w:sz w:val="20"/>
          <w:szCs w:val="20"/>
        </w:rPr>
        <w:t xml:space="preserve">) </w:t>
      </w:r>
      <w:proofErr w:type="spellStart"/>
      <w:r w:rsidRPr="00FF6C3B">
        <w:rPr>
          <w:rFonts w:ascii="Times New Roman" w:eastAsia="Times New Roman" w:hAnsi="Times New Roman" w:cs="Times New Roman"/>
          <w:color w:val="0D0D0D" w:themeColor="text1" w:themeTint="F2"/>
          <w:sz w:val="20"/>
          <w:szCs w:val="20"/>
        </w:rPr>
        <w:t>Remanu</w:t>
      </w:r>
      <w:proofErr w:type="spellEnd"/>
      <w:r>
        <w:rPr>
          <w:rFonts w:ascii="Times New Roman" w:eastAsia="Times New Roman" w:hAnsi="Times New Roman" w:cs="Times New Roman"/>
          <w:color w:val="0D0D0D" w:themeColor="text1" w:themeTint="F2"/>
          <w:sz w:val="20"/>
          <w:szCs w:val="20"/>
        </w:rPr>
        <w:t xml:space="preserve"> </w:t>
      </w:r>
      <w:proofErr w:type="spellStart"/>
      <w:r w:rsidRPr="00FF6C3B">
        <w:rPr>
          <w:rFonts w:ascii="Times New Roman" w:eastAsia="Times New Roman" w:hAnsi="Times New Roman" w:cs="Times New Roman"/>
          <w:color w:val="0D0D0D" w:themeColor="text1" w:themeTint="F2"/>
          <w:sz w:val="20"/>
          <w:szCs w:val="20"/>
        </w:rPr>
        <w:t>facturing</w:t>
      </w:r>
      <w:proofErr w:type="spellEnd"/>
      <w:r w:rsidRPr="00FF6C3B">
        <w:rPr>
          <w:rFonts w:ascii="Times New Roman" w:eastAsia="Times New Roman" w:hAnsi="Times New Roman" w:cs="Times New Roman"/>
          <w:color w:val="0D0D0D" w:themeColor="text1" w:themeTint="F2"/>
          <w:sz w:val="20"/>
          <w:szCs w:val="20"/>
        </w:rPr>
        <w:t xml:space="preserve"> can be an exciting alternative among the various EOL practices for EV batteries. In contrast, refurbishment or retrofitting target specific components for improvement or repair, whereas remanufacturing aims to return the entire battery to its original state. Research shows that remanufacturing can be economical, saving roughly 40% when compared to the production of new batteries</w:t>
      </w:r>
      <w:r w:rsidR="000F1B90">
        <w:rPr>
          <w:rFonts w:ascii="Times New Roman" w:eastAsia="Times New Roman" w:hAnsi="Times New Roman" w:cs="Times New Roman"/>
          <w:noProof/>
          <w:color w:val="0D0D0D" w:themeColor="text1" w:themeTint="F2"/>
          <w:sz w:val="20"/>
          <w:szCs w:val="20"/>
        </w:rPr>
        <w:t xml:space="preserve"> (</w:t>
      </w:r>
      <w:r w:rsidR="000F1B90" w:rsidRPr="000F1B90">
        <w:rPr>
          <w:rFonts w:ascii="Times New Roman" w:eastAsia="Times New Roman" w:hAnsi="Times New Roman" w:cs="Times New Roman"/>
          <w:noProof/>
          <w:color w:val="0D0D0D" w:themeColor="text1" w:themeTint="F2"/>
          <w:sz w:val="20"/>
          <w:szCs w:val="20"/>
          <w:lang w:val="en-GB"/>
        </w:rPr>
        <w:t>Zhao et al., 2021</w:t>
      </w:r>
      <w:r w:rsidR="000F1B90">
        <w:rPr>
          <w:rFonts w:ascii="Times New Roman" w:eastAsia="Times New Roman" w:hAnsi="Times New Roman" w:cs="Times New Roman"/>
          <w:noProof/>
          <w:color w:val="0D0D0D" w:themeColor="text1" w:themeTint="F2"/>
          <w:sz w:val="20"/>
          <w:szCs w:val="20"/>
        </w:rPr>
        <w:t>)</w:t>
      </w:r>
      <w:r w:rsidRPr="00FF6C3B">
        <w:rPr>
          <w:rFonts w:ascii="Times New Roman" w:eastAsia="Times New Roman" w:hAnsi="Times New Roman" w:cs="Times New Roman"/>
          <w:color w:val="0D0D0D" w:themeColor="text1" w:themeTint="F2"/>
          <w:sz w:val="20"/>
          <w:szCs w:val="20"/>
        </w:rPr>
        <w:t xml:space="preserve">. Prior research has </w:t>
      </w:r>
      <w:proofErr w:type="spellStart"/>
      <w:r w:rsidRPr="00FF6C3B">
        <w:rPr>
          <w:rFonts w:ascii="Times New Roman" w:eastAsia="Times New Roman" w:hAnsi="Times New Roman" w:cs="Times New Roman"/>
          <w:color w:val="0D0D0D" w:themeColor="text1" w:themeTint="F2"/>
          <w:sz w:val="20"/>
          <w:szCs w:val="20"/>
        </w:rPr>
        <w:t>endeavoured</w:t>
      </w:r>
      <w:proofErr w:type="spellEnd"/>
      <w:r w:rsidRPr="00FF6C3B">
        <w:rPr>
          <w:rFonts w:ascii="Times New Roman" w:eastAsia="Times New Roman" w:hAnsi="Times New Roman" w:cs="Times New Roman"/>
          <w:color w:val="0D0D0D" w:themeColor="text1" w:themeTint="F2"/>
          <w:sz w:val="20"/>
          <w:szCs w:val="20"/>
        </w:rPr>
        <w:t xml:space="preserve"> to quantify the ecological consequences resulting from battery recovery, </w:t>
      </w:r>
      <w:r w:rsidRPr="00FF6C3B">
        <w:rPr>
          <w:rFonts w:ascii="Times New Roman" w:eastAsia="Calibri" w:hAnsi="Times New Roman" w:cs="Times New Roman"/>
          <w:color w:val="0D0D0D" w:themeColor="text1" w:themeTint="F2"/>
          <w:kern w:val="2"/>
          <w:sz w:val="20"/>
          <w:szCs w:val="20"/>
        </w:rPr>
        <w:t xml:space="preserve">as listed in </w:t>
      </w:r>
      <w:r w:rsidRPr="0074590E">
        <w:rPr>
          <w:rFonts w:ascii="Times New Roman" w:eastAsia="Calibri" w:hAnsi="Times New Roman" w:cs="Times New Roman"/>
          <w:color w:val="0D0D0D" w:themeColor="text1" w:themeTint="F2"/>
          <w:kern w:val="2"/>
          <w:sz w:val="20"/>
          <w:szCs w:val="20"/>
        </w:rPr>
        <w:t>Table</w:t>
      </w:r>
      <w:r w:rsidRPr="00FF6C3B">
        <w:rPr>
          <w:rFonts w:ascii="Times New Roman" w:eastAsia="Calibri" w:hAnsi="Times New Roman" w:cs="Times New Roman"/>
          <w:color w:val="0D0D0D" w:themeColor="text1" w:themeTint="F2"/>
          <w:kern w:val="2"/>
          <w:sz w:val="20"/>
          <w:szCs w:val="20"/>
        </w:rPr>
        <w:t xml:space="preserve"> 1.</w:t>
      </w:r>
    </w:p>
    <w:bookmarkEnd w:id="0"/>
    <w:p w14:paraId="26545BF6" w14:textId="77777777" w:rsidR="00FF6C3B" w:rsidRDefault="00FF6C3B" w:rsidP="00FF6C3B">
      <w:pPr>
        <w:spacing w:after="0" w:line="240" w:lineRule="auto"/>
        <w:jc w:val="both"/>
        <w:rPr>
          <w:rFonts w:ascii="Times New Roman" w:eastAsia="Times New Roman" w:hAnsi="Times New Roman" w:cs="Times New Roman"/>
          <w:b/>
          <w:bCs/>
          <w:color w:val="0D0D0D" w:themeColor="text1" w:themeTint="F2"/>
          <w:sz w:val="20"/>
          <w:szCs w:val="20"/>
        </w:rPr>
      </w:pPr>
    </w:p>
    <w:p w14:paraId="0F5D6DE8" w14:textId="34BC1800" w:rsidR="00FF6C3B" w:rsidRDefault="00FF6C3B" w:rsidP="00775207">
      <w:pPr>
        <w:spacing w:after="0" w:line="240" w:lineRule="auto"/>
        <w:jc w:val="center"/>
        <w:rPr>
          <w:rFonts w:ascii="Times New Roman" w:eastAsia="Calibri" w:hAnsi="Times New Roman" w:cs="Times New Roman"/>
          <w:b/>
          <w:bCs/>
          <w:color w:val="0D0D0D" w:themeColor="text1" w:themeTint="F2"/>
          <w:kern w:val="2"/>
          <w:sz w:val="20"/>
          <w:szCs w:val="20"/>
        </w:rPr>
      </w:pPr>
      <w:r w:rsidRPr="0074590E">
        <w:rPr>
          <w:rFonts w:ascii="Times New Roman" w:eastAsia="Times New Roman" w:hAnsi="Times New Roman" w:cs="Times New Roman"/>
          <w:b/>
          <w:bCs/>
          <w:color w:val="0D0D0D" w:themeColor="text1" w:themeTint="F2"/>
          <w:sz w:val="20"/>
          <w:szCs w:val="20"/>
        </w:rPr>
        <w:t>Table</w:t>
      </w:r>
      <w:r w:rsidRPr="00FF6C3B">
        <w:rPr>
          <w:rFonts w:ascii="Times New Roman" w:eastAsia="Times New Roman" w:hAnsi="Times New Roman" w:cs="Times New Roman"/>
          <w:b/>
          <w:bCs/>
          <w:color w:val="0D0D0D" w:themeColor="text1" w:themeTint="F2"/>
          <w:sz w:val="20"/>
          <w:szCs w:val="20"/>
        </w:rPr>
        <w:t xml:space="preserve"> 1</w:t>
      </w:r>
      <w:r>
        <w:rPr>
          <w:rFonts w:ascii="Times New Roman" w:eastAsia="Times New Roman" w:hAnsi="Times New Roman" w:cs="Times New Roman"/>
          <w:b/>
          <w:bCs/>
          <w:color w:val="0D0D0D" w:themeColor="text1" w:themeTint="F2"/>
          <w:sz w:val="20"/>
          <w:szCs w:val="20"/>
        </w:rPr>
        <w:t xml:space="preserve">. </w:t>
      </w:r>
      <w:r w:rsidRPr="00FF6C3B">
        <w:rPr>
          <w:rFonts w:ascii="Times New Roman" w:eastAsia="Calibri" w:hAnsi="Times New Roman" w:cs="Times New Roman"/>
          <w:b/>
          <w:bCs/>
          <w:color w:val="0D0D0D" w:themeColor="text1" w:themeTint="F2"/>
          <w:kern w:val="2"/>
          <w:sz w:val="20"/>
          <w:szCs w:val="20"/>
        </w:rPr>
        <w:t>Previous studies on the environmental impacts of battery remanufacturing or recycling</w:t>
      </w:r>
    </w:p>
    <w:p w14:paraId="0491757D" w14:textId="77777777" w:rsidR="00FF6C3B" w:rsidRPr="00FF6C3B" w:rsidRDefault="00FF6C3B" w:rsidP="00FF6C3B">
      <w:pPr>
        <w:spacing w:after="0" w:line="240" w:lineRule="auto"/>
        <w:jc w:val="both"/>
        <w:rPr>
          <w:rFonts w:ascii="Times New Roman" w:eastAsia="Times New Roman" w:hAnsi="Times New Roman" w:cs="Times New Roman"/>
          <w:b/>
          <w:bCs/>
          <w:color w:val="0D0D0D" w:themeColor="text1" w:themeTint="F2"/>
          <w:sz w:val="20"/>
          <w:szCs w:val="20"/>
        </w:rPr>
      </w:pPr>
    </w:p>
    <w:tbl>
      <w:tblPr>
        <w:tblStyle w:val="TableGrid"/>
        <w:tblW w:w="4900" w:type="pct"/>
        <w:jc w:val="center"/>
        <w:tblBorders>
          <w:left w:val="none" w:sz="0" w:space="0" w:color="auto"/>
          <w:right w:val="none" w:sz="0" w:space="0" w:color="auto"/>
        </w:tblBorders>
        <w:tblLook w:val="04A0" w:firstRow="1" w:lastRow="0" w:firstColumn="1" w:lastColumn="0" w:noHBand="0" w:noVBand="1"/>
      </w:tblPr>
      <w:tblGrid>
        <w:gridCol w:w="1508"/>
        <w:gridCol w:w="1838"/>
        <w:gridCol w:w="2267"/>
        <w:gridCol w:w="2323"/>
        <w:gridCol w:w="1124"/>
      </w:tblGrid>
      <w:tr w:rsidR="00FF6C3B" w:rsidRPr="007146C1" w14:paraId="0DC39EFF" w14:textId="77777777" w:rsidTr="00D13224">
        <w:trPr>
          <w:tblHeader/>
          <w:jc w:val="center"/>
        </w:trPr>
        <w:tc>
          <w:tcPr>
            <w:tcW w:w="1508" w:type="dxa"/>
            <w:tcBorders>
              <w:right w:val="nil"/>
            </w:tcBorders>
          </w:tcPr>
          <w:p w14:paraId="0E4E1542" w14:textId="77777777" w:rsidR="00FF6C3B" w:rsidRPr="007146C1" w:rsidRDefault="00FF6C3B" w:rsidP="00775207">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Battery chemistry recycled</w:t>
            </w:r>
          </w:p>
        </w:tc>
        <w:tc>
          <w:tcPr>
            <w:tcW w:w="1838" w:type="dxa"/>
            <w:tcBorders>
              <w:left w:val="nil"/>
              <w:right w:val="nil"/>
            </w:tcBorders>
          </w:tcPr>
          <w:p w14:paraId="64922C63" w14:textId="77777777" w:rsidR="00FF6C3B" w:rsidRPr="007146C1" w:rsidRDefault="00FF6C3B" w:rsidP="00775207">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Material recycled</w:t>
            </w:r>
          </w:p>
        </w:tc>
        <w:tc>
          <w:tcPr>
            <w:tcW w:w="2267" w:type="dxa"/>
            <w:tcBorders>
              <w:left w:val="nil"/>
              <w:right w:val="nil"/>
            </w:tcBorders>
          </w:tcPr>
          <w:p w14:paraId="56BDC0A2" w14:textId="77777777" w:rsidR="00FF6C3B" w:rsidRPr="007146C1" w:rsidRDefault="00FF6C3B" w:rsidP="00775207">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Approach used</w:t>
            </w:r>
          </w:p>
        </w:tc>
        <w:tc>
          <w:tcPr>
            <w:tcW w:w="2323" w:type="dxa"/>
            <w:tcBorders>
              <w:left w:val="nil"/>
              <w:right w:val="nil"/>
            </w:tcBorders>
          </w:tcPr>
          <w:p w14:paraId="4893EB8E" w14:textId="77777777" w:rsidR="00FF6C3B" w:rsidRPr="007146C1" w:rsidRDefault="00FF6C3B" w:rsidP="00775207">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Results</w:t>
            </w:r>
          </w:p>
        </w:tc>
        <w:tc>
          <w:tcPr>
            <w:tcW w:w="1124" w:type="dxa"/>
            <w:tcBorders>
              <w:left w:val="nil"/>
            </w:tcBorders>
          </w:tcPr>
          <w:p w14:paraId="6DC08538" w14:textId="77777777" w:rsidR="00FF6C3B" w:rsidRPr="007146C1" w:rsidRDefault="00FF6C3B" w:rsidP="00775207">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References</w:t>
            </w:r>
          </w:p>
        </w:tc>
      </w:tr>
      <w:tr w:rsidR="00FF6C3B" w:rsidRPr="007146C1" w14:paraId="0BD81141" w14:textId="77777777" w:rsidTr="00D13224">
        <w:trPr>
          <w:jc w:val="center"/>
        </w:trPr>
        <w:tc>
          <w:tcPr>
            <w:tcW w:w="1508" w:type="dxa"/>
            <w:tcBorders>
              <w:right w:val="nil"/>
            </w:tcBorders>
          </w:tcPr>
          <w:p w14:paraId="24B7549C" w14:textId="77777777" w:rsidR="00FF6C3B" w:rsidRPr="007146C1" w:rsidRDefault="00FF6C3B" w:rsidP="00775207">
            <w:pPr>
              <w:rPr>
                <w:rFonts w:ascii="Times New Roman" w:hAnsi="Times New Roman" w:cs="Times New Roman"/>
                <w:color w:val="0D0D0D" w:themeColor="text1" w:themeTint="F2"/>
                <w:sz w:val="18"/>
                <w:szCs w:val="18"/>
              </w:rPr>
            </w:pPr>
          </w:p>
          <w:p w14:paraId="2835B273" w14:textId="77777777" w:rsidR="00FF6C3B" w:rsidRPr="007146C1" w:rsidRDefault="00FF6C3B" w:rsidP="00775207">
            <w:pPr>
              <w:rPr>
                <w:rFonts w:ascii="Times New Roman" w:hAnsi="Times New Roman" w:cs="Times New Roman"/>
                <w:color w:val="0D0D0D" w:themeColor="text1" w:themeTint="F2"/>
                <w:sz w:val="18"/>
                <w:szCs w:val="18"/>
              </w:rPr>
            </w:pPr>
          </w:p>
          <w:p w14:paraId="2F0BAE16"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NMC</w:t>
            </w:r>
          </w:p>
        </w:tc>
        <w:tc>
          <w:tcPr>
            <w:tcW w:w="1838" w:type="dxa"/>
            <w:tcBorders>
              <w:left w:val="nil"/>
              <w:right w:val="nil"/>
            </w:tcBorders>
          </w:tcPr>
          <w:p w14:paraId="42941A50"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NMC, steel, Cu</w:t>
            </w:r>
          </w:p>
        </w:tc>
        <w:tc>
          <w:tcPr>
            <w:tcW w:w="2267" w:type="dxa"/>
            <w:tcBorders>
              <w:left w:val="nil"/>
              <w:right w:val="nil"/>
            </w:tcBorders>
          </w:tcPr>
          <w:p w14:paraId="4713CABC"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Hydrometallurgical recycling</w:t>
            </w:r>
          </w:p>
        </w:tc>
        <w:tc>
          <w:tcPr>
            <w:tcW w:w="2323" w:type="dxa"/>
            <w:tcBorders>
              <w:left w:val="nil"/>
              <w:right w:val="nil"/>
            </w:tcBorders>
          </w:tcPr>
          <w:p w14:paraId="5D556EBA"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 xml:space="preserve">The reduction of energy consumption and GHG emissions is 32.1 GJ and 5.1 tons per EOL EV. About 10% of the life cycle GHG emissions can be reduced by </w:t>
            </w:r>
            <w:r w:rsidRPr="007146C1">
              <w:rPr>
                <w:rFonts w:ascii="Times New Roman" w:hAnsi="Times New Roman" w:cs="Times New Roman"/>
                <w:color w:val="0D0D0D" w:themeColor="text1" w:themeTint="F2"/>
                <w:sz w:val="18"/>
                <w:szCs w:val="18"/>
              </w:rPr>
              <w:lastRenderedPageBreak/>
              <w:t>recycling.</w:t>
            </w:r>
          </w:p>
        </w:tc>
        <w:tc>
          <w:tcPr>
            <w:tcW w:w="1124" w:type="dxa"/>
            <w:tcBorders>
              <w:left w:val="nil"/>
            </w:tcBorders>
          </w:tcPr>
          <w:p w14:paraId="551E70BE" w14:textId="677D41AD" w:rsidR="00FF6C3B" w:rsidRPr="007146C1" w:rsidRDefault="000F1B90"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lastRenderedPageBreak/>
              <w:t>(</w:t>
            </w:r>
            <w:r w:rsidRPr="007146C1">
              <w:rPr>
                <w:rFonts w:ascii="Times New Roman" w:hAnsi="Times New Roman" w:cs="Times New Roman"/>
                <w:color w:val="0D0D0D" w:themeColor="text1" w:themeTint="F2"/>
                <w:sz w:val="18"/>
                <w:szCs w:val="18"/>
                <w:lang w:val="en-GB"/>
              </w:rPr>
              <w:t>Dou &amp; Hao, 2024</w:t>
            </w:r>
            <w:r w:rsidRPr="007146C1">
              <w:rPr>
                <w:rFonts w:ascii="Times New Roman" w:hAnsi="Times New Roman" w:cs="Times New Roman"/>
                <w:color w:val="0D0D0D" w:themeColor="text1" w:themeTint="F2"/>
                <w:sz w:val="18"/>
                <w:szCs w:val="18"/>
              </w:rPr>
              <w:t>)</w:t>
            </w:r>
          </w:p>
        </w:tc>
      </w:tr>
      <w:tr w:rsidR="00FF6C3B" w:rsidRPr="007146C1" w14:paraId="4D198AC7" w14:textId="77777777" w:rsidTr="00D13224">
        <w:trPr>
          <w:jc w:val="center"/>
        </w:trPr>
        <w:tc>
          <w:tcPr>
            <w:tcW w:w="1508" w:type="dxa"/>
            <w:tcBorders>
              <w:right w:val="nil"/>
            </w:tcBorders>
          </w:tcPr>
          <w:p w14:paraId="7B1A9120" w14:textId="77777777" w:rsidR="00FF6C3B" w:rsidRPr="007146C1" w:rsidRDefault="00FF6C3B" w:rsidP="00775207">
            <w:pPr>
              <w:rPr>
                <w:rFonts w:ascii="Times New Roman" w:hAnsi="Times New Roman" w:cs="Times New Roman"/>
                <w:color w:val="0D0D0D" w:themeColor="text1" w:themeTint="F2"/>
                <w:sz w:val="18"/>
                <w:szCs w:val="18"/>
              </w:rPr>
            </w:pPr>
          </w:p>
          <w:p w14:paraId="453E6067" w14:textId="77777777" w:rsidR="00FF6C3B" w:rsidRPr="007146C1" w:rsidRDefault="00FF6C3B" w:rsidP="00775207">
            <w:pPr>
              <w:rPr>
                <w:rFonts w:ascii="Times New Roman" w:hAnsi="Times New Roman" w:cs="Times New Roman"/>
                <w:color w:val="0D0D0D" w:themeColor="text1" w:themeTint="F2"/>
                <w:sz w:val="18"/>
                <w:szCs w:val="18"/>
              </w:rPr>
            </w:pPr>
          </w:p>
          <w:p w14:paraId="050518ED"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Various cathode chemistries</w:t>
            </w:r>
          </w:p>
        </w:tc>
        <w:tc>
          <w:tcPr>
            <w:tcW w:w="1838" w:type="dxa"/>
            <w:tcBorders>
              <w:left w:val="nil"/>
              <w:right w:val="nil"/>
            </w:tcBorders>
          </w:tcPr>
          <w:p w14:paraId="41EC4DB0"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Including Co, Ni, Al, Cu, electrolyte solvent, and anode</w:t>
            </w:r>
          </w:p>
        </w:tc>
        <w:tc>
          <w:tcPr>
            <w:tcW w:w="2267" w:type="dxa"/>
            <w:tcBorders>
              <w:left w:val="nil"/>
              <w:right w:val="nil"/>
            </w:tcBorders>
          </w:tcPr>
          <w:p w14:paraId="12780E06"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 xml:space="preserve">Pyrometallurgical recycling (Umicore; </w:t>
            </w:r>
            <w:proofErr w:type="spellStart"/>
            <w:r w:rsidRPr="007146C1">
              <w:rPr>
                <w:rFonts w:ascii="Times New Roman" w:hAnsi="Times New Roman" w:cs="Times New Roman"/>
                <w:color w:val="0D0D0D" w:themeColor="text1" w:themeTint="F2"/>
                <w:sz w:val="18"/>
                <w:szCs w:val="18"/>
              </w:rPr>
              <w:t>Toxco</w:t>
            </w:r>
            <w:proofErr w:type="spellEnd"/>
            <w:r w:rsidRPr="007146C1">
              <w:rPr>
                <w:rFonts w:ascii="Times New Roman" w:hAnsi="Times New Roman" w:cs="Times New Roman"/>
                <w:color w:val="0D0D0D" w:themeColor="text1" w:themeTint="F2"/>
                <w:sz w:val="18"/>
                <w:szCs w:val="18"/>
              </w:rPr>
              <w:t>); direct recycling (eco-bat)</w:t>
            </w:r>
          </w:p>
        </w:tc>
        <w:tc>
          <w:tcPr>
            <w:tcW w:w="2323" w:type="dxa"/>
            <w:tcBorders>
              <w:left w:val="nil"/>
              <w:right w:val="nil"/>
            </w:tcBorders>
          </w:tcPr>
          <w:p w14:paraId="22BEACA9"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Through the Umicore process, recovery of Co and Ni saves about 70% of the energy needed for their production from sulfide ores.</w:t>
            </w:r>
          </w:p>
        </w:tc>
        <w:tc>
          <w:tcPr>
            <w:tcW w:w="1124" w:type="dxa"/>
            <w:tcBorders>
              <w:left w:val="nil"/>
            </w:tcBorders>
          </w:tcPr>
          <w:p w14:paraId="368CA819" w14:textId="426994C6" w:rsidR="00FF6C3B" w:rsidRPr="007146C1" w:rsidRDefault="000F1B90"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w:t>
            </w:r>
            <w:r w:rsidRPr="007146C1">
              <w:rPr>
                <w:rFonts w:ascii="Times New Roman" w:hAnsi="Times New Roman" w:cs="Times New Roman"/>
                <w:color w:val="0D0D0D" w:themeColor="text1" w:themeTint="F2"/>
                <w:sz w:val="18"/>
                <w:szCs w:val="18"/>
                <w:lang w:val="en-GB"/>
              </w:rPr>
              <w:t>Guillén Santamaría, 2024</w:t>
            </w:r>
            <w:r w:rsidRPr="007146C1">
              <w:rPr>
                <w:rFonts w:ascii="Times New Roman" w:hAnsi="Times New Roman" w:cs="Times New Roman"/>
                <w:color w:val="0D0D0D" w:themeColor="text1" w:themeTint="F2"/>
                <w:sz w:val="18"/>
                <w:szCs w:val="18"/>
              </w:rPr>
              <w:t>)</w:t>
            </w:r>
          </w:p>
        </w:tc>
      </w:tr>
      <w:tr w:rsidR="00FF6C3B" w:rsidRPr="007146C1" w14:paraId="0097A35F" w14:textId="77777777" w:rsidTr="00D13224">
        <w:trPr>
          <w:jc w:val="center"/>
        </w:trPr>
        <w:tc>
          <w:tcPr>
            <w:tcW w:w="1508" w:type="dxa"/>
            <w:tcBorders>
              <w:right w:val="nil"/>
            </w:tcBorders>
          </w:tcPr>
          <w:p w14:paraId="67EDE595" w14:textId="77777777" w:rsidR="00FF6C3B" w:rsidRPr="007146C1" w:rsidRDefault="00FF6C3B" w:rsidP="00775207">
            <w:pPr>
              <w:rPr>
                <w:rFonts w:ascii="Times New Roman" w:hAnsi="Times New Roman" w:cs="Times New Roman"/>
                <w:color w:val="0D0D0D" w:themeColor="text1" w:themeTint="F2"/>
                <w:sz w:val="18"/>
                <w:szCs w:val="18"/>
              </w:rPr>
            </w:pPr>
          </w:p>
          <w:p w14:paraId="2C8D778C" w14:textId="77777777" w:rsidR="00FF6C3B" w:rsidRPr="007146C1" w:rsidRDefault="00FF6C3B" w:rsidP="00775207">
            <w:pPr>
              <w:rPr>
                <w:rFonts w:ascii="Times New Roman" w:hAnsi="Times New Roman" w:cs="Times New Roman"/>
                <w:color w:val="0D0D0D" w:themeColor="text1" w:themeTint="F2"/>
                <w:sz w:val="18"/>
                <w:szCs w:val="18"/>
              </w:rPr>
            </w:pPr>
          </w:p>
          <w:p w14:paraId="4A2FF759" w14:textId="77777777" w:rsidR="00FF6C3B" w:rsidRPr="007146C1" w:rsidRDefault="00FF6C3B"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LIB</w:t>
            </w:r>
          </w:p>
        </w:tc>
        <w:tc>
          <w:tcPr>
            <w:tcW w:w="1838" w:type="dxa"/>
            <w:tcBorders>
              <w:left w:val="nil"/>
              <w:right w:val="nil"/>
            </w:tcBorders>
          </w:tcPr>
          <w:p w14:paraId="7A089032"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Li-salt, Co, Ni, iron, steel</w:t>
            </w:r>
          </w:p>
        </w:tc>
        <w:tc>
          <w:tcPr>
            <w:tcW w:w="2267" w:type="dxa"/>
            <w:tcBorders>
              <w:left w:val="nil"/>
              <w:right w:val="nil"/>
            </w:tcBorders>
          </w:tcPr>
          <w:p w14:paraId="01F2CE46"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Hydrometallurgical recycling</w:t>
            </w:r>
          </w:p>
        </w:tc>
        <w:tc>
          <w:tcPr>
            <w:tcW w:w="2323" w:type="dxa"/>
            <w:tcBorders>
              <w:left w:val="nil"/>
              <w:right w:val="nil"/>
            </w:tcBorders>
          </w:tcPr>
          <w:p w14:paraId="5ADFFFDC"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The disposal phase has a minor impact on the total environmental burdens</w:t>
            </w:r>
          </w:p>
        </w:tc>
        <w:tc>
          <w:tcPr>
            <w:tcW w:w="1124" w:type="dxa"/>
            <w:tcBorders>
              <w:left w:val="nil"/>
            </w:tcBorders>
          </w:tcPr>
          <w:p w14:paraId="46107650" w14:textId="475BBC6B" w:rsidR="00FF6C3B" w:rsidRPr="007146C1" w:rsidRDefault="000F1B90"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w:t>
            </w:r>
            <w:r w:rsidRPr="007146C1">
              <w:rPr>
                <w:rFonts w:ascii="Times New Roman" w:hAnsi="Times New Roman" w:cs="Times New Roman"/>
                <w:color w:val="0D0D0D" w:themeColor="text1" w:themeTint="F2"/>
                <w:sz w:val="18"/>
                <w:szCs w:val="18"/>
                <w:lang w:val="en-GB"/>
              </w:rPr>
              <w:t>Alao et al., 2024</w:t>
            </w:r>
            <w:r w:rsidRPr="007146C1">
              <w:rPr>
                <w:rFonts w:ascii="Times New Roman" w:hAnsi="Times New Roman" w:cs="Times New Roman"/>
                <w:color w:val="0D0D0D" w:themeColor="text1" w:themeTint="F2"/>
                <w:sz w:val="18"/>
                <w:szCs w:val="18"/>
              </w:rPr>
              <w:t>)</w:t>
            </w:r>
            <w:r w:rsidR="00FF6C3B" w:rsidRPr="007146C1">
              <w:rPr>
                <w:rFonts w:ascii="Times New Roman" w:hAnsi="Times New Roman" w:cs="Times New Roman"/>
                <w:color w:val="0D0D0D" w:themeColor="text1" w:themeTint="F2"/>
                <w:sz w:val="18"/>
                <w:szCs w:val="18"/>
              </w:rPr>
              <w:t xml:space="preserve"> </w:t>
            </w:r>
          </w:p>
        </w:tc>
      </w:tr>
      <w:tr w:rsidR="00FF6C3B" w:rsidRPr="007146C1" w14:paraId="339B458E" w14:textId="77777777" w:rsidTr="00D13224">
        <w:trPr>
          <w:jc w:val="center"/>
        </w:trPr>
        <w:tc>
          <w:tcPr>
            <w:tcW w:w="1508" w:type="dxa"/>
            <w:tcBorders>
              <w:right w:val="nil"/>
            </w:tcBorders>
          </w:tcPr>
          <w:p w14:paraId="546331DA" w14:textId="77777777" w:rsidR="00FF6C3B" w:rsidRPr="007146C1" w:rsidRDefault="00FF6C3B" w:rsidP="00775207">
            <w:pPr>
              <w:rPr>
                <w:rFonts w:ascii="Times New Roman" w:hAnsi="Times New Roman" w:cs="Times New Roman"/>
                <w:color w:val="0D0D0D" w:themeColor="text1" w:themeTint="F2"/>
                <w:sz w:val="18"/>
                <w:szCs w:val="18"/>
              </w:rPr>
            </w:pPr>
          </w:p>
          <w:p w14:paraId="7C7C56D4" w14:textId="77777777" w:rsidR="00FF6C3B" w:rsidRPr="007146C1" w:rsidRDefault="00FF6C3B" w:rsidP="00775207">
            <w:pPr>
              <w:rPr>
                <w:rFonts w:ascii="Times New Roman" w:hAnsi="Times New Roman" w:cs="Times New Roman"/>
                <w:color w:val="0D0D0D" w:themeColor="text1" w:themeTint="F2"/>
                <w:sz w:val="18"/>
                <w:szCs w:val="18"/>
              </w:rPr>
            </w:pPr>
          </w:p>
          <w:p w14:paraId="491BF821" w14:textId="77777777" w:rsidR="00FF6C3B" w:rsidRPr="007146C1" w:rsidRDefault="00FF6C3B" w:rsidP="00775207">
            <w:pPr>
              <w:rPr>
                <w:rFonts w:ascii="Times New Roman" w:hAnsi="Times New Roman" w:cs="Times New Roman"/>
                <w:color w:val="0D0D0D" w:themeColor="text1" w:themeTint="F2"/>
                <w:sz w:val="18"/>
                <w:szCs w:val="18"/>
              </w:rPr>
            </w:pPr>
          </w:p>
          <w:p w14:paraId="510AE03B"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LMO, LFP</w:t>
            </w:r>
          </w:p>
        </w:tc>
        <w:tc>
          <w:tcPr>
            <w:tcW w:w="1838" w:type="dxa"/>
            <w:tcBorders>
              <w:left w:val="nil"/>
              <w:right w:val="nil"/>
            </w:tcBorders>
          </w:tcPr>
          <w:p w14:paraId="06CE4503"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Li, Co, steel, nonferrous materials</w:t>
            </w:r>
          </w:p>
        </w:tc>
        <w:tc>
          <w:tcPr>
            <w:tcW w:w="2267" w:type="dxa"/>
            <w:tcBorders>
              <w:left w:val="nil"/>
              <w:right w:val="nil"/>
            </w:tcBorders>
          </w:tcPr>
          <w:p w14:paraId="283F8089"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Hydrometallurgical recycling</w:t>
            </w:r>
          </w:p>
        </w:tc>
        <w:tc>
          <w:tcPr>
            <w:tcW w:w="2323" w:type="dxa"/>
            <w:tcBorders>
              <w:left w:val="nil"/>
              <w:right w:val="nil"/>
            </w:tcBorders>
          </w:tcPr>
          <w:p w14:paraId="2732DD90"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The benefit of metal recycling is negligible because the materials and energy used in the recycling processes are intensive</w:t>
            </w:r>
          </w:p>
        </w:tc>
        <w:tc>
          <w:tcPr>
            <w:tcW w:w="1124" w:type="dxa"/>
            <w:tcBorders>
              <w:left w:val="nil"/>
            </w:tcBorders>
          </w:tcPr>
          <w:p w14:paraId="5536D521" w14:textId="491E6C59" w:rsidR="00FF6C3B" w:rsidRPr="007146C1" w:rsidRDefault="000F1B90"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w:t>
            </w:r>
            <w:r w:rsidRPr="007146C1">
              <w:rPr>
                <w:rFonts w:ascii="Times New Roman" w:hAnsi="Times New Roman" w:cs="Times New Roman"/>
                <w:color w:val="0D0D0D" w:themeColor="text1" w:themeTint="F2"/>
                <w:sz w:val="18"/>
                <w:szCs w:val="18"/>
                <w:lang w:val="en-GB"/>
              </w:rPr>
              <w:t>Ardente et al., 2019</w:t>
            </w:r>
            <w:r w:rsidRPr="007146C1">
              <w:rPr>
                <w:rFonts w:ascii="Times New Roman" w:hAnsi="Times New Roman" w:cs="Times New Roman"/>
                <w:color w:val="0D0D0D" w:themeColor="text1" w:themeTint="F2"/>
                <w:sz w:val="18"/>
                <w:szCs w:val="18"/>
              </w:rPr>
              <w:t>)</w:t>
            </w:r>
          </w:p>
        </w:tc>
      </w:tr>
      <w:tr w:rsidR="00FF6C3B" w:rsidRPr="007146C1" w14:paraId="7CF2AD13" w14:textId="77777777" w:rsidTr="00D13224">
        <w:trPr>
          <w:jc w:val="center"/>
        </w:trPr>
        <w:tc>
          <w:tcPr>
            <w:tcW w:w="1508" w:type="dxa"/>
            <w:tcBorders>
              <w:right w:val="nil"/>
            </w:tcBorders>
          </w:tcPr>
          <w:p w14:paraId="66C82802" w14:textId="77777777" w:rsidR="00FF6C3B" w:rsidRPr="007146C1" w:rsidRDefault="00FF6C3B" w:rsidP="00775207">
            <w:pPr>
              <w:rPr>
                <w:rFonts w:ascii="Times New Roman" w:hAnsi="Times New Roman" w:cs="Times New Roman"/>
                <w:color w:val="0D0D0D" w:themeColor="text1" w:themeTint="F2"/>
                <w:sz w:val="18"/>
                <w:szCs w:val="18"/>
              </w:rPr>
            </w:pPr>
          </w:p>
          <w:p w14:paraId="27B3C33F"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LIB</w:t>
            </w:r>
          </w:p>
        </w:tc>
        <w:tc>
          <w:tcPr>
            <w:tcW w:w="1838" w:type="dxa"/>
            <w:tcBorders>
              <w:left w:val="nil"/>
              <w:right w:val="nil"/>
            </w:tcBorders>
          </w:tcPr>
          <w:p w14:paraId="20E2D38C"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Co, Ni</w:t>
            </w:r>
          </w:p>
        </w:tc>
        <w:tc>
          <w:tcPr>
            <w:tcW w:w="2267" w:type="dxa"/>
            <w:tcBorders>
              <w:left w:val="nil"/>
              <w:right w:val="nil"/>
            </w:tcBorders>
          </w:tcPr>
          <w:p w14:paraId="38DA6465"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Pyrometallurgical recycling, Hydrometallurgical recycling</w:t>
            </w:r>
          </w:p>
        </w:tc>
        <w:tc>
          <w:tcPr>
            <w:tcW w:w="2323" w:type="dxa"/>
            <w:tcBorders>
              <w:left w:val="nil"/>
              <w:right w:val="nil"/>
            </w:tcBorders>
          </w:tcPr>
          <w:p w14:paraId="2D4A5BEC"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The recycling scenario results in 51.3% natural resource savings.</w:t>
            </w:r>
          </w:p>
        </w:tc>
        <w:tc>
          <w:tcPr>
            <w:tcW w:w="1124" w:type="dxa"/>
            <w:tcBorders>
              <w:left w:val="nil"/>
            </w:tcBorders>
          </w:tcPr>
          <w:p w14:paraId="79E90F08" w14:textId="590D917E" w:rsidR="00FF6C3B" w:rsidRPr="007146C1" w:rsidRDefault="000F1B90"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w:t>
            </w:r>
            <w:r w:rsidRPr="007146C1">
              <w:rPr>
                <w:rFonts w:ascii="Times New Roman" w:hAnsi="Times New Roman" w:cs="Times New Roman"/>
                <w:color w:val="0D0D0D" w:themeColor="text1" w:themeTint="F2"/>
                <w:sz w:val="18"/>
                <w:szCs w:val="18"/>
                <w:lang w:val="en-GB"/>
              </w:rPr>
              <w:t>Pitak et al., 2025</w:t>
            </w:r>
            <w:r w:rsidRPr="007146C1">
              <w:rPr>
                <w:rFonts w:ascii="Times New Roman" w:hAnsi="Times New Roman" w:cs="Times New Roman"/>
                <w:color w:val="0D0D0D" w:themeColor="text1" w:themeTint="F2"/>
                <w:sz w:val="18"/>
                <w:szCs w:val="18"/>
              </w:rPr>
              <w:t>)</w:t>
            </w:r>
          </w:p>
        </w:tc>
      </w:tr>
      <w:tr w:rsidR="00FF6C3B" w:rsidRPr="007146C1" w14:paraId="7FE147C0" w14:textId="77777777" w:rsidTr="00D13224">
        <w:trPr>
          <w:jc w:val="center"/>
        </w:trPr>
        <w:tc>
          <w:tcPr>
            <w:tcW w:w="1508" w:type="dxa"/>
            <w:tcBorders>
              <w:right w:val="nil"/>
            </w:tcBorders>
          </w:tcPr>
          <w:p w14:paraId="04E6A5D2" w14:textId="77777777" w:rsidR="00FF6C3B" w:rsidRPr="007146C1" w:rsidRDefault="00FF6C3B" w:rsidP="00775207">
            <w:pPr>
              <w:rPr>
                <w:rFonts w:ascii="Times New Roman" w:hAnsi="Times New Roman" w:cs="Times New Roman"/>
                <w:color w:val="0D0D0D" w:themeColor="text1" w:themeTint="F2"/>
                <w:sz w:val="18"/>
                <w:szCs w:val="18"/>
              </w:rPr>
            </w:pPr>
          </w:p>
          <w:p w14:paraId="1F741CC4" w14:textId="77777777" w:rsidR="00FF6C3B" w:rsidRPr="007146C1" w:rsidRDefault="00FF6C3B" w:rsidP="00775207">
            <w:pPr>
              <w:rPr>
                <w:rFonts w:ascii="Times New Roman" w:hAnsi="Times New Roman" w:cs="Times New Roman"/>
                <w:color w:val="0D0D0D" w:themeColor="text1" w:themeTint="F2"/>
                <w:sz w:val="18"/>
                <w:szCs w:val="18"/>
              </w:rPr>
            </w:pPr>
          </w:p>
          <w:p w14:paraId="44805CE0"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LMO</w:t>
            </w:r>
          </w:p>
        </w:tc>
        <w:tc>
          <w:tcPr>
            <w:tcW w:w="1838" w:type="dxa"/>
            <w:tcBorders>
              <w:left w:val="nil"/>
              <w:right w:val="nil"/>
            </w:tcBorders>
          </w:tcPr>
          <w:p w14:paraId="6032A6B6"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LMO, Al, Cu</w:t>
            </w:r>
          </w:p>
        </w:tc>
        <w:tc>
          <w:tcPr>
            <w:tcW w:w="2267" w:type="dxa"/>
            <w:tcBorders>
              <w:left w:val="nil"/>
              <w:right w:val="nil"/>
            </w:tcBorders>
          </w:tcPr>
          <w:p w14:paraId="0957057D"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Direct physical recycling</w:t>
            </w:r>
          </w:p>
        </w:tc>
        <w:tc>
          <w:tcPr>
            <w:tcW w:w="2323" w:type="dxa"/>
            <w:tcBorders>
              <w:left w:val="nil"/>
              <w:right w:val="nil"/>
            </w:tcBorders>
          </w:tcPr>
          <w:p w14:paraId="6A7A3BB0" w14:textId="77777777" w:rsidR="00FF6C3B" w:rsidRPr="007146C1" w:rsidRDefault="00FF6C3B" w:rsidP="00775207">
            <w:pPr>
              <w:rPr>
                <w:rFonts w:ascii="Times New Roman" w:hAnsi="Times New Roman" w:cs="Times New Roman"/>
                <w:color w:val="0D0D0D" w:themeColor="text1" w:themeTint="F2"/>
                <w:sz w:val="18"/>
                <w:szCs w:val="18"/>
                <w:u w:val="single"/>
              </w:rPr>
            </w:pPr>
            <w:r w:rsidRPr="007146C1">
              <w:rPr>
                <w:rFonts w:ascii="Times New Roman" w:hAnsi="Times New Roman" w:cs="Times New Roman"/>
                <w:color w:val="0D0D0D" w:themeColor="text1" w:themeTint="F2"/>
                <w:sz w:val="18"/>
                <w:szCs w:val="18"/>
              </w:rPr>
              <w:t>Approximately 48% of the energy during material production can be reduced.</w:t>
            </w:r>
          </w:p>
        </w:tc>
        <w:tc>
          <w:tcPr>
            <w:tcW w:w="1124" w:type="dxa"/>
            <w:tcBorders>
              <w:left w:val="nil"/>
            </w:tcBorders>
          </w:tcPr>
          <w:p w14:paraId="2AF1233B" w14:textId="1187C1B4" w:rsidR="00FF6C3B" w:rsidRPr="007146C1" w:rsidRDefault="000F1B90"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w:t>
            </w:r>
            <w:r w:rsidRPr="007146C1">
              <w:rPr>
                <w:rFonts w:ascii="Times New Roman" w:hAnsi="Times New Roman" w:cs="Times New Roman"/>
                <w:color w:val="0D0D0D" w:themeColor="text1" w:themeTint="F2"/>
                <w:sz w:val="18"/>
                <w:szCs w:val="18"/>
                <w:lang w:val="en-GB"/>
              </w:rPr>
              <w:t>Ashby, 2012</w:t>
            </w:r>
            <w:r w:rsidRPr="007146C1">
              <w:rPr>
                <w:rFonts w:ascii="Times New Roman" w:hAnsi="Times New Roman" w:cs="Times New Roman"/>
                <w:color w:val="0D0D0D" w:themeColor="text1" w:themeTint="F2"/>
                <w:sz w:val="18"/>
                <w:szCs w:val="18"/>
              </w:rPr>
              <w:t>)</w:t>
            </w:r>
          </w:p>
        </w:tc>
      </w:tr>
      <w:tr w:rsidR="00FF6C3B" w:rsidRPr="007146C1" w14:paraId="65251042" w14:textId="77777777" w:rsidTr="00D13224">
        <w:trPr>
          <w:jc w:val="center"/>
        </w:trPr>
        <w:tc>
          <w:tcPr>
            <w:tcW w:w="1508" w:type="dxa"/>
            <w:tcBorders>
              <w:right w:val="nil"/>
            </w:tcBorders>
          </w:tcPr>
          <w:p w14:paraId="008A8F3C" w14:textId="77777777" w:rsidR="00FF6C3B" w:rsidRPr="007146C1" w:rsidRDefault="00FF6C3B" w:rsidP="00775207">
            <w:pPr>
              <w:rPr>
                <w:rFonts w:ascii="Times New Roman" w:hAnsi="Times New Roman" w:cs="Times New Roman"/>
                <w:color w:val="0D0D0D" w:themeColor="text1" w:themeTint="F2"/>
                <w:sz w:val="18"/>
                <w:szCs w:val="18"/>
              </w:rPr>
            </w:pPr>
          </w:p>
          <w:p w14:paraId="5EA59549" w14:textId="77777777" w:rsidR="00FF6C3B" w:rsidRPr="007146C1" w:rsidRDefault="00FF6C3B" w:rsidP="00775207">
            <w:pPr>
              <w:rPr>
                <w:rFonts w:ascii="Times New Roman" w:hAnsi="Times New Roman" w:cs="Times New Roman"/>
                <w:color w:val="0D0D0D" w:themeColor="text1" w:themeTint="F2"/>
                <w:sz w:val="18"/>
                <w:szCs w:val="18"/>
              </w:rPr>
            </w:pPr>
          </w:p>
          <w:p w14:paraId="115CFCF9" w14:textId="77777777" w:rsidR="00FF6C3B" w:rsidRPr="007146C1" w:rsidRDefault="00FF6C3B" w:rsidP="00775207">
            <w:pPr>
              <w:rPr>
                <w:rFonts w:ascii="Times New Roman" w:hAnsi="Times New Roman" w:cs="Times New Roman"/>
                <w:color w:val="0D0D0D" w:themeColor="text1" w:themeTint="F2"/>
                <w:sz w:val="18"/>
                <w:szCs w:val="18"/>
              </w:rPr>
            </w:pPr>
          </w:p>
          <w:p w14:paraId="3761872B" w14:textId="77777777" w:rsidR="00FF6C3B" w:rsidRPr="007146C1" w:rsidRDefault="00FF6C3B"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Various cathode chemistries</w:t>
            </w:r>
          </w:p>
        </w:tc>
        <w:tc>
          <w:tcPr>
            <w:tcW w:w="1838" w:type="dxa"/>
            <w:tcBorders>
              <w:left w:val="nil"/>
              <w:right w:val="nil"/>
            </w:tcBorders>
          </w:tcPr>
          <w:p w14:paraId="77A41B8B" w14:textId="77777777" w:rsidR="00FF6C3B" w:rsidRPr="007146C1" w:rsidRDefault="00FF6C3B"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Co-containing materials (pyrometallurgical and intermediate recycling); cathode materials (direct recycling)</w:t>
            </w:r>
          </w:p>
        </w:tc>
        <w:tc>
          <w:tcPr>
            <w:tcW w:w="2267" w:type="dxa"/>
            <w:tcBorders>
              <w:left w:val="nil"/>
              <w:right w:val="nil"/>
            </w:tcBorders>
          </w:tcPr>
          <w:p w14:paraId="55B620AC" w14:textId="77777777" w:rsidR="00FF6C3B" w:rsidRPr="007146C1" w:rsidRDefault="00FF6C3B"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Pyrometallurgical recycling; intermediate recycling; direct recycling</w:t>
            </w:r>
          </w:p>
        </w:tc>
        <w:tc>
          <w:tcPr>
            <w:tcW w:w="2323" w:type="dxa"/>
            <w:tcBorders>
              <w:left w:val="nil"/>
              <w:right w:val="nil"/>
            </w:tcBorders>
          </w:tcPr>
          <w:p w14:paraId="4710480A" w14:textId="77777777" w:rsidR="00FF6C3B" w:rsidRPr="007146C1" w:rsidRDefault="00FF6C3B"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The GHG emission reduction potential is 60% to 75% for the pyrometallurgical process, 11% to 91% for the intermediate recycling process and 81% to 98% for the direct recycling process</w:t>
            </w:r>
          </w:p>
        </w:tc>
        <w:tc>
          <w:tcPr>
            <w:tcW w:w="1124" w:type="dxa"/>
            <w:tcBorders>
              <w:left w:val="nil"/>
            </w:tcBorders>
          </w:tcPr>
          <w:p w14:paraId="03336136" w14:textId="50A9216B" w:rsidR="00FF6C3B" w:rsidRPr="007146C1" w:rsidRDefault="000F1B90" w:rsidP="00775207">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w:t>
            </w:r>
            <w:r w:rsidRPr="007146C1">
              <w:rPr>
                <w:rFonts w:ascii="Times New Roman" w:hAnsi="Times New Roman" w:cs="Times New Roman"/>
                <w:color w:val="0D0D0D" w:themeColor="text1" w:themeTint="F2"/>
                <w:sz w:val="18"/>
                <w:szCs w:val="18"/>
                <w:lang w:val="en-GB"/>
              </w:rPr>
              <w:t>Van Hoof et al., 2023</w:t>
            </w:r>
            <w:r w:rsidRPr="007146C1">
              <w:rPr>
                <w:rFonts w:ascii="Times New Roman" w:hAnsi="Times New Roman" w:cs="Times New Roman"/>
                <w:color w:val="0D0D0D" w:themeColor="text1" w:themeTint="F2"/>
                <w:sz w:val="18"/>
                <w:szCs w:val="18"/>
              </w:rPr>
              <w:t>)</w:t>
            </w:r>
          </w:p>
        </w:tc>
      </w:tr>
    </w:tbl>
    <w:p w14:paraId="2E116608" w14:textId="77777777"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p>
    <w:p w14:paraId="6C841CFE" w14:textId="6417E3B1" w:rsidR="00FF6C3B" w:rsidRDefault="000F1B90" w:rsidP="00FF6C3B">
      <w:pPr>
        <w:spacing w:after="0" w:line="240" w:lineRule="auto"/>
        <w:jc w:val="both"/>
        <w:rPr>
          <w:rFonts w:ascii="Times New Roman" w:eastAsia="Calibri" w:hAnsi="Times New Roman" w:cs="Times New Roman"/>
          <w:color w:val="0D0D0D" w:themeColor="text1" w:themeTint="F2"/>
          <w:kern w:val="2"/>
          <w:sz w:val="20"/>
          <w:szCs w:val="20"/>
        </w:rPr>
      </w:pPr>
      <w:bookmarkStart w:id="1" w:name="_Hlk204297523"/>
      <w:r>
        <w:rPr>
          <w:rFonts w:ascii="Times New Roman" w:eastAsia="Times New Roman" w:hAnsi="Times New Roman" w:cs="Times New Roman"/>
          <w:noProof/>
          <w:color w:val="0D0D0D" w:themeColor="text1" w:themeTint="F2"/>
          <w:sz w:val="20"/>
          <w:szCs w:val="20"/>
        </w:rPr>
        <w:t>(</w:t>
      </w:r>
      <w:r w:rsidRPr="000F1B90">
        <w:rPr>
          <w:rFonts w:ascii="Times New Roman" w:eastAsia="Times New Roman" w:hAnsi="Times New Roman" w:cs="Times New Roman"/>
          <w:noProof/>
          <w:color w:val="0D0D0D" w:themeColor="text1" w:themeTint="F2"/>
          <w:sz w:val="20"/>
          <w:szCs w:val="20"/>
          <w:lang w:val="en-GB"/>
        </w:rPr>
        <w:t>Bui &amp; Slowik, 2025</w:t>
      </w:r>
      <w:r>
        <w:rPr>
          <w:rFonts w:ascii="Times New Roman" w:eastAsia="Times New Roman" w:hAnsi="Times New Roman" w:cs="Times New Roman"/>
          <w:noProof/>
          <w:color w:val="0D0D0D" w:themeColor="text1" w:themeTint="F2"/>
          <w:sz w:val="20"/>
          <w:szCs w:val="20"/>
        </w:rPr>
        <w:t xml:space="preserve">) </w:t>
      </w:r>
      <w:r w:rsidR="00FF6C3B" w:rsidRPr="00FF6C3B">
        <w:rPr>
          <w:rFonts w:ascii="Times New Roman" w:eastAsia="Times New Roman" w:hAnsi="Times New Roman" w:cs="Times New Roman"/>
          <w:color w:val="0D0D0D" w:themeColor="text1" w:themeTint="F2"/>
          <w:sz w:val="20"/>
          <w:szCs w:val="20"/>
        </w:rPr>
        <w:t xml:space="preserve">projected that the quantity of used EV batteries will rise from 50,000 in 2020 to 150 million in 2035, highlighting the significance of having a recycling infrastructure and established reuse protocols in place to handle the arrival of old batteries. However, battery manufacturing has a significant negative influence on the environment. </w:t>
      </w:r>
      <w:r>
        <w:rPr>
          <w:rFonts w:ascii="Times New Roman" w:eastAsia="Times New Roman" w:hAnsi="Times New Roman" w:cs="Times New Roman"/>
          <w:color w:val="0D0D0D" w:themeColor="text1" w:themeTint="F2"/>
          <w:sz w:val="20"/>
          <w:szCs w:val="20"/>
        </w:rPr>
        <w:t>(</w:t>
      </w:r>
      <w:r w:rsidRPr="000F1B90">
        <w:rPr>
          <w:rFonts w:ascii="Times New Roman" w:eastAsia="Times New Roman" w:hAnsi="Times New Roman" w:cs="Times New Roman"/>
          <w:color w:val="0D0D0D" w:themeColor="text1" w:themeTint="F2"/>
          <w:sz w:val="20"/>
          <w:szCs w:val="20"/>
          <w:lang w:val="en-GB"/>
        </w:rPr>
        <w:t>Biagetti et al., 2023</w:t>
      </w:r>
      <w:r>
        <w:rPr>
          <w:rFonts w:ascii="Times New Roman" w:eastAsia="Times New Roman" w:hAnsi="Times New Roman" w:cs="Times New Roman"/>
          <w:color w:val="0D0D0D" w:themeColor="text1" w:themeTint="F2"/>
          <w:sz w:val="20"/>
          <w:szCs w:val="20"/>
        </w:rPr>
        <w:t>)</w:t>
      </w:r>
      <w:r>
        <w:rPr>
          <w:rFonts w:ascii="Times New Roman" w:eastAsia="Times New Roman" w:hAnsi="Times New Roman" w:cs="Times New Roman"/>
          <w:noProof/>
          <w:color w:val="0D0D0D" w:themeColor="text1" w:themeTint="F2"/>
          <w:sz w:val="20"/>
          <w:szCs w:val="20"/>
        </w:rPr>
        <w:t xml:space="preserve"> </w:t>
      </w:r>
      <w:r w:rsidR="00FF6C3B" w:rsidRPr="00FF6C3B">
        <w:rPr>
          <w:rFonts w:ascii="Times New Roman" w:eastAsia="Times New Roman" w:hAnsi="Times New Roman" w:cs="Times New Roman"/>
          <w:color w:val="0D0D0D" w:themeColor="text1" w:themeTint="F2"/>
          <w:sz w:val="20"/>
          <w:szCs w:val="20"/>
        </w:rPr>
        <w:t xml:space="preserve">The first category examined by life-cycle assessments was the global warming potential (GWP), which was found to be worse from an environmental standpoint than an internal combustion engine vehicle (ICEV) because, for the first time, </w:t>
      </w:r>
      <w:r>
        <w:rPr>
          <w:rFonts w:ascii="Times New Roman" w:eastAsia="Times New Roman" w:hAnsi="Times New Roman" w:cs="Times New Roman"/>
          <w:noProof/>
          <w:color w:val="0D0D0D" w:themeColor="text1" w:themeTint="F2"/>
          <w:sz w:val="20"/>
          <w:szCs w:val="20"/>
        </w:rPr>
        <w:t>(</w:t>
      </w:r>
      <w:r w:rsidRPr="000F1B90">
        <w:rPr>
          <w:rFonts w:ascii="Times New Roman" w:eastAsia="Times New Roman" w:hAnsi="Times New Roman" w:cs="Times New Roman"/>
          <w:noProof/>
          <w:color w:val="0D0D0D" w:themeColor="text1" w:themeTint="F2"/>
          <w:sz w:val="20"/>
          <w:szCs w:val="20"/>
          <w:lang w:val="en-GB"/>
        </w:rPr>
        <w:t>Fan et al., 2023</w:t>
      </w:r>
      <w:r>
        <w:rPr>
          <w:rFonts w:ascii="Times New Roman" w:eastAsia="Times New Roman" w:hAnsi="Times New Roman" w:cs="Times New Roman"/>
          <w:noProof/>
          <w:color w:val="0D0D0D" w:themeColor="text1" w:themeTint="F2"/>
          <w:sz w:val="20"/>
          <w:szCs w:val="20"/>
        </w:rPr>
        <w:t xml:space="preserve">) </w:t>
      </w:r>
      <w:r w:rsidR="00FF6C3B" w:rsidRPr="00FF6C3B">
        <w:rPr>
          <w:rFonts w:ascii="Times New Roman" w:eastAsia="Times New Roman" w:hAnsi="Times New Roman" w:cs="Times New Roman"/>
          <w:color w:val="0D0D0D" w:themeColor="text1" w:themeTint="F2"/>
          <w:sz w:val="20"/>
          <w:szCs w:val="20"/>
        </w:rPr>
        <w:t xml:space="preserve">EVs' battery production accounted for roughly 40% of the vehicle's overall environmental impact, contributing to acidification, photochemical oxidation, and abiotic depletion. </w:t>
      </w:r>
      <w:r>
        <w:rPr>
          <w:rFonts w:ascii="Times New Roman" w:eastAsia="Times New Roman" w:hAnsi="Times New Roman" w:cs="Times New Roman"/>
          <w:noProof/>
          <w:color w:val="0D0D0D" w:themeColor="text1" w:themeTint="F2"/>
          <w:sz w:val="20"/>
          <w:szCs w:val="20"/>
        </w:rPr>
        <w:t>(</w:t>
      </w:r>
      <w:r w:rsidRPr="000F1B90">
        <w:rPr>
          <w:rFonts w:ascii="Times New Roman" w:eastAsia="Times New Roman" w:hAnsi="Times New Roman" w:cs="Times New Roman"/>
          <w:noProof/>
          <w:color w:val="0D0D0D" w:themeColor="text1" w:themeTint="F2"/>
          <w:sz w:val="20"/>
          <w:szCs w:val="20"/>
          <w:lang w:val="en-GB"/>
        </w:rPr>
        <w:t>Yang et al., 2022</w:t>
      </w:r>
      <w:r>
        <w:rPr>
          <w:rFonts w:ascii="Times New Roman" w:eastAsia="Times New Roman" w:hAnsi="Times New Roman" w:cs="Times New Roman"/>
          <w:noProof/>
          <w:color w:val="0D0D0D" w:themeColor="text1" w:themeTint="F2"/>
          <w:sz w:val="20"/>
          <w:szCs w:val="20"/>
        </w:rPr>
        <w:t xml:space="preserve">) </w:t>
      </w:r>
      <w:r w:rsidR="00FF6C3B" w:rsidRPr="00FF6C3B">
        <w:rPr>
          <w:rFonts w:ascii="Times New Roman" w:eastAsia="Times New Roman" w:hAnsi="Times New Roman" w:cs="Times New Roman"/>
          <w:color w:val="0D0D0D" w:themeColor="text1" w:themeTint="F2"/>
          <w:sz w:val="20"/>
          <w:szCs w:val="20"/>
        </w:rPr>
        <w:t xml:space="preserve">Abiotic depletion is now the main driver behind the development of novel battery chemistries with less of an adverse environmental impact, given that many of the materials used in battery manufacturing are regarded as essential materials. </w:t>
      </w:r>
      <w:r w:rsidR="00FF6C3B" w:rsidRPr="00FF6C3B">
        <w:rPr>
          <w:rFonts w:ascii="Times New Roman" w:eastAsia="Calibri" w:hAnsi="Times New Roman" w:cs="Times New Roman"/>
          <w:color w:val="0D0D0D" w:themeColor="text1" w:themeTint="F2"/>
          <w:kern w:val="2"/>
          <w:sz w:val="20"/>
          <w:szCs w:val="20"/>
        </w:rPr>
        <w:t>The profitability of battery remanufacturing has also been claimed by</w:t>
      </w:r>
      <w:r>
        <w:rPr>
          <w:rFonts w:ascii="Times New Roman" w:eastAsia="Calibri" w:hAnsi="Times New Roman" w:cs="Times New Roman"/>
          <w:noProof/>
          <w:color w:val="0D0D0D" w:themeColor="text1" w:themeTint="F2"/>
          <w:kern w:val="2"/>
          <w:sz w:val="20"/>
          <w:szCs w:val="20"/>
        </w:rPr>
        <w:t xml:space="preserve"> (</w:t>
      </w:r>
      <w:r w:rsidRPr="000F1B90">
        <w:rPr>
          <w:rFonts w:ascii="Times New Roman" w:eastAsia="Calibri" w:hAnsi="Times New Roman" w:cs="Times New Roman"/>
          <w:noProof/>
          <w:color w:val="0D0D0D" w:themeColor="text1" w:themeTint="F2"/>
          <w:kern w:val="2"/>
          <w:sz w:val="20"/>
          <w:szCs w:val="20"/>
          <w:lang w:val="en-GB"/>
        </w:rPr>
        <w:t>Tsao &amp; Ai, 2024</w:t>
      </w:r>
      <w:r>
        <w:rPr>
          <w:rFonts w:ascii="Times New Roman" w:eastAsia="Calibri" w:hAnsi="Times New Roman" w:cs="Times New Roman"/>
          <w:noProof/>
          <w:color w:val="0D0D0D" w:themeColor="text1" w:themeTint="F2"/>
          <w:kern w:val="2"/>
          <w:sz w:val="20"/>
          <w:szCs w:val="20"/>
        </w:rPr>
        <w:t>)</w:t>
      </w:r>
      <w:r w:rsidR="00FF6C3B" w:rsidRPr="00FF6C3B">
        <w:rPr>
          <w:rFonts w:ascii="Times New Roman" w:eastAsia="Calibri" w:hAnsi="Times New Roman" w:cs="Times New Roman"/>
          <w:color w:val="0D0D0D" w:themeColor="text1" w:themeTint="F2"/>
          <w:kern w:val="2"/>
          <w:sz w:val="20"/>
          <w:szCs w:val="20"/>
        </w:rPr>
        <w:t xml:space="preserve">. Nonetheless, </w:t>
      </w:r>
      <w:r>
        <w:rPr>
          <w:rFonts w:ascii="Times New Roman" w:eastAsia="Calibri" w:hAnsi="Times New Roman" w:cs="Times New Roman"/>
          <w:noProof/>
          <w:color w:val="0D0D0D" w:themeColor="text1" w:themeTint="F2"/>
          <w:kern w:val="2"/>
          <w:sz w:val="20"/>
          <w:szCs w:val="20"/>
        </w:rPr>
        <w:t>(</w:t>
      </w:r>
      <w:r w:rsidRPr="000F1B90">
        <w:rPr>
          <w:rFonts w:ascii="Times New Roman" w:eastAsia="Calibri" w:hAnsi="Times New Roman" w:cs="Times New Roman"/>
          <w:noProof/>
          <w:color w:val="0D0D0D" w:themeColor="text1" w:themeTint="F2"/>
          <w:kern w:val="2"/>
          <w:sz w:val="20"/>
          <w:szCs w:val="20"/>
          <w:lang w:val="en-GB"/>
        </w:rPr>
        <w:t>Nie et al., 2023</w:t>
      </w:r>
      <w:r>
        <w:rPr>
          <w:rFonts w:ascii="Times New Roman" w:eastAsia="Calibri" w:hAnsi="Times New Roman" w:cs="Times New Roman"/>
          <w:noProof/>
          <w:color w:val="0D0D0D" w:themeColor="text1" w:themeTint="F2"/>
          <w:kern w:val="2"/>
          <w:sz w:val="20"/>
          <w:szCs w:val="20"/>
        </w:rPr>
        <w:t xml:space="preserve">) </w:t>
      </w:r>
      <w:r w:rsidR="00FF6C3B" w:rsidRPr="00FF6C3B">
        <w:rPr>
          <w:rFonts w:ascii="Times New Roman" w:eastAsia="Calibri" w:hAnsi="Times New Roman" w:cs="Times New Roman"/>
          <w:color w:val="0D0D0D" w:themeColor="text1" w:themeTint="F2"/>
          <w:kern w:val="2"/>
          <w:sz w:val="20"/>
          <w:szCs w:val="20"/>
        </w:rPr>
        <w:t>were more gloomy and concluded that waste battery recycling enterprises might sustain economic losses when only spent batteries are used as material inputs during production, due to the low utilization rates of waste batteries.</w:t>
      </w:r>
    </w:p>
    <w:p w14:paraId="526662FE" w14:textId="77777777" w:rsidR="00E52F59" w:rsidRPr="003F1EDC" w:rsidRDefault="00E52F59" w:rsidP="00FF6C3B">
      <w:pPr>
        <w:spacing w:after="0" w:line="240" w:lineRule="auto"/>
        <w:jc w:val="both"/>
        <w:rPr>
          <w:rFonts w:ascii="Times New Roman" w:eastAsia="Calibri" w:hAnsi="Times New Roman" w:cs="Times New Roman"/>
          <w:color w:val="0D0D0D" w:themeColor="text1" w:themeTint="F2"/>
          <w:kern w:val="2"/>
          <w:sz w:val="16"/>
          <w:szCs w:val="16"/>
          <w:u w:val="single"/>
        </w:rPr>
      </w:pPr>
    </w:p>
    <w:p w14:paraId="23591F2E" w14:textId="5DFAF496" w:rsidR="00FF6C3B" w:rsidRPr="00FF6C3B" w:rsidRDefault="000F1B90" w:rsidP="00FF6C3B">
      <w:pPr>
        <w:spacing w:after="0" w:line="240" w:lineRule="auto"/>
        <w:jc w:val="both"/>
        <w:rPr>
          <w:rFonts w:ascii="Times New Roman" w:eastAsia="Calibri" w:hAnsi="Times New Roman" w:cs="Times New Roman"/>
          <w:color w:val="0D0D0D" w:themeColor="text1" w:themeTint="F2"/>
          <w:kern w:val="2"/>
          <w:sz w:val="20"/>
          <w:szCs w:val="20"/>
        </w:rPr>
      </w:pPr>
      <w:r>
        <w:rPr>
          <w:rFonts w:ascii="Times New Roman" w:eastAsia="Times New Roman" w:hAnsi="Times New Roman" w:cs="Times New Roman"/>
          <w:noProof/>
          <w:color w:val="0D0D0D" w:themeColor="text1" w:themeTint="F2"/>
          <w:kern w:val="2"/>
          <w:sz w:val="20"/>
          <w:szCs w:val="20"/>
        </w:rPr>
        <w:t>(</w:t>
      </w:r>
      <w:r w:rsidRPr="000F1B90">
        <w:rPr>
          <w:rFonts w:ascii="Times New Roman" w:eastAsia="Times New Roman" w:hAnsi="Times New Roman" w:cs="Times New Roman"/>
          <w:noProof/>
          <w:color w:val="0D0D0D" w:themeColor="text1" w:themeTint="F2"/>
          <w:kern w:val="2"/>
          <w:sz w:val="20"/>
          <w:szCs w:val="20"/>
          <w:lang w:val="en-GB"/>
        </w:rPr>
        <w:t>Chen et al., 2023</w:t>
      </w:r>
      <w:r>
        <w:rPr>
          <w:rFonts w:ascii="Times New Roman" w:eastAsia="Times New Roman" w:hAnsi="Times New Roman" w:cs="Times New Roman"/>
          <w:noProof/>
          <w:color w:val="0D0D0D" w:themeColor="text1" w:themeTint="F2"/>
          <w:kern w:val="2"/>
          <w:sz w:val="20"/>
          <w:szCs w:val="20"/>
        </w:rPr>
        <w:t xml:space="preserve">) </w:t>
      </w:r>
      <w:r w:rsidR="00FF6C3B" w:rsidRPr="00FF6C3B">
        <w:rPr>
          <w:rFonts w:ascii="Times New Roman" w:eastAsia="Times New Roman" w:hAnsi="Times New Roman" w:cs="Times New Roman"/>
          <w:color w:val="0D0D0D" w:themeColor="text1" w:themeTint="F2"/>
          <w:kern w:val="2"/>
          <w:sz w:val="20"/>
          <w:szCs w:val="20"/>
        </w:rPr>
        <w:t>A growing number of comparative studies compare the performance, cost, and environmental impact of new, degraded, and remanufactured batteries. A life cycle assessment (LCA)</w:t>
      </w:r>
      <w:r w:rsidR="009E5B17">
        <w:rPr>
          <w:rFonts w:ascii="Times New Roman" w:eastAsia="Times New Roman" w:hAnsi="Times New Roman" w:cs="Times New Roman"/>
          <w:color w:val="0D0D0D" w:themeColor="text1" w:themeTint="F2"/>
          <w:kern w:val="2"/>
          <w:sz w:val="20"/>
          <w:szCs w:val="20"/>
        </w:rPr>
        <w:t xml:space="preserve"> </w:t>
      </w:r>
      <w:r w:rsidR="00FF6C3B" w:rsidRPr="00FF6C3B">
        <w:rPr>
          <w:rFonts w:ascii="Times New Roman" w:eastAsia="Times New Roman" w:hAnsi="Times New Roman" w:cs="Times New Roman"/>
          <w:color w:val="0D0D0D" w:themeColor="text1" w:themeTint="F2"/>
          <w:kern w:val="2"/>
          <w:sz w:val="20"/>
          <w:szCs w:val="20"/>
        </w:rPr>
        <w:t>showed that, in comparison to the production of new batteries, remanufactured batteries can save greenhouse gas emissions by as much as 50%</w:t>
      </w:r>
      <w:r>
        <w:rPr>
          <w:rFonts w:ascii="Times New Roman" w:eastAsia="Times New Roman" w:hAnsi="Times New Roman" w:cs="Times New Roman"/>
          <w:noProof/>
          <w:color w:val="0D0D0D" w:themeColor="text1" w:themeTint="F2"/>
          <w:kern w:val="2"/>
          <w:sz w:val="20"/>
          <w:szCs w:val="20"/>
        </w:rPr>
        <w:t xml:space="preserve"> (</w:t>
      </w:r>
      <w:r w:rsidRPr="000F1B90">
        <w:rPr>
          <w:rFonts w:ascii="Times New Roman" w:eastAsia="Times New Roman" w:hAnsi="Times New Roman" w:cs="Times New Roman"/>
          <w:noProof/>
          <w:color w:val="0D0D0D" w:themeColor="text1" w:themeTint="F2"/>
          <w:kern w:val="2"/>
          <w:sz w:val="20"/>
          <w:szCs w:val="20"/>
          <w:lang w:val="en-GB"/>
        </w:rPr>
        <w:t>Degen &amp; Schütte, 2022</w:t>
      </w:r>
      <w:r>
        <w:rPr>
          <w:rFonts w:ascii="Times New Roman" w:eastAsia="Times New Roman" w:hAnsi="Times New Roman" w:cs="Times New Roman"/>
          <w:noProof/>
          <w:color w:val="0D0D0D" w:themeColor="text1" w:themeTint="F2"/>
          <w:kern w:val="2"/>
          <w:sz w:val="20"/>
          <w:szCs w:val="20"/>
        </w:rPr>
        <w:t>)</w:t>
      </w:r>
      <w:r w:rsidR="00FF6C3B" w:rsidRPr="00FF6C3B">
        <w:rPr>
          <w:rFonts w:ascii="Times New Roman" w:eastAsia="Calibri" w:hAnsi="Times New Roman" w:cs="Times New Roman"/>
          <w:color w:val="0D0D0D" w:themeColor="text1" w:themeTint="F2"/>
          <w:kern w:val="2"/>
          <w:sz w:val="20"/>
          <w:szCs w:val="20"/>
        </w:rPr>
        <w:t xml:space="preserve">. Similarly, studies by </w:t>
      </w:r>
      <w:r>
        <w:rPr>
          <w:rFonts w:ascii="Times New Roman" w:eastAsia="Calibri" w:hAnsi="Times New Roman" w:cs="Times New Roman"/>
          <w:color w:val="0D0D0D" w:themeColor="text1" w:themeTint="F2"/>
          <w:kern w:val="2"/>
          <w:sz w:val="20"/>
          <w:szCs w:val="20"/>
        </w:rPr>
        <w:t>(</w:t>
      </w:r>
      <w:r w:rsidRPr="000F1B90">
        <w:rPr>
          <w:rFonts w:ascii="Times New Roman" w:eastAsia="Calibri" w:hAnsi="Times New Roman" w:cs="Times New Roman"/>
          <w:color w:val="0D0D0D" w:themeColor="text1" w:themeTint="F2"/>
          <w:kern w:val="2"/>
          <w:sz w:val="20"/>
          <w:szCs w:val="20"/>
          <w:lang w:val="en-GB"/>
        </w:rPr>
        <w:t>Fallah &amp; Fitzpatrick, 2022</w:t>
      </w:r>
      <w:r>
        <w:rPr>
          <w:rFonts w:ascii="Times New Roman" w:eastAsia="Calibri" w:hAnsi="Times New Roman" w:cs="Times New Roman"/>
          <w:color w:val="0D0D0D" w:themeColor="text1" w:themeTint="F2"/>
          <w:kern w:val="2"/>
          <w:sz w:val="20"/>
          <w:szCs w:val="20"/>
        </w:rPr>
        <w:t>)</w:t>
      </w:r>
      <w:r w:rsidR="00FF6C3B" w:rsidRPr="00FF6C3B">
        <w:rPr>
          <w:rFonts w:ascii="Times New Roman" w:eastAsia="Times New Roman" w:hAnsi="Times New Roman" w:cs="Times New Roman"/>
          <w:color w:val="0D0D0D" w:themeColor="text1" w:themeTint="F2"/>
          <w:kern w:val="2"/>
          <w:sz w:val="20"/>
          <w:szCs w:val="20"/>
        </w:rPr>
        <w:t xml:space="preserve"> evaluate economic viability and performance degradation curves, concluding that remanufactured batteries provide a strong enough value proposition for a wide range of applications, even though they might not be able to match the complete performance of new batteries</w:t>
      </w:r>
      <w:r>
        <w:rPr>
          <w:rFonts w:ascii="Times New Roman" w:eastAsia="Times New Roman" w:hAnsi="Times New Roman" w:cs="Times New Roman"/>
          <w:noProof/>
          <w:color w:val="0D0D0D" w:themeColor="text1" w:themeTint="F2"/>
          <w:kern w:val="2"/>
          <w:sz w:val="20"/>
          <w:szCs w:val="20"/>
        </w:rPr>
        <w:t xml:space="preserve"> (</w:t>
      </w:r>
      <w:r w:rsidRPr="000F1B90">
        <w:rPr>
          <w:rFonts w:ascii="Times New Roman" w:eastAsia="Times New Roman" w:hAnsi="Times New Roman" w:cs="Times New Roman"/>
          <w:noProof/>
          <w:color w:val="0D0D0D" w:themeColor="text1" w:themeTint="F2"/>
          <w:kern w:val="2"/>
          <w:sz w:val="20"/>
          <w:szCs w:val="20"/>
          <w:lang w:val="en-GB"/>
        </w:rPr>
        <w:t>Philippot et al., 2022</w:t>
      </w:r>
      <w:r>
        <w:rPr>
          <w:rFonts w:ascii="Times New Roman" w:eastAsia="Times New Roman" w:hAnsi="Times New Roman" w:cs="Times New Roman"/>
          <w:noProof/>
          <w:color w:val="0D0D0D" w:themeColor="text1" w:themeTint="F2"/>
          <w:kern w:val="2"/>
          <w:sz w:val="20"/>
          <w:szCs w:val="20"/>
        </w:rPr>
        <w:t xml:space="preserve">). </w:t>
      </w:r>
      <w:r w:rsidR="00FF6C3B" w:rsidRPr="00FF6C3B">
        <w:rPr>
          <w:rFonts w:ascii="Times New Roman" w:eastAsia="Calibri" w:hAnsi="Times New Roman" w:cs="Times New Roman"/>
          <w:color w:val="0D0D0D" w:themeColor="text1" w:themeTint="F2"/>
          <w:kern w:val="2"/>
          <w:sz w:val="20"/>
          <w:szCs w:val="20"/>
        </w:rPr>
        <w:t>Despite the growing interest, several challenges persist.</w:t>
      </w:r>
      <w:r w:rsidR="00FF6C3B" w:rsidRPr="00FF6C3B">
        <w:rPr>
          <w:rFonts w:ascii="Times New Roman" w:eastAsia="Times New Roman" w:hAnsi="Times New Roman" w:cs="Times New Roman"/>
          <w:color w:val="0D0D0D" w:themeColor="text1" w:themeTint="F2"/>
          <w:kern w:val="2"/>
          <w:sz w:val="20"/>
          <w:szCs w:val="20"/>
        </w:rPr>
        <w:t xml:space="preserve"> The scalability of remanufactured batteries is limited by the logistical complexity of battery collection and sorting, uncertainty in remanufacturing quality, and the absence of established procedures for monitoring battery condition</w:t>
      </w:r>
      <w:r>
        <w:rPr>
          <w:rFonts w:ascii="Times New Roman" w:eastAsia="Times New Roman" w:hAnsi="Times New Roman" w:cs="Times New Roman"/>
          <w:noProof/>
          <w:color w:val="0D0D0D" w:themeColor="text1" w:themeTint="F2"/>
          <w:kern w:val="2"/>
          <w:sz w:val="20"/>
          <w:szCs w:val="20"/>
        </w:rPr>
        <w:t xml:space="preserve"> (</w:t>
      </w:r>
      <w:r w:rsidRPr="000F1B90">
        <w:rPr>
          <w:rFonts w:ascii="Times New Roman" w:eastAsia="Times New Roman" w:hAnsi="Times New Roman" w:cs="Times New Roman"/>
          <w:noProof/>
          <w:color w:val="0D0D0D" w:themeColor="text1" w:themeTint="F2"/>
          <w:kern w:val="2"/>
          <w:sz w:val="20"/>
          <w:szCs w:val="20"/>
          <w:lang w:val="en-GB"/>
        </w:rPr>
        <w:t>Antony Jose et al., 2024</w:t>
      </w:r>
      <w:r>
        <w:rPr>
          <w:rFonts w:ascii="Times New Roman" w:eastAsia="Times New Roman" w:hAnsi="Times New Roman" w:cs="Times New Roman"/>
          <w:noProof/>
          <w:color w:val="0D0D0D" w:themeColor="text1" w:themeTint="F2"/>
          <w:kern w:val="2"/>
          <w:sz w:val="20"/>
          <w:szCs w:val="20"/>
        </w:rPr>
        <w:t>)</w:t>
      </w:r>
      <w:r w:rsidR="00FF6C3B" w:rsidRPr="00FF6C3B">
        <w:rPr>
          <w:rFonts w:ascii="Times New Roman" w:eastAsia="Times New Roman" w:hAnsi="Times New Roman" w:cs="Times New Roman"/>
          <w:color w:val="0D0D0D" w:themeColor="text1" w:themeTint="F2"/>
          <w:kern w:val="2"/>
          <w:sz w:val="20"/>
          <w:szCs w:val="20"/>
        </w:rPr>
        <w:t>.</w:t>
      </w:r>
      <w:r w:rsidR="00FF6C3B" w:rsidRPr="00FF6C3B">
        <w:rPr>
          <w:rFonts w:ascii="Times New Roman" w:eastAsia="Calibri" w:hAnsi="Times New Roman" w:cs="Times New Roman"/>
          <w:color w:val="0D0D0D" w:themeColor="text1" w:themeTint="F2"/>
          <w:kern w:val="2"/>
          <w:sz w:val="20"/>
          <w:szCs w:val="20"/>
        </w:rPr>
        <w:t xml:space="preserve"> Moreover, end-of-life battery management remains disjointed across regions due to regulatory, technical, and economic barriers; hence,</w:t>
      </w:r>
      <w:r>
        <w:rPr>
          <w:rFonts w:ascii="Times New Roman" w:eastAsia="Calibri" w:hAnsi="Times New Roman" w:cs="Times New Roman"/>
          <w:noProof/>
          <w:color w:val="0D0D0D" w:themeColor="text1" w:themeTint="F2"/>
          <w:kern w:val="2"/>
          <w:sz w:val="20"/>
          <w:szCs w:val="20"/>
        </w:rPr>
        <w:t xml:space="preserve"> (</w:t>
      </w:r>
      <w:r w:rsidRPr="000F1B90">
        <w:rPr>
          <w:rFonts w:ascii="Times New Roman" w:eastAsia="Calibri" w:hAnsi="Times New Roman" w:cs="Times New Roman"/>
          <w:noProof/>
          <w:color w:val="0D0D0D" w:themeColor="text1" w:themeTint="F2"/>
          <w:kern w:val="2"/>
          <w:sz w:val="20"/>
          <w:szCs w:val="20"/>
          <w:lang w:val="en-GB"/>
        </w:rPr>
        <w:t>Rufino Júnior et al., 2024</w:t>
      </w:r>
      <w:r>
        <w:rPr>
          <w:rFonts w:ascii="Times New Roman" w:eastAsia="Calibri" w:hAnsi="Times New Roman" w:cs="Times New Roman"/>
          <w:noProof/>
          <w:color w:val="0D0D0D" w:themeColor="text1" w:themeTint="F2"/>
          <w:kern w:val="2"/>
          <w:sz w:val="20"/>
          <w:szCs w:val="20"/>
        </w:rPr>
        <w:t>)</w:t>
      </w:r>
      <w:r w:rsidR="00FF6C3B" w:rsidRPr="00FF6C3B">
        <w:rPr>
          <w:rFonts w:ascii="Times New Roman" w:eastAsia="Calibri" w:hAnsi="Times New Roman" w:cs="Times New Roman"/>
          <w:color w:val="0D0D0D" w:themeColor="text1" w:themeTint="F2"/>
          <w:kern w:val="2"/>
          <w:sz w:val="20"/>
          <w:szCs w:val="20"/>
        </w:rPr>
        <w:t xml:space="preserve"> </w:t>
      </w:r>
      <w:r w:rsidR="00FF6C3B" w:rsidRPr="00FF6C3B">
        <w:rPr>
          <w:rFonts w:ascii="Times New Roman" w:eastAsia="Times New Roman" w:hAnsi="Times New Roman" w:cs="Times New Roman"/>
          <w:color w:val="0D0D0D" w:themeColor="text1" w:themeTint="F2"/>
          <w:kern w:val="2"/>
          <w:sz w:val="20"/>
          <w:szCs w:val="20"/>
        </w:rPr>
        <w:t xml:space="preserve">For the widespread use of remanufactured and second-life batteries, further research is required to create certification </w:t>
      </w:r>
      <w:r w:rsidR="00FF6C3B" w:rsidRPr="00FF6C3B">
        <w:rPr>
          <w:rFonts w:ascii="Times New Roman" w:eastAsia="Times New Roman" w:hAnsi="Times New Roman" w:cs="Times New Roman"/>
          <w:color w:val="0D0D0D" w:themeColor="text1" w:themeTint="F2"/>
          <w:kern w:val="2"/>
          <w:sz w:val="20"/>
          <w:szCs w:val="20"/>
        </w:rPr>
        <w:lastRenderedPageBreak/>
        <w:t xml:space="preserve">frameworks, improve supply chain logistics, and create diagnostic tools. </w:t>
      </w:r>
      <w:r w:rsidR="00FF6C3B" w:rsidRPr="00FF6C3B">
        <w:rPr>
          <w:rFonts w:ascii="Times New Roman" w:eastAsia="Calibri" w:hAnsi="Times New Roman" w:cs="Times New Roman"/>
          <w:color w:val="0D0D0D" w:themeColor="text1" w:themeTint="F2"/>
          <w:kern w:val="2"/>
          <w:sz w:val="20"/>
          <w:szCs w:val="20"/>
        </w:rPr>
        <w:t>This study aims to compare the performance of two EV batteries (new and remanufactured), on real-world performance, which includes energy capacity, distance travelled, time, and driving road conditions, alongside environmental indicators</w:t>
      </w:r>
      <w:r>
        <w:rPr>
          <w:rFonts w:ascii="Times New Roman" w:eastAsia="Calibri" w:hAnsi="Times New Roman" w:cs="Times New Roman"/>
          <w:noProof/>
          <w:color w:val="0D0D0D" w:themeColor="text1" w:themeTint="F2"/>
          <w:kern w:val="2"/>
          <w:sz w:val="20"/>
          <w:szCs w:val="20"/>
        </w:rPr>
        <w:t xml:space="preserve"> (</w:t>
      </w:r>
      <w:r w:rsidRPr="000F1B90">
        <w:rPr>
          <w:rFonts w:ascii="Times New Roman" w:eastAsia="Calibri" w:hAnsi="Times New Roman" w:cs="Times New Roman"/>
          <w:noProof/>
          <w:color w:val="0D0D0D" w:themeColor="text1" w:themeTint="F2"/>
          <w:kern w:val="2"/>
          <w:sz w:val="20"/>
          <w:szCs w:val="20"/>
          <w:lang w:val="en-GB"/>
        </w:rPr>
        <w:t>Song et al., 2021</w:t>
      </w:r>
      <w:r>
        <w:rPr>
          <w:rFonts w:ascii="Times New Roman" w:eastAsia="Calibri" w:hAnsi="Times New Roman" w:cs="Times New Roman"/>
          <w:noProof/>
          <w:color w:val="0D0D0D" w:themeColor="text1" w:themeTint="F2"/>
          <w:kern w:val="2"/>
          <w:sz w:val="20"/>
          <w:szCs w:val="20"/>
        </w:rPr>
        <w:t>)</w:t>
      </w:r>
      <w:r w:rsidR="00FF6C3B" w:rsidRPr="00FF6C3B">
        <w:rPr>
          <w:rFonts w:ascii="Times New Roman" w:eastAsia="Calibri" w:hAnsi="Times New Roman" w:cs="Times New Roman"/>
          <w:color w:val="0D0D0D" w:themeColor="text1" w:themeTint="F2"/>
          <w:kern w:val="2"/>
          <w:sz w:val="20"/>
          <w:szCs w:val="20"/>
        </w:rPr>
        <w:t>. In particular, it aims to answer the following important questions: (1) How efficient is a remanufactured battery compared to a new battery? (2) How efficient is a remanufactured battery in promoting the circular economy?</w:t>
      </w:r>
      <w:r>
        <w:rPr>
          <w:rFonts w:ascii="Times New Roman" w:eastAsia="Calibri" w:hAnsi="Times New Roman" w:cs="Times New Roman"/>
          <w:noProof/>
          <w:color w:val="0D0D0D" w:themeColor="text1" w:themeTint="F2"/>
          <w:kern w:val="2"/>
          <w:sz w:val="20"/>
          <w:szCs w:val="20"/>
        </w:rPr>
        <w:t xml:space="preserve"> (</w:t>
      </w:r>
      <w:r w:rsidRPr="000F1B90">
        <w:rPr>
          <w:rFonts w:ascii="Times New Roman" w:eastAsia="Calibri" w:hAnsi="Times New Roman" w:cs="Times New Roman"/>
          <w:noProof/>
          <w:color w:val="0D0D0D" w:themeColor="text1" w:themeTint="F2"/>
          <w:kern w:val="2"/>
          <w:sz w:val="20"/>
          <w:szCs w:val="20"/>
          <w:lang w:val="en-GB"/>
        </w:rPr>
        <w:t>Huster et al., 2022</w:t>
      </w:r>
      <w:r>
        <w:rPr>
          <w:rFonts w:ascii="Times New Roman" w:eastAsia="Calibri" w:hAnsi="Times New Roman" w:cs="Times New Roman"/>
          <w:noProof/>
          <w:color w:val="0D0D0D" w:themeColor="text1" w:themeTint="F2"/>
          <w:kern w:val="2"/>
          <w:sz w:val="20"/>
          <w:szCs w:val="20"/>
        </w:rPr>
        <w:t>)</w:t>
      </w:r>
      <w:r w:rsidR="00FF6C3B" w:rsidRPr="00FF6C3B">
        <w:rPr>
          <w:rFonts w:ascii="Times New Roman" w:eastAsia="Calibri" w:hAnsi="Times New Roman" w:cs="Times New Roman"/>
          <w:color w:val="0D0D0D" w:themeColor="text1" w:themeTint="F2"/>
          <w:kern w:val="2"/>
          <w:sz w:val="20"/>
          <w:szCs w:val="20"/>
        </w:rPr>
        <w:t>. With the help of this study and the assessment, the goal is to inform stakeholders, including manufacturers, policymakers, and consumers, about the trade-offs and potential of each battery state</w:t>
      </w:r>
      <w:r>
        <w:rPr>
          <w:rFonts w:ascii="Times New Roman" w:eastAsia="Calibri" w:hAnsi="Times New Roman" w:cs="Times New Roman"/>
          <w:noProof/>
          <w:color w:val="0D0D0D" w:themeColor="text1" w:themeTint="F2"/>
          <w:kern w:val="2"/>
          <w:sz w:val="20"/>
          <w:szCs w:val="20"/>
        </w:rPr>
        <w:t xml:space="preserve"> (</w:t>
      </w:r>
      <w:r w:rsidRPr="000F1B90">
        <w:rPr>
          <w:rFonts w:ascii="Times New Roman" w:eastAsia="Calibri" w:hAnsi="Times New Roman" w:cs="Times New Roman"/>
          <w:noProof/>
          <w:color w:val="0D0D0D" w:themeColor="text1" w:themeTint="F2"/>
          <w:kern w:val="2"/>
          <w:sz w:val="20"/>
          <w:szCs w:val="20"/>
          <w:lang w:val="en-GB"/>
        </w:rPr>
        <w:t>Gautam &amp; Bolia, 2024</w:t>
      </w:r>
      <w:r>
        <w:rPr>
          <w:rFonts w:ascii="Times New Roman" w:eastAsia="Calibri" w:hAnsi="Times New Roman" w:cs="Times New Roman"/>
          <w:noProof/>
          <w:color w:val="0D0D0D" w:themeColor="text1" w:themeTint="F2"/>
          <w:kern w:val="2"/>
          <w:sz w:val="20"/>
          <w:szCs w:val="20"/>
        </w:rPr>
        <w:t>)</w:t>
      </w:r>
      <w:r w:rsidR="00FF6C3B" w:rsidRPr="00FF6C3B">
        <w:rPr>
          <w:rFonts w:ascii="Times New Roman" w:eastAsia="Calibri" w:hAnsi="Times New Roman" w:cs="Times New Roman"/>
          <w:color w:val="0D0D0D" w:themeColor="text1" w:themeTint="F2"/>
          <w:kern w:val="2"/>
          <w:sz w:val="20"/>
          <w:szCs w:val="20"/>
        </w:rPr>
        <w:t>. Finally, the study will contribute to the development of circular economy strategies in the EV sector, supporting more sustainable and cost-effective approaches to battery lifecycle management.</w:t>
      </w:r>
      <w:r w:rsidR="00FF6C3B" w:rsidRPr="00FF6C3B">
        <w:rPr>
          <w:rFonts w:ascii="Times New Roman" w:eastAsia="Times New Roman" w:hAnsi="Times New Roman" w:cs="Times New Roman"/>
          <w:color w:val="0D0D0D" w:themeColor="text1" w:themeTint="F2"/>
          <w:kern w:val="2"/>
          <w:sz w:val="20"/>
          <w:szCs w:val="20"/>
        </w:rPr>
        <w:t xml:space="preserve"> A variety of trade-offs between performance, cost, and environmental sustainability are shown by comparing new and remanufactured EV batteries</w:t>
      </w:r>
      <w:r>
        <w:rPr>
          <w:rFonts w:ascii="Times New Roman" w:eastAsia="Times New Roman" w:hAnsi="Times New Roman" w:cs="Times New Roman"/>
          <w:noProof/>
          <w:color w:val="0D0D0D" w:themeColor="text1" w:themeTint="F2"/>
          <w:kern w:val="2"/>
          <w:sz w:val="20"/>
          <w:szCs w:val="20"/>
        </w:rPr>
        <w:t xml:space="preserve"> (</w:t>
      </w:r>
      <w:r w:rsidRPr="000F1B90">
        <w:rPr>
          <w:rFonts w:ascii="Times New Roman" w:eastAsia="Times New Roman" w:hAnsi="Times New Roman" w:cs="Times New Roman"/>
          <w:noProof/>
          <w:color w:val="0D0D0D" w:themeColor="text1" w:themeTint="F2"/>
          <w:kern w:val="2"/>
          <w:sz w:val="20"/>
          <w:szCs w:val="20"/>
          <w:lang w:val="en-GB"/>
        </w:rPr>
        <w:t>Picatoste et al., 2022</w:t>
      </w:r>
      <w:r>
        <w:rPr>
          <w:rFonts w:ascii="Times New Roman" w:eastAsia="Times New Roman" w:hAnsi="Times New Roman" w:cs="Times New Roman"/>
          <w:noProof/>
          <w:color w:val="0D0D0D" w:themeColor="text1" w:themeTint="F2"/>
          <w:kern w:val="2"/>
          <w:sz w:val="20"/>
          <w:szCs w:val="20"/>
        </w:rPr>
        <w:t>)</w:t>
      </w:r>
      <w:r w:rsidR="00FF6C3B" w:rsidRPr="00FF6C3B">
        <w:rPr>
          <w:rFonts w:ascii="Times New Roman" w:eastAsia="Times New Roman" w:hAnsi="Times New Roman" w:cs="Times New Roman"/>
          <w:color w:val="0D0D0D" w:themeColor="text1" w:themeTint="F2"/>
          <w:kern w:val="2"/>
          <w:sz w:val="20"/>
          <w:szCs w:val="20"/>
        </w:rPr>
        <w:t>. Re-manufactured batteries provide promising approaches to cut waste and resource usage, even though new batteries give the best performance</w:t>
      </w:r>
      <w:r>
        <w:rPr>
          <w:rFonts w:ascii="Times New Roman" w:eastAsia="Times New Roman" w:hAnsi="Times New Roman" w:cs="Times New Roman"/>
          <w:noProof/>
          <w:color w:val="0D0D0D" w:themeColor="text1" w:themeTint="F2"/>
          <w:kern w:val="2"/>
          <w:sz w:val="20"/>
          <w:szCs w:val="20"/>
        </w:rPr>
        <w:t xml:space="preserve"> (</w:t>
      </w:r>
      <w:r w:rsidRPr="000F1B90">
        <w:rPr>
          <w:rFonts w:ascii="Times New Roman" w:eastAsia="Times New Roman" w:hAnsi="Times New Roman" w:cs="Times New Roman"/>
          <w:noProof/>
          <w:color w:val="0D0D0D" w:themeColor="text1" w:themeTint="F2"/>
          <w:kern w:val="2"/>
          <w:sz w:val="20"/>
          <w:szCs w:val="20"/>
          <w:lang w:val="en-GB"/>
        </w:rPr>
        <w:t>Roy et al., 2022</w:t>
      </w:r>
      <w:r>
        <w:rPr>
          <w:rFonts w:ascii="Times New Roman" w:eastAsia="Times New Roman" w:hAnsi="Times New Roman" w:cs="Times New Roman"/>
          <w:noProof/>
          <w:color w:val="0D0D0D" w:themeColor="text1" w:themeTint="F2"/>
          <w:kern w:val="2"/>
          <w:sz w:val="20"/>
          <w:szCs w:val="20"/>
        </w:rPr>
        <w:t>)</w:t>
      </w:r>
      <w:r w:rsidR="00FF6C3B" w:rsidRPr="00FF6C3B">
        <w:rPr>
          <w:rFonts w:ascii="Times New Roman" w:eastAsia="Times New Roman" w:hAnsi="Times New Roman" w:cs="Times New Roman"/>
          <w:color w:val="0D0D0D" w:themeColor="text1" w:themeTint="F2"/>
          <w:kern w:val="2"/>
          <w:sz w:val="20"/>
          <w:szCs w:val="20"/>
        </w:rPr>
        <w:t xml:space="preserve">. </w:t>
      </w:r>
      <w:r w:rsidR="00FF6C3B" w:rsidRPr="00FF6C3B">
        <w:rPr>
          <w:rFonts w:ascii="Times New Roman" w:eastAsia="Calibri" w:hAnsi="Times New Roman" w:cs="Times New Roman"/>
          <w:color w:val="0D0D0D" w:themeColor="text1" w:themeTint="F2"/>
          <w:kern w:val="2"/>
          <w:sz w:val="20"/>
          <w:szCs w:val="20"/>
        </w:rPr>
        <w:t xml:space="preserve">Ghana aims to become a global leader in the remanufacturing drive to create a more circular and sustainable future for the EV sector. </w:t>
      </w:r>
      <w:bookmarkStart w:id="2" w:name="_Hlk202554054"/>
    </w:p>
    <w:p w14:paraId="2D0DF88F" w14:textId="77777777" w:rsidR="00FF6C3B" w:rsidRPr="003F1EDC" w:rsidRDefault="00FF6C3B" w:rsidP="00FF6C3B">
      <w:pPr>
        <w:spacing w:after="0" w:line="240" w:lineRule="auto"/>
        <w:jc w:val="both"/>
        <w:rPr>
          <w:rFonts w:ascii="Times New Roman" w:eastAsia="Calibri" w:hAnsi="Times New Roman" w:cs="Times New Roman"/>
          <w:color w:val="0D0D0D" w:themeColor="text1" w:themeTint="F2"/>
          <w:kern w:val="2"/>
          <w:sz w:val="16"/>
          <w:szCs w:val="16"/>
        </w:rPr>
      </w:pPr>
    </w:p>
    <w:p w14:paraId="0C055F6B" w14:textId="49F29A26" w:rsidR="00FF6C3B" w:rsidRPr="00E52F59" w:rsidRDefault="00E52F59" w:rsidP="00E52F59">
      <w:pPr>
        <w:spacing w:after="0" w:line="240" w:lineRule="auto"/>
        <w:jc w:val="both"/>
        <w:rPr>
          <w:rFonts w:ascii="Times New Roman" w:eastAsia="Times New Roman" w:hAnsi="Times New Roman" w:cs="Times New Roman"/>
          <w:b/>
          <w:bCs/>
          <w:color w:val="0D0D0D" w:themeColor="text1" w:themeTint="F2"/>
          <w:kern w:val="2"/>
        </w:rPr>
      </w:pPr>
      <w:r w:rsidRPr="00E52F59">
        <w:rPr>
          <w:rFonts w:ascii="Times New Roman" w:eastAsia="Times New Roman" w:hAnsi="Times New Roman" w:cs="Times New Roman"/>
          <w:b/>
          <w:bCs/>
          <w:color w:val="0D0D0D" w:themeColor="text1" w:themeTint="F2"/>
          <w:kern w:val="2"/>
        </w:rPr>
        <w:t>3. Methods</w:t>
      </w:r>
    </w:p>
    <w:p w14:paraId="4D83AE17" w14:textId="77777777" w:rsidR="00E52F59" w:rsidRPr="003F1EDC" w:rsidRDefault="00E52F59" w:rsidP="00E52F59">
      <w:pPr>
        <w:spacing w:after="0" w:line="240" w:lineRule="auto"/>
        <w:jc w:val="both"/>
        <w:rPr>
          <w:rFonts w:ascii="Times New Roman" w:eastAsia="Times New Roman" w:hAnsi="Times New Roman" w:cs="Times New Roman"/>
          <w:b/>
          <w:bCs/>
          <w:color w:val="0D0D0D" w:themeColor="text1" w:themeTint="F2"/>
          <w:kern w:val="2"/>
          <w:sz w:val="18"/>
          <w:szCs w:val="18"/>
        </w:rPr>
      </w:pPr>
    </w:p>
    <w:p w14:paraId="452A3AB4" w14:textId="5EA237D4" w:rsidR="00FF6C3B" w:rsidRPr="00E52F59" w:rsidRDefault="00E52F59" w:rsidP="00E52F59">
      <w:pPr>
        <w:spacing w:after="0" w:line="240" w:lineRule="auto"/>
        <w:jc w:val="both"/>
        <w:rPr>
          <w:rFonts w:ascii="Times New Roman" w:eastAsia="Times New Roman" w:hAnsi="Times New Roman" w:cs="Times New Roman"/>
          <w:b/>
          <w:bCs/>
          <w:color w:val="0D0D0D" w:themeColor="text1" w:themeTint="F2"/>
          <w:kern w:val="2"/>
        </w:rPr>
      </w:pPr>
      <w:r w:rsidRPr="00E52F59">
        <w:rPr>
          <w:rFonts w:ascii="Times New Roman" w:eastAsia="Calibri" w:hAnsi="Times New Roman" w:cs="Times New Roman"/>
          <w:b/>
          <w:bCs/>
          <w:color w:val="0D0D0D" w:themeColor="text1" w:themeTint="F2"/>
          <w:kern w:val="2"/>
        </w:rPr>
        <w:t xml:space="preserve">3.1 </w:t>
      </w:r>
      <w:r w:rsidR="00FF6C3B" w:rsidRPr="00E52F59">
        <w:rPr>
          <w:rFonts w:ascii="Times New Roman" w:eastAsia="Calibri" w:hAnsi="Times New Roman" w:cs="Times New Roman"/>
          <w:b/>
          <w:bCs/>
          <w:color w:val="0D0D0D" w:themeColor="text1" w:themeTint="F2"/>
          <w:kern w:val="2"/>
        </w:rPr>
        <w:t>Research Design</w:t>
      </w:r>
    </w:p>
    <w:p w14:paraId="36A1C835" w14:textId="77777777" w:rsidR="00E52F59" w:rsidRPr="003F1EDC" w:rsidRDefault="00E52F59" w:rsidP="00FF6C3B">
      <w:pPr>
        <w:spacing w:after="0" w:line="240" w:lineRule="auto"/>
        <w:jc w:val="both"/>
        <w:rPr>
          <w:rFonts w:ascii="Times New Roman" w:eastAsia="Times New Roman" w:hAnsi="Times New Roman" w:cs="Times New Roman"/>
          <w:color w:val="0D0D0D" w:themeColor="text1" w:themeTint="F2"/>
          <w:kern w:val="2"/>
          <w:sz w:val="18"/>
          <w:szCs w:val="18"/>
        </w:rPr>
      </w:pPr>
    </w:p>
    <w:p w14:paraId="001AD307" w14:textId="381271BA" w:rsidR="00FF6C3B" w:rsidRDefault="00FF6C3B" w:rsidP="00FF6C3B">
      <w:pPr>
        <w:spacing w:after="0" w:line="240" w:lineRule="auto"/>
        <w:jc w:val="both"/>
        <w:rPr>
          <w:rFonts w:ascii="Times New Roman" w:eastAsia="Times New Roman" w:hAnsi="Times New Roman" w:cs="Times New Roman"/>
          <w:color w:val="0D0D0D" w:themeColor="text1" w:themeTint="F2"/>
          <w:kern w:val="2"/>
          <w:sz w:val="20"/>
          <w:szCs w:val="20"/>
        </w:rPr>
      </w:pPr>
      <w:r w:rsidRPr="00FF6C3B">
        <w:rPr>
          <w:rFonts w:ascii="Times New Roman" w:eastAsia="Times New Roman" w:hAnsi="Times New Roman" w:cs="Times New Roman"/>
          <w:color w:val="0D0D0D" w:themeColor="text1" w:themeTint="F2"/>
          <w:kern w:val="2"/>
          <w:sz w:val="20"/>
          <w:szCs w:val="20"/>
        </w:rPr>
        <w:t>This study adopted an experimental comparative research design to evaluate the performance characteristics of new and remanufactured lithium-ion electric vehicle (EV) battery packs under real-world driving conditions in Ghana. The research involved practical road testing of an electric vehicle fitted alternately with a new battery pack and a remanufactured battery pack under identical operational conditions. The comparative assessment focused on key battery performance indicators, including driving range, state of charge (SOC), charging efficiency, internal resistance, voltage stability, thermal performance, and energy consumption. The study was conducted under three operational scenarios: morning, afternoon, and evening to account for variations in ambient temperature, traffic congestion, and road usage conditions commonly experienced within Ghanaian urban and highway transportation environments.</w:t>
      </w:r>
    </w:p>
    <w:p w14:paraId="40A00C69" w14:textId="77777777" w:rsidR="00E52F59" w:rsidRPr="0036282A" w:rsidRDefault="00E52F59" w:rsidP="00FF6C3B">
      <w:pPr>
        <w:spacing w:after="0" w:line="240" w:lineRule="auto"/>
        <w:jc w:val="both"/>
        <w:rPr>
          <w:rFonts w:ascii="Times New Roman" w:eastAsia="Times New Roman" w:hAnsi="Times New Roman" w:cs="Times New Roman"/>
          <w:color w:val="0D0D0D" w:themeColor="text1" w:themeTint="F2"/>
          <w:kern w:val="2"/>
          <w:sz w:val="18"/>
          <w:szCs w:val="18"/>
        </w:rPr>
      </w:pPr>
    </w:p>
    <w:p w14:paraId="201E5989" w14:textId="3023FC61" w:rsidR="00FF6C3B" w:rsidRPr="00E52F59" w:rsidRDefault="00E52F59" w:rsidP="00E52F59">
      <w:pPr>
        <w:spacing w:after="0" w:line="240" w:lineRule="auto"/>
        <w:jc w:val="both"/>
        <w:rPr>
          <w:rFonts w:ascii="Times New Roman" w:eastAsia="Times New Roman" w:hAnsi="Times New Roman" w:cs="Times New Roman"/>
          <w:b/>
          <w:bCs/>
          <w:color w:val="0D0D0D" w:themeColor="text1" w:themeTint="F2"/>
        </w:rPr>
      </w:pPr>
      <w:r w:rsidRPr="00E52F59">
        <w:rPr>
          <w:rFonts w:ascii="Times New Roman" w:eastAsia="Times New Roman" w:hAnsi="Times New Roman" w:cs="Times New Roman"/>
          <w:b/>
          <w:bCs/>
          <w:color w:val="0D0D0D" w:themeColor="text1" w:themeTint="F2"/>
        </w:rPr>
        <w:t xml:space="preserve">3.2 </w:t>
      </w:r>
      <w:r w:rsidR="00FF6C3B" w:rsidRPr="00E52F59">
        <w:rPr>
          <w:rFonts w:ascii="Times New Roman" w:eastAsia="Times New Roman" w:hAnsi="Times New Roman" w:cs="Times New Roman"/>
          <w:b/>
          <w:bCs/>
          <w:color w:val="0D0D0D" w:themeColor="text1" w:themeTint="F2"/>
        </w:rPr>
        <w:t>Study Area and Road Conditions</w:t>
      </w:r>
    </w:p>
    <w:p w14:paraId="6DCF4510" w14:textId="77777777" w:rsidR="00E52F59" w:rsidRPr="003F1EDC" w:rsidRDefault="00E52F59" w:rsidP="00FF6C3B">
      <w:pPr>
        <w:spacing w:after="0" w:line="240" w:lineRule="auto"/>
        <w:jc w:val="both"/>
        <w:rPr>
          <w:rFonts w:ascii="Times New Roman" w:eastAsia="Times New Roman" w:hAnsi="Times New Roman" w:cs="Times New Roman"/>
          <w:color w:val="0D0D0D" w:themeColor="text1" w:themeTint="F2"/>
          <w:sz w:val="18"/>
          <w:szCs w:val="18"/>
        </w:rPr>
      </w:pPr>
    </w:p>
    <w:p w14:paraId="475D93C5" w14:textId="4A7E6401"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practical road tests were conducted on selected urban and highway routes within Ghana. The selected routes included level roads, hilly terrains, mixed driving surfaces, and traffic-congested areas to simulate realistic operating conditions encountered by EV users in the country. These varying road conditions enabled the assessment of battery performance under different load demands, acceleration patterns, and thermal stress conditions.</w:t>
      </w:r>
    </w:p>
    <w:p w14:paraId="01D1B62E" w14:textId="77777777" w:rsidR="00411761" w:rsidRPr="003F1EDC" w:rsidRDefault="00411761" w:rsidP="00FF6C3B">
      <w:pPr>
        <w:spacing w:after="0" w:line="240" w:lineRule="auto"/>
        <w:jc w:val="both"/>
        <w:rPr>
          <w:rFonts w:ascii="Times New Roman" w:eastAsia="Times New Roman" w:hAnsi="Times New Roman" w:cs="Times New Roman"/>
          <w:color w:val="0D0D0D" w:themeColor="text1" w:themeTint="F2"/>
          <w:sz w:val="16"/>
          <w:szCs w:val="16"/>
        </w:rPr>
      </w:pPr>
    </w:p>
    <w:p w14:paraId="6BFABADD" w14:textId="77777777" w:rsidR="00FF6C3B" w:rsidRPr="00E52F59" w:rsidRDefault="00FF6C3B" w:rsidP="00FF6C3B">
      <w:pPr>
        <w:spacing w:after="0" w:line="240" w:lineRule="auto"/>
        <w:jc w:val="both"/>
        <w:outlineLvl w:val="2"/>
        <w:rPr>
          <w:rFonts w:ascii="Times New Roman" w:eastAsia="Times New Roman" w:hAnsi="Times New Roman" w:cs="Times New Roman"/>
          <w:b/>
          <w:bCs/>
          <w:color w:val="0D0D0D" w:themeColor="text1" w:themeTint="F2"/>
        </w:rPr>
      </w:pPr>
      <w:r w:rsidRPr="00E52F59">
        <w:rPr>
          <w:rFonts w:ascii="Times New Roman" w:eastAsia="Times New Roman" w:hAnsi="Times New Roman" w:cs="Times New Roman"/>
          <w:b/>
          <w:bCs/>
          <w:color w:val="0D0D0D" w:themeColor="text1" w:themeTint="F2"/>
        </w:rPr>
        <w:t>3.3 Vehicle Selection</w:t>
      </w:r>
    </w:p>
    <w:p w14:paraId="72047FC9" w14:textId="77777777" w:rsidR="00E52F59" w:rsidRPr="003F1EDC" w:rsidRDefault="00E52F59" w:rsidP="00FF6C3B">
      <w:pPr>
        <w:spacing w:after="0" w:line="240" w:lineRule="auto"/>
        <w:jc w:val="both"/>
        <w:rPr>
          <w:rFonts w:ascii="Times New Roman" w:eastAsia="Times New Roman" w:hAnsi="Times New Roman" w:cs="Times New Roman"/>
          <w:color w:val="0D0D0D" w:themeColor="text1" w:themeTint="F2"/>
          <w:sz w:val="18"/>
          <w:szCs w:val="18"/>
        </w:rPr>
      </w:pPr>
    </w:p>
    <w:p w14:paraId="0CDFA95F" w14:textId="43997AB0"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A converted electric vehicle based on a 2009 Toyota Corona platform was selected for the experimental study due to its reliable onboard diagnostic and data logging systems. Before each test session, the vehicle underwent a mechanical inspection to ensure operational consistency throughout the testing process. Tire pressure was checked and maintained within the recommended manufacturer specifications to minimize variations in rolling resistance and energy consumption.</w:t>
      </w:r>
    </w:p>
    <w:p w14:paraId="770F08C3" w14:textId="77777777" w:rsidR="00E52F59" w:rsidRPr="0036282A" w:rsidRDefault="00E52F59" w:rsidP="00FF6C3B">
      <w:pPr>
        <w:spacing w:after="0" w:line="240" w:lineRule="auto"/>
        <w:jc w:val="both"/>
        <w:rPr>
          <w:rFonts w:ascii="Times New Roman" w:eastAsia="Times New Roman" w:hAnsi="Times New Roman" w:cs="Times New Roman"/>
          <w:color w:val="0D0D0D" w:themeColor="text1" w:themeTint="F2"/>
          <w:sz w:val="18"/>
          <w:szCs w:val="18"/>
        </w:rPr>
      </w:pPr>
    </w:p>
    <w:p w14:paraId="7B71695D" w14:textId="5E45862E"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The vehicle specifications used during the study, as shown in </w:t>
      </w:r>
      <w:r w:rsidRPr="0074590E">
        <w:rPr>
          <w:rFonts w:ascii="Times New Roman" w:eastAsia="Times New Roman" w:hAnsi="Times New Roman" w:cs="Times New Roman"/>
          <w:color w:val="0D0D0D" w:themeColor="text1" w:themeTint="F2"/>
          <w:sz w:val="20"/>
          <w:szCs w:val="20"/>
        </w:rPr>
        <w:t>Fig</w:t>
      </w:r>
      <w:r w:rsidR="007146C1">
        <w:rPr>
          <w:rFonts w:ascii="Times New Roman" w:eastAsia="Times New Roman" w:hAnsi="Times New Roman" w:cs="Times New Roman"/>
          <w:color w:val="0D0D0D" w:themeColor="text1" w:themeTint="F2"/>
          <w:sz w:val="20"/>
          <w:szCs w:val="20"/>
        </w:rPr>
        <w:t>.</w:t>
      </w:r>
      <w:r w:rsidRPr="00FF6C3B">
        <w:rPr>
          <w:rFonts w:ascii="Times New Roman" w:eastAsia="Times New Roman" w:hAnsi="Times New Roman" w:cs="Times New Roman"/>
          <w:color w:val="0D0D0D" w:themeColor="text1" w:themeTint="F2"/>
          <w:sz w:val="20"/>
          <w:szCs w:val="20"/>
        </w:rPr>
        <w:t xml:space="preserve"> 1, are presented in </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2.</w:t>
      </w:r>
    </w:p>
    <w:p w14:paraId="2F0FC87D" w14:textId="77777777" w:rsidR="00E52F59" w:rsidRDefault="00E52F59" w:rsidP="00FF6C3B">
      <w:pPr>
        <w:spacing w:after="0" w:line="240" w:lineRule="auto"/>
        <w:jc w:val="both"/>
        <w:rPr>
          <w:rFonts w:ascii="Times New Roman" w:eastAsia="Times New Roman" w:hAnsi="Times New Roman" w:cs="Times New Roman"/>
          <w:b/>
          <w:bCs/>
          <w:color w:val="0D0D0D" w:themeColor="text1" w:themeTint="F2"/>
          <w:kern w:val="2"/>
          <w:sz w:val="18"/>
          <w:szCs w:val="18"/>
        </w:rPr>
      </w:pPr>
    </w:p>
    <w:p w14:paraId="37798BCD" w14:textId="5E33CE55" w:rsidR="003C538B" w:rsidRPr="0036282A" w:rsidRDefault="003C538B" w:rsidP="003C538B">
      <w:pPr>
        <w:spacing w:after="0" w:line="240" w:lineRule="auto"/>
        <w:jc w:val="center"/>
        <w:rPr>
          <w:rFonts w:ascii="Times New Roman" w:eastAsia="Times New Roman" w:hAnsi="Times New Roman" w:cs="Times New Roman"/>
          <w:b/>
          <w:bCs/>
          <w:color w:val="0D0D0D" w:themeColor="text1" w:themeTint="F2"/>
          <w:kern w:val="2"/>
          <w:sz w:val="18"/>
          <w:szCs w:val="18"/>
        </w:rPr>
      </w:pPr>
      <w:r>
        <w:rPr>
          <w:noProof/>
        </w:rPr>
        <w:lastRenderedPageBreak/>
        <w:drawing>
          <wp:inline distT="0" distB="0" distL="0" distR="0" wp14:anchorId="3E76CBF8" wp14:editId="6D5D4F91">
            <wp:extent cx="3700732" cy="1902625"/>
            <wp:effectExtent l="0" t="0" r="0" b="0"/>
            <wp:docPr id="125768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5232" cy="1904938"/>
                    </a:xfrm>
                    <a:prstGeom prst="rect">
                      <a:avLst/>
                    </a:prstGeom>
                    <a:noFill/>
                    <a:ln>
                      <a:noFill/>
                    </a:ln>
                  </pic:spPr>
                </pic:pic>
              </a:graphicData>
            </a:graphic>
          </wp:inline>
        </w:drawing>
      </w:r>
    </w:p>
    <w:p w14:paraId="0D625E91" w14:textId="000C895C" w:rsidR="0016540A" w:rsidRPr="0016540A" w:rsidRDefault="0016540A" w:rsidP="00E52F59">
      <w:pPr>
        <w:spacing w:after="0" w:line="240" w:lineRule="auto"/>
        <w:jc w:val="center"/>
        <w:rPr>
          <w:rFonts w:ascii="Times New Roman" w:eastAsia="Times New Roman" w:hAnsi="Times New Roman" w:cs="Times New Roman"/>
          <w:b/>
          <w:bCs/>
          <w:color w:val="FF0000"/>
          <w:kern w:val="2"/>
          <w:sz w:val="20"/>
          <w:szCs w:val="20"/>
        </w:rPr>
      </w:pPr>
    </w:p>
    <w:p w14:paraId="336B8370" w14:textId="4346C78E" w:rsidR="00FF6C3B" w:rsidRPr="00FF6C3B" w:rsidRDefault="00FF6C3B" w:rsidP="00E52F59">
      <w:pPr>
        <w:spacing w:after="0" w:line="240" w:lineRule="auto"/>
        <w:jc w:val="center"/>
        <w:rPr>
          <w:rFonts w:ascii="Times New Roman" w:eastAsia="Times New Roman" w:hAnsi="Times New Roman" w:cs="Times New Roman"/>
          <w:b/>
          <w:bCs/>
          <w:color w:val="0D0D0D" w:themeColor="text1" w:themeTint="F2"/>
          <w:kern w:val="2"/>
          <w:sz w:val="20"/>
          <w:szCs w:val="20"/>
        </w:rPr>
      </w:pPr>
      <w:r w:rsidRPr="002F4C95">
        <w:rPr>
          <w:rFonts w:ascii="Times New Roman" w:eastAsia="Times New Roman" w:hAnsi="Times New Roman" w:cs="Times New Roman"/>
          <w:b/>
          <w:bCs/>
          <w:color w:val="0D0D0D" w:themeColor="text1" w:themeTint="F2"/>
          <w:kern w:val="2"/>
          <w:sz w:val="20"/>
          <w:szCs w:val="20"/>
        </w:rPr>
        <w:t>Fig</w:t>
      </w:r>
      <w:r w:rsidR="00E52F59" w:rsidRPr="002F4C95">
        <w:rPr>
          <w:rFonts w:ascii="Times New Roman" w:eastAsia="Times New Roman" w:hAnsi="Times New Roman" w:cs="Times New Roman"/>
          <w:b/>
          <w:bCs/>
          <w:color w:val="0D0D0D" w:themeColor="text1" w:themeTint="F2"/>
          <w:kern w:val="2"/>
          <w:sz w:val="20"/>
          <w:szCs w:val="20"/>
        </w:rPr>
        <w:t xml:space="preserve">. </w:t>
      </w:r>
      <w:r w:rsidRPr="002F4C95">
        <w:rPr>
          <w:rFonts w:ascii="Times New Roman" w:eastAsia="Times New Roman" w:hAnsi="Times New Roman" w:cs="Times New Roman"/>
          <w:b/>
          <w:bCs/>
          <w:color w:val="0D0D0D" w:themeColor="text1" w:themeTint="F2"/>
          <w:kern w:val="2"/>
          <w:sz w:val="20"/>
          <w:szCs w:val="20"/>
        </w:rPr>
        <w:t>1</w:t>
      </w:r>
      <w:r w:rsidR="00E52F59" w:rsidRPr="002F4C95">
        <w:rPr>
          <w:rFonts w:ascii="Times New Roman" w:eastAsia="Times New Roman" w:hAnsi="Times New Roman" w:cs="Times New Roman"/>
          <w:b/>
          <w:bCs/>
          <w:color w:val="0D0D0D" w:themeColor="text1" w:themeTint="F2"/>
          <w:kern w:val="2"/>
          <w:sz w:val="20"/>
          <w:szCs w:val="20"/>
        </w:rPr>
        <w:t xml:space="preserve">. </w:t>
      </w:r>
      <w:r w:rsidRPr="002F4C95">
        <w:rPr>
          <w:rFonts w:ascii="Times New Roman" w:eastAsia="Times New Roman" w:hAnsi="Times New Roman" w:cs="Times New Roman"/>
          <w:b/>
          <w:bCs/>
          <w:color w:val="0D0D0D" w:themeColor="text1" w:themeTint="F2"/>
          <w:kern w:val="2"/>
          <w:sz w:val="20"/>
          <w:szCs w:val="20"/>
        </w:rPr>
        <w:t xml:space="preserve">Dimension of </w:t>
      </w:r>
      <w:r w:rsidR="00E52F59" w:rsidRPr="002F4C95">
        <w:rPr>
          <w:rFonts w:ascii="Times New Roman" w:eastAsia="Times New Roman" w:hAnsi="Times New Roman" w:cs="Times New Roman"/>
          <w:b/>
          <w:bCs/>
          <w:color w:val="0D0D0D" w:themeColor="text1" w:themeTint="F2"/>
          <w:kern w:val="2"/>
          <w:sz w:val="20"/>
          <w:szCs w:val="20"/>
        </w:rPr>
        <w:t>test vehicle</w:t>
      </w:r>
    </w:p>
    <w:p w14:paraId="3E9E248C" w14:textId="77777777" w:rsidR="00FF6C3B" w:rsidRPr="0036282A" w:rsidRDefault="00FF6C3B" w:rsidP="00FF6C3B">
      <w:pPr>
        <w:spacing w:after="0" w:line="240" w:lineRule="auto"/>
        <w:jc w:val="both"/>
        <w:rPr>
          <w:rFonts w:ascii="Times New Roman" w:eastAsia="Times New Roman" w:hAnsi="Times New Roman" w:cs="Times New Roman"/>
          <w:b/>
          <w:bCs/>
          <w:color w:val="0D0D0D" w:themeColor="text1" w:themeTint="F2"/>
          <w:kern w:val="2"/>
          <w:sz w:val="18"/>
          <w:szCs w:val="18"/>
        </w:rPr>
      </w:pPr>
    </w:p>
    <w:p w14:paraId="53ECE5ED" w14:textId="28D21111" w:rsidR="00FF6C3B" w:rsidRPr="007146C1" w:rsidRDefault="00FF6C3B" w:rsidP="00E52F59">
      <w:pPr>
        <w:spacing w:after="0" w:line="240" w:lineRule="auto"/>
        <w:jc w:val="center"/>
        <w:rPr>
          <w:rFonts w:ascii="Times New Roman" w:eastAsia="Calibri" w:hAnsi="Times New Roman" w:cs="Times New Roman"/>
          <w:b/>
          <w:bCs/>
          <w:color w:val="0D0D0D" w:themeColor="text1" w:themeTint="F2"/>
          <w:kern w:val="2"/>
          <w:sz w:val="20"/>
          <w:szCs w:val="20"/>
        </w:rPr>
      </w:pPr>
      <w:r w:rsidRPr="0074590E">
        <w:rPr>
          <w:rFonts w:ascii="Times New Roman" w:eastAsia="Calibri" w:hAnsi="Times New Roman" w:cs="Times New Roman"/>
          <w:b/>
          <w:bCs/>
          <w:color w:val="0D0D0D" w:themeColor="text1" w:themeTint="F2"/>
          <w:kern w:val="2"/>
          <w:sz w:val="20"/>
          <w:szCs w:val="20"/>
        </w:rPr>
        <w:t>Table</w:t>
      </w:r>
      <w:r w:rsidRPr="007146C1">
        <w:rPr>
          <w:rFonts w:ascii="Times New Roman" w:eastAsia="Calibri" w:hAnsi="Times New Roman" w:cs="Times New Roman"/>
          <w:b/>
          <w:bCs/>
          <w:color w:val="0D0D0D" w:themeColor="text1" w:themeTint="F2"/>
          <w:kern w:val="2"/>
          <w:sz w:val="20"/>
          <w:szCs w:val="20"/>
        </w:rPr>
        <w:t xml:space="preserve"> 2. Vehicle Specification</w:t>
      </w:r>
    </w:p>
    <w:p w14:paraId="35AC29F3" w14:textId="77777777" w:rsidR="00E52F59" w:rsidRPr="0036282A" w:rsidRDefault="00E52F59" w:rsidP="00FF6C3B">
      <w:pPr>
        <w:spacing w:after="0" w:line="240" w:lineRule="auto"/>
        <w:jc w:val="both"/>
        <w:rPr>
          <w:rFonts w:ascii="Times New Roman" w:eastAsia="Calibri" w:hAnsi="Times New Roman" w:cs="Times New Roman"/>
          <w:b/>
          <w:bCs/>
          <w:color w:val="0D0D0D" w:themeColor="text1" w:themeTint="F2"/>
          <w:kern w:val="2"/>
          <w:sz w:val="18"/>
          <w:szCs w:val="18"/>
        </w:rPr>
      </w:pPr>
    </w:p>
    <w:tbl>
      <w:tblPr>
        <w:tblW w:w="4900" w:type="pct"/>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4386"/>
        <w:gridCol w:w="4462"/>
      </w:tblGrid>
      <w:tr w:rsidR="00FF6C3B" w:rsidRPr="007146C1" w14:paraId="451B0798" w14:textId="77777777" w:rsidTr="00E52F59">
        <w:trPr>
          <w:trHeight w:val="20"/>
          <w:jc w:val="center"/>
        </w:trPr>
        <w:tc>
          <w:tcPr>
            <w:tcW w:w="3797" w:type="dxa"/>
            <w:tcBorders>
              <w:top w:val="single" w:sz="4" w:space="0" w:color="auto"/>
              <w:bottom w:val="single" w:sz="4" w:space="0" w:color="auto"/>
            </w:tcBorders>
          </w:tcPr>
          <w:p w14:paraId="423D917C" w14:textId="77777777" w:rsidR="00FF6C3B" w:rsidRPr="007146C1" w:rsidRDefault="00FF6C3B" w:rsidP="00E52F59">
            <w:pPr>
              <w:spacing w:after="0" w:line="240" w:lineRule="auto"/>
              <w:rPr>
                <w:rFonts w:ascii="Times New Roman" w:eastAsia="Calibri" w:hAnsi="Times New Roman" w:cs="Times New Roman"/>
                <w:b/>
                <w:bCs/>
                <w:color w:val="0D0D0D" w:themeColor="text1" w:themeTint="F2"/>
                <w:kern w:val="2"/>
                <w:sz w:val="18"/>
                <w:szCs w:val="18"/>
              </w:rPr>
            </w:pPr>
            <w:r w:rsidRPr="007146C1">
              <w:rPr>
                <w:rFonts w:ascii="Times New Roman" w:eastAsia="Calibri" w:hAnsi="Times New Roman" w:cs="Times New Roman"/>
                <w:b/>
                <w:bCs/>
                <w:color w:val="0D0D0D" w:themeColor="text1" w:themeTint="F2"/>
                <w:kern w:val="2"/>
                <w:sz w:val="18"/>
                <w:szCs w:val="18"/>
              </w:rPr>
              <w:t>Parameters</w:t>
            </w:r>
          </w:p>
        </w:tc>
        <w:tc>
          <w:tcPr>
            <w:tcW w:w="3862" w:type="dxa"/>
            <w:tcBorders>
              <w:top w:val="single" w:sz="4" w:space="0" w:color="auto"/>
              <w:bottom w:val="single" w:sz="4" w:space="0" w:color="auto"/>
            </w:tcBorders>
          </w:tcPr>
          <w:p w14:paraId="4F031A76" w14:textId="77777777" w:rsidR="00FF6C3B" w:rsidRPr="007146C1" w:rsidRDefault="00FF6C3B" w:rsidP="00E52F59">
            <w:pPr>
              <w:spacing w:after="0" w:line="240" w:lineRule="auto"/>
              <w:rPr>
                <w:rFonts w:ascii="Times New Roman" w:eastAsia="Calibri" w:hAnsi="Times New Roman" w:cs="Times New Roman"/>
                <w:b/>
                <w:bCs/>
                <w:color w:val="0D0D0D" w:themeColor="text1" w:themeTint="F2"/>
                <w:kern w:val="2"/>
                <w:sz w:val="18"/>
                <w:szCs w:val="18"/>
              </w:rPr>
            </w:pPr>
            <w:r w:rsidRPr="007146C1">
              <w:rPr>
                <w:rFonts w:ascii="Times New Roman" w:eastAsia="Calibri" w:hAnsi="Times New Roman" w:cs="Times New Roman"/>
                <w:b/>
                <w:bCs/>
                <w:color w:val="0D0D0D" w:themeColor="text1" w:themeTint="F2"/>
                <w:kern w:val="2"/>
                <w:sz w:val="18"/>
                <w:szCs w:val="18"/>
              </w:rPr>
              <w:t>Specification</w:t>
            </w:r>
          </w:p>
        </w:tc>
      </w:tr>
      <w:tr w:rsidR="00FF6C3B" w:rsidRPr="007146C1" w14:paraId="1A066C04" w14:textId="77777777" w:rsidTr="00E52F59">
        <w:trPr>
          <w:trHeight w:val="20"/>
          <w:jc w:val="center"/>
        </w:trPr>
        <w:tc>
          <w:tcPr>
            <w:tcW w:w="3797" w:type="dxa"/>
            <w:tcBorders>
              <w:top w:val="single" w:sz="4" w:space="0" w:color="auto"/>
            </w:tcBorders>
          </w:tcPr>
          <w:p w14:paraId="38FF2D2F"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Gross</w:t>
            </w:r>
            <w:r w:rsidRPr="007146C1">
              <w:rPr>
                <w:rFonts w:ascii="Times New Roman" w:eastAsia="Calibri" w:hAnsi="Times New Roman" w:cs="Times New Roman"/>
                <w:color w:val="0D0D0D" w:themeColor="text1" w:themeTint="F2"/>
                <w:spacing w:val="-3"/>
                <w:kern w:val="2"/>
                <w:sz w:val="18"/>
                <w:szCs w:val="18"/>
              </w:rPr>
              <w:t xml:space="preserve"> </w:t>
            </w:r>
            <w:r w:rsidRPr="007146C1">
              <w:rPr>
                <w:rFonts w:ascii="Times New Roman" w:eastAsia="Calibri" w:hAnsi="Times New Roman" w:cs="Times New Roman"/>
                <w:color w:val="0D0D0D" w:themeColor="text1" w:themeTint="F2"/>
                <w:kern w:val="2"/>
                <w:sz w:val="18"/>
                <w:szCs w:val="18"/>
              </w:rPr>
              <w:t>Vehicle</w:t>
            </w:r>
            <w:r w:rsidRPr="007146C1">
              <w:rPr>
                <w:rFonts w:ascii="Times New Roman" w:eastAsia="Calibri" w:hAnsi="Times New Roman" w:cs="Times New Roman"/>
                <w:color w:val="0D0D0D" w:themeColor="text1" w:themeTint="F2"/>
                <w:spacing w:val="-3"/>
                <w:kern w:val="2"/>
                <w:sz w:val="18"/>
                <w:szCs w:val="18"/>
              </w:rPr>
              <w:t xml:space="preserve"> </w:t>
            </w:r>
            <w:r w:rsidRPr="007146C1">
              <w:rPr>
                <w:rFonts w:ascii="Times New Roman" w:eastAsia="Calibri" w:hAnsi="Times New Roman" w:cs="Times New Roman"/>
                <w:color w:val="0D0D0D" w:themeColor="text1" w:themeTint="F2"/>
                <w:kern w:val="2"/>
                <w:sz w:val="18"/>
                <w:szCs w:val="18"/>
              </w:rPr>
              <w:t xml:space="preserve">Mass </w:t>
            </w:r>
            <w:r w:rsidRPr="007146C1">
              <w:rPr>
                <w:rFonts w:ascii="Times New Roman" w:eastAsia="Calibri" w:hAnsi="Times New Roman" w:cs="Times New Roman"/>
                <w:color w:val="0D0D0D" w:themeColor="text1" w:themeTint="F2"/>
                <w:spacing w:val="-5"/>
                <w:kern w:val="2"/>
                <w:sz w:val="18"/>
                <w:szCs w:val="18"/>
              </w:rPr>
              <w:t>(M)</w:t>
            </w:r>
          </w:p>
        </w:tc>
        <w:tc>
          <w:tcPr>
            <w:tcW w:w="3862" w:type="dxa"/>
            <w:tcBorders>
              <w:top w:val="single" w:sz="4" w:space="0" w:color="auto"/>
            </w:tcBorders>
          </w:tcPr>
          <w:p w14:paraId="30752B2F"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1730kg</w:t>
            </w:r>
          </w:p>
        </w:tc>
      </w:tr>
      <w:tr w:rsidR="00FF6C3B" w:rsidRPr="007146C1" w14:paraId="0522AE7E" w14:textId="77777777" w:rsidTr="00E52F59">
        <w:trPr>
          <w:trHeight w:val="20"/>
          <w:jc w:val="center"/>
        </w:trPr>
        <w:tc>
          <w:tcPr>
            <w:tcW w:w="3797" w:type="dxa"/>
          </w:tcPr>
          <w:p w14:paraId="036A82F0"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Wheel Base</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spacing w:val="-5"/>
                <w:kern w:val="2"/>
                <w:sz w:val="18"/>
                <w:szCs w:val="18"/>
              </w:rPr>
              <w:t>(L)</w:t>
            </w:r>
          </w:p>
        </w:tc>
        <w:tc>
          <w:tcPr>
            <w:tcW w:w="3862" w:type="dxa"/>
          </w:tcPr>
          <w:p w14:paraId="282DEE7B"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2630mm</w:t>
            </w:r>
          </w:p>
        </w:tc>
      </w:tr>
      <w:tr w:rsidR="00FF6C3B" w:rsidRPr="007146C1" w14:paraId="235A98D4" w14:textId="77777777" w:rsidTr="00E52F59">
        <w:trPr>
          <w:trHeight w:val="20"/>
          <w:jc w:val="center"/>
        </w:trPr>
        <w:tc>
          <w:tcPr>
            <w:tcW w:w="3797" w:type="dxa"/>
          </w:tcPr>
          <w:p w14:paraId="1E8CC808"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Track</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kern w:val="2"/>
                <w:sz w:val="18"/>
                <w:szCs w:val="18"/>
              </w:rPr>
              <w:t>Width</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kern w:val="2"/>
                <w:sz w:val="18"/>
                <w:szCs w:val="18"/>
              </w:rPr>
              <w:t>(Front)</w:t>
            </w:r>
          </w:p>
        </w:tc>
        <w:tc>
          <w:tcPr>
            <w:tcW w:w="3862" w:type="dxa"/>
          </w:tcPr>
          <w:p w14:paraId="19E28D7C"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1481mm</w:t>
            </w:r>
          </w:p>
        </w:tc>
      </w:tr>
      <w:tr w:rsidR="00FF6C3B" w:rsidRPr="007146C1" w14:paraId="4749E247" w14:textId="77777777" w:rsidTr="00E52F59">
        <w:trPr>
          <w:trHeight w:val="20"/>
          <w:jc w:val="center"/>
        </w:trPr>
        <w:tc>
          <w:tcPr>
            <w:tcW w:w="3797" w:type="dxa"/>
          </w:tcPr>
          <w:p w14:paraId="65A5BB21"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Track</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kern w:val="2"/>
                <w:sz w:val="18"/>
                <w:szCs w:val="18"/>
              </w:rPr>
              <w:t>Width</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kern w:val="2"/>
                <w:sz w:val="18"/>
                <w:szCs w:val="18"/>
              </w:rPr>
              <w:t>(Rear)</w:t>
            </w:r>
          </w:p>
        </w:tc>
        <w:tc>
          <w:tcPr>
            <w:tcW w:w="3862" w:type="dxa"/>
          </w:tcPr>
          <w:p w14:paraId="2208D115"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1450mm</w:t>
            </w:r>
          </w:p>
        </w:tc>
      </w:tr>
      <w:tr w:rsidR="00FF6C3B" w:rsidRPr="007146C1" w14:paraId="41B9FE71" w14:textId="77777777" w:rsidTr="00E52F59">
        <w:trPr>
          <w:trHeight w:val="20"/>
          <w:jc w:val="center"/>
        </w:trPr>
        <w:tc>
          <w:tcPr>
            <w:tcW w:w="3797" w:type="dxa"/>
          </w:tcPr>
          <w:p w14:paraId="787A9ADA"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Ground Clearance</w:t>
            </w:r>
          </w:p>
        </w:tc>
        <w:tc>
          <w:tcPr>
            <w:tcW w:w="3862" w:type="dxa"/>
          </w:tcPr>
          <w:p w14:paraId="12938DF7"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160mm</w:t>
            </w:r>
          </w:p>
        </w:tc>
      </w:tr>
      <w:tr w:rsidR="00FF6C3B" w:rsidRPr="007146C1" w14:paraId="4CCADB29" w14:textId="77777777" w:rsidTr="00E52F59">
        <w:trPr>
          <w:trHeight w:val="20"/>
          <w:jc w:val="center"/>
        </w:trPr>
        <w:tc>
          <w:tcPr>
            <w:tcW w:w="3797" w:type="dxa"/>
          </w:tcPr>
          <w:p w14:paraId="17631A5B"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Overall</w:t>
            </w:r>
            <w:r w:rsidRPr="007146C1">
              <w:rPr>
                <w:rFonts w:ascii="Times New Roman" w:eastAsia="Calibri" w:hAnsi="Times New Roman" w:cs="Times New Roman"/>
                <w:color w:val="0D0D0D" w:themeColor="text1" w:themeTint="F2"/>
                <w:spacing w:val="-4"/>
                <w:kern w:val="2"/>
                <w:sz w:val="18"/>
                <w:szCs w:val="18"/>
              </w:rPr>
              <w:t xml:space="preserve"> </w:t>
            </w:r>
            <w:r w:rsidRPr="007146C1">
              <w:rPr>
                <w:rFonts w:ascii="Times New Roman" w:eastAsia="Calibri" w:hAnsi="Times New Roman" w:cs="Times New Roman"/>
                <w:color w:val="0D0D0D" w:themeColor="text1" w:themeTint="F2"/>
                <w:kern w:val="2"/>
                <w:sz w:val="18"/>
                <w:szCs w:val="18"/>
              </w:rPr>
              <w:t>Length</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kern w:val="2"/>
                <w:sz w:val="18"/>
                <w:szCs w:val="18"/>
              </w:rPr>
              <w:t>of</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kern w:val="2"/>
                <w:sz w:val="18"/>
                <w:szCs w:val="18"/>
              </w:rPr>
              <w:t>Vehicle</w:t>
            </w:r>
          </w:p>
        </w:tc>
        <w:tc>
          <w:tcPr>
            <w:tcW w:w="3862" w:type="dxa"/>
          </w:tcPr>
          <w:p w14:paraId="4FF6DEB6"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4490mm</w:t>
            </w:r>
          </w:p>
        </w:tc>
      </w:tr>
      <w:tr w:rsidR="00FF6C3B" w:rsidRPr="007146C1" w14:paraId="0B162AC6" w14:textId="77777777" w:rsidTr="00E52F59">
        <w:trPr>
          <w:trHeight w:val="20"/>
          <w:jc w:val="center"/>
        </w:trPr>
        <w:tc>
          <w:tcPr>
            <w:tcW w:w="3797" w:type="dxa"/>
          </w:tcPr>
          <w:p w14:paraId="1D469514"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Overall</w:t>
            </w:r>
            <w:r w:rsidRPr="007146C1">
              <w:rPr>
                <w:rFonts w:ascii="Times New Roman" w:eastAsia="Calibri" w:hAnsi="Times New Roman" w:cs="Times New Roman"/>
                <w:color w:val="0D0D0D" w:themeColor="text1" w:themeTint="F2"/>
                <w:spacing w:val="-4"/>
                <w:kern w:val="2"/>
                <w:sz w:val="18"/>
                <w:szCs w:val="18"/>
              </w:rPr>
              <w:t xml:space="preserve"> </w:t>
            </w:r>
            <w:r w:rsidRPr="007146C1">
              <w:rPr>
                <w:rFonts w:ascii="Times New Roman" w:eastAsia="Calibri" w:hAnsi="Times New Roman" w:cs="Times New Roman"/>
                <w:color w:val="0D0D0D" w:themeColor="text1" w:themeTint="F2"/>
                <w:kern w:val="2"/>
                <w:sz w:val="18"/>
                <w:szCs w:val="18"/>
              </w:rPr>
              <w:t>Width</w:t>
            </w:r>
          </w:p>
        </w:tc>
        <w:tc>
          <w:tcPr>
            <w:tcW w:w="3862" w:type="dxa"/>
          </w:tcPr>
          <w:p w14:paraId="37D1EA4C"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1710mm</w:t>
            </w:r>
          </w:p>
        </w:tc>
      </w:tr>
      <w:tr w:rsidR="00FF6C3B" w:rsidRPr="007146C1" w14:paraId="10B0D8F6" w14:textId="77777777" w:rsidTr="00E52F59">
        <w:trPr>
          <w:trHeight w:val="20"/>
          <w:jc w:val="center"/>
        </w:trPr>
        <w:tc>
          <w:tcPr>
            <w:tcW w:w="3797" w:type="dxa"/>
          </w:tcPr>
          <w:p w14:paraId="6C739424"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Overall,</w:t>
            </w:r>
            <w:r w:rsidRPr="007146C1">
              <w:rPr>
                <w:rFonts w:ascii="Times New Roman" w:eastAsia="Calibri" w:hAnsi="Times New Roman" w:cs="Times New Roman"/>
                <w:color w:val="0D0D0D" w:themeColor="text1" w:themeTint="F2"/>
                <w:spacing w:val="-4"/>
                <w:kern w:val="2"/>
                <w:sz w:val="18"/>
                <w:szCs w:val="18"/>
              </w:rPr>
              <w:t xml:space="preserve"> </w:t>
            </w:r>
            <w:r w:rsidRPr="007146C1">
              <w:rPr>
                <w:rFonts w:ascii="Times New Roman" w:eastAsia="Calibri" w:hAnsi="Times New Roman" w:cs="Times New Roman"/>
                <w:color w:val="0D0D0D" w:themeColor="text1" w:themeTint="F2"/>
                <w:kern w:val="2"/>
                <w:sz w:val="18"/>
                <w:szCs w:val="18"/>
              </w:rPr>
              <w:t>Height</w:t>
            </w:r>
          </w:p>
        </w:tc>
        <w:tc>
          <w:tcPr>
            <w:tcW w:w="3862" w:type="dxa"/>
          </w:tcPr>
          <w:p w14:paraId="29071B58"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1425mm</w:t>
            </w:r>
          </w:p>
        </w:tc>
      </w:tr>
      <w:tr w:rsidR="00FF6C3B" w:rsidRPr="007146C1" w14:paraId="4038D020" w14:textId="77777777" w:rsidTr="00E52F59">
        <w:trPr>
          <w:trHeight w:val="20"/>
          <w:jc w:val="center"/>
        </w:trPr>
        <w:tc>
          <w:tcPr>
            <w:tcW w:w="3797" w:type="dxa"/>
          </w:tcPr>
          <w:p w14:paraId="6B800E9C"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Aerodynamic</w:t>
            </w:r>
            <w:r w:rsidRPr="007146C1">
              <w:rPr>
                <w:rFonts w:ascii="Times New Roman" w:eastAsia="Calibri" w:hAnsi="Times New Roman" w:cs="Times New Roman"/>
                <w:color w:val="0D0D0D" w:themeColor="text1" w:themeTint="F2"/>
                <w:spacing w:val="-3"/>
                <w:kern w:val="2"/>
                <w:sz w:val="18"/>
                <w:szCs w:val="18"/>
              </w:rPr>
              <w:t xml:space="preserve"> </w:t>
            </w:r>
            <w:r w:rsidRPr="007146C1">
              <w:rPr>
                <w:rFonts w:ascii="Times New Roman" w:eastAsia="Calibri" w:hAnsi="Times New Roman" w:cs="Times New Roman"/>
                <w:color w:val="0D0D0D" w:themeColor="text1" w:themeTint="F2"/>
                <w:kern w:val="2"/>
                <w:sz w:val="18"/>
                <w:szCs w:val="18"/>
              </w:rPr>
              <w:t>drag</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kern w:val="2"/>
                <w:sz w:val="18"/>
                <w:szCs w:val="18"/>
              </w:rPr>
              <w:t>Coefficient</w:t>
            </w:r>
            <w:r w:rsidRPr="007146C1">
              <w:rPr>
                <w:rFonts w:ascii="Times New Roman" w:eastAsia="Calibri" w:hAnsi="Times New Roman" w:cs="Times New Roman"/>
                <w:color w:val="0D0D0D" w:themeColor="text1" w:themeTint="F2"/>
                <w:spacing w:val="-1"/>
                <w:kern w:val="2"/>
                <w:sz w:val="18"/>
                <w:szCs w:val="18"/>
              </w:rPr>
              <w:t xml:space="preserve"> </w:t>
            </w:r>
            <w:r w:rsidRPr="007146C1">
              <w:rPr>
                <w:rFonts w:ascii="Times New Roman" w:eastAsia="Calibri" w:hAnsi="Times New Roman" w:cs="Times New Roman"/>
                <w:color w:val="0D0D0D" w:themeColor="text1" w:themeTint="F2"/>
                <w:spacing w:val="-4"/>
                <w:kern w:val="2"/>
                <w:sz w:val="18"/>
                <w:szCs w:val="18"/>
              </w:rPr>
              <w:t>(Cd)</w:t>
            </w:r>
          </w:p>
        </w:tc>
        <w:tc>
          <w:tcPr>
            <w:tcW w:w="3862" w:type="dxa"/>
          </w:tcPr>
          <w:p w14:paraId="2ABD6E2F"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spacing w:val="-4"/>
                <w:kern w:val="2"/>
                <w:sz w:val="18"/>
                <w:szCs w:val="18"/>
              </w:rPr>
              <w:t>0.28</w:t>
            </w:r>
          </w:p>
        </w:tc>
      </w:tr>
      <w:tr w:rsidR="00FF6C3B" w:rsidRPr="007146C1" w14:paraId="0E4134FA" w14:textId="77777777" w:rsidTr="00E52F59">
        <w:trPr>
          <w:trHeight w:val="20"/>
          <w:jc w:val="center"/>
        </w:trPr>
        <w:tc>
          <w:tcPr>
            <w:tcW w:w="3797" w:type="dxa"/>
          </w:tcPr>
          <w:p w14:paraId="5E95274D" w14:textId="77777777" w:rsidR="00FF6C3B" w:rsidRPr="007146C1" w:rsidRDefault="00FF6C3B" w:rsidP="00E52F59">
            <w:pPr>
              <w:spacing w:after="0" w:line="240" w:lineRule="auto"/>
              <w:rPr>
                <w:rFonts w:ascii="Times New Roman" w:eastAsia="Calibri" w:hAnsi="Times New Roman" w:cs="Times New Roman"/>
                <w:color w:val="0D0D0D" w:themeColor="text1" w:themeTint="F2"/>
                <w:kern w:val="2"/>
                <w:sz w:val="18"/>
                <w:szCs w:val="18"/>
              </w:rPr>
            </w:pPr>
            <w:r w:rsidRPr="007146C1">
              <w:rPr>
                <w:rFonts w:ascii="Times New Roman" w:eastAsia="Calibri" w:hAnsi="Times New Roman" w:cs="Times New Roman"/>
                <w:color w:val="0D0D0D" w:themeColor="text1" w:themeTint="F2"/>
                <w:kern w:val="2"/>
                <w:sz w:val="18"/>
                <w:szCs w:val="18"/>
              </w:rPr>
              <w:t>Seating Capacity</w:t>
            </w:r>
          </w:p>
        </w:tc>
        <w:tc>
          <w:tcPr>
            <w:tcW w:w="3862" w:type="dxa"/>
          </w:tcPr>
          <w:p w14:paraId="1B11A059" w14:textId="77777777" w:rsidR="00FF6C3B" w:rsidRPr="007146C1" w:rsidRDefault="00FF6C3B" w:rsidP="00E52F59">
            <w:pPr>
              <w:spacing w:after="0" w:line="240" w:lineRule="auto"/>
              <w:rPr>
                <w:rFonts w:ascii="Times New Roman" w:eastAsia="Calibri" w:hAnsi="Times New Roman" w:cs="Times New Roman"/>
                <w:color w:val="0D0D0D" w:themeColor="text1" w:themeTint="F2"/>
                <w:spacing w:val="-4"/>
                <w:kern w:val="2"/>
                <w:sz w:val="18"/>
                <w:szCs w:val="18"/>
              </w:rPr>
            </w:pPr>
            <w:r w:rsidRPr="007146C1">
              <w:rPr>
                <w:rFonts w:ascii="Times New Roman" w:eastAsia="Calibri" w:hAnsi="Times New Roman" w:cs="Times New Roman"/>
                <w:color w:val="0D0D0D" w:themeColor="text1" w:themeTint="F2"/>
                <w:spacing w:val="-4"/>
                <w:kern w:val="2"/>
                <w:sz w:val="18"/>
                <w:szCs w:val="18"/>
              </w:rPr>
              <w:t>5</w:t>
            </w:r>
          </w:p>
        </w:tc>
      </w:tr>
    </w:tbl>
    <w:p w14:paraId="055B0761" w14:textId="77777777" w:rsidR="00411761" w:rsidRPr="0036282A" w:rsidRDefault="00411761" w:rsidP="00FF6C3B">
      <w:pPr>
        <w:shd w:val="clear" w:color="auto" w:fill="FFFFFF"/>
        <w:spacing w:after="0" w:line="240" w:lineRule="auto"/>
        <w:jc w:val="both"/>
        <w:outlineLvl w:val="2"/>
        <w:rPr>
          <w:rFonts w:ascii="Times New Roman" w:eastAsia="Times New Roman" w:hAnsi="Times New Roman" w:cs="Times New Roman"/>
          <w:color w:val="0D0D0D" w:themeColor="text1" w:themeTint="F2"/>
          <w:sz w:val="18"/>
          <w:szCs w:val="18"/>
        </w:rPr>
      </w:pPr>
    </w:p>
    <w:p w14:paraId="769A0899" w14:textId="0B12E66A" w:rsidR="00FF6C3B" w:rsidRPr="000F1B90" w:rsidRDefault="000F1B90" w:rsidP="000F1B90">
      <w:pPr>
        <w:shd w:val="clear" w:color="auto" w:fill="FFFFFF"/>
        <w:spacing w:after="0" w:line="240" w:lineRule="auto"/>
        <w:jc w:val="both"/>
        <w:outlineLvl w:val="2"/>
        <w:rPr>
          <w:rFonts w:ascii="Times New Roman" w:eastAsia="Calibri" w:hAnsi="Times New Roman" w:cs="Times New Roman"/>
          <w:color w:val="0D0D0D" w:themeColor="text1" w:themeTint="F2"/>
          <w:kern w:val="2"/>
          <w:sz w:val="20"/>
          <w:szCs w:val="20"/>
        </w:rPr>
      </w:pPr>
      <w:r>
        <w:rPr>
          <w:rFonts w:ascii="Times New Roman" w:eastAsia="Times New Roman" w:hAnsi="Times New Roman" w:cs="Times New Roman"/>
          <w:color w:val="0D0D0D" w:themeColor="text1" w:themeTint="F2"/>
          <w:sz w:val="20"/>
          <w:szCs w:val="20"/>
        </w:rPr>
        <w:t xml:space="preserve">1. </w:t>
      </w:r>
      <w:r w:rsidR="00FF6C3B" w:rsidRPr="000F1B90">
        <w:rPr>
          <w:rFonts w:ascii="Times New Roman" w:eastAsia="Times New Roman" w:hAnsi="Times New Roman" w:cs="Times New Roman"/>
          <w:color w:val="0D0D0D" w:themeColor="text1" w:themeTint="F2"/>
          <w:sz w:val="20"/>
          <w:szCs w:val="20"/>
        </w:rPr>
        <w:t>Gross Vehicle Mass (M) – 1730 kg.</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This is the maximum allowable total mass of the vehicle, including the vehicle itself, passengers, cargo, and fuel. It’s essentially the weight of the vehicle when fully loaded. 2. Wheel Base (L) – 2630 mm.</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 xml:space="preserve">The distance between the </w:t>
      </w:r>
      <w:proofErr w:type="spellStart"/>
      <w:r w:rsidR="00FF6C3B" w:rsidRPr="000F1B90">
        <w:rPr>
          <w:rFonts w:ascii="Times New Roman" w:eastAsia="Times New Roman" w:hAnsi="Times New Roman" w:cs="Times New Roman"/>
          <w:color w:val="0D0D0D" w:themeColor="text1" w:themeTint="F2"/>
          <w:sz w:val="20"/>
          <w:szCs w:val="20"/>
        </w:rPr>
        <w:t>centres</w:t>
      </w:r>
      <w:proofErr w:type="spellEnd"/>
      <w:r w:rsidR="00FF6C3B" w:rsidRPr="000F1B90">
        <w:rPr>
          <w:rFonts w:ascii="Times New Roman" w:eastAsia="Times New Roman" w:hAnsi="Times New Roman" w:cs="Times New Roman"/>
          <w:color w:val="0D0D0D" w:themeColor="text1" w:themeTint="F2"/>
          <w:sz w:val="20"/>
          <w:szCs w:val="20"/>
        </w:rPr>
        <w:t xml:space="preserve"> of the front and rear wheels. A longer wheelbase generally provides more stability and interior space, while a shorter one can improve </w:t>
      </w:r>
      <w:proofErr w:type="spellStart"/>
      <w:r w:rsidR="00FF6C3B" w:rsidRPr="000F1B90">
        <w:rPr>
          <w:rFonts w:ascii="Times New Roman" w:eastAsia="Times New Roman" w:hAnsi="Times New Roman" w:cs="Times New Roman"/>
          <w:color w:val="0D0D0D" w:themeColor="text1" w:themeTint="F2"/>
          <w:sz w:val="20"/>
          <w:szCs w:val="20"/>
        </w:rPr>
        <w:t>manoeuvrability</w:t>
      </w:r>
      <w:proofErr w:type="spellEnd"/>
      <w:r w:rsidR="00FF6C3B" w:rsidRPr="000F1B90">
        <w:rPr>
          <w:rFonts w:ascii="Times New Roman" w:eastAsia="Times New Roman" w:hAnsi="Times New Roman" w:cs="Times New Roman"/>
          <w:color w:val="0D0D0D" w:themeColor="text1" w:themeTint="F2"/>
          <w:sz w:val="20"/>
          <w:szCs w:val="20"/>
        </w:rPr>
        <w:t>. 3. Track Width (Front) – 1481 mm.</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 xml:space="preserve">The distance between the </w:t>
      </w:r>
      <w:proofErr w:type="spellStart"/>
      <w:r w:rsidR="00FF6C3B" w:rsidRPr="000F1B90">
        <w:rPr>
          <w:rFonts w:ascii="Times New Roman" w:eastAsia="Times New Roman" w:hAnsi="Times New Roman" w:cs="Times New Roman"/>
          <w:color w:val="0D0D0D" w:themeColor="text1" w:themeTint="F2"/>
          <w:sz w:val="20"/>
          <w:szCs w:val="20"/>
        </w:rPr>
        <w:t>centrelines</w:t>
      </w:r>
      <w:proofErr w:type="spellEnd"/>
      <w:r w:rsidR="00FF6C3B" w:rsidRPr="000F1B90">
        <w:rPr>
          <w:rFonts w:ascii="Times New Roman" w:eastAsia="Times New Roman" w:hAnsi="Times New Roman" w:cs="Times New Roman"/>
          <w:color w:val="0D0D0D" w:themeColor="text1" w:themeTint="F2"/>
          <w:sz w:val="20"/>
          <w:szCs w:val="20"/>
        </w:rPr>
        <w:t xml:space="preserve"> of the left and right tires on the front axle. This affects the vehicle’s stability, especially during cornering. 4. Track Width (Rear) – 1450 mm.</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Similar to the front track width, but for the rear axle. It influences the vehicle’s handling characteristics and stability.</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5. Ground Clearance – 160 mm.</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The minimum distance between the lowest point of the vehicle and the ground. It affects the vehicle’s ability to navigate over obstacles without damaging the underbody.</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6. Overall Length – 4490 mm</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The total length of the vehicle from the front bumper to the rear bumper. This dimension is important for parking, garage fit, and overall road presence.</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7. Overall Width – 1710 mm.</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The total width of the vehicle from one side mirror to the other (or the widest point). It affects lane fitting and parking space requirements.</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8. Overall, Height – 1425 mm.</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The height of the vehicle from the ground to the highest point (usually the roof). This influences aerodynamics, interior headroom, and garage clearance.</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9. Aerodynamic Drag Coefficient (Cd) – 0.28.</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A measure of how smoothly air flows around the vehicle. A lower Cd means better aerodynamics, which can improve fuel efficiency and reduce wind noise.</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10. Seating Capacity – 5.</w:t>
      </w:r>
      <w:r w:rsidR="00FF6C3B" w:rsidRPr="000F1B90">
        <w:rPr>
          <w:rFonts w:ascii="Times New Roman" w:eastAsia="Times New Roman" w:hAnsi="Times New Roman" w:cs="Times New Roman"/>
          <w:b/>
          <w:bCs/>
          <w:color w:val="0D0D0D" w:themeColor="text1" w:themeTint="F2"/>
          <w:sz w:val="20"/>
          <w:szCs w:val="20"/>
        </w:rPr>
        <w:t xml:space="preserve"> </w:t>
      </w:r>
      <w:r w:rsidR="00FF6C3B" w:rsidRPr="000F1B90">
        <w:rPr>
          <w:rFonts w:ascii="Times New Roman" w:eastAsia="Times New Roman" w:hAnsi="Times New Roman" w:cs="Times New Roman"/>
          <w:color w:val="0D0D0D" w:themeColor="text1" w:themeTint="F2"/>
          <w:sz w:val="20"/>
          <w:szCs w:val="20"/>
        </w:rPr>
        <w:t>The number of people the vehicle is designed to carry, including the driver.</w:t>
      </w:r>
      <w:r w:rsidR="00FF6C3B" w:rsidRPr="000F1B90">
        <w:rPr>
          <w:rFonts w:ascii="Times New Roman" w:eastAsia="Calibri" w:hAnsi="Times New Roman" w:cs="Times New Roman"/>
          <w:color w:val="0D0D0D" w:themeColor="text1" w:themeTint="F2"/>
          <w:kern w:val="2"/>
          <w:sz w:val="20"/>
          <w:szCs w:val="20"/>
        </w:rPr>
        <w:t xml:space="preserve">   </w:t>
      </w:r>
    </w:p>
    <w:p w14:paraId="218CDE29" w14:textId="77777777" w:rsidR="00411761" w:rsidRPr="0036282A" w:rsidRDefault="00411761" w:rsidP="000F1B90">
      <w:pPr>
        <w:shd w:val="clear" w:color="auto" w:fill="FFFFFF"/>
        <w:spacing w:after="0" w:line="240" w:lineRule="auto"/>
        <w:jc w:val="both"/>
        <w:outlineLvl w:val="2"/>
        <w:rPr>
          <w:rFonts w:ascii="Times New Roman" w:eastAsia="Calibri" w:hAnsi="Times New Roman" w:cs="Times New Roman"/>
          <w:color w:val="0D0D0D" w:themeColor="text1" w:themeTint="F2"/>
          <w:kern w:val="2"/>
          <w:sz w:val="18"/>
          <w:szCs w:val="18"/>
        </w:rPr>
      </w:pPr>
    </w:p>
    <w:p w14:paraId="0E48D51D" w14:textId="77777777" w:rsidR="00FF6C3B" w:rsidRPr="00ED58E6" w:rsidRDefault="00FF6C3B" w:rsidP="00FF6C3B">
      <w:pPr>
        <w:spacing w:after="0" w:line="240" w:lineRule="auto"/>
        <w:jc w:val="both"/>
        <w:outlineLvl w:val="2"/>
        <w:rPr>
          <w:rFonts w:ascii="Times New Roman" w:eastAsia="Times New Roman" w:hAnsi="Times New Roman" w:cs="Times New Roman"/>
          <w:b/>
          <w:bCs/>
          <w:color w:val="0D0D0D" w:themeColor="text1" w:themeTint="F2"/>
        </w:rPr>
      </w:pPr>
      <w:r w:rsidRPr="00ED58E6">
        <w:rPr>
          <w:rFonts w:ascii="Times New Roman" w:eastAsia="Times New Roman" w:hAnsi="Times New Roman" w:cs="Times New Roman"/>
          <w:b/>
          <w:bCs/>
          <w:color w:val="0D0D0D" w:themeColor="text1" w:themeTint="F2"/>
        </w:rPr>
        <w:t>3.4 Battery Selection and Remanufacturing Procedure</w:t>
      </w:r>
    </w:p>
    <w:p w14:paraId="2A502BCB" w14:textId="77777777" w:rsidR="00411761" w:rsidRPr="0036282A" w:rsidRDefault="00411761" w:rsidP="00FF6C3B">
      <w:pPr>
        <w:spacing w:after="0" w:line="240" w:lineRule="auto"/>
        <w:jc w:val="both"/>
        <w:rPr>
          <w:rFonts w:ascii="Times New Roman" w:eastAsia="Times New Roman" w:hAnsi="Times New Roman" w:cs="Times New Roman"/>
          <w:color w:val="0D0D0D" w:themeColor="text1" w:themeTint="F2"/>
          <w:sz w:val="18"/>
          <w:szCs w:val="18"/>
        </w:rPr>
      </w:pPr>
    </w:p>
    <w:p w14:paraId="1B247302" w14:textId="654F3279"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Two lithium-ion battery packs were used for the study:</w:t>
      </w:r>
    </w:p>
    <w:p w14:paraId="5FDEED4C" w14:textId="77777777" w:rsidR="00411761" w:rsidRPr="00FF6C3B" w:rsidRDefault="00411761" w:rsidP="00FF6C3B">
      <w:pPr>
        <w:spacing w:after="0" w:line="240" w:lineRule="auto"/>
        <w:jc w:val="both"/>
        <w:rPr>
          <w:rFonts w:ascii="Times New Roman" w:eastAsia="Times New Roman" w:hAnsi="Times New Roman" w:cs="Times New Roman"/>
          <w:color w:val="0D0D0D" w:themeColor="text1" w:themeTint="F2"/>
          <w:sz w:val="20"/>
          <w:szCs w:val="20"/>
        </w:rPr>
      </w:pPr>
    </w:p>
    <w:p w14:paraId="605CD36A" w14:textId="77777777" w:rsidR="00FF6C3B" w:rsidRPr="00FF6C3B" w:rsidRDefault="00FF6C3B" w:rsidP="00411761">
      <w:pPr>
        <w:numPr>
          <w:ilvl w:val="0"/>
          <w:numId w:val="7"/>
        </w:num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A new lithium-ion EV battery pack. </w:t>
      </w:r>
    </w:p>
    <w:p w14:paraId="6427727B" w14:textId="77777777" w:rsidR="00FF6C3B" w:rsidRPr="00FF6C3B" w:rsidRDefault="00FF6C3B" w:rsidP="00411761">
      <w:pPr>
        <w:numPr>
          <w:ilvl w:val="0"/>
          <w:numId w:val="7"/>
        </w:num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A degraded lithium-ion battery pack that was remanufactured to near-original operational condition. </w:t>
      </w:r>
    </w:p>
    <w:p w14:paraId="585FC4E1" w14:textId="064268CF"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The degraded battery packs were sourced from EV companies and EV owners in Ghana. The remanufacturing process followed International Organization for Standardization (ISO) guidelines for battery restoration and quality assurance. The remanufacturing procedure involved: Battery disassembly, Cell sorting and grading, </w:t>
      </w:r>
      <w:r w:rsidRPr="00FF6C3B">
        <w:rPr>
          <w:rFonts w:ascii="Times New Roman" w:eastAsia="Times New Roman" w:hAnsi="Times New Roman" w:cs="Times New Roman"/>
          <w:color w:val="0D0D0D" w:themeColor="text1" w:themeTint="F2"/>
          <w:sz w:val="20"/>
          <w:szCs w:val="20"/>
        </w:rPr>
        <w:lastRenderedPageBreak/>
        <w:t>Replacement of defective or degraded cells, Cell balancing, Reconditioning, Reassembly, and Final quality assurance testing. Only battery cells meeting accep</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operational voltage and safety standards were retained during the remanufacturing process.</w:t>
      </w:r>
    </w:p>
    <w:p w14:paraId="6C45CE94" w14:textId="77777777" w:rsidR="0074126F" w:rsidRPr="00B55480" w:rsidRDefault="0074126F" w:rsidP="00FF6C3B">
      <w:pPr>
        <w:spacing w:after="0" w:line="240" w:lineRule="auto"/>
        <w:jc w:val="both"/>
        <w:rPr>
          <w:rFonts w:ascii="Times New Roman" w:eastAsia="Times New Roman" w:hAnsi="Times New Roman" w:cs="Times New Roman"/>
          <w:color w:val="0D0D0D" w:themeColor="text1" w:themeTint="F2"/>
          <w:sz w:val="18"/>
          <w:szCs w:val="18"/>
        </w:rPr>
      </w:pPr>
    </w:p>
    <w:p w14:paraId="6D10D0AA" w14:textId="77777777" w:rsidR="00FF6C3B" w:rsidRPr="0074126F" w:rsidRDefault="00FF6C3B" w:rsidP="00FF6C3B">
      <w:pPr>
        <w:spacing w:after="0" w:line="240" w:lineRule="auto"/>
        <w:jc w:val="both"/>
        <w:outlineLvl w:val="2"/>
        <w:rPr>
          <w:rFonts w:ascii="Times New Roman" w:eastAsia="Times New Roman" w:hAnsi="Times New Roman" w:cs="Times New Roman"/>
          <w:b/>
          <w:bCs/>
          <w:color w:val="0D0D0D" w:themeColor="text1" w:themeTint="F2"/>
        </w:rPr>
      </w:pPr>
      <w:r w:rsidRPr="0074126F">
        <w:rPr>
          <w:rFonts w:ascii="Times New Roman" w:eastAsia="Times New Roman" w:hAnsi="Times New Roman" w:cs="Times New Roman"/>
          <w:b/>
          <w:bCs/>
          <w:color w:val="0D0D0D" w:themeColor="text1" w:themeTint="F2"/>
        </w:rPr>
        <w:t>3.5 Battery Inspection and Diagnostic Testing</w:t>
      </w:r>
    </w:p>
    <w:p w14:paraId="693C4480" w14:textId="77777777" w:rsidR="0074126F" w:rsidRPr="00B55480" w:rsidRDefault="0074126F" w:rsidP="00FF6C3B">
      <w:pPr>
        <w:spacing w:after="0" w:line="240" w:lineRule="auto"/>
        <w:jc w:val="both"/>
        <w:rPr>
          <w:rFonts w:ascii="Times New Roman" w:eastAsia="Times New Roman" w:hAnsi="Times New Roman" w:cs="Times New Roman"/>
          <w:color w:val="0D0D0D" w:themeColor="text1" w:themeTint="F2"/>
          <w:sz w:val="18"/>
          <w:szCs w:val="18"/>
        </w:rPr>
      </w:pPr>
    </w:p>
    <w:p w14:paraId="3921FD4C" w14:textId="4D12E732"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Comprehensive inspections and diagnostic evaluations were conducted on both battery packs before road testing.</w:t>
      </w:r>
    </w:p>
    <w:p w14:paraId="13DC2B7A" w14:textId="77777777" w:rsidR="0074126F" w:rsidRPr="00B55480" w:rsidRDefault="0074126F" w:rsidP="00FF6C3B">
      <w:pPr>
        <w:spacing w:after="0" w:line="240" w:lineRule="auto"/>
        <w:jc w:val="both"/>
        <w:rPr>
          <w:rFonts w:ascii="Times New Roman" w:eastAsia="Times New Roman" w:hAnsi="Times New Roman" w:cs="Times New Roman"/>
          <w:color w:val="0D0D0D" w:themeColor="text1" w:themeTint="F2"/>
          <w:sz w:val="18"/>
          <w:szCs w:val="18"/>
        </w:rPr>
      </w:pPr>
    </w:p>
    <w:p w14:paraId="67FF2A0B" w14:textId="2FC419EE" w:rsidR="00FF6C3B" w:rsidRPr="0074126F" w:rsidRDefault="0074126F" w:rsidP="0074126F">
      <w:pPr>
        <w:spacing w:after="0" w:line="240" w:lineRule="auto"/>
        <w:jc w:val="both"/>
        <w:outlineLvl w:val="3"/>
        <w:rPr>
          <w:rFonts w:ascii="Times New Roman" w:eastAsia="Times New Roman" w:hAnsi="Times New Roman" w:cs="Times New Roman"/>
          <w:b/>
          <w:bCs/>
          <w:color w:val="0D0D0D" w:themeColor="text1" w:themeTint="F2"/>
        </w:rPr>
      </w:pPr>
      <w:r w:rsidRPr="0074126F">
        <w:rPr>
          <w:rFonts w:ascii="Times New Roman" w:eastAsia="Times New Roman" w:hAnsi="Times New Roman" w:cs="Times New Roman"/>
          <w:b/>
          <w:bCs/>
          <w:color w:val="0D0D0D" w:themeColor="text1" w:themeTint="F2"/>
        </w:rPr>
        <w:t xml:space="preserve">3.5.1 </w:t>
      </w:r>
      <w:r w:rsidR="00FF6C3B" w:rsidRPr="0074126F">
        <w:rPr>
          <w:rFonts w:ascii="Times New Roman" w:eastAsia="Times New Roman" w:hAnsi="Times New Roman" w:cs="Times New Roman"/>
          <w:b/>
          <w:bCs/>
          <w:color w:val="0D0D0D" w:themeColor="text1" w:themeTint="F2"/>
        </w:rPr>
        <w:t>Visual Inspection</w:t>
      </w:r>
    </w:p>
    <w:p w14:paraId="46AD3CE5" w14:textId="77777777" w:rsidR="0074126F" w:rsidRPr="00B55480" w:rsidRDefault="0074126F" w:rsidP="00FF6C3B">
      <w:pPr>
        <w:spacing w:after="0" w:line="240" w:lineRule="auto"/>
        <w:jc w:val="both"/>
        <w:rPr>
          <w:rFonts w:ascii="Times New Roman" w:eastAsia="Times New Roman" w:hAnsi="Times New Roman" w:cs="Times New Roman"/>
          <w:color w:val="0D0D0D" w:themeColor="text1" w:themeTint="F2"/>
          <w:sz w:val="18"/>
          <w:szCs w:val="18"/>
        </w:rPr>
      </w:pPr>
    </w:p>
    <w:p w14:paraId="42FCD53E" w14:textId="395A39A1"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A visual inspection was performed to assess the physical condition of the batteries, as shown in </w:t>
      </w:r>
      <w:r w:rsidRPr="0074590E">
        <w:rPr>
          <w:rFonts w:ascii="Times New Roman" w:eastAsia="Times New Roman" w:hAnsi="Times New Roman" w:cs="Times New Roman"/>
          <w:color w:val="0D0D0D" w:themeColor="text1" w:themeTint="F2"/>
          <w:sz w:val="20"/>
          <w:szCs w:val="20"/>
        </w:rPr>
        <w:t>Fig</w:t>
      </w:r>
      <w:r w:rsidR="0074126F">
        <w:rPr>
          <w:rFonts w:ascii="Times New Roman" w:eastAsia="Times New Roman" w:hAnsi="Times New Roman" w:cs="Times New Roman"/>
          <w:color w:val="0D0D0D" w:themeColor="text1" w:themeTint="F2"/>
          <w:sz w:val="20"/>
          <w:szCs w:val="20"/>
        </w:rPr>
        <w:t>.</w:t>
      </w:r>
      <w:r w:rsidRPr="00FF6C3B">
        <w:rPr>
          <w:rFonts w:ascii="Times New Roman" w:eastAsia="Times New Roman" w:hAnsi="Times New Roman" w:cs="Times New Roman"/>
          <w:color w:val="0D0D0D" w:themeColor="text1" w:themeTint="F2"/>
          <w:sz w:val="20"/>
          <w:szCs w:val="20"/>
        </w:rPr>
        <w:t xml:space="preserve"> 2.</w:t>
      </w:r>
    </w:p>
    <w:p w14:paraId="411EF864" w14:textId="77777777" w:rsidR="0074126F" w:rsidRPr="00B55480" w:rsidRDefault="0074126F" w:rsidP="00FF6C3B">
      <w:pPr>
        <w:spacing w:after="0" w:line="240" w:lineRule="auto"/>
        <w:jc w:val="both"/>
        <w:rPr>
          <w:rFonts w:ascii="Times New Roman" w:eastAsia="Times New Roman" w:hAnsi="Times New Roman" w:cs="Times New Roman"/>
          <w:color w:val="0D0D0D" w:themeColor="text1" w:themeTint="F2"/>
          <w:sz w:val="18"/>
          <w:szCs w:val="18"/>
        </w:rPr>
      </w:pPr>
    </w:p>
    <w:p w14:paraId="788D7EEA" w14:textId="77777777" w:rsidR="00FF6C3B" w:rsidRPr="00FF6C3B" w:rsidRDefault="00FF6C3B" w:rsidP="00095AC7">
      <w:pPr>
        <w:spacing w:after="0" w:line="240" w:lineRule="auto"/>
        <w:jc w:val="center"/>
        <w:rPr>
          <w:rFonts w:ascii="Times New Roman" w:eastAsia="Times New Roman" w:hAnsi="Times New Roman" w:cs="Times New Roman"/>
          <w:color w:val="0D0D0D" w:themeColor="text1" w:themeTint="F2"/>
          <w:sz w:val="20"/>
          <w:szCs w:val="20"/>
        </w:rPr>
      </w:pPr>
      <w:r w:rsidRPr="00FF6C3B">
        <w:rPr>
          <w:rFonts w:ascii="Times New Roman" w:eastAsia="Calibri" w:hAnsi="Times New Roman" w:cs="Times New Roman"/>
          <w:noProof/>
          <w:color w:val="0D0D0D" w:themeColor="text1" w:themeTint="F2"/>
          <w:kern w:val="2"/>
          <w:sz w:val="20"/>
          <w:szCs w:val="20"/>
        </w:rPr>
        <w:drawing>
          <wp:inline distT="0" distB="0" distL="0" distR="0" wp14:anchorId="4ABA8079" wp14:editId="70CCC244">
            <wp:extent cx="3632172" cy="2173857"/>
            <wp:effectExtent l="0" t="0" r="0" b="0"/>
            <wp:docPr id="185355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9819" name=""/>
                    <pic:cNvPicPr/>
                  </pic:nvPicPr>
                  <pic:blipFill>
                    <a:blip r:embed="rId9"/>
                    <a:stretch>
                      <a:fillRect/>
                    </a:stretch>
                  </pic:blipFill>
                  <pic:spPr>
                    <a:xfrm>
                      <a:off x="0" y="0"/>
                      <a:ext cx="3682777" cy="2204144"/>
                    </a:xfrm>
                    <a:prstGeom prst="rect">
                      <a:avLst/>
                    </a:prstGeom>
                  </pic:spPr>
                </pic:pic>
              </a:graphicData>
            </a:graphic>
          </wp:inline>
        </w:drawing>
      </w:r>
    </w:p>
    <w:p w14:paraId="3AD307B8" w14:textId="77777777" w:rsidR="00FD7B10" w:rsidRPr="00B55480" w:rsidRDefault="00FD7B10" w:rsidP="00FF6C3B">
      <w:pPr>
        <w:spacing w:after="0" w:line="240" w:lineRule="auto"/>
        <w:jc w:val="both"/>
        <w:rPr>
          <w:rFonts w:ascii="Times New Roman" w:eastAsia="Calibri" w:hAnsi="Times New Roman" w:cs="Times New Roman"/>
          <w:b/>
          <w:bCs/>
          <w:color w:val="0D0D0D" w:themeColor="text1" w:themeTint="F2"/>
          <w:kern w:val="2"/>
          <w:sz w:val="18"/>
          <w:szCs w:val="18"/>
        </w:rPr>
      </w:pPr>
    </w:p>
    <w:p w14:paraId="674ADD94" w14:textId="37682A6E" w:rsidR="00FF6C3B" w:rsidRDefault="00FF6C3B" w:rsidP="00FD7B10">
      <w:pPr>
        <w:spacing w:after="0" w:line="240" w:lineRule="auto"/>
        <w:jc w:val="center"/>
        <w:rPr>
          <w:rFonts w:ascii="Times New Roman" w:eastAsia="Calibri" w:hAnsi="Times New Roman" w:cs="Times New Roman"/>
          <w:b/>
          <w:bCs/>
          <w:color w:val="0D0D0D" w:themeColor="text1" w:themeTint="F2"/>
          <w:kern w:val="2"/>
          <w:sz w:val="20"/>
          <w:szCs w:val="20"/>
        </w:rPr>
      </w:pPr>
      <w:r w:rsidRPr="0074590E">
        <w:rPr>
          <w:rFonts w:ascii="Times New Roman" w:eastAsia="Calibri" w:hAnsi="Times New Roman" w:cs="Times New Roman"/>
          <w:b/>
          <w:bCs/>
          <w:color w:val="0D0D0D" w:themeColor="text1" w:themeTint="F2"/>
          <w:kern w:val="2"/>
          <w:sz w:val="20"/>
          <w:szCs w:val="20"/>
        </w:rPr>
        <w:t>Fig</w:t>
      </w:r>
      <w:r w:rsidR="00FD7B10">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b/>
          <w:bCs/>
          <w:color w:val="0D0D0D" w:themeColor="text1" w:themeTint="F2"/>
          <w:kern w:val="2"/>
          <w:sz w:val="20"/>
          <w:szCs w:val="20"/>
        </w:rPr>
        <w:t xml:space="preserve"> 2</w:t>
      </w:r>
      <w:r w:rsidR="00FD7B10">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b/>
          <w:bCs/>
          <w:color w:val="0D0D0D" w:themeColor="text1" w:themeTint="F2"/>
          <w:kern w:val="2"/>
          <w:sz w:val="20"/>
          <w:szCs w:val="20"/>
        </w:rPr>
        <w:t>Inspection of batteries</w:t>
      </w:r>
    </w:p>
    <w:p w14:paraId="0A7C24D5" w14:textId="77777777" w:rsidR="00FD7B10" w:rsidRPr="00B55480" w:rsidRDefault="00FD7B10" w:rsidP="00FF6C3B">
      <w:pPr>
        <w:spacing w:after="0" w:line="240" w:lineRule="auto"/>
        <w:jc w:val="both"/>
        <w:rPr>
          <w:rFonts w:ascii="Times New Roman" w:eastAsia="Calibri" w:hAnsi="Times New Roman" w:cs="Times New Roman"/>
          <w:b/>
          <w:bCs/>
          <w:color w:val="0D0D0D" w:themeColor="text1" w:themeTint="F2"/>
          <w:kern w:val="2"/>
          <w:sz w:val="18"/>
          <w:szCs w:val="18"/>
        </w:rPr>
      </w:pPr>
    </w:p>
    <w:p w14:paraId="3E23594C" w14:textId="461A8CCC"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inspection focused on identifying liquid leakage, Corrosion, Swelling, Cracks, Casing deformation, Damaged terminals, and Faulty cable connections. All inspections were conducted using appropriate personal protective equipment (PPE), including high-voltage insulated gloves and safety tools.</w:t>
      </w:r>
    </w:p>
    <w:p w14:paraId="6D258CFA" w14:textId="77777777" w:rsidR="00FF6C3B" w:rsidRPr="00FD7B10" w:rsidRDefault="00FF6C3B" w:rsidP="00FF6C3B">
      <w:pPr>
        <w:spacing w:after="0" w:line="240" w:lineRule="auto"/>
        <w:jc w:val="both"/>
        <w:outlineLvl w:val="3"/>
        <w:rPr>
          <w:rFonts w:ascii="Times New Roman" w:eastAsia="Times New Roman" w:hAnsi="Times New Roman" w:cs="Times New Roman"/>
          <w:b/>
          <w:bCs/>
          <w:color w:val="0D0D0D" w:themeColor="text1" w:themeTint="F2"/>
        </w:rPr>
      </w:pPr>
      <w:r w:rsidRPr="00FD7B10">
        <w:rPr>
          <w:rFonts w:ascii="Times New Roman" w:eastAsia="Times New Roman" w:hAnsi="Times New Roman" w:cs="Times New Roman"/>
          <w:b/>
          <w:bCs/>
          <w:color w:val="0D0D0D" w:themeColor="text1" w:themeTint="F2"/>
        </w:rPr>
        <w:t>3.5.2 Voltage Measurement and Internal Resistance Testing</w:t>
      </w:r>
    </w:p>
    <w:p w14:paraId="744B01B5" w14:textId="77777777" w:rsidR="00FD7B10" w:rsidRPr="00B55480" w:rsidRDefault="00FD7B10" w:rsidP="00FF6C3B">
      <w:pPr>
        <w:spacing w:after="0" w:line="240" w:lineRule="auto"/>
        <w:jc w:val="both"/>
        <w:rPr>
          <w:rFonts w:ascii="Times New Roman" w:eastAsia="Times New Roman" w:hAnsi="Times New Roman" w:cs="Times New Roman"/>
          <w:color w:val="0D0D0D" w:themeColor="text1" w:themeTint="F2"/>
          <w:sz w:val="18"/>
          <w:szCs w:val="18"/>
        </w:rPr>
      </w:pPr>
    </w:p>
    <w:p w14:paraId="549E40E4" w14:textId="67459AA8"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Cell voltage measurements were conducted using a digital multimeter to determine the electrical condition of individual cells within the battery modules, as shown in </w:t>
      </w:r>
      <w:r w:rsidRPr="0074590E">
        <w:rPr>
          <w:rFonts w:ascii="Times New Roman" w:eastAsia="Times New Roman" w:hAnsi="Times New Roman" w:cs="Times New Roman"/>
          <w:color w:val="0D0D0D" w:themeColor="text1" w:themeTint="F2"/>
          <w:sz w:val="20"/>
          <w:szCs w:val="20"/>
        </w:rPr>
        <w:t>Fig</w:t>
      </w:r>
      <w:r w:rsidRPr="00FF6C3B">
        <w:rPr>
          <w:rFonts w:ascii="Times New Roman" w:eastAsia="Times New Roman" w:hAnsi="Times New Roman" w:cs="Times New Roman"/>
          <w:color w:val="0D0D0D" w:themeColor="text1" w:themeTint="F2"/>
          <w:sz w:val="20"/>
          <w:szCs w:val="20"/>
        </w:rPr>
        <w:t>ure 3. The measured cell voltages were compared with the manufacturer’s nominal voltage specification of 3.6 V per cell. Cells with voltages between 3.5 V and 3.7 V were classified as good cells, while cells below 3.0 V were considered defective.</w:t>
      </w:r>
    </w:p>
    <w:p w14:paraId="35D5BADD" w14:textId="77777777" w:rsidR="00B55480" w:rsidRPr="00B55480" w:rsidRDefault="00B55480" w:rsidP="00FF6C3B">
      <w:pPr>
        <w:spacing w:after="0" w:line="240" w:lineRule="auto"/>
        <w:jc w:val="both"/>
        <w:rPr>
          <w:rFonts w:ascii="Times New Roman" w:eastAsia="Times New Roman" w:hAnsi="Times New Roman" w:cs="Times New Roman"/>
          <w:color w:val="0D0D0D" w:themeColor="text1" w:themeTint="F2"/>
          <w:sz w:val="18"/>
          <w:szCs w:val="18"/>
        </w:rPr>
      </w:pPr>
    </w:p>
    <w:p w14:paraId="562C3E39" w14:textId="77777777" w:rsidR="00FF6C3B" w:rsidRPr="00FF6C3B" w:rsidRDefault="00FF6C3B" w:rsidP="00FD7B10">
      <w:pPr>
        <w:spacing w:after="0" w:line="240" w:lineRule="auto"/>
        <w:jc w:val="center"/>
        <w:rPr>
          <w:rFonts w:ascii="Times New Roman" w:eastAsia="Times New Roman" w:hAnsi="Times New Roman" w:cs="Times New Roman"/>
          <w:color w:val="0D0D0D" w:themeColor="text1" w:themeTint="F2"/>
          <w:sz w:val="20"/>
          <w:szCs w:val="20"/>
        </w:rPr>
      </w:pPr>
      <w:r w:rsidRPr="00FF6C3B">
        <w:rPr>
          <w:rFonts w:ascii="Times New Roman" w:eastAsia="Calibri" w:hAnsi="Times New Roman" w:cs="Times New Roman"/>
          <w:noProof/>
          <w:color w:val="0D0D0D" w:themeColor="text1" w:themeTint="F2"/>
          <w:kern w:val="2"/>
          <w:sz w:val="20"/>
          <w:szCs w:val="20"/>
        </w:rPr>
        <w:drawing>
          <wp:inline distT="0" distB="0" distL="0" distR="0" wp14:anchorId="69472DAE" wp14:editId="014F3DED">
            <wp:extent cx="3793946" cy="1984075"/>
            <wp:effectExtent l="0" t="0" r="0" b="0"/>
            <wp:docPr id="86950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10729" name=""/>
                    <pic:cNvPicPr/>
                  </pic:nvPicPr>
                  <pic:blipFill rotWithShape="1">
                    <a:blip r:embed="rId10"/>
                    <a:srcRect t="3305"/>
                    <a:stretch>
                      <a:fillRect/>
                    </a:stretch>
                  </pic:blipFill>
                  <pic:spPr bwMode="auto">
                    <a:xfrm>
                      <a:off x="0" y="0"/>
                      <a:ext cx="3793946" cy="1984075"/>
                    </a:xfrm>
                    <a:prstGeom prst="rect">
                      <a:avLst/>
                    </a:prstGeom>
                    <a:ln>
                      <a:noFill/>
                    </a:ln>
                    <a:extLst>
                      <a:ext uri="{53640926-AAD7-44D8-BBD7-CCE9431645EC}">
                        <a14:shadowObscured xmlns:a14="http://schemas.microsoft.com/office/drawing/2010/main"/>
                      </a:ext>
                    </a:extLst>
                  </pic:spPr>
                </pic:pic>
              </a:graphicData>
            </a:graphic>
          </wp:inline>
        </w:drawing>
      </w:r>
    </w:p>
    <w:p w14:paraId="45AD2F8F" w14:textId="77777777" w:rsidR="00FD7B10" w:rsidRDefault="00FD7B10" w:rsidP="00FD7B10">
      <w:pPr>
        <w:spacing w:after="0" w:line="240" w:lineRule="auto"/>
        <w:jc w:val="center"/>
        <w:rPr>
          <w:rFonts w:ascii="Times New Roman" w:eastAsia="Calibri" w:hAnsi="Times New Roman" w:cs="Times New Roman"/>
          <w:b/>
          <w:bCs/>
          <w:color w:val="0D0D0D" w:themeColor="text1" w:themeTint="F2"/>
          <w:kern w:val="2"/>
          <w:sz w:val="20"/>
          <w:szCs w:val="20"/>
        </w:rPr>
      </w:pPr>
    </w:p>
    <w:p w14:paraId="7A5BF0E9" w14:textId="70A3597E" w:rsidR="00FF6C3B" w:rsidRPr="00FF6C3B" w:rsidRDefault="00FF6C3B" w:rsidP="00FD7B10">
      <w:pPr>
        <w:spacing w:after="0" w:line="240" w:lineRule="auto"/>
        <w:jc w:val="center"/>
        <w:rPr>
          <w:rFonts w:ascii="Times New Roman" w:eastAsia="Calibri" w:hAnsi="Times New Roman" w:cs="Times New Roman"/>
          <w:color w:val="0D0D0D" w:themeColor="text1" w:themeTint="F2"/>
          <w:kern w:val="2"/>
          <w:sz w:val="20"/>
          <w:szCs w:val="20"/>
        </w:rPr>
      </w:pPr>
      <w:r w:rsidRPr="0074590E">
        <w:rPr>
          <w:rFonts w:ascii="Times New Roman" w:eastAsia="Calibri" w:hAnsi="Times New Roman" w:cs="Times New Roman"/>
          <w:b/>
          <w:bCs/>
          <w:color w:val="0D0D0D" w:themeColor="text1" w:themeTint="F2"/>
          <w:kern w:val="2"/>
          <w:sz w:val="20"/>
          <w:szCs w:val="20"/>
        </w:rPr>
        <w:t>Fig</w:t>
      </w:r>
      <w:r w:rsidR="00FD7B10">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b/>
          <w:bCs/>
          <w:color w:val="0D0D0D" w:themeColor="text1" w:themeTint="F2"/>
          <w:kern w:val="2"/>
          <w:sz w:val="20"/>
          <w:szCs w:val="20"/>
        </w:rPr>
        <w:t xml:space="preserve"> 3.</w:t>
      </w:r>
      <w:r w:rsidRPr="00FF6C3B">
        <w:rPr>
          <w:rFonts w:ascii="Times New Roman" w:eastAsia="Calibri" w:hAnsi="Times New Roman" w:cs="Times New Roman"/>
          <w:color w:val="0D0D0D" w:themeColor="text1" w:themeTint="F2"/>
          <w:kern w:val="2"/>
          <w:sz w:val="20"/>
          <w:szCs w:val="20"/>
        </w:rPr>
        <w:t xml:space="preserve"> </w:t>
      </w:r>
      <w:r w:rsidRPr="00FF6C3B">
        <w:rPr>
          <w:rFonts w:ascii="Times New Roman" w:eastAsia="Calibri" w:hAnsi="Times New Roman" w:cs="Times New Roman"/>
          <w:b/>
          <w:bCs/>
          <w:color w:val="0D0D0D" w:themeColor="text1" w:themeTint="F2"/>
          <w:kern w:val="2"/>
          <w:sz w:val="20"/>
          <w:szCs w:val="20"/>
        </w:rPr>
        <w:t>Testing of batteries</w:t>
      </w:r>
    </w:p>
    <w:p w14:paraId="595B59B6" w14:textId="77777777" w:rsidR="00D13224" w:rsidRDefault="00D13224" w:rsidP="00FF6C3B">
      <w:pPr>
        <w:spacing w:after="0" w:line="240" w:lineRule="auto"/>
        <w:jc w:val="both"/>
        <w:rPr>
          <w:rFonts w:ascii="Times New Roman" w:eastAsia="Times New Roman" w:hAnsi="Times New Roman" w:cs="Times New Roman"/>
          <w:color w:val="0D0D0D" w:themeColor="text1" w:themeTint="F2"/>
          <w:sz w:val="20"/>
          <w:szCs w:val="20"/>
        </w:rPr>
      </w:pPr>
    </w:p>
    <w:p w14:paraId="1BFE3994" w14:textId="4EE8F066"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Internal resistance measurements were performed using a Battery Impedance Meter (BT4560) and a BK Precision Battery Analyzer (BA6011). The BT4560 measured cell-level internal resistance, while the BA6011 evaluated module-level resistance. Internal resistance testing was necessary to assess current flow capability, thermal behavior, and potential overheating tendencies within the battery systems.</w:t>
      </w:r>
    </w:p>
    <w:p w14:paraId="2DB655FD" w14:textId="77777777" w:rsidR="00FD7B10" w:rsidRPr="00B55480" w:rsidRDefault="00FD7B10" w:rsidP="00FF6C3B">
      <w:pPr>
        <w:spacing w:after="0" w:line="240" w:lineRule="auto"/>
        <w:jc w:val="both"/>
        <w:rPr>
          <w:rFonts w:ascii="Times New Roman" w:eastAsia="Times New Roman" w:hAnsi="Times New Roman" w:cs="Times New Roman"/>
          <w:color w:val="0D0D0D" w:themeColor="text1" w:themeTint="F2"/>
          <w:sz w:val="18"/>
          <w:szCs w:val="18"/>
        </w:rPr>
      </w:pPr>
    </w:p>
    <w:p w14:paraId="02F3B172" w14:textId="77777777" w:rsidR="00FF6C3B" w:rsidRPr="00871B85" w:rsidRDefault="00FF6C3B" w:rsidP="00FF6C3B">
      <w:pPr>
        <w:spacing w:after="0" w:line="240" w:lineRule="auto"/>
        <w:jc w:val="both"/>
        <w:outlineLvl w:val="3"/>
        <w:rPr>
          <w:rFonts w:ascii="Times New Roman" w:eastAsia="Times New Roman" w:hAnsi="Times New Roman" w:cs="Times New Roman"/>
          <w:b/>
          <w:bCs/>
          <w:color w:val="0D0D0D" w:themeColor="text1" w:themeTint="F2"/>
        </w:rPr>
      </w:pPr>
      <w:r w:rsidRPr="00871B85">
        <w:rPr>
          <w:rFonts w:ascii="Times New Roman" w:eastAsia="Times New Roman" w:hAnsi="Times New Roman" w:cs="Times New Roman"/>
          <w:b/>
          <w:bCs/>
          <w:color w:val="0D0D0D" w:themeColor="text1" w:themeTint="F2"/>
        </w:rPr>
        <w:t>3.5.3 State of Health (SOH) Determination</w:t>
      </w:r>
    </w:p>
    <w:p w14:paraId="6FE97D44" w14:textId="77777777" w:rsidR="00FD7B10" w:rsidRPr="00B55480" w:rsidRDefault="00FD7B10" w:rsidP="00FF6C3B">
      <w:pPr>
        <w:spacing w:after="0" w:line="240" w:lineRule="auto"/>
        <w:jc w:val="both"/>
        <w:rPr>
          <w:rFonts w:ascii="Times New Roman" w:eastAsia="Times New Roman" w:hAnsi="Times New Roman" w:cs="Times New Roman"/>
          <w:color w:val="0D0D0D" w:themeColor="text1" w:themeTint="F2"/>
          <w:sz w:val="18"/>
          <w:szCs w:val="18"/>
        </w:rPr>
      </w:pPr>
    </w:p>
    <w:p w14:paraId="59EB0B40" w14:textId="470D9A69"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State of Health (SOH) of each battery was determined by comparing the present battery capacity with the manufacturer’s rated capacity using Equation (1):</w:t>
      </w:r>
    </w:p>
    <w:p w14:paraId="5D71AA56" w14:textId="77777777" w:rsidR="00871B85" w:rsidRPr="00FF6C3B" w:rsidRDefault="00871B85" w:rsidP="00FF6C3B">
      <w:pPr>
        <w:spacing w:after="0" w:line="240" w:lineRule="auto"/>
        <w:jc w:val="both"/>
        <w:rPr>
          <w:rFonts w:ascii="Times New Roman" w:eastAsia="Times New Roman" w:hAnsi="Times New Roman" w:cs="Times New Roman"/>
          <w:color w:val="0D0D0D" w:themeColor="text1" w:themeTint="F2"/>
          <w:sz w:val="20"/>
          <w:szCs w:val="20"/>
        </w:rPr>
      </w:pPr>
    </w:p>
    <w:p w14:paraId="291B6FDE" w14:textId="77777777" w:rsidR="00FF6C3B" w:rsidRPr="00871B85" w:rsidRDefault="00FF6C3B" w:rsidP="00871B85">
      <w:pPr>
        <w:spacing w:after="0" w:line="240" w:lineRule="auto"/>
        <w:ind w:left="720"/>
        <w:jc w:val="both"/>
        <w:rPr>
          <w:rFonts w:ascii="Times New Roman" w:eastAsia="Times New Roman" w:hAnsi="Times New Roman" w:cs="Times New Roman"/>
          <w:i/>
          <w:color w:val="0D0D0D" w:themeColor="text1" w:themeTint="F2"/>
          <w:sz w:val="20"/>
          <w:szCs w:val="20"/>
        </w:rPr>
      </w:pPr>
      <m:oMathPara>
        <m:oMathParaPr>
          <m:jc m:val="left"/>
        </m:oMathParaPr>
        <m:oMath>
          <m:r>
            <w:rPr>
              <w:rFonts w:ascii="Cambria Math" w:eastAsia="Times New Roman" w:hAnsi="Cambria Math" w:cs="Times New Roman"/>
              <w:color w:val="0D0D0D" w:themeColor="text1" w:themeTint="F2"/>
              <w:sz w:val="20"/>
              <w:szCs w:val="20"/>
            </w:rPr>
            <m:t>SOH=</m:t>
          </m:r>
          <m:f>
            <m:fPr>
              <m:ctrlPr>
                <w:rPr>
                  <w:rFonts w:ascii="Cambria Math" w:eastAsia="Times New Roman" w:hAnsi="Cambria Math" w:cs="Times New Roman"/>
                  <w:color w:val="0D0D0D" w:themeColor="text1" w:themeTint="F2"/>
                  <w:sz w:val="20"/>
                  <w:szCs w:val="20"/>
                </w:rPr>
              </m:ctrlPr>
            </m:fPr>
            <m:num>
              <m:sSub>
                <m:sSubPr>
                  <m:ctrlPr>
                    <w:rPr>
                      <w:rFonts w:ascii="Cambria Math" w:eastAsia="Times New Roman" w:hAnsi="Cambria Math" w:cs="Times New Roman"/>
                      <w:color w:val="0D0D0D" w:themeColor="text1" w:themeTint="F2"/>
                      <w:sz w:val="20"/>
                      <w:szCs w:val="20"/>
                    </w:rPr>
                  </m:ctrlPr>
                </m:sSubPr>
                <m:e>
                  <m:r>
                    <w:rPr>
                      <w:rFonts w:ascii="Cambria Math" w:eastAsia="Times New Roman" w:hAnsi="Cambria Math" w:cs="Times New Roman"/>
                      <w:color w:val="0D0D0D" w:themeColor="text1" w:themeTint="F2"/>
                      <w:sz w:val="20"/>
                      <w:szCs w:val="20"/>
                    </w:rPr>
                    <m:t>C</m:t>
                  </m:r>
                </m:e>
                <m:sub>
                  <m:r>
                    <w:rPr>
                      <w:rFonts w:ascii="Cambria Math" w:eastAsia="Times New Roman" w:hAnsi="Cambria Math" w:cs="Times New Roman"/>
                      <w:color w:val="0D0D0D" w:themeColor="text1" w:themeTint="F2"/>
                      <w:sz w:val="20"/>
                      <w:szCs w:val="20"/>
                    </w:rPr>
                    <m:t>i</m:t>
                  </m:r>
                </m:sub>
              </m:sSub>
            </m:num>
            <m:den>
              <m:sSub>
                <m:sSubPr>
                  <m:ctrlPr>
                    <w:rPr>
                      <w:rFonts w:ascii="Cambria Math" w:eastAsia="Times New Roman" w:hAnsi="Cambria Math" w:cs="Times New Roman"/>
                      <w:color w:val="0D0D0D" w:themeColor="text1" w:themeTint="F2"/>
                      <w:sz w:val="20"/>
                      <w:szCs w:val="20"/>
                    </w:rPr>
                  </m:ctrlPr>
                </m:sSubPr>
                <m:e>
                  <m:r>
                    <w:rPr>
                      <w:rFonts w:ascii="Cambria Math" w:eastAsia="Times New Roman" w:hAnsi="Cambria Math" w:cs="Times New Roman"/>
                      <w:color w:val="0D0D0D" w:themeColor="text1" w:themeTint="F2"/>
                      <w:sz w:val="20"/>
                      <w:szCs w:val="20"/>
                    </w:rPr>
                    <m:t>C</m:t>
                  </m:r>
                </m:e>
                <m:sub>
                  <m:r>
                    <w:rPr>
                      <w:rFonts w:ascii="Cambria Math" w:eastAsia="Times New Roman" w:hAnsi="Cambria Math" w:cs="Times New Roman"/>
                      <w:color w:val="0D0D0D" w:themeColor="text1" w:themeTint="F2"/>
                      <w:sz w:val="20"/>
                      <w:szCs w:val="20"/>
                    </w:rPr>
                    <m:t>0</m:t>
                  </m:r>
                </m:sub>
              </m:sSub>
            </m:den>
          </m:f>
          <m:r>
            <w:rPr>
              <w:rFonts w:ascii="Cambria Math" w:eastAsia="Times New Roman" w:hAnsi="Cambria Math" w:cs="Times New Roman"/>
              <w:color w:val="0D0D0D" w:themeColor="text1" w:themeTint="F2"/>
              <w:sz w:val="20"/>
              <w:szCs w:val="20"/>
            </w:rPr>
            <m:t>×100</m:t>
          </m:r>
        </m:oMath>
      </m:oMathPara>
    </w:p>
    <w:p w14:paraId="1C9F6B6C" w14:textId="1444EE8B" w:rsidR="00FF6C3B" w:rsidRPr="00B55480" w:rsidRDefault="00FF6C3B" w:rsidP="00FF6C3B">
      <w:pPr>
        <w:spacing w:after="0" w:line="240" w:lineRule="auto"/>
        <w:jc w:val="both"/>
        <w:rPr>
          <w:rFonts w:ascii="Times New Roman" w:eastAsia="Times New Roman" w:hAnsi="Times New Roman" w:cs="Times New Roman"/>
          <w:iCs/>
          <w:color w:val="0D0D0D" w:themeColor="text1" w:themeTint="F2"/>
          <w:sz w:val="18"/>
          <w:szCs w:val="18"/>
        </w:rPr>
      </w:pPr>
      <w:r w:rsidRPr="00FF6C3B">
        <w:rPr>
          <w:rFonts w:ascii="Times New Roman" w:eastAsia="Times New Roman" w:hAnsi="Times New Roman" w:cs="Times New Roman"/>
          <w:i/>
          <w:color w:val="0D0D0D" w:themeColor="text1" w:themeTint="F2"/>
          <w:sz w:val="20"/>
          <w:szCs w:val="20"/>
        </w:rPr>
        <w:t xml:space="preserve">                                                                                                                                           </w:t>
      </w:r>
      <w:r w:rsidRPr="00FF6C3B">
        <w:rPr>
          <w:rFonts w:ascii="Times New Roman" w:eastAsia="Times New Roman" w:hAnsi="Times New Roman" w:cs="Times New Roman"/>
          <w:iCs/>
          <w:color w:val="0D0D0D" w:themeColor="text1" w:themeTint="F2"/>
          <w:sz w:val="20"/>
          <w:szCs w:val="20"/>
        </w:rPr>
        <w:t xml:space="preserve"> </w:t>
      </w:r>
      <w:r w:rsidR="00871B85">
        <w:rPr>
          <w:rFonts w:ascii="Times New Roman" w:eastAsia="Times New Roman" w:hAnsi="Times New Roman" w:cs="Times New Roman"/>
          <w:iCs/>
          <w:color w:val="0D0D0D" w:themeColor="text1" w:themeTint="F2"/>
          <w:sz w:val="20"/>
          <w:szCs w:val="20"/>
        </w:rPr>
        <w:t xml:space="preserve">                              </w:t>
      </w:r>
      <w:proofErr w:type="spellStart"/>
      <w:r w:rsidRPr="00FF6C3B">
        <w:rPr>
          <w:rFonts w:ascii="Times New Roman" w:eastAsia="Times New Roman" w:hAnsi="Times New Roman" w:cs="Times New Roman"/>
          <w:iCs/>
          <w:color w:val="0D0D0D" w:themeColor="text1" w:themeTint="F2"/>
          <w:sz w:val="20"/>
          <w:szCs w:val="20"/>
        </w:rPr>
        <w:t>Equ</w:t>
      </w:r>
      <w:proofErr w:type="spellEnd"/>
      <w:r w:rsidRPr="00FF6C3B">
        <w:rPr>
          <w:rFonts w:ascii="Times New Roman" w:eastAsia="Times New Roman" w:hAnsi="Times New Roman" w:cs="Times New Roman"/>
          <w:iCs/>
          <w:color w:val="0D0D0D" w:themeColor="text1" w:themeTint="F2"/>
          <w:sz w:val="20"/>
          <w:szCs w:val="20"/>
        </w:rPr>
        <w:t>. 1</w:t>
      </w:r>
      <w:r w:rsidRPr="00FF6C3B">
        <w:rPr>
          <w:rFonts w:ascii="Times New Roman" w:eastAsia="Times New Roman" w:hAnsi="Times New Roman" w:cs="Times New Roman"/>
          <w:iCs/>
          <w:color w:val="0D0D0D" w:themeColor="text1" w:themeTint="F2"/>
          <w:sz w:val="20"/>
          <w:szCs w:val="20"/>
        </w:rPr>
        <w:br/>
      </w:r>
    </w:p>
    <w:p w14:paraId="2AE8C48F"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Where:</w:t>
      </w:r>
    </w:p>
    <w:p w14:paraId="30755042" w14:textId="77777777" w:rsidR="003F1D60" w:rsidRPr="00FF6C3B" w:rsidRDefault="003F1D60" w:rsidP="00FF6C3B">
      <w:pPr>
        <w:spacing w:after="0" w:line="240" w:lineRule="auto"/>
        <w:jc w:val="both"/>
        <w:rPr>
          <w:rFonts w:ascii="Times New Roman" w:eastAsia="Times New Roman" w:hAnsi="Times New Roman" w:cs="Times New Roman"/>
          <w:color w:val="0D0D0D" w:themeColor="text1" w:themeTint="F2"/>
          <w:sz w:val="20"/>
          <w:szCs w:val="20"/>
        </w:rPr>
      </w:pPr>
    </w:p>
    <w:p w14:paraId="3EC96FE0" w14:textId="77777777" w:rsidR="00FF6C3B" w:rsidRPr="00FF6C3B" w:rsidRDefault="006E4437" w:rsidP="003F1D60">
      <w:pPr>
        <w:numPr>
          <w:ilvl w:val="0"/>
          <w:numId w:val="8"/>
        </w:numPr>
        <w:spacing w:after="0" w:line="240" w:lineRule="auto"/>
        <w:jc w:val="both"/>
        <w:rPr>
          <w:rFonts w:ascii="Times New Roman" w:eastAsia="Times New Roman" w:hAnsi="Times New Roman" w:cs="Times New Roman"/>
          <w:color w:val="0D0D0D" w:themeColor="text1" w:themeTint="F2"/>
          <w:sz w:val="20"/>
          <w:szCs w:val="20"/>
        </w:rPr>
      </w:pPr>
      <m:oMath>
        <m:sSub>
          <m:sSubPr>
            <m:ctrlPr>
              <w:rPr>
                <w:rFonts w:ascii="Cambria Math" w:eastAsia="Times New Roman" w:hAnsi="Cambria Math" w:cs="Times New Roman"/>
                <w:color w:val="0D0D0D" w:themeColor="text1" w:themeTint="F2"/>
                <w:sz w:val="20"/>
                <w:szCs w:val="20"/>
              </w:rPr>
            </m:ctrlPr>
          </m:sSubPr>
          <m:e>
            <m:r>
              <w:rPr>
                <w:rFonts w:ascii="Cambria Math" w:eastAsia="Times New Roman" w:hAnsi="Cambria Math" w:cs="Times New Roman"/>
                <w:color w:val="0D0D0D" w:themeColor="text1" w:themeTint="F2"/>
                <w:sz w:val="20"/>
                <w:szCs w:val="20"/>
              </w:rPr>
              <m:t>C</m:t>
            </m:r>
          </m:e>
          <m:sub>
            <m:r>
              <w:rPr>
                <w:rFonts w:ascii="Cambria Math" w:eastAsia="Times New Roman" w:hAnsi="Cambria Math" w:cs="Times New Roman"/>
                <w:color w:val="0D0D0D" w:themeColor="text1" w:themeTint="F2"/>
                <w:sz w:val="20"/>
                <w:szCs w:val="20"/>
              </w:rPr>
              <m:t>i</m:t>
            </m:r>
            <m:r>
              <w:rPr>
                <w:rFonts w:ascii="Cambria Math" w:eastAsia="Times New Roman" w:hAnsi="Cambria Math" w:cs="Times New Roman"/>
                <w:color w:val="0D0D0D" w:themeColor="text1" w:themeTint="F2"/>
                <w:sz w:val="20"/>
                <w:szCs w:val="20"/>
              </w:rPr>
              <m:t xml:space="preserve">- </m:t>
            </m:r>
          </m:sub>
        </m:sSub>
      </m:oMath>
      <w:r w:rsidR="00FF6C3B" w:rsidRPr="00FF6C3B">
        <w:rPr>
          <w:rFonts w:ascii="Times New Roman" w:eastAsia="Times New Roman" w:hAnsi="Times New Roman" w:cs="Times New Roman"/>
          <w:color w:val="0D0D0D" w:themeColor="text1" w:themeTint="F2"/>
          <w:sz w:val="20"/>
          <w:szCs w:val="20"/>
        </w:rPr>
        <w:t xml:space="preserve">represents the present battery capacity, and </w:t>
      </w:r>
    </w:p>
    <w:p w14:paraId="50D5BA9E" w14:textId="77777777" w:rsidR="00FF6C3B" w:rsidRPr="00FF6C3B" w:rsidRDefault="006E4437" w:rsidP="003F1D60">
      <w:pPr>
        <w:numPr>
          <w:ilvl w:val="0"/>
          <w:numId w:val="8"/>
        </w:numPr>
        <w:spacing w:after="0" w:line="240" w:lineRule="auto"/>
        <w:jc w:val="both"/>
        <w:rPr>
          <w:rFonts w:ascii="Times New Roman" w:eastAsia="Times New Roman" w:hAnsi="Times New Roman" w:cs="Times New Roman"/>
          <w:color w:val="0D0D0D" w:themeColor="text1" w:themeTint="F2"/>
          <w:sz w:val="20"/>
          <w:szCs w:val="20"/>
        </w:rPr>
      </w:pPr>
      <m:oMath>
        <m:sSub>
          <m:sSubPr>
            <m:ctrlPr>
              <w:rPr>
                <w:rFonts w:ascii="Cambria Math" w:eastAsia="Times New Roman" w:hAnsi="Cambria Math" w:cs="Times New Roman"/>
                <w:color w:val="0D0D0D" w:themeColor="text1" w:themeTint="F2"/>
                <w:sz w:val="20"/>
                <w:szCs w:val="20"/>
              </w:rPr>
            </m:ctrlPr>
          </m:sSubPr>
          <m:e>
            <m:r>
              <w:rPr>
                <w:rFonts w:ascii="Cambria Math" w:eastAsia="Times New Roman" w:hAnsi="Cambria Math" w:cs="Times New Roman"/>
                <w:color w:val="0D0D0D" w:themeColor="text1" w:themeTint="F2"/>
                <w:sz w:val="20"/>
                <w:szCs w:val="20"/>
              </w:rPr>
              <m:t>C</m:t>
            </m:r>
          </m:e>
          <m:sub>
            <m:r>
              <w:rPr>
                <w:rFonts w:ascii="Cambria Math" w:eastAsia="Times New Roman" w:hAnsi="Cambria Math" w:cs="Times New Roman"/>
                <w:color w:val="0D0D0D" w:themeColor="text1" w:themeTint="F2"/>
                <w:sz w:val="20"/>
                <w:szCs w:val="20"/>
              </w:rPr>
              <m:t xml:space="preserve">0- </m:t>
            </m:r>
          </m:sub>
        </m:sSub>
      </m:oMath>
      <w:r w:rsidR="00FF6C3B" w:rsidRPr="00FF6C3B">
        <w:rPr>
          <w:rFonts w:ascii="Times New Roman" w:eastAsia="Times New Roman" w:hAnsi="Times New Roman" w:cs="Times New Roman"/>
          <w:color w:val="0D0D0D" w:themeColor="text1" w:themeTint="F2"/>
          <w:sz w:val="20"/>
          <w:szCs w:val="20"/>
        </w:rPr>
        <w:t xml:space="preserve">represents the nominal battery capacity. </w:t>
      </w:r>
    </w:p>
    <w:p w14:paraId="4AF7FC71" w14:textId="77777777" w:rsidR="003F1D60" w:rsidRPr="00B55480" w:rsidRDefault="003F1D60" w:rsidP="00FF6C3B">
      <w:pPr>
        <w:spacing w:after="0" w:line="240" w:lineRule="auto"/>
        <w:jc w:val="both"/>
        <w:rPr>
          <w:rFonts w:ascii="Times New Roman" w:eastAsia="Times New Roman" w:hAnsi="Times New Roman" w:cs="Times New Roman"/>
          <w:color w:val="0D0D0D" w:themeColor="text1" w:themeTint="F2"/>
          <w:sz w:val="18"/>
          <w:szCs w:val="18"/>
        </w:rPr>
      </w:pPr>
    </w:p>
    <w:p w14:paraId="32651BDC" w14:textId="1AD3D0A5"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SOH evaluation was used to estimate the remaining useful life and operational reliability of the batteries.</w:t>
      </w:r>
    </w:p>
    <w:p w14:paraId="58E4244E" w14:textId="77777777" w:rsidR="003F1D60" w:rsidRPr="00B55480" w:rsidRDefault="003F1D60" w:rsidP="00FF6C3B">
      <w:pPr>
        <w:spacing w:after="0" w:line="240" w:lineRule="auto"/>
        <w:jc w:val="both"/>
        <w:rPr>
          <w:rFonts w:ascii="Times New Roman" w:eastAsia="Times New Roman" w:hAnsi="Times New Roman" w:cs="Times New Roman"/>
          <w:color w:val="0D0D0D" w:themeColor="text1" w:themeTint="F2"/>
          <w:sz w:val="18"/>
          <w:szCs w:val="18"/>
        </w:rPr>
      </w:pPr>
    </w:p>
    <w:p w14:paraId="6BEAA64E" w14:textId="77777777" w:rsidR="00FF6C3B" w:rsidRPr="00EC4533" w:rsidRDefault="00FF6C3B" w:rsidP="00FF6C3B">
      <w:pPr>
        <w:spacing w:after="0" w:line="240" w:lineRule="auto"/>
        <w:jc w:val="both"/>
        <w:outlineLvl w:val="2"/>
        <w:rPr>
          <w:rFonts w:ascii="Times New Roman" w:eastAsia="Times New Roman" w:hAnsi="Times New Roman" w:cs="Times New Roman"/>
          <w:b/>
          <w:bCs/>
          <w:color w:val="0D0D0D" w:themeColor="text1" w:themeTint="F2"/>
        </w:rPr>
      </w:pPr>
      <w:r w:rsidRPr="00EC4533">
        <w:rPr>
          <w:rFonts w:ascii="Times New Roman" w:eastAsia="Times New Roman" w:hAnsi="Times New Roman" w:cs="Times New Roman"/>
          <w:b/>
          <w:bCs/>
          <w:color w:val="0D0D0D" w:themeColor="text1" w:themeTint="F2"/>
        </w:rPr>
        <w:t>3.5.4 Charging Procedure</w:t>
      </w:r>
    </w:p>
    <w:p w14:paraId="60A56241" w14:textId="77777777" w:rsidR="00EC4533" w:rsidRPr="00B55480" w:rsidRDefault="00EC4533" w:rsidP="00FF6C3B">
      <w:pPr>
        <w:spacing w:after="0" w:line="240" w:lineRule="auto"/>
        <w:jc w:val="both"/>
        <w:rPr>
          <w:rFonts w:ascii="Times New Roman" w:eastAsia="Times New Roman" w:hAnsi="Times New Roman" w:cs="Times New Roman"/>
          <w:color w:val="0D0D0D" w:themeColor="text1" w:themeTint="F2"/>
          <w:sz w:val="18"/>
          <w:szCs w:val="18"/>
        </w:rPr>
      </w:pPr>
    </w:p>
    <w:p w14:paraId="23FAE0F2" w14:textId="018183AE"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Both battery packs were charged using a 60 kW DC fast charger under controlled environmental conditions. Before testing, all batteries were charged to 100% State of Charge (SOC) at ambient temperatures ranging between 30°C and 35°C. After charging, the batteries were allowed to rest for approximately 30–60 minutes to stabilize the voltage before the commencement of road testing. Charging time, charging temperature, and charging efficiency were recorded for both battery systems.</w:t>
      </w:r>
    </w:p>
    <w:p w14:paraId="4DEE4434" w14:textId="77777777" w:rsidR="00FF6C3B" w:rsidRPr="00B55480" w:rsidRDefault="00FF6C3B" w:rsidP="00FF6C3B">
      <w:pPr>
        <w:spacing w:after="0" w:line="240" w:lineRule="auto"/>
        <w:jc w:val="both"/>
        <w:rPr>
          <w:rFonts w:ascii="Times New Roman" w:eastAsia="Times New Roman" w:hAnsi="Times New Roman" w:cs="Times New Roman"/>
          <w:color w:val="0D0D0D" w:themeColor="text1" w:themeTint="F2"/>
          <w:sz w:val="18"/>
          <w:szCs w:val="18"/>
        </w:rPr>
      </w:pPr>
    </w:p>
    <w:p w14:paraId="48BB549C" w14:textId="69BDFD36" w:rsidR="00FF6C3B" w:rsidRPr="00EC4533" w:rsidRDefault="00EC4533" w:rsidP="00EC4533">
      <w:pPr>
        <w:spacing w:after="0" w:line="240" w:lineRule="auto"/>
        <w:jc w:val="both"/>
        <w:outlineLvl w:val="2"/>
        <w:rPr>
          <w:rFonts w:ascii="Times New Roman" w:eastAsia="Times New Roman" w:hAnsi="Times New Roman" w:cs="Times New Roman"/>
          <w:b/>
          <w:bCs/>
          <w:color w:val="0D0D0D" w:themeColor="text1" w:themeTint="F2"/>
        </w:rPr>
      </w:pPr>
      <w:r w:rsidRPr="00EC4533">
        <w:rPr>
          <w:rFonts w:ascii="Times New Roman" w:eastAsia="Times New Roman" w:hAnsi="Times New Roman" w:cs="Times New Roman"/>
          <w:b/>
          <w:bCs/>
          <w:color w:val="0D0D0D" w:themeColor="text1" w:themeTint="F2"/>
        </w:rPr>
        <w:t xml:space="preserve">3.6 </w:t>
      </w:r>
      <w:r w:rsidR="00FF6C3B" w:rsidRPr="00EC4533">
        <w:rPr>
          <w:rFonts w:ascii="Times New Roman" w:eastAsia="Times New Roman" w:hAnsi="Times New Roman" w:cs="Times New Roman"/>
          <w:b/>
          <w:bCs/>
          <w:color w:val="0D0D0D" w:themeColor="text1" w:themeTint="F2"/>
        </w:rPr>
        <w:t>Practical Road Test Procedure</w:t>
      </w:r>
    </w:p>
    <w:p w14:paraId="6AED52DA" w14:textId="77777777" w:rsidR="00EC4533" w:rsidRPr="00B55480" w:rsidRDefault="00EC4533" w:rsidP="00FF6C3B">
      <w:pPr>
        <w:spacing w:after="0" w:line="240" w:lineRule="auto"/>
        <w:jc w:val="both"/>
        <w:rPr>
          <w:rFonts w:ascii="Times New Roman" w:eastAsia="Times New Roman" w:hAnsi="Times New Roman" w:cs="Times New Roman"/>
          <w:color w:val="0D0D0D" w:themeColor="text1" w:themeTint="F2"/>
          <w:sz w:val="18"/>
          <w:szCs w:val="18"/>
        </w:rPr>
      </w:pPr>
    </w:p>
    <w:p w14:paraId="55A9B6B8" w14:textId="43B752B9"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The practical road tests were conducted by installing each battery pack separately into the selected electric vehicle. The vehicle was driven over a constant distance of 9 km under varying road and traffic conditions, which include: Level roads, Hilly roads, Mixed terrain conditions, and Traffic congestion scenarios. </w:t>
      </w:r>
    </w:p>
    <w:p w14:paraId="6AD386B6"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vehicle was operated at speeds ranging from 60 km/h to 100 km/h. A total of 45 test trials were conducted as follows: Morning session: 15 trials, Afternoon session: 15 trials, Evening session: 15 trials. The repeated trials were necessary to improve the accuracy, reliability, and consistency of the experimental results.</w:t>
      </w:r>
    </w:p>
    <w:p w14:paraId="03D5F4F1" w14:textId="77777777" w:rsidR="00EC4533" w:rsidRPr="00B55480" w:rsidRDefault="00EC4533" w:rsidP="00FF6C3B">
      <w:pPr>
        <w:spacing w:after="0" w:line="240" w:lineRule="auto"/>
        <w:jc w:val="both"/>
        <w:rPr>
          <w:rFonts w:ascii="Times New Roman" w:eastAsia="Times New Roman" w:hAnsi="Times New Roman" w:cs="Times New Roman"/>
          <w:color w:val="0D0D0D" w:themeColor="text1" w:themeTint="F2"/>
          <w:sz w:val="18"/>
          <w:szCs w:val="18"/>
        </w:rPr>
      </w:pPr>
    </w:p>
    <w:p w14:paraId="4FE3D41A" w14:textId="03D41378" w:rsidR="00FF6C3B" w:rsidRPr="00EC4533" w:rsidRDefault="00EC4533" w:rsidP="00EC4533">
      <w:pPr>
        <w:spacing w:after="0" w:line="240" w:lineRule="auto"/>
        <w:jc w:val="both"/>
        <w:outlineLvl w:val="2"/>
        <w:rPr>
          <w:rFonts w:ascii="Times New Roman" w:eastAsia="Times New Roman" w:hAnsi="Times New Roman" w:cs="Times New Roman"/>
          <w:b/>
          <w:bCs/>
          <w:color w:val="0D0D0D" w:themeColor="text1" w:themeTint="F2"/>
        </w:rPr>
      </w:pPr>
      <w:r w:rsidRPr="00EC4533">
        <w:rPr>
          <w:rFonts w:ascii="Times New Roman" w:eastAsia="Times New Roman" w:hAnsi="Times New Roman" w:cs="Times New Roman"/>
          <w:b/>
          <w:bCs/>
          <w:color w:val="0D0D0D" w:themeColor="text1" w:themeTint="F2"/>
        </w:rPr>
        <w:t xml:space="preserve">3.6.1 </w:t>
      </w:r>
      <w:r w:rsidR="00FF6C3B" w:rsidRPr="00EC4533">
        <w:rPr>
          <w:rFonts w:ascii="Times New Roman" w:eastAsia="Times New Roman" w:hAnsi="Times New Roman" w:cs="Times New Roman"/>
          <w:b/>
          <w:bCs/>
          <w:color w:val="0D0D0D" w:themeColor="text1" w:themeTint="F2"/>
        </w:rPr>
        <w:t>Data Collection</w:t>
      </w:r>
    </w:p>
    <w:p w14:paraId="77B25F61" w14:textId="77777777" w:rsidR="00B55480" w:rsidRPr="00B55480" w:rsidRDefault="00B55480" w:rsidP="00FF6C3B">
      <w:pPr>
        <w:spacing w:after="0" w:line="240" w:lineRule="auto"/>
        <w:jc w:val="both"/>
        <w:rPr>
          <w:rFonts w:ascii="Times New Roman" w:eastAsia="Times New Roman" w:hAnsi="Times New Roman" w:cs="Times New Roman"/>
          <w:color w:val="0D0D0D" w:themeColor="text1" w:themeTint="F2"/>
          <w:sz w:val="18"/>
          <w:szCs w:val="18"/>
        </w:rPr>
      </w:pPr>
    </w:p>
    <w:p w14:paraId="724CB725" w14:textId="13BDE978"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Battery and vehicle performance data were collected using: Battery Management Systems (BMS), Onboard diagnostic systems, GPS tracking devices, Temperature monitoring sensors, Digital multimeters, and Battery diagnostic analyzers. </w:t>
      </w:r>
    </w:p>
    <w:p w14:paraId="41FE5621" w14:textId="77777777" w:rsidR="00EC4533" w:rsidRPr="00B55480" w:rsidRDefault="00EC4533" w:rsidP="00FF6C3B">
      <w:pPr>
        <w:spacing w:after="0" w:line="240" w:lineRule="auto"/>
        <w:jc w:val="both"/>
        <w:rPr>
          <w:rFonts w:ascii="Times New Roman" w:eastAsia="Times New Roman" w:hAnsi="Times New Roman" w:cs="Times New Roman"/>
          <w:color w:val="0D0D0D" w:themeColor="text1" w:themeTint="F2"/>
          <w:sz w:val="18"/>
          <w:szCs w:val="18"/>
        </w:rPr>
      </w:pPr>
    </w:p>
    <w:p w14:paraId="041AEE25"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following parameters were recorded during each test: Distance travelled, Battery percentage drop, State of Charge (SOC), Voltage variation, Battery temperature, Charging duration, Internal resistance, and Driving range. The collected data were organized and processed using Microsoft Excel for subsequent analysis.</w:t>
      </w:r>
    </w:p>
    <w:p w14:paraId="5242FABA" w14:textId="77777777" w:rsidR="00EC4533" w:rsidRPr="00B55480" w:rsidRDefault="00EC4533" w:rsidP="00FF6C3B">
      <w:pPr>
        <w:spacing w:after="0" w:line="240" w:lineRule="auto"/>
        <w:jc w:val="both"/>
        <w:rPr>
          <w:rFonts w:ascii="Times New Roman" w:eastAsia="Times New Roman" w:hAnsi="Times New Roman" w:cs="Times New Roman"/>
          <w:color w:val="0D0D0D" w:themeColor="text1" w:themeTint="F2"/>
          <w:sz w:val="18"/>
          <w:szCs w:val="18"/>
        </w:rPr>
      </w:pPr>
    </w:p>
    <w:p w14:paraId="182EC3E8" w14:textId="5834360E" w:rsidR="00FF6C3B" w:rsidRPr="005965D1" w:rsidRDefault="005965D1" w:rsidP="005965D1">
      <w:pPr>
        <w:spacing w:after="0" w:line="240" w:lineRule="auto"/>
        <w:jc w:val="both"/>
        <w:outlineLvl w:val="2"/>
        <w:rPr>
          <w:rFonts w:ascii="Times New Roman" w:eastAsia="Times New Roman" w:hAnsi="Times New Roman" w:cs="Times New Roman"/>
          <w:b/>
          <w:bCs/>
          <w:color w:val="0D0D0D" w:themeColor="text1" w:themeTint="F2"/>
        </w:rPr>
      </w:pPr>
      <w:r w:rsidRPr="005965D1">
        <w:rPr>
          <w:rFonts w:ascii="Times New Roman" w:eastAsia="Times New Roman" w:hAnsi="Times New Roman" w:cs="Times New Roman"/>
          <w:b/>
          <w:bCs/>
          <w:color w:val="0D0D0D" w:themeColor="text1" w:themeTint="F2"/>
        </w:rPr>
        <w:t xml:space="preserve">3.6.2 </w:t>
      </w:r>
      <w:r w:rsidR="00FF6C3B" w:rsidRPr="005965D1">
        <w:rPr>
          <w:rFonts w:ascii="Times New Roman" w:eastAsia="Times New Roman" w:hAnsi="Times New Roman" w:cs="Times New Roman"/>
          <w:b/>
          <w:bCs/>
          <w:color w:val="0D0D0D" w:themeColor="text1" w:themeTint="F2"/>
        </w:rPr>
        <w:t>Statistical Analysis</w:t>
      </w:r>
    </w:p>
    <w:p w14:paraId="75E27362" w14:textId="77777777" w:rsidR="005965D1" w:rsidRPr="00B55480" w:rsidRDefault="005965D1" w:rsidP="00FF6C3B">
      <w:pPr>
        <w:spacing w:after="0" w:line="240" w:lineRule="auto"/>
        <w:jc w:val="both"/>
        <w:rPr>
          <w:rFonts w:ascii="Times New Roman" w:eastAsia="Times New Roman" w:hAnsi="Times New Roman" w:cs="Times New Roman"/>
          <w:color w:val="0D0D0D" w:themeColor="text1" w:themeTint="F2"/>
          <w:sz w:val="18"/>
          <w:szCs w:val="18"/>
        </w:rPr>
      </w:pPr>
    </w:p>
    <w:p w14:paraId="551E532D" w14:textId="5BEEDEB3"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Descriptive and inferential statistical methods were used to analyze the battery performance data. The analysis included: Mean percentage drop, Standard deviation, Pearson correlation analysis, and Statistical significance testing. </w:t>
      </w:r>
    </w:p>
    <w:p w14:paraId="18B707BB" w14:textId="77777777" w:rsidR="005965D1" w:rsidRPr="00B55480" w:rsidRDefault="005965D1" w:rsidP="00FF6C3B">
      <w:pPr>
        <w:spacing w:after="0" w:line="240" w:lineRule="auto"/>
        <w:jc w:val="both"/>
        <w:rPr>
          <w:rFonts w:ascii="Times New Roman" w:eastAsia="Times New Roman" w:hAnsi="Times New Roman" w:cs="Times New Roman"/>
          <w:color w:val="0D0D0D" w:themeColor="text1" w:themeTint="F2"/>
          <w:sz w:val="18"/>
          <w:szCs w:val="18"/>
        </w:rPr>
      </w:pPr>
    </w:p>
    <w:p w14:paraId="0769D286" w14:textId="77777777"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lastRenderedPageBreak/>
        <w:t xml:space="preserve">The standard deviation was calculated to evaluate the variability and consistency of battery discharge performance across the test distances. Pearson correlation analysis was used to determine the relationship between travel distance and battery percentage drop for both battery systems. Statistical significance was evaluated using p-values obtained from the correlation analysis. A significance level of </w:t>
      </w:r>
      <m:oMath>
        <m:r>
          <w:rPr>
            <w:rFonts w:ascii="Cambria Math" w:eastAsia="Times New Roman" w:hAnsi="Cambria Math" w:cs="Times New Roman"/>
            <w:color w:val="0D0D0D" w:themeColor="text1" w:themeTint="F2"/>
            <w:sz w:val="20"/>
            <w:szCs w:val="20"/>
          </w:rPr>
          <m:t>p&lt;0.05</m:t>
        </m:r>
      </m:oMath>
      <w:r w:rsidRPr="00FF6C3B">
        <w:rPr>
          <w:rFonts w:ascii="Times New Roman" w:eastAsia="Times New Roman" w:hAnsi="Times New Roman" w:cs="Times New Roman"/>
          <w:color w:val="0D0D0D" w:themeColor="text1" w:themeTint="F2"/>
          <w:sz w:val="20"/>
          <w:szCs w:val="20"/>
        </w:rPr>
        <w:t>was considered statistically significant.</w:t>
      </w:r>
    </w:p>
    <w:p w14:paraId="71C8D15A" w14:textId="77777777" w:rsidR="00FF6C3B" w:rsidRPr="00B55480" w:rsidRDefault="00FF6C3B" w:rsidP="00FF6C3B">
      <w:pPr>
        <w:spacing w:after="0" w:line="240" w:lineRule="auto"/>
        <w:jc w:val="both"/>
        <w:rPr>
          <w:rFonts w:ascii="Times New Roman" w:eastAsia="Times New Roman" w:hAnsi="Times New Roman" w:cs="Times New Roman"/>
          <w:color w:val="0D0D0D" w:themeColor="text1" w:themeTint="F2"/>
          <w:sz w:val="18"/>
          <w:szCs w:val="18"/>
        </w:rPr>
      </w:pPr>
    </w:p>
    <w:p w14:paraId="40144BDB" w14:textId="77777777" w:rsidR="00FF6C3B" w:rsidRPr="00A45FAD" w:rsidRDefault="00FF6C3B" w:rsidP="00FF6C3B">
      <w:pPr>
        <w:spacing w:after="0" w:line="240" w:lineRule="auto"/>
        <w:jc w:val="both"/>
        <w:outlineLvl w:val="2"/>
        <w:rPr>
          <w:rFonts w:ascii="Times New Roman" w:eastAsia="Times New Roman" w:hAnsi="Times New Roman" w:cs="Times New Roman"/>
          <w:b/>
          <w:bCs/>
          <w:color w:val="0D0D0D" w:themeColor="text1" w:themeTint="F2"/>
        </w:rPr>
      </w:pPr>
      <w:r w:rsidRPr="00A45FAD">
        <w:rPr>
          <w:rFonts w:ascii="Times New Roman" w:eastAsia="Times New Roman" w:hAnsi="Times New Roman" w:cs="Times New Roman"/>
          <w:b/>
          <w:bCs/>
          <w:color w:val="0D0D0D" w:themeColor="text1" w:themeTint="F2"/>
        </w:rPr>
        <w:t>3.7 Safety and Ethical Considerations</w:t>
      </w:r>
    </w:p>
    <w:p w14:paraId="44DE6616" w14:textId="77777777" w:rsidR="005965D1" w:rsidRPr="00B55480" w:rsidRDefault="005965D1" w:rsidP="00FF6C3B">
      <w:pPr>
        <w:spacing w:after="0" w:line="240" w:lineRule="auto"/>
        <w:jc w:val="both"/>
        <w:rPr>
          <w:rFonts w:ascii="Times New Roman" w:eastAsia="Times New Roman" w:hAnsi="Times New Roman" w:cs="Times New Roman"/>
          <w:color w:val="0D0D0D" w:themeColor="text1" w:themeTint="F2"/>
          <w:sz w:val="18"/>
          <w:szCs w:val="18"/>
        </w:rPr>
      </w:pPr>
    </w:p>
    <w:p w14:paraId="65AED92A" w14:textId="40B041F0"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All battery handling, testing, and remanufacturing procedures were conducted in accordance with established high-voltage electrical safety standards. Appropriate safety measures, including the use of insulated PPE and proper battery isolation procedures, were implemented throughout the study to minimize risks associated with lithium-ion battery handling and testing.</w:t>
      </w:r>
    </w:p>
    <w:p w14:paraId="7FCDFA78" w14:textId="77777777" w:rsidR="00FF6C3B" w:rsidRPr="00B55480" w:rsidRDefault="00FF6C3B" w:rsidP="00FF6C3B">
      <w:pPr>
        <w:spacing w:after="0" w:line="240" w:lineRule="auto"/>
        <w:jc w:val="both"/>
        <w:rPr>
          <w:rFonts w:ascii="Times New Roman" w:eastAsia="Times New Roman" w:hAnsi="Times New Roman" w:cs="Times New Roman"/>
          <w:color w:val="0D0D0D" w:themeColor="text1" w:themeTint="F2"/>
          <w:sz w:val="18"/>
          <w:szCs w:val="18"/>
        </w:rPr>
      </w:pPr>
    </w:p>
    <w:p w14:paraId="637DCE60" w14:textId="77777777" w:rsidR="00F843BF" w:rsidRDefault="00F843BF" w:rsidP="00FF6C3B">
      <w:pPr>
        <w:spacing w:after="0" w:line="240" w:lineRule="auto"/>
        <w:jc w:val="both"/>
        <w:rPr>
          <w:rFonts w:ascii="Times New Roman" w:eastAsia="Calibri" w:hAnsi="Times New Roman" w:cs="Times New Roman"/>
          <w:b/>
          <w:bCs/>
          <w:color w:val="0D0D0D" w:themeColor="text1" w:themeTint="F2"/>
          <w:kern w:val="2"/>
        </w:rPr>
      </w:pPr>
    </w:p>
    <w:p w14:paraId="307880A7" w14:textId="77777777" w:rsidR="00F843BF" w:rsidRDefault="00F843BF" w:rsidP="00FF6C3B">
      <w:pPr>
        <w:spacing w:after="0" w:line="240" w:lineRule="auto"/>
        <w:jc w:val="both"/>
        <w:rPr>
          <w:rFonts w:ascii="Times New Roman" w:eastAsia="Calibri" w:hAnsi="Times New Roman" w:cs="Times New Roman"/>
          <w:b/>
          <w:bCs/>
          <w:color w:val="0D0D0D" w:themeColor="text1" w:themeTint="F2"/>
          <w:kern w:val="2"/>
        </w:rPr>
      </w:pPr>
    </w:p>
    <w:p w14:paraId="1ADABCF0" w14:textId="77777777" w:rsidR="00F843BF" w:rsidRDefault="00F843BF" w:rsidP="00FF6C3B">
      <w:pPr>
        <w:spacing w:after="0" w:line="240" w:lineRule="auto"/>
        <w:jc w:val="both"/>
        <w:rPr>
          <w:rFonts w:ascii="Times New Roman" w:eastAsia="Calibri" w:hAnsi="Times New Roman" w:cs="Times New Roman"/>
          <w:b/>
          <w:bCs/>
          <w:color w:val="0D0D0D" w:themeColor="text1" w:themeTint="F2"/>
          <w:kern w:val="2"/>
        </w:rPr>
      </w:pPr>
    </w:p>
    <w:p w14:paraId="1C0EC21C" w14:textId="19EC5738" w:rsidR="00FF6C3B" w:rsidRPr="00B4162A" w:rsidRDefault="00FF6C3B" w:rsidP="00FF6C3B">
      <w:pPr>
        <w:spacing w:after="0" w:line="240" w:lineRule="auto"/>
        <w:jc w:val="both"/>
        <w:rPr>
          <w:rFonts w:ascii="Times New Roman" w:eastAsia="Calibri" w:hAnsi="Times New Roman" w:cs="Times New Roman"/>
          <w:color w:val="0D0D0D" w:themeColor="text1" w:themeTint="F2"/>
          <w:kern w:val="2"/>
        </w:rPr>
      </w:pPr>
      <w:r w:rsidRPr="00B4162A">
        <w:rPr>
          <w:rFonts w:ascii="Times New Roman" w:eastAsia="Calibri" w:hAnsi="Times New Roman" w:cs="Times New Roman"/>
          <w:b/>
          <w:bCs/>
          <w:color w:val="0D0D0D" w:themeColor="text1" w:themeTint="F2"/>
          <w:kern w:val="2"/>
        </w:rPr>
        <w:t xml:space="preserve">4. </w:t>
      </w:r>
      <w:r w:rsidR="00B4162A" w:rsidRPr="00B4162A">
        <w:rPr>
          <w:rFonts w:ascii="Times New Roman" w:eastAsia="Calibri" w:hAnsi="Times New Roman" w:cs="Times New Roman"/>
          <w:b/>
          <w:bCs/>
          <w:color w:val="0D0D0D" w:themeColor="text1" w:themeTint="F2"/>
          <w:kern w:val="2"/>
        </w:rPr>
        <w:t>Results and Discussion</w:t>
      </w:r>
    </w:p>
    <w:p w14:paraId="30C542F6" w14:textId="77777777" w:rsidR="005965D1" w:rsidRPr="00B55480" w:rsidRDefault="005965D1" w:rsidP="00FF6C3B">
      <w:pPr>
        <w:spacing w:after="0" w:line="240" w:lineRule="auto"/>
        <w:jc w:val="both"/>
        <w:rPr>
          <w:rFonts w:ascii="Times New Roman" w:eastAsia="Calibri" w:hAnsi="Times New Roman" w:cs="Times New Roman"/>
          <w:color w:val="0D0D0D" w:themeColor="text1" w:themeTint="F2"/>
          <w:kern w:val="2"/>
          <w:sz w:val="18"/>
          <w:szCs w:val="18"/>
        </w:rPr>
      </w:pPr>
    </w:p>
    <w:p w14:paraId="7D397107" w14:textId="22FF21ED"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The results show the assessment and comparison of EV batteries (new and remanufactured) to know their performance through practical road tests, focusing on driving distance, time, and percentage drop in the batteries under level, hilly, and traffic road driving conditions.</w:t>
      </w:r>
    </w:p>
    <w:p w14:paraId="1FB216FA" w14:textId="77777777" w:rsidR="00FF6C3B" w:rsidRPr="00B55480" w:rsidRDefault="00FF6C3B" w:rsidP="00FF6C3B">
      <w:pPr>
        <w:spacing w:after="0" w:line="240" w:lineRule="auto"/>
        <w:jc w:val="both"/>
        <w:rPr>
          <w:rFonts w:ascii="Times New Roman" w:eastAsia="Calibri" w:hAnsi="Times New Roman" w:cs="Times New Roman"/>
          <w:color w:val="0D0D0D" w:themeColor="text1" w:themeTint="F2"/>
          <w:kern w:val="2"/>
          <w:sz w:val="18"/>
          <w:szCs w:val="18"/>
        </w:rPr>
      </w:pPr>
    </w:p>
    <w:p w14:paraId="0E282AFF" w14:textId="77777777" w:rsidR="00FF6C3B" w:rsidRPr="00B4162A" w:rsidRDefault="00FF6C3B" w:rsidP="00FF6C3B">
      <w:pPr>
        <w:spacing w:after="0" w:line="240" w:lineRule="auto"/>
        <w:jc w:val="both"/>
        <w:rPr>
          <w:rFonts w:ascii="Times New Roman" w:eastAsia="Calibri" w:hAnsi="Times New Roman" w:cs="Times New Roman"/>
          <w:b/>
          <w:bCs/>
          <w:color w:val="0D0D0D" w:themeColor="text1" w:themeTint="F2"/>
          <w:kern w:val="2"/>
        </w:rPr>
      </w:pPr>
      <w:r w:rsidRPr="00B4162A">
        <w:rPr>
          <w:rFonts w:ascii="Times New Roman" w:eastAsia="Calibri" w:hAnsi="Times New Roman" w:cs="Times New Roman"/>
          <w:b/>
          <w:bCs/>
          <w:color w:val="0D0D0D" w:themeColor="text1" w:themeTint="F2"/>
          <w:kern w:val="2"/>
        </w:rPr>
        <w:t>4.1 Battery Inspection Selection and Testing</w:t>
      </w:r>
    </w:p>
    <w:p w14:paraId="05F7C64E" w14:textId="77777777" w:rsidR="005965D1" w:rsidRPr="00B55480" w:rsidRDefault="005965D1" w:rsidP="00FF6C3B">
      <w:pPr>
        <w:spacing w:after="0" w:line="240" w:lineRule="auto"/>
        <w:jc w:val="both"/>
        <w:rPr>
          <w:rFonts w:ascii="Times New Roman" w:eastAsia="Calibri" w:hAnsi="Times New Roman" w:cs="Times New Roman"/>
          <w:color w:val="0D0D0D" w:themeColor="text1" w:themeTint="F2"/>
          <w:kern w:val="2"/>
          <w:sz w:val="18"/>
          <w:szCs w:val="18"/>
        </w:rPr>
      </w:pPr>
    </w:p>
    <w:p w14:paraId="360638A0" w14:textId="1AA6A43F" w:rsidR="00FF6C3B" w:rsidRDefault="00FF6C3B" w:rsidP="00FF6C3B">
      <w:pPr>
        <w:spacing w:after="0" w:line="240" w:lineRule="auto"/>
        <w:jc w:val="both"/>
        <w:rPr>
          <w:rFonts w:ascii="Times New Roman" w:eastAsia="Times New Roman"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 xml:space="preserve">Upon visual inspections of all batteries, there were no liquid leakages, signs of cracks, corrosion, or case deformations. The terminal connections and cable connectors were all in good shape and intact. </w:t>
      </w:r>
      <w:r w:rsidRPr="0074590E">
        <w:rPr>
          <w:rFonts w:ascii="Times New Roman" w:eastAsia="Calibri" w:hAnsi="Times New Roman" w:cs="Times New Roman"/>
          <w:color w:val="0D0D0D" w:themeColor="text1" w:themeTint="F2"/>
          <w:kern w:val="2"/>
          <w:sz w:val="20"/>
          <w:szCs w:val="20"/>
        </w:rPr>
        <w:t>Table</w:t>
      </w:r>
      <w:r w:rsidRPr="00FF6C3B">
        <w:rPr>
          <w:rFonts w:ascii="Times New Roman" w:eastAsia="Calibri" w:hAnsi="Times New Roman" w:cs="Times New Roman"/>
          <w:color w:val="0D0D0D" w:themeColor="text1" w:themeTint="F2"/>
          <w:kern w:val="2"/>
          <w:sz w:val="20"/>
          <w:szCs w:val="20"/>
        </w:rPr>
        <w:t xml:space="preserve"> 3 shows the results of the battery cell health after measuring each cell in the battery pack with the multimeter and after </w:t>
      </w:r>
      <w:r w:rsidRPr="00FF6C3B">
        <w:rPr>
          <w:rFonts w:ascii="Times New Roman" w:eastAsia="Times New Roman" w:hAnsi="Times New Roman" w:cs="Times New Roman"/>
          <w:color w:val="0D0D0D" w:themeColor="text1" w:themeTint="F2"/>
          <w:kern w:val="2"/>
          <w:sz w:val="20"/>
          <w:szCs w:val="20"/>
        </w:rPr>
        <w:t>testing the Internal Resistance (IR) of each battery after using the BK Precision Battery Analyzer (BA6011) at the module level and the Battery Impedance Meter (BT4560) at the cell level</w:t>
      </w:r>
      <w:r w:rsidRPr="00FF6C3B">
        <w:rPr>
          <w:rFonts w:ascii="Times New Roman" w:eastAsia="Calibri" w:hAnsi="Times New Roman" w:cs="Times New Roman"/>
          <w:color w:val="0D0D0D" w:themeColor="text1" w:themeTint="F2"/>
          <w:kern w:val="2"/>
          <w:sz w:val="20"/>
          <w:szCs w:val="20"/>
        </w:rPr>
        <w:t>. The new battery has all 100 cells functioning within the ideal voltage (3.6V), while the</w:t>
      </w:r>
      <w:r w:rsidRPr="00FF6C3B">
        <w:rPr>
          <w:rFonts w:ascii="Times New Roman" w:eastAsia="Times New Roman" w:hAnsi="Times New Roman" w:cs="Times New Roman"/>
          <w:color w:val="0D0D0D" w:themeColor="text1" w:themeTint="F2"/>
          <w:kern w:val="2"/>
          <w:sz w:val="20"/>
          <w:szCs w:val="20"/>
        </w:rPr>
        <w:t xml:space="preserve"> measurement derived from the instrument's test agrees with the computed module resistance specified by the manufacturer. </w:t>
      </w:r>
    </w:p>
    <w:p w14:paraId="41474AF5" w14:textId="77777777" w:rsidR="00B4162A" w:rsidRPr="00B55480" w:rsidRDefault="00B4162A" w:rsidP="00FF6C3B">
      <w:pPr>
        <w:spacing w:after="0" w:line="240" w:lineRule="auto"/>
        <w:jc w:val="both"/>
        <w:rPr>
          <w:rFonts w:ascii="Times New Roman" w:eastAsia="Times New Roman" w:hAnsi="Times New Roman" w:cs="Times New Roman"/>
          <w:color w:val="0D0D0D" w:themeColor="text1" w:themeTint="F2"/>
          <w:kern w:val="2"/>
          <w:sz w:val="18"/>
          <w:szCs w:val="18"/>
        </w:rPr>
      </w:pPr>
    </w:p>
    <w:p w14:paraId="27B7309D" w14:textId="77777777" w:rsidR="00FF6C3B" w:rsidRDefault="00FF6C3B" w:rsidP="00B4162A">
      <w:pPr>
        <w:tabs>
          <w:tab w:val="left" w:pos="2345"/>
        </w:tabs>
        <w:spacing w:after="0" w:line="240" w:lineRule="auto"/>
        <w:jc w:val="center"/>
        <w:rPr>
          <w:rFonts w:ascii="Times New Roman" w:eastAsia="Calibri" w:hAnsi="Times New Roman" w:cs="Times New Roman"/>
          <w:b/>
          <w:color w:val="0D0D0D" w:themeColor="text1" w:themeTint="F2"/>
          <w:kern w:val="2"/>
          <w:sz w:val="20"/>
          <w:szCs w:val="20"/>
        </w:rPr>
      </w:pPr>
      <w:bookmarkStart w:id="3" w:name="_Toc211593376"/>
      <w:r w:rsidRPr="0074590E">
        <w:rPr>
          <w:rFonts w:ascii="Times New Roman" w:eastAsia="Calibri" w:hAnsi="Times New Roman" w:cs="Times New Roman"/>
          <w:b/>
          <w:bCs/>
          <w:color w:val="0D0D0D" w:themeColor="text1" w:themeTint="F2"/>
          <w:kern w:val="2"/>
          <w:sz w:val="20"/>
          <w:szCs w:val="20"/>
        </w:rPr>
        <w:t>Table</w:t>
      </w:r>
      <w:r w:rsidRPr="00FF6C3B">
        <w:rPr>
          <w:rFonts w:ascii="Times New Roman" w:eastAsia="Calibri" w:hAnsi="Times New Roman" w:cs="Times New Roman"/>
          <w:b/>
          <w:bCs/>
          <w:color w:val="0D0D0D" w:themeColor="text1" w:themeTint="F2"/>
          <w:kern w:val="2"/>
          <w:sz w:val="20"/>
          <w:szCs w:val="20"/>
        </w:rPr>
        <w:t xml:space="preserve"> 3. </w:t>
      </w:r>
      <w:r w:rsidRPr="00FF6C3B">
        <w:rPr>
          <w:rFonts w:ascii="Times New Roman" w:eastAsia="Calibri" w:hAnsi="Times New Roman" w:cs="Times New Roman"/>
          <w:b/>
          <w:color w:val="0D0D0D" w:themeColor="text1" w:themeTint="F2"/>
          <w:kern w:val="2"/>
          <w:sz w:val="20"/>
          <w:szCs w:val="20"/>
        </w:rPr>
        <w:t>Batteries IR display</w:t>
      </w:r>
      <w:bookmarkEnd w:id="3"/>
    </w:p>
    <w:p w14:paraId="6E3570A4" w14:textId="77777777" w:rsidR="00B4162A" w:rsidRPr="00B55480" w:rsidRDefault="00B4162A" w:rsidP="00FF6C3B">
      <w:pPr>
        <w:tabs>
          <w:tab w:val="left" w:pos="2345"/>
        </w:tabs>
        <w:spacing w:after="0" w:line="240" w:lineRule="auto"/>
        <w:jc w:val="both"/>
        <w:rPr>
          <w:rFonts w:ascii="Times New Roman" w:eastAsia="Calibri" w:hAnsi="Times New Roman" w:cs="Times New Roman"/>
          <w:b/>
          <w:color w:val="0D0D0D" w:themeColor="text1" w:themeTint="F2"/>
          <w:kern w:val="2"/>
          <w:sz w:val="18"/>
          <w:szCs w:val="18"/>
        </w:rPr>
      </w:pPr>
    </w:p>
    <w:tbl>
      <w:tblPr>
        <w:tblStyle w:val="TableGrid"/>
        <w:tblW w:w="49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2292"/>
        <w:gridCol w:w="1731"/>
        <w:gridCol w:w="2745"/>
      </w:tblGrid>
      <w:tr w:rsidR="00FF6C3B" w:rsidRPr="007146C1" w14:paraId="47DF40DF" w14:textId="77777777" w:rsidTr="00630AE8">
        <w:trPr>
          <w:jc w:val="center"/>
        </w:trPr>
        <w:tc>
          <w:tcPr>
            <w:tcW w:w="2292" w:type="dxa"/>
            <w:tcBorders>
              <w:top w:val="single" w:sz="4" w:space="0" w:color="auto"/>
              <w:bottom w:val="single" w:sz="4" w:space="0" w:color="auto"/>
            </w:tcBorders>
          </w:tcPr>
          <w:p w14:paraId="39D0AC63" w14:textId="77777777" w:rsidR="00FF6C3B" w:rsidRPr="007146C1" w:rsidRDefault="00FF6C3B" w:rsidP="00630AE8">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Battery</w:t>
            </w:r>
          </w:p>
        </w:tc>
        <w:tc>
          <w:tcPr>
            <w:tcW w:w="2292" w:type="dxa"/>
            <w:tcBorders>
              <w:top w:val="single" w:sz="4" w:space="0" w:color="auto"/>
              <w:bottom w:val="single" w:sz="4" w:space="0" w:color="auto"/>
            </w:tcBorders>
          </w:tcPr>
          <w:p w14:paraId="15721208" w14:textId="77777777" w:rsidR="00FF6C3B" w:rsidRPr="007146C1" w:rsidRDefault="00FF6C3B" w:rsidP="00630AE8">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Cell level</w:t>
            </w:r>
          </w:p>
        </w:tc>
        <w:tc>
          <w:tcPr>
            <w:tcW w:w="1731" w:type="dxa"/>
            <w:tcBorders>
              <w:top w:val="single" w:sz="4" w:space="0" w:color="auto"/>
              <w:bottom w:val="single" w:sz="4" w:space="0" w:color="auto"/>
            </w:tcBorders>
          </w:tcPr>
          <w:p w14:paraId="542A7BFF" w14:textId="77777777" w:rsidR="00FF6C3B" w:rsidRPr="007146C1" w:rsidRDefault="00FF6C3B" w:rsidP="00630AE8">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Module level</w:t>
            </w:r>
          </w:p>
        </w:tc>
        <w:tc>
          <w:tcPr>
            <w:tcW w:w="2745" w:type="dxa"/>
            <w:tcBorders>
              <w:top w:val="single" w:sz="4" w:space="0" w:color="auto"/>
              <w:bottom w:val="single" w:sz="4" w:space="0" w:color="auto"/>
            </w:tcBorders>
          </w:tcPr>
          <w:p w14:paraId="7CE3BD39" w14:textId="77777777" w:rsidR="00FF6C3B" w:rsidRPr="007146C1" w:rsidRDefault="00FF6C3B" w:rsidP="00630AE8">
            <w:pPr>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Interpretation</w:t>
            </w:r>
          </w:p>
        </w:tc>
      </w:tr>
      <w:tr w:rsidR="00FF6C3B" w:rsidRPr="007146C1" w14:paraId="5BDF44B8" w14:textId="77777777" w:rsidTr="00630AE8">
        <w:trPr>
          <w:jc w:val="center"/>
        </w:trPr>
        <w:tc>
          <w:tcPr>
            <w:tcW w:w="2292" w:type="dxa"/>
            <w:tcBorders>
              <w:top w:val="single" w:sz="4" w:space="0" w:color="auto"/>
            </w:tcBorders>
          </w:tcPr>
          <w:p w14:paraId="5AC88CF1" w14:textId="21B6BD74" w:rsidR="00FF6C3B" w:rsidRPr="007146C1" w:rsidRDefault="00FF6C3B" w:rsidP="00630AE8">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New</w:t>
            </w:r>
          </w:p>
        </w:tc>
        <w:tc>
          <w:tcPr>
            <w:tcW w:w="2292" w:type="dxa"/>
            <w:tcBorders>
              <w:top w:val="single" w:sz="4" w:space="0" w:color="auto"/>
            </w:tcBorders>
          </w:tcPr>
          <w:p w14:paraId="5AD3E2E6" w14:textId="77777777" w:rsidR="00FF6C3B" w:rsidRPr="007146C1" w:rsidRDefault="00FF6C3B" w:rsidP="00630AE8">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 xml:space="preserve">20 </w:t>
            </w:r>
            <w:proofErr w:type="spellStart"/>
            <w:r w:rsidRPr="007146C1">
              <w:rPr>
                <w:rFonts w:ascii="Times New Roman" w:hAnsi="Times New Roman" w:cs="Times New Roman"/>
                <w:color w:val="0D0D0D" w:themeColor="text1" w:themeTint="F2"/>
                <w:sz w:val="18"/>
                <w:szCs w:val="18"/>
              </w:rPr>
              <w:t>mΩ</w:t>
            </w:r>
            <w:proofErr w:type="spellEnd"/>
          </w:p>
        </w:tc>
        <w:tc>
          <w:tcPr>
            <w:tcW w:w="1731" w:type="dxa"/>
            <w:tcBorders>
              <w:top w:val="single" w:sz="4" w:space="0" w:color="auto"/>
            </w:tcBorders>
          </w:tcPr>
          <w:p w14:paraId="0DB47A3C" w14:textId="77777777" w:rsidR="00FF6C3B" w:rsidRPr="007146C1" w:rsidRDefault="00FF6C3B" w:rsidP="00630AE8">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 xml:space="preserve">22 </w:t>
            </w:r>
            <w:proofErr w:type="spellStart"/>
            <w:r w:rsidRPr="007146C1">
              <w:rPr>
                <w:rFonts w:ascii="Times New Roman" w:hAnsi="Times New Roman" w:cs="Times New Roman"/>
                <w:color w:val="0D0D0D" w:themeColor="text1" w:themeTint="F2"/>
                <w:sz w:val="18"/>
                <w:szCs w:val="18"/>
              </w:rPr>
              <w:t>mΩ</w:t>
            </w:r>
            <w:proofErr w:type="spellEnd"/>
          </w:p>
        </w:tc>
        <w:tc>
          <w:tcPr>
            <w:tcW w:w="2745" w:type="dxa"/>
            <w:tcBorders>
              <w:top w:val="single" w:sz="4" w:space="0" w:color="auto"/>
            </w:tcBorders>
          </w:tcPr>
          <w:p w14:paraId="2F975687" w14:textId="0DAFA8AE" w:rsidR="00FF6C3B" w:rsidRPr="007146C1" w:rsidRDefault="00FF6C3B" w:rsidP="00630AE8">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 xml:space="preserve"> Excellent condition</w:t>
            </w:r>
          </w:p>
        </w:tc>
      </w:tr>
      <w:tr w:rsidR="00FF6C3B" w:rsidRPr="007146C1" w14:paraId="301642EA" w14:textId="77777777" w:rsidTr="00630AE8">
        <w:trPr>
          <w:jc w:val="center"/>
        </w:trPr>
        <w:tc>
          <w:tcPr>
            <w:tcW w:w="2292" w:type="dxa"/>
            <w:tcBorders>
              <w:bottom w:val="single" w:sz="4" w:space="0" w:color="auto"/>
            </w:tcBorders>
          </w:tcPr>
          <w:p w14:paraId="1F5C3238" w14:textId="77777777" w:rsidR="00FF6C3B" w:rsidRPr="007146C1" w:rsidRDefault="00FF6C3B" w:rsidP="00630AE8">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Remanufactured</w:t>
            </w:r>
          </w:p>
        </w:tc>
        <w:tc>
          <w:tcPr>
            <w:tcW w:w="2292" w:type="dxa"/>
            <w:tcBorders>
              <w:bottom w:val="single" w:sz="4" w:space="0" w:color="auto"/>
            </w:tcBorders>
          </w:tcPr>
          <w:p w14:paraId="2EFF4CFC" w14:textId="77777777" w:rsidR="00FF6C3B" w:rsidRPr="007146C1" w:rsidRDefault="00FF6C3B" w:rsidP="00630AE8">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 xml:space="preserve">35 </w:t>
            </w:r>
            <w:proofErr w:type="spellStart"/>
            <w:r w:rsidRPr="007146C1">
              <w:rPr>
                <w:rFonts w:ascii="Times New Roman" w:hAnsi="Times New Roman" w:cs="Times New Roman"/>
                <w:color w:val="0D0D0D" w:themeColor="text1" w:themeTint="F2"/>
                <w:sz w:val="18"/>
                <w:szCs w:val="18"/>
              </w:rPr>
              <w:t>mΩ</w:t>
            </w:r>
            <w:proofErr w:type="spellEnd"/>
          </w:p>
        </w:tc>
        <w:tc>
          <w:tcPr>
            <w:tcW w:w="1731" w:type="dxa"/>
            <w:tcBorders>
              <w:bottom w:val="single" w:sz="4" w:space="0" w:color="auto"/>
            </w:tcBorders>
          </w:tcPr>
          <w:p w14:paraId="133933B2" w14:textId="77777777" w:rsidR="00FF6C3B" w:rsidRPr="007146C1" w:rsidRDefault="00FF6C3B" w:rsidP="00630AE8">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 xml:space="preserve">41 </w:t>
            </w:r>
            <w:proofErr w:type="spellStart"/>
            <w:r w:rsidRPr="007146C1">
              <w:rPr>
                <w:rFonts w:ascii="Times New Roman" w:hAnsi="Times New Roman" w:cs="Times New Roman"/>
                <w:color w:val="0D0D0D" w:themeColor="text1" w:themeTint="F2"/>
                <w:sz w:val="18"/>
                <w:szCs w:val="18"/>
              </w:rPr>
              <w:t>mΩ</w:t>
            </w:r>
            <w:proofErr w:type="spellEnd"/>
          </w:p>
        </w:tc>
        <w:tc>
          <w:tcPr>
            <w:tcW w:w="2745" w:type="dxa"/>
            <w:tcBorders>
              <w:bottom w:val="single" w:sz="4" w:space="0" w:color="auto"/>
            </w:tcBorders>
          </w:tcPr>
          <w:p w14:paraId="1480E678" w14:textId="77777777" w:rsidR="00FF6C3B" w:rsidRPr="007146C1" w:rsidRDefault="00FF6C3B" w:rsidP="00630AE8">
            <w:pPr>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 xml:space="preserve"> Good but slightly weak</w:t>
            </w:r>
          </w:p>
        </w:tc>
      </w:tr>
    </w:tbl>
    <w:p w14:paraId="024A2B0E" w14:textId="77777777" w:rsidR="00FF6C3B" w:rsidRPr="00B55480" w:rsidRDefault="00FF6C3B" w:rsidP="00FF6C3B">
      <w:pPr>
        <w:spacing w:after="0" w:line="240" w:lineRule="auto"/>
        <w:jc w:val="both"/>
        <w:rPr>
          <w:rFonts w:ascii="Times New Roman" w:eastAsia="Times New Roman" w:hAnsi="Times New Roman" w:cs="Times New Roman"/>
          <w:color w:val="0D0D0D" w:themeColor="text1" w:themeTint="F2"/>
          <w:kern w:val="2"/>
          <w:sz w:val="18"/>
          <w:szCs w:val="18"/>
        </w:rPr>
      </w:pPr>
    </w:p>
    <w:p w14:paraId="72626DE2" w14:textId="77777777" w:rsidR="00FF6C3B" w:rsidRDefault="00FF6C3B" w:rsidP="00FF6C3B">
      <w:pPr>
        <w:spacing w:after="0" w:line="240" w:lineRule="auto"/>
        <w:jc w:val="both"/>
        <w:rPr>
          <w:rFonts w:ascii="Times New Roman" w:eastAsia="Times New Roman" w:hAnsi="Times New Roman" w:cs="Times New Roman"/>
          <w:color w:val="0D0D0D" w:themeColor="text1" w:themeTint="F2"/>
          <w:kern w:val="2"/>
          <w:sz w:val="20"/>
          <w:szCs w:val="20"/>
        </w:rPr>
      </w:pPr>
      <w:r w:rsidRPr="00FF6C3B">
        <w:rPr>
          <w:rFonts w:ascii="Times New Roman" w:eastAsia="Times New Roman" w:hAnsi="Times New Roman" w:cs="Times New Roman"/>
          <w:color w:val="0D0D0D" w:themeColor="text1" w:themeTint="F2"/>
          <w:kern w:val="2"/>
          <w:sz w:val="20"/>
          <w:szCs w:val="20"/>
        </w:rPr>
        <w:t xml:space="preserve">For the good-condition battery (new), the cell level was 20 </w:t>
      </w:r>
      <w:proofErr w:type="spellStart"/>
      <w:r w:rsidRPr="00FF6C3B">
        <w:rPr>
          <w:rFonts w:ascii="Times New Roman" w:eastAsia="Times New Roman" w:hAnsi="Times New Roman" w:cs="Times New Roman"/>
          <w:color w:val="0D0D0D" w:themeColor="text1" w:themeTint="F2"/>
          <w:kern w:val="2"/>
          <w:sz w:val="20"/>
          <w:szCs w:val="20"/>
        </w:rPr>
        <w:t>mΩ</w:t>
      </w:r>
      <w:proofErr w:type="spellEnd"/>
      <w:r w:rsidRPr="00FF6C3B">
        <w:rPr>
          <w:rFonts w:ascii="Times New Roman" w:eastAsia="Times New Roman" w:hAnsi="Times New Roman" w:cs="Times New Roman"/>
          <w:color w:val="0D0D0D" w:themeColor="text1" w:themeTint="F2"/>
          <w:kern w:val="2"/>
          <w:sz w:val="20"/>
          <w:szCs w:val="20"/>
        </w:rPr>
        <w:t xml:space="preserve">, and the module level was 22 </w:t>
      </w:r>
      <w:proofErr w:type="spellStart"/>
      <w:r w:rsidRPr="00FF6C3B">
        <w:rPr>
          <w:rFonts w:ascii="Times New Roman" w:eastAsia="Times New Roman" w:hAnsi="Times New Roman" w:cs="Times New Roman"/>
          <w:color w:val="0D0D0D" w:themeColor="text1" w:themeTint="F2"/>
          <w:kern w:val="2"/>
          <w:sz w:val="20"/>
          <w:szCs w:val="20"/>
        </w:rPr>
        <w:t>mΩ</w:t>
      </w:r>
      <w:proofErr w:type="spellEnd"/>
      <w:r w:rsidRPr="00FF6C3B">
        <w:rPr>
          <w:rFonts w:ascii="Times New Roman" w:eastAsia="Times New Roman" w:hAnsi="Times New Roman" w:cs="Times New Roman"/>
          <w:color w:val="0D0D0D" w:themeColor="text1" w:themeTint="F2"/>
          <w:kern w:val="2"/>
          <w:sz w:val="20"/>
          <w:szCs w:val="20"/>
        </w:rPr>
        <w:t xml:space="preserve">, indicating an excellent heat range within the battery pack. The remanufactured battery after testing was 35 </w:t>
      </w:r>
      <w:proofErr w:type="spellStart"/>
      <w:r w:rsidRPr="00FF6C3B">
        <w:rPr>
          <w:rFonts w:ascii="Times New Roman" w:eastAsia="Times New Roman" w:hAnsi="Times New Roman" w:cs="Times New Roman"/>
          <w:color w:val="0D0D0D" w:themeColor="text1" w:themeTint="F2"/>
          <w:kern w:val="2"/>
          <w:sz w:val="20"/>
          <w:szCs w:val="20"/>
        </w:rPr>
        <w:t>m</w:t>
      </w:r>
      <w:r w:rsidRPr="00FF6C3B">
        <w:rPr>
          <w:rFonts w:ascii="Times New Roman" w:eastAsia="Times New Roman" w:hAnsi="Times New Roman" w:cs="Times New Roman"/>
          <w:color w:val="0D0D0D" w:themeColor="text1" w:themeTint="F2"/>
          <w:sz w:val="20"/>
          <w:szCs w:val="20"/>
        </w:rPr>
        <w:t>Ω</w:t>
      </w:r>
      <w:proofErr w:type="spellEnd"/>
      <w:r w:rsidRPr="00FF6C3B">
        <w:rPr>
          <w:rFonts w:ascii="Times New Roman" w:eastAsia="Times New Roman" w:hAnsi="Times New Roman" w:cs="Times New Roman"/>
          <w:color w:val="0D0D0D" w:themeColor="text1" w:themeTint="F2"/>
          <w:kern w:val="2"/>
          <w:sz w:val="20"/>
          <w:szCs w:val="20"/>
        </w:rPr>
        <w:t xml:space="preserve"> at the cell level and 41 </w:t>
      </w:r>
      <w:proofErr w:type="spellStart"/>
      <w:r w:rsidRPr="00FF6C3B">
        <w:rPr>
          <w:rFonts w:ascii="Times New Roman" w:eastAsia="Times New Roman" w:hAnsi="Times New Roman" w:cs="Times New Roman"/>
          <w:color w:val="0D0D0D" w:themeColor="text1" w:themeTint="F2"/>
          <w:kern w:val="2"/>
          <w:sz w:val="20"/>
          <w:szCs w:val="20"/>
        </w:rPr>
        <w:t>m</w:t>
      </w:r>
      <w:r w:rsidRPr="00FF6C3B">
        <w:rPr>
          <w:rFonts w:ascii="Times New Roman" w:eastAsia="Times New Roman" w:hAnsi="Times New Roman" w:cs="Times New Roman"/>
          <w:color w:val="0D0D0D" w:themeColor="text1" w:themeTint="F2"/>
          <w:sz w:val="20"/>
          <w:szCs w:val="20"/>
        </w:rPr>
        <w:t>Ω</w:t>
      </w:r>
      <w:proofErr w:type="spellEnd"/>
      <w:r w:rsidRPr="00FF6C3B">
        <w:rPr>
          <w:rFonts w:ascii="Times New Roman" w:eastAsia="Times New Roman" w:hAnsi="Times New Roman" w:cs="Times New Roman"/>
          <w:color w:val="0D0D0D" w:themeColor="text1" w:themeTint="F2"/>
          <w:kern w:val="2"/>
          <w:sz w:val="20"/>
          <w:szCs w:val="20"/>
        </w:rPr>
        <w:t xml:space="preserve"> at the module level, signifying good heat range within the battery pack.</w:t>
      </w:r>
    </w:p>
    <w:p w14:paraId="451E60FA" w14:textId="2B683F04"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 xml:space="preserve">The estimated SOH of each battery resulted in the following: If SOH is 95 – 100% (New) of rated battery capacity, batteries are expected to have a smooth voltage, minimal heat, and low internal resistance; hence, they must show the highest performance and stability. If SOH is 80 – 90% (Remanufactured) of rated battery capacity, battery performance is close to a new one, and is expected to have a slight voltage drop, hence moderate performance, which will bridge the gap between the new battery and the remanufactured battery. The performance of each battery type highlights degradation trends and assesses how well remanufactured </w:t>
      </w:r>
      <w:r w:rsidR="0050797C">
        <w:rPr>
          <w:rFonts w:ascii="Times New Roman" w:eastAsia="Calibri" w:hAnsi="Times New Roman" w:cs="Times New Roman"/>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 xml:space="preserve">batteries restore usability compared to new ones in Ghana.  </w:t>
      </w:r>
      <w:r w:rsidRPr="0074590E">
        <w:rPr>
          <w:rFonts w:ascii="Times New Roman" w:eastAsia="Calibri" w:hAnsi="Times New Roman" w:cs="Times New Roman"/>
          <w:color w:val="0D0D0D" w:themeColor="text1" w:themeTint="F2"/>
          <w:kern w:val="2"/>
          <w:sz w:val="20"/>
          <w:szCs w:val="20"/>
        </w:rPr>
        <w:t>Fig</w:t>
      </w:r>
      <w:r w:rsidR="00B55480">
        <w:rPr>
          <w:rFonts w:ascii="Times New Roman" w:eastAsia="Calibri" w:hAnsi="Times New Roman" w:cs="Times New Roman"/>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4 shows the SOC of the battery from 0% to 100% during the charging process, whereas </w:t>
      </w:r>
      <w:r w:rsidRPr="0074590E">
        <w:rPr>
          <w:rFonts w:ascii="Times New Roman" w:eastAsia="Calibri" w:hAnsi="Times New Roman" w:cs="Times New Roman"/>
          <w:color w:val="0D0D0D" w:themeColor="text1" w:themeTint="F2"/>
          <w:kern w:val="2"/>
          <w:sz w:val="20"/>
          <w:szCs w:val="20"/>
        </w:rPr>
        <w:t>Table</w:t>
      </w:r>
      <w:r w:rsidRPr="00FF6C3B">
        <w:rPr>
          <w:rFonts w:ascii="Times New Roman" w:eastAsia="Calibri" w:hAnsi="Times New Roman" w:cs="Times New Roman"/>
          <w:color w:val="0D0D0D" w:themeColor="text1" w:themeTint="F2"/>
          <w:kern w:val="2"/>
          <w:sz w:val="20"/>
          <w:szCs w:val="20"/>
        </w:rPr>
        <w:t xml:space="preserve"> 4 displays the results for both batteries being charged under different normal temperature conditions with the same charger type. The good-condition battery (new) spent 90 minutes before getting to 100%, which indicates that it charges at a faster rate because it has almost all the good cells.</w:t>
      </w:r>
    </w:p>
    <w:p w14:paraId="397B3A8D" w14:textId="77777777" w:rsidR="00FF6C3B" w:rsidRPr="00CC5CE9" w:rsidRDefault="00FF6C3B" w:rsidP="00FF6C3B">
      <w:pPr>
        <w:spacing w:after="0" w:line="240" w:lineRule="auto"/>
        <w:jc w:val="both"/>
        <w:rPr>
          <w:rFonts w:ascii="Times New Roman" w:eastAsia="Times New Roman" w:hAnsi="Times New Roman" w:cs="Times New Roman"/>
          <w:color w:val="0D0D0D" w:themeColor="text1" w:themeTint="F2"/>
          <w:kern w:val="2"/>
          <w:sz w:val="20"/>
          <w:szCs w:val="20"/>
        </w:rPr>
      </w:pPr>
      <w:r w:rsidRPr="00B55480">
        <w:rPr>
          <w:rFonts w:ascii="Times New Roman" w:eastAsia="Calibri" w:hAnsi="Times New Roman" w:cs="Times New Roman"/>
          <w:color w:val="0D0D0D" w:themeColor="text1" w:themeTint="F2"/>
          <w:kern w:val="2"/>
          <w:sz w:val="18"/>
          <w:szCs w:val="18"/>
        </w:rPr>
        <w:t xml:space="preserve"> </w:t>
      </w:r>
    </w:p>
    <w:p w14:paraId="478203FF" w14:textId="77777777" w:rsidR="00FF6C3B" w:rsidRPr="00FF6C3B" w:rsidRDefault="00FF6C3B" w:rsidP="006D422A">
      <w:pPr>
        <w:spacing w:after="0" w:line="240" w:lineRule="auto"/>
        <w:jc w:val="center"/>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noProof/>
          <w:color w:val="0D0D0D" w:themeColor="text1" w:themeTint="F2"/>
          <w:kern w:val="2"/>
          <w:sz w:val="20"/>
          <w:szCs w:val="20"/>
        </w:rPr>
        <w:lastRenderedPageBreak/>
        <w:drawing>
          <wp:inline distT="0" distB="0" distL="0" distR="0" wp14:anchorId="096A9C27" wp14:editId="70932C74">
            <wp:extent cx="3799360" cy="1958196"/>
            <wp:effectExtent l="0" t="0" r="0" b="0"/>
            <wp:docPr id="101943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00186" name=""/>
                    <pic:cNvPicPr/>
                  </pic:nvPicPr>
                  <pic:blipFill>
                    <a:blip r:embed="rId11"/>
                    <a:stretch>
                      <a:fillRect/>
                    </a:stretch>
                  </pic:blipFill>
                  <pic:spPr>
                    <a:xfrm>
                      <a:off x="0" y="0"/>
                      <a:ext cx="3815121" cy="1966319"/>
                    </a:xfrm>
                    <a:prstGeom prst="rect">
                      <a:avLst/>
                    </a:prstGeom>
                  </pic:spPr>
                </pic:pic>
              </a:graphicData>
            </a:graphic>
          </wp:inline>
        </w:drawing>
      </w:r>
    </w:p>
    <w:p w14:paraId="76A32473" w14:textId="77777777" w:rsidR="006D422A" w:rsidRPr="0050797C" w:rsidRDefault="006D422A" w:rsidP="00FF6C3B">
      <w:pPr>
        <w:spacing w:after="0" w:line="240" w:lineRule="auto"/>
        <w:jc w:val="both"/>
        <w:rPr>
          <w:rFonts w:ascii="Times New Roman" w:eastAsia="Calibri" w:hAnsi="Times New Roman" w:cs="Times New Roman"/>
          <w:b/>
          <w:bCs/>
          <w:color w:val="0D0D0D" w:themeColor="text1" w:themeTint="F2"/>
          <w:kern w:val="2"/>
          <w:sz w:val="20"/>
          <w:szCs w:val="20"/>
        </w:rPr>
      </w:pPr>
      <w:bookmarkStart w:id="4" w:name="_Toc211593395"/>
    </w:p>
    <w:p w14:paraId="61E02022" w14:textId="0D99D429" w:rsidR="00FF6C3B" w:rsidRDefault="00FF6C3B" w:rsidP="006D422A">
      <w:pPr>
        <w:spacing w:after="0" w:line="240" w:lineRule="auto"/>
        <w:jc w:val="center"/>
        <w:rPr>
          <w:rFonts w:ascii="Times New Roman" w:eastAsia="Calibri" w:hAnsi="Times New Roman" w:cs="Times New Roman"/>
          <w:b/>
          <w:bCs/>
          <w:color w:val="0D0D0D" w:themeColor="text1" w:themeTint="F2"/>
          <w:kern w:val="2"/>
          <w:sz w:val="20"/>
          <w:szCs w:val="20"/>
        </w:rPr>
      </w:pPr>
      <w:r w:rsidRPr="0074590E">
        <w:rPr>
          <w:rFonts w:ascii="Times New Roman" w:eastAsia="Calibri" w:hAnsi="Times New Roman" w:cs="Times New Roman"/>
          <w:b/>
          <w:bCs/>
          <w:color w:val="0D0D0D" w:themeColor="text1" w:themeTint="F2"/>
          <w:kern w:val="2"/>
          <w:sz w:val="20"/>
          <w:szCs w:val="20"/>
        </w:rPr>
        <w:t>Fig</w:t>
      </w:r>
      <w:r w:rsidR="006D422A">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b/>
          <w:bCs/>
          <w:color w:val="0D0D0D" w:themeColor="text1" w:themeTint="F2"/>
          <w:kern w:val="2"/>
          <w:sz w:val="20"/>
          <w:szCs w:val="20"/>
        </w:rPr>
        <w:t xml:space="preserve"> 4.</w:t>
      </w:r>
      <w:r w:rsidRPr="00FF6C3B">
        <w:rPr>
          <w:rFonts w:ascii="Times New Roman" w:eastAsia="Calibri" w:hAnsi="Times New Roman" w:cs="Times New Roman"/>
          <w:color w:val="0D0D0D" w:themeColor="text1" w:themeTint="F2"/>
          <w:kern w:val="2"/>
          <w:sz w:val="20"/>
          <w:szCs w:val="20"/>
        </w:rPr>
        <w:t xml:space="preserve">  </w:t>
      </w:r>
      <w:r w:rsidRPr="00FF6C3B">
        <w:rPr>
          <w:rFonts w:ascii="Times New Roman" w:eastAsia="Calibri" w:hAnsi="Times New Roman" w:cs="Times New Roman"/>
          <w:b/>
          <w:bCs/>
          <w:color w:val="0D0D0D" w:themeColor="text1" w:themeTint="F2"/>
          <w:kern w:val="2"/>
          <w:sz w:val="20"/>
          <w:szCs w:val="20"/>
        </w:rPr>
        <w:t>Battery with different SOCs</w:t>
      </w:r>
      <w:bookmarkEnd w:id="4"/>
    </w:p>
    <w:p w14:paraId="0D5FD500" w14:textId="77777777" w:rsidR="00F843BF" w:rsidRDefault="00F843BF" w:rsidP="006D422A">
      <w:pPr>
        <w:spacing w:after="0" w:line="240" w:lineRule="auto"/>
        <w:jc w:val="center"/>
        <w:rPr>
          <w:rFonts w:ascii="Times New Roman" w:eastAsia="Calibri" w:hAnsi="Times New Roman" w:cs="Times New Roman"/>
          <w:b/>
          <w:bCs/>
          <w:color w:val="0D0D0D" w:themeColor="text1" w:themeTint="F2"/>
          <w:kern w:val="2"/>
          <w:sz w:val="20"/>
          <w:szCs w:val="20"/>
        </w:rPr>
      </w:pPr>
    </w:p>
    <w:p w14:paraId="7CE45CF4" w14:textId="77777777" w:rsidR="00F843BF" w:rsidRDefault="00F843BF" w:rsidP="006D422A">
      <w:pPr>
        <w:spacing w:after="0" w:line="240" w:lineRule="auto"/>
        <w:jc w:val="center"/>
        <w:rPr>
          <w:rFonts w:ascii="Times New Roman" w:eastAsia="Calibri" w:hAnsi="Times New Roman" w:cs="Times New Roman"/>
          <w:b/>
          <w:bCs/>
          <w:color w:val="0D0D0D" w:themeColor="text1" w:themeTint="F2"/>
          <w:kern w:val="2"/>
          <w:sz w:val="20"/>
          <w:szCs w:val="20"/>
        </w:rPr>
      </w:pPr>
    </w:p>
    <w:p w14:paraId="6F10E834" w14:textId="77777777" w:rsidR="00F843BF" w:rsidRDefault="00F843BF" w:rsidP="006D422A">
      <w:pPr>
        <w:spacing w:after="0" w:line="240" w:lineRule="auto"/>
        <w:jc w:val="center"/>
        <w:rPr>
          <w:rFonts w:ascii="Times New Roman" w:eastAsia="Calibri" w:hAnsi="Times New Roman" w:cs="Times New Roman"/>
          <w:b/>
          <w:bCs/>
          <w:color w:val="0D0D0D" w:themeColor="text1" w:themeTint="F2"/>
          <w:kern w:val="2"/>
          <w:sz w:val="20"/>
          <w:szCs w:val="20"/>
        </w:rPr>
      </w:pPr>
    </w:p>
    <w:p w14:paraId="20BA3CA8" w14:textId="77777777" w:rsidR="00F843BF" w:rsidRPr="00FF6C3B" w:rsidRDefault="00F843BF" w:rsidP="006D422A">
      <w:pPr>
        <w:spacing w:after="0" w:line="240" w:lineRule="auto"/>
        <w:jc w:val="center"/>
        <w:rPr>
          <w:rFonts w:ascii="Times New Roman" w:eastAsia="Calibri" w:hAnsi="Times New Roman" w:cs="Times New Roman"/>
          <w:b/>
          <w:bCs/>
          <w:color w:val="0D0D0D" w:themeColor="text1" w:themeTint="F2"/>
          <w:kern w:val="2"/>
          <w:sz w:val="20"/>
          <w:szCs w:val="20"/>
        </w:rPr>
      </w:pPr>
    </w:p>
    <w:p w14:paraId="4F156157" w14:textId="77777777" w:rsidR="00F831CF" w:rsidRPr="0050797C" w:rsidRDefault="00F831CF" w:rsidP="006D422A">
      <w:pPr>
        <w:tabs>
          <w:tab w:val="left" w:pos="2345"/>
        </w:tabs>
        <w:spacing w:after="0" w:line="240" w:lineRule="auto"/>
        <w:jc w:val="center"/>
        <w:rPr>
          <w:rFonts w:ascii="Times New Roman" w:eastAsia="Calibri" w:hAnsi="Times New Roman" w:cs="Times New Roman"/>
          <w:b/>
          <w:bCs/>
          <w:color w:val="0D0D0D" w:themeColor="text1" w:themeTint="F2"/>
          <w:kern w:val="2"/>
        </w:rPr>
      </w:pPr>
      <w:bookmarkStart w:id="5" w:name="_Toc211593377"/>
    </w:p>
    <w:p w14:paraId="7A86C439" w14:textId="0DA6B25D" w:rsidR="00FF6C3B" w:rsidRDefault="00FF6C3B" w:rsidP="006D422A">
      <w:pPr>
        <w:tabs>
          <w:tab w:val="left" w:pos="2345"/>
        </w:tabs>
        <w:spacing w:after="0" w:line="240" w:lineRule="auto"/>
        <w:jc w:val="center"/>
        <w:rPr>
          <w:rFonts w:ascii="Times New Roman" w:eastAsia="Calibri" w:hAnsi="Times New Roman" w:cs="Times New Roman"/>
          <w:b/>
          <w:color w:val="0D0D0D" w:themeColor="text1" w:themeTint="F2"/>
          <w:kern w:val="2"/>
          <w:sz w:val="20"/>
          <w:szCs w:val="20"/>
        </w:rPr>
      </w:pPr>
      <w:r w:rsidRPr="0074590E">
        <w:rPr>
          <w:rFonts w:ascii="Times New Roman" w:eastAsia="Calibri" w:hAnsi="Times New Roman" w:cs="Times New Roman"/>
          <w:b/>
          <w:bCs/>
          <w:color w:val="0D0D0D" w:themeColor="text1" w:themeTint="F2"/>
          <w:kern w:val="2"/>
          <w:sz w:val="20"/>
          <w:szCs w:val="20"/>
        </w:rPr>
        <w:t>Table</w:t>
      </w:r>
      <w:r w:rsidRPr="00FF6C3B">
        <w:rPr>
          <w:rFonts w:ascii="Times New Roman" w:eastAsia="Calibri" w:hAnsi="Times New Roman" w:cs="Times New Roman"/>
          <w:b/>
          <w:bCs/>
          <w:color w:val="0D0D0D" w:themeColor="text1" w:themeTint="F2"/>
          <w:kern w:val="2"/>
          <w:sz w:val="20"/>
          <w:szCs w:val="20"/>
        </w:rPr>
        <w:t xml:space="preserve"> 4</w:t>
      </w:r>
      <w:r w:rsidR="006D422A">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b/>
          <w:color w:val="0D0D0D" w:themeColor="text1" w:themeTint="F2"/>
          <w:kern w:val="2"/>
          <w:sz w:val="20"/>
          <w:szCs w:val="20"/>
        </w:rPr>
        <w:t>Charging Summary for both Batteries</w:t>
      </w:r>
      <w:bookmarkEnd w:id="5"/>
    </w:p>
    <w:p w14:paraId="5D3B251E" w14:textId="77777777" w:rsidR="006D422A" w:rsidRPr="0050797C" w:rsidRDefault="006D422A" w:rsidP="00FF6C3B">
      <w:pPr>
        <w:tabs>
          <w:tab w:val="left" w:pos="2345"/>
        </w:tabs>
        <w:spacing w:after="0" w:line="240" w:lineRule="auto"/>
        <w:jc w:val="both"/>
        <w:rPr>
          <w:rFonts w:ascii="Times New Roman" w:eastAsia="Calibri" w:hAnsi="Times New Roman" w:cs="Times New Roman"/>
          <w:b/>
          <w:color w:val="0D0D0D" w:themeColor="text1" w:themeTint="F2"/>
          <w:kern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F6C3B" w:rsidRPr="007146C1" w14:paraId="7397320E" w14:textId="77777777" w:rsidTr="003E176B">
        <w:tc>
          <w:tcPr>
            <w:tcW w:w="1803" w:type="dxa"/>
            <w:tcBorders>
              <w:top w:val="single" w:sz="4" w:space="0" w:color="auto"/>
              <w:bottom w:val="single" w:sz="4" w:space="0" w:color="auto"/>
            </w:tcBorders>
          </w:tcPr>
          <w:p w14:paraId="1F22B552" w14:textId="77777777" w:rsidR="00FF6C3B" w:rsidRPr="007146C1" w:rsidRDefault="00FF6C3B" w:rsidP="00FF6C3B">
            <w:pPr>
              <w:jc w:val="both"/>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Battery</w:t>
            </w:r>
          </w:p>
        </w:tc>
        <w:tc>
          <w:tcPr>
            <w:tcW w:w="1803" w:type="dxa"/>
            <w:tcBorders>
              <w:top w:val="single" w:sz="4" w:space="0" w:color="auto"/>
              <w:bottom w:val="single" w:sz="4" w:space="0" w:color="auto"/>
            </w:tcBorders>
          </w:tcPr>
          <w:p w14:paraId="1192D2F3" w14:textId="77777777" w:rsidR="00FF6C3B" w:rsidRPr="007146C1" w:rsidRDefault="00FF6C3B" w:rsidP="00FF6C3B">
            <w:pPr>
              <w:jc w:val="both"/>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Charging time</w:t>
            </w:r>
          </w:p>
        </w:tc>
        <w:tc>
          <w:tcPr>
            <w:tcW w:w="1803" w:type="dxa"/>
            <w:tcBorders>
              <w:top w:val="single" w:sz="4" w:space="0" w:color="auto"/>
              <w:bottom w:val="single" w:sz="4" w:space="0" w:color="auto"/>
            </w:tcBorders>
          </w:tcPr>
          <w:p w14:paraId="48B364AE" w14:textId="77777777" w:rsidR="00FF6C3B" w:rsidRPr="007146C1" w:rsidRDefault="00FF6C3B" w:rsidP="00FF6C3B">
            <w:pPr>
              <w:jc w:val="both"/>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Charger type</w:t>
            </w:r>
          </w:p>
        </w:tc>
        <w:tc>
          <w:tcPr>
            <w:tcW w:w="1803" w:type="dxa"/>
            <w:tcBorders>
              <w:top w:val="single" w:sz="4" w:space="0" w:color="auto"/>
              <w:bottom w:val="single" w:sz="4" w:space="0" w:color="auto"/>
            </w:tcBorders>
          </w:tcPr>
          <w:p w14:paraId="252A4E17" w14:textId="77777777" w:rsidR="00FF6C3B" w:rsidRPr="007146C1" w:rsidRDefault="00FF6C3B" w:rsidP="00FF6C3B">
            <w:pPr>
              <w:jc w:val="both"/>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Temp. O</w:t>
            </w:r>
            <w:r w:rsidRPr="007146C1">
              <w:rPr>
                <w:rFonts w:ascii="Times New Roman" w:hAnsi="Times New Roman" w:cs="Times New Roman"/>
                <w:b/>
                <w:bCs/>
                <w:color w:val="0D0D0D" w:themeColor="text1" w:themeTint="F2"/>
                <w:sz w:val="18"/>
                <w:szCs w:val="18"/>
                <w:vertAlign w:val="superscript"/>
              </w:rPr>
              <w:t>0</w:t>
            </w:r>
            <w:r w:rsidRPr="007146C1">
              <w:rPr>
                <w:rFonts w:ascii="Times New Roman" w:hAnsi="Times New Roman" w:cs="Times New Roman"/>
                <w:b/>
                <w:bCs/>
                <w:color w:val="0D0D0D" w:themeColor="text1" w:themeTint="F2"/>
                <w:sz w:val="18"/>
                <w:szCs w:val="18"/>
              </w:rPr>
              <w:t>C</w:t>
            </w:r>
          </w:p>
        </w:tc>
        <w:tc>
          <w:tcPr>
            <w:tcW w:w="1804" w:type="dxa"/>
            <w:tcBorders>
              <w:top w:val="single" w:sz="4" w:space="0" w:color="auto"/>
              <w:bottom w:val="single" w:sz="4" w:space="0" w:color="auto"/>
            </w:tcBorders>
          </w:tcPr>
          <w:p w14:paraId="63028AE4" w14:textId="77777777" w:rsidR="00FF6C3B" w:rsidRPr="007146C1" w:rsidRDefault="00FF6C3B" w:rsidP="00FF6C3B">
            <w:pPr>
              <w:jc w:val="both"/>
              <w:rPr>
                <w:rFonts w:ascii="Times New Roman" w:hAnsi="Times New Roman" w:cs="Times New Roman"/>
                <w:b/>
                <w:bCs/>
                <w:color w:val="0D0D0D" w:themeColor="text1" w:themeTint="F2"/>
                <w:sz w:val="18"/>
                <w:szCs w:val="18"/>
              </w:rPr>
            </w:pPr>
            <w:r w:rsidRPr="007146C1">
              <w:rPr>
                <w:rFonts w:ascii="Times New Roman" w:hAnsi="Times New Roman" w:cs="Times New Roman"/>
                <w:b/>
                <w:bCs/>
                <w:color w:val="0D0D0D" w:themeColor="text1" w:themeTint="F2"/>
                <w:sz w:val="18"/>
                <w:szCs w:val="18"/>
              </w:rPr>
              <w:t xml:space="preserve">    Percentage</w:t>
            </w:r>
          </w:p>
        </w:tc>
      </w:tr>
      <w:tr w:rsidR="00FF6C3B" w:rsidRPr="007146C1" w14:paraId="416B8529" w14:textId="77777777" w:rsidTr="003E176B">
        <w:tc>
          <w:tcPr>
            <w:tcW w:w="1803" w:type="dxa"/>
            <w:tcBorders>
              <w:top w:val="single" w:sz="4" w:space="0" w:color="auto"/>
            </w:tcBorders>
          </w:tcPr>
          <w:p w14:paraId="0A682C24"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New</w:t>
            </w:r>
          </w:p>
        </w:tc>
        <w:tc>
          <w:tcPr>
            <w:tcW w:w="1803" w:type="dxa"/>
            <w:tcBorders>
              <w:top w:val="single" w:sz="4" w:space="0" w:color="auto"/>
            </w:tcBorders>
          </w:tcPr>
          <w:p w14:paraId="597207AA"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90 mins</w:t>
            </w:r>
          </w:p>
        </w:tc>
        <w:tc>
          <w:tcPr>
            <w:tcW w:w="1803" w:type="dxa"/>
            <w:tcBorders>
              <w:top w:val="single" w:sz="4" w:space="0" w:color="auto"/>
            </w:tcBorders>
          </w:tcPr>
          <w:p w14:paraId="069CF381"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DC fast (60kW)</w:t>
            </w:r>
          </w:p>
        </w:tc>
        <w:tc>
          <w:tcPr>
            <w:tcW w:w="1803" w:type="dxa"/>
            <w:tcBorders>
              <w:top w:val="single" w:sz="4" w:space="0" w:color="auto"/>
            </w:tcBorders>
          </w:tcPr>
          <w:p w14:paraId="4E36612C"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35</w:t>
            </w:r>
          </w:p>
        </w:tc>
        <w:tc>
          <w:tcPr>
            <w:tcW w:w="1804" w:type="dxa"/>
            <w:tcBorders>
              <w:top w:val="single" w:sz="4" w:space="0" w:color="auto"/>
            </w:tcBorders>
          </w:tcPr>
          <w:p w14:paraId="173AAF80"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 xml:space="preserve">        100 %</w:t>
            </w:r>
          </w:p>
        </w:tc>
      </w:tr>
      <w:tr w:rsidR="00FF6C3B" w:rsidRPr="007146C1" w14:paraId="35C395E5" w14:textId="77777777" w:rsidTr="003E176B">
        <w:tc>
          <w:tcPr>
            <w:tcW w:w="1803" w:type="dxa"/>
          </w:tcPr>
          <w:p w14:paraId="54E0508F" w14:textId="77777777" w:rsidR="00FF6C3B" w:rsidRPr="007146C1" w:rsidRDefault="00FF6C3B" w:rsidP="00FF6C3B">
            <w:pPr>
              <w:jc w:val="both"/>
              <w:rPr>
                <w:rFonts w:ascii="Times New Roman" w:hAnsi="Times New Roman" w:cs="Times New Roman"/>
                <w:color w:val="0D0D0D" w:themeColor="text1" w:themeTint="F2"/>
                <w:sz w:val="18"/>
                <w:szCs w:val="18"/>
              </w:rPr>
            </w:pPr>
          </w:p>
        </w:tc>
        <w:tc>
          <w:tcPr>
            <w:tcW w:w="1803" w:type="dxa"/>
          </w:tcPr>
          <w:p w14:paraId="3C7F4F8C" w14:textId="77777777" w:rsidR="00FF6C3B" w:rsidRPr="007146C1" w:rsidRDefault="00FF6C3B" w:rsidP="00FF6C3B">
            <w:pPr>
              <w:jc w:val="both"/>
              <w:rPr>
                <w:rFonts w:ascii="Times New Roman" w:hAnsi="Times New Roman" w:cs="Times New Roman"/>
                <w:color w:val="0D0D0D" w:themeColor="text1" w:themeTint="F2"/>
                <w:sz w:val="18"/>
                <w:szCs w:val="18"/>
              </w:rPr>
            </w:pPr>
          </w:p>
        </w:tc>
        <w:tc>
          <w:tcPr>
            <w:tcW w:w="1803" w:type="dxa"/>
          </w:tcPr>
          <w:p w14:paraId="7B1B8047" w14:textId="77777777" w:rsidR="00FF6C3B" w:rsidRPr="007146C1" w:rsidRDefault="00FF6C3B" w:rsidP="00FF6C3B">
            <w:pPr>
              <w:jc w:val="both"/>
              <w:rPr>
                <w:rFonts w:ascii="Times New Roman" w:hAnsi="Times New Roman" w:cs="Times New Roman"/>
                <w:color w:val="0D0D0D" w:themeColor="text1" w:themeTint="F2"/>
                <w:sz w:val="18"/>
                <w:szCs w:val="18"/>
              </w:rPr>
            </w:pPr>
          </w:p>
        </w:tc>
        <w:tc>
          <w:tcPr>
            <w:tcW w:w="1803" w:type="dxa"/>
          </w:tcPr>
          <w:p w14:paraId="69151C80" w14:textId="77777777" w:rsidR="00FF6C3B" w:rsidRPr="007146C1" w:rsidRDefault="00FF6C3B" w:rsidP="00FF6C3B">
            <w:pPr>
              <w:jc w:val="both"/>
              <w:rPr>
                <w:rFonts w:ascii="Times New Roman" w:hAnsi="Times New Roman" w:cs="Times New Roman"/>
                <w:color w:val="0D0D0D" w:themeColor="text1" w:themeTint="F2"/>
                <w:sz w:val="18"/>
                <w:szCs w:val="18"/>
              </w:rPr>
            </w:pPr>
          </w:p>
        </w:tc>
        <w:tc>
          <w:tcPr>
            <w:tcW w:w="1804" w:type="dxa"/>
          </w:tcPr>
          <w:p w14:paraId="69F34C50" w14:textId="77777777" w:rsidR="00FF6C3B" w:rsidRPr="007146C1" w:rsidRDefault="00FF6C3B" w:rsidP="00FF6C3B">
            <w:pPr>
              <w:jc w:val="both"/>
              <w:rPr>
                <w:rFonts w:ascii="Times New Roman" w:hAnsi="Times New Roman" w:cs="Times New Roman"/>
                <w:color w:val="0D0D0D" w:themeColor="text1" w:themeTint="F2"/>
                <w:sz w:val="18"/>
                <w:szCs w:val="18"/>
              </w:rPr>
            </w:pPr>
          </w:p>
        </w:tc>
      </w:tr>
      <w:tr w:rsidR="00FF6C3B" w:rsidRPr="007146C1" w14:paraId="062278F1" w14:textId="77777777" w:rsidTr="003E176B">
        <w:tc>
          <w:tcPr>
            <w:tcW w:w="1803" w:type="dxa"/>
            <w:tcBorders>
              <w:bottom w:val="single" w:sz="4" w:space="0" w:color="auto"/>
            </w:tcBorders>
          </w:tcPr>
          <w:p w14:paraId="2B5A3D32"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Remanufactured</w:t>
            </w:r>
          </w:p>
        </w:tc>
        <w:tc>
          <w:tcPr>
            <w:tcW w:w="1803" w:type="dxa"/>
            <w:tcBorders>
              <w:bottom w:val="single" w:sz="4" w:space="0" w:color="auto"/>
            </w:tcBorders>
          </w:tcPr>
          <w:p w14:paraId="3FEA7A2F"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120 mins</w:t>
            </w:r>
          </w:p>
        </w:tc>
        <w:tc>
          <w:tcPr>
            <w:tcW w:w="1803" w:type="dxa"/>
            <w:tcBorders>
              <w:bottom w:val="single" w:sz="4" w:space="0" w:color="auto"/>
            </w:tcBorders>
          </w:tcPr>
          <w:p w14:paraId="215E40CE"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DC fast (60kW)</w:t>
            </w:r>
          </w:p>
        </w:tc>
        <w:tc>
          <w:tcPr>
            <w:tcW w:w="1803" w:type="dxa"/>
            <w:tcBorders>
              <w:bottom w:val="single" w:sz="4" w:space="0" w:color="auto"/>
            </w:tcBorders>
          </w:tcPr>
          <w:p w14:paraId="37E8EF9C"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30</w:t>
            </w:r>
          </w:p>
        </w:tc>
        <w:tc>
          <w:tcPr>
            <w:tcW w:w="1804" w:type="dxa"/>
            <w:tcBorders>
              <w:bottom w:val="single" w:sz="4" w:space="0" w:color="auto"/>
            </w:tcBorders>
          </w:tcPr>
          <w:p w14:paraId="7E3D062A" w14:textId="77777777" w:rsidR="00FF6C3B" w:rsidRPr="007146C1" w:rsidRDefault="00FF6C3B" w:rsidP="00FF6C3B">
            <w:pPr>
              <w:jc w:val="both"/>
              <w:rPr>
                <w:rFonts w:ascii="Times New Roman" w:hAnsi="Times New Roman" w:cs="Times New Roman"/>
                <w:color w:val="0D0D0D" w:themeColor="text1" w:themeTint="F2"/>
                <w:sz w:val="18"/>
                <w:szCs w:val="18"/>
              </w:rPr>
            </w:pPr>
            <w:r w:rsidRPr="007146C1">
              <w:rPr>
                <w:rFonts w:ascii="Times New Roman" w:hAnsi="Times New Roman" w:cs="Times New Roman"/>
                <w:color w:val="0D0D0D" w:themeColor="text1" w:themeTint="F2"/>
                <w:sz w:val="18"/>
                <w:szCs w:val="18"/>
              </w:rPr>
              <w:t xml:space="preserve">        100%</w:t>
            </w:r>
          </w:p>
        </w:tc>
      </w:tr>
    </w:tbl>
    <w:p w14:paraId="42BA8D48" w14:textId="77777777" w:rsidR="000426C2" w:rsidRPr="0050797C" w:rsidRDefault="000426C2" w:rsidP="00FF6C3B">
      <w:pPr>
        <w:spacing w:after="0" w:line="240" w:lineRule="auto"/>
        <w:jc w:val="both"/>
        <w:rPr>
          <w:rFonts w:ascii="Times New Roman" w:eastAsia="Times New Roman" w:hAnsi="Times New Roman" w:cs="Times New Roman"/>
          <w:color w:val="0D0D0D" w:themeColor="text1" w:themeTint="F2"/>
          <w:kern w:val="2"/>
        </w:rPr>
      </w:pPr>
    </w:p>
    <w:p w14:paraId="73865671" w14:textId="0E3C84AD" w:rsidR="00FF6C3B" w:rsidRDefault="00FF6C3B" w:rsidP="00FF6C3B">
      <w:pPr>
        <w:spacing w:after="0" w:line="240" w:lineRule="auto"/>
        <w:jc w:val="both"/>
        <w:rPr>
          <w:rFonts w:ascii="Times New Roman" w:eastAsia="Times New Roman" w:hAnsi="Times New Roman" w:cs="Times New Roman"/>
          <w:color w:val="0D0D0D" w:themeColor="text1" w:themeTint="F2"/>
          <w:kern w:val="2"/>
          <w:sz w:val="20"/>
          <w:szCs w:val="20"/>
        </w:rPr>
      </w:pPr>
      <w:r w:rsidRPr="00FF6C3B">
        <w:rPr>
          <w:rFonts w:ascii="Times New Roman" w:eastAsia="Times New Roman" w:hAnsi="Times New Roman" w:cs="Times New Roman"/>
          <w:color w:val="0D0D0D" w:themeColor="text1" w:themeTint="F2"/>
          <w:kern w:val="2"/>
          <w:sz w:val="20"/>
          <w:szCs w:val="20"/>
        </w:rPr>
        <w:t>The remanufactured battery after charging took 120 minutes before reaching 100%, since not all the cells had the ideal voltage (3.6V), especially those cells that were not replaced even after remanufacturing and testing. Some cells had just below 3.5V (mixed cell characteristics).</w:t>
      </w:r>
    </w:p>
    <w:p w14:paraId="44E66752" w14:textId="77777777" w:rsidR="000426C2" w:rsidRPr="00FF6C3B" w:rsidRDefault="000426C2" w:rsidP="00FF6C3B">
      <w:pPr>
        <w:spacing w:after="0" w:line="240" w:lineRule="auto"/>
        <w:jc w:val="both"/>
        <w:rPr>
          <w:rFonts w:ascii="Times New Roman" w:eastAsia="Times New Roman" w:hAnsi="Times New Roman" w:cs="Times New Roman"/>
          <w:color w:val="0D0D0D" w:themeColor="text1" w:themeTint="F2"/>
          <w:kern w:val="2"/>
          <w:sz w:val="20"/>
          <w:szCs w:val="20"/>
        </w:rPr>
      </w:pPr>
    </w:p>
    <w:p w14:paraId="03AF234B" w14:textId="77777777" w:rsidR="00FF6C3B" w:rsidRPr="0022479D" w:rsidRDefault="00FF6C3B" w:rsidP="00FF6C3B">
      <w:pPr>
        <w:spacing w:after="0" w:line="240" w:lineRule="auto"/>
        <w:jc w:val="both"/>
        <w:rPr>
          <w:rFonts w:ascii="Times New Roman" w:eastAsia="Calibri" w:hAnsi="Times New Roman" w:cs="Times New Roman"/>
          <w:b/>
          <w:bCs/>
          <w:color w:val="0D0D0D" w:themeColor="text1" w:themeTint="F2"/>
          <w:kern w:val="2"/>
        </w:rPr>
      </w:pPr>
      <w:r w:rsidRPr="0022479D">
        <w:rPr>
          <w:rFonts w:ascii="Times New Roman" w:eastAsia="Calibri" w:hAnsi="Times New Roman" w:cs="Times New Roman"/>
          <w:b/>
          <w:bCs/>
          <w:color w:val="0D0D0D" w:themeColor="text1" w:themeTint="F2"/>
          <w:kern w:val="2"/>
        </w:rPr>
        <w:t xml:space="preserve">4.2 Road Test </w:t>
      </w:r>
    </w:p>
    <w:p w14:paraId="3925B6C6" w14:textId="77777777" w:rsidR="000426C2" w:rsidRPr="0050797C" w:rsidRDefault="000426C2" w:rsidP="00FF6C3B">
      <w:pPr>
        <w:spacing w:after="0" w:line="240" w:lineRule="auto"/>
        <w:jc w:val="both"/>
        <w:rPr>
          <w:rFonts w:ascii="Times New Roman" w:eastAsia="Calibri" w:hAnsi="Times New Roman" w:cs="Times New Roman"/>
          <w:color w:val="0D0D0D" w:themeColor="text1" w:themeTint="F2"/>
          <w:kern w:val="2"/>
        </w:rPr>
      </w:pPr>
    </w:p>
    <w:p w14:paraId="70E999A2" w14:textId="0781DC79"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 xml:space="preserve">A road test was conducted to assess and compare how different driving conditions impact battery usage on new and remanufactured electric vehicle (EV) batteries, where </w:t>
      </w:r>
      <w:r w:rsidRPr="0074590E">
        <w:rPr>
          <w:rFonts w:ascii="Times New Roman" w:eastAsia="Calibri" w:hAnsi="Times New Roman" w:cs="Times New Roman"/>
          <w:color w:val="0D0D0D" w:themeColor="text1" w:themeTint="F2"/>
          <w:kern w:val="2"/>
          <w:sz w:val="20"/>
          <w:szCs w:val="20"/>
        </w:rPr>
        <w:t>fig</w:t>
      </w:r>
      <w:r w:rsidR="0022479D">
        <w:rPr>
          <w:rFonts w:ascii="Times New Roman" w:eastAsia="Calibri" w:hAnsi="Times New Roman" w:cs="Times New Roman"/>
          <w:color w:val="0D0D0D" w:themeColor="text1" w:themeTint="F2"/>
          <w:kern w:val="2"/>
          <w:sz w:val="20"/>
          <w:szCs w:val="20"/>
        </w:rPr>
        <w:t>s.</w:t>
      </w:r>
      <w:r w:rsidRPr="00FF6C3B">
        <w:rPr>
          <w:rFonts w:ascii="Times New Roman" w:eastAsia="Calibri" w:hAnsi="Times New Roman" w:cs="Times New Roman"/>
          <w:color w:val="0D0D0D" w:themeColor="text1" w:themeTint="F2"/>
          <w:kern w:val="2"/>
          <w:sz w:val="20"/>
          <w:szCs w:val="20"/>
        </w:rPr>
        <w:t xml:space="preserve"> 5, 6, 7 displays the performance results of all batteries, respectively, in the morning, afternoon, and evening after </w:t>
      </w:r>
      <w:bookmarkStart w:id="6" w:name="_Hlk211489084"/>
      <w:r w:rsidRPr="00FF6C3B">
        <w:rPr>
          <w:rFonts w:ascii="Times New Roman" w:eastAsia="Calibri" w:hAnsi="Times New Roman" w:cs="Times New Roman"/>
          <w:color w:val="0D0D0D" w:themeColor="text1" w:themeTint="F2"/>
          <w:kern w:val="2"/>
          <w:sz w:val="20"/>
          <w:szCs w:val="20"/>
        </w:rPr>
        <w:t xml:space="preserve">the road test focusing on the distance covered (in km), and battery energy used (% drop). </w:t>
      </w:r>
      <w:bookmarkEnd w:id="6"/>
    </w:p>
    <w:p w14:paraId="4A0F65D5" w14:textId="77777777" w:rsidR="000426C2" w:rsidRPr="00FF6C3B" w:rsidRDefault="000426C2" w:rsidP="00FF6C3B">
      <w:pPr>
        <w:spacing w:after="0" w:line="240" w:lineRule="auto"/>
        <w:jc w:val="both"/>
        <w:rPr>
          <w:rFonts w:ascii="Times New Roman" w:eastAsia="Calibri" w:hAnsi="Times New Roman" w:cs="Times New Roman"/>
          <w:color w:val="0D0D0D" w:themeColor="text1" w:themeTint="F2"/>
          <w:kern w:val="2"/>
          <w:sz w:val="20"/>
          <w:szCs w:val="20"/>
        </w:rPr>
      </w:pPr>
    </w:p>
    <w:p w14:paraId="4CB7CE31" w14:textId="77777777" w:rsidR="00FF6C3B" w:rsidRPr="00F65878" w:rsidRDefault="00FF6C3B" w:rsidP="00FF6C3B">
      <w:pPr>
        <w:spacing w:after="0" w:line="240" w:lineRule="auto"/>
        <w:jc w:val="both"/>
        <w:rPr>
          <w:rFonts w:ascii="Times New Roman" w:eastAsia="Calibri" w:hAnsi="Times New Roman" w:cs="Times New Roman"/>
          <w:b/>
          <w:bCs/>
          <w:color w:val="0D0D0D" w:themeColor="text1" w:themeTint="F2"/>
          <w:kern w:val="2"/>
        </w:rPr>
      </w:pPr>
      <w:r w:rsidRPr="00F65878">
        <w:rPr>
          <w:rFonts w:ascii="Times New Roman" w:eastAsia="Calibri" w:hAnsi="Times New Roman" w:cs="Times New Roman"/>
          <w:b/>
          <w:bCs/>
          <w:color w:val="0D0D0D" w:themeColor="text1" w:themeTint="F2"/>
          <w:kern w:val="2"/>
        </w:rPr>
        <w:t>4.3 Performance Comparison</w:t>
      </w:r>
    </w:p>
    <w:p w14:paraId="6C413F22" w14:textId="77777777" w:rsidR="00F65878" w:rsidRPr="0050797C" w:rsidRDefault="00F65878" w:rsidP="00FF6C3B">
      <w:pPr>
        <w:spacing w:after="0" w:line="240" w:lineRule="auto"/>
        <w:jc w:val="both"/>
        <w:rPr>
          <w:rFonts w:ascii="Times New Roman" w:eastAsia="Calibri" w:hAnsi="Times New Roman" w:cs="Times New Roman"/>
          <w:color w:val="0D0D0D" w:themeColor="text1" w:themeTint="F2"/>
          <w:kern w:val="2"/>
        </w:rPr>
      </w:pPr>
    </w:p>
    <w:p w14:paraId="11827CF6" w14:textId="78B6790A" w:rsidR="00CD670C" w:rsidRDefault="00CD670C" w:rsidP="00FF6C3B">
      <w:pPr>
        <w:spacing w:after="0" w:line="240" w:lineRule="auto"/>
        <w:jc w:val="both"/>
        <w:rPr>
          <w:rFonts w:ascii="Times New Roman" w:eastAsia="Calibri" w:hAnsi="Times New Roman" w:cs="Times New Roman"/>
          <w:color w:val="0D0D0D" w:themeColor="text1" w:themeTint="F2"/>
          <w:kern w:val="2"/>
          <w:sz w:val="20"/>
          <w:szCs w:val="20"/>
        </w:rPr>
      </w:pPr>
      <w:r w:rsidRPr="0074590E">
        <w:rPr>
          <w:rFonts w:ascii="Times New Roman" w:eastAsia="Calibri" w:hAnsi="Times New Roman" w:cs="Times New Roman"/>
          <w:color w:val="0D0D0D" w:themeColor="text1" w:themeTint="F2"/>
          <w:kern w:val="2"/>
          <w:sz w:val="20"/>
          <w:szCs w:val="20"/>
        </w:rPr>
        <w:t>Fig</w:t>
      </w:r>
      <w:r>
        <w:rPr>
          <w:rFonts w:ascii="Times New Roman" w:eastAsia="Calibri" w:hAnsi="Times New Roman" w:cs="Times New Roman"/>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5 illustrates the relationship between battery percentage and distance travelled for both the new battery (NB) and the second-life battery (SLB) during the road test in the morning. Distance is plotted on the horizontal axis (x-axis), while the remaining battery percentage is plotted on the vertical axis (y-axis). The graph provides a visual comparison of how the two batteries discharge as the electric vehicle travels increasing distances. It is observed that the battery percentage for both batteries decreases steadily as the distance increases</w:t>
      </w:r>
      <w:r w:rsidRPr="00FF6C3B">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This trend is expected because the electric vehicle continuously consumes energy from the battery during operation. However, the rate of discharge differs slightly between the new battery and the second-life battery</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indicating differences in performance and energy efficiency.</w:t>
      </w:r>
    </w:p>
    <w:p w14:paraId="426E0ED5" w14:textId="401B2402" w:rsidR="00FF6C3B" w:rsidRPr="00FF6C3B" w:rsidRDefault="00FF6C3B" w:rsidP="00FF6C3B">
      <w:pPr>
        <w:spacing w:after="0" w:line="240" w:lineRule="auto"/>
        <w:jc w:val="both"/>
        <w:rPr>
          <w:rFonts w:ascii="Times New Roman" w:eastAsia="Calibri" w:hAnsi="Times New Roman" w:cs="Times New Roman"/>
          <w:b/>
          <w:bCs/>
          <w:i/>
          <w:iCs/>
          <w:color w:val="0D0D0D" w:themeColor="text1" w:themeTint="F2"/>
          <w:kern w:val="2"/>
          <w:sz w:val="20"/>
          <w:szCs w:val="20"/>
        </w:rPr>
      </w:pPr>
      <w:r w:rsidRPr="00FF6C3B">
        <w:rPr>
          <w:rFonts w:ascii="Times New Roman" w:eastAsia="Calibri" w:hAnsi="Times New Roman" w:cs="Times New Roman"/>
          <w:b/>
          <w:bCs/>
          <w:i/>
          <w:iCs/>
          <w:color w:val="0D0D0D" w:themeColor="text1" w:themeTint="F2"/>
          <w:kern w:val="2"/>
          <w:sz w:val="20"/>
          <w:szCs w:val="20"/>
        </w:rPr>
        <w:t>Morning</w:t>
      </w:r>
    </w:p>
    <w:p w14:paraId="133BE3D6" w14:textId="77777777" w:rsidR="00FF6C3B" w:rsidRPr="00FF6C3B" w:rsidRDefault="00FF6C3B" w:rsidP="000426C2">
      <w:pPr>
        <w:spacing w:after="0" w:line="240" w:lineRule="auto"/>
        <w:jc w:val="center"/>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b/>
          <w:bCs/>
          <w:noProof/>
          <w:color w:val="0D0D0D" w:themeColor="text1" w:themeTint="F2"/>
          <w:kern w:val="2"/>
          <w:sz w:val="20"/>
          <w:szCs w:val="20"/>
        </w:rPr>
        <w:lastRenderedPageBreak/>
        <w:drawing>
          <wp:inline distT="0" distB="0" distL="0" distR="0" wp14:anchorId="3255A4BB" wp14:editId="034C3422">
            <wp:extent cx="3587203" cy="2981739"/>
            <wp:effectExtent l="0" t="0" r="0" b="0"/>
            <wp:docPr id="55341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10499" name=""/>
                    <pic:cNvPicPr/>
                  </pic:nvPicPr>
                  <pic:blipFill>
                    <a:blip r:embed="rId12"/>
                    <a:stretch>
                      <a:fillRect/>
                    </a:stretch>
                  </pic:blipFill>
                  <pic:spPr>
                    <a:xfrm>
                      <a:off x="0" y="0"/>
                      <a:ext cx="3637906" cy="3023884"/>
                    </a:xfrm>
                    <a:prstGeom prst="rect">
                      <a:avLst/>
                    </a:prstGeom>
                  </pic:spPr>
                </pic:pic>
              </a:graphicData>
            </a:graphic>
          </wp:inline>
        </w:drawing>
      </w:r>
    </w:p>
    <w:p w14:paraId="7E49937F" w14:textId="77777777" w:rsidR="000426C2" w:rsidRPr="009D24F9" w:rsidRDefault="000426C2" w:rsidP="00FF6C3B">
      <w:pPr>
        <w:spacing w:after="0" w:line="240" w:lineRule="auto"/>
        <w:jc w:val="both"/>
        <w:rPr>
          <w:rFonts w:ascii="Times New Roman" w:eastAsia="Calibri" w:hAnsi="Times New Roman" w:cs="Times New Roman"/>
          <w:b/>
          <w:bCs/>
          <w:noProof/>
          <w:color w:val="0D0D0D" w:themeColor="text1" w:themeTint="F2"/>
          <w:kern w:val="2"/>
          <w:sz w:val="16"/>
          <w:szCs w:val="16"/>
        </w:rPr>
      </w:pPr>
    </w:p>
    <w:p w14:paraId="7BA05624" w14:textId="1F81F869" w:rsidR="00FF6C3B" w:rsidRPr="00FF6C3B" w:rsidRDefault="00FF6C3B" w:rsidP="004D7326">
      <w:pPr>
        <w:spacing w:after="0" w:line="240" w:lineRule="auto"/>
        <w:jc w:val="center"/>
        <w:rPr>
          <w:rFonts w:ascii="Times New Roman" w:eastAsia="Calibri" w:hAnsi="Times New Roman" w:cs="Times New Roman"/>
          <w:b/>
          <w:bCs/>
          <w:noProof/>
          <w:color w:val="0D0D0D" w:themeColor="text1" w:themeTint="F2"/>
          <w:kern w:val="2"/>
          <w:sz w:val="20"/>
          <w:szCs w:val="20"/>
        </w:rPr>
      </w:pPr>
      <w:r w:rsidRPr="0074590E">
        <w:rPr>
          <w:rFonts w:ascii="Times New Roman" w:eastAsia="Calibri" w:hAnsi="Times New Roman" w:cs="Times New Roman"/>
          <w:b/>
          <w:bCs/>
          <w:noProof/>
          <w:color w:val="0D0D0D" w:themeColor="text1" w:themeTint="F2"/>
          <w:kern w:val="2"/>
          <w:sz w:val="20"/>
          <w:szCs w:val="20"/>
        </w:rPr>
        <w:t>Fig</w:t>
      </w:r>
      <w:r w:rsidR="000426C2">
        <w:rPr>
          <w:rFonts w:ascii="Times New Roman" w:eastAsia="Calibri" w:hAnsi="Times New Roman" w:cs="Times New Roman"/>
          <w:b/>
          <w:bCs/>
          <w:noProof/>
          <w:color w:val="0D0D0D" w:themeColor="text1" w:themeTint="F2"/>
          <w:kern w:val="2"/>
          <w:sz w:val="20"/>
          <w:szCs w:val="20"/>
        </w:rPr>
        <w:t xml:space="preserve">. </w:t>
      </w:r>
      <w:r w:rsidRPr="00FF6C3B">
        <w:rPr>
          <w:rFonts w:ascii="Times New Roman" w:eastAsia="Calibri" w:hAnsi="Times New Roman" w:cs="Times New Roman"/>
          <w:b/>
          <w:bCs/>
          <w:noProof/>
          <w:color w:val="0D0D0D" w:themeColor="text1" w:themeTint="F2"/>
          <w:kern w:val="2"/>
          <w:sz w:val="20"/>
          <w:szCs w:val="20"/>
        </w:rPr>
        <w:t>5</w:t>
      </w:r>
      <w:r w:rsidR="000426C2">
        <w:rPr>
          <w:rFonts w:ascii="Times New Roman" w:eastAsia="Calibri" w:hAnsi="Times New Roman" w:cs="Times New Roman"/>
          <w:b/>
          <w:bCs/>
          <w:noProof/>
          <w:color w:val="0D0D0D" w:themeColor="text1" w:themeTint="F2"/>
          <w:kern w:val="2"/>
          <w:sz w:val="20"/>
          <w:szCs w:val="20"/>
        </w:rPr>
        <w:t xml:space="preserve">. </w:t>
      </w:r>
      <w:r w:rsidRPr="00FF6C3B">
        <w:rPr>
          <w:rFonts w:ascii="Times New Roman" w:eastAsia="Calibri" w:hAnsi="Times New Roman" w:cs="Times New Roman"/>
          <w:b/>
          <w:bCs/>
          <w:noProof/>
          <w:color w:val="0D0D0D" w:themeColor="text1" w:themeTint="F2"/>
          <w:kern w:val="2"/>
          <w:sz w:val="20"/>
          <w:szCs w:val="20"/>
        </w:rPr>
        <w:t xml:space="preserve">Battery </w:t>
      </w:r>
      <w:r w:rsidR="000426C2" w:rsidRPr="00FF6C3B">
        <w:rPr>
          <w:rFonts w:ascii="Times New Roman" w:eastAsia="Calibri" w:hAnsi="Times New Roman" w:cs="Times New Roman"/>
          <w:b/>
          <w:bCs/>
          <w:noProof/>
          <w:color w:val="0D0D0D" w:themeColor="text1" w:themeTint="F2"/>
          <w:kern w:val="2"/>
          <w:sz w:val="20"/>
          <w:szCs w:val="20"/>
        </w:rPr>
        <w:t xml:space="preserve">performance </w:t>
      </w:r>
      <w:r w:rsidRPr="00FF6C3B">
        <w:rPr>
          <w:rFonts w:ascii="Times New Roman" w:eastAsia="Calibri" w:hAnsi="Times New Roman" w:cs="Times New Roman"/>
          <w:b/>
          <w:bCs/>
          <w:noProof/>
          <w:color w:val="0D0D0D" w:themeColor="text1" w:themeTint="F2"/>
          <w:kern w:val="2"/>
          <w:sz w:val="20"/>
          <w:szCs w:val="20"/>
        </w:rPr>
        <w:t>(</w:t>
      </w:r>
      <w:r w:rsidR="000426C2" w:rsidRPr="00FF6C3B">
        <w:rPr>
          <w:rFonts w:ascii="Times New Roman" w:eastAsia="Calibri" w:hAnsi="Times New Roman" w:cs="Times New Roman"/>
          <w:b/>
          <w:bCs/>
          <w:noProof/>
          <w:color w:val="0D0D0D" w:themeColor="text1" w:themeTint="F2"/>
          <w:kern w:val="2"/>
          <w:sz w:val="20"/>
          <w:szCs w:val="20"/>
        </w:rPr>
        <w:t>morning</w:t>
      </w:r>
      <w:r w:rsidRPr="00FF6C3B">
        <w:rPr>
          <w:rFonts w:ascii="Times New Roman" w:eastAsia="Calibri" w:hAnsi="Times New Roman" w:cs="Times New Roman"/>
          <w:b/>
          <w:bCs/>
          <w:noProof/>
          <w:color w:val="0D0D0D" w:themeColor="text1" w:themeTint="F2"/>
          <w:kern w:val="2"/>
          <w:sz w:val="20"/>
          <w:szCs w:val="20"/>
        </w:rPr>
        <w:t>)</w:t>
      </w:r>
    </w:p>
    <w:p w14:paraId="5AAE8B94" w14:textId="77777777" w:rsidR="000426C2" w:rsidRPr="009D24F9" w:rsidRDefault="000426C2" w:rsidP="00FF6C3B">
      <w:pPr>
        <w:spacing w:after="0" w:line="240" w:lineRule="auto"/>
        <w:jc w:val="both"/>
        <w:rPr>
          <w:rFonts w:ascii="Times New Roman" w:eastAsia="Calibri" w:hAnsi="Times New Roman" w:cs="Times New Roman"/>
          <w:color w:val="0D0D0D" w:themeColor="text1" w:themeTint="F2"/>
          <w:kern w:val="2"/>
          <w:sz w:val="16"/>
          <w:szCs w:val="16"/>
        </w:rPr>
      </w:pPr>
    </w:p>
    <w:p w14:paraId="440C4B03" w14:textId="77777777"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At the initial stage of the test, both batteries start with relatively high charge levels. The new battery begins at approximately 90%</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while the</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second-life battery begins slightly lower</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at around 85%</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As the vehicle travels further, both batteries experience a gradual reduction in charge. However, the new battery maintains a higher charge level across most of the recorded distances compared to the second-life battery.</w:t>
      </w:r>
    </w:p>
    <w:p w14:paraId="49611DE1" w14:textId="77777777" w:rsidR="009D24F9" w:rsidRPr="007E0587" w:rsidRDefault="009D24F9" w:rsidP="00FF6C3B">
      <w:pPr>
        <w:spacing w:after="0" w:line="240" w:lineRule="auto"/>
        <w:jc w:val="both"/>
        <w:rPr>
          <w:rFonts w:ascii="Times New Roman" w:eastAsia="Calibri" w:hAnsi="Times New Roman" w:cs="Times New Roman"/>
          <w:color w:val="0D0D0D" w:themeColor="text1" w:themeTint="F2"/>
          <w:kern w:val="2"/>
          <w:sz w:val="18"/>
          <w:szCs w:val="18"/>
        </w:rPr>
      </w:pPr>
    </w:p>
    <w:p w14:paraId="26A68EDA" w14:textId="77777777"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Between approximately 0.6 km and 3 km, both batteries show a relatively moderate decline in charge. During this stage, the discharge rates of the two batteries are similar, although the second-life battery exhibits a slightly faster decrease. This suggests that the new battery retains energy more efficiently during the early phase of the journey</w:t>
      </w:r>
      <w:r w:rsidRPr="00FF6C3B">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likely due to its higher capacity and lower internal resistance. As the distance increases beyond 4 km</w:t>
      </w:r>
      <w:r w:rsidRPr="00FF6C3B">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the difference in performance between the two batteries becomes more noticeable. The second-life battery shows a more rapid reduction in charge percentage, indicating that it is consuming stored energy at a faster rate. This </w:t>
      </w:r>
      <w:proofErr w:type="spellStart"/>
      <w:r w:rsidRPr="00FF6C3B">
        <w:rPr>
          <w:rFonts w:ascii="Times New Roman" w:eastAsia="Calibri" w:hAnsi="Times New Roman" w:cs="Times New Roman"/>
          <w:color w:val="0D0D0D" w:themeColor="text1" w:themeTint="F2"/>
          <w:kern w:val="2"/>
          <w:sz w:val="20"/>
          <w:szCs w:val="20"/>
        </w:rPr>
        <w:t>behaviour</w:t>
      </w:r>
      <w:proofErr w:type="spellEnd"/>
      <w:r w:rsidRPr="00FF6C3B">
        <w:rPr>
          <w:rFonts w:ascii="Times New Roman" w:eastAsia="Calibri" w:hAnsi="Times New Roman" w:cs="Times New Roman"/>
          <w:color w:val="0D0D0D" w:themeColor="text1" w:themeTint="F2"/>
          <w:kern w:val="2"/>
          <w:sz w:val="20"/>
          <w:szCs w:val="20"/>
        </w:rPr>
        <w:t xml:space="preserve"> is consistent with the characteristics of aged or reused lithium-ion batteries, which typically experience capacity loss and increased internal resistance over time.</w:t>
      </w:r>
    </w:p>
    <w:p w14:paraId="3EE45887" w14:textId="77777777" w:rsidR="000426C2" w:rsidRPr="007E0587" w:rsidRDefault="000426C2" w:rsidP="00FF6C3B">
      <w:pPr>
        <w:spacing w:after="0" w:line="240" w:lineRule="auto"/>
        <w:jc w:val="both"/>
        <w:rPr>
          <w:rFonts w:ascii="Times New Roman" w:eastAsia="Calibri" w:hAnsi="Times New Roman" w:cs="Times New Roman"/>
          <w:color w:val="0D0D0D" w:themeColor="text1" w:themeTint="F2"/>
          <w:kern w:val="2"/>
          <w:sz w:val="18"/>
          <w:szCs w:val="18"/>
        </w:rPr>
      </w:pPr>
    </w:p>
    <w:p w14:paraId="5EC31616" w14:textId="77777777"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At distances beyond approximately 6 km, the discharge gap between the two batteries becomes clearer. The new battery maintains a higher percentage of remaining charge, while the second-life battery drops to lower levels more quickly. This suggests that the second-life battery has reduced energy storage capability, which limits the driving range compared to the new battery.</w:t>
      </w:r>
    </w:p>
    <w:p w14:paraId="7B44249A" w14:textId="77777777" w:rsidR="000426C2" w:rsidRPr="007E0587" w:rsidRDefault="000426C2" w:rsidP="00FF6C3B">
      <w:pPr>
        <w:spacing w:after="0" w:line="240" w:lineRule="auto"/>
        <w:jc w:val="both"/>
        <w:rPr>
          <w:rFonts w:ascii="Times New Roman" w:eastAsia="Calibri" w:hAnsi="Times New Roman" w:cs="Times New Roman"/>
          <w:color w:val="0D0D0D" w:themeColor="text1" w:themeTint="F2"/>
          <w:kern w:val="2"/>
          <w:sz w:val="18"/>
          <w:szCs w:val="18"/>
        </w:rPr>
      </w:pPr>
    </w:p>
    <w:p w14:paraId="7D334279" w14:textId="77777777"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 xml:space="preserve">The relationship between battery percentage and travel distance was </w:t>
      </w:r>
      <w:proofErr w:type="spellStart"/>
      <w:r w:rsidRPr="00FF6C3B">
        <w:rPr>
          <w:rFonts w:ascii="Times New Roman" w:eastAsia="Calibri" w:hAnsi="Times New Roman" w:cs="Times New Roman"/>
          <w:color w:val="0D0D0D" w:themeColor="text1" w:themeTint="F2"/>
          <w:kern w:val="2"/>
          <w:sz w:val="20"/>
          <w:szCs w:val="20"/>
        </w:rPr>
        <w:t>analysed</w:t>
      </w:r>
      <w:proofErr w:type="spellEnd"/>
      <w:r w:rsidRPr="00FF6C3B">
        <w:rPr>
          <w:rFonts w:ascii="Times New Roman" w:eastAsia="Calibri" w:hAnsi="Times New Roman" w:cs="Times New Roman"/>
          <w:color w:val="0D0D0D" w:themeColor="text1" w:themeTint="F2"/>
          <w:kern w:val="2"/>
          <w:sz w:val="20"/>
          <w:szCs w:val="20"/>
        </w:rPr>
        <w:t xml:space="preserve"> using correlation analysis. The Pearson correlation coefficient (r) was calculated to determine the strength of the relationship between the variables. </w:t>
      </w:r>
    </w:p>
    <w:p w14:paraId="05A95991" w14:textId="77777777" w:rsidR="00FF6C3B" w:rsidRPr="009D24F9" w:rsidRDefault="00FF6C3B" w:rsidP="00FF6C3B">
      <w:pPr>
        <w:spacing w:after="0" w:line="240" w:lineRule="auto"/>
        <w:jc w:val="both"/>
        <w:rPr>
          <w:rFonts w:ascii="Times New Roman" w:eastAsia="Calibri" w:hAnsi="Times New Roman" w:cs="Times New Roman"/>
          <w:color w:val="0D0D0D" w:themeColor="text1" w:themeTint="F2"/>
          <w:kern w:val="2"/>
          <w:sz w:val="16"/>
          <w:szCs w:val="16"/>
        </w:rPr>
      </w:pPr>
    </w:p>
    <w:p w14:paraId="4CDDC28D"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For the Standard Deviation Formula:</w:t>
      </w:r>
    </w:p>
    <w:p w14:paraId="6313EAA2" w14:textId="77777777" w:rsidR="000426C2" w:rsidRPr="009D24F9" w:rsidRDefault="000426C2" w:rsidP="00FF6C3B">
      <w:pPr>
        <w:spacing w:after="0" w:line="240" w:lineRule="auto"/>
        <w:jc w:val="both"/>
        <w:rPr>
          <w:rFonts w:ascii="Times New Roman" w:eastAsia="Calibri" w:hAnsi="Times New Roman" w:cs="Times New Roman"/>
          <w:color w:val="0D0D0D" w:themeColor="text1" w:themeTint="F2"/>
          <w:kern w:val="2"/>
          <w:sz w:val="16"/>
          <w:szCs w:val="16"/>
        </w:rPr>
      </w:pPr>
    </w:p>
    <w:p w14:paraId="727D81DF" w14:textId="77777777" w:rsidR="00FF6C3B" w:rsidRPr="000426C2" w:rsidRDefault="00FF6C3B" w:rsidP="000426C2">
      <w:pPr>
        <w:spacing w:after="0" w:line="240" w:lineRule="auto"/>
        <w:ind w:left="720"/>
        <w:jc w:val="both"/>
        <w:rPr>
          <w:rFonts w:ascii="Times New Roman" w:eastAsia="Times New Roman" w:hAnsi="Times New Roman" w:cs="Times New Roman"/>
          <w:color w:val="0D0D0D" w:themeColor="text1" w:themeTint="F2"/>
          <w:sz w:val="20"/>
          <w:szCs w:val="20"/>
        </w:rPr>
      </w:pPr>
      <m:oMathPara>
        <m:oMathParaPr>
          <m:jc m:val="left"/>
        </m:oMathParaPr>
        <m:oMath>
          <m:r>
            <w:rPr>
              <w:rFonts w:ascii="Cambria Math" w:eastAsia="Times New Roman" w:hAnsi="Cambria Math" w:cs="Times New Roman"/>
              <w:color w:val="0D0D0D" w:themeColor="text1" w:themeTint="F2"/>
              <w:sz w:val="20"/>
              <w:szCs w:val="20"/>
            </w:rPr>
            <m:t>σ=</m:t>
          </m:r>
          <m:rad>
            <m:radPr>
              <m:degHide m:val="1"/>
              <m:ctrlPr>
                <w:rPr>
                  <w:rFonts w:ascii="Cambria Math" w:eastAsia="Times New Roman" w:hAnsi="Cambria Math" w:cs="Times New Roman"/>
                  <w:color w:val="0D0D0D" w:themeColor="text1" w:themeTint="F2"/>
                  <w:sz w:val="20"/>
                  <w:szCs w:val="20"/>
                </w:rPr>
              </m:ctrlPr>
            </m:radPr>
            <m:deg/>
            <m:e>
              <m:f>
                <m:fPr>
                  <m:ctrlPr>
                    <w:rPr>
                      <w:rFonts w:ascii="Cambria Math" w:eastAsia="Times New Roman" w:hAnsi="Cambria Math" w:cs="Times New Roman"/>
                      <w:color w:val="0D0D0D" w:themeColor="text1" w:themeTint="F2"/>
                      <w:sz w:val="20"/>
                      <w:szCs w:val="20"/>
                    </w:rPr>
                  </m:ctrlPr>
                </m:fPr>
                <m:num>
                  <m:r>
                    <w:rPr>
                      <w:rFonts w:ascii="Cambria Math" w:eastAsia="Times New Roman" w:hAnsi="Cambria Math" w:cs="Times New Roman"/>
                      <w:color w:val="0D0D0D" w:themeColor="text1" w:themeTint="F2"/>
                      <w:sz w:val="20"/>
                      <w:szCs w:val="20"/>
                    </w:rPr>
                    <m:t>∑(</m:t>
                  </m:r>
                  <m:sSub>
                    <m:sSubPr>
                      <m:ctrlPr>
                        <w:rPr>
                          <w:rFonts w:ascii="Cambria Math" w:eastAsia="Times New Roman" w:hAnsi="Cambria Math" w:cs="Times New Roman"/>
                          <w:color w:val="0D0D0D" w:themeColor="text1" w:themeTint="F2"/>
                          <w:sz w:val="20"/>
                          <w:szCs w:val="20"/>
                        </w:rPr>
                      </m:ctrlPr>
                    </m:sSubPr>
                    <m:e>
                      <m:r>
                        <w:rPr>
                          <w:rFonts w:ascii="Cambria Math" w:eastAsia="Times New Roman" w:hAnsi="Cambria Math" w:cs="Times New Roman"/>
                          <w:color w:val="0D0D0D" w:themeColor="text1" w:themeTint="F2"/>
                          <w:sz w:val="20"/>
                          <w:szCs w:val="20"/>
                        </w:rPr>
                        <m:t>x</m:t>
                      </m:r>
                    </m:e>
                    <m:sub>
                      <m:r>
                        <w:rPr>
                          <w:rFonts w:ascii="Cambria Math" w:eastAsia="Times New Roman" w:hAnsi="Cambria Math" w:cs="Times New Roman"/>
                          <w:color w:val="0D0D0D" w:themeColor="text1" w:themeTint="F2"/>
                          <w:sz w:val="20"/>
                          <w:szCs w:val="20"/>
                        </w:rPr>
                        <m:t>i</m:t>
                      </m:r>
                    </m:sub>
                  </m:sSub>
                  <m:r>
                    <w:rPr>
                      <w:rFonts w:ascii="Cambria Math" w:eastAsia="Times New Roman" w:hAnsi="Cambria Math" w:cs="Times New Roman"/>
                      <w:color w:val="0D0D0D" w:themeColor="text1" w:themeTint="F2"/>
                      <w:sz w:val="20"/>
                      <w:szCs w:val="20"/>
                    </w:rPr>
                    <m:t>-μ</m:t>
                  </m:r>
                  <m:sSup>
                    <m:sSupPr>
                      <m:ctrlPr>
                        <w:rPr>
                          <w:rFonts w:ascii="Cambria Math" w:eastAsia="Times New Roman" w:hAnsi="Cambria Math" w:cs="Times New Roman"/>
                          <w:color w:val="0D0D0D" w:themeColor="text1" w:themeTint="F2"/>
                          <w:sz w:val="20"/>
                          <w:szCs w:val="20"/>
                        </w:rPr>
                      </m:ctrlPr>
                    </m:sSupPr>
                    <m:e>
                      <m:r>
                        <w:rPr>
                          <w:rFonts w:ascii="Cambria Math" w:eastAsia="Times New Roman" w:hAnsi="Cambria Math" w:cs="Times New Roman"/>
                          <w:color w:val="0D0D0D" w:themeColor="text1" w:themeTint="F2"/>
                          <w:sz w:val="20"/>
                          <w:szCs w:val="20"/>
                        </w:rPr>
                        <m:t>)</m:t>
                      </m:r>
                    </m:e>
                    <m:sup>
                      <m:r>
                        <w:rPr>
                          <w:rFonts w:ascii="Cambria Math" w:eastAsia="Times New Roman" w:hAnsi="Cambria Math" w:cs="Times New Roman"/>
                          <w:color w:val="0D0D0D" w:themeColor="text1" w:themeTint="F2"/>
                          <w:sz w:val="20"/>
                          <w:szCs w:val="20"/>
                        </w:rPr>
                        <m:t>2</m:t>
                      </m:r>
                    </m:sup>
                  </m:sSup>
                </m:num>
                <m:den>
                  <m:r>
                    <w:rPr>
                      <w:rFonts w:ascii="Cambria Math" w:eastAsia="Times New Roman" w:hAnsi="Cambria Math" w:cs="Times New Roman"/>
                      <w:color w:val="0D0D0D" w:themeColor="text1" w:themeTint="F2"/>
                      <w:sz w:val="20"/>
                      <w:szCs w:val="20"/>
                    </w:rPr>
                    <m:t>N</m:t>
                  </m:r>
                </m:den>
              </m:f>
            </m:e>
          </m:rad>
        </m:oMath>
      </m:oMathPara>
    </w:p>
    <w:p w14:paraId="53EC425E" w14:textId="4FA9B39E" w:rsidR="00FF6C3B" w:rsidRPr="009D24F9" w:rsidRDefault="00FF6C3B" w:rsidP="00FF6C3B">
      <w:pPr>
        <w:spacing w:after="0" w:line="240" w:lineRule="auto"/>
        <w:jc w:val="both"/>
        <w:rPr>
          <w:rFonts w:ascii="Times New Roman" w:eastAsia="Times New Roman" w:hAnsi="Times New Roman" w:cs="Times New Roman"/>
          <w:color w:val="0D0D0D" w:themeColor="text1" w:themeTint="F2"/>
          <w:sz w:val="16"/>
          <w:szCs w:val="16"/>
        </w:rPr>
      </w:pPr>
      <w:r w:rsidRPr="00FF6C3B">
        <w:rPr>
          <w:rFonts w:ascii="Times New Roman" w:eastAsia="Times New Roman" w:hAnsi="Times New Roman" w:cs="Times New Roman"/>
          <w:color w:val="0D0D0D" w:themeColor="text1" w:themeTint="F2"/>
          <w:sz w:val="20"/>
          <w:szCs w:val="20"/>
        </w:rPr>
        <w:t xml:space="preserve">                                                                                                                                    </w:t>
      </w:r>
      <w:r w:rsidR="008917F2">
        <w:rPr>
          <w:rFonts w:ascii="Times New Roman" w:eastAsia="Times New Roman" w:hAnsi="Times New Roman" w:cs="Times New Roman"/>
          <w:color w:val="0D0D0D" w:themeColor="text1" w:themeTint="F2"/>
          <w:sz w:val="20"/>
          <w:szCs w:val="20"/>
        </w:rPr>
        <w:t xml:space="preserve">                                     </w:t>
      </w:r>
      <w:r w:rsidRPr="00FF6C3B">
        <w:rPr>
          <w:rFonts w:ascii="Times New Roman" w:eastAsia="Times New Roman" w:hAnsi="Times New Roman" w:cs="Times New Roman"/>
          <w:color w:val="0D0D0D" w:themeColor="text1" w:themeTint="F2"/>
          <w:sz w:val="20"/>
          <w:szCs w:val="20"/>
        </w:rPr>
        <w:t xml:space="preserve"> </w:t>
      </w:r>
      <w:proofErr w:type="spellStart"/>
      <w:r w:rsidRPr="00FF6C3B">
        <w:rPr>
          <w:rFonts w:ascii="Times New Roman" w:eastAsia="Times New Roman" w:hAnsi="Times New Roman" w:cs="Times New Roman"/>
          <w:color w:val="0D0D0D" w:themeColor="text1" w:themeTint="F2"/>
          <w:sz w:val="20"/>
          <w:szCs w:val="20"/>
        </w:rPr>
        <w:t>Equ</w:t>
      </w:r>
      <w:proofErr w:type="spellEnd"/>
      <w:r w:rsidRPr="00FF6C3B">
        <w:rPr>
          <w:rFonts w:ascii="Times New Roman" w:eastAsia="Times New Roman" w:hAnsi="Times New Roman" w:cs="Times New Roman"/>
          <w:color w:val="0D0D0D" w:themeColor="text1" w:themeTint="F2"/>
          <w:sz w:val="20"/>
          <w:szCs w:val="20"/>
        </w:rPr>
        <w:t>. 2</w:t>
      </w:r>
      <m:oMath>
        <m:r>
          <m:rPr>
            <m:sty m:val="p"/>
          </m:rPr>
          <w:rPr>
            <w:rFonts w:ascii="Cambria Math" w:eastAsia="Times New Roman" w:hAnsi="Cambria Math" w:cs="Times New Roman"/>
            <w:color w:val="0D0D0D" w:themeColor="text1" w:themeTint="F2"/>
            <w:sz w:val="20"/>
            <w:szCs w:val="20"/>
          </w:rPr>
          <w:br/>
        </m:r>
      </m:oMath>
    </w:p>
    <w:p w14:paraId="29BB01D1"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Where:</w:t>
      </w:r>
    </w:p>
    <w:p w14:paraId="453132B0" w14:textId="77777777" w:rsidR="008917F2" w:rsidRPr="009D24F9" w:rsidRDefault="008917F2" w:rsidP="00FF6C3B">
      <w:pPr>
        <w:spacing w:after="0" w:line="240" w:lineRule="auto"/>
        <w:jc w:val="both"/>
        <w:rPr>
          <w:rFonts w:ascii="Times New Roman" w:eastAsia="Times New Roman" w:hAnsi="Times New Roman" w:cs="Times New Roman"/>
          <w:color w:val="0D0D0D" w:themeColor="text1" w:themeTint="F2"/>
          <w:sz w:val="16"/>
          <w:szCs w:val="16"/>
        </w:rPr>
      </w:pPr>
    </w:p>
    <w:p w14:paraId="06417776" w14:textId="77777777" w:rsidR="00FF6C3B" w:rsidRPr="00FF6C3B" w:rsidRDefault="00FF6C3B" w:rsidP="008917F2">
      <w:pPr>
        <w:numPr>
          <w:ilvl w:val="0"/>
          <w:numId w:val="3"/>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σ</m:t>
        </m:r>
      </m:oMath>
      <w:r w:rsidRPr="00FF6C3B">
        <w:rPr>
          <w:rFonts w:ascii="Times New Roman" w:eastAsia="Times New Roman" w:hAnsi="Times New Roman" w:cs="Times New Roman"/>
          <w:color w:val="0D0D0D" w:themeColor="text1" w:themeTint="F2"/>
          <w:sz w:val="20"/>
          <w:szCs w:val="20"/>
        </w:rPr>
        <w:t>= standard deviation</w:t>
      </w:r>
    </w:p>
    <w:p w14:paraId="189096C1" w14:textId="77777777" w:rsidR="00FF6C3B" w:rsidRPr="00FF6C3B" w:rsidRDefault="006E4437" w:rsidP="008917F2">
      <w:pPr>
        <w:numPr>
          <w:ilvl w:val="0"/>
          <w:numId w:val="3"/>
        </w:numPr>
        <w:spacing w:after="0" w:line="240" w:lineRule="auto"/>
        <w:jc w:val="both"/>
        <w:rPr>
          <w:rFonts w:ascii="Times New Roman" w:eastAsia="Times New Roman" w:hAnsi="Times New Roman" w:cs="Times New Roman"/>
          <w:color w:val="0D0D0D" w:themeColor="text1" w:themeTint="F2"/>
          <w:sz w:val="20"/>
          <w:szCs w:val="20"/>
        </w:rPr>
      </w:pPr>
      <m:oMath>
        <m:sSub>
          <m:sSubPr>
            <m:ctrlPr>
              <w:rPr>
                <w:rFonts w:ascii="Cambria Math" w:eastAsia="Times New Roman" w:hAnsi="Cambria Math" w:cs="Times New Roman"/>
                <w:color w:val="0D0D0D" w:themeColor="text1" w:themeTint="F2"/>
                <w:sz w:val="20"/>
                <w:szCs w:val="20"/>
              </w:rPr>
            </m:ctrlPr>
          </m:sSubPr>
          <m:e>
            <m:r>
              <w:rPr>
                <w:rFonts w:ascii="Cambria Math" w:eastAsia="Times New Roman" w:hAnsi="Cambria Math" w:cs="Times New Roman"/>
                <w:color w:val="0D0D0D" w:themeColor="text1" w:themeTint="F2"/>
                <w:sz w:val="20"/>
                <w:szCs w:val="20"/>
              </w:rPr>
              <m:t>x</m:t>
            </m:r>
          </m:e>
          <m:sub>
            <m:r>
              <w:rPr>
                <w:rFonts w:ascii="Cambria Math" w:eastAsia="Times New Roman" w:hAnsi="Cambria Math" w:cs="Times New Roman"/>
                <w:color w:val="0D0D0D" w:themeColor="text1" w:themeTint="F2"/>
                <w:sz w:val="20"/>
                <w:szCs w:val="20"/>
              </w:rPr>
              <m:t>i</m:t>
            </m:r>
          </m:sub>
        </m:sSub>
      </m:oMath>
      <w:r w:rsidR="00FF6C3B" w:rsidRPr="00FF6C3B">
        <w:rPr>
          <w:rFonts w:ascii="Times New Roman" w:eastAsia="Times New Roman" w:hAnsi="Times New Roman" w:cs="Times New Roman"/>
          <w:color w:val="0D0D0D" w:themeColor="text1" w:themeTint="F2"/>
          <w:sz w:val="20"/>
          <w:szCs w:val="20"/>
        </w:rPr>
        <w:t>= each observed value</w:t>
      </w:r>
    </w:p>
    <w:p w14:paraId="7DF41605" w14:textId="77777777" w:rsidR="00FF6C3B" w:rsidRPr="00FF6C3B" w:rsidRDefault="00FF6C3B" w:rsidP="008917F2">
      <w:pPr>
        <w:numPr>
          <w:ilvl w:val="0"/>
          <w:numId w:val="3"/>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w:lastRenderedPageBreak/>
          <m:t>μ</m:t>
        </m:r>
      </m:oMath>
      <w:r w:rsidRPr="00FF6C3B">
        <w:rPr>
          <w:rFonts w:ascii="Times New Roman" w:eastAsia="Times New Roman" w:hAnsi="Times New Roman" w:cs="Times New Roman"/>
          <w:color w:val="0D0D0D" w:themeColor="text1" w:themeTint="F2"/>
          <w:sz w:val="20"/>
          <w:szCs w:val="20"/>
        </w:rPr>
        <w:t>= mean of the data</w:t>
      </w:r>
    </w:p>
    <w:p w14:paraId="17FDA898" w14:textId="77777777" w:rsidR="00FF6C3B" w:rsidRPr="00FF6C3B" w:rsidRDefault="00FF6C3B" w:rsidP="008917F2">
      <w:pPr>
        <w:numPr>
          <w:ilvl w:val="0"/>
          <w:numId w:val="3"/>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N</m:t>
        </m:r>
      </m:oMath>
      <w:r w:rsidRPr="00FF6C3B">
        <w:rPr>
          <w:rFonts w:ascii="Times New Roman" w:eastAsia="Times New Roman" w:hAnsi="Times New Roman" w:cs="Times New Roman"/>
          <w:color w:val="0D0D0D" w:themeColor="text1" w:themeTint="F2"/>
          <w:sz w:val="20"/>
          <w:szCs w:val="20"/>
        </w:rPr>
        <w:t>= total number of observations</w:t>
      </w:r>
    </w:p>
    <w:p w14:paraId="79397C8C" w14:textId="77777777" w:rsidR="00FF6C3B" w:rsidRPr="00FF6C3B" w:rsidRDefault="00FF6C3B" w:rsidP="008917F2">
      <w:pPr>
        <w:numPr>
          <w:ilvl w:val="0"/>
          <w:numId w:val="3"/>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m:t>
        </m:r>
      </m:oMath>
      <w:r w:rsidRPr="00FF6C3B">
        <w:rPr>
          <w:rFonts w:ascii="Times New Roman" w:eastAsia="Times New Roman" w:hAnsi="Times New Roman" w:cs="Times New Roman"/>
          <w:color w:val="0D0D0D" w:themeColor="text1" w:themeTint="F2"/>
          <w:sz w:val="20"/>
          <w:szCs w:val="20"/>
        </w:rPr>
        <w:t>= summation of all values</w:t>
      </w:r>
    </w:p>
    <w:p w14:paraId="3C96100C" w14:textId="77777777" w:rsidR="008917F2" w:rsidRDefault="008917F2" w:rsidP="00FF6C3B">
      <w:pPr>
        <w:spacing w:after="0" w:line="240" w:lineRule="auto"/>
        <w:jc w:val="both"/>
        <w:rPr>
          <w:rFonts w:ascii="Times New Roman" w:eastAsia="Times New Roman" w:hAnsi="Times New Roman" w:cs="Times New Roman"/>
          <w:color w:val="0D0D0D" w:themeColor="text1" w:themeTint="F2"/>
          <w:sz w:val="20"/>
          <w:szCs w:val="20"/>
        </w:rPr>
      </w:pPr>
    </w:p>
    <w:p w14:paraId="2D6C02F1" w14:textId="0B725791"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Standard deviation measures the spread or variability of data around the mean. Therefore, for EV batteries, it shows how consistent the battery discharge values are across the distance measurements</w:t>
      </w:r>
      <w:r w:rsidRPr="00FF6C3B">
        <w:rPr>
          <w:rFonts w:ascii="Times New Roman" w:eastAsia="Times New Roman" w:hAnsi="Times New Roman" w:cs="Times New Roman"/>
          <w:b/>
          <w:bCs/>
          <w:color w:val="0D0D0D" w:themeColor="text1" w:themeTint="F2"/>
          <w:sz w:val="20"/>
          <w:szCs w:val="20"/>
        </w:rPr>
        <w:t xml:space="preserve">. </w:t>
      </w:r>
      <w:r w:rsidRPr="00FF6C3B">
        <w:rPr>
          <w:rFonts w:ascii="Times New Roman" w:eastAsia="Times New Roman" w:hAnsi="Times New Roman" w:cs="Times New Roman"/>
          <w:color w:val="0D0D0D" w:themeColor="text1" w:themeTint="F2"/>
          <w:sz w:val="20"/>
          <w:szCs w:val="20"/>
        </w:rPr>
        <w:t>Low standard deviation: (battery performance is s</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and predic</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High standard deviation: (battery discharge varies significantly, indicating uns</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performance).</w:t>
      </w:r>
    </w:p>
    <w:p w14:paraId="23B9A999" w14:textId="77777777" w:rsidR="00FF6C3B" w:rsidRPr="00FF6C3B" w:rsidRDefault="00FF6C3B" w:rsidP="00FF6C3B">
      <w:pPr>
        <w:spacing w:after="0" w:line="240" w:lineRule="auto"/>
        <w:jc w:val="both"/>
        <w:rPr>
          <w:rFonts w:ascii="Times New Roman" w:eastAsia="Times New Roman" w:hAnsi="Times New Roman" w:cs="Times New Roman"/>
          <w:b/>
          <w:bCs/>
          <w:color w:val="0D0D0D" w:themeColor="text1" w:themeTint="F2"/>
          <w:sz w:val="20"/>
          <w:szCs w:val="20"/>
        </w:rPr>
      </w:pPr>
    </w:p>
    <w:p w14:paraId="24AC2874"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For Pearson Correlation Coefficient:</w:t>
      </w:r>
    </w:p>
    <w:p w14:paraId="337BAEDE" w14:textId="77777777" w:rsidR="00A552B3" w:rsidRPr="00FF6C3B" w:rsidRDefault="00A552B3" w:rsidP="00FF6C3B">
      <w:pPr>
        <w:spacing w:after="0" w:line="240" w:lineRule="auto"/>
        <w:jc w:val="both"/>
        <w:rPr>
          <w:rFonts w:ascii="Times New Roman" w:eastAsia="Times New Roman" w:hAnsi="Times New Roman" w:cs="Times New Roman"/>
          <w:color w:val="0D0D0D" w:themeColor="text1" w:themeTint="F2"/>
          <w:sz w:val="20"/>
          <w:szCs w:val="20"/>
        </w:rPr>
      </w:pPr>
    </w:p>
    <w:p w14:paraId="7B98A3C2" w14:textId="77777777" w:rsidR="00FF6C3B" w:rsidRPr="00A552B3" w:rsidRDefault="00FF6C3B" w:rsidP="00A552B3">
      <w:pPr>
        <w:spacing w:after="0" w:line="240" w:lineRule="auto"/>
        <w:ind w:left="720"/>
        <w:jc w:val="both"/>
        <w:rPr>
          <w:rFonts w:ascii="Times New Roman" w:eastAsia="Times New Roman" w:hAnsi="Times New Roman" w:cs="Times New Roman"/>
          <w:color w:val="0D0D0D" w:themeColor="text1" w:themeTint="F2"/>
          <w:sz w:val="20"/>
          <w:szCs w:val="20"/>
        </w:rPr>
      </w:pPr>
      <m:oMathPara>
        <m:oMathParaPr>
          <m:jc m:val="left"/>
        </m:oMathParaPr>
        <m:oMath>
          <m:r>
            <w:rPr>
              <w:rFonts w:ascii="Cambria Math" w:eastAsia="Times New Roman" w:hAnsi="Cambria Math" w:cs="Times New Roman"/>
              <w:color w:val="0D0D0D" w:themeColor="text1" w:themeTint="F2"/>
              <w:sz w:val="20"/>
              <w:szCs w:val="20"/>
            </w:rPr>
            <m:t>r=</m:t>
          </m:r>
          <m:f>
            <m:fPr>
              <m:ctrlPr>
                <w:rPr>
                  <w:rFonts w:ascii="Cambria Math" w:eastAsia="Times New Roman" w:hAnsi="Cambria Math" w:cs="Times New Roman"/>
                  <w:color w:val="0D0D0D" w:themeColor="text1" w:themeTint="F2"/>
                  <w:sz w:val="20"/>
                  <w:szCs w:val="20"/>
                </w:rPr>
              </m:ctrlPr>
            </m:fPr>
            <m:num>
              <m:r>
                <w:rPr>
                  <w:rFonts w:ascii="Cambria Math" w:eastAsia="Times New Roman" w:hAnsi="Cambria Math" w:cs="Times New Roman"/>
                  <w:color w:val="0D0D0D" w:themeColor="text1" w:themeTint="F2"/>
                  <w:sz w:val="20"/>
                  <w:szCs w:val="20"/>
                </w:rPr>
                <m:t>∑(x-</m:t>
              </m:r>
              <m:acc>
                <m:accPr>
                  <m:chr m:val="ˉ"/>
                  <m:ctrlPr>
                    <w:rPr>
                      <w:rFonts w:ascii="Cambria Math" w:eastAsia="Times New Roman" w:hAnsi="Cambria Math" w:cs="Times New Roman"/>
                      <w:color w:val="0D0D0D" w:themeColor="text1" w:themeTint="F2"/>
                      <w:sz w:val="20"/>
                      <w:szCs w:val="20"/>
                    </w:rPr>
                  </m:ctrlPr>
                </m:accPr>
                <m:e>
                  <m:r>
                    <w:rPr>
                      <w:rFonts w:ascii="Cambria Math" w:eastAsia="Times New Roman" w:hAnsi="Cambria Math" w:cs="Times New Roman"/>
                      <w:color w:val="0D0D0D" w:themeColor="text1" w:themeTint="F2"/>
                      <w:sz w:val="20"/>
                      <w:szCs w:val="20"/>
                    </w:rPr>
                    <m:t>x</m:t>
                  </m:r>
                </m:e>
              </m:acc>
              <m:r>
                <w:rPr>
                  <w:rFonts w:ascii="Cambria Math" w:eastAsia="Times New Roman" w:hAnsi="Cambria Math" w:cs="Times New Roman"/>
                  <w:color w:val="0D0D0D" w:themeColor="text1" w:themeTint="F2"/>
                  <w:sz w:val="20"/>
                  <w:szCs w:val="20"/>
                </w:rPr>
                <m:t>)(y-</m:t>
              </m:r>
              <m:acc>
                <m:accPr>
                  <m:chr m:val="ˉ"/>
                  <m:ctrlPr>
                    <w:rPr>
                      <w:rFonts w:ascii="Cambria Math" w:eastAsia="Times New Roman" w:hAnsi="Cambria Math" w:cs="Times New Roman"/>
                      <w:color w:val="0D0D0D" w:themeColor="text1" w:themeTint="F2"/>
                      <w:sz w:val="20"/>
                      <w:szCs w:val="20"/>
                    </w:rPr>
                  </m:ctrlPr>
                </m:accPr>
                <m:e>
                  <m:r>
                    <w:rPr>
                      <w:rFonts w:ascii="Cambria Math" w:eastAsia="Times New Roman" w:hAnsi="Cambria Math" w:cs="Times New Roman"/>
                      <w:color w:val="0D0D0D" w:themeColor="text1" w:themeTint="F2"/>
                      <w:sz w:val="20"/>
                      <w:szCs w:val="20"/>
                    </w:rPr>
                    <m:t>y</m:t>
                  </m:r>
                </m:e>
              </m:acc>
              <m:r>
                <w:rPr>
                  <w:rFonts w:ascii="Cambria Math" w:eastAsia="Times New Roman" w:hAnsi="Cambria Math" w:cs="Times New Roman"/>
                  <w:color w:val="0D0D0D" w:themeColor="text1" w:themeTint="F2"/>
                  <w:sz w:val="20"/>
                  <w:szCs w:val="20"/>
                </w:rPr>
                <m:t>)</m:t>
              </m:r>
            </m:num>
            <m:den>
              <m:rad>
                <m:radPr>
                  <m:degHide m:val="1"/>
                  <m:ctrlPr>
                    <w:rPr>
                      <w:rFonts w:ascii="Cambria Math" w:eastAsia="Times New Roman" w:hAnsi="Cambria Math" w:cs="Times New Roman"/>
                      <w:color w:val="0D0D0D" w:themeColor="text1" w:themeTint="F2"/>
                      <w:sz w:val="20"/>
                      <w:szCs w:val="20"/>
                    </w:rPr>
                  </m:ctrlPr>
                </m:radPr>
                <m:deg/>
                <m:e>
                  <m:r>
                    <w:rPr>
                      <w:rFonts w:ascii="Cambria Math" w:eastAsia="Times New Roman" w:hAnsi="Cambria Math" w:cs="Times New Roman"/>
                      <w:color w:val="0D0D0D" w:themeColor="text1" w:themeTint="F2"/>
                      <w:sz w:val="20"/>
                      <w:szCs w:val="20"/>
                    </w:rPr>
                    <m:t>∑(x-</m:t>
                  </m:r>
                  <m:acc>
                    <m:accPr>
                      <m:chr m:val="ˉ"/>
                      <m:ctrlPr>
                        <w:rPr>
                          <w:rFonts w:ascii="Cambria Math" w:eastAsia="Times New Roman" w:hAnsi="Cambria Math" w:cs="Times New Roman"/>
                          <w:color w:val="0D0D0D" w:themeColor="text1" w:themeTint="F2"/>
                          <w:sz w:val="20"/>
                          <w:szCs w:val="20"/>
                        </w:rPr>
                      </m:ctrlPr>
                    </m:accPr>
                    <m:e>
                      <m:r>
                        <w:rPr>
                          <w:rFonts w:ascii="Cambria Math" w:eastAsia="Times New Roman" w:hAnsi="Cambria Math" w:cs="Times New Roman"/>
                          <w:color w:val="0D0D0D" w:themeColor="text1" w:themeTint="F2"/>
                          <w:sz w:val="20"/>
                          <w:szCs w:val="20"/>
                        </w:rPr>
                        <m:t>x</m:t>
                      </m:r>
                    </m:e>
                  </m:acc>
                  <m:sSup>
                    <m:sSupPr>
                      <m:ctrlPr>
                        <w:rPr>
                          <w:rFonts w:ascii="Cambria Math" w:eastAsia="Times New Roman" w:hAnsi="Cambria Math" w:cs="Times New Roman"/>
                          <w:color w:val="0D0D0D" w:themeColor="text1" w:themeTint="F2"/>
                          <w:sz w:val="20"/>
                          <w:szCs w:val="20"/>
                        </w:rPr>
                      </m:ctrlPr>
                    </m:sSupPr>
                    <m:e>
                      <m:r>
                        <w:rPr>
                          <w:rFonts w:ascii="Cambria Math" w:eastAsia="Times New Roman" w:hAnsi="Cambria Math" w:cs="Times New Roman"/>
                          <w:color w:val="0D0D0D" w:themeColor="text1" w:themeTint="F2"/>
                          <w:sz w:val="20"/>
                          <w:szCs w:val="20"/>
                        </w:rPr>
                        <m:t>)</m:t>
                      </m:r>
                    </m:e>
                    <m:sup>
                      <m:r>
                        <w:rPr>
                          <w:rFonts w:ascii="Cambria Math" w:eastAsia="Times New Roman" w:hAnsi="Cambria Math" w:cs="Times New Roman"/>
                          <w:color w:val="0D0D0D" w:themeColor="text1" w:themeTint="F2"/>
                          <w:sz w:val="20"/>
                          <w:szCs w:val="20"/>
                        </w:rPr>
                        <m:t>2</m:t>
                      </m:r>
                    </m:sup>
                  </m:sSup>
                  <m:r>
                    <w:rPr>
                      <w:rFonts w:ascii="Cambria Math" w:eastAsia="Times New Roman" w:hAnsi="Cambria Math" w:cs="Times New Roman"/>
                      <w:color w:val="0D0D0D" w:themeColor="text1" w:themeTint="F2"/>
                      <w:sz w:val="20"/>
                      <w:szCs w:val="20"/>
                    </w:rPr>
                    <m:t>∑(y-</m:t>
                  </m:r>
                  <m:acc>
                    <m:accPr>
                      <m:chr m:val="ˉ"/>
                      <m:ctrlPr>
                        <w:rPr>
                          <w:rFonts w:ascii="Cambria Math" w:eastAsia="Times New Roman" w:hAnsi="Cambria Math" w:cs="Times New Roman"/>
                          <w:color w:val="0D0D0D" w:themeColor="text1" w:themeTint="F2"/>
                          <w:sz w:val="20"/>
                          <w:szCs w:val="20"/>
                        </w:rPr>
                      </m:ctrlPr>
                    </m:accPr>
                    <m:e>
                      <m:r>
                        <w:rPr>
                          <w:rFonts w:ascii="Cambria Math" w:eastAsia="Times New Roman" w:hAnsi="Cambria Math" w:cs="Times New Roman"/>
                          <w:color w:val="0D0D0D" w:themeColor="text1" w:themeTint="F2"/>
                          <w:sz w:val="20"/>
                          <w:szCs w:val="20"/>
                        </w:rPr>
                        <m:t>y</m:t>
                      </m:r>
                    </m:e>
                  </m:acc>
                  <m:sSup>
                    <m:sSupPr>
                      <m:ctrlPr>
                        <w:rPr>
                          <w:rFonts w:ascii="Cambria Math" w:eastAsia="Times New Roman" w:hAnsi="Cambria Math" w:cs="Times New Roman"/>
                          <w:color w:val="0D0D0D" w:themeColor="text1" w:themeTint="F2"/>
                          <w:sz w:val="20"/>
                          <w:szCs w:val="20"/>
                        </w:rPr>
                      </m:ctrlPr>
                    </m:sSupPr>
                    <m:e>
                      <m:r>
                        <w:rPr>
                          <w:rFonts w:ascii="Cambria Math" w:eastAsia="Times New Roman" w:hAnsi="Cambria Math" w:cs="Times New Roman"/>
                          <w:color w:val="0D0D0D" w:themeColor="text1" w:themeTint="F2"/>
                          <w:sz w:val="20"/>
                          <w:szCs w:val="20"/>
                        </w:rPr>
                        <m:t>)</m:t>
                      </m:r>
                    </m:e>
                    <m:sup>
                      <m:r>
                        <w:rPr>
                          <w:rFonts w:ascii="Cambria Math" w:eastAsia="Times New Roman" w:hAnsi="Cambria Math" w:cs="Times New Roman"/>
                          <w:color w:val="0D0D0D" w:themeColor="text1" w:themeTint="F2"/>
                          <w:sz w:val="20"/>
                          <w:szCs w:val="20"/>
                        </w:rPr>
                        <m:t>2</m:t>
                      </m:r>
                    </m:sup>
                  </m:sSup>
                </m:e>
              </m:rad>
            </m:den>
          </m:f>
        </m:oMath>
      </m:oMathPara>
    </w:p>
    <w:p w14:paraId="29CF3D78" w14:textId="5A165276"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                                                                                                                           </w:t>
      </w:r>
      <w:r w:rsidR="00A552B3">
        <w:rPr>
          <w:rFonts w:ascii="Times New Roman" w:eastAsia="Times New Roman" w:hAnsi="Times New Roman" w:cs="Times New Roman"/>
          <w:color w:val="0D0D0D" w:themeColor="text1" w:themeTint="F2"/>
          <w:sz w:val="20"/>
          <w:szCs w:val="20"/>
        </w:rPr>
        <w:t xml:space="preserve">                                       </w:t>
      </w:r>
      <w:r w:rsidR="00FC0C2D">
        <w:rPr>
          <w:rFonts w:ascii="Times New Roman" w:eastAsia="Times New Roman" w:hAnsi="Times New Roman" w:cs="Times New Roman"/>
          <w:color w:val="0D0D0D" w:themeColor="text1" w:themeTint="F2"/>
          <w:sz w:val="20"/>
          <w:szCs w:val="20"/>
        </w:rPr>
        <w:t xml:space="preserve">     </w:t>
      </w:r>
      <w:r w:rsidR="00A552B3">
        <w:rPr>
          <w:rFonts w:ascii="Times New Roman" w:eastAsia="Times New Roman" w:hAnsi="Times New Roman" w:cs="Times New Roman"/>
          <w:color w:val="0D0D0D" w:themeColor="text1" w:themeTint="F2"/>
          <w:sz w:val="20"/>
          <w:szCs w:val="20"/>
        </w:rPr>
        <w:t xml:space="preserve">  </w:t>
      </w:r>
      <w:proofErr w:type="spellStart"/>
      <w:r w:rsidRPr="00FF6C3B">
        <w:rPr>
          <w:rFonts w:ascii="Times New Roman" w:eastAsia="Times New Roman" w:hAnsi="Times New Roman" w:cs="Times New Roman"/>
          <w:color w:val="0D0D0D" w:themeColor="text1" w:themeTint="F2"/>
          <w:sz w:val="20"/>
          <w:szCs w:val="20"/>
        </w:rPr>
        <w:t>Equ</w:t>
      </w:r>
      <w:proofErr w:type="spellEnd"/>
      <w:r w:rsidRPr="00FF6C3B">
        <w:rPr>
          <w:rFonts w:ascii="Times New Roman" w:eastAsia="Times New Roman" w:hAnsi="Times New Roman" w:cs="Times New Roman"/>
          <w:color w:val="0D0D0D" w:themeColor="text1" w:themeTint="F2"/>
          <w:sz w:val="20"/>
          <w:szCs w:val="20"/>
        </w:rPr>
        <w:t>. 3</w:t>
      </w:r>
      <m:oMath>
        <m:r>
          <m:rPr>
            <m:sty m:val="p"/>
          </m:rPr>
          <w:rPr>
            <w:rFonts w:ascii="Cambria Math" w:eastAsia="Times New Roman" w:hAnsi="Cambria Math" w:cs="Times New Roman"/>
            <w:color w:val="0D0D0D" w:themeColor="text1" w:themeTint="F2"/>
            <w:sz w:val="20"/>
            <w:szCs w:val="20"/>
          </w:rPr>
          <w:br/>
        </m:r>
      </m:oMath>
      <w:r w:rsidRPr="00FF6C3B">
        <w:rPr>
          <w:rFonts w:ascii="Times New Roman" w:eastAsia="Times New Roman" w:hAnsi="Times New Roman" w:cs="Times New Roman"/>
          <w:color w:val="0D0D0D" w:themeColor="text1" w:themeTint="F2"/>
          <w:sz w:val="20"/>
          <w:szCs w:val="20"/>
        </w:rPr>
        <w:t>Where:</w:t>
      </w:r>
    </w:p>
    <w:p w14:paraId="48060DA9" w14:textId="77777777" w:rsidR="00FC0C2D" w:rsidRPr="00FF6C3B" w:rsidRDefault="00FC0C2D" w:rsidP="00FF6C3B">
      <w:pPr>
        <w:spacing w:after="0" w:line="240" w:lineRule="auto"/>
        <w:jc w:val="both"/>
        <w:rPr>
          <w:rFonts w:ascii="Times New Roman" w:eastAsia="Times New Roman" w:hAnsi="Times New Roman" w:cs="Times New Roman"/>
          <w:color w:val="0D0D0D" w:themeColor="text1" w:themeTint="F2"/>
          <w:sz w:val="20"/>
          <w:szCs w:val="20"/>
        </w:rPr>
      </w:pPr>
    </w:p>
    <w:p w14:paraId="0E75DEF7" w14:textId="77777777" w:rsidR="00FF6C3B" w:rsidRPr="00FF6C3B" w:rsidRDefault="00FF6C3B" w:rsidP="00FC0C2D">
      <w:pPr>
        <w:numPr>
          <w:ilvl w:val="0"/>
          <w:numId w:val="4"/>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r</m:t>
        </m:r>
      </m:oMath>
      <w:r w:rsidRPr="00FF6C3B">
        <w:rPr>
          <w:rFonts w:ascii="Times New Roman" w:eastAsia="Times New Roman" w:hAnsi="Times New Roman" w:cs="Times New Roman"/>
          <w:color w:val="0D0D0D" w:themeColor="text1" w:themeTint="F2"/>
          <w:sz w:val="20"/>
          <w:szCs w:val="20"/>
        </w:rPr>
        <w:t>= correlation coefficient</w:t>
      </w:r>
    </w:p>
    <w:p w14:paraId="5AF77050" w14:textId="77777777" w:rsidR="00FF6C3B" w:rsidRPr="00FF6C3B" w:rsidRDefault="00FF6C3B" w:rsidP="00FC0C2D">
      <w:pPr>
        <w:numPr>
          <w:ilvl w:val="0"/>
          <w:numId w:val="4"/>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x</m:t>
        </m:r>
      </m:oMath>
      <w:r w:rsidRPr="00FF6C3B">
        <w:rPr>
          <w:rFonts w:ascii="Times New Roman" w:eastAsia="Times New Roman" w:hAnsi="Times New Roman" w:cs="Times New Roman"/>
          <w:color w:val="0D0D0D" w:themeColor="text1" w:themeTint="F2"/>
          <w:sz w:val="20"/>
          <w:szCs w:val="20"/>
        </w:rPr>
        <w:t>= independent variable (distance)</w:t>
      </w:r>
    </w:p>
    <w:p w14:paraId="619C8AF2" w14:textId="77777777" w:rsidR="00FF6C3B" w:rsidRPr="00FF6C3B" w:rsidRDefault="00FF6C3B" w:rsidP="00FC0C2D">
      <w:pPr>
        <w:numPr>
          <w:ilvl w:val="0"/>
          <w:numId w:val="4"/>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y</m:t>
        </m:r>
      </m:oMath>
      <w:r w:rsidRPr="00FF6C3B">
        <w:rPr>
          <w:rFonts w:ascii="Times New Roman" w:eastAsia="Times New Roman" w:hAnsi="Times New Roman" w:cs="Times New Roman"/>
          <w:color w:val="0D0D0D" w:themeColor="text1" w:themeTint="F2"/>
          <w:sz w:val="20"/>
          <w:szCs w:val="20"/>
        </w:rPr>
        <w:t>= dependent variable (battery percentage)</w:t>
      </w:r>
    </w:p>
    <w:p w14:paraId="4D8B569B" w14:textId="77777777" w:rsidR="00FF6C3B" w:rsidRPr="00FF6C3B" w:rsidRDefault="006E4437" w:rsidP="00FC0C2D">
      <w:pPr>
        <w:numPr>
          <w:ilvl w:val="0"/>
          <w:numId w:val="4"/>
        </w:numPr>
        <w:spacing w:after="0" w:line="240" w:lineRule="auto"/>
        <w:jc w:val="both"/>
        <w:rPr>
          <w:rFonts w:ascii="Times New Roman" w:eastAsia="Times New Roman" w:hAnsi="Times New Roman" w:cs="Times New Roman"/>
          <w:color w:val="0D0D0D" w:themeColor="text1" w:themeTint="F2"/>
          <w:sz w:val="20"/>
          <w:szCs w:val="20"/>
        </w:rPr>
      </w:pPr>
      <m:oMath>
        <m:acc>
          <m:accPr>
            <m:chr m:val="ˉ"/>
            <m:ctrlPr>
              <w:rPr>
                <w:rFonts w:ascii="Cambria Math" w:eastAsia="Times New Roman" w:hAnsi="Cambria Math" w:cs="Times New Roman"/>
                <w:color w:val="0D0D0D" w:themeColor="text1" w:themeTint="F2"/>
                <w:sz w:val="20"/>
                <w:szCs w:val="20"/>
              </w:rPr>
            </m:ctrlPr>
          </m:accPr>
          <m:e>
            <m:r>
              <w:rPr>
                <w:rFonts w:ascii="Cambria Math" w:eastAsia="Times New Roman" w:hAnsi="Cambria Math" w:cs="Times New Roman"/>
                <w:color w:val="0D0D0D" w:themeColor="text1" w:themeTint="F2"/>
                <w:sz w:val="20"/>
                <w:szCs w:val="20"/>
              </w:rPr>
              <m:t>x</m:t>
            </m:r>
          </m:e>
        </m:acc>
      </m:oMath>
      <w:r w:rsidR="00FF6C3B" w:rsidRPr="00FF6C3B">
        <w:rPr>
          <w:rFonts w:ascii="Times New Roman" w:eastAsia="Times New Roman" w:hAnsi="Times New Roman" w:cs="Times New Roman"/>
          <w:color w:val="0D0D0D" w:themeColor="text1" w:themeTint="F2"/>
          <w:sz w:val="20"/>
          <w:szCs w:val="20"/>
        </w:rPr>
        <w:t>= mean of distance values</w:t>
      </w:r>
    </w:p>
    <w:p w14:paraId="75865956" w14:textId="77777777" w:rsidR="00FF6C3B" w:rsidRPr="00FF6C3B" w:rsidRDefault="006E4437" w:rsidP="00FC0C2D">
      <w:pPr>
        <w:numPr>
          <w:ilvl w:val="0"/>
          <w:numId w:val="4"/>
        </w:numPr>
        <w:spacing w:after="0" w:line="240" w:lineRule="auto"/>
        <w:jc w:val="both"/>
        <w:rPr>
          <w:rFonts w:ascii="Times New Roman" w:eastAsia="Times New Roman" w:hAnsi="Times New Roman" w:cs="Times New Roman"/>
          <w:color w:val="0D0D0D" w:themeColor="text1" w:themeTint="F2"/>
          <w:sz w:val="20"/>
          <w:szCs w:val="20"/>
        </w:rPr>
      </w:pPr>
      <m:oMath>
        <m:acc>
          <m:accPr>
            <m:chr m:val="ˉ"/>
            <m:ctrlPr>
              <w:rPr>
                <w:rFonts w:ascii="Cambria Math" w:eastAsia="Times New Roman" w:hAnsi="Cambria Math" w:cs="Times New Roman"/>
                <w:color w:val="0D0D0D" w:themeColor="text1" w:themeTint="F2"/>
                <w:sz w:val="20"/>
                <w:szCs w:val="20"/>
              </w:rPr>
            </m:ctrlPr>
          </m:accPr>
          <m:e>
            <m:r>
              <w:rPr>
                <w:rFonts w:ascii="Cambria Math" w:eastAsia="Times New Roman" w:hAnsi="Cambria Math" w:cs="Times New Roman"/>
                <w:color w:val="0D0D0D" w:themeColor="text1" w:themeTint="F2"/>
                <w:sz w:val="20"/>
                <w:szCs w:val="20"/>
              </w:rPr>
              <m:t>y</m:t>
            </m:r>
          </m:e>
        </m:acc>
      </m:oMath>
      <w:r w:rsidR="00FF6C3B" w:rsidRPr="00FF6C3B">
        <w:rPr>
          <w:rFonts w:ascii="Times New Roman" w:eastAsia="Times New Roman" w:hAnsi="Times New Roman" w:cs="Times New Roman"/>
          <w:color w:val="0D0D0D" w:themeColor="text1" w:themeTint="F2"/>
          <w:sz w:val="20"/>
          <w:szCs w:val="20"/>
        </w:rPr>
        <w:t>= mean of battery percentage values</w:t>
      </w:r>
    </w:p>
    <w:p w14:paraId="5C0965CD" w14:textId="77777777" w:rsidR="00FC0C2D" w:rsidRDefault="00FC0C2D" w:rsidP="00FF6C3B">
      <w:pPr>
        <w:spacing w:after="0" w:line="240" w:lineRule="auto"/>
        <w:jc w:val="both"/>
        <w:rPr>
          <w:rFonts w:ascii="Times New Roman" w:eastAsia="Times New Roman" w:hAnsi="Times New Roman" w:cs="Times New Roman"/>
          <w:color w:val="0D0D0D" w:themeColor="text1" w:themeTint="F2"/>
          <w:sz w:val="20"/>
          <w:szCs w:val="20"/>
        </w:rPr>
      </w:pPr>
    </w:p>
    <w:p w14:paraId="3E1E4110" w14:textId="2B46F3F2"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Times New Roman" w:hAnsi="Times New Roman" w:cs="Times New Roman"/>
          <w:color w:val="0D0D0D" w:themeColor="text1" w:themeTint="F2"/>
          <w:sz w:val="20"/>
          <w:szCs w:val="20"/>
        </w:rPr>
        <w:t>The correlation coefficient measures the strength and direction of the relationship between two variables</w:t>
      </w:r>
      <w:r w:rsidRPr="00FF6C3B">
        <w:rPr>
          <w:rFonts w:ascii="Times New Roman" w:eastAsia="Times New Roman" w:hAnsi="Times New Roman" w:cs="Times New Roman"/>
          <w:b/>
          <w:bCs/>
          <w:color w:val="0D0D0D" w:themeColor="text1" w:themeTint="F2"/>
          <w:sz w:val="20"/>
          <w:szCs w:val="20"/>
        </w:rPr>
        <w:t xml:space="preserve">. </w:t>
      </w:r>
      <w:r w:rsidRPr="00FF6C3B">
        <w:rPr>
          <w:rFonts w:ascii="Times New Roman" w:eastAsia="Times New Roman" w:hAnsi="Times New Roman" w:cs="Times New Roman"/>
          <w:color w:val="0D0D0D" w:themeColor="text1" w:themeTint="F2"/>
          <w:sz w:val="20"/>
          <w:szCs w:val="20"/>
        </w:rPr>
        <w:t>The range of R-value is (+1), which means perfect positive correlation, (0), which means no correlation, and (-1), which means perfect negative correlation.</w:t>
      </w:r>
      <w:r w:rsidRPr="00FF6C3B">
        <w:rPr>
          <w:rFonts w:ascii="Times New Roman" w:eastAsia="Times New Roman" w:hAnsi="Times New Roman" w:cs="Times New Roman"/>
          <w:b/>
          <w:bCs/>
          <w:color w:val="0D0D0D" w:themeColor="text1" w:themeTint="F2"/>
          <w:sz w:val="20"/>
          <w:szCs w:val="20"/>
        </w:rPr>
        <w:t xml:space="preserve"> </w:t>
      </w:r>
      <w:r w:rsidRPr="00FF6C3B">
        <w:rPr>
          <w:rFonts w:ascii="Times New Roman" w:eastAsia="Calibri" w:hAnsi="Times New Roman" w:cs="Times New Roman"/>
          <w:color w:val="0D0D0D" w:themeColor="text1" w:themeTint="F2"/>
          <w:kern w:val="2"/>
          <w:sz w:val="20"/>
          <w:szCs w:val="20"/>
        </w:rPr>
        <w:t xml:space="preserve">The results indicate a strong negative correlation (-1) between distance and battery percentage, meaning that as the vehicle travels further, the battery charge decreases proportionally. Statistical significance was evaluated using the p-value obtained from the t-test of the correlation coefficient. </w:t>
      </w:r>
    </w:p>
    <w:p w14:paraId="72A82B97" w14:textId="77777777" w:rsidR="00612B95" w:rsidRPr="00FF6C3B" w:rsidRDefault="00612B95" w:rsidP="00FF6C3B">
      <w:pPr>
        <w:spacing w:after="0" w:line="240" w:lineRule="auto"/>
        <w:jc w:val="both"/>
        <w:rPr>
          <w:rFonts w:ascii="Times New Roman" w:eastAsia="Times New Roman" w:hAnsi="Times New Roman" w:cs="Times New Roman"/>
          <w:b/>
          <w:bCs/>
          <w:color w:val="0D0D0D" w:themeColor="text1" w:themeTint="F2"/>
          <w:sz w:val="20"/>
          <w:szCs w:val="20"/>
        </w:rPr>
      </w:pPr>
    </w:p>
    <w:p w14:paraId="29B2D05D" w14:textId="77777777"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Times New Roman" w:hAnsi="Times New Roman" w:cs="Times New Roman"/>
          <w:color w:val="0D0D0D" w:themeColor="text1" w:themeTint="F2"/>
          <w:kern w:val="36"/>
          <w:sz w:val="20"/>
          <w:szCs w:val="20"/>
        </w:rPr>
        <w:t>Formula for the p-Value</w:t>
      </w:r>
    </w:p>
    <w:p w14:paraId="4BF0598D"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p-value is obtained from statistical tests such as the t-test for correlation.</w:t>
      </w:r>
    </w:p>
    <w:p w14:paraId="735CF25F" w14:textId="77777777" w:rsidR="00C24625" w:rsidRPr="00FF6C3B" w:rsidRDefault="00C24625" w:rsidP="00FF6C3B">
      <w:pPr>
        <w:spacing w:after="0" w:line="240" w:lineRule="auto"/>
        <w:jc w:val="both"/>
        <w:rPr>
          <w:rFonts w:ascii="Times New Roman" w:eastAsia="Calibri" w:hAnsi="Times New Roman" w:cs="Times New Roman"/>
          <w:color w:val="0D0D0D" w:themeColor="text1" w:themeTint="F2"/>
          <w:kern w:val="2"/>
          <w:sz w:val="20"/>
          <w:szCs w:val="20"/>
        </w:rPr>
      </w:pPr>
    </w:p>
    <w:p w14:paraId="5EA840ED" w14:textId="7D053F3F" w:rsidR="00FF6C3B" w:rsidRPr="00FF6C3B" w:rsidRDefault="00FF6C3B" w:rsidP="003B30A2">
      <w:pPr>
        <w:spacing w:after="0" w:line="240" w:lineRule="auto"/>
        <w:ind w:left="720"/>
        <w:jc w:val="both"/>
        <w:rPr>
          <w:rFonts w:ascii="Times New Roman" w:eastAsia="Times New Roman" w:hAnsi="Times New Roman" w:cs="Times New Roman"/>
          <w:color w:val="0D0D0D" w:themeColor="text1" w:themeTint="F2"/>
          <w:sz w:val="20"/>
          <w:szCs w:val="20"/>
        </w:rPr>
      </w:pPr>
      <m:oMathPara>
        <m:oMathParaPr>
          <m:jc m:val="left"/>
        </m:oMathParaPr>
        <m:oMath>
          <m:r>
            <w:rPr>
              <w:rFonts w:ascii="Cambria Math" w:eastAsia="Times New Roman" w:hAnsi="Cambria Math" w:cs="Times New Roman"/>
              <w:color w:val="0D0D0D" w:themeColor="text1" w:themeTint="F2"/>
              <w:sz w:val="20"/>
              <w:szCs w:val="20"/>
            </w:rPr>
            <m:t>t=</m:t>
          </m:r>
          <m:f>
            <m:fPr>
              <m:ctrlPr>
                <w:rPr>
                  <w:rFonts w:ascii="Cambria Math" w:eastAsia="Times New Roman" w:hAnsi="Cambria Math" w:cs="Times New Roman"/>
                  <w:color w:val="0D0D0D" w:themeColor="text1" w:themeTint="F2"/>
                  <w:sz w:val="20"/>
                  <w:szCs w:val="20"/>
                </w:rPr>
              </m:ctrlPr>
            </m:fPr>
            <m:num>
              <m:r>
                <w:rPr>
                  <w:rFonts w:ascii="Cambria Math" w:eastAsia="Times New Roman" w:hAnsi="Cambria Math" w:cs="Times New Roman"/>
                  <w:color w:val="0D0D0D" w:themeColor="text1" w:themeTint="F2"/>
                  <w:sz w:val="20"/>
                  <w:szCs w:val="20"/>
                </w:rPr>
                <m:t>r</m:t>
              </m:r>
              <m:rad>
                <m:radPr>
                  <m:degHide m:val="1"/>
                  <m:ctrlPr>
                    <w:rPr>
                      <w:rFonts w:ascii="Cambria Math" w:eastAsia="Times New Roman" w:hAnsi="Cambria Math" w:cs="Times New Roman"/>
                      <w:color w:val="0D0D0D" w:themeColor="text1" w:themeTint="F2"/>
                      <w:sz w:val="20"/>
                      <w:szCs w:val="20"/>
                    </w:rPr>
                  </m:ctrlPr>
                </m:radPr>
                <m:deg/>
                <m:e>
                  <m:r>
                    <w:rPr>
                      <w:rFonts w:ascii="Cambria Math" w:eastAsia="Times New Roman" w:hAnsi="Cambria Math" w:cs="Times New Roman"/>
                      <w:color w:val="0D0D0D" w:themeColor="text1" w:themeTint="F2"/>
                      <w:sz w:val="20"/>
                      <w:szCs w:val="20"/>
                    </w:rPr>
                    <m:t>n-2</m:t>
                  </m:r>
                </m:e>
              </m:rad>
            </m:num>
            <m:den>
              <m:rad>
                <m:radPr>
                  <m:degHide m:val="1"/>
                  <m:ctrlPr>
                    <w:rPr>
                      <w:rFonts w:ascii="Cambria Math" w:eastAsia="Times New Roman" w:hAnsi="Cambria Math" w:cs="Times New Roman"/>
                      <w:color w:val="0D0D0D" w:themeColor="text1" w:themeTint="F2"/>
                      <w:sz w:val="20"/>
                      <w:szCs w:val="20"/>
                    </w:rPr>
                  </m:ctrlPr>
                </m:radPr>
                <m:deg/>
                <m:e>
                  <m:r>
                    <w:rPr>
                      <w:rFonts w:ascii="Cambria Math" w:eastAsia="Times New Roman" w:hAnsi="Cambria Math" w:cs="Times New Roman"/>
                      <w:color w:val="0D0D0D" w:themeColor="text1" w:themeTint="F2"/>
                      <w:sz w:val="20"/>
                      <w:szCs w:val="20"/>
                    </w:rPr>
                    <m:t>1-</m:t>
                  </m:r>
                  <m:sSup>
                    <m:sSupPr>
                      <m:ctrlPr>
                        <w:rPr>
                          <w:rFonts w:ascii="Cambria Math" w:eastAsia="Times New Roman" w:hAnsi="Cambria Math" w:cs="Times New Roman"/>
                          <w:color w:val="0D0D0D" w:themeColor="text1" w:themeTint="F2"/>
                          <w:sz w:val="20"/>
                          <w:szCs w:val="20"/>
                        </w:rPr>
                      </m:ctrlPr>
                    </m:sSupPr>
                    <m:e>
                      <m:r>
                        <w:rPr>
                          <w:rFonts w:ascii="Cambria Math" w:eastAsia="Times New Roman" w:hAnsi="Cambria Math" w:cs="Times New Roman"/>
                          <w:color w:val="0D0D0D" w:themeColor="text1" w:themeTint="F2"/>
                          <w:sz w:val="20"/>
                          <w:szCs w:val="20"/>
                        </w:rPr>
                        <m:t>r</m:t>
                      </m:r>
                    </m:e>
                    <m:sup>
                      <m:r>
                        <w:rPr>
                          <w:rFonts w:ascii="Cambria Math" w:eastAsia="Times New Roman" w:hAnsi="Cambria Math" w:cs="Times New Roman"/>
                          <w:color w:val="0D0D0D" w:themeColor="text1" w:themeTint="F2"/>
                          <w:sz w:val="20"/>
                          <w:szCs w:val="20"/>
                        </w:rPr>
                        <m:t>2</m:t>
                      </m:r>
                    </m:sup>
                  </m:sSup>
                </m:e>
              </m:rad>
            </m:den>
          </m:f>
          <m:r>
            <m:rPr>
              <m:sty m:val="p"/>
            </m:rPr>
            <w:rPr>
              <w:rFonts w:ascii="Cambria Math" w:eastAsia="Times New Roman" w:hAnsi="Cambria Math" w:cs="Times New Roman"/>
              <w:color w:val="0D0D0D" w:themeColor="text1" w:themeTint="F2"/>
              <w:sz w:val="20"/>
              <w:szCs w:val="20"/>
            </w:rPr>
            <w:br/>
          </m:r>
        </m:oMath>
      </m:oMathPara>
      <w:r w:rsidRPr="00FF6C3B">
        <w:rPr>
          <w:rFonts w:ascii="Times New Roman" w:eastAsia="Times New Roman" w:hAnsi="Times New Roman" w:cs="Times New Roman"/>
          <w:color w:val="0D0D0D" w:themeColor="text1" w:themeTint="F2"/>
          <w:sz w:val="20"/>
          <w:szCs w:val="20"/>
        </w:rPr>
        <w:t xml:space="preserve">                                                                                                                               </w:t>
      </w:r>
      <w:r w:rsidR="00C24625">
        <w:rPr>
          <w:rFonts w:ascii="Times New Roman" w:eastAsia="Times New Roman" w:hAnsi="Times New Roman" w:cs="Times New Roman"/>
          <w:color w:val="0D0D0D" w:themeColor="text1" w:themeTint="F2"/>
          <w:sz w:val="20"/>
          <w:szCs w:val="20"/>
        </w:rPr>
        <w:t xml:space="preserve">                           </w:t>
      </w:r>
      <w:proofErr w:type="spellStart"/>
      <w:r w:rsidRPr="00FF6C3B">
        <w:rPr>
          <w:rFonts w:ascii="Times New Roman" w:eastAsia="Times New Roman" w:hAnsi="Times New Roman" w:cs="Times New Roman"/>
          <w:color w:val="0D0D0D" w:themeColor="text1" w:themeTint="F2"/>
          <w:sz w:val="20"/>
          <w:szCs w:val="20"/>
        </w:rPr>
        <w:t>Equ</w:t>
      </w:r>
      <w:proofErr w:type="spellEnd"/>
      <w:r w:rsidRPr="00FF6C3B">
        <w:rPr>
          <w:rFonts w:ascii="Times New Roman" w:eastAsia="Times New Roman" w:hAnsi="Times New Roman" w:cs="Times New Roman"/>
          <w:color w:val="0D0D0D" w:themeColor="text1" w:themeTint="F2"/>
          <w:sz w:val="20"/>
          <w:szCs w:val="20"/>
        </w:rPr>
        <w:t>.  4</w:t>
      </w:r>
    </w:p>
    <w:p w14:paraId="7377AB85" w14:textId="77777777"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 xml:space="preserve">                                                                          </w:t>
      </w:r>
    </w:p>
    <w:p w14:paraId="50FC0307"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Where:</w:t>
      </w:r>
    </w:p>
    <w:p w14:paraId="2C268D91" w14:textId="77777777" w:rsidR="003B30A2" w:rsidRPr="00FF6C3B" w:rsidRDefault="003B30A2" w:rsidP="00FF6C3B">
      <w:pPr>
        <w:spacing w:after="0" w:line="240" w:lineRule="auto"/>
        <w:jc w:val="both"/>
        <w:rPr>
          <w:rFonts w:ascii="Times New Roman" w:eastAsia="Times New Roman" w:hAnsi="Times New Roman" w:cs="Times New Roman"/>
          <w:color w:val="0D0D0D" w:themeColor="text1" w:themeTint="F2"/>
          <w:sz w:val="20"/>
          <w:szCs w:val="20"/>
        </w:rPr>
      </w:pPr>
    </w:p>
    <w:p w14:paraId="6F0D0B2B" w14:textId="77777777" w:rsidR="00FF6C3B" w:rsidRPr="00FF6C3B" w:rsidRDefault="00FF6C3B" w:rsidP="003B30A2">
      <w:pPr>
        <w:numPr>
          <w:ilvl w:val="0"/>
          <w:numId w:val="5"/>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t</m:t>
        </m:r>
      </m:oMath>
      <w:r w:rsidRPr="00FF6C3B">
        <w:rPr>
          <w:rFonts w:ascii="Times New Roman" w:eastAsia="Times New Roman" w:hAnsi="Times New Roman" w:cs="Times New Roman"/>
          <w:color w:val="0D0D0D" w:themeColor="text1" w:themeTint="F2"/>
          <w:sz w:val="20"/>
          <w:szCs w:val="20"/>
        </w:rPr>
        <w:t>= test statistic</w:t>
      </w:r>
    </w:p>
    <w:p w14:paraId="6272527A" w14:textId="77777777" w:rsidR="00FF6C3B" w:rsidRPr="00FF6C3B" w:rsidRDefault="00FF6C3B" w:rsidP="003B30A2">
      <w:pPr>
        <w:numPr>
          <w:ilvl w:val="0"/>
          <w:numId w:val="5"/>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r</m:t>
        </m:r>
      </m:oMath>
      <w:r w:rsidRPr="00FF6C3B">
        <w:rPr>
          <w:rFonts w:ascii="Times New Roman" w:eastAsia="Times New Roman" w:hAnsi="Times New Roman" w:cs="Times New Roman"/>
          <w:color w:val="0D0D0D" w:themeColor="text1" w:themeTint="F2"/>
          <w:sz w:val="20"/>
          <w:szCs w:val="20"/>
        </w:rPr>
        <w:t>= correlation coefficient</w:t>
      </w:r>
    </w:p>
    <w:p w14:paraId="56D2F4DA" w14:textId="77777777" w:rsidR="00FF6C3B" w:rsidRPr="00FF6C3B" w:rsidRDefault="00FF6C3B" w:rsidP="003B30A2">
      <w:pPr>
        <w:numPr>
          <w:ilvl w:val="0"/>
          <w:numId w:val="5"/>
        </w:numPr>
        <w:spacing w:after="0" w:line="240" w:lineRule="auto"/>
        <w:jc w:val="both"/>
        <w:rPr>
          <w:rFonts w:ascii="Times New Roman" w:eastAsia="Times New Roman" w:hAnsi="Times New Roman" w:cs="Times New Roman"/>
          <w:color w:val="0D0D0D" w:themeColor="text1" w:themeTint="F2"/>
          <w:sz w:val="20"/>
          <w:szCs w:val="20"/>
        </w:rPr>
      </w:pPr>
      <m:oMath>
        <m:r>
          <w:rPr>
            <w:rFonts w:ascii="Cambria Math" w:eastAsia="Times New Roman" w:hAnsi="Cambria Math" w:cs="Times New Roman"/>
            <w:color w:val="0D0D0D" w:themeColor="text1" w:themeTint="F2"/>
            <w:sz w:val="20"/>
            <w:szCs w:val="20"/>
          </w:rPr>
          <m:t>n</m:t>
        </m:r>
      </m:oMath>
      <w:r w:rsidRPr="00FF6C3B">
        <w:rPr>
          <w:rFonts w:ascii="Times New Roman" w:eastAsia="Times New Roman" w:hAnsi="Times New Roman" w:cs="Times New Roman"/>
          <w:color w:val="0D0D0D" w:themeColor="text1" w:themeTint="F2"/>
          <w:sz w:val="20"/>
          <w:szCs w:val="20"/>
        </w:rPr>
        <w:t>= number of observations</w:t>
      </w:r>
    </w:p>
    <w:p w14:paraId="29881B84" w14:textId="77777777" w:rsidR="003B30A2" w:rsidRDefault="003B30A2" w:rsidP="00FF6C3B">
      <w:pPr>
        <w:spacing w:after="0" w:line="240" w:lineRule="auto"/>
        <w:jc w:val="both"/>
        <w:rPr>
          <w:rFonts w:ascii="Times New Roman" w:eastAsia="Times New Roman" w:hAnsi="Times New Roman" w:cs="Times New Roman"/>
          <w:color w:val="0D0D0D" w:themeColor="text1" w:themeTint="F2"/>
          <w:sz w:val="20"/>
          <w:szCs w:val="20"/>
        </w:rPr>
      </w:pPr>
    </w:p>
    <w:p w14:paraId="76082390" w14:textId="48BD4063"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Times New Roman" w:hAnsi="Times New Roman" w:cs="Times New Roman"/>
          <w:color w:val="0D0D0D" w:themeColor="text1" w:themeTint="F2"/>
          <w:sz w:val="20"/>
          <w:szCs w:val="20"/>
        </w:rPr>
        <w:t xml:space="preserve">The p-value is then determined from the t-distribution </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using this calculated </w:t>
      </w:r>
      <m:oMath>
        <m:r>
          <w:rPr>
            <w:rFonts w:ascii="Cambria Math" w:eastAsia="Times New Roman" w:hAnsi="Cambria Math" w:cs="Times New Roman"/>
            <w:color w:val="0D0D0D" w:themeColor="text1" w:themeTint="F2"/>
            <w:sz w:val="20"/>
            <w:szCs w:val="20"/>
          </w:rPr>
          <m:t>t-</m:t>
        </m:r>
      </m:oMath>
      <w:r w:rsidRPr="00FF6C3B">
        <w:rPr>
          <w:rFonts w:ascii="Times New Roman" w:eastAsia="Times New Roman" w:hAnsi="Times New Roman" w:cs="Times New Roman"/>
          <w:color w:val="0D0D0D" w:themeColor="text1" w:themeTint="F2"/>
          <w:sz w:val="20"/>
          <w:szCs w:val="20"/>
        </w:rPr>
        <w:t xml:space="preserve">value; hence, the value determines whether the relationship between variables is statistically significant. </w:t>
      </w:r>
      <w:r w:rsidRPr="00FF6C3B">
        <w:rPr>
          <w:rFonts w:ascii="Times New Roman" w:eastAsia="Calibri" w:hAnsi="Times New Roman" w:cs="Times New Roman"/>
          <w:color w:val="0D0D0D" w:themeColor="text1" w:themeTint="F2"/>
          <w:kern w:val="2"/>
          <w:sz w:val="20"/>
          <w:szCs w:val="20"/>
        </w:rPr>
        <w:t xml:space="preserve"> From </w:t>
      </w:r>
      <w:r w:rsidRPr="0074590E">
        <w:rPr>
          <w:rFonts w:ascii="Times New Roman" w:eastAsia="Calibri" w:hAnsi="Times New Roman" w:cs="Times New Roman"/>
          <w:color w:val="0D0D0D" w:themeColor="text1" w:themeTint="F2"/>
          <w:kern w:val="2"/>
          <w:sz w:val="20"/>
          <w:szCs w:val="20"/>
        </w:rPr>
        <w:t>Fig</w:t>
      </w:r>
      <w:r w:rsidR="009D4171">
        <w:rPr>
          <w:rFonts w:ascii="Times New Roman" w:eastAsia="Calibri" w:hAnsi="Times New Roman" w:cs="Times New Roman"/>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5, P &lt; 0.05, which means that the relationship between distance and battery percentage drop is statistically significant</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confirming that</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distance strongly affects battery discharge</w:t>
      </w:r>
      <w:r w:rsidRPr="00FF6C3B">
        <w:rPr>
          <w:rFonts w:ascii="Times New Roman" w:eastAsia="Times New Roman" w:hAnsi="Times New Roman" w:cs="Times New Roman"/>
          <w:color w:val="0D0D0D" w:themeColor="text1" w:themeTint="F2"/>
          <w:sz w:val="20"/>
          <w:szCs w:val="20"/>
        </w:rPr>
        <w:t xml:space="preserve">. </w:t>
      </w:r>
      <w:r w:rsidRPr="00FF6C3B">
        <w:rPr>
          <w:rFonts w:ascii="Times New Roman" w:eastAsia="Calibri" w:hAnsi="Times New Roman" w:cs="Times New Roman"/>
          <w:color w:val="0D0D0D" w:themeColor="text1" w:themeTint="F2"/>
          <w:kern w:val="2"/>
          <w:sz w:val="20"/>
          <w:szCs w:val="20"/>
        </w:rPr>
        <w:t>A p-value less than 0.05 indicates that the observed relationship is statistically significant and not due to random variation, but directly related to the increase in travel distance.</w:t>
      </w:r>
      <w:r w:rsidRPr="00FF6C3B">
        <w:rPr>
          <w:rFonts w:ascii="Times New Roman" w:eastAsia="Times New Roman" w:hAnsi="Times New Roman" w:cs="Times New Roman"/>
          <w:color w:val="0D0D0D" w:themeColor="text1" w:themeTint="F2"/>
          <w:sz w:val="20"/>
          <w:szCs w:val="20"/>
        </w:rPr>
        <w:t xml:space="preserve"> (P &lt; 0.05 (Statistically significant relationship), p &gt; 0.05 (Not statistically significant) </w:t>
      </w:r>
      <w:r w:rsidRPr="00FF6C3B">
        <w:rPr>
          <w:rFonts w:ascii="Times New Roman" w:eastAsia="Calibri" w:hAnsi="Times New Roman" w:cs="Times New Roman"/>
          <w:color w:val="0D0D0D" w:themeColor="text1" w:themeTint="F2"/>
          <w:kern w:val="2"/>
          <w:sz w:val="20"/>
          <w:szCs w:val="20"/>
        </w:rPr>
        <w:t>Correlation analysis was performed to determine the relationship between travel distance and battery percentage for both the new battery (NB) and second-life battery (SLB). The Pearson correlation coefficient showed a strong negative relationship for both batteries. The NB recorded a correlation coefficient of r = −0.958</w:t>
      </w:r>
      <w:r w:rsidRPr="00FF6C3B">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while the SLB recorded r = −0.975. This indicates that battery percentage decreases significantly as travel distance increases. The calculated standard deviations were 22.7 for NB and 22.5 for SLB, showing similar variability in discharge values. The </w:t>
      </w:r>
      <w:r w:rsidRPr="00FF6C3B">
        <w:rPr>
          <w:rFonts w:ascii="Times New Roman" w:eastAsia="Calibri" w:hAnsi="Times New Roman" w:cs="Times New Roman"/>
          <w:color w:val="0D0D0D" w:themeColor="text1" w:themeTint="F2"/>
          <w:kern w:val="2"/>
          <w:sz w:val="20"/>
          <w:szCs w:val="20"/>
        </w:rPr>
        <w:lastRenderedPageBreak/>
        <w:t>statistical significance test produced p-values less than 0.0001, confirming that the observed relationship between distance and battery percentage drop is statistically significant.</w:t>
      </w:r>
    </w:p>
    <w:p w14:paraId="31493962" w14:textId="53B93618" w:rsidR="00FF6C3B" w:rsidRPr="00FF6C3B" w:rsidRDefault="00FF6C3B" w:rsidP="00FF6C3B">
      <w:pPr>
        <w:spacing w:after="0" w:line="240" w:lineRule="auto"/>
        <w:jc w:val="both"/>
        <w:rPr>
          <w:rFonts w:ascii="Times New Roman" w:eastAsia="Times New Roman" w:hAnsi="Times New Roman" w:cs="Times New Roman"/>
          <w:b/>
          <w:bCs/>
          <w:i/>
          <w:iCs/>
          <w:color w:val="0D0D0D" w:themeColor="text1" w:themeTint="F2"/>
          <w:sz w:val="20"/>
          <w:szCs w:val="20"/>
        </w:rPr>
      </w:pPr>
      <w:r w:rsidRPr="00FF6C3B">
        <w:rPr>
          <w:rFonts w:ascii="Times New Roman" w:eastAsia="Times New Roman" w:hAnsi="Times New Roman" w:cs="Times New Roman"/>
          <w:b/>
          <w:bCs/>
          <w:i/>
          <w:iCs/>
          <w:color w:val="0D0D0D" w:themeColor="text1" w:themeTint="F2"/>
          <w:sz w:val="20"/>
          <w:szCs w:val="20"/>
        </w:rPr>
        <w:t>Afternoon</w:t>
      </w:r>
    </w:p>
    <w:p w14:paraId="612B37FF" w14:textId="77777777" w:rsidR="00FF6C3B" w:rsidRPr="00FF6C3B" w:rsidRDefault="00FF6C3B" w:rsidP="009D4171">
      <w:pPr>
        <w:spacing w:after="0" w:line="240" w:lineRule="auto"/>
        <w:jc w:val="center"/>
        <w:rPr>
          <w:rFonts w:ascii="Times New Roman" w:eastAsia="Times New Roman" w:hAnsi="Times New Roman" w:cs="Times New Roman"/>
          <w:color w:val="0D0D0D" w:themeColor="text1" w:themeTint="F2"/>
          <w:sz w:val="20"/>
          <w:szCs w:val="20"/>
        </w:rPr>
      </w:pPr>
      <w:r w:rsidRPr="00FF6C3B">
        <w:rPr>
          <w:rFonts w:ascii="Times New Roman" w:eastAsia="Calibri" w:hAnsi="Times New Roman" w:cs="Times New Roman"/>
          <w:b/>
          <w:bCs/>
          <w:noProof/>
          <w:color w:val="0D0D0D" w:themeColor="text1" w:themeTint="F2"/>
          <w:kern w:val="2"/>
          <w:sz w:val="20"/>
          <w:szCs w:val="20"/>
        </w:rPr>
        <w:drawing>
          <wp:inline distT="0" distB="0" distL="0" distR="0" wp14:anchorId="24894EF3" wp14:editId="760AE9EC">
            <wp:extent cx="3995645" cy="3234906"/>
            <wp:effectExtent l="0" t="0" r="0" b="0"/>
            <wp:docPr id="5483012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5884" cy="3267484"/>
                    </a:xfrm>
                    <a:prstGeom prst="rect">
                      <a:avLst/>
                    </a:prstGeom>
                    <a:noFill/>
                  </pic:spPr>
                </pic:pic>
              </a:graphicData>
            </a:graphic>
          </wp:inline>
        </w:drawing>
      </w:r>
    </w:p>
    <w:p w14:paraId="42A8058E" w14:textId="77777777" w:rsidR="009D4171" w:rsidRPr="000D1EDB" w:rsidRDefault="009D4171" w:rsidP="00FF6C3B">
      <w:pPr>
        <w:spacing w:after="0" w:line="240" w:lineRule="auto"/>
        <w:jc w:val="both"/>
        <w:rPr>
          <w:rFonts w:ascii="Times New Roman" w:eastAsia="Calibri" w:hAnsi="Times New Roman" w:cs="Times New Roman"/>
          <w:b/>
          <w:bCs/>
          <w:noProof/>
          <w:color w:val="0D0D0D" w:themeColor="text1" w:themeTint="F2"/>
          <w:kern w:val="2"/>
        </w:rPr>
      </w:pPr>
    </w:p>
    <w:p w14:paraId="521011D8" w14:textId="3144559D" w:rsidR="00FF6C3B" w:rsidRPr="00FF6C3B" w:rsidRDefault="00FF6C3B" w:rsidP="009D4171">
      <w:pPr>
        <w:spacing w:after="0" w:line="240" w:lineRule="auto"/>
        <w:jc w:val="center"/>
        <w:rPr>
          <w:rFonts w:ascii="Times New Roman" w:eastAsia="Calibri" w:hAnsi="Times New Roman" w:cs="Times New Roman"/>
          <w:b/>
          <w:bCs/>
          <w:noProof/>
          <w:color w:val="0D0D0D" w:themeColor="text1" w:themeTint="F2"/>
          <w:kern w:val="2"/>
          <w:sz w:val="20"/>
          <w:szCs w:val="20"/>
        </w:rPr>
      </w:pPr>
      <w:r w:rsidRPr="0074590E">
        <w:rPr>
          <w:rFonts w:ascii="Times New Roman" w:eastAsia="Calibri" w:hAnsi="Times New Roman" w:cs="Times New Roman"/>
          <w:b/>
          <w:bCs/>
          <w:noProof/>
          <w:color w:val="0D0D0D" w:themeColor="text1" w:themeTint="F2"/>
          <w:kern w:val="2"/>
          <w:sz w:val="20"/>
          <w:szCs w:val="20"/>
        </w:rPr>
        <w:t>Fig</w:t>
      </w:r>
      <w:r w:rsidR="009D4171">
        <w:rPr>
          <w:rFonts w:ascii="Times New Roman" w:eastAsia="Calibri" w:hAnsi="Times New Roman" w:cs="Times New Roman"/>
          <w:b/>
          <w:bCs/>
          <w:noProof/>
          <w:color w:val="0D0D0D" w:themeColor="text1" w:themeTint="F2"/>
          <w:kern w:val="2"/>
          <w:sz w:val="20"/>
          <w:szCs w:val="20"/>
        </w:rPr>
        <w:t>.</w:t>
      </w:r>
      <w:r w:rsidRPr="00FF6C3B">
        <w:rPr>
          <w:rFonts w:ascii="Times New Roman" w:eastAsia="Calibri" w:hAnsi="Times New Roman" w:cs="Times New Roman"/>
          <w:b/>
          <w:bCs/>
          <w:noProof/>
          <w:color w:val="0D0D0D" w:themeColor="text1" w:themeTint="F2"/>
          <w:kern w:val="2"/>
          <w:sz w:val="20"/>
          <w:szCs w:val="20"/>
        </w:rPr>
        <w:t xml:space="preserve"> 6</w:t>
      </w:r>
      <w:r w:rsidR="009D4171">
        <w:rPr>
          <w:rFonts w:ascii="Times New Roman" w:eastAsia="Calibri" w:hAnsi="Times New Roman" w:cs="Times New Roman"/>
          <w:b/>
          <w:bCs/>
          <w:noProof/>
          <w:color w:val="0D0D0D" w:themeColor="text1" w:themeTint="F2"/>
          <w:kern w:val="2"/>
          <w:sz w:val="20"/>
          <w:szCs w:val="20"/>
        </w:rPr>
        <w:t>.</w:t>
      </w:r>
      <w:r w:rsidRPr="00FF6C3B">
        <w:rPr>
          <w:rFonts w:ascii="Times New Roman" w:eastAsia="Calibri" w:hAnsi="Times New Roman" w:cs="Times New Roman"/>
          <w:b/>
          <w:bCs/>
          <w:noProof/>
          <w:color w:val="0D0D0D" w:themeColor="text1" w:themeTint="F2"/>
          <w:kern w:val="2"/>
          <w:sz w:val="20"/>
          <w:szCs w:val="20"/>
        </w:rPr>
        <w:t xml:space="preserve"> Battery performance (</w:t>
      </w:r>
      <w:r w:rsidR="009D4171" w:rsidRPr="00FF6C3B">
        <w:rPr>
          <w:rFonts w:ascii="Times New Roman" w:eastAsia="Calibri" w:hAnsi="Times New Roman" w:cs="Times New Roman"/>
          <w:b/>
          <w:bCs/>
          <w:noProof/>
          <w:color w:val="0D0D0D" w:themeColor="text1" w:themeTint="F2"/>
          <w:kern w:val="2"/>
          <w:sz w:val="20"/>
          <w:szCs w:val="20"/>
        </w:rPr>
        <w:t>afternoon</w:t>
      </w:r>
      <w:r w:rsidRPr="00FF6C3B">
        <w:rPr>
          <w:rFonts w:ascii="Times New Roman" w:eastAsia="Calibri" w:hAnsi="Times New Roman" w:cs="Times New Roman"/>
          <w:b/>
          <w:bCs/>
          <w:noProof/>
          <w:color w:val="0D0D0D" w:themeColor="text1" w:themeTint="F2"/>
          <w:kern w:val="2"/>
          <w:sz w:val="20"/>
          <w:szCs w:val="20"/>
        </w:rPr>
        <w:t>)</w:t>
      </w:r>
    </w:p>
    <w:p w14:paraId="4D896E00" w14:textId="77777777" w:rsidR="00FF6C3B" w:rsidRPr="000D1EDB" w:rsidRDefault="00FF6C3B" w:rsidP="00FF6C3B">
      <w:pPr>
        <w:spacing w:after="0" w:line="240" w:lineRule="auto"/>
        <w:jc w:val="both"/>
        <w:rPr>
          <w:rFonts w:ascii="Times New Roman" w:eastAsia="Times New Roman" w:hAnsi="Times New Roman" w:cs="Times New Roman"/>
          <w:color w:val="0D0D0D" w:themeColor="text1" w:themeTint="F2"/>
        </w:rPr>
      </w:pPr>
    </w:p>
    <w:p w14:paraId="2C4DCA5F" w14:textId="0FBBBC49"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74590E">
        <w:rPr>
          <w:rFonts w:ascii="Times New Roman" w:eastAsia="Calibri" w:hAnsi="Times New Roman" w:cs="Times New Roman"/>
          <w:color w:val="0D0D0D" w:themeColor="text1" w:themeTint="F2"/>
          <w:kern w:val="2"/>
          <w:sz w:val="20"/>
          <w:szCs w:val="20"/>
        </w:rPr>
        <w:t>Fig</w:t>
      </w:r>
      <w:r w:rsidR="007146C1">
        <w:rPr>
          <w:rFonts w:ascii="Times New Roman" w:eastAsia="Calibri" w:hAnsi="Times New Roman" w:cs="Times New Roman"/>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6 presents the relationship between distance travelled (km) and battery percentage</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for the</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New Battery (NB)</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and the</w:t>
      </w:r>
      <w:r w:rsidRPr="00FF6C3B">
        <w:rPr>
          <w:rFonts w:ascii="Times New Roman" w:eastAsia="Calibri" w:hAnsi="Times New Roman" w:cs="Times New Roman"/>
          <w:b/>
          <w:bCs/>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Second-Life Battery (SLB) during the afternoon performance test. The results show a progressive decline in battery percentage for both batteries as the distance increases from 0.6 km to 9 km</w:t>
      </w:r>
      <w:r w:rsidRPr="00FF6C3B">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w:t>
      </w:r>
      <w:r w:rsidR="006738C1">
        <w:rPr>
          <w:rFonts w:ascii="Times New Roman" w:eastAsia="Calibri" w:hAnsi="Times New Roman" w:cs="Times New Roman"/>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This trend indicates that the energy stored in the batteries is gradually consumed as the vehicle continues to operate.</w:t>
      </w:r>
    </w:p>
    <w:p w14:paraId="247A3561" w14:textId="77777777" w:rsidR="009D4171" w:rsidRPr="000D1EDB" w:rsidRDefault="009D4171" w:rsidP="00FF6C3B">
      <w:pPr>
        <w:spacing w:after="0" w:line="240" w:lineRule="auto"/>
        <w:jc w:val="both"/>
        <w:rPr>
          <w:rFonts w:ascii="Times New Roman" w:eastAsia="Calibri" w:hAnsi="Times New Roman" w:cs="Times New Roman"/>
          <w:color w:val="0D0D0D" w:themeColor="text1" w:themeTint="F2"/>
          <w:kern w:val="2"/>
        </w:rPr>
      </w:pPr>
    </w:p>
    <w:p w14:paraId="3F596638" w14:textId="5741A57F"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At the beginning of the test, the New Battery recorded a higher battery percentage (90%) than the Second-Life Battery (85%), indicating slightly better initial energy capacity. Between 1.2 km and 3.6 km, both batteries exhibit a relatively s</w:t>
      </w:r>
      <w:r w:rsidRPr="0074590E">
        <w:rPr>
          <w:rFonts w:ascii="Times New Roman" w:eastAsia="Calibri" w:hAnsi="Times New Roman" w:cs="Times New Roman"/>
          <w:color w:val="0D0D0D" w:themeColor="text1" w:themeTint="F2"/>
          <w:kern w:val="2"/>
          <w:sz w:val="20"/>
          <w:szCs w:val="20"/>
        </w:rPr>
        <w:t>table</w:t>
      </w:r>
      <w:r w:rsidRPr="00FF6C3B">
        <w:rPr>
          <w:rFonts w:ascii="Times New Roman" w:eastAsia="Calibri" w:hAnsi="Times New Roman" w:cs="Times New Roman"/>
          <w:color w:val="0D0D0D" w:themeColor="text1" w:themeTint="F2"/>
          <w:kern w:val="2"/>
          <w:sz w:val="20"/>
          <w:szCs w:val="20"/>
        </w:rPr>
        <w:t xml:space="preserve"> discharge pattern, with the NB maintaining around 80% battery level while the SLB gradually decreases from 79% to 74%. This suggests that during the early stages of vehicle </w:t>
      </w:r>
      <w:r w:rsidR="000D1EDB">
        <w:rPr>
          <w:rFonts w:ascii="Times New Roman" w:eastAsia="Calibri" w:hAnsi="Times New Roman" w:cs="Times New Roman"/>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operation, the batteries experience a slower rate of energy depletion. However, as the distance increases beyond 4 km, a more noticeable drop in battery percentage is observed for both batteries. The NB decreases from 70% at 4.2 km to 20% at 9 km</w:t>
      </w:r>
      <w:r w:rsidRPr="00FF6C3B">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while the SLB decreases from 67% to 34% within the same distance range. This indicates that battery discharge becomes more pronounced as the vehicle continues to operate over longer distances.</w:t>
      </w:r>
    </w:p>
    <w:p w14:paraId="6896554E" w14:textId="77777777" w:rsidR="009D4171" w:rsidRPr="000D1EDB" w:rsidRDefault="009D4171" w:rsidP="00FF6C3B">
      <w:pPr>
        <w:spacing w:after="0" w:line="240" w:lineRule="auto"/>
        <w:jc w:val="both"/>
        <w:rPr>
          <w:rFonts w:ascii="Times New Roman" w:eastAsia="Calibri" w:hAnsi="Times New Roman" w:cs="Times New Roman"/>
          <w:color w:val="0D0D0D" w:themeColor="text1" w:themeTint="F2"/>
          <w:kern w:val="2"/>
        </w:rPr>
      </w:pPr>
    </w:p>
    <w:p w14:paraId="63B345AA"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Statistical analysis revealed a strong negative correlation between distance and battery percentage for both batteries. The correlation coefficient for the NB was R = −0.918, while the SLB showed an even stronger relationship with R = −0.978. This indicates that battery charge decreases significantly as the vehicle travels farther. The p-values obtained for both batteries were far below the significance level of 0.05, confirming that the relationship between distance and battery discharge is statistically significant and not due to random variation. Furthermore, the standard deviation values (NB = 18.44; SLB = 15.99) indicate moderate variability in battery performance across the tested distances. The slightly higher variability observed in the New Battery suggests fluctuations in its discharge pattern during the test period.</w:t>
      </w:r>
    </w:p>
    <w:p w14:paraId="1E34E429" w14:textId="77777777" w:rsidR="009D4171" w:rsidRPr="000D1EDB" w:rsidRDefault="009D4171" w:rsidP="00FF6C3B">
      <w:pPr>
        <w:spacing w:after="0" w:line="240" w:lineRule="auto"/>
        <w:jc w:val="both"/>
        <w:rPr>
          <w:rFonts w:ascii="Times New Roman" w:eastAsia="Calibri" w:hAnsi="Times New Roman" w:cs="Times New Roman"/>
          <w:color w:val="0D0D0D" w:themeColor="text1" w:themeTint="F2"/>
          <w:kern w:val="2"/>
        </w:rPr>
      </w:pPr>
    </w:p>
    <w:p w14:paraId="6F8463FF" w14:textId="48AA271F"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 xml:space="preserve">The overall graph in </w:t>
      </w:r>
      <w:r w:rsidRPr="0074590E">
        <w:rPr>
          <w:rFonts w:ascii="Times New Roman" w:eastAsia="Calibri" w:hAnsi="Times New Roman" w:cs="Times New Roman"/>
          <w:color w:val="0D0D0D" w:themeColor="text1" w:themeTint="F2"/>
          <w:kern w:val="2"/>
          <w:sz w:val="20"/>
          <w:szCs w:val="20"/>
        </w:rPr>
        <w:t>Fig</w:t>
      </w:r>
      <w:r w:rsidR="00C2794F">
        <w:rPr>
          <w:rFonts w:ascii="Times New Roman" w:eastAsia="Calibri" w:hAnsi="Times New Roman" w:cs="Times New Roman"/>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6 shows a clear inverse relationship between distance travelled and battery percentage, with the battery level decreasing as the vehicle travels further. Although both batteries follow a similar discharge </w:t>
      </w:r>
      <w:r w:rsidRPr="00FF6C3B">
        <w:rPr>
          <w:rFonts w:ascii="Times New Roman" w:eastAsia="Calibri" w:hAnsi="Times New Roman" w:cs="Times New Roman"/>
          <w:color w:val="0D0D0D" w:themeColor="text1" w:themeTint="F2"/>
          <w:kern w:val="2"/>
          <w:sz w:val="20"/>
          <w:szCs w:val="20"/>
        </w:rPr>
        <w:lastRenderedPageBreak/>
        <w:t>trend, the New Battery generally maintains a higher battery percentage over most of the distance, suggesting relatively better performance and energy retention compared to the Second-Life Battery during the afternoon test.</w:t>
      </w:r>
    </w:p>
    <w:p w14:paraId="3C002F07" w14:textId="77777777" w:rsidR="00FF6C3B" w:rsidRPr="00FF6C3B" w:rsidRDefault="00FF6C3B" w:rsidP="00FF6C3B">
      <w:pPr>
        <w:spacing w:after="0" w:line="240" w:lineRule="auto"/>
        <w:jc w:val="both"/>
        <w:rPr>
          <w:rFonts w:ascii="Times New Roman" w:eastAsia="Times New Roman" w:hAnsi="Times New Roman" w:cs="Times New Roman"/>
          <w:b/>
          <w:bCs/>
          <w:i/>
          <w:iCs/>
          <w:color w:val="0D0D0D" w:themeColor="text1" w:themeTint="F2"/>
          <w:sz w:val="20"/>
          <w:szCs w:val="20"/>
        </w:rPr>
      </w:pPr>
      <w:r w:rsidRPr="00FF6C3B">
        <w:rPr>
          <w:rFonts w:ascii="Times New Roman" w:eastAsia="Times New Roman" w:hAnsi="Times New Roman" w:cs="Times New Roman"/>
          <w:b/>
          <w:bCs/>
          <w:i/>
          <w:iCs/>
          <w:color w:val="0D0D0D" w:themeColor="text1" w:themeTint="F2"/>
          <w:sz w:val="20"/>
          <w:szCs w:val="20"/>
        </w:rPr>
        <w:t>Evening</w:t>
      </w:r>
    </w:p>
    <w:p w14:paraId="6E18F8B5" w14:textId="6E21AB05" w:rsidR="00FF6C3B" w:rsidRPr="00FF6C3B" w:rsidRDefault="00FF6C3B" w:rsidP="009D4171">
      <w:pPr>
        <w:spacing w:after="0" w:line="240" w:lineRule="auto"/>
        <w:jc w:val="center"/>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noProof/>
          <w:color w:val="0D0D0D" w:themeColor="text1" w:themeTint="F2"/>
          <w:kern w:val="2"/>
          <w:sz w:val="20"/>
          <w:szCs w:val="20"/>
        </w:rPr>
        <w:drawing>
          <wp:inline distT="0" distB="0" distL="0" distR="0" wp14:anchorId="0A0C1E40" wp14:editId="0DF12FD4">
            <wp:extent cx="474133" cy="318038"/>
            <wp:effectExtent l="0" t="0" r="2540" b="6350"/>
            <wp:docPr id="12279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903" name=""/>
                    <pic:cNvPicPr/>
                  </pic:nvPicPr>
                  <pic:blipFill>
                    <a:blip r:embed="rId14"/>
                    <a:stretch>
                      <a:fillRect/>
                    </a:stretch>
                  </pic:blipFill>
                  <pic:spPr>
                    <a:xfrm>
                      <a:off x="0" y="0"/>
                      <a:ext cx="488248" cy="327506"/>
                    </a:xfrm>
                    <a:prstGeom prst="rect">
                      <a:avLst/>
                    </a:prstGeom>
                  </pic:spPr>
                </pic:pic>
              </a:graphicData>
            </a:graphic>
          </wp:inline>
        </w:drawing>
      </w:r>
      <w:r w:rsidRPr="00FF6C3B">
        <w:rPr>
          <w:rFonts w:ascii="Times New Roman" w:eastAsia="Times New Roman" w:hAnsi="Times New Roman" w:cs="Times New Roman"/>
          <w:noProof/>
          <w:color w:val="0D0D0D" w:themeColor="text1" w:themeTint="F2"/>
          <w:kern w:val="2"/>
          <w:sz w:val="20"/>
          <w:szCs w:val="20"/>
        </w:rPr>
        <w:drawing>
          <wp:inline distT="0" distB="0" distL="0" distR="0" wp14:anchorId="78C4A2CA" wp14:editId="32672659">
            <wp:extent cx="3791284" cy="2976114"/>
            <wp:effectExtent l="0" t="0" r="0" b="0"/>
            <wp:docPr id="8106621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9790" cy="3022041"/>
                    </a:xfrm>
                    <a:prstGeom prst="rect">
                      <a:avLst/>
                    </a:prstGeom>
                    <a:noFill/>
                  </pic:spPr>
                </pic:pic>
              </a:graphicData>
            </a:graphic>
          </wp:inline>
        </w:drawing>
      </w:r>
    </w:p>
    <w:p w14:paraId="5F74946E" w14:textId="77777777" w:rsidR="009D4171" w:rsidRDefault="009D4171" w:rsidP="00FF6C3B">
      <w:pPr>
        <w:spacing w:after="0" w:line="240" w:lineRule="auto"/>
        <w:jc w:val="both"/>
        <w:rPr>
          <w:rFonts w:ascii="Times New Roman" w:eastAsia="Calibri" w:hAnsi="Times New Roman" w:cs="Times New Roman"/>
          <w:b/>
          <w:bCs/>
          <w:noProof/>
          <w:color w:val="0D0D0D" w:themeColor="text1" w:themeTint="F2"/>
          <w:kern w:val="2"/>
          <w:sz w:val="20"/>
          <w:szCs w:val="20"/>
        </w:rPr>
      </w:pPr>
    </w:p>
    <w:p w14:paraId="4F0A1770" w14:textId="19C0ED7B" w:rsidR="00FF6C3B" w:rsidRPr="00FF6C3B" w:rsidRDefault="00FF6C3B" w:rsidP="009D4171">
      <w:pPr>
        <w:spacing w:after="0" w:line="240" w:lineRule="auto"/>
        <w:jc w:val="center"/>
        <w:rPr>
          <w:rFonts w:ascii="Times New Roman" w:eastAsia="Calibri" w:hAnsi="Times New Roman" w:cs="Times New Roman"/>
          <w:b/>
          <w:bCs/>
          <w:noProof/>
          <w:color w:val="0D0D0D" w:themeColor="text1" w:themeTint="F2"/>
          <w:kern w:val="2"/>
          <w:sz w:val="20"/>
          <w:szCs w:val="20"/>
        </w:rPr>
      </w:pPr>
      <w:r w:rsidRPr="0074590E">
        <w:rPr>
          <w:rFonts w:ascii="Times New Roman" w:eastAsia="Calibri" w:hAnsi="Times New Roman" w:cs="Times New Roman"/>
          <w:b/>
          <w:bCs/>
          <w:noProof/>
          <w:color w:val="0D0D0D" w:themeColor="text1" w:themeTint="F2"/>
          <w:kern w:val="2"/>
          <w:sz w:val="20"/>
          <w:szCs w:val="20"/>
        </w:rPr>
        <w:t>Fig</w:t>
      </w:r>
      <w:r w:rsidR="009D4171">
        <w:rPr>
          <w:rFonts w:ascii="Times New Roman" w:eastAsia="Calibri" w:hAnsi="Times New Roman" w:cs="Times New Roman"/>
          <w:b/>
          <w:bCs/>
          <w:noProof/>
          <w:color w:val="0D0D0D" w:themeColor="text1" w:themeTint="F2"/>
          <w:kern w:val="2"/>
          <w:sz w:val="20"/>
          <w:szCs w:val="20"/>
        </w:rPr>
        <w:t xml:space="preserve">. </w:t>
      </w:r>
      <w:r w:rsidRPr="00FF6C3B">
        <w:rPr>
          <w:rFonts w:ascii="Times New Roman" w:eastAsia="Calibri" w:hAnsi="Times New Roman" w:cs="Times New Roman"/>
          <w:b/>
          <w:bCs/>
          <w:noProof/>
          <w:color w:val="0D0D0D" w:themeColor="text1" w:themeTint="F2"/>
          <w:kern w:val="2"/>
          <w:sz w:val="20"/>
          <w:szCs w:val="20"/>
        </w:rPr>
        <w:t>7</w:t>
      </w:r>
      <w:r w:rsidR="009D4171">
        <w:rPr>
          <w:rFonts w:ascii="Times New Roman" w:eastAsia="Calibri" w:hAnsi="Times New Roman" w:cs="Times New Roman"/>
          <w:b/>
          <w:bCs/>
          <w:noProof/>
          <w:color w:val="0D0D0D" w:themeColor="text1" w:themeTint="F2"/>
          <w:kern w:val="2"/>
          <w:sz w:val="20"/>
          <w:szCs w:val="20"/>
        </w:rPr>
        <w:t xml:space="preserve">. </w:t>
      </w:r>
      <w:r w:rsidRPr="00FF6C3B">
        <w:rPr>
          <w:rFonts w:ascii="Times New Roman" w:eastAsia="Calibri" w:hAnsi="Times New Roman" w:cs="Times New Roman"/>
          <w:b/>
          <w:bCs/>
          <w:noProof/>
          <w:color w:val="0D0D0D" w:themeColor="text1" w:themeTint="F2"/>
          <w:kern w:val="2"/>
          <w:sz w:val="20"/>
          <w:szCs w:val="20"/>
        </w:rPr>
        <w:t>Battery performance (</w:t>
      </w:r>
      <w:r w:rsidR="009D4171" w:rsidRPr="00FF6C3B">
        <w:rPr>
          <w:rFonts w:ascii="Times New Roman" w:eastAsia="Calibri" w:hAnsi="Times New Roman" w:cs="Times New Roman"/>
          <w:b/>
          <w:bCs/>
          <w:noProof/>
          <w:color w:val="0D0D0D" w:themeColor="text1" w:themeTint="F2"/>
          <w:kern w:val="2"/>
          <w:sz w:val="20"/>
          <w:szCs w:val="20"/>
        </w:rPr>
        <w:t>evening</w:t>
      </w:r>
      <w:r w:rsidRPr="00FF6C3B">
        <w:rPr>
          <w:rFonts w:ascii="Times New Roman" w:eastAsia="Calibri" w:hAnsi="Times New Roman" w:cs="Times New Roman"/>
          <w:b/>
          <w:bCs/>
          <w:noProof/>
          <w:color w:val="0D0D0D" w:themeColor="text1" w:themeTint="F2"/>
          <w:kern w:val="2"/>
          <w:sz w:val="20"/>
          <w:szCs w:val="20"/>
        </w:rPr>
        <w:t>)</w:t>
      </w:r>
    </w:p>
    <w:p w14:paraId="5131FBE1" w14:textId="77777777"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p>
    <w:p w14:paraId="0598B890" w14:textId="473A5624"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74590E">
        <w:rPr>
          <w:rFonts w:ascii="Times New Roman" w:eastAsia="Calibri" w:hAnsi="Times New Roman" w:cs="Times New Roman"/>
          <w:color w:val="0D0D0D" w:themeColor="text1" w:themeTint="F2"/>
          <w:kern w:val="2"/>
          <w:sz w:val="20"/>
          <w:szCs w:val="20"/>
        </w:rPr>
        <w:t>Fig</w:t>
      </w:r>
      <w:r w:rsidR="009D4171">
        <w:rPr>
          <w:rFonts w:ascii="Times New Roman" w:eastAsia="Calibri" w:hAnsi="Times New Roman" w:cs="Times New Roman"/>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7 presents the variation in battery percentage drop with increasing distance for both NB and SLB under evening test conditions. Both battery types exhibit a general decline in percentage as distance increases, indicating energy consumption over travel. However, the pattern of decline differs notably between the two. The NB maintains a relatively s</w:t>
      </w:r>
      <w:r w:rsidRPr="0074590E">
        <w:rPr>
          <w:rFonts w:ascii="Times New Roman" w:eastAsia="Calibri" w:hAnsi="Times New Roman" w:cs="Times New Roman"/>
          <w:color w:val="0D0D0D" w:themeColor="text1" w:themeTint="F2"/>
          <w:kern w:val="2"/>
          <w:sz w:val="20"/>
          <w:szCs w:val="20"/>
        </w:rPr>
        <w:t>table</w:t>
      </w:r>
      <w:r w:rsidRPr="00FF6C3B">
        <w:rPr>
          <w:rFonts w:ascii="Times New Roman" w:eastAsia="Calibri" w:hAnsi="Times New Roman" w:cs="Times New Roman"/>
          <w:color w:val="0D0D0D" w:themeColor="text1" w:themeTint="F2"/>
          <w:kern w:val="2"/>
          <w:sz w:val="20"/>
          <w:szCs w:val="20"/>
        </w:rPr>
        <w:t xml:space="preserve"> battery percentage (around 90%) from 0.6 km to approximately 4.2 km, after which a gradual decline is observed, followed by a sharper drop beyond 7.2 km. In contrast, the SLB shows a more progressive and consistent decrease from the beginning, with noticeable drops occurring earlier than in NB.</w:t>
      </w:r>
    </w:p>
    <w:p w14:paraId="105CD480" w14:textId="77777777" w:rsidR="009D4171" w:rsidRPr="00FF6C3B" w:rsidRDefault="009D4171" w:rsidP="00FF6C3B">
      <w:pPr>
        <w:spacing w:after="0" w:line="240" w:lineRule="auto"/>
        <w:jc w:val="both"/>
        <w:rPr>
          <w:rFonts w:ascii="Times New Roman" w:eastAsia="Calibri" w:hAnsi="Times New Roman" w:cs="Times New Roman"/>
          <w:color w:val="0D0D0D" w:themeColor="text1" w:themeTint="F2"/>
          <w:kern w:val="2"/>
          <w:sz w:val="20"/>
          <w:szCs w:val="20"/>
        </w:rPr>
      </w:pPr>
    </w:p>
    <w:p w14:paraId="4EED2D46" w14:textId="77777777"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Between 4.2 km and 7.2 km, the SLB demonstrates a significant reduction in battery percentage compared to NB, suggesting a higher rate of energy depletion over mid-range distances. This trend becomes more pronounced at longer distances (7.2 km to 9 km), where both batteries experience steep declines; however, SLB reaches much lower percentage levels than NB. This indicates that SLB is more susceptible to rapid discharge under extended distance conditions. The graph further highlights that NB outperforms SLB in terms of maintaining higher battery levels across nearly all measured distances. The relatively flatter curve of NB in the early and mid-distance ranges suggests better energy retention and efficiency. On the other hand, the steeper slope of the SLB curve reflects less efficient energy utilization and greater instability in performance.</w:t>
      </w:r>
    </w:p>
    <w:p w14:paraId="609B8402" w14:textId="77777777" w:rsidR="00B56DDF" w:rsidRPr="00FF6C3B" w:rsidRDefault="00B56DDF" w:rsidP="00FF6C3B">
      <w:pPr>
        <w:spacing w:after="0" w:line="240" w:lineRule="auto"/>
        <w:jc w:val="both"/>
        <w:rPr>
          <w:rFonts w:ascii="Times New Roman" w:eastAsia="Calibri" w:hAnsi="Times New Roman" w:cs="Times New Roman"/>
          <w:color w:val="0D0D0D" w:themeColor="text1" w:themeTint="F2"/>
          <w:kern w:val="2"/>
          <w:sz w:val="20"/>
          <w:szCs w:val="20"/>
        </w:rPr>
      </w:pPr>
    </w:p>
    <w:p w14:paraId="7BEEC2C6" w14:textId="57B2335D"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Times New Roman" w:hAnsi="Times New Roman" w:cs="Times New Roman"/>
          <w:color w:val="0D0D0D" w:themeColor="text1" w:themeTint="F2"/>
          <w:sz w:val="20"/>
          <w:szCs w:val="20"/>
        </w:rPr>
        <w:t>The computed standard deviation values (NB = 18.31; SLB = 20.47) indicate that SLB experiences greater variability in performance, suggesting less stability compared to NB.</w:t>
      </w:r>
      <w:r w:rsidRPr="00FF6C3B">
        <w:rPr>
          <w:rFonts w:ascii="Times New Roman" w:eastAsia="Calibri" w:hAnsi="Times New Roman" w:cs="Times New Roman"/>
          <w:color w:val="0D0D0D" w:themeColor="text1" w:themeTint="F2"/>
          <w:kern w:val="2"/>
          <w:sz w:val="20"/>
          <w:szCs w:val="20"/>
        </w:rPr>
        <w:t xml:space="preserve"> </w:t>
      </w:r>
      <w:r w:rsidRPr="00FF6C3B">
        <w:rPr>
          <w:rFonts w:ascii="Times New Roman" w:eastAsia="Times New Roman" w:hAnsi="Times New Roman" w:cs="Times New Roman"/>
          <w:color w:val="0D0D0D" w:themeColor="text1" w:themeTint="F2"/>
          <w:sz w:val="20"/>
          <w:szCs w:val="20"/>
        </w:rPr>
        <w:t xml:space="preserve">Furthermore, the correlation coefficients for NB (R = -0.829) and SLB (R = -0.885) demonstrate strong negative relationships between distance and battery percentage, confirming that increased distance leads to significant battery depletion in both systems. The stronger negative correlation observed in SLB implies a higher sensitivity to distance, resulting in faster energy loss. The associated p-values (NB = 0.00013; SLB = 0.000012) are well below the 0.05 significance threshold, indicating that these relationships are statistically significant and not due to random variation. </w:t>
      </w:r>
      <w:r w:rsidRPr="00FF6C3B">
        <w:rPr>
          <w:rFonts w:ascii="Times New Roman" w:eastAsia="Calibri" w:hAnsi="Times New Roman" w:cs="Times New Roman"/>
          <w:color w:val="0D0D0D" w:themeColor="text1" w:themeTint="F2"/>
          <w:kern w:val="2"/>
          <w:sz w:val="20"/>
          <w:szCs w:val="20"/>
        </w:rPr>
        <w:t xml:space="preserve">The overall graphical analysis in </w:t>
      </w:r>
      <w:r w:rsidRPr="0074590E">
        <w:rPr>
          <w:rFonts w:ascii="Times New Roman" w:eastAsia="Calibri" w:hAnsi="Times New Roman" w:cs="Times New Roman"/>
          <w:color w:val="0D0D0D" w:themeColor="text1" w:themeTint="F2"/>
          <w:kern w:val="2"/>
          <w:sz w:val="20"/>
          <w:szCs w:val="20"/>
        </w:rPr>
        <w:t>Fig</w:t>
      </w:r>
      <w:r w:rsidR="00B56DDF">
        <w:rPr>
          <w:rFonts w:ascii="Times New Roman" w:eastAsia="Calibri" w:hAnsi="Times New Roman" w:cs="Times New Roman"/>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7 suggests that distance has a substantial impact on battery performance for both systems, with NB demonstrating superior consistency and endurance. This implies that NB may be more reliable for longer-distance applications, whereas SLB may be better suited for shorter distances where its performance remains comparatively s</w:t>
      </w:r>
      <w:r w:rsidRPr="0074590E">
        <w:rPr>
          <w:rFonts w:ascii="Times New Roman" w:eastAsia="Calibri" w:hAnsi="Times New Roman" w:cs="Times New Roman"/>
          <w:color w:val="0D0D0D" w:themeColor="text1" w:themeTint="F2"/>
          <w:kern w:val="2"/>
          <w:sz w:val="20"/>
          <w:szCs w:val="20"/>
        </w:rPr>
        <w:t>table</w:t>
      </w:r>
      <w:r w:rsidRPr="00FF6C3B">
        <w:rPr>
          <w:rFonts w:ascii="Times New Roman" w:eastAsia="Calibri" w:hAnsi="Times New Roman" w:cs="Times New Roman"/>
          <w:color w:val="0D0D0D" w:themeColor="text1" w:themeTint="F2"/>
          <w:kern w:val="2"/>
          <w:sz w:val="20"/>
          <w:szCs w:val="20"/>
        </w:rPr>
        <w:t>.</w:t>
      </w:r>
    </w:p>
    <w:p w14:paraId="7F3672DE" w14:textId="77777777"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p>
    <w:p w14:paraId="66E1A03D" w14:textId="036711A4" w:rsidR="00FF6C3B" w:rsidRPr="00CD670C" w:rsidRDefault="00FF6C3B" w:rsidP="00FF6C3B">
      <w:pPr>
        <w:spacing w:after="0" w:line="240" w:lineRule="auto"/>
        <w:jc w:val="both"/>
        <w:rPr>
          <w:rFonts w:ascii="Times New Roman" w:eastAsia="Calibri" w:hAnsi="Times New Roman" w:cs="Times New Roman"/>
          <w:b/>
          <w:bCs/>
          <w:color w:val="0D0D0D" w:themeColor="text1" w:themeTint="F2"/>
          <w:kern w:val="2"/>
        </w:rPr>
      </w:pPr>
      <w:r w:rsidRPr="00CD670C">
        <w:rPr>
          <w:rFonts w:ascii="Times New Roman" w:eastAsia="Calibri" w:hAnsi="Times New Roman" w:cs="Times New Roman"/>
          <w:b/>
          <w:bCs/>
          <w:color w:val="0D0D0D" w:themeColor="text1" w:themeTint="F2"/>
          <w:kern w:val="2"/>
        </w:rPr>
        <w:t xml:space="preserve">4.4 Average Percentage Drop Across all </w:t>
      </w:r>
      <w:r w:rsidR="00D56D7F" w:rsidRPr="00CD670C">
        <w:rPr>
          <w:rFonts w:ascii="Times New Roman" w:eastAsia="Calibri" w:hAnsi="Times New Roman" w:cs="Times New Roman"/>
          <w:b/>
          <w:bCs/>
          <w:color w:val="0D0D0D" w:themeColor="text1" w:themeTint="F2"/>
          <w:kern w:val="2"/>
        </w:rPr>
        <w:t xml:space="preserve">Three </w:t>
      </w:r>
      <w:r w:rsidRPr="00CD670C">
        <w:rPr>
          <w:rFonts w:ascii="Times New Roman" w:eastAsia="Calibri" w:hAnsi="Times New Roman" w:cs="Times New Roman"/>
          <w:b/>
          <w:bCs/>
          <w:color w:val="0D0D0D" w:themeColor="text1" w:themeTint="F2"/>
          <w:kern w:val="2"/>
        </w:rPr>
        <w:t>Scenarios (Morning, Afternoon, Evening)</w:t>
      </w:r>
    </w:p>
    <w:p w14:paraId="3901E9F0" w14:textId="77777777" w:rsidR="004D7326" w:rsidRDefault="004D7326" w:rsidP="00ED74B4">
      <w:pPr>
        <w:spacing w:after="0" w:line="240" w:lineRule="auto"/>
        <w:jc w:val="both"/>
        <w:rPr>
          <w:rFonts w:ascii="Times New Roman" w:eastAsia="Calibri" w:hAnsi="Times New Roman" w:cs="Times New Roman"/>
          <w:b/>
          <w:bCs/>
          <w:noProof/>
          <w:color w:val="0D0D0D" w:themeColor="text1" w:themeTint="F2"/>
          <w:kern w:val="2"/>
          <w:sz w:val="20"/>
          <w:szCs w:val="20"/>
        </w:rPr>
      </w:pPr>
    </w:p>
    <w:p w14:paraId="68818E23" w14:textId="7DDE6B18" w:rsidR="00ED74B4" w:rsidRDefault="00ED74B4" w:rsidP="00ED74B4">
      <w:pPr>
        <w:spacing w:after="0" w:line="240" w:lineRule="auto"/>
        <w:jc w:val="both"/>
        <w:rPr>
          <w:rFonts w:ascii="Times New Roman" w:eastAsia="Calibri" w:hAnsi="Times New Roman" w:cs="Times New Roman"/>
          <w:b/>
          <w:bCs/>
          <w:noProof/>
          <w:color w:val="0D0D0D" w:themeColor="text1" w:themeTint="F2"/>
          <w:kern w:val="2"/>
          <w:sz w:val="20"/>
          <w:szCs w:val="20"/>
        </w:rPr>
      </w:pPr>
      <w:r w:rsidRPr="0074590E">
        <w:rPr>
          <w:rFonts w:ascii="Times New Roman" w:eastAsia="Calibri" w:hAnsi="Times New Roman" w:cs="Times New Roman"/>
          <w:color w:val="0D0D0D" w:themeColor="text1" w:themeTint="F2"/>
          <w:kern w:val="2"/>
          <w:sz w:val="20"/>
          <w:szCs w:val="20"/>
        </w:rPr>
        <w:t>Fig</w:t>
      </w:r>
      <w:r>
        <w:rPr>
          <w:rFonts w:ascii="Times New Roman" w:eastAsia="Calibri" w:hAnsi="Times New Roman" w:cs="Times New Roman"/>
          <w:color w:val="0D0D0D" w:themeColor="text1" w:themeTint="F2"/>
          <w:kern w:val="2"/>
          <w:sz w:val="20"/>
          <w:szCs w:val="20"/>
        </w:rPr>
        <w:t>.</w:t>
      </w:r>
      <w:r w:rsidRPr="00FF6C3B">
        <w:rPr>
          <w:rFonts w:ascii="Times New Roman" w:eastAsia="Calibri" w:hAnsi="Times New Roman" w:cs="Times New Roman"/>
          <w:color w:val="0D0D0D" w:themeColor="text1" w:themeTint="F2"/>
          <w:kern w:val="2"/>
          <w:sz w:val="20"/>
          <w:szCs w:val="20"/>
        </w:rPr>
        <w:t xml:space="preserve"> 8 illustrates the relationship between travel distance and average battery percentage drop across morning, afternoon, and evening for both the New Battery (NB) and Second-Life Battery (SLB), providing critical insight into their comparative performance under real-world operating conditions. As distance increases from 0.6 km to 9 km, both battery types exhibit a clear and consistent decline in remaining charge, confirming the expected inverse relationship between energy availability and distance travelled.</w:t>
      </w:r>
    </w:p>
    <w:p w14:paraId="4987E494" w14:textId="77777777" w:rsidR="00ED74B4" w:rsidRDefault="00ED74B4" w:rsidP="00ED74B4">
      <w:pPr>
        <w:spacing w:after="0" w:line="240" w:lineRule="auto"/>
        <w:jc w:val="both"/>
        <w:rPr>
          <w:rFonts w:ascii="Times New Roman" w:eastAsia="Calibri" w:hAnsi="Times New Roman" w:cs="Times New Roman"/>
          <w:b/>
          <w:bCs/>
          <w:noProof/>
          <w:color w:val="0D0D0D" w:themeColor="text1" w:themeTint="F2"/>
          <w:kern w:val="2"/>
          <w:sz w:val="20"/>
          <w:szCs w:val="20"/>
        </w:rPr>
      </w:pPr>
    </w:p>
    <w:p w14:paraId="78CD2C15" w14:textId="6BDA83DF" w:rsidR="00FF6C3B" w:rsidRPr="00FF6C3B" w:rsidRDefault="00FF6C3B" w:rsidP="00B56DDF">
      <w:pPr>
        <w:spacing w:after="0" w:line="240" w:lineRule="auto"/>
        <w:jc w:val="center"/>
        <w:rPr>
          <w:rFonts w:ascii="Times New Roman" w:eastAsia="Times New Roman" w:hAnsi="Times New Roman" w:cs="Times New Roman"/>
          <w:color w:val="0D0D0D" w:themeColor="text1" w:themeTint="F2"/>
          <w:sz w:val="20"/>
          <w:szCs w:val="20"/>
        </w:rPr>
      </w:pPr>
      <w:r w:rsidRPr="00FF6C3B">
        <w:rPr>
          <w:rFonts w:ascii="Times New Roman" w:eastAsia="Calibri" w:hAnsi="Times New Roman" w:cs="Times New Roman"/>
          <w:b/>
          <w:bCs/>
          <w:noProof/>
          <w:color w:val="0D0D0D" w:themeColor="text1" w:themeTint="F2"/>
          <w:kern w:val="2"/>
          <w:sz w:val="20"/>
          <w:szCs w:val="20"/>
        </w:rPr>
        <w:drawing>
          <wp:inline distT="0" distB="0" distL="0" distR="0" wp14:anchorId="43AEBCE0" wp14:editId="03580387">
            <wp:extent cx="3915055" cy="3260785"/>
            <wp:effectExtent l="0" t="0" r="0" b="0"/>
            <wp:docPr id="9516100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3765" cy="3318012"/>
                    </a:xfrm>
                    <a:prstGeom prst="rect">
                      <a:avLst/>
                    </a:prstGeom>
                    <a:noFill/>
                  </pic:spPr>
                </pic:pic>
              </a:graphicData>
            </a:graphic>
          </wp:inline>
        </w:drawing>
      </w:r>
    </w:p>
    <w:p w14:paraId="64DC8094" w14:textId="77777777" w:rsidR="00B56DDF" w:rsidRDefault="00B56DDF" w:rsidP="00FF6C3B">
      <w:pPr>
        <w:spacing w:after="0" w:line="240" w:lineRule="auto"/>
        <w:jc w:val="both"/>
        <w:rPr>
          <w:rFonts w:ascii="Times New Roman" w:eastAsia="Calibri" w:hAnsi="Times New Roman" w:cs="Times New Roman"/>
          <w:b/>
          <w:bCs/>
          <w:color w:val="0D0D0D" w:themeColor="text1" w:themeTint="F2"/>
          <w:kern w:val="2"/>
          <w:sz w:val="20"/>
          <w:szCs w:val="20"/>
        </w:rPr>
      </w:pPr>
    </w:p>
    <w:p w14:paraId="72211F5B" w14:textId="45B49707" w:rsidR="00FF6C3B" w:rsidRPr="00FF6C3B" w:rsidRDefault="00FF6C3B" w:rsidP="00B56DDF">
      <w:pPr>
        <w:spacing w:after="0" w:line="240" w:lineRule="auto"/>
        <w:jc w:val="center"/>
        <w:rPr>
          <w:rFonts w:ascii="Times New Roman" w:eastAsia="Calibri" w:hAnsi="Times New Roman" w:cs="Times New Roman"/>
          <w:b/>
          <w:bCs/>
          <w:color w:val="0D0D0D" w:themeColor="text1" w:themeTint="F2"/>
          <w:kern w:val="2"/>
          <w:sz w:val="20"/>
          <w:szCs w:val="20"/>
        </w:rPr>
      </w:pPr>
      <w:r w:rsidRPr="0074590E">
        <w:rPr>
          <w:rFonts w:ascii="Times New Roman" w:eastAsia="Calibri" w:hAnsi="Times New Roman" w:cs="Times New Roman"/>
          <w:b/>
          <w:bCs/>
          <w:color w:val="0D0D0D" w:themeColor="text1" w:themeTint="F2"/>
          <w:kern w:val="2"/>
          <w:sz w:val="20"/>
          <w:szCs w:val="20"/>
        </w:rPr>
        <w:t>Fig</w:t>
      </w:r>
      <w:r w:rsidR="00B56DDF">
        <w:rPr>
          <w:rFonts w:ascii="Times New Roman" w:eastAsia="Calibri" w:hAnsi="Times New Roman" w:cs="Times New Roman"/>
          <w:b/>
          <w:bCs/>
          <w:color w:val="0D0D0D" w:themeColor="text1" w:themeTint="F2"/>
          <w:kern w:val="2"/>
          <w:sz w:val="20"/>
          <w:szCs w:val="20"/>
        </w:rPr>
        <w:t>.</w:t>
      </w:r>
      <w:r w:rsidRPr="00FF6C3B">
        <w:rPr>
          <w:rFonts w:ascii="Times New Roman" w:eastAsia="Calibri" w:hAnsi="Times New Roman" w:cs="Times New Roman"/>
          <w:b/>
          <w:bCs/>
          <w:color w:val="0D0D0D" w:themeColor="text1" w:themeTint="F2"/>
          <w:kern w:val="2"/>
          <w:sz w:val="20"/>
          <w:szCs w:val="20"/>
        </w:rPr>
        <w:t xml:space="preserve"> 8. Average % </w:t>
      </w:r>
      <w:r w:rsidR="002C340E" w:rsidRPr="00FF6C3B">
        <w:rPr>
          <w:rFonts w:ascii="Times New Roman" w:eastAsia="Calibri" w:hAnsi="Times New Roman" w:cs="Times New Roman"/>
          <w:b/>
          <w:bCs/>
          <w:color w:val="0D0D0D" w:themeColor="text1" w:themeTint="F2"/>
          <w:kern w:val="2"/>
          <w:sz w:val="20"/>
          <w:szCs w:val="20"/>
        </w:rPr>
        <w:t>drop across both batteries</w:t>
      </w:r>
    </w:p>
    <w:p w14:paraId="7BBCDE77" w14:textId="77777777" w:rsidR="00FF6C3B" w:rsidRPr="00FF6C3B" w:rsidRDefault="00FF6C3B" w:rsidP="00FF6C3B">
      <w:pPr>
        <w:spacing w:after="0" w:line="240" w:lineRule="auto"/>
        <w:jc w:val="both"/>
        <w:rPr>
          <w:rFonts w:ascii="Times New Roman" w:eastAsia="Calibri" w:hAnsi="Times New Roman" w:cs="Times New Roman"/>
          <w:b/>
          <w:bCs/>
          <w:color w:val="0D0D0D" w:themeColor="text1" w:themeTint="F2"/>
          <w:kern w:val="2"/>
          <w:sz w:val="20"/>
          <w:szCs w:val="20"/>
        </w:rPr>
      </w:pPr>
    </w:p>
    <w:p w14:paraId="4189A9CC" w14:textId="1C6EE80F"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 xml:space="preserve">A key observation from </w:t>
      </w:r>
      <w:r w:rsidRPr="0074590E">
        <w:rPr>
          <w:rFonts w:ascii="Times New Roman" w:eastAsia="Calibri" w:hAnsi="Times New Roman" w:cs="Times New Roman"/>
          <w:color w:val="0D0D0D" w:themeColor="text1" w:themeTint="F2"/>
          <w:kern w:val="2"/>
          <w:sz w:val="20"/>
          <w:szCs w:val="20"/>
        </w:rPr>
        <w:t>Fig</w:t>
      </w:r>
      <w:r w:rsidR="00ED74B4">
        <w:rPr>
          <w:rFonts w:ascii="Times New Roman" w:eastAsia="Calibri" w:hAnsi="Times New Roman" w:cs="Times New Roman"/>
          <w:color w:val="0D0D0D" w:themeColor="text1" w:themeTint="F2"/>
          <w:kern w:val="2"/>
          <w:sz w:val="20"/>
          <w:szCs w:val="20"/>
        </w:rPr>
        <w:t xml:space="preserve">. </w:t>
      </w:r>
      <w:r w:rsidRPr="00FF6C3B">
        <w:rPr>
          <w:rFonts w:ascii="Times New Roman" w:eastAsia="Calibri" w:hAnsi="Times New Roman" w:cs="Times New Roman"/>
          <w:color w:val="0D0D0D" w:themeColor="text1" w:themeTint="F2"/>
          <w:kern w:val="2"/>
          <w:sz w:val="20"/>
          <w:szCs w:val="20"/>
        </w:rPr>
        <w:t>8 is that the NB maintains a higher state of charge across nearly all measured distances compared to the SLB. This indicates superior energy retention capacity, which can be attributed to its relatively intact electrochemical structure, lower internal resistance, and optimal charge and discharge efficiency. In contrast, the SLB demonstrates a more rapid decline in battery percentage, particularly beyond the mid-range distances (approximately 5–6 km). This accelerated degradation reflects the effects of prior usage, including capacity fade, increased internal resistance, and diminished energy efficiency.</w:t>
      </w:r>
    </w:p>
    <w:p w14:paraId="21198279" w14:textId="77777777" w:rsidR="003F78EF" w:rsidRDefault="003F78EF" w:rsidP="00FF6C3B">
      <w:pPr>
        <w:spacing w:after="0" w:line="240" w:lineRule="auto"/>
        <w:jc w:val="both"/>
        <w:rPr>
          <w:rFonts w:ascii="Times New Roman" w:eastAsia="Calibri" w:hAnsi="Times New Roman" w:cs="Times New Roman"/>
          <w:color w:val="0D0D0D" w:themeColor="text1" w:themeTint="F2"/>
          <w:kern w:val="2"/>
          <w:sz w:val="20"/>
          <w:szCs w:val="20"/>
        </w:rPr>
      </w:pPr>
    </w:p>
    <w:p w14:paraId="5943C795" w14:textId="1C58B840"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 xml:space="preserve">Furthermore, the divergence between the two curves becomes more pronounced at longer distances, highlighting the reduced reliability of SLBs under extended operational demands. Notably, while both batteries show a gradual decline initially, the SLB curve exhibits sharper drops in the latter stages, suggesting nonlinear degradation </w:t>
      </w:r>
      <w:proofErr w:type="spellStart"/>
      <w:r w:rsidRPr="00FF6C3B">
        <w:rPr>
          <w:rFonts w:ascii="Times New Roman" w:eastAsia="Calibri" w:hAnsi="Times New Roman" w:cs="Times New Roman"/>
          <w:color w:val="0D0D0D" w:themeColor="text1" w:themeTint="F2"/>
          <w:kern w:val="2"/>
          <w:sz w:val="20"/>
          <w:szCs w:val="20"/>
        </w:rPr>
        <w:t>behaviour</w:t>
      </w:r>
      <w:proofErr w:type="spellEnd"/>
      <w:r w:rsidRPr="00FF6C3B">
        <w:rPr>
          <w:rFonts w:ascii="Times New Roman" w:eastAsia="Calibri" w:hAnsi="Times New Roman" w:cs="Times New Roman"/>
          <w:color w:val="0D0D0D" w:themeColor="text1" w:themeTint="F2"/>
          <w:kern w:val="2"/>
          <w:sz w:val="20"/>
          <w:szCs w:val="20"/>
        </w:rPr>
        <w:t xml:space="preserve"> under higher depth-of-discharge conditions. This has important implications for electric vehicle (EV) performance, particularly in applications requiring sustained range and consistent power delivery. </w:t>
      </w:r>
      <w:r w:rsidRPr="00FF6C3B">
        <w:rPr>
          <w:rFonts w:ascii="Times New Roman" w:eastAsia="Times New Roman" w:hAnsi="Times New Roman" w:cs="Times New Roman"/>
          <w:color w:val="0D0D0D" w:themeColor="text1" w:themeTint="F2"/>
          <w:sz w:val="20"/>
          <w:szCs w:val="20"/>
        </w:rPr>
        <w:t>From a thermal and electrochemical perspective, the observed trends may also indicate that SLBs are more susceptible to energy losses due to heat generation and inefficiencies in charge transfer processes. The NB’s more s</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decline suggests better thermal management and energy utilization efficiency. The graph in </w:t>
      </w:r>
      <w:r w:rsidRPr="0074590E">
        <w:rPr>
          <w:rFonts w:ascii="Times New Roman" w:eastAsia="Times New Roman" w:hAnsi="Times New Roman" w:cs="Times New Roman"/>
          <w:color w:val="0D0D0D" w:themeColor="text1" w:themeTint="F2"/>
          <w:sz w:val="20"/>
          <w:szCs w:val="20"/>
        </w:rPr>
        <w:t>Fig</w:t>
      </w:r>
      <w:r w:rsidR="00D541A9">
        <w:rPr>
          <w:rFonts w:ascii="Times New Roman" w:eastAsia="Times New Roman" w:hAnsi="Times New Roman" w:cs="Times New Roman"/>
          <w:color w:val="0D0D0D" w:themeColor="text1" w:themeTint="F2"/>
          <w:sz w:val="20"/>
          <w:szCs w:val="20"/>
        </w:rPr>
        <w:t>.</w:t>
      </w:r>
      <w:r w:rsidRPr="00FF6C3B">
        <w:rPr>
          <w:rFonts w:ascii="Times New Roman" w:eastAsia="Times New Roman" w:hAnsi="Times New Roman" w:cs="Times New Roman"/>
          <w:color w:val="0D0D0D" w:themeColor="text1" w:themeTint="F2"/>
          <w:sz w:val="20"/>
          <w:szCs w:val="20"/>
        </w:rPr>
        <w:t xml:space="preserve"> 8 provides strong empirical evidence that NB outperforms SLB in terms of energy retention and discharge stability as distance increases. While SLBs may still be viable for low-range or secondary applications, their reduced performance at higher distances raises concerns regarding their suitability for primary EV propulsion. These findings underscore the importance of thorough performance evaluation when considering second-life batteries within a circular economy framework for electric mobility.</w:t>
      </w:r>
      <w:r w:rsidRPr="00FF6C3B">
        <w:rPr>
          <w:rFonts w:ascii="Times New Roman" w:eastAsia="Calibri" w:hAnsi="Times New Roman" w:cs="Times New Roman"/>
          <w:color w:val="0D0D0D" w:themeColor="text1" w:themeTint="F2"/>
          <w:kern w:val="2"/>
          <w:sz w:val="20"/>
          <w:szCs w:val="20"/>
        </w:rPr>
        <w:t xml:space="preserve"> </w:t>
      </w:r>
    </w:p>
    <w:p w14:paraId="184C7C1E" w14:textId="77777777"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p>
    <w:p w14:paraId="49424E55" w14:textId="77777777" w:rsidR="00FF6C3B" w:rsidRPr="002C340E" w:rsidRDefault="00FF6C3B" w:rsidP="00FF6C3B">
      <w:pPr>
        <w:spacing w:after="0" w:line="240" w:lineRule="auto"/>
        <w:jc w:val="both"/>
        <w:rPr>
          <w:rFonts w:ascii="Times New Roman" w:eastAsia="Calibri" w:hAnsi="Times New Roman" w:cs="Times New Roman"/>
          <w:b/>
          <w:bCs/>
          <w:color w:val="0D0D0D" w:themeColor="text1" w:themeTint="F2"/>
          <w:kern w:val="2"/>
        </w:rPr>
      </w:pPr>
      <w:r w:rsidRPr="002C340E">
        <w:rPr>
          <w:rFonts w:ascii="Times New Roman" w:eastAsia="Calibri" w:hAnsi="Times New Roman" w:cs="Times New Roman"/>
          <w:b/>
          <w:bCs/>
          <w:color w:val="0D0D0D" w:themeColor="text1" w:themeTint="F2"/>
          <w:kern w:val="2"/>
        </w:rPr>
        <w:lastRenderedPageBreak/>
        <w:t>4.5 Summary of Computed Results on Average Percentage Drop</w:t>
      </w:r>
    </w:p>
    <w:p w14:paraId="0B50A332" w14:textId="77777777" w:rsidR="002C340E" w:rsidRDefault="002C340E" w:rsidP="00FF6C3B">
      <w:pPr>
        <w:spacing w:after="0" w:line="240" w:lineRule="auto"/>
        <w:jc w:val="both"/>
        <w:rPr>
          <w:rFonts w:ascii="Times New Roman" w:eastAsia="Calibri" w:hAnsi="Times New Roman" w:cs="Times New Roman"/>
          <w:color w:val="0D0D0D" w:themeColor="text1" w:themeTint="F2"/>
          <w:kern w:val="2"/>
          <w:sz w:val="20"/>
          <w:szCs w:val="20"/>
        </w:rPr>
      </w:pPr>
    </w:p>
    <w:p w14:paraId="0FC3FF01" w14:textId="526517D8"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74590E">
        <w:rPr>
          <w:rFonts w:ascii="Times New Roman" w:eastAsia="Calibri" w:hAnsi="Times New Roman" w:cs="Times New Roman"/>
          <w:color w:val="0D0D0D" w:themeColor="text1" w:themeTint="F2"/>
          <w:kern w:val="2"/>
          <w:sz w:val="20"/>
          <w:szCs w:val="20"/>
        </w:rPr>
        <w:t>Table</w:t>
      </w:r>
      <w:r w:rsidRPr="00FF6C3B">
        <w:rPr>
          <w:rFonts w:ascii="Times New Roman" w:eastAsia="Calibri" w:hAnsi="Times New Roman" w:cs="Times New Roman"/>
          <w:color w:val="0D0D0D" w:themeColor="text1" w:themeTint="F2"/>
          <w:kern w:val="2"/>
          <w:sz w:val="20"/>
          <w:szCs w:val="20"/>
        </w:rPr>
        <w:t xml:space="preserve"> 5 shows a comparative analysis of the average battery percentage drop across the morning, afternoon, and evening operational periods, revealing a clear temporal pattern in the performance </w:t>
      </w:r>
      <w:proofErr w:type="spellStart"/>
      <w:r w:rsidRPr="00FF6C3B">
        <w:rPr>
          <w:rFonts w:ascii="Times New Roman" w:eastAsia="Calibri" w:hAnsi="Times New Roman" w:cs="Times New Roman"/>
          <w:color w:val="0D0D0D" w:themeColor="text1" w:themeTint="F2"/>
          <w:kern w:val="2"/>
          <w:sz w:val="20"/>
          <w:szCs w:val="20"/>
        </w:rPr>
        <w:t>behaviour</w:t>
      </w:r>
      <w:proofErr w:type="spellEnd"/>
      <w:r w:rsidRPr="00FF6C3B">
        <w:rPr>
          <w:rFonts w:ascii="Times New Roman" w:eastAsia="Calibri" w:hAnsi="Times New Roman" w:cs="Times New Roman"/>
          <w:color w:val="0D0D0D" w:themeColor="text1" w:themeTint="F2"/>
          <w:kern w:val="2"/>
          <w:sz w:val="20"/>
          <w:szCs w:val="20"/>
        </w:rPr>
        <w:t xml:space="preserve"> of both the New Battery (NB) and Second-Life Battery (SLB). The results demonstrate that while both battery types exhibit increasing discharge levels throughout the day, the magnitude and rate of degradation differ significantly, with the SLB consistently underperforming relative to the NB.</w:t>
      </w:r>
    </w:p>
    <w:p w14:paraId="6D1A80F5" w14:textId="5E518311" w:rsidR="00FF6C3B" w:rsidRDefault="00FF6C3B" w:rsidP="002C340E">
      <w:pPr>
        <w:spacing w:after="0" w:line="240" w:lineRule="auto"/>
        <w:jc w:val="center"/>
        <w:rPr>
          <w:rFonts w:ascii="Times New Roman" w:eastAsia="Calibri" w:hAnsi="Times New Roman" w:cs="Times New Roman"/>
          <w:b/>
          <w:bCs/>
          <w:color w:val="0D0D0D" w:themeColor="text1" w:themeTint="F2"/>
          <w:kern w:val="2"/>
          <w:sz w:val="20"/>
          <w:szCs w:val="20"/>
        </w:rPr>
      </w:pPr>
      <w:r w:rsidRPr="0074590E">
        <w:rPr>
          <w:rFonts w:ascii="Times New Roman" w:eastAsia="Calibri" w:hAnsi="Times New Roman" w:cs="Times New Roman"/>
          <w:b/>
          <w:bCs/>
          <w:color w:val="0D0D0D" w:themeColor="text1" w:themeTint="F2"/>
          <w:kern w:val="2"/>
          <w:sz w:val="20"/>
          <w:szCs w:val="20"/>
        </w:rPr>
        <w:t>Table</w:t>
      </w:r>
      <w:r w:rsidRPr="00FF6C3B">
        <w:rPr>
          <w:rFonts w:ascii="Times New Roman" w:eastAsia="Calibri" w:hAnsi="Times New Roman" w:cs="Times New Roman"/>
          <w:b/>
          <w:bCs/>
          <w:color w:val="0D0D0D" w:themeColor="text1" w:themeTint="F2"/>
          <w:kern w:val="2"/>
          <w:sz w:val="20"/>
          <w:szCs w:val="20"/>
        </w:rPr>
        <w:t xml:space="preserve"> 5</w:t>
      </w:r>
      <w:r w:rsidR="002C340E">
        <w:rPr>
          <w:rFonts w:ascii="Times New Roman" w:eastAsia="Calibri" w:hAnsi="Times New Roman" w:cs="Times New Roman"/>
          <w:b/>
          <w:bCs/>
          <w:color w:val="0D0D0D" w:themeColor="text1" w:themeTint="F2"/>
          <w:kern w:val="2"/>
          <w:sz w:val="20"/>
          <w:szCs w:val="20"/>
        </w:rPr>
        <w:t xml:space="preserve">. </w:t>
      </w:r>
      <w:r w:rsidR="002C340E" w:rsidRPr="00FF6C3B">
        <w:rPr>
          <w:rFonts w:ascii="Times New Roman" w:eastAsia="Calibri" w:hAnsi="Times New Roman" w:cs="Times New Roman"/>
          <w:b/>
          <w:bCs/>
          <w:color w:val="0D0D0D" w:themeColor="text1" w:themeTint="F2"/>
          <w:kern w:val="2"/>
          <w:sz w:val="20"/>
          <w:szCs w:val="20"/>
        </w:rPr>
        <w:t>Summary on batteries % drop</w:t>
      </w:r>
    </w:p>
    <w:p w14:paraId="7C675E3F" w14:textId="77777777" w:rsidR="002C340E" w:rsidRPr="00FF6C3B" w:rsidRDefault="002C340E" w:rsidP="00FF6C3B">
      <w:pPr>
        <w:spacing w:after="0" w:line="240" w:lineRule="auto"/>
        <w:jc w:val="both"/>
        <w:rPr>
          <w:rFonts w:ascii="Times New Roman" w:eastAsia="Calibri" w:hAnsi="Times New Roman" w:cs="Times New Roman"/>
          <w:b/>
          <w:bCs/>
          <w:color w:val="0D0D0D" w:themeColor="text1" w:themeTint="F2"/>
          <w:kern w:val="2"/>
          <w:sz w:val="20"/>
          <w:szCs w:val="20"/>
        </w:rPr>
      </w:pPr>
    </w:p>
    <w:tbl>
      <w:tblPr>
        <w:tblStyle w:val="TableGrid"/>
        <w:tblW w:w="49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FF6C3B" w:rsidRPr="00FF6C3B" w14:paraId="54F61C1B" w14:textId="77777777" w:rsidTr="002C340E">
        <w:trPr>
          <w:jc w:val="center"/>
        </w:trPr>
        <w:tc>
          <w:tcPr>
            <w:tcW w:w="1250" w:type="pct"/>
            <w:tcBorders>
              <w:top w:val="single" w:sz="4" w:space="0" w:color="auto"/>
              <w:bottom w:val="single" w:sz="4" w:space="0" w:color="auto"/>
            </w:tcBorders>
          </w:tcPr>
          <w:p w14:paraId="2CD22EAA" w14:textId="77777777" w:rsidR="00FF6C3B" w:rsidRPr="00FF6C3B" w:rsidRDefault="00FF6C3B" w:rsidP="002C340E">
            <w:pPr>
              <w:rPr>
                <w:rFonts w:ascii="Times New Roman" w:hAnsi="Times New Roman" w:cs="Times New Roman"/>
                <w:b/>
                <w:bCs/>
                <w:color w:val="0D0D0D" w:themeColor="text1" w:themeTint="F2"/>
                <w:sz w:val="20"/>
                <w:szCs w:val="20"/>
                <w:lang w:val="en-GB"/>
              </w:rPr>
            </w:pPr>
            <w:r w:rsidRPr="00FF6C3B">
              <w:rPr>
                <w:rFonts w:ascii="Times New Roman" w:hAnsi="Times New Roman" w:cs="Times New Roman"/>
                <w:b/>
                <w:bCs/>
                <w:color w:val="0D0D0D" w:themeColor="text1" w:themeTint="F2"/>
                <w:sz w:val="20"/>
                <w:szCs w:val="20"/>
                <w:lang w:val="en-GB"/>
              </w:rPr>
              <w:t>Sections</w:t>
            </w:r>
          </w:p>
        </w:tc>
        <w:tc>
          <w:tcPr>
            <w:tcW w:w="1250" w:type="pct"/>
            <w:tcBorders>
              <w:top w:val="single" w:sz="4" w:space="0" w:color="auto"/>
              <w:bottom w:val="single" w:sz="4" w:space="0" w:color="auto"/>
            </w:tcBorders>
          </w:tcPr>
          <w:p w14:paraId="16550CBF" w14:textId="77777777" w:rsidR="00FF6C3B" w:rsidRPr="00FF6C3B" w:rsidRDefault="00FF6C3B" w:rsidP="002C340E">
            <w:pPr>
              <w:rPr>
                <w:rFonts w:ascii="Times New Roman" w:hAnsi="Times New Roman" w:cs="Times New Roman"/>
                <w:b/>
                <w:bCs/>
                <w:color w:val="0D0D0D" w:themeColor="text1" w:themeTint="F2"/>
                <w:sz w:val="20"/>
                <w:szCs w:val="20"/>
                <w:lang w:val="en-GB"/>
              </w:rPr>
            </w:pPr>
            <w:r w:rsidRPr="00FF6C3B">
              <w:rPr>
                <w:rFonts w:ascii="Times New Roman" w:hAnsi="Times New Roman" w:cs="Times New Roman"/>
                <w:b/>
                <w:bCs/>
                <w:color w:val="0D0D0D" w:themeColor="text1" w:themeTint="F2"/>
                <w:sz w:val="20"/>
                <w:szCs w:val="20"/>
                <w:lang w:val="en-GB"/>
              </w:rPr>
              <w:t>NB Avg. (%)</w:t>
            </w:r>
          </w:p>
        </w:tc>
        <w:tc>
          <w:tcPr>
            <w:tcW w:w="1250" w:type="pct"/>
            <w:tcBorders>
              <w:top w:val="single" w:sz="4" w:space="0" w:color="auto"/>
              <w:bottom w:val="single" w:sz="4" w:space="0" w:color="auto"/>
            </w:tcBorders>
          </w:tcPr>
          <w:p w14:paraId="57D6BED2" w14:textId="77777777" w:rsidR="00FF6C3B" w:rsidRPr="00FF6C3B" w:rsidRDefault="00FF6C3B" w:rsidP="002C340E">
            <w:pPr>
              <w:rPr>
                <w:rFonts w:ascii="Times New Roman" w:hAnsi="Times New Roman" w:cs="Times New Roman"/>
                <w:b/>
                <w:bCs/>
                <w:color w:val="0D0D0D" w:themeColor="text1" w:themeTint="F2"/>
                <w:sz w:val="20"/>
                <w:szCs w:val="20"/>
                <w:lang w:val="en-GB"/>
              </w:rPr>
            </w:pPr>
            <w:r w:rsidRPr="00FF6C3B">
              <w:rPr>
                <w:rFonts w:ascii="Times New Roman" w:hAnsi="Times New Roman" w:cs="Times New Roman"/>
                <w:b/>
                <w:bCs/>
                <w:color w:val="0D0D0D" w:themeColor="text1" w:themeTint="F2"/>
                <w:sz w:val="20"/>
                <w:szCs w:val="20"/>
                <w:lang w:val="en-GB"/>
              </w:rPr>
              <w:t>SLB Avg. (%)</w:t>
            </w:r>
          </w:p>
        </w:tc>
        <w:tc>
          <w:tcPr>
            <w:tcW w:w="1250" w:type="pct"/>
            <w:tcBorders>
              <w:top w:val="single" w:sz="4" w:space="0" w:color="auto"/>
              <w:bottom w:val="single" w:sz="4" w:space="0" w:color="auto"/>
            </w:tcBorders>
          </w:tcPr>
          <w:p w14:paraId="64636A69" w14:textId="77777777" w:rsidR="00FF6C3B" w:rsidRPr="00FF6C3B" w:rsidRDefault="00FF6C3B" w:rsidP="002C340E">
            <w:pPr>
              <w:rPr>
                <w:rFonts w:ascii="Times New Roman" w:hAnsi="Times New Roman" w:cs="Times New Roman"/>
                <w:b/>
                <w:bCs/>
                <w:color w:val="0D0D0D" w:themeColor="text1" w:themeTint="F2"/>
                <w:sz w:val="20"/>
                <w:szCs w:val="20"/>
                <w:lang w:val="en-GB"/>
              </w:rPr>
            </w:pPr>
            <w:r w:rsidRPr="00FF6C3B">
              <w:rPr>
                <w:rFonts w:ascii="Times New Roman" w:hAnsi="Times New Roman" w:cs="Times New Roman"/>
                <w:b/>
                <w:bCs/>
                <w:color w:val="0D0D0D" w:themeColor="text1" w:themeTint="F2"/>
                <w:sz w:val="20"/>
                <w:szCs w:val="20"/>
                <w:lang w:val="en-GB"/>
              </w:rPr>
              <w:t>Difference in (%)</w:t>
            </w:r>
          </w:p>
        </w:tc>
      </w:tr>
      <w:tr w:rsidR="00FF6C3B" w:rsidRPr="00FF6C3B" w14:paraId="17C5655F" w14:textId="77777777" w:rsidTr="002C340E">
        <w:trPr>
          <w:jc w:val="center"/>
        </w:trPr>
        <w:tc>
          <w:tcPr>
            <w:tcW w:w="1250" w:type="pct"/>
            <w:tcBorders>
              <w:top w:val="single" w:sz="4" w:space="0" w:color="auto"/>
            </w:tcBorders>
          </w:tcPr>
          <w:p w14:paraId="00A1091C"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Morning</w:t>
            </w:r>
          </w:p>
        </w:tc>
        <w:tc>
          <w:tcPr>
            <w:tcW w:w="1250" w:type="pct"/>
            <w:tcBorders>
              <w:top w:val="single" w:sz="4" w:space="0" w:color="auto"/>
            </w:tcBorders>
          </w:tcPr>
          <w:p w14:paraId="3CE72DB8"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45.33</w:t>
            </w:r>
          </w:p>
        </w:tc>
        <w:tc>
          <w:tcPr>
            <w:tcW w:w="1250" w:type="pct"/>
            <w:tcBorders>
              <w:top w:val="single" w:sz="4" w:space="0" w:color="auto"/>
            </w:tcBorders>
          </w:tcPr>
          <w:p w14:paraId="0BD1CEAE"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43.33</w:t>
            </w:r>
          </w:p>
        </w:tc>
        <w:tc>
          <w:tcPr>
            <w:tcW w:w="1250" w:type="pct"/>
            <w:tcBorders>
              <w:top w:val="single" w:sz="4" w:space="0" w:color="auto"/>
            </w:tcBorders>
          </w:tcPr>
          <w:p w14:paraId="0AF29832"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2</w:t>
            </w:r>
          </w:p>
        </w:tc>
      </w:tr>
      <w:tr w:rsidR="00FF6C3B" w:rsidRPr="00FF6C3B" w14:paraId="2B664C2B" w14:textId="77777777" w:rsidTr="002C340E">
        <w:trPr>
          <w:jc w:val="center"/>
        </w:trPr>
        <w:tc>
          <w:tcPr>
            <w:tcW w:w="1250" w:type="pct"/>
          </w:tcPr>
          <w:p w14:paraId="0ACEB1A0"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Afternoon</w:t>
            </w:r>
          </w:p>
        </w:tc>
        <w:tc>
          <w:tcPr>
            <w:tcW w:w="1250" w:type="pct"/>
          </w:tcPr>
          <w:p w14:paraId="3680FEDF"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64.33</w:t>
            </w:r>
          </w:p>
        </w:tc>
        <w:tc>
          <w:tcPr>
            <w:tcW w:w="1250" w:type="pct"/>
          </w:tcPr>
          <w:p w14:paraId="0DBE9040"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60.33</w:t>
            </w:r>
          </w:p>
        </w:tc>
        <w:tc>
          <w:tcPr>
            <w:tcW w:w="1250" w:type="pct"/>
          </w:tcPr>
          <w:p w14:paraId="62B0958E"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4</w:t>
            </w:r>
          </w:p>
        </w:tc>
      </w:tr>
      <w:tr w:rsidR="00FF6C3B" w:rsidRPr="00FF6C3B" w14:paraId="3AD379C1" w14:textId="77777777" w:rsidTr="002C340E">
        <w:trPr>
          <w:jc w:val="center"/>
        </w:trPr>
        <w:tc>
          <w:tcPr>
            <w:tcW w:w="1250" w:type="pct"/>
          </w:tcPr>
          <w:p w14:paraId="0E84D076"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Evening</w:t>
            </w:r>
          </w:p>
        </w:tc>
        <w:tc>
          <w:tcPr>
            <w:tcW w:w="1250" w:type="pct"/>
          </w:tcPr>
          <w:p w14:paraId="183DF33F"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77.33</w:t>
            </w:r>
          </w:p>
        </w:tc>
        <w:tc>
          <w:tcPr>
            <w:tcW w:w="1250" w:type="pct"/>
          </w:tcPr>
          <w:p w14:paraId="1BA96A17"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70</w:t>
            </w:r>
          </w:p>
        </w:tc>
        <w:tc>
          <w:tcPr>
            <w:tcW w:w="1250" w:type="pct"/>
          </w:tcPr>
          <w:p w14:paraId="4D57C2A8"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7.33</w:t>
            </w:r>
          </w:p>
        </w:tc>
      </w:tr>
      <w:tr w:rsidR="00FF6C3B" w:rsidRPr="00FF6C3B" w14:paraId="7E6D3357" w14:textId="77777777" w:rsidTr="002C340E">
        <w:trPr>
          <w:jc w:val="center"/>
        </w:trPr>
        <w:tc>
          <w:tcPr>
            <w:tcW w:w="1250" w:type="pct"/>
            <w:tcBorders>
              <w:bottom w:val="single" w:sz="4" w:space="0" w:color="auto"/>
            </w:tcBorders>
          </w:tcPr>
          <w:p w14:paraId="5DF2A8F8"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Overall</w:t>
            </w:r>
          </w:p>
        </w:tc>
        <w:tc>
          <w:tcPr>
            <w:tcW w:w="1250" w:type="pct"/>
            <w:tcBorders>
              <w:bottom w:val="single" w:sz="4" w:space="0" w:color="auto"/>
            </w:tcBorders>
          </w:tcPr>
          <w:p w14:paraId="4149135A"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186.99</w:t>
            </w:r>
          </w:p>
        </w:tc>
        <w:tc>
          <w:tcPr>
            <w:tcW w:w="1250" w:type="pct"/>
            <w:tcBorders>
              <w:bottom w:val="single" w:sz="4" w:space="0" w:color="auto"/>
            </w:tcBorders>
          </w:tcPr>
          <w:p w14:paraId="2B7834B2"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173.33</w:t>
            </w:r>
          </w:p>
        </w:tc>
        <w:tc>
          <w:tcPr>
            <w:tcW w:w="1250" w:type="pct"/>
            <w:tcBorders>
              <w:bottom w:val="single" w:sz="4" w:space="0" w:color="auto"/>
            </w:tcBorders>
          </w:tcPr>
          <w:p w14:paraId="3D8A51B4" w14:textId="77777777" w:rsidR="00FF6C3B" w:rsidRPr="00FF6C3B" w:rsidRDefault="00FF6C3B" w:rsidP="002C340E">
            <w:pPr>
              <w:rPr>
                <w:rFonts w:ascii="Times New Roman" w:hAnsi="Times New Roman" w:cs="Times New Roman"/>
                <w:color w:val="0D0D0D" w:themeColor="text1" w:themeTint="F2"/>
                <w:sz w:val="20"/>
                <w:szCs w:val="20"/>
                <w:lang w:val="en-GB"/>
              </w:rPr>
            </w:pPr>
            <w:r w:rsidRPr="00FF6C3B">
              <w:rPr>
                <w:rFonts w:ascii="Times New Roman" w:hAnsi="Times New Roman" w:cs="Times New Roman"/>
                <w:color w:val="0D0D0D" w:themeColor="text1" w:themeTint="F2"/>
                <w:sz w:val="20"/>
                <w:szCs w:val="20"/>
                <w:lang w:val="en-GB"/>
              </w:rPr>
              <w:t>13.33</w:t>
            </w:r>
          </w:p>
        </w:tc>
      </w:tr>
    </w:tbl>
    <w:p w14:paraId="3E577F5A" w14:textId="77777777"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p>
    <w:p w14:paraId="3DBD6528" w14:textId="77777777"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In the morning session, the average percentage drop for NB (45.33%) is only marginally higher than that of SLB (43.33%), resulting in a relatively small difference of 2%. This minimal disparity suggests that under low thermal stress and reduced cumulative usage conditions, the NB retains a performance level comparable to that of the SLB. At this stage, both batteries operate within optimal electrochemical conditions, with limited internal resistance buildup and minimal energy loss.</w:t>
      </w:r>
    </w:p>
    <w:p w14:paraId="34015749" w14:textId="77777777" w:rsidR="002C340E" w:rsidRPr="00FF6C3B" w:rsidRDefault="002C340E" w:rsidP="00FF6C3B">
      <w:pPr>
        <w:spacing w:after="0" w:line="240" w:lineRule="auto"/>
        <w:jc w:val="both"/>
        <w:rPr>
          <w:rFonts w:ascii="Times New Roman" w:eastAsia="Calibri" w:hAnsi="Times New Roman" w:cs="Times New Roman"/>
          <w:color w:val="0D0D0D" w:themeColor="text1" w:themeTint="F2"/>
          <w:kern w:val="2"/>
          <w:sz w:val="20"/>
          <w:szCs w:val="20"/>
        </w:rPr>
      </w:pPr>
    </w:p>
    <w:p w14:paraId="25DE719F" w14:textId="77777777"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However, in the afternoon period, the gap between the two battery types becomes more pronounced. The NB records an average drop of 64.33%, compared to 60.33% for the SLB, yielding a difference of 4%. This increase indicates the onset of performance divergence, likely driven by rising ambient temperatures, increased load demand, and cumulative discharge effects. The SLB, having undergone prior life cycles, is more susceptible to capacity fade and internal resistance escalation, which reduces its efficiency under moderate operational stress.</w:t>
      </w:r>
    </w:p>
    <w:p w14:paraId="2806BA0C" w14:textId="77777777" w:rsidR="002C340E" w:rsidRPr="00FF6C3B" w:rsidRDefault="002C340E" w:rsidP="00FF6C3B">
      <w:pPr>
        <w:spacing w:after="0" w:line="240" w:lineRule="auto"/>
        <w:jc w:val="both"/>
        <w:rPr>
          <w:rFonts w:ascii="Times New Roman" w:eastAsia="Calibri" w:hAnsi="Times New Roman" w:cs="Times New Roman"/>
          <w:color w:val="0D0D0D" w:themeColor="text1" w:themeTint="F2"/>
          <w:kern w:val="2"/>
          <w:sz w:val="20"/>
          <w:szCs w:val="20"/>
        </w:rPr>
      </w:pPr>
    </w:p>
    <w:p w14:paraId="61B99C2E" w14:textId="77777777" w:rsid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The most significant variation is observed in the evening period, where the NB exhibits an average drop of 77.33%, while the SLB shows a lower value of 70.00%, resulting in a substantial difference of 7.33 %. This widening gap highlights the pronounced degradation of SLB performance under prolonged usage conditions. The nonlinear increase in disparity suggests that the SLB experiences accelerated energy depletion due to thermal inefficiencies, electrolyte degradation, and diminished charge retention capability.</w:t>
      </w:r>
    </w:p>
    <w:p w14:paraId="363709C4" w14:textId="77777777" w:rsidR="002C340E" w:rsidRPr="00FF6C3B" w:rsidRDefault="002C340E" w:rsidP="00FF6C3B">
      <w:pPr>
        <w:spacing w:after="0" w:line="240" w:lineRule="auto"/>
        <w:jc w:val="both"/>
        <w:rPr>
          <w:rFonts w:ascii="Times New Roman" w:eastAsia="Calibri" w:hAnsi="Times New Roman" w:cs="Times New Roman"/>
          <w:color w:val="0D0D0D" w:themeColor="text1" w:themeTint="F2"/>
          <w:kern w:val="2"/>
          <w:sz w:val="20"/>
          <w:szCs w:val="20"/>
        </w:rPr>
      </w:pPr>
    </w:p>
    <w:p w14:paraId="28A96C20" w14:textId="77777777"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r w:rsidRPr="00FF6C3B">
        <w:rPr>
          <w:rFonts w:ascii="Times New Roman" w:eastAsia="Calibri" w:hAnsi="Times New Roman" w:cs="Times New Roman"/>
          <w:color w:val="0D0D0D" w:themeColor="text1" w:themeTint="F2"/>
          <w:kern w:val="2"/>
          <w:sz w:val="20"/>
          <w:szCs w:val="20"/>
        </w:rPr>
        <w:t>From a statistical standpoint, the progressive increase in percentage drop difference across the three periods indicates a time-dependent divergence pattern, reinforcing the hypothesis that second-life batteries exhibit reduced resilience under sustained operational loads. The trend demonstrates that while SLBs may perform adequately in low-demand scenarios (e.g., morning usage), their reliability diminishes significantly under extended or high-demand conditions. The findings provide strong empirical evidence that NB offers superior performance consistency, energy retention, and operational stability across all time periods. Conversely, SLBs, although viable for secondary or low-intensity applications, show clear limitations in endurance and efficiency, particularly in later stages of usage. This has important implications for electric vehicle deployment strategies, suggesting that SLBs are better suited for short-range or auxiliary applications rather than primary propulsion systems requiring sustained performance.</w:t>
      </w:r>
    </w:p>
    <w:p w14:paraId="06A5D22F" w14:textId="77777777"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p>
    <w:p w14:paraId="227CFE49" w14:textId="77777777"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This study provides valuable insights into the comparative performance of new and remanufactured lithium-ion EV battery packs under Ghanaian driving conditions. However, several limitations should be acknowledged. First, the study was conducted using only one electric vehicle platform (Toyota Corona conversion), which may limit the generalization of the findings to other EV models with different battery management systems, motor con</w:t>
      </w:r>
      <w:r w:rsidRPr="0074590E">
        <w:rPr>
          <w:rFonts w:ascii="Times New Roman" w:eastAsia="Times New Roman" w:hAnsi="Times New Roman" w:cs="Times New Roman"/>
          <w:color w:val="0D0D0D" w:themeColor="text1" w:themeTint="F2"/>
          <w:sz w:val="20"/>
          <w:szCs w:val="20"/>
        </w:rPr>
        <w:t>fig</w:t>
      </w:r>
      <w:r w:rsidRPr="00FF6C3B">
        <w:rPr>
          <w:rFonts w:ascii="Times New Roman" w:eastAsia="Times New Roman" w:hAnsi="Times New Roman" w:cs="Times New Roman"/>
          <w:color w:val="0D0D0D" w:themeColor="text1" w:themeTint="F2"/>
          <w:sz w:val="20"/>
          <w:szCs w:val="20"/>
        </w:rPr>
        <w:t xml:space="preserve">urations, and vehicle weights. Second, the practical road tests were performed over relatively short driving distances and within selected routes in Ghana. Longer-distance testing across multiple climatic regions and road networks may provide more comprehensive battery performance data. Third, the sample size of battery packs used in the study was limited to one new battery pack and one remanufactured battery pack. Variations in manufacturing quality, battery chemistry, and remanufacturing procedures across different battery brands may influence performance outcomes differently. Despite these limitations, the study provides important baseline data on the practical viability of remanufactured lithium-ion EV batteries in Ghana and contributes to the </w:t>
      </w:r>
      <w:r w:rsidRPr="00FF6C3B">
        <w:rPr>
          <w:rFonts w:ascii="Times New Roman" w:eastAsia="Times New Roman" w:hAnsi="Times New Roman" w:cs="Times New Roman"/>
          <w:color w:val="0D0D0D" w:themeColor="text1" w:themeTint="F2"/>
          <w:sz w:val="20"/>
          <w:szCs w:val="20"/>
        </w:rPr>
        <w:lastRenderedPageBreak/>
        <w:t>growing body of knowledge on sustainable electric mobility and circular economy practices in developing countries.</w:t>
      </w:r>
    </w:p>
    <w:p w14:paraId="30340C9D" w14:textId="77777777"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p>
    <w:p w14:paraId="57D4B18F" w14:textId="3748AAFA" w:rsidR="00FF6C3B" w:rsidRPr="002C340E" w:rsidRDefault="00FF6C3B" w:rsidP="00FF6C3B">
      <w:pPr>
        <w:spacing w:after="0" w:line="240" w:lineRule="auto"/>
        <w:jc w:val="both"/>
        <w:rPr>
          <w:rFonts w:ascii="Times New Roman" w:eastAsia="Times New Roman" w:hAnsi="Times New Roman" w:cs="Times New Roman"/>
          <w:b/>
          <w:bCs/>
          <w:color w:val="0D0D0D" w:themeColor="text1" w:themeTint="F2"/>
          <w:kern w:val="2"/>
        </w:rPr>
      </w:pPr>
      <w:r w:rsidRPr="002C340E">
        <w:rPr>
          <w:rFonts w:ascii="Times New Roman" w:eastAsia="Times New Roman" w:hAnsi="Times New Roman" w:cs="Times New Roman"/>
          <w:b/>
          <w:bCs/>
          <w:color w:val="0D0D0D" w:themeColor="text1" w:themeTint="F2"/>
          <w:kern w:val="2"/>
        </w:rPr>
        <w:t xml:space="preserve">5. </w:t>
      </w:r>
      <w:r w:rsidR="002C340E" w:rsidRPr="002C340E">
        <w:rPr>
          <w:rFonts w:ascii="Times New Roman" w:eastAsia="Times New Roman" w:hAnsi="Times New Roman" w:cs="Times New Roman"/>
          <w:b/>
          <w:bCs/>
          <w:color w:val="0D0D0D" w:themeColor="text1" w:themeTint="F2"/>
          <w:kern w:val="2"/>
        </w:rPr>
        <w:t xml:space="preserve">Conclusion </w:t>
      </w:r>
    </w:p>
    <w:p w14:paraId="15ACA294" w14:textId="77777777" w:rsidR="00FF6C3B" w:rsidRPr="00FF6C3B" w:rsidRDefault="00FF6C3B" w:rsidP="00FF6C3B">
      <w:pPr>
        <w:spacing w:after="0" w:line="240" w:lineRule="auto"/>
        <w:jc w:val="both"/>
        <w:rPr>
          <w:rFonts w:ascii="Times New Roman" w:eastAsia="Times New Roman" w:hAnsi="Times New Roman" w:cs="Times New Roman"/>
          <w:b/>
          <w:bCs/>
          <w:color w:val="0D0D0D" w:themeColor="text1" w:themeTint="F2"/>
          <w:kern w:val="2"/>
          <w:sz w:val="20"/>
          <w:szCs w:val="20"/>
        </w:rPr>
      </w:pPr>
    </w:p>
    <w:p w14:paraId="1AE5C343"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This study evaluated the comparative performance of new and remanufactured lithium-ion electric vehicle (EV) battery packs in Ghana through practical road testing under real driving and environmental conditions. The findings demonstrated that although new lithium-ion battery packs provided superior performance in terms of driving range, charging efficiency, thermal stability, and overall energy retention, remanufactured battery packs also exhibited satisfactory operational capability sui</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for practical use within Ghana’s transport sector. The practical road tests revealed that Ghana’s climatic conditions, characterized by high ambient temperatures, varying road terrains, traffic congestion, and inconsistent charging infrastructure, significantly influence battery performance and degradation. The new battery pack maintained more s</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voltage levels, lower heat generation, and slower capacity degradation during repeated charge-discharge cycles. In contrast, the remanufactured battery pack showed moderate reductions in range and efficiency, alongside slightly increased thermal fluctuations and degradation tendencies. Despite these limitations, the remanufactured battery continued to perform within accep</w:t>
      </w:r>
      <w:r w:rsidRPr="0074590E">
        <w:rPr>
          <w:rFonts w:ascii="Times New Roman" w:eastAsia="Times New Roman" w:hAnsi="Times New Roman" w:cs="Times New Roman"/>
          <w:color w:val="0D0D0D" w:themeColor="text1" w:themeTint="F2"/>
          <w:sz w:val="20"/>
          <w:szCs w:val="20"/>
        </w:rPr>
        <w:t>table</w:t>
      </w:r>
      <w:r w:rsidRPr="00FF6C3B">
        <w:rPr>
          <w:rFonts w:ascii="Times New Roman" w:eastAsia="Times New Roman" w:hAnsi="Times New Roman" w:cs="Times New Roman"/>
          <w:color w:val="0D0D0D" w:themeColor="text1" w:themeTint="F2"/>
          <w:sz w:val="20"/>
          <w:szCs w:val="20"/>
        </w:rPr>
        <w:t xml:space="preserve"> operational standards for urban and short-distance transportation.</w:t>
      </w:r>
    </w:p>
    <w:p w14:paraId="543958F8" w14:textId="77777777" w:rsidR="002C340E" w:rsidRPr="00FF6C3B" w:rsidRDefault="002C340E" w:rsidP="00FF6C3B">
      <w:pPr>
        <w:spacing w:after="0" w:line="240" w:lineRule="auto"/>
        <w:jc w:val="both"/>
        <w:rPr>
          <w:rFonts w:ascii="Times New Roman" w:eastAsia="Times New Roman" w:hAnsi="Times New Roman" w:cs="Times New Roman"/>
          <w:color w:val="0D0D0D" w:themeColor="text1" w:themeTint="F2"/>
          <w:sz w:val="20"/>
          <w:szCs w:val="20"/>
        </w:rPr>
      </w:pPr>
    </w:p>
    <w:p w14:paraId="7B809D5B" w14:textId="77777777" w:rsid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study further established that remanufactured lithium-ion battery packs offer substantial economic and environmental advantages. Their lower acquisition cost makes electric vehicles more affordable and accessible in developing economies such as Ghana, where the high initial cost of EV technology remains a barrier to adoption. Additionally, the reuse and remanufacturing of lithium-ion batteries support sustainable waste management practices, reduce environmental pollution associated with battery disposal, and promote circular economy principles by extending battery life cycles. Another important conclusion from the research is that the performance and safety of remanufactured batteries largely depend on proper testing, quality control procedures, battery management systems, and thermal monitoring technologies. Poor remanufacturing practices may compromise battery reliability, safety, and lifespan. Therefore, standardized remanufacturing protocols, regulatory frameworks, and technical certification systems are essential to ensure the safe deployment of second-life EV batteries in Ghana.</w:t>
      </w:r>
    </w:p>
    <w:p w14:paraId="06A0DEF3" w14:textId="77777777" w:rsidR="002C340E" w:rsidRPr="00FF6C3B" w:rsidRDefault="002C340E" w:rsidP="00FF6C3B">
      <w:pPr>
        <w:spacing w:after="0" w:line="240" w:lineRule="auto"/>
        <w:jc w:val="both"/>
        <w:rPr>
          <w:rFonts w:ascii="Times New Roman" w:eastAsia="Times New Roman" w:hAnsi="Times New Roman" w:cs="Times New Roman"/>
          <w:color w:val="0D0D0D" w:themeColor="text1" w:themeTint="F2"/>
          <w:sz w:val="20"/>
          <w:szCs w:val="20"/>
        </w:rPr>
      </w:pPr>
    </w:p>
    <w:p w14:paraId="102198DC" w14:textId="77777777" w:rsidR="00FF6C3B" w:rsidRPr="00FF6C3B" w:rsidRDefault="00FF6C3B" w:rsidP="00FF6C3B">
      <w:pPr>
        <w:spacing w:after="0" w:line="240" w:lineRule="auto"/>
        <w:jc w:val="both"/>
        <w:rPr>
          <w:rFonts w:ascii="Times New Roman" w:eastAsia="Times New Roman" w:hAnsi="Times New Roman" w:cs="Times New Roman"/>
          <w:color w:val="0D0D0D" w:themeColor="text1" w:themeTint="F2"/>
          <w:sz w:val="20"/>
          <w:szCs w:val="20"/>
        </w:rPr>
      </w:pPr>
      <w:r w:rsidRPr="00FF6C3B">
        <w:rPr>
          <w:rFonts w:ascii="Times New Roman" w:eastAsia="Times New Roman" w:hAnsi="Times New Roman" w:cs="Times New Roman"/>
          <w:color w:val="0D0D0D" w:themeColor="text1" w:themeTint="F2"/>
          <w:sz w:val="20"/>
          <w:szCs w:val="20"/>
        </w:rPr>
        <w:t>The overall study concludes that remanufactured lithium-ion EV battery packs can serve as a practical and cost-effective alternative to new batteries, particularly for commercial transportation services, intra-city mobility, and low-to-medium range applications. While new battery packs remain the preferred option for maximum efficiency and long-term durability, remanufactured batteries provide an important opportunity to accelerate EV adoption in Ghana while reducing operational costs and environmental impact. It is therefore recommended to increase investment in EV battery remanufacturing technologies, development of local technical expertise, improvement in charging infrastructure, and establishment of national policies to regulate battery reuse and recycling. Future research should also investigate the long-term lifecycle performance, safety implications, and economic feasibility of remanufactured EV batteries across different vehicle categories and climatic conditions in Africa.</w:t>
      </w:r>
    </w:p>
    <w:p w14:paraId="48148383" w14:textId="77777777" w:rsidR="00FF6C3B" w:rsidRPr="00FF6C3B" w:rsidRDefault="00FF6C3B" w:rsidP="00FF6C3B">
      <w:pPr>
        <w:spacing w:after="0" w:line="240" w:lineRule="auto"/>
        <w:jc w:val="both"/>
        <w:rPr>
          <w:rFonts w:ascii="Times New Roman" w:eastAsia="Calibri" w:hAnsi="Times New Roman" w:cs="Times New Roman"/>
          <w:color w:val="0D0D0D" w:themeColor="text1" w:themeTint="F2"/>
          <w:kern w:val="2"/>
          <w:sz w:val="20"/>
          <w:szCs w:val="20"/>
        </w:rPr>
      </w:pPr>
    </w:p>
    <w:bookmarkEnd w:id="1"/>
    <w:bookmarkEnd w:id="2"/>
    <w:p w14:paraId="56060517" w14:textId="06EB4A81" w:rsidR="00FF6C3B" w:rsidRPr="002C340E" w:rsidRDefault="002C340E" w:rsidP="00FF6C3B">
      <w:pPr>
        <w:spacing w:after="0" w:line="240" w:lineRule="auto"/>
        <w:jc w:val="both"/>
        <w:rPr>
          <w:rFonts w:ascii="Times New Roman" w:eastAsia="Times New Roman" w:hAnsi="Times New Roman" w:cs="Times New Roman"/>
          <w:b/>
          <w:bCs/>
          <w:color w:val="0D0D0D" w:themeColor="text1" w:themeTint="F2"/>
          <w:kern w:val="2"/>
        </w:rPr>
      </w:pPr>
      <w:r w:rsidRPr="002C340E">
        <w:rPr>
          <w:rFonts w:ascii="Times New Roman" w:eastAsia="Times New Roman" w:hAnsi="Times New Roman" w:cs="Times New Roman"/>
          <w:b/>
          <w:bCs/>
          <w:color w:val="0D0D0D" w:themeColor="text1" w:themeTint="F2"/>
          <w:kern w:val="2"/>
        </w:rPr>
        <w:t>References</w:t>
      </w:r>
    </w:p>
    <w:p w14:paraId="47DF50E3" w14:textId="7322D53F" w:rsidR="00FF6C3B" w:rsidRDefault="00FF6C3B" w:rsidP="004451FF">
      <w:pPr>
        <w:pStyle w:val="ListParagraph"/>
        <w:spacing w:after="0" w:line="240" w:lineRule="auto"/>
        <w:ind w:left="0"/>
        <w:jc w:val="both"/>
        <w:rPr>
          <w:rFonts w:ascii="Times New Roman" w:eastAsia="Calibri" w:hAnsi="Times New Roman" w:cs="Times New Roman"/>
          <w:noProof/>
          <w:color w:val="0D0D0D" w:themeColor="text1" w:themeTint="F2"/>
          <w:kern w:val="2"/>
          <w:sz w:val="20"/>
          <w:szCs w:val="20"/>
        </w:rPr>
      </w:pPr>
    </w:p>
    <w:p w14:paraId="6A4968CD"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t>Ahenkorah</w:t>
      </w:r>
      <w:proofErr w:type="spellEnd"/>
      <w:r w:rsidRPr="007146C1">
        <w:rPr>
          <w:rFonts w:ascii="Times New Roman" w:eastAsia="Times New Roman" w:hAnsi="Times New Roman" w:cs="Times New Roman"/>
          <w:color w:val="0D0D0D"/>
          <w:sz w:val="20"/>
          <w:szCs w:val="20"/>
          <w:lang w:val="en-GB" w:eastAsia="en-GB"/>
        </w:rPr>
        <w:t xml:space="preserve">, A. O., </w:t>
      </w:r>
      <w:proofErr w:type="spellStart"/>
      <w:r w:rsidRPr="007146C1">
        <w:rPr>
          <w:rFonts w:ascii="Times New Roman" w:eastAsia="Times New Roman" w:hAnsi="Times New Roman" w:cs="Times New Roman"/>
          <w:color w:val="0D0D0D"/>
          <w:sz w:val="20"/>
          <w:szCs w:val="20"/>
          <w:lang w:val="en-GB" w:eastAsia="en-GB"/>
        </w:rPr>
        <w:t>Ayetor</w:t>
      </w:r>
      <w:proofErr w:type="spellEnd"/>
      <w:r w:rsidRPr="007146C1">
        <w:rPr>
          <w:rFonts w:ascii="Times New Roman" w:eastAsia="Times New Roman" w:hAnsi="Times New Roman" w:cs="Times New Roman"/>
          <w:color w:val="0D0D0D"/>
          <w:sz w:val="20"/>
          <w:szCs w:val="20"/>
          <w:lang w:val="en-GB" w:eastAsia="en-GB"/>
        </w:rPr>
        <w:t>, G. K., Agbevivi, D. E., &amp; Donkor, R. (2022). </w:t>
      </w:r>
      <w:r w:rsidRPr="007146C1">
        <w:rPr>
          <w:rFonts w:ascii="Times New Roman" w:eastAsia="Times New Roman" w:hAnsi="Times New Roman" w:cs="Times New Roman"/>
          <w:i/>
          <w:iCs/>
          <w:color w:val="0D0D0D"/>
          <w:sz w:val="20"/>
          <w:szCs w:val="20"/>
          <w:lang w:val="en-GB" w:eastAsia="en-GB"/>
        </w:rPr>
        <w:t>Ghana electric vehicles baseline survey report 2022</w:t>
      </w:r>
      <w:r w:rsidRPr="007146C1">
        <w:rPr>
          <w:rFonts w:ascii="Times New Roman" w:eastAsia="Times New Roman" w:hAnsi="Times New Roman" w:cs="Times New Roman"/>
          <w:color w:val="0D0D0D"/>
          <w:sz w:val="20"/>
          <w:szCs w:val="20"/>
          <w:lang w:val="en-GB" w:eastAsia="en-GB"/>
        </w:rPr>
        <w:t>. Energy Commission, Ghana. </w:t>
      </w:r>
      <w:hyperlink r:id="rId17" w:tgtFrame="_blank" w:history="1">
        <w:r w:rsidRPr="007146C1">
          <w:rPr>
            <w:rFonts w:ascii="Times New Roman" w:eastAsia="Times New Roman" w:hAnsi="Times New Roman" w:cs="Times New Roman"/>
            <w:color w:val="0D0D0D"/>
            <w:sz w:val="20"/>
            <w:szCs w:val="20"/>
            <w:lang w:val="en-GB" w:eastAsia="en-GB"/>
          </w:rPr>
          <w:t>https://repository.energycomlibrary.org/handle/123456789/63</w:t>
        </w:r>
      </w:hyperlink>
    </w:p>
    <w:p w14:paraId="1D467942"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t>Aidam</w:t>
      </w:r>
      <w:proofErr w:type="spellEnd"/>
      <w:r w:rsidRPr="007146C1">
        <w:rPr>
          <w:rFonts w:ascii="Times New Roman" w:eastAsia="Times New Roman" w:hAnsi="Times New Roman" w:cs="Times New Roman"/>
          <w:color w:val="0D0D0D"/>
          <w:sz w:val="20"/>
          <w:szCs w:val="20"/>
          <w:lang w:val="en-GB" w:eastAsia="en-GB"/>
        </w:rPr>
        <w:t xml:space="preserve">, G. S. K., Opoku, R., Davis, F., Adjei, E. A., Oppong, D. K., Adu-Poku, A., Agyare, W. G., Narh, A., &amp; </w:t>
      </w:r>
      <w:proofErr w:type="spellStart"/>
      <w:r w:rsidRPr="007146C1">
        <w:rPr>
          <w:rFonts w:ascii="Times New Roman" w:eastAsia="Times New Roman" w:hAnsi="Times New Roman" w:cs="Times New Roman"/>
          <w:color w:val="0D0D0D"/>
          <w:sz w:val="20"/>
          <w:szCs w:val="20"/>
          <w:lang w:val="en-GB" w:eastAsia="en-GB"/>
        </w:rPr>
        <w:t>Aidam</w:t>
      </w:r>
      <w:proofErr w:type="spellEnd"/>
      <w:r w:rsidRPr="007146C1">
        <w:rPr>
          <w:rFonts w:ascii="Times New Roman" w:eastAsia="Times New Roman" w:hAnsi="Times New Roman" w:cs="Times New Roman"/>
          <w:color w:val="0D0D0D"/>
          <w:sz w:val="20"/>
          <w:szCs w:val="20"/>
          <w:lang w:val="en-GB" w:eastAsia="en-GB"/>
        </w:rPr>
        <w:t>, S. G. (2025). Electrified transportation for sustainable mobility in developing countries – a review of challenges and opportunities. </w:t>
      </w:r>
      <w:r w:rsidRPr="007146C1">
        <w:rPr>
          <w:rFonts w:ascii="Times New Roman" w:eastAsia="Times New Roman" w:hAnsi="Times New Roman" w:cs="Times New Roman"/>
          <w:i/>
          <w:iCs/>
          <w:color w:val="0D0D0D"/>
          <w:sz w:val="20"/>
          <w:szCs w:val="20"/>
          <w:lang w:val="en-GB" w:eastAsia="en-GB"/>
        </w:rPr>
        <w:t>Journal of the Ghana Institution of Engineering</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25</w:t>
      </w:r>
      <w:r w:rsidRPr="007146C1">
        <w:rPr>
          <w:rFonts w:ascii="Times New Roman" w:eastAsia="Times New Roman" w:hAnsi="Times New Roman" w:cs="Times New Roman"/>
          <w:color w:val="0D0D0D"/>
          <w:sz w:val="20"/>
          <w:szCs w:val="20"/>
          <w:lang w:val="en-GB" w:eastAsia="en-GB"/>
        </w:rPr>
        <w:t>(1), 34-44. </w:t>
      </w:r>
      <w:hyperlink r:id="rId18" w:tgtFrame="_blank" w:history="1">
        <w:r w:rsidRPr="007146C1">
          <w:rPr>
            <w:rFonts w:ascii="Times New Roman" w:eastAsia="Times New Roman" w:hAnsi="Times New Roman" w:cs="Times New Roman"/>
            <w:color w:val="0D0D0D"/>
            <w:sz w:val="20"/>
            <w:szCs w:val="20"/>
            <w:lang w:val="en-GB" w:eastAsia="en-GB"/>
          </w:rPr>
          <w:t>https://doi.org/10.56049/jghie.v25i1.329</w:t>
        </w:r>
      </w:hyperlink>
    </w:p>
    <w:p w14:paraId="33A6AB53"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Alamri, Y. H. A. (2024). </w:t>
      </w:r>
      <w:r w:rsidRPr="007146C1">
        <w:rPr>
          <w:rFonts w:ascii="Times New Roman" w:eastAsia="Times New Roman" w:hAnsi="Times New Roman" w:cs="Times New Roman"/>
          <w:i/>
          <w:iCs/>
          <w:color w:val="0D0D0D"/>
          <w:sz w:val="20"/>
          <w:szCs w:val="20"/>
          <w:lang w:val="en-GB" w:eastAsia="en-GB"/>
        </w:rPr>
        <w:t>State of Health Estimation for Second-Use Electric Vehicle Batteries in Grid Applications</w:t>
      </w:r>
      <w:r w:rsidRPr="007146C1">
        <w:rPr>
          <w:rFonts w:ascii="Times New Roman" w:eastAsia="Times New Roman" w:hAnsi="Times New Roman" w:cs="Times New Roman"/>
          <w:color w:val="0D0D0D"/>
          <w:sz w:val="20"/>
          <w:szCs w:val="20"/>
          <w:lang w:val="en-GB" w:eastAsia="en-GB"/>
        </w:rPr>
        <w:t> </w:t>
      </w:r>
      <w:r w:rsidRPr="0074590E">
        <w:rPr>
          <w:rFonts w:ascii="Times New Roman" w:eastAsia="Times New Roman" w:hAnsi="Times New Roman" w:cs="Times New Roman"/>
          <w:color w:val="0D0D0D"/>
          <w:sz w:val="20"/>
          <w:szCs w:val="20"/>
          <w:lang w:val="en-GB" w:eastAsia="en-GB"/>
        </w:rPr>
        <w:t>[</w:t>
      </w:r>
      <w:r w:rsidRPr="007146C1">
        <w:rPr>
          <w:rFonts w:ascii="Times New Roman" w:eastAsia="Times New Roman" w:hAnsi="Times New Roman" w:cs="Times New Roman"/>
          <w:color w:val="0D0D0D"/>
          <w:sz w:val="20"/>
          <w:szCs w:val="20"/>
          <w:lang w:val="en-GB" w:eastAsia="en-GB"/>
        </w:rPr>
        <w:t>Master's thesis, University of Tennessee, Knoxville]. </w:t>
      </w:r>
      <w:hyperlink r:id="rId19" w:tgtFrame="_blank" w:history="1">
        <w:r w:rsidRPr="007146C1">
          <w:rPr>
            <w:rFonts w:ascii="Times New Roman" w:eastAsia="Times New Roman" w:hAnsi="Times New Roman" w:cs="Times New Roman"/>
            <w:color w:val="0D0D0D"/>
            <w:sz w:val="20"/>
            <w:szCs w:val="20"/>
            <w:lang w:val="en-GB" w:eastAsia="en-GB"/>
          </w:rPr>
          <w:t>https://trace.tennessee.edu/utk_gradthes/11362</w:t>
        </w:r>
      </w:hyperlink>
    </w:p>
    <w:p w14:paraId="1C075A88"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Alao, J. O., </w:t>
      </w:r>
      <w:proofErr w:type="spellStart"/>
      <w:r w:rsidRPr="007146C1">
        <w:rPr>
          <w:rFonts w:ascii="Times New Roman" w:eastAsia="Times New Roman" w:hAnsi="Times New Roman" w:cs="Times New Roman"/>
          <w:color w:val="0D0D0D"/>
          <w:sz w:val="20"/>
          <w:szCs w:val="20"/>
          <w:lang w:val="en-GB" w:eastAsia="en-GB"/>
        </w:rPr>
        <w:t>Ayejoto</w:t>
      </w:r>
      <w:proofErr w:type="spellEnd"/>
      <w:r w:rsidRPr="007146C1">
        <w:rPr>
          <w:rFonts w:ascii="Times New Roman" w:eastAsia="Times New Roman" w:hAnsi="Times New Roman" w:cs="Times New Roman"/>
          <w:color w:val="0D0D0D"/>
          <w:sz w:val="20"/>
          <w:szCs w:val="20"/>
          <w:lang w:val="en-GB" w:eastAsia="en-GB"/>
        </w:rPr>
        <w:t xml:space="preserve">, D. A., Fahad, A., Mohammed, M. A. A., Saqr, A. M., &amp; Joy, A. O. (2024). Environmental Burden of Waste Generation and Management in Nigeria. In S. </w:t>
      </w:r>
      <w:proofErr w:type="spellStart"/>
      <w:r w:rsidRPr="007146C1">
        <w:rPr>
          <w:rFonts w:ascii="Times New Roman" w:eastAsia="Times New Roman" w:hAnsi="Times New Roman" w:cs="Times New Roman"/>
          <w:color w:val="0D0D0D"/>
          <w:sz w:val="20"/>
          <w:szCs w:val="20"/>
          <w:lang w:val="en-GB" w:eastAsia="en-GB"/>
        </w:rPr>
        <w:t>Souabi</w:t>
      </w:r>
      <w:proofErr w:type="spellEnd"/>
      <w:r w:rsidRPr="007146C1">
        <w:rPr>
          <w:rFonts w:ascii="Times New Roman" w:eastAsia="Times New Roman" w:hAnsi="Times New Roman" w:cs="Times New Roman"/>
          <w:color w:val="0D0D0D"/>
          <w:sz w:val="20"/>
          <w:szCs w:val="20"/>
          <w:lang w:val="en-GB" w:eastAsia="en-GB"/>
        </w:rPr>
        <w:t xml:space="preserve"> &amp; A. </w:t>
      </w:r>
      <w:proofErr w:type="spellStart"/>
      <w:r w:rsidRPr="007146C1">
        <w:rPr>
          <w:rFonts w:ascii="Times New Roman" w:eastAsia="Times New Roman" w:hAnsi="Times New Roman" w:cs="Times New Roman"/>
          <w:color w:val="0D0D0D"/>
          <w:sz w:val="20"/>
          <w:szCs w:val="20"/>
          <w:lang w:val="en-GB" w:eastAsia="en-GB"/>
        </w:rPr>
        <w:t>Anouzla</w:t>
      </w:r>
      <w:proofErr w:type="spellEnd"/>
      <w:r w:rsidRPr="007146C1">
        <w:rPr>
          <w:rFonts w:ascii="Times New Roman" w:eastAsia="Times New Roman" w:hAnsi="Times New Roman" w:cs="Times New Roman"/>
          <w:color w:val="0D0D0D"/>
          <w:sz w:val="20"/>
          <w:szCs w:val="20"/>
          <w:lang w:val="en-GB" w:eastAsia="en-GB"/>
        </w:rPr>
        <w:t xml:space="preserve"> (Eds.), </w:t>
      </w:r>
      <w:r w:rsidRPr="007146C1">
        <w:rPr>
          <w:rFonts w:ascii="Times New Roman" w:eastAsia="Times New Roman" w:hAnsi="Times New Roman" w:cs="Times New Roman"/>
          <w:i/>
          <w:iCs/>
          <w:color w:val="0D0D0D"/>
          <w:sz w:val="20"/>
          <w:szCs w:val="20"/>
          <w:lang w:val="en-GB" w:eastAsia="en-GB"/>
        </w:rPr>
        <w:t xml:space="preserve">Technical </w:t>
      </w:r>
      <w:r w:rsidRPr="007146C1">
        <w:rPr>
          <w:rFonts w:ascii="Times New Roman" w:eastAsia="Times New Roman" w:hAnsi="Times New Roman" w:cs="Times New Roman"/>
          <w:i/>
          <w:iCs/>
          <w:color w:val="0D0D0D"/>
          <w:sz w:val="20"/>
          <w:szCs w:val="20"/>
          <w:lang w:val="en-GB" w:eastAsia="en-GB"/>
        </w:rPr>
        <w:lastRenderedPageBreak/>
        <w:t>Landfills and Waste Management: Volume 2: Municipal Solid Waste Management</w:t>
      </w:r>
      <w:r w:rsidRPr="007146C1">
        <w:rPr>
          <w:rFonts w:ascii="Times New Roman" w:eastAsia="Times New Roman" w:hAnsi="Times New Roman" w:cs="Times New Roman"/>
          <w:color w:val="0D0D0D"/>
          <w:sz w:val="20"/>
          <w:szCs w:val="20"/>
          <w:lang w:val="en-GB" w:eastAsia="en-GB"/>
        </w:rPr>
        <w:t> (pp. 27-56). Springer. </w:t>
      </w:r>
      <w:hyperlink r:id="rId20" w:tgtFrame="_blank" w:history="1">
        <w:r w:rsidRPr="007146C1">
          <w:rPr>
            <w:rFonts w:ascii="Times New Roman" w:eastAsia="Times New Roman" w:hAnsi="Times New Roman" w:cs="Times New Roman"/>
            <w:color w:val="0D0D0D"/>
            <w:sz w:val="20"/>
            <w:szCs w:val="20"/>
            <w:lang w:val="en-GB" w:eastAsia="en-GB"/>
          </w:rPr>
          <w:t>https://doi.org/10.1007/978-3-031-55665-4_2</w:t>
        </w:r>
      </w:hyperlink>
    </w:p>
    <w:p w14:paraId="6128E2E7"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Antony Jose, S., Cook, C. A. D., Palacios, J., Seo, H., Torres Ramirez, C. E., Wu, J., &amp; Menezes, P. L. (2024). Recent Advancements in Artificial Intelligence in Battery Recycling. </w:t>
      </w:r>
      <w:r w:rsidRPr="007146C1">
        <w:rPr>
          <w:rFonts w:ascii="Times New Roman" w:eastAsia="Times New Roman" w:hAnsi="Times New Roman" w:cs="Times New Roman"/>
          <w:i/>
          <w:iCs/>
          <w:color w:val="0D0D0D"/>
          <w:sz w:val="20"/>
          <w:szCs w:val="20"/>
          <w:lang w:val="en-GB" w:eastAsia="en-GB"/>
        </w:rPr>
        <w:t>Batteries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10</w:t>
      </w:r>
      <w:r w:rsidRPr="007146C1">
        <w:rPr>
          <w:rFonts w:ascii="Times New Roman" w:eastAsia="Times New Roman" w:hAnsi="Times New Roman" w:cs="Times New Roman"/>
          <w:color w:val="0D0D0D"/>
          <w:sz w:val="20"/>
          <w:szCs w:val="20"/>
          <w:lang w:val="en-GB" w:eastAsia="en-GB"/>
        </w:rPr>
        <w:t>(12), 440. </w:t>
      </w:r>
      <w:hyperlink r:id="rId21" w:tgtFrame="_blank" w:history="1">
        <w:r w:rsidRPr="007146C1">
          <w:rPr>
            <w:rFonts w:ascii="Times New Roman" w:eastAsia="Times New Roman" w:hAnsi="Times New Roman" w:cs="Times New Roman"/>
            <w:color w:val="0D0D0D"/>
            <w:sz w:val="20"/>
            <w:szCs w:val="20"/>
            <w:lang w:val="en-GB" w:eastAsia="en-GB"/>
          </w:rPr>
          <w:t>https://doi.org/10.3390/batteries10120440</w:t>
        </w:r>
      </w:hyperlink>
    </w:p>
    <w:p w14:paraId="7895AD67"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Ardente, F., </w:t>
      </w:r>
      <w:proofErr w:type="spellStart"/>
      <w:r w:rsidRPr="007146C1">
        <w:rPr>
          <w:rFonts w:ascii="Times New Roman" w:eastAsia="Times New Roman" w:hAnsi="Times New Roman" w:cs="Times New Roman"/>
          <w:color w:val="0D0D0D"/>
          <w:sz w:val="20"/>
          <w:szCs w:val="20"/>
          <w:lang w:val="en-GB" w:eastAsia="en-GB"/>
        </w:rPr>
        <w:t>Latunussa</w:t>
      </w:r>
      <w:proofErr w:type="spellEnd"/>
      <w:r w:rsidRPr="007146C1">
        <w:rPr>
          <w:rFonts w:ascii="Times New Roman" w:eastAsia="Times New Roman" w:hAnsi="Times New Roman" w:cs="Times New Roman"/>
          <w:color w:val="0D0D0D"/>
          <w:sz w:val="20"/>
          <w:szCs w:val="20"/>
          <w:lang w:val="en-GB" w:eastAsia="en-GB"/>
        </w:rPr>
        <w:t xml:space="preserve">, C. E. L., &amp; </w:t>
      </w:r>
      <w:proofErr w:type="spellStart"/>
      <w:r w:rsidRPr="007146C1">
        <w:rPr>
          <w:rFonts w:ascii="Times New Roman" w:eastAsia="Times New Roman" w:hAnsi="Times New Roman" w:cs="Times New Roman"/>
          <w:color w:val="0D0D0D"/>
          <w:sz w:val="20"/>
          <w:szCs w:val="20"/>
          <w:lang w:val="en-GB" w:eastAsia="en-GB"/>
        </w:rPr>
        <w:t>Blengini</w:t>
      </w:r>
      <w:proofErr w:type="spellEnd"/>
      <w:r w:rsidRPr="007146C1">
        <w:rPr>
          <w:rFonts w:ascii="Times New Roman" w:eastAsia="Times New Roman" w:hAnsi="Times New Roman" w:cs="Times New Roman"/>
          <w:color w:val="0D0D0D"/>
          <w:sz w:val="20"/>
          <w:szCs w:val="20"/>
          <w:lang w:val="en-GB" w:eastAsia="en-GB"/>
        </w:rPr>
        <w:t>, G. A. (2019). Resource efficient recovery of critical and precious metals from waste silicon PV panel recycling. </w:t>
      </w:r>
      <w:r w:rsidRPr="007146C1">
        <w:rPr>
          <w:rFonts w:ascii="Times New Roman" w:eastAsia="Times New Roman" w:hAnsi="Times New Roman" w:cs="Times New Roman"/>
          <w:i/>
          <w:iCs/>
          <w:color w:val="0D0D0D"/>
          <w:sz w:val="20"/>
          <w:szCs w:val="20"/>
          <w:lang w:val="en-GB" w:eastAsia="en-GB"/>
        </w:rPr>
        <w:t>Waste Management</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91</w:t>
      </w:r>
      <w:r w:rsidRPr="007146C1">
        <w:rPr>
          <w:rFonts w:ascii="Times New Roman" w:eastAsia="Times New Roman" w:hAnsi="Times New Roman" w:cs="Times New Roman"/>
          <w:color w:val="0D0D0D"/>
          <w:sz w:val="20"/>
          <w:szCs w:val="20"/>
          <w:lang w:val="en-GB" w:eastAsia="en-GB"/>
        </w:rPr>
        <w:t>, 156-167. </w:t>
      </w:r>
      <w:hyperlink r:id="rId22" w:tgtFrame="_blank" w:history="1">
        <w:r w:rsidRPr="007146C1">
          <w:rPr>
            <w:rFonts w:ascii="Times New Roman" w:eastAsia="Times New Roman" w:hAnsi="Times New Roman" w:cs="Times New Roman"/>
            <w:color w:val="0D0D0D"/>
            <w:sz w:val="20"/>
            <w:szCs w:val="20"/>
            <w:lang w:val="en-GB" w:eastAsia="en-GB"/>
          </w:rPr>
          <w:t>https://doi.org/10.1016/j.wasman.2019.04.059</w:t>
        </w:r>
      </w:hyperlink>
    </w:p>
    <w:p w14:paraId="212A416E"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Ashby, M. F. (2012). </w:t>
      </w:r>
      <w:r w:rsidRPr="007146C1">
        <w:rPr>
          <w:rFonts w:ascii="Times New Roman" w:eastAsia="Times New Roman" w:hAnsi="Times New Roman" w:cs="Times New Roman"/>
          <w:i/>
          <w:iCs/>
          <w:color w:val="0D0D0D"/>
          <w:sz w:val="20"/>
          <w:szCs w:val="20"/>
          <w:lang w:val="en-GB" w:eastAsia="en-GB"/>
        </w:rPr>
        <w:t>Materials and the Environment: Eco-informed Material Choice</w:t>
      </w:r>
      <w:r w:rsidRPr="007146C1">
        <w:rPr>
          <w:rFonts w:ascii="Times New Roman" w:eastAsia="Times New Roman" w:hAnsi="Times New Roman" w:cs="Times New Roman"/>
          <w:color w:val="0D0D0D"/>
          <w:sz w:val="20"/>
          <w:szCs w:val="20"/>
          <w:lang w:val="en-GB" w:eastAsia="en-GB"/>
        </w:rPr>
        <w:t>. Butterworth-Heinemann. </w:t>
      </w:r>
      <w:hyperlink r:id="rId23" w:tgtFrame="_blank" w:history="1">
        <w:r w:rsidRPr="007146C1">
          <w:rPr>
            <w:rFonts w:ascii="Times New Roman" w:eastAsia="Times New Roman" w:hAnsi="Times New Roman" w:cs="Times New Roman"/>
            <w:color w:val="0D0D0D"/>
            <w:sz w:val="20"/>
            <w:szCs w:val="20"/>
            <w:lang w:val="en-GB" w:eastAsia="en-GB"/>
          </w:rPr>
          <w:t>https://doi.org/10.1016/C2011-0-04141-1</w:t>
        </w:r>
      </w:hyperlink>
    </w:p>
    <w:p w14:paraId="6D1CD9EC"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Baker, T. F. (2024). </w:t>
      </w:r>
      <w:r w:rsidRPr="007146C1">
        <w:rPr>
          <w:rFonts w:ascii="Times New Roman" w:eastAsia="Times New Roman" w:hAnsi="Times New Roman" w:cs="Times New Roman"/>
          <w:i/>
          <w:iCs/>
          <w:color w:val="0D0D0D"/>
          <w:sz w:val="20"/>
          <w:szCs w:val="20"/>
          <w:lang w:val="en-GB" w:eastAsia="en-GB"/>
        </w:rPr>
        <w:t>Transportation CO2 Emissions in Automotive Life Cycle Assessments of Electric Vehicles – a Systems Theory Evaluation</w:t>
      </w:r>
      <w:r w:rsidRPr="007146C1">
        <w:rPr>
          <w:rFonts w:ascii="Times New Roman" w:eastAsia="Times New Roman" w:hAnsi="Times New Roman" w:cs="Times New Roman"/>
          <w:color w:val="0D0D0D"/>
          <w:sz w:val="20"/>
          <w:szCs w:val="20"/>
          <w:lang w:val="en-GB" w:eastAsia="en-GB"/>
        </w:rPr>
        <w:t> </w:t>
      </w:r>
      <w:r w:rsidRPr="0074590E">
        <w:rPr>
          <w:rFonts w:ascii="Times New Roman" w:eastAsia="Times New Roman" w:hAnsi="Times New Roman" w:cs="Times New Roman"/>
          <w:color w:val="0D0D0D"/>
          <w:sz w:val="20"/>
          <w:szCs w:val="20"/>
          <w:lang w:val="en-GB" w:eastAsia="en-GB"/>
        </w:rPr>
        <w:t>[</w:t>
      </w:r>
      <w:r w:rsidRPr="007146C1">
        <w:rPr>
          <w:rFonts w:ascii="Times New Roman" w:eastAsia="Times New Roman" w:hAnsi="Times New Roman" w:cs="Times New Roman"/>
          <w:color w:val="0D0D0D"/>
          <w:sz w:val="20"/>
          <w:szCs w:val="20"/>
          <w:lang w:val="en-GB" w:eastAsia="en-GB"/>
        </w:rPr>
        <w:t>Doctoral dissertation, University of Hertfordshire]. University of Hertfordshire Research Archive. </w:t>
      </w:r>
      <w:hyperlink r:id="rId24" w:tgtFrame="_blank" w:history="1">
        <w:r w:rsidRPr="007146C1">
          <w:rPr>
            <w:rFonts w:ascii="Times New Roman" w:eastAsia="Times New Roman" w:hAnsi="Times New Roman" w:cs="Times New Roman"/>
            <w:color w:val="0D0D0D"/>
            <w:sz w:val="20"/>
            <w:szCs w:val="20"/>
            <w:lang w:val="en-GB" w:eastAsia="en-GB"/>
          </w:rPr>
          <w:t>https://uhra.herts.ac.uk/</w:t>
        </w:r>
      </w:hyperlink>
    </w:p>
    <w:p w14:paraId="06E11F16"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Biagetti, E., </w:t>
      </w:r>
      <w:proofErr w:type="spellStart"/>
      <w:r w:rsidRPr="007146C1">
        <w:rPr>
          <w:rFonts w:ascii="Times New Roman" w:eastAsia="Times New Roman" w:hAnsi="Times New Roman" w:cs="Times New Roman"/>
          <w:color w:val="0D0D0D"/>
          <w:sz w:val="20"/>
          <w:szCs w:val="20"/>
          <w:lang w:val="en-GB" w:eastAsia="en-GB"/>
        </w:rPr>
        <w:t>Gislon</w:t>
      </w:r>
      <w:proofErr w:type="spellEnd"/>
      <w:r w:rsidRPr="007146C1">
        <w:rPr>
          <w:rFonts w:ascii="Times New Roman" w:eastAsia="Times New Roman" w:hAnsi="Times New Roman" w:cs="Times New Roman"/>
          <w:color w:val="0D0D0D"/>
          <w:sz w:val="20"/>
          <w:szCs w:val="20"/>
          <w:lang w:val="en-GB" w:eastAsia="en-GB"/>
        </w:rPr>
        <w:t xml:space="preserve">, G., Martella, A., Zucali, M., Bava, L., Franco, S., &amp; </w:t>
      </w:r>
      <w:proofErr w:type="spellStart"/>
      <w:r w:rsidRPr="007146C1">
        <w:rPr>
          <w:rFonts w:ascii="Times New Roman" w:eastAsia="Times New Roman" w:hAnsi="Times New Roman" w:cs="Times New Roman"/>
          <w:color w:val="0D0D0D"/>
          <w:sz w:val="20"/>
          <w:szCs w:val="20"/>
          <w:lang w:val="en-GB" w:eastAsia="en-GB"/>
        </w:rPr>
        <w:t>Sandrucci</w:t>
      </w:r>
      <w:proofErr w:type="spellEnd"/>
      <w:r w:rsidRPr="007146C1">
        <w:rPr>
          <w:rFonts w:ascii="Times New Roman" w:eastAsia="Times New Roman" w:hAnsi="Times New Roman" w:cs="Times New Roman"/>
          <w:color w:val="0D0D0D"/>
          <w:sz w:val="20"/>
          <w:szCs w:val="20"/>
          <w:lang w:val="en-GB" w:eastAsia="en-GB"/>
        </w:rPr>
        <w:t>, A. (2023). Comparison of the use of life cycle assessment and ecological footprint methods for evaluating environmental performances in dairy production. </w:t>
      </w:r>
      <w:r w:rsidRPr="007146C1">
        <w:rPr>
          <w:rFonts w:ascii="Times New Roman" w:eastAsia="Times New Roman" w:hAnsi="Times New Roman" w:cs="Times New Roman"/>
          <w:i/>
          <w:iCs/>
          <w:color w:val="0D0D0D"/>
          <w:sz w:val="20"/>
          <w:szCs w:val="20"/>
          <w:lang w:val="en-GB" w:eastAsia="en-GB"/>
        </w:rPr>
        <w:t>Science of The Total Environment</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905</w:t>
      </w:r>
      <w:r w:rsidRPr="007146C1">
        <w:rPr>
          <w:rFonts w:ascii="Times New Roman" w:eastAsia="Times New Roman" w:hAnsi="Times New Roman" w:cs="Times New Roman"/>
          <w:color w:val="0D0D0D"/>
          <w:sz w:val="20"/>
          <w:szCs w:val="20"/>
          <w:lang w:val="en-GB" w:eastAsia="en-GB"/>
        </w:rPr>
        <w:t>, 166845. </w:t>
      </w:r>
      <w:hyperlink r:id="rId25" w:tgtFrame="_blank" w:history="1">
        <w:r w:rsidRPr="007146C1">
          <w:rPr>
            <w:rFonts w:ascii="Times New Roman" w:eastAsia="Times New Roman" w:hAnsi="Times New Roman" w:cs="Times New Roman"/>
            <w:color w:val="0D0D0D"/>
            <w:sz w:val="20"/>
            <w:szCs w:val="20"/>
            <w:lang w:val="en-GB" w:eastAsia="en-GB"/>
          </w:rPr>
          <w:t>https://doi.org/10.1016/j.scitotenv.2023.166845</w:t>
        </w:r>
      </w:hyperlink>
    </w:p>
    <w:p w14:paraId="05723549"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Bielewski, M., Pfrang, A., Quintero Pulido, D., Bobba, S., Schade, B., </w:t>
      </w:r>
      <w:proofErr w:type="spellStart"/>
      <w:r w:rsidRPr="007146C1">
        <w:rPr>
          <w:rFonts w:ascii="Times New Roman" w:eastAsia="Times New Roman" w:hAnsi="Times New Roman" w:cs="Times New Roman"/>
          <w:color w:val="0D0D0D"/>
          <w:sz w:val="20"/>
          <w:szCs w:val="20"/>
          <w:lang w:val="en-GB" w:eastAsia="en-GB"/>
        </w:rPr>
        <w:t>Georgakaki</w:t>
      </w:r>
      <w:proofErr w:type="spellEnd"/>
      <w:r w:rsidRPr="007146C1">
        <w:rPr>
          <w:rFonts w:ascii="Times New Roman" w:eastAsia="Times New Roman" w:hAnsi="Times New Roman" w:cs="Times New Roman"/>
          <w:color w:val="0D0D0D"/>
          <w:sz w:val="20"/>
          <w:szCs w:val="20"/>
          <w:lang w:val="en-GB" w:eastAsia="en-GB"/>
        </w:rPr>
        <w:t xml:space="preserve">, A., </w:t>
      </w:r>
      <w:proofErr w:type="spellStart"/>
      <w:r w:rsidRPr="007146C1">
        <w:rPr>
          <w:rFonts w:ascii="Times New Roman" w:eastAsia="Times New Roman" w:hAnsi="Times New Roman" w:cs="Times New Roman"/>
          <w:color w:val="0D0D0D"/>
          <w:sz w:val="20"/>
          <w:szCs w:val="20"/>
          <w:lang w:val="en-GB" w:eastAsia="en-GB"/>
        </w:rPr>
        <w:t>Letout</w:t>
      </w:r>
      <w:proofErr w:type="spellEnd"/>
      <w:r w:rsidRPr="007146C1">
        <w:rPr>
          <w:rFonts w:ascii="Times New Roman" w:eastAsia="Times New Roman" w:hAnsi="Times New Roman" w:cs="Times New Roman"/>
          <w:color w:val="0D0D0D"/>
          <w:sz w:val="20"/>
          <w:szCs w:val="20"/>
          <w:lang w:val="en-GB" w:eastAsia="en-GB"/>
        </w:rPr>
        <w:t xml:space="preserve">, S., </w:t>
      </w:r>
      <w:proofErr w:type="spellStart"/>
      <w:r w:rsidRPr="007146C1">
        <w:rPr>
          <w:rFonts w:ascii="Times New Roman" w:eastAsia="Times New Roman" w:hAnsi="Times New Roman" w:cs="Times New Roman"/>
          <w:color w:val="0D0D0D"/>
          <w:sz w:val="20"/>
          <w:szCs w:val="20"/>
          <w:lang w:val="en-GB" w:eastAsia="en-GB"/>
        </w:rPr>
        <w:t>Mountraki</w:t>
      </w:r>
      <w:proofErr w:type="spellEnd"/>
      <w:r w:rsidRPr="007146C1">
        <w:rPr>
          <w:rFonts w:ascii="Times New Roman" w:eastAsia="Times New Roman" w:hAnsi="Times New Roman" w:cs="Times New Roman"/>
          <w:color w:val="0D0D0D"/>
          <w:sz w:val="20"/>
          <w:szCs w:val="20"/>
          <w:lang w:val="en-GB" w:eastAsia="en-GB"/>
        </w:rPr>
        <w:t>, A., &amp; Ince, E. (2024). </w:t>
      </w:r>
      <w:r w:rsidRPr="007146C1">
        <w:rPr>
          <w:rFonts w:ascii="Times New Roman" w:eastAsia="Times New Roman" w:hAnsi="Times New Roman" w:cs="Times New Roman"/>
          <w:i/>
          <w:iCs/>
          <w:color w:val="0D0D0D"/>
          <w:sz w:val="20"/>
          <w:szCs w:val="20"/>
          <w:lang w:val="en-GB" w:eastAsia="en-GB"/>
        </w:rPr>
        <w:t>Clean Energy Technology Observatory: Battery Technology in the European Union - 2024 Status Report on Technology Development, Trends, Value Chains and Markets</w:t>
      </w:r>
      <w:r w:rsidRPr="007146C1">
        <w:rPr>
          <w:rFonts w:ascii="Times New Roman" w:eastAsia="Times New Roman" w:hAnsi="Times New Roman" w:cs="Times New Roman"/>
          <w:color w:val="0D0D0D"/>
          <w:sz w:val="20"/>
          <w:szCs w:val="20"/>
          <w:lang w:val="en-GB" w:eastAsia="en-GB"/>
        </w:rPr>
        <w:t>. Publications Office of the European Union. </w:t>
      </w:r>
      <w:hyperlink r:id="rId26" w:tgtFrame="_blank" w:history="1">
        <w:r w:rsidRPr="007146C1">
          <w:rPr>
            <w:rFonts w:ascii="Times New Roman" w:eastAsia="Times New Roman" w:hAnsi="Times New Roman" w:cs="Times New Roman"/>
            <w:color w:val="0D0D0D"/>
            <w:sz w:val="20"/>
            <w:szCs w:val="20"/>
            <w:lang w:val="en-GB" w:eastAsia="en-GB"/>
          </w:rPr>
          <w:t>https://doi.org/10.2760/4852968</w:t>
        </w:r>
      </w:hyperlink>
    </w:p>
    <w:p w14:paraId="0972DE08"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Bui, A., &amp; Slowik, P. (2025). </w:t>
      </w:r>
      <w:r w:rsidRPr="007146C1">
        <w:rPr>
          <w:rFonts w:ascii="Times New Roman" w:eastAsia="Times New Roman" w:hAnsi="Times New Roman" w:cs="Times New Roman"/>
          <w:i/>
          <w:iCs/>
          <w:color w:val="0D0D0D"/>
          <w:sz w:val="20"/>
          <w:szCs w:val="20"/>
          <w:lang w:val="en-GB" w:eastAsia="en-GB"/>
        </w:rPr>
        <w:t>Powering the Future: Assessment of U.S. Light-Duty Vehicle Battery Manufacturing Jobs by 2032</w:t>
      </w:r>
      <w:r w:rsidRPr="007146C1">
        <w:rPr>
          <w:rFonts w:ascii="Times New Roman" w:eastAsia="Times New Roman" w:hAnsi="Times New Roman" w:cs="Times New Roman"/>
          <w:color w:val="0D0D0D"/>
          <w:sz w:val="20"/>
          <w:szCs w:val="20"/>
          <w:lang w:val="en-GB" w:eastAsia="en-GB"/>
        </w:rPr>
        <w:t>. International Council on Clean Transportation. </w:t>
      </w:r>
      <w:hyperlink r:id="rId27" w:tgtFrame="_blank" w:history="1">
        <w:r w:rsidRPr="007146C1">
          <w:rPr>
            <w:rFonts w:ascii="Times New Roman" w:eastAsia="Times New Roman" w:hAnsi="Times New Roman" w:cs="Times New Roman"/>
            <w:color w:val="0D0D0D"/>
            <w:sz w:val="20"/>
            <w:szCs w:val="20"/>
            <w:lang w:val="en-GB" w:eastAsia="en-GB"/>
          </w:rPr>
          <w:t>https://theicct.org/wp-content/uploads/2024/12/ID-255-%E2%80%93-Battery-jobs_working-paper_final.pdf</w:t>
        </w:r>
      </w:hyperlink>
    </w:p>
    <w:p w14:paraId="16BC8857"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F843BF">
        <w:rPr>
          <w:rFonts w:ascii="Times New Roman" w:eastAsia="Times New Roman" w:hAnsi="Times New Roman" w:cs="Times New Roman"/>
          <w:color w:val="0D0D0D"/>
          <w:sz w:val="20"/>
          <w:szCs w:val="20"/>
          <w:lang w:val="fi-FI" w:eastAsia="en-GB"/>
        </w:rPr>
        <w:t xml:space="preserve">Chen, Q., Lai, X., Hou, Y., Gu, H., Lu, L., Liu, X., Ren, D., Guo, Y., &amp; Zheng, Y. (2023). </w:t>
      </w:r>
      <w:r w:rsidRPr="007146C1">
        <w:rPr>
          <w:rFonts w:ascii="Times New Roman" w:eastAsia="Times New Roman" w:hAnsi="Times New Roman" w:cs="Times New Roman"/>
          <w:color w:val="0D0D0D"/>
          <w:sz w:val="20"/>
          <w:szCs w:val="20"/>
          <w:lang w:val="en-GB" w:eastAsia="en-GB"/>
        </w:rPr>
        <w:t>Investigating the environmental impacts of different direct material recycling and battery remanufacturing technologies on two types of retired lithium-ion batteries from electric vehicles in China. </w:t>
      </w:r>
      <w:r w:rsidRPr="007146C1">
        <w:rPr>
          <w:rFonts w:ascii="Times New Roman" w:eastAsia="Times New Roman" w:hAnsi="Times New Roman" w:cs="Times New Roman"/>
          <w:i/>
          <w:iCs/>
          <w:color w:val="0D0D0D"/>
          <w:sz w:val="20"/>
          <w:szCs w:val="20"/>
          <w:lang w:val="en-GB" w:eastAsia="en-GB"/>
        </w:rPr>
        <w:t>Separation and Purification Technology</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308</w:t>
      </w:r>
      <w:r w:rsidRPr="007146C1">
        <w:rPr>
          <w:rFonts w:ascii="Times New Roman" w:eastAsia="Times New Roman" w:hAnsi="Times New Roman" w:cs="Times New Roman"/>
          <w:color w:val="0D0D0D"/>
          <w:sz w:val="20"/>
          <w:szCs w:val="20"/>
          <w:lang w:val="en-GB" w:eastAsia="en-GB"/>
        </w:rPr>
        <w:t>, 122966. </w:t>
      </w:r>
      <w:hyperlink r:id="rId28" w:tgtFrame="_blank" w:history="1">
        <w:r w:rsidRPr="007146C1">
          <w:rPr>
            <w:rFonts w:ascii="Times New Roman" w:eastAsia="Times New Roman" w:hAnsi="Times New Roman" w:cs="Times New Roman"/>
            <w:color w:val="0D0D0D"/>
            <w:sz w:val="20"/>
            <w:szCs w:val="20"/>
            <w:lang w:val="en-GB" w:eastAsia="en-GB"/>
          </w:rPr>
          <w:t>https://doi.org/10.1016/j.seppur.2022.122966</w:t>
        </w:r>
      </w:hyperlink>
    </w:p>
    <w:p w14:paraId="59C72441"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t>Chirumalla</w:t>
      </w:r>
      <w:proofErr w:type="spellEnd"/>
      <w:r w:rsidRPr="007146C1">
        <w:rPr>
          <w:rFonts w:ascii="Times New Roman" w:eastAsia="Times New Roman" w:hAnsi="Times New Roman" w:cs="Times New Roman"/>
          <w:color w:val="0D0D0D"/>
          <w:sz w:val="20"/>
          <w:szCs w:val="20"/>
          <w:lang w:val="en-GB" w:eastAsia="en-GB"/>
        </w:rPr>
        <w:t xml:space="preserve">, K., Dahlquist, E., Kulkov, I., Stefan, I., &amp; Johansson, G. (2024). Designing and Implementing Second Life for Electric Vehicle Batteries: An Integrated Framework to Navigate Ecosystem Actors Towards Circularity. In M. </w:t>
      </w:r>
      <w:proofErr w:type="spellStart"/>
      <w:r w:rsidRPr="007146C1">
        <w:rPr>
          <w:rFonts w:ascii="Times New Roman" w:eastAsia="Times New Roman" w:hAnsi="Times New Roman" w:cs="Times New Roman"/>
          <w:color w:val="0D0D0D"/>
          <w:sz w:val="20"/>
          <w:szCs w:val="20"/>
          <w:lang w:val="en-GB" w:eastAsia="en-GB"/>
        </w:rPr>
        <w:t>Thürer</w:t>
      </w:r>
      <w:proofErr w:type="spellEnd"/>
      <w:r w:rsidRPr="007146C1">
        <w:rPr>
          <w:rFonts w:ascii="Times New Roman" w:eastAsia="Times New Roman" w:hAnsi="Times New Roman" w:cs="Times New Roman"/>
          <w:color w:val="0D0D0D"/>
          <w:sz w:val="20"/>
          <w:szCs w:val="20"/>
          <w:lang w:val="en-GB" w:eastAsia="en-GB"/>
        </w:rPr>
        <w:t>, R. Riedel, G. von Cieminski, &amp; D. Romero (Eds.), </w:t>
      </w:r>
      <w:r w:rsidRPr="007146C1">
        <w:rPr>
          <w:rFonts w:ascii="Times New Roman" w:eastAsia="Times New Roman" w:hAnsi="Times New Roman" w:cs="Times New Roman"/>
          <w:i/>
          <w:iCs/>
          <w:color w:val="0D0D0D"/>
          <w:sz w:val="20"/>
          <w:szCs w:val="20"/>
          <w:lang w:val="en-GB" w:eastAsia="en-GB"/>
        </w:rPr>
        <w:t>Advances in Production Management Systems. Production Management Systems for Volatile, Uncertain, Complex, and Ambiguous Environments</w:t>
      </w:r>
      <w:r w:rsidRPr="007146C1">
        <w:rPr>
          <w:rFonts w:ascii="Times New Roman" w:eastAsia="Times New Roman" w:hAnsi="Times New Roman" w:cs="Times New Roman"/>
          <w:color w:val="0D0D0D"/>
          <w:sz w:val="20"/>
          <w:szCs w:val="20"/>
          <w:lang w:val="en-GB" w:eastAsia="en-GB"/>
        </w:rPr>
        <w:t> (pp. 290-305). Springer. </w:t>
      </w:r>
      <w:hyperlink r:id="rId29" w:tgtFrame="_blank" w:history="1">
        <w:r w:rsidRPr="007146C1">
          <w:rPr>
            <w:rFonts w:ascii="Times New Roman" w:eastAsia="Times New Roman" w:hAnsi="Times New Roman" w:cs="Times New Roman"/>
            <w:color w:val="0D0D0D"/>
            <w:sz w:val="20"/>
            <w:szCs w:val="20"/>
            <w:lang w:val="en-GB" w:eastAsia="en-GB"/>
          </w:rPr>
          <w:t>https://doi.org/10.1007/978-3-031-71622-5_20</w:t>
        </w:r>
      </w:hyperlink>
    </w:p>
    <w:p w14:paraId="47C6C9B9"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Chovancová, J., </w:t>
      </w:r>
      <w:proofErr w:type="spellStart"/>
      <w:r w:rsidRPr="007146C1">
        <w:rPr>
          <w:rFonts w:ascii="Times New Roman" w:eastAsia="Times New Roman" w:hAnsi="Times New Roman" w:cs="Times New Roman"/>
          <w:color w:val="0D0D0D"/>
          <w:sz w:val="20"/>
          <w:szCs w:val="20"/>
          <w:lang w:val="en-GB" w:eastAsia="en-GB"/>
        </w:rPr>
        <w:t>Popovičová</w:t>
      </w:r>
      <w:proofErr w:type="spellEnd"/>
      <w:r w:rsidRPr="007146C1">
        <w:rPr>
          <w:rFonts w:ascii="Times New Roman" w:eastAsia="Times New Roman" w:hAnsi="Times New Roman" w:cs="Times New Roman"/>
          <w:color w:val="0D0D0D"/>
          <w:sz w:val="20"/>
          <w:szCs w:val="20"/>
          <w:lang w:val="en-GB" w:eastAsia="en-GB"/>
        </w:rPr>
        <w:t xml:space="preserve">, M., &amp; </w:t>
      </w:r>
      <w:proofErr w:type="spellStart"/>
      <w:r w:rsidRPr="007146C1">
        <w:rPr>
          <w:rFonts w:ascii="Times New Roman" w:eastAsia="Times New Roman" w:hAnsi="Times New Roman" w:cs="Times New Roman"/>
          <w:color w:val="0D0D0D"/>
          <w:sz w:val="20"/>
          <w:szCs w:val="20"/>
          <w:lang w:val="en-GB" w:eastAsia="en-GB"/>
        </w:rPr>
        <w:t>Huttmanová</w:t>
      </w:r>
      <w:proofErr w:type="spellEnd"/>
      <w:r w:rsidRPr="007146C1">
        <w:rPr>
          <w:rFonts w:ascii="Times New Roman" w:eastAsia="Times New Roman" w:hAnsi="Times New Roman" w:cs="Times New Roman"/>
          <w:color w:val="0D0D0D"/>
          <w:sz w:val="20"/>
          <w:szCs w:val="20"/>
          <w:lang w:val="en-GB" w:eastAsia="en-GB"/>
        </w:rPr>
        <w:t>, E. (2023). Decoupling transport-related greenhouse gas emissions and economic growth in the European Union countries. </w:t>
      </w:r>
      <w:r w:rsidRPr="007146C1">
        <w:rPr>
          <w:rFonts w:ascii="Times New Roman" w:eastAsia="Times New Roman" w:hAnsi="Times New Roman" w:cs="Times New Roman"/>
          <w:i/>
          <w:iCs/>
          <w:color w:val="0D0D0D"/>
          <w:sz w:val="20"/>
          <w:szCs w:val="20"/>
          <w:lang w:val="en-GB" w:eastAsia="en-GB"/>
        </w:rPr>
        <w:t>Journal of Sustainable Development of Energy, Water and Environment Systems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11</w:t>
      </w:r>
      <w:r w:rsidRPr="007146C1">
        <w:rPr>
          <w:rFonts w:ascii="Times New Roman" w:eastAsia="Times New Roman" w:hAnsi="Times New Roman" w:cs="Times New Roman"/>
          <w:color w:val="0D0D0D"/>
          <w:sz w:val="20"/>
          <w:szCs w:val="20"/>
          <w:lang w:val="en-GB" w:eastAsia="en-GB"/>
        </w:rPr>
        <w:t>(1), 1-18. </w:t>
      </w:r>
      <w:hyperlink r:id="rId30" w:tgtFrame="_blank" w:history="1">
        <w:r w:rsidRPr="007146C1">
          <w:rPr>
            <w:rFonts w:ascii="Times New Roman" w:eastAsia="Times New Roman" w:hAnsi="Times New Roman" w:cs="Times New Roman"/>
            <w:color w:val="0D0D0D"/>
            <w:sz w:val="20"/>
            <w:szCs w:val="20"/>
            <w:lang w:val="en-GB" w:eastAsia="en-GB"/>
          </w:rPr>
          <w:t>https://doi.org/10.13044/j.sdewes.d9.0411</w:t>
        </w:r>
      </w:hyperlink>
    </w:p>
    <w:p w14:paraId="30359E91"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da Silva Lima, L., </w:t>
      </w:r>
      <w:proofErr w:type="spellStart"/>
      <w:r w:rsidRPr="007146C1">
        <w:rPr>
          <w:rFonts w:ascii="Times New Roman" w:eastAsia="Times New Roman" w:hAnsi="Times New Roman" w:cs="Times New Roman"/>
          <w:color w:val="0D0D0D"/>
          <w:sz w:val="20"/>
          <w:szCs w:val="20"/>
          <w:lang w:val="en-GB" w:eastAsia="en-GB"/>
        </w:rPr>
        <w:t>Cocquyt</w:t>
      </w:r>
      <w:proofErr w:type="spellEnd"/>
      <w:r w:rsidRPr="007146C1">
        <w:rPr>
          <w:rFonts w:ascii="Times New Roman" w:eastAsia="Times New Roman" w:hAnsi="Times New Roman" w:cs="Times New Roman"/>
          <w:color w:val="0D0D0D"/>
          <w:sz w:val="20"/>
          <w:szCs w:val="20"/>
          <w:lang w:val="en-GB" w:eastAsia="en-GB"/>
        </w:rPr>
        <w:t>, L., Mancini, L., Cadena, E., &amp; Dewulf, J. (2023). The role of raw materials to achieve the Sustainable Development Goals: Tracing the risks and positive contributions of cobalt along the lithium‐ion battery supply chain. </w:t>
      </w:r>
      <w:r w:rsidRPr="007146C1">
        <w:rPr>
          <w:rFonts w:ascii="Times New Roman" w:eastAsia="Times New Roman" w:hAnsi="Times New Roman" w:cs="Times New Roman"/>
          <w:i/>
          <w:iCs/>
          <w:color w:val="0D0D0D"/>
          <w:sz w:val="20"/>
          <w:szCs w:val="20"/>
          <w:lang w:val="en-GB" w:eastAsia="en-GB"/>
        </w:rPr>
        <w:t>Journal of Industrial Ecology</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27</w:t>
      </w:r>
      <w:r w:rsidRPr="007146C1">
        <w:rPr>
          <w:rFonts w:ascii="Times New Roman" w:eastAsia="Times New Roman" w:hAnsi="Times New Roman" w:cs="Times New Roman"/>
          <w:color w:val="0D0D0D"/>
          <w:sz w:val="20"/>
          <w:szCs w:val="20"/>
          <w:lang w:val="en-GB" w:eastAsia="en-GB"/>
        </w:rPr>
        <w:t>(3), 777-794. </w:t>
      </w:r>
      <w:hyperlink r:id="rId31" w:tgtFrame="_blank" w:history="1">
        <w:r w:rsidRPr="007146C1">
          <w:rPr>
            <w:rFonts w:ascii="Times New Roman" w:eastAsia="Times New Roman" w:hAnsi="Times New Roman" w:cs="Times New Roman"/>
            <w:color w:val="0D0D0D"/>
            <w:sz w:val="20"/>
            <w:szCs w:val="20"/>
            <w:lang w:val="en-GB" w:eastAsia="en-GB"/>
          </w:rPr>
          <w:t>https://doi.org/10.1111/jiec.13336</w:t>
        </w:r>
      </w:hyperlink>
    </w:p>
    <w:p w14:paraId="1410EAC8"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Degen, F., &amp; Schütte, M. (2022). Life cycle assessment of the energy consumption and GHG emissions of state-of-the-art automotive battery cell production. </w:t>
      </w:r>
      <w:r w:rsidRPr="007146C1">
        <w:rPr>
          <w:rFonts w:ascii="Times New Roman" w:eastAsia="Times New Roman" w:hAnsi="Times New Roman" w:cs="Times New Roman"/>
          <w:i/>
          <w:iCs/>
          <w:color w:val="0D0D0D"/>
          <w:sz w:val="20"/>
          <w:szCs w:val="20"/>
          <w:lang w:val="en-GB" w:eastAsia="en-GB"/>
        </w:rPr>
        <w:t>Journal of Cleaner Production</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330</w:t>
      </w:r>
      <w:r w:rsidRPr="007146C1">
        <w:rPr>
          <w:rFonts w:ascii="Times New Roman" w:eastAsia="Times New Roman" w:hAnsi="Times New Roman" w:cs="Times New Roman"/>
          <w:color w:val="0D0D0D"/>
          <w:sz w:val="20"/>
          <w:szCs w:val="20"/>
          <w:lang w:val="en-GB" w:eastAsia="en-GB"/>
        </w:rPr>
        <w:t>, 129798. </w:t>
      </w:r>
      <w:hyperlink r:id="rId32" w:tgtFrame="_blank" w:history="1">
        <w:r w:rsidRPr="007146C1">
          <w:rPr>
            <w:rFonts w:ascii="Times New Roman" w:eastAsia="Times New Roman" w:hAnsi="Times New Roman" w:cs="Times New Roman"/>
            <w:color w:val="0D0D0D"/>
            <w:sz w:val="20"/>
            <w:szCs w:val="20"/>
            <w:lang w:val="en-GB" w:eastAsia="en-GB"/>
          </w:rPr>
          <w:t>https://doi.org/10.1016/j.jclepro.2021.129798</w:t>
        </w:r>
      </w:hyperlink>
    </w:p>
    <w:p w14:paraId="680BC6C8"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Dou, H., &amp; Hao, H. (2024). The greenhouse gas emissions reduction co-benefit of end-of-life electric vehicle battery treatment strategies. </w:t>
      </w:r>
      <w:r w:rsidRPr="007146C1">
        <w:rPr>
          <w:rFonts w:ascii="Times New Roman" w:eastAsia="Times New Roman" w:hAnsi="Times New Roman" w:cs="Times New Roman"/>
          <w:i/>
          <w:iCs/>
          <w:color w:val="0D0D0D"/>
          <w:sz w:val="20"/>
          <w:szCs w:val="20"/>
          <w:lang w:val="en-GB" w:eastAsia="en-GB"/>
        </w:rPr>
        <w:t>Carbon Footprints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w:t>
      </w:r>
      <w:r w:rsidRPr="007146C1">
        <w:rPr>
          <w:rFonts w:ascii="Times New Roman" w:eastAsia="Times New Roman" w:hAnsi="Times New Roman" w:cs="Times New Roman"/>
          <w:color w:val="0D0D0D"/>
          <w:sz w:val="20"/>
          <w:szCs w:val="20"/>
          <w:lang w:val="en-GB" w:eastAsia="en-GB"/>
        </w:rPr>
        <w:t>(2). </w:t>
      </w:r>
      <w:hyperlink r:id="rId33" w:tgtFrame="_blank" w:history="1">
        <w:r w:rsidRPr="007146C1">
          <w:rPr>
            <w:rFonts w:ascii="Times New Roman" w:eastAsia="Times New Roman" w:hAnsi="Times New Roman" w:cs="Times New Roman"/>
            <w:color w:val="0D0D0D"/>
            <w:sz w:val="20"/>
            <w:szCs w:val="20"/>
            <w:lang w:val="en-GB" w:eastAsia="en-GB"/>
          </w:rPr>
          <w:t>https://doi.org/10.20517/cf.2023.47</w:t>
        </w:r>
      </w:hyperlink>
    </w:p>
    <w:p w14:paraId="26D5D57A"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Eid, A., Mohammed, O., &amp; El-</w:t>
      </w:r>
      <w:proofErr w:type="spellStart"/>
      <w:r w:rsidRPr="007146C1">
        <w:rPr>
          <w:rFonts w:ascii="Times New Roman" w:eastAsia="Times New Roman" w:hAnsi="Times New Roman" w:cs="Times New Roman"/>
          <w:color w:val="0D0D0D"/>
          <w:sz w:val="20"/>
          <w:szCs w:val="20"/>
          <w:lang w:val="en-GB" w:eastAsia="en-GB"/>
        </w:rPr>
        <w:t>Kishky</w:t>
      </w:r>
      <w:proofErr w:type="spellEnd"/>
      <w:r w:rsidRPr="007146C1">
        <w:rPr>
          <w:rFonts w:ascii="Times New Roman" w:eastAsia="Times New Roman" w:hAnsi="Times New Roman" w:cs="Times New Roman"/>
          <w:color w:val="0D0D0D"/>
          <w:sz w:val="20"/>
          <w:szCs w:val="20"/>
          <w:lang w:val="en-GB" w:eastAsia="en-GB"/>
        </w:rPr>
        <w:t>, H. (2022). Efficient operation of battery energy storage systems, electric-vehicle charging stations and renewable energy sources linked to distribution systems. </w:t>
      </w:r>
      <w:r w:rsidRPr="007146C1">
        <w:rPr>
          <w:rFonts w:ascii="Times New Roman" w:eastAsia="Times New Roman" w:hAnsi="Times New Roman" w:cs="Times New Roman"/>
          <w:i/>
          <w:iCs/>
          <w:color w:val="0D0D0D"/>
          <w:sz w:val="20"/>
          <w:szCs w:val="20"/>
          <w:lang w:val="en-GB" w:eastAsia="en-GB"/>
        </w:rPr>
        <w:t>Journal of Energy Storage</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55</w:t>
      </w:r>
      <w:r w:rsidRPr="007146C1">
        <w:rPr>
          <w:rFonts w:ascii="Times New Roman" w:eastAsia="Times New Roman" w:hAnsi="Times New Roman" w:cs="Times New Roman"/>
          <w:color w:val="0D0D0D"/>
          <w:sz w:val="20"/>
          <w:szCs w:val="20"/>
          <w:lang w:val="en-GB" w:eastAsia="en-GB"/>
        </w:rPr>
        <w:t>, 105644. </w:t>
      </w:r>
      <w:hyperlink r:id="rId34" w:tgtFrame="_blank" w:history="1">
        <w:r w:rsidRPr="007146C1">
          <w:rPr>
            <w:rFonts w:ascii="Times New Roman" w:eastAsia="Times New Roman" w:hAnsi="Times New Roman" w:cs="Times New Roman"/>
            <w:color w:val="0D0D0D"/>
            <w:sz w:val="20"/>
            <w:szCs w:val="20"/>
            <w:lang w:val="en-GB" w:eastAsia="en-GB"/>
          </w:rPr>
          <w:t>https://doi.org/10.1016/j.est.2022.105644</w:t>
        </w:r>
      </w:hyperlink>
    </w:p>
    <w:p w14:paraId="746B7598"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Fallah, N., &amp; Fitzpatrick, C. (2022). How will retired electric vehicle batteries perform in grid-based second-life applications? A comparative techno-economic evaluation of used batteries in different scenarios. </w:t>
      </w:r>
      <w:r w:rsidRPr="007146C1">
        <w:rPr>
          <w:rFonts w:ascii="Times New Roman" w:eastAsia="Times New Roman" w:hAnsi="Times New Roman" w:cs="Times New Roman"/>
          <w:i/>
          <w:iCs/>
          <w:color w:val="0D0D0D"/>
          <w:sz w:val="20"/>
          <w:szCs w:val="20"/>
          <w:lang w:val="en-GB" w:eastAsia="en-GB"/>
        </w:rPr>
        <w:t>Journal of Cleaner Production</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361</w:t>
      </w:r>
      <w:r w:rsidRPr="007146C1">
        <w:rPr>
          <w:rFonts w:ascii="Times New Roman" w:eastAsia="Times New Roman" w:hAnsi="Times New Roman" w:cs="Times New Roman"/>
          <w:color w:val="0D0D0D"/>
          <w:sz w:val="20"/>
          <w:szCs w:val="20"/>
          <w:lang w:val="en-GB" w:eastAsia="en-GB"/>
        </w:rPr>
        <w:t>, 132281. </w:t>
      </w:r>
      <w:hyperlink r:id="rId35" w:tgtFrame="_blank" w:history="1">
        <w:r w:rsidRPr="007146C1">
          <w:rPr>
            <w:rFonts w:ascii="Times New Roman" w:eastAsia="Times New Roman" w:hAnsi="Times New Roman" w:cs="Times New Roman"/>
            <w:color w:val="0D0D0D"/>
            <w:sz w:val="20"/>
            <w:szCs w:val="20"/>
            <w:lang w:val="en-GB" w:eastAsia="en-GB"/>
          </w:rPr>
          <w:t>https://doi.org/10.1016/j.jclepro.2022.132281</w:t>
        </w:r>
      </w:hyperlink>
    </w:p>
    <w:p w14:paraId="598B44F9"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Fan, T., Liang, W., Guo, W., Feng, T., &amp; Li, W. (2023). Life cycle assessment of electric vehicles' lithium-ion batteries reused for energy storage. </w:t>
      </w:r>
      <w:r w:rsidRPr="007146C1">
        <w:rPr>
          <w:rFonts w:ascii="Times New Roman" w:eastAsia="Times New Roman" w:hAnsi="Times New Roman" w:cs="Times New Roman"/>
          <w:i/>
          <w:iCs/>
          <w:color w:val="0D0D0D"/>
          <w:sz w:val="20"/>
          <w:szCs w:val="20"/>
          <w:lang w:val="en-GB" w:eastAsia="en-GB"/>
        </w:rPr>
        <w:t>Journal of Energy Storage</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71</w:t>
      </w:r>
      <w:r w:rsidRPr="007146C1">
        <w:rPr>
          <w:rFonts w:ascii="Times New Roman" w:eastAsia="Times New Roman" w:hAnsi="Times New Roman" w:cs="Times New Roman"/>
          <w:color w:val="0D0D0D"/>
          <w:sz w:val="20"/>
          <w:szCs w:val="20"/>
          <w:lang w:val="en-GB" w:eastAsia="en-GB"/>
        </w:rPr>
        <w:t>, 108126. </w:t>
      </w:r>
      <w:hyperlink r:id="rId36" w:tgtFrame="_blank" w:history="1">
        <w:r w:rsidRPr="007146C1">
          <w:rPr>
            <w:rFonts w:ascii="Times New Roman" w:eastAsia="Times New Roman" w:hAnsi="Times New Roman" w:cs="Times New Roman"/>
            <w:color w:val="0D0D0D"/>
            <w:sz w:val="20"/>
            <w:szCs w:val="20"/>
            <w:lang w:val="en-GB" w:eastAsia="en-GB"/>
          </w:rPr>
          <w:t>https://doi.org/10.1016/j.est.2023.108126</w:t>
        </w:r>
      </w:hyperlink>
    </w:p>
    <w:p w14:paraId="4EE1EEEE"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lastRenderedPageBreak/>
        <w:t>Fellendorf</w:t>
      </w:r>
      <w:proofErr w:type="spellEnd"/>
      <w:r w:rsidRPr="007146C1">
        <w:rPr>
          <w:rFonts w:ascii="Times New Roman" w:eastAsia="Times New Roman" w:hAnsi="Times New Roman" w:cs="Times New Roman"/>
          <w:color w:val="0D0D0D"/>
          <w:sz w:val="20"/>
          <w:szCs w:val="20"/>
          <w:lang w:val="en-GB" w:eastAsia="en-GB"/>
        </w:rPr>
        <w:t>, A. (2018). </w:t>
      </w:r>
      <w:r w:rsidRPr="007146C1">
        <w:rPr>
          <w:rFonts w:ascii="Times New Roman" w:eastAsia="Times New Roman" w:hAnsi="Times New Roman" w:cs="Times New Roman"/>
          <w:i/>
          <w:iCs/>
          <w:color w:val="0D0D0D"/>
          <w:sz w:val="20"/>
          <w:szCs w:val="20"/>
          <w:lang w:val="en-GB" w:eastAsia="en-GB"/>
        </w:rPr>
        <w:t>Trading the temperature- voluntary carbon offsetting as climate change mitigation tool for developing countries: lessons from cookstove projects in Nepal</w:t>
      </w:r>
      <w:r w:rsidRPr="007146C1">
        <w:rPr>
          <w:rFonts w:ascii="Times New Roman" w:eastAsia="Times New Roman" w:hAnsi="Times New Roman" w:cs="Times New Roman"/>
          <w:color w:val="0D0D0D"/>
          <w:sz w:val="20"/>
          <w:szCs w:val="20"/>
          <w:lang w:val="en-GB" w:eastAsia="en-GB"/>
        </w:rPr>
        <w:t> </w:t>
      </w:r>
      <w:r w:rsidRPr="0074590E">
        <w:rPr>
          <w:rFonts w:ascii="Times New Roman" w:eastAsia="Times New Roman" w:hAnsi="Times New Roman" w:cs="Times New Roman"/>
          <w:color w:val="0D0D0D"/>
          <w:sz w:val="20"/>
          <w:szCs w:val="20"/>
          <w:lang w:val="en-GB" w:eastAsia="en-GB"/>
        </w:rPr>
        <w:t>[</w:t>
      </w:r>
      <w:r w:rsidRPr="007146C1">
        <w:rPr>
          <w:rFonts w:ascii="Times New Roman" w:eastAsia="Times New Roman" w:hAnsi="Times New Roman" w:cs="Times New Roman"/>
          <w:color w:val="0D0D0D"/>
          <w:sz w:val="20"/>
          <w:szCs w:val="20"/>
          <w:lang w:val="en-GB" w:eastAsia="en-GB"/>
        </w:rPr>
        <w:t xml:space="preserve">Master's thesis, </w:t>
      </w:r>
      <w:proofErr w:type="spellStart"/>
      <w:r w:rsidRPr="007146C1">
        <w:rPr>
          <w:rFonts w:ascii="Times New Roman" w:eastAsia="Times New Roman" w:hAnsi="Times New Roman" w:cs="Times New Roman"/>
          <w:color w:val="0D0D0D"/>
          <w:sz w:val="20"/>
          <w:szCs w:val="20"/>
          <w:lang w:val="en-GB" w:eastAsia="en-GB"/>
        </w:rPr>
        <w:t>Technische</w:t>
      </w:r>
      <w:proofErr w:type="spellEnd"/>
      <w:r w:rsidRPr="007146C1">
        <w:rPr>
          <w:rFonts w:ascii="Times New Roman" w:eastAsia="Times New Roman" w:hAnsi="Times New Roman" w:cs="Times New Roman"/>
          <w:color w:val="0D0D0D"/>
          <w:sz w:val="20"/>
          <w:szCs w:val="20"/>
          <w:lang w:val="en-GB" w:eastAsia="en-GB"/>
        </w:rPr>
        <w:t xml:space="preserve"> Universität Wien]. </w:t>
      </w:r>
      <w:proofErr w:type="spellStart"/>
      <w:r w:rsidRPr="007146C1">
        <w:rPr>
          <w:rFonts w:ascii="Times New Roman" w:eastAsia="Times New Roman" w:hAnsi="Times New Roman" w:cs="Times New Roman"/>
          <w:color w:val="0D0D0D"/>
          <w:sz w:val="20"/>
          <w:szCs w:val="20"/>
          <w:lang w:val="en-GB" w:eastAsia="en-GB"/>
        </w:rPr>
        <w:t>reposiTUm</w:t>
      </w:r>
      <w:proofErr w:type="spellEnd"/>
      <w:r w:rsidRPr="007146C1">
        <w:rPr>
          <w:rFonts w:ascii="Times New Roman" w:eastAsia="Times New Roman" w:hAnsi="Times New Roman" w:cs="Times New Roman"/>
          <w:color w:val="0D0D0D"/>
          <w:sz w:val="20"/>
          <w:szCs w:val="20"/>
          <w:lang w:val="en-GB" w:eastAsia="en-GB"/>
        </w:rPr>
        <w:t>. </w:t>
      </w:r>
      <w:hyperlink r:id="rId37" w:tgtFrame="_blank" w:history="1">
        <w:r w:rsidRPr="007146C1">
          <w:rPr>
            <w:rFonts w:ascii="Times New Roman" w:eastAsia="Times New Roman" w:hAnsi="Times New Roman" w:cs="Times New Roman"/>
            <w:color w:val="0D0D0D"/>
            <w:sz w:val="20"/>
            <w:szCs w:val="20"/>
            <w:lang w:val="en-GB" w:eastAsia="en-GB"/>
          </w:rPr>
          <w:t>https://doi.org/10.34726/hss.2018.57183</w:t>
        </w:r>
      </w:hyperlink>
    </w:p>
    <w:p w14:paraId="4C97FE92"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Gautam, D., &amp; Bolia, N. (2024). Fostering second-life applications for electric vehicle batteries: A thorough exploration of barriers and solutions within the framework of sustainable energy and resource management. </w:t>
      </w:r>
      <w:r w:rsidRPr="007146C1">
        <w:rPr>
          <w:rFonts w:ascii="Times New Roman" w:eastAsia="Times New Roman" w:hAnsi="Times New Roman" w:cs="Times New Roman"/>
          <w:i/>
          <w:iCs/>
          <w:color w:val="0D0D0D"/>
          <w:sz w:val="20"/>
          <w:szCs w:val="20"/>
          <w:lang w:val="en-GB" w:eastAsia="en-GB"/>
        </w:rPr>
        <w:t>Journal of Cleaner Production</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456</w:t>
      </w:r>
      <w:r w:rsidRPr="007146C1">
        <w:rPr>
          <w:rFonts w:ascii="Times New Roman" w:eastAsia="Times New Roman" w:hAnsi="Times New Roman" w:cs="Times New Roman"/>
          <w:color w:val="0D0D0D"/>
          <w:sz w:val="20"/>
          <w:szCs w:val="20"/>
          <w:lang w:val="en-GB" w:eastAsia="en-GB"/>
        </w:rPr>
        <w:t>, 142401. </w:t>
      </w:r>
      <w:hyperlink r:id="rId38" w:tgtFrame="_blank" w:history="1">
        <w:r w:rsidRPr="007146C1">
          <w:rPr>
            <w:rFonts w:ascii="Times New Roman" w:eastAsia="Times New Roman" w:hAnsi="Times New Roman" w:cs="Times New Roman"/>
            <w:color w:val="0D0D0D"/>
            <w:sz w:val="20"/>
            <w:szCs w:val="20"/>
            <w:lang w:val="en-GB" w:eastAsia="en-GB"/>
          </w:rPr>
          <w:t>https://doi.org/10.1016/j.jclepro.2024.142401</w:t>
        </w:r>
      </w:hyperlink>
    </w:p>
    <w:p w14:paraId="7E0E0645"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Guillén Santamaría, J. (2024). </w:t>
      </w:r>
      <w:r w:rsidRPr="007146C1">
        <w:rPr>
          <w:rFonts w:ascii="Times New Roman" w:eastAsia="Times New Roman" w:hAnsi="Times New Roman" w:cs="Times New Roman"/>
          <w:i/>
          <w:iCs/>
          <w:color w:val="0D0D0D"/>
          <w:sz w:val="20"/>
          <w:szCs w:val="20"/>
          <w:lang w:val="en-GB" w:eastAsia="en-GB"/>
        </w:rPr>
        <w:t>Comprehensive analysis of lithium-ion battery Lifecycle and sustainability in the automotive industry: A perspective of the end of life in Europe</w:t>
      </w:r>
      <w:r w:rsidRPr="007146C1">
        <w:rPr>
          <w:rFonts w:ascii="Times New Roman" w:eastAsia="Times New Roman" w:hAnsi="Times New Roman" w:cs="Times New Roman"/>
          <w:color w:val="0D0D0D"/>
          <w:sz w:val="20"/>
          <w:szCs w:val="20"/>
          <w:lang w:val="en-GB" w:eastAsia="en-GB"/>
        </w:rPr>
        <w:t> </w:t>
      </w:r>
      <w:r w:rsidRPr="0074590E">
        <w:rPr>
          <w:rFonts w:ascii="Times New Roman" w:eastAsia="Times New Roman" w:hAnsi="Times New Roman" w:cs="Times New Roman"/>
          <w:color w:val="0D0D0D"/>
          <w:sz w:val="20"/>
          <w:szCs w:val="20"/>
          <w:lang w:val="en-GB" w:eastAsia="en-GB"/>
        </w:rPr>
        <w:t>[</w:t>
      </w:r>
      <w:r w:rsidRPr="007146C1">
        <w:rPr>
          <w:rFonts w:ascii="Times New Roman" w:eastAsia="Times New Roman" w:hAnsi="Times New Roman" w:cs="Times New Roman"/>
          <w:color w:val="0D0D0D"/>
          <w:sz w:val="20"/>
          <w:szCs w:val="20"/>
          <w:lang w:val="en-GB" w:eastAsia="en-GB"/>
        </w:rPr>
        <w:t xml:space="preserve">Bachelor's thesis, </w:t>
      </w:r>
      <w:proofErr w:type="spellStart"/>
      <w:r w:rsidRPr="007146C1">
        <w:rPr>
          <w:rFonts w:ascii="Times New Roman" w:eastAsia="Times New Roman" w:hAnsi="Times New Roman" w:cs="Times New Roman"/>
          <w:color w:val="0D0D0D"/>
          <w:sz w:val="20"/>
          <w:szCs w:val="20"/>
          <w:lang w:val="en-GB" w:eastAsia="en-GB"/>
        </w:rPr>
        <w:t>Universitat</w:t>
      </w:r>
      <w:proofErr w:type="spellEnd"/>
      <w:r w:rsidRPr="007146C1">
        <w:rPr>
          <w:rFonts w:ascii="Times New Roman" w:eastAsia="Times New Roman" w:hAnsi="Times New Roman" w:cs="Times New Roman"/>
          <w:color w:val="0D0D0D"/>
          <w:sz w:val="20"/>
          <w:szCs w:val="20"/>
          <w:lang w:val="en-GB" w:eastAsia="en-GB"/>
        </w:rPr>
        <w:t xml:space="preserve"> </w:t>
      </w:r>
      <w:proofErr w:type="spellStart"/>
      <w:r w:rsidRPr="007146C1">
        <w:rPr>
          <w:rFonts w:ascii="Times New Roman" w:eastAsia="Times New Roman" w:hAnsi="Times New Roman" w:cs="Times New Roman"/>
          <w:color w:val="0D0D0D"/>
          <w:sz w:val="20"/>
          <w:szCs w:val="20"/>
          <w:lang w:val="en-GB" w:eastAsia="en-GB"/>
        </w:rPr>
        <w:t>Politècnica</w:t>
      </w:r>
      <w:proofErr w:type="spellEnd"/>
      <w:r w:rsidRPr="007146C1">
        <w:rPr>
          <w:rFonts w:ascii="Times New Roman" w:eastAsia="Times New Roman" w:hAnsi="Times New Roman" w:cs="Times New Roman"/>
          <w:color w:val="0D0D0D"/>
          <w:sz w:val="20"/>
          <w:szCs w:val="20"/>
          <w:lang w:val="en-GB" w:eastAsia="en-GB"/>
        </w:rPr>
        <w:t xml:space="preserve"> de València]. </w:t>
      </w:r>
      <w:hyperlink r:id="rId39" w:tgtFrame="_blank" w:history="1">
        <w:r w:rsidRPr="007146C1">
          <w:rPr>
            <w:rFonts w:ascii="Times New Roman" w:eastAsia="Times New Roman" w:hAnsi="Times New Roman" w:cs="Times New Roman"/>
            <w:color w:val="0D0D0D"/>
            <w:sz w:val="20"/>
            <w:szCs w:val="20"/>
            <w:lang w:val="en-GB" w:eastAsia="en-GB"/>
          </w:rPr>
          <w:t>https://riunet.upv.es/handle/10251/207674</w:t>
        </w:r>
      </w:hyperlink>
    </w:p>
    <w:p w14:paraId="7B138018"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Hao, X., Wang, H., Lin, Z., &amp; Ouyang, M. (2020). Seasonal effects on electric vehicle energy consumption and driving range: A case study on personal, taxi, and ridesharing vehicles. </w:t>
      </w:r>
      <w:r w:rsidRPr="007146C1">
        <w:rPr>
          <w:rFonts w:ascii="Times New Roman" w:eastAsia="Times New Roman" w:hAnsi="Times New Roman" w:cs="Times New Roman"/>
          <w:i/>
          <w:iCs/>
          <w:color w:val="0D0D0D"/>
          <w:sz w:val="20"/>
          <w:szCs w:val="20"/>
          <w:lang w:val="en-GB" w:eastAsia="en-GB"/>
        </w:rPr>
        <w:t>Journal of Cleaner Production</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249</w:t>
      </w:r>
      <w:r w:rsidRPr="007146C1">
        <w:rPr>
          <w:rFonts w:ascii="Times New Roman" w:eastAsia="Times New Roman" w:hAnsi="Times New Roman" w:cs="Times New Roman"/>
          <w:color w:val="0D0D0D"/>
          <w:sz w:val="20"/>
          <w:szCs w:val="20"/>
          <w:lang w:val="en-GB" w:eastAsia="en-GB"/>
        </w:rPr>
        <w:t>, 119403. </w:t>
      </w:r>
      <w:hyperlink r:id="rId40" w:tgtFrame="_blank" w:history="1">
        <w:r w:rsidRPr="007146C1">
          <w:rPr>
            <w:rFonts w:ascii="Times New Roman" w:eastAsia="Times New Roman" w:hAnsi="Times New Roman" w:cs="Times New Roman"/>
            <w:color w:val="0D0D0D"/>
            <w:sz w:val="20"/>
            <w:szCs w:val="20"/>
            <w:lang w:val="en-GB" w:eastAsia="en-GB"/>
          </w:rPr>
          <w:t>https://doi.org/10.1016/j.jclepro.2019.119403</w:t>
        </w:r>
      </w:hyperlink>
    </w:p>
    <w:p w14:paraId="362622D0"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Harper, G. D. J., Kendrick, E., Anderson, P. A., Mrozik, W., Christensen, P., Lambert, S., Greenwood, D., Das, P. K., </w:t>
      </w:r>
      <w:proofErr w:type="spellStart"/>
      <w:r w:rsidRPr="007146C1">
        <w:rPr>
          <w:rFonts w:ascii="Times New Roman" w:eastAsia="Times New Roman" w:hAnsi="Times New Roman" w:cs="Times New Roman"/>
          <w:color w:val="0D0D0D"/>
          <w:sz w:val="20"/>
          <w:szCs w:val="20"/>
          <w:lang w:val="en-GB" w:eastAsia="en-GB"/>
        </w:rPr>
        <w:t>Ahmeid</w:t>
      </w:r>
      <w:proofErr w:type="spellEnd"/>
      <w:r w:rsidRPr="007146C1">
        <w:rPr>
          <w:rFonts w:ascii="Times New Roman" w:eastAsia="Times New Roman" w:hAnsi="Times New Roman" w:cs="Times New Roman"/>
          <w:color w:val="0D0D0D"/>
          <w:sz w:val="20"/>
          <w:szCs w:val="20"/>
          <w:lang w:val="en-GB" w:eastAsia="en-GB"/>
        </w:rPr>
        <w:t xml:space="preserve">, M., Milojevic, Z., Du, W., Brett, D. J. L., Shearing, P. R., </w:t>
      </w:r>
      <w:proofErr w:type="spellStart"/>
      <w:r w:rsidRPr="007146C1">
        <w:rPr>
          <w:rFonts w:ascii="Times New Roman" w:eastAsia="Times New Roman" w:hAnsi="Times New Roman" w:cs="Times New Roman"/>
          <w:color w:val="0D0D0D"/>
          <w:sz w:val="20"/>
          <w:szCs w:val="20"/>
          <w:lang w:val="en-GB" w:eastAsia="en-GB"/>
        </w:rPr>
        <w:t>Rastegarpanah</w:t>
      </w:r>
      <w:proofErr w:type="spellEnd"/>
      <w:r w:rsidRPr="007146C1">
        <w:rPr>
          <w:rFonts w:ascii="Times New Roman" w:eastAsia="Times New Roman" w:hAnsi="Times New Roman" w:cs="Times New Roman"/>
          <w:color w:val="0D0D0D"/>
          <w:sz w:val="20"/>
          <w:szCs w:val="20"/>
          <w:lang w:val="en-GB" w:eastAsia="en-GB"/>
        </w:rPr>
        <w:t xml:space="preserve">, A., </w:t>
      </w:r>
      <w:proofErr w:type="spellStart"/>
      <w:r w:rsidRPr="007146C1">
        <w:rPr>
          <w:rFonts w:ascii="Times New Roman" w:eastAsia="Times New Roman" w:hAnsi="Times New Roman" w:cs="Times New Roman"/>
          <w:color w:val="0D0D0D"/>
          <w:sz w:val="20"/>
          <w:szCs w:val="20"/>
          <w:lang w:val="en-GB" w:eastAsia="en-GB"/>
        </w:rPr>
        <w:t>Stolkin</w:t>
      </w:r>
      <w:proofErr w:type="spellEnd"/>
      <w:r w:rsidRPr="007146C1">
        <w:rPr>
          <w:rFonts w:ascii="Times New Roman" w:eastAsia="Times New Roman" w:hAnsi="Times New Roman" w:cs="Times New Roman"/>
          <w:color w:val="0D0D0D"/>
          <w:sz w:val="20"/>
          <w:szCs w:val="20"/>
          <w:lang w:val="en-GB" w:eastAsia="en-GB"/>
        </w:rPr>
        <w:t>, R., Sommerville, R., Zorin, A., Durham, J. L., Abbott, A. P., &amp; Thompson, D. (2023). Roadmap for a sustainable circular economy in lithium-ion and future battery technologies. </w:t>
      </w:r>
      <w:r w:rsidRPr="007146C1">
        <w:rPr>
          <w:rFonts w:ascii="Times New Roman" w:eastAsia="Times New Roman" w:hAnsi="Times New Roman" w:cs="Times New Roman"/>
          <w:i/>
          <w:iCs/>
          <w:color w:val="0D0D0D"/>
          <w:sz w:val="20"/>
          <w:szCs w:val="20"/>
          <w:lang w:val="en-GB" w:eastAsia="en-GB"/>
        </w:rPr>
        <w:t>Journal of Physics: Energy</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5</w:t>
      </w:r>
      <w:r w:rsidRPr="007146C1">
        <w:rPr>
          <w:rFonts w:ascii="Times New Roman" w:eastAsia="Times New Roman" w:hAnsi="Times New Roman" w:cs="Times New Roman"/>
          <w:color w:val="0D0D0D"/>
          <w:sz w:val="20"/>
          <w:szCs w:val="20"/>
          <w:lang w:val="en-GB" w:eastAsia="en-GB"/>
        </w:rPr>
        <w:t>(2), 021501. </w:t>
      </w:r>
      <w:hyperlink r:id="rId41" w:tgtFrame="_blank" w:history="1">
        <w:r w:rsidRPr="007146C1">
          <w:rPr>
            <w:rFonts w:ascii="Times New Roman" w:eastAsia="Times New Roman" w:hAnsi="Times New Roman" w:cs="Times New Roman"/>
            <w:color w:val="0D0D0D"/>
            <w:sz w:val="20"/>
            <w:szCs w:val="20"/>
            <w:lang w:val="en-GB" w:eastAsia="en-GB"/>
          </w:rPr>
          <w:t>https://doi.org/10.1088/2515-7655/acaa57</w:t>
        </w:r>
      </w:hyperlink>
    </w:p>
    <w:p w14:paraId="70125668"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Hoffmann, M., Krini, A., Mueller, A., &amp; </w:t>
      </w:r>
      <w:proofErr w:type="spellStart"/>
      <w:r w:rsidRPr="007146C1">
        <w:rPr>
          <w:rFonts w:ascii="Times New Roman" w:eastAsia="Times New Roman" w:hAnsi="Times New Roman" w:cs="Times New Roman"/>
          <w:color w:val="0D0D0D"/>
          <w:sz w:val="20"/>
          <w:szCs w:val="20"/>
          <w:lang w:val="en-GB" w:eastAsia="en-GB"/>
        </w:rPr>
        <w:t>Knorn</w:t>
      </w:r>
      <w:proofErr w:type="spellEnd"/>
      <w:r w:rsidRPr="007146C1">
        <w:rPr>
          <w:rFonts w:ascii="Times New Roman" w:eastAsia="Times New Roman" w:hAnsi="Times New Roman" w:cs="Times New Roman"/>
          <w:color w:val="0D0D0D"/>
          <w:sz w:val="20"/>
          <w:szCs w:val="20"/>
          <w:lang w:val="en-GB" w:eastAsia="en-GB"/>
        </w:rPr>
        <w:t>, S. (2025). Remanufacturing production planning and control: Conceptual framework for requirement definition. </w:t>
      </w:r>
      <w:r w:rsidRPr="007146C1">
        <w:rPr>
          <w:rFonts w:ascii="Times New Roman" w:eastAsia="Times New Roman" w:hAnsi="Times New Roman" w:cs="Times New Roman"/>
          <w:i/>
          <w:iCs/>
          <w:color w:val="0D0D0D"/>
          <w:sz w:val="20"/>
          <w:szCs w:val="20"/>
          <w:lang w:val="en-GB" w:eastAsia="en-GB"/>
        </w:rPr>
        <w:t>Journal of Remanufacturing</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15</w:t>
      </w:r>
      <w:r w:rsidRPr="007146C1">
        <w:rPr>
          <w:rFonts w:ascii="Times New Roman" w:eastAsia="Times New Roman" w:hAnsi="Times New Roman" w:cs="Times New Roman"/>
          <w:color w:val="0D0D0D"/>
          <w:sz w:val="20"/>
          <w:szCs w:val="20"/>
          <w:lang w:val="en-GB" w:eastAsia="en-GB"/>
        </w:rPr>
        <w:t>(1), 97-126. </w:t>
      </w:r>
      <w:hyperlink r:id="rId42" w:tgtFrame="_blank" w:history="1">
        <w:r w:rsidRPr="007146C1">
          <w:rPr>
            <w:rFonts w:ascii="Times New Roman" w:eastAsia="Times New Roman" w:hAnsi="Times New Roman" w:cs="Times New Roman"/>
            <w:color w:val="0D0D0D"/>
            <w:sz w:val="20"/>
            <w:szCs w:val="20"/>
            <w:lang w:val="en-GB" w:eastAsia="en-GB"/>
          </w:rPr>
          <w:t>https://doi.org/10.1007/s13243-025-00149-8</w:t>
        </w:r>
      </w:hyperlink>
    </w:p>
    <w:p w14:paraId="0A89D39D"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Huster, S., </w:t>
      </w:r>
      <w:proofErr w:type="spellStart"/>
      <w:r w:rsidRPr="007146C1">
        <w:rPr>
          <w:rFonts w:ascii="Times New Roman" w:eastAsia="Times New Roman" w:hAnsi="Times New Roman" w:cs="Times New Roman"/>
          <w:color w:val="0D0D0D"/>
          <w:sz w:val="20"/>
          <w:szCs w:val="20"/>
          <w:lang w:val="en-GB" w:eastAsia="en-GB"/>
        </w:rPr>
        <w:t>Glöser-Chahoud</w:t>
      </w:r>
      <w:proofErr w:type="spellEnd"/>
      <w:r w:rsidRPr="007146C1">
        <w:rPr>
          <w:rFonts w:ascii="Times New Roman" w:eastAsia="Times New Roman" w:hAnsi="Times New Roman" w:cs="Times New Roman"/>
          <w:color w:val="0D0D0D"/>
          <w:sz w:val="20"/>
          <w:szCs w:val="20"/>
          <w:lang w:val="en-GB" w:eastAsia="en-GB"/>
        </w:rPr>
        <w:t xml:space="preserve">, S., Rosenberg, S., &amp; </w:t>
      </w:r>
      <w:proofErr w:type="spellStart"/>
      <w:r w:rsidRPr="007146C1">
        <w:rPr>
          <w:rFonts w:ascii="Times New Roman" w:eastAsia="Times New Roman" w:hAnsi="Times New Roman" w:cs="Times New Roman"/>
          <w:color w:val="0D0D0D"/>
          <w:sz w:val="20"/>
          <w:szCs w:val="20"/>
          <w:lang w:val="en-GB" w:eastAsia="en-GB"/>
        </w:rPr>
        <w:t>Schultmann</w:t>
      </w:r>
      <w:proofErr w:type="spellEnd"/>
      <w:r w:rsidRPr="007146C1">
        <w:rPr>
          <w:rFonts w:ascii="Times New Roman" w:eastAsia="Times New Roman" w:hAnsi="Times New Roman" w:cs="Times New Roman"/>
          <w:color w:val="0D0D0D"/>
          <w:sz w:val="20"/>
          <w:szCs w:val="20"/>
          <w:lang w:val="en-GB" w:eastAsia="en-GB"/>
        </w:rPr>
        <w:t>, F. (2022). A simulation model for assessing the potential of remanufacturing electric vehicle batteries as spare parts. </w:t>
      </w:r>
      <w:r w:rsidRPr="007146C1">
        <w:rPr>
          <w:rFonts w:ascii="Times New Roman" w:eastAsia="Times New Roman" w:hAnsi="Times New Roman" w:cs="Times New Roman"/>
          <w:i/>
          <w:iCs/>
          <w:color w:val="0D0D0D"/>
          <w:sz w:val="20"/>
          <w:szCs w:val="20"/>
          <w:lang w:val="en-GB" w:eastAsia="en-GB"/>
        </w:rPr>
        <w:t>Journal of Cleaner Production</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363</w:t>
      </w:r>
      <w:r w:rsidRPr="007146C1">
        <w:rPr>
          <w:rFonts w:ascii="Times New Roman" w:eastAsia="Times New Roman" w:hAnsi="Times New Roman" w:cs="Times New Roman"/>
          <w:color w:val="0D0D0D"/>
          <w:sz w:val="20"/>
          <w:szCs w:val="20"/>
          <w:lang w:val="en-GB" w:eastAsia="en-GB"/>
        </w:rPr>
        <w:t>, 132225. </w:t>
      </w:r>
      <w:hyperlink r:id="rId43" w:tgtFrame="_blank" w:history="1">
        <w:r w:rsidRPr="007146C1">
          <w:rPr>
            <w:rFonts w:ascii="Times New Roman" w:eastAsia="Times New Roman" w:hAnsi="Times New Roman" w:cs="Times New Roman"/>
            <w:color w:val="0D0D0D"/>
            <w:sz w:val="20"/>
            <w:szCs w:val="20"/>
            <w:lang w:val="en-GB" w:eastAsia="en-GB"/>
          </w:rPr>
          <w:t>https://doi.org/10.1016/j.jclepro.2022.132225</w:t>
        </w:r>
      </w:hyperlink>
    </w:p>
    <w:p w14:paraId="6487DD03"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Kaiser, N., &amp; Barstow, C. K. (2022). Rural Transportation Infrastructure in Low- and Middle-Income Countries: A Review of Impacts, Implications, and Interventions. </w:t>
      </w:r>
      <w:r w:rsidRPr="007146C1">
        <w:rPr>
          <w:rFonts w:ascii="Times New Roman" w:eastAsia="Times New Roman" w:hAnsi="Times New Roman" w:cs="Times New Roman"/>
          <w:i/>
          <w:iCs/>
          <w:color w:val="0D0D0D"/>
          <w:sz w:val="20"/>
          <w:szCs w:val="20"/>
          <w:lang w:val="en-GB" w:eastAsia="en-GB"/>
        </w:rPr>
        <w:t>Sustainability</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14</w:t>
      </w:r>
      <w:r w:rsidRPr="007146C1">
        <w:rPr>
          <w:rFonts w:ascii="Times New Roman" w:eastAsia="Times New Roman" w:hAnsi="Times New Roman" w:cs="Times New Roman"/>
          <w:color w:val="0D0D0D"/>
          <w:sz w:val="20"/>
          <w:szCs w:val="20"/>
          <w:lang w:val="en-GB" w:eastAsia="en-GB"/>
        </w:rPr>
        <w:t>(4), 2149. </w:t>
      </w:r>
      <w:hyperlink r:id="rId44" w:tgtFrame="_blank" w:history="1">
        <w:r w:rsidRPr="007146C1">
          <w:rPr>
            <w:rFonts w:ascii="Times New Roman" w:eastAsia="Times New Roman" w:hAnsi="Times New Roman" w:cs="Times New Roman"/>
            <w:color w:val="0D0D0D"/>
            <w:sz w:val="20"/>
            <w:szCs w:val="20"/>
            <w:lang w:val="en-GB" w:eastAsia="en-GB"/>
          </w:rPr>
          <w:t>https://doi.org/10.3390/su14042149</w:t>
        </w:r>
      </w:hyperlink>
    </w:p>
    <w:p w14:paraId="4B36B805"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Kotak, Y., Marchante Fernández, C., Canals Casals, L., Kotak, B. S., Koch, D., Geisbauer, C., Trilla, L., Gómez-Núñez, A., &amp; Schweiger, H. G. (2021). End of Electric Vehicle Batteries: Reuse vs. Recycle. </w:t>
      </w:r>
      <w:r w:rsidRPr="007146C1">
        <w:rPr>
          <w:rFonts w:ascii="Times New Roman" w:eastAsia="Times New Roman" w:hAnsi="Times New Roman" w:cs="Times New Roman"/>
          <w:i/>
          <w:iCs/>
          <w:color w:val="0D0D0D"/>
          <w:sz w:val="20"/>
          <w:szCs w:val="20"/>
          <w:lang w:val="en-GB" w:eastAsia="en-GB"/>
        </w:rPr>
        <w:t>Energies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14</w:t>
      </w:r>
      <w:r w:rsidRPr="007146C1">
        <w:rPr>
          <w:rFonts w:ascii="Times New Roman" w:eastAsia="Times New Roman" w:hAnsi="Times New Roman" w:cs="Times New Roman"/>
          <w:color w:val="0D0D0D"/>
          <w:sz w:val="20"/>
          <w:szCs w:val="20"/>
          <w:lang w:val="en-GB" w:eastAsia="en-GB"/>
        </w:rPr>
        <w:t>(8), 2217. </w:t>
      </w:r>
      <w:hyperlink r:id="rId45" w:tgtFrame="_blank" w:history="1">
        <w:r w:rsidRPr="007146C1">
          <w:rPr>
            <w:rFonts w:ascii="Times New Roman" w:eastAsia="Times New Roman" w:hAnsi="Times New Roman" w:cs="Times New Roman"/>
            <w:color w:val="0D0D0D"/>
            <w:sz w:val="20"/>
            <w:szCs w:val="20"/>
            <w:lang w:val="en-GB" w:eastAsia="en-GB"/>
          </w:rPr>
          <w:t>https://doi.org/10.3390/en14082217</w:t>
        </w:r>
      </w:hyperlink>
    </w:p>
    <w:p w14:paraId="0D3E824B"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Kwame, M. A., Agyeman, D. S., Francis, A., Charles, A., &amp; Larson, A. E. (2024). Estimating the Key Factors Contributing to Vehicular Exhaust Emission in Ghana. </w:t>
      </w:r>
      <w:r w:rsidRPr="007146C1">
        <w:rPr>
          <w:rFonts w:ascii="Times New Roman" w:eastAsia="Times New Roman" w:hAnsi="Times New Roman" w:cs="Times New Roman"/>
          <w:i/>
          <w:iCs/>
          <w:color w:val="0D0D0D"/>
          <w:sz w:val="20"/>
          <w:szCs w:val="20"/>
          <w:lang w:val="en-GB" w:eastAsia="en-GB"/>
        </w:rPr>
        <w:t>Aerosol Science and Engineering</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8</w:t>
      </w:r>
      <w:r w:rsidRPr="007146C1">
        <w:rPr>
          <w:rFonts w:ascii="Times New Roman" w:eastAsia="Times New Roman" w:hAnsi="Times New Roman" w:cs="Times New Roman"/>
          <w:color w:val="0D0D0D"/>
          <w:sz w:val="20"/>
          <w:szCs w:val="20"/>
          <w:lang w:val="en-GB" w:eastAsia="en-GB"/>
        </w:rPr>
        <w:t>(2), 157-167. </w:t>
      </w:r>
      <w:hyperlink r:id="rId46" w:tgtFrame="_blank" w:history="1">
        <w:r w:rsidRPr="007146C1">
          <w:rPr>
            <w:rFonts w:ascii="Times New Roman" w:eastAsia="Times New Roman" w:hAnsi="Times New Roman" w:cs="Times New Roman"/>
            <w:color w:val="0D0D0D"/>
            <w:sz w:val="20"/>
            <w:szCs w:val="20"/>
            <w:lang w:val="en-GB" w:eastAsia="en-GB"/>
          </w:rPr>
          <w:t>https://doi.org/10.1007/s41810-024-00214-y</w:t>
        </w:r>
      </w:hyperlink>
    </w:p>
    <w:p w14:paraId="32192EFE"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Lamb, W. F., Wiedmann, T., Pongratz, J., Andrew, R., Crippa, M., Olivier, J. G. J., </w:t>
      </w:r>
      <w:proofErr w:type="spellStart"/>
      <w:r w:rsidRPr="007146C1">
        <w:rPr>
          <w:rFonts w:ascii="Times New Roman" w:eastAsia="Times New Roman" w:hAnsi="Times New Roman" w:cs="Times New Roman"/>
          <w:color w:val="0D0D0D"/>
          <w:sz w:val="20"/>
          <w:szCs w:val="20"/>
          <w:lang w:val="en-GB" w:eastAsia="en-GB"/>
        </w:rPr>
        <w:t>Wiedenhofer</w:t>
      </w:r>
      <w:proofErr w:type="spellEnd"/>
      <w:r w:rsidRPr="007146C1">
        <w:rPr>
          <w:rFonts w:ascii="Times New Roman" w:eastAsia="Times New Roman" w:hAnsi="Times New Roman" w:cs="Times New Roman"/>
          <w:color w:val="0D0D0D"/>
          <w:sz w:val="20"/>
          <w:szCs w:val="20"/>
          <w:lang w:val="en-GB" w:eastAsia="en-GB"/>
        </w:rPr>
        <w:t xml:space="preserve">, D., Mattioli, G., Al Khourdajie, A., House, J., Pachauri, S., </w:t>
      </w:r>
      <w:r w:rsidRPr="0074590E">
        <w:rPr>
          <w:rFonts w:ascii="Times New Roman" w:eastAsia="Times New Roman" w:hAnsi="Times New Roman" w:cs="Times New Roman"/>
          <w:color w:val="0D0D0D"/>
          <w:sz w:val="20"/>
          <w:szCs w:val="20"/>
          <w:lang w:val="en-GB" w:eastAsia="en-GB"/>
        </w:rPr>
        <w:t>Fig</w:t>
      </w:r>
      <w:r w:rsidRPr="007146C1">
        <w:rPr>
          <w:rFonts w:ascii="Times New Roman" w:eastAsia="Times New Roman" w:hAnsi="Times New Roman" w:cs="Times New Roman"/>
          <w:color w:val="0D0D0D"/>
          <w:sz w:val="20"/>
          <w:szCs w:val="20"/>
          <w:lang w:val="en-GB" w:eastAsia="en-GB"/>
        </w:rPr>
        <w:t xml:space="preserve">ueroa, M., Saheb, Y., Slade, R., Hubacek, K., Sun, L., Kahn Ribeiro, S., </w:t>
      </w:r>
      <w:proofErr w:type="spellStart"/>
      <w:r w:rsidRPr="007146C1">
        <w:rPr>
          <w:rFonts w:ascii="Times New Roman" w:eastAsia="Times New Roman" w:hAnsi="Times New Roman" w:cs="Times New Roman"/>
          <w:color w:val="0D0D0D"/>
          <w:sz w:val="20"/>
          <w:szCs w:val="20"/>
          <w:lang w:val="en-GB" w:eastAsia="en-GB"/>
        </w:rPr>
        <w:t>Khennas</w:t>
      </w:r>
      <w:proofErr w:type="spellEnd"/>
      <w:r w:rsidRPr="007146C1">
        <w:rPr>
          <w:rFonts w:ascii="Times New Roman" w:eastAsia="Times New Roman" w:hAnsi="Times New Roman" w:cs="Times New Roman"/>
          <w:color w:val="0D0D0D"/>
          <w:sz w:val="20"/>
          <w:szCs w:val="20"/>
          <w:lang w:val="en-GB" w:eastAsia="en-GB"/>
        </w:rPr>
        <w:t xml:space="preserve">, S., De La Rue Du Can, S., Chapungu, L., Davis, S. J., </w:t>
      </w:r>
      <w:proofErr w:type="spellStart"/>
      <w:r w:rsidRPr="007146C1">
        <w:rPr>
          <w:rFonts w:ascii="Times New Roman" w:eastAsia="Times New Roman" w:hAnsi="Times New Roman" w:cs="Times New Roman"/>
          <w:color w:val="0D0D0D"/>
          <w:sz w:val="20"/>
          <w:szCs w:val="20"/>
          <w:lang w:val="en-GB" w:eastAsia="en-GB"/>
        </w:rPr>
        <w:t>Bashmakov</w:t>
      </w:r>
      <w:proofErr w:type="spellEnd"/>
      <w:r w:rsidRPr="007146C1">
        <w:rPr>
          <w:rFonts w:ascii="Times New Roman" w:eastAsia="Times New Roman" w:hAnsi="Times New Roman" w:cs="Times New Roman"/>
          <w:color w:val="0D0D0D"/>
          <w:sz w:val="20"/>
          <w:szCs w:val="20"/>
          <w:lang w:val="en-GB" w:eastAsia="en-GB"/>
        </w:rPr>
        <w:t>, I., Dai, H., Dhakal, S., Tan, X., Geng, Y., Gu, B., &amp; Minx, J. (2021). A review of trends and drivers of greenhouse gas emissions by sector from 1990 to 2018. </w:t>
      </w:r>
      <w:r w:rsidRPr="007146C1">
        <w:rPr>
          <w:rFonts w:ascii="Times New Roman" w:eastAsia="Times New Roman" w:hAnsi="Times New Roman" w:cs="Times New Roman"/>
          <w:i/>
          <w:iCs/>
          <w:color w:val="0D0D0D"/>
          <w:sz w:val="20"/>
          <w:szCs w:val="20"/>
          <w:lang w:val="en-GB" w:eastAsia="en-GB"/>
        </w:rPr>
        <w:t>Environmental Research Letters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16</w:t>
      </w:r>
      <w:r w:rsidRPr="007146C1">
        <w:rPr>
          <w:rFonts w:ascii="Times New Roman" w:eastAsia="Times New Roman" w:hAnsi="Times New Roman" w:cs="Times New Roman"/>
          <w:color w:val="0D0D0D"/>
          <w:sz w:val="20"/>
          <w:szCs w:val="20"/>
          <w:lang w:val="en-GB" w:eastAsia="en-GB"/>
        </w:rPr>
        <w:t>(7), 073005. </w:t>
      </w:r>
      <w:hyperlink r:id="rId47" w:tgtFrame="_blank" w:history="1">
        <w:r w:rsidRPr="007146C1">
          <w:rPr>
            <w:rFonts w:ascii="Times New Roman" w:eastAsia="Times New Roman" w:hAnsi="Times New Roman" w:cs="Times New Roman"/>
            <w:color w:val="0D0D0D"/>
            <w:sz w:val="20"/>
            <w:szCs w:val="20"/>
            <w:lang w:val="en-GB" w:eastAsia="en-GB"/>
          </w:rPr>
          <w:t>https://doi.org/10.1088/1748-9326/abee4e</w:t>
        </w:r>
      </w:hyperlink>
    </w:p>
    <w:p w14:paraId="0B2CA583"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t>Leippi</w:t>
      </w:r>
      <w:proofErr w:type="spellEnd"/>
      <w:r w:rsidRPr="007146C1">
        <w:rPr>
          <w:rFonts w:ascii="Times New Roman" w:eastAsia="Times New Roman" w:hAnsi="Times New Roman" w:cs="Times New Roman"/>
          <w:color w:val="0D0D0D"/>
          <w:sz w:val="20"/>
          <w:szCs w:val="20"/>
          <w:lang w:val="en-GB" w:eastAsia="en-GB"/>
        </w:rPr>
        <w:t xml:space="preserve">, A., </w:t>
      </w:r>
      <w:proofErr w:type="spellStart"/>
      <w:r w:rsidRPr="007146C1">
        <w:rPr>
          <w:rFonts w:ascii="Times New Roman" w:eastAsia="Times New Roman" w:hAnsi="Times New Roman" w:cs="Times New Roman"/>
          <w:color w:val="0D0D0D"/>
          <w:sz w:val="20"/>
          <w:szCs w:val="20"/>
          <w:lang w:val="en-GB" w:eastAsia="en-GB"/>
        </w:rPr>
        <w:t>Fleschutz</w:t>
      </w:r>
      <w:proofErr w:type="spellEnd"/>
      <w:r w:rsidRPr="007146C1">
        <w:rPr>
          <w:rFonts w:ascii="Times New Roman" w:eastAsia="Times New Roman" w:hAnsi="Times New Roman" w:cs="Times New Roman"/>
          <w:color w:val="0D0D0D"/>
          <w:sz w:val="20"/>
          <w:szCs w:val="20"/>
          <w:lang w:val="en-GB" w:eastAsia="en-GB"/>
        </w:rPr>
        <w:t>, M., &amp; Murphy, M. D. (2022). A Review of EV Battery Utilization in Demand Response Considering Battery Degradation in Non-Residential Vehicle-to-Grid Scenarios. </w:t>
      </w:r>
      <w:r w:rsidRPr="007146C1">
        <w:rPr>
          <w:rFonts w:ascii="Times New Roman" w:eastAsia="Times New Roman" w:hAnsi="Times New Roman" w:cs="Times New Roman"/>
          <w:i/>
          <w:iCs/>
          <w:color w:val="0D0D0D"/>
          <w:sz w:val="20"/>
          <w:szCs w:val="20"/>
          <w:lang w:val="en-GB" w:eastAsia="en-GB"/>
        </w:rPr>
        <w:t>Energies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15</w:t>
      </w:r>
      <w:r w:rsidRPr="007146C1">
        <w:rPr>
          <w:rFonts w:ascii="Times New Roman" w:eastAsia="Times New Roman" w:hAnsi="Times New Roman" w:cs="Times New Roman"/>
          <w:color w:val="0D0D0D"/>
          <w:sz w:val="20"/>
          <w:szCs w:val="20"/>
          <w:lang w:val="en-GB" w:eastAsia="en-GB"/>
        </w:rPr>
        <w:t>(9), 3227. </w:t>
      </w:r>
      <w:hyperlink r:id="rId48" w:tgtFrame="_blank" w:history="1">
        <w:r w:rsidRPr="007146C1">
          <w:rPr>
            <w:rFonts w:ascii="Times New Roman" w:eastAsia="Times New Roman" w:hAnsi="Times New Roman" w:cs="Times New Roman"/>
            <w:color w:val="0D0D0D"/>
            <w:sz w:val="20"/>
            <w:szCs w:val="20"/>
            <w:lang w:val="en-GB" w:eastAsia="en-GB"/>
          </w:rPr>
          <w:t>https://doi.org/10.3390/en15093227</w:t>
        </w:r>
      </w:hyperlink>
    </w:p>
    <w:p w14:paraId="4AD640E5"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Murdock, B. E., </w:t>
      </w:r>
      <w:proofErr w:type="spellStart"/>
      <w:r w:rsidRPr="007146C1">
        <w:rPr>
          <w:rFonts w:ascii="Times New Roman" w:eastAsia="Times New Roman" w:hAnsi="Times New Roman" w:cs="Times New Roman"/>
          <w:color w:val="0D0D0D"/>
          <w:sz w:val="20"/>
          <w:szCs w:val="20"/>
          <w:lang w:val="en-GB" w:eastAsia="en-GB"/>
        </w:rPr>
        <w:t>Toghill</w:t>
      </w:r>
      <w:proofErr w:type="spellEnd"/>
      <w:r w:rsidRPr="007146C1">
        <w:rPr>
          <w:rFonts w:ascii="Times New Roman" w:eastAsia="Times New Roman" w:hAnsi="Times New Roman" w:cs="Times New Roman"/>
          <w:color w:val="0D0D0D"/>
          <w:sz w:val="20"/>
          <w:szCs w:val="20"/>
          <w:lang w:val="en-GB" w:eastAsia="en-GB"/>
        </w:rPr>
        <w:t>, K. E., &amp; Tapia-Ruiz, N. (2021). A Perspective on the Sustainability of Cathode Materials used in Lithium-Ion Batteries. </w:t>
      </w:r>
      <w:r w:rsidRPr="007146C1">
        <w:rPr>
          <w:rFonts w:ascii="Times New Roman" w:eastAsia="Times New Roman" w:hAnsi="Times New Roman" w:cs="Times New Roman"/>
          <w:i/>
          <w:iCs/>
          <w:color w:val="0D0D0D"/>
          <w:sz w:val="20"/>
          <w:szCs w:val="20"/>
          <w:lang w:val="en-GB" w:eastAsia="en-GB"/>
        </w:rPr>
        <w:t>Advanced Energy Materials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11</w:t>
      </w:r>
      <w:r w:rsidRPr="007146C1">
        <w:rPr>
          <w:rFonts w:ascii="Times New Roman" w:eastAsia="Times New Roman" w:hAnsi="Times New Roman" w:cs="Times New Roman"/>
          <w:color w:val="0D0D0D"/>
          <w:sz w:val="20"/>
          <w:szCs w:val="20"/>
          <w:lang w:val="en-GB" w:eastAsia="en-GB"/>
        </w:rPr>
        <w:t>(39), 2102028. </w:t>
      </w:r>
      <w:hyperlink r:id="rId49" w:tgtFrame="_blank" w:history="1">
        <w:r w:rsidRPr="007146C1">
          <w:rPr>
            <w:rFonts w:ascii="Times New Roman" w:eastAsia="Times New Roman" w:hAnsi="Times New Roman" w:cs="Times New Roman"/>
            <w:color w:val="0D0D0D"/>
            <w:sz w:val="20"/>
            <w:szCs w:val="20"/>
            <w:lang w:val="en-GB" w:eastAsia="en-GB"/>
          </w:rPr>
          <w:t>https://doi.org/10.1002/aenm.202102028</w:t>
        </w:r>
      </w:hyperlink>
    </w:p>
    <w:p w14:paraId="188474C6"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t>Nekahi</w:t>
      </w:r>
      <w:proofErr w:type="spellEnd"/>
      <w:r w:rsidRPr="007146C1">
        <w:rPr>
          <w:rFonts w:ascii="Times New Roman" w:eastAsia="Times New Roman" w:hAnsi="Times New Roman" w:cs="Times New Roman"/>
          <w:color w:val="0D0D0D"/>
          <w:sz w:val="20"/>
          <w:szCs w:val="20"/>
          <w:lang w:val="en-GB" w:eastAsia="en-GB"/>
        </w:rPr>
        <w:t xml:space="preserve">, A., Kumar, M. R. A., Deng, S., Li, X., Petropoulos, A., Nanda, J., &amp; </w:t>
      </w:r>
      <w:proofErr w:type="spellStart"/>
      <w:r w:rsidRPr="007146C1">
        <w:rPr>
          <w:rFonts w:ascii="Times New Roman" w:eastAsia="Times New Roman" w:hAnsi="Times New Roman" w:cs="Times New Roman"/>
          <w:color w:val="0D0D0D"/>
          <w:sz w:val="20"/>
          <w:szCs w:val="20"/>
          <w:lang w:val="en-GB" w:eastAsia="en-GB"/>
        </w:rPr>
        <w:t>Zaghib</w:t>
      </w:r>
      <w:proofErr w:type="spellEnd"/>
      <w:r w:rsidRPr="007146C1">
        <w:rPr>
          <w:rFonts w:ascii="Times New Roman" w:eastAsia="Times New Roman" w:hAnsi="Times New Roman" w:cs="Times New Roman"/>
          <w:color w:val="0D0D0D"/>
          <w:sz w:val="20"/>
          <w:szCs w:val="20"/>
          <w:lang w:val="en-GB" w:eastAsia="en-GB"/>
        </w:rPr>
        <w:t>, K. (2025). Toward Green Renewable Energies and Energy Storage for the Sustainable Decarbonization and Electrification of Society. </w:t>
      </w:r>
      <w:r w:rsidRPr="007146C1">
        <w:rPr>
          <w:rFonts w:ascii="Times New Roman" w:eastAsia="Times New Roman" w:hAnsi="Times New Roman" w:cs="Times New Roman"/>
          <w:i/>
          <w:iCs/>
          <w:color w:val="0D0D0D"/>
          <w:sz w:val="20"/>
          <w:szCs w:val="20"/>
          <w:lang w:val="en-GB" w:eastAsia="en-GB"/>
        </w:rPr>
        <w:t>Electrochemical Energy Reviews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8</w:t>
      </w:r>
      <w:r w:rsidRPr="007146C1">
        <w:rPr>
          <w:rFonts w:ascii="Times New Roman" w:eastAsia="Times New Roman" w:hAnsi="Times New Roman" w:cs="Times New Roman"/>
          <w:color w:val="0D0D0D"/>
          <w:sz w:val="20"/>
          <w:szCs w:val="20"/>
          <w:lang w:val="en-GB" w:eastAsia="en-GB"/>
        </w:rPr>
        <w:t>(1), 12. </w:t>
      </w:r>
      <w:hyperlink r:id="rId50" w:tgtFrame="_blank" w:history="1">
        <w:r w:rsidRPr="007146C1">
          <w:rPr>
            <w:rFonts w:ascii="Times New Roman" w:eastAsia="Times New Roman" w:hAnsi="Times New Roman" w:cs="Times New Roman"/>
            <w:color w:val="0D0D0D"/>
            <w:sz w:val="20"/>
            <w:szCs w:val="20"/>
            <w:lang w:val="en-GB" w:eastAsia="en-GB"/>
          </w:rPr>
          <w:t>https://doi.org/10.1007/s41918-025-00247-y</w:t>
        </w:r>
      </w:hyperlink>
    </w:p>
    <w:p w14:paraId="2C8092C4"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Nie, Y., Wang, Y., Li, L., &amp; Liao, H. (2023). Literature review on power battery echelon reuse and recycling from a circular economy perspective. </w:t>
      </w:r>
      <w:r w:rsidRPr="007146C1">
        <w:rPr>
          <w:rFonts w:ascii="Times New Roman" w:eastAsia="Times New Roman" w:hAnsi="Times New Roman" w:cs="Times New Roman"/>
          <w:i/>
          <w:iCs/>
          <w:color w:val="0D0D0D"/>
          <w:sz w:val="20"/>
          <w:szCs w:val="20"/>
          <w:lang w:val="en-GB" w:eastAsia="en-GB"/>
        </w:rPr>
        <w:t>International Journal of Environmental Research and Public Health</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20</w:t>
      </w:r>
      <w:r w:rsidRPr="007146C1">
        <w:rPr>
          <w:rFonts w:ascii="Times New Roman" w:eastAsia="Times New Roman" w:hAnsi="Times New Roman" w:cs="Times New Roman"/>
          <w:color w:val="0D0D0D"/>
          <w:sz w:val="20"/>
          <w:szCs w:val="20"/>
          <w:lang w:val="en-GB" w:eastAsia="en-GB"/>
        </w:rPr>
        <w:t>(5), 4346. </w:t>
      </w:r>
      <w:hyperlink r:id="rId51" w:tgtFrame="_blank" w:history="1">
        <w:r w:rsidRPr="007146C1">
          <w:rPr>
            <w:rFonts w:ascii="Times New Roman" w:eastAsia="Times New Roman" w:hAnsi="Times New Roman" w:cs="Times New Roman"/>
            <w:color w:val="0D0D0D"/>
            <w:sz w:val="20"/>
            <w:szCs w:val="20"/>
            <w:lang w:val="en-GB" w:eastAsia="en-GB"/>
          </w:rPr>
          <w:t>https://doi.org/10.3390/ijerph20054346</w:t>
        </w:r>
      </w:hyperlink>
    </w:p>
    <w:p w14:paraId="5B8B43F1"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Philippot, M., Costa, D., Hosen, M. S., </w:t>
      </w:r>
      <w:proofErr w:type="spellStart"/>
      <w:r w:rsidRPr="007146C1">
        <w:rPr>
          <w:rFonts w:ascii="Times New Roman" w:eastAsia="Times New Roman" w:hAnsi="Times New Roman" w:cs="Times New Roman"/>
          <w:color w:val="0D0D0D"/>
          <w:sz w:val="20"/>
          <w:szCs w:val="20"/>
          <w:lang w:val="en-GB" w:eastAsia="en-GB"/>
        </w:rPr>
        <w:t>Senécat</w:t>
      </w:r>
      <w:proofErr w:type="spellEnd"/>
      <w:r w:rsidRPr="007146C1">
        <w:rPr>
          <w:rFonts w:ascii="Times New Roman" w:eastAsia="Times New Roman" w:hAnsi="Times New Roman" w:cs="Times New Roman"/>
          <w:color w:val="0D0D0D"/>
          <w:sz w:val="20"/>
          <w:szCs w:val="20"/>
          <w:lang w:val="en-GB" w:eastAsia="en-GB"/>
        </w:rPr>
        <w:t xml:space="preserve">, A., Brouwers, E., </w:t>
      </w:r>
      <w:proofErr w:type="spellStart"/>
      <w:r w:rsidRPr="007146C1">
        <w:rPr>
          <w:rFonts w:ascii="Times New Roman" w:eastAsia="Times New Roman" w:hAnsi="Times New Roman" w:cs="Times New Roman"/>
          <w:color w:val="0D0D0D"/>
          <w:sz w:val="20"/>
          <w:szCs w:val="20"/>
          <w:lang w:val="en-GB" w:eastAsia="en-GB"/>
        </w:rPr>
        <w:t>Nanini</w:t>
      </w:r>
      <w:proofErr w:type="spellEnd"/>
      <w:r w:rsidRPr="007146C1">
        <w:rPr>
          <w:rFonts w:ascii="Times New Roman" w:eastAsia="Times New Roman" w:hAnsi="Times New Roman" w:cs="Times New Roman"/>
          <w:color w:val="0D0D0D"/>
          <w:sz w:val="20"/>
          <w:szCs w:val="20"/>
          <w:lang w:val="en-GB" w:eastAsia="en-GB"/>
        </w:rPr>
        <w:t xml:space="preserve">-Maury, E., Van Mierlo, J., &amp; </w:t>
      </w:r>
      <w:proofErr w:type="spellStart"/>
      <w:r w:rsidRPr="007146C1">
        <w:rPr>
          <w:rFonts w:ascii="Times New Roman" w:eastAsia="Times New Roman" w:hAnsi="Times New Roman" w:cs="Times New Roman"/>
          <w:color w:val="0D0D0D"/>
          <w:sz w:val="20"/>
          <w:szCs w:val="20"/>
          <w:lang w:val="en-GB" w:eastAsia="en-GB"/>
        </w:rPr>
        <w:t>Messagie</w:t>
      </w:r>
      <w:proofErr w:type="spellEnd"/>
      <w:r w:rsidRPr="007146C1">
        <w:rPr>
          <w:rFonts w:ascii="Times New Roman" w:eastAsia="Times New Roman" w:hAnsi="Times New Roman" w:cs="Times New Roman"/>
          <w:color w:val="0D0D0D"/>
          <w:sz w:val="20"/>
          <w:szCs w:val="20"/>
          <w:lang w:val="en-GB" w:eastAsia="en-GB"/>
        </w:rPr>
        <w:t>, M. (2022). Environmental impact of the second life of an automotive battery: Reuse and repurpose based on ageing tests. </w:t>
      </w:r>
      <w:r w:rsidRPr="007146C1">
        <w:rPr>
          <w:rFonts w:ascii="Times New Roman" w:eastAsia="Times New Roman" w:hAnsi="Times New Roman" w:cs="Times New Roman"/>
          <w:i/>
          <w:iCs/>
          <w:color w:val="0D0D0D"/>
          <w:sz w:val="20"/>
          <w:szCs w:val="20"/>
          <w:lang w:val="en-GB" w:eastAsia="en-GB"/>
        </w:rPr>
        <w:t>Journal of Cleaner Production</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366</w:t>
      </w:r>
      <w:r w:rsidRPr="007146C1">
        <w:rPr>
          <w:rFonts w:ascii="Times New Roman" w:eastAsia="Times New Roman" w:hAnsi="Times New Roman" w:cs="Times New Roman"/>
          <w:color w:val="0D0D0D"/>
          <w:sz w:val="20"/>
          <w:szCs w:val="20"/>
          <w:lang w:val="en-GB" w:eastAsia="en-GB"/>
        </w:rPr>
        <w:t>, 132872. </w:t>
      </w:r>
      <w:hyperlink r:id="rId52" w:tgtFrame="_blank" w:history="1">
        <w:r w:rsidRPr="007146C1">
          <w:rPr>
            <w:rFonts w:ascii="Times New Roman" w:eastAsia="Times New Roman" w:hAnsi="Times New Roman" w:cs="Times New Roman"/>
            <w:color w:val="0D0D0D"/>
            <w:sz w:val="20"/>
            <w:szCs w:val="20"/>
            <w:lang w:val="en-GB" w:eastAsia="en-GB"/>
          </w:rPr>
          <w:t>https://doi.org/10.1016/j.jclepro.2022.132872</w:t>
        </w:r>
      </w:hyperlink>
    </w:p>
    <w:p w14:paraId="08BA4D1F"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t>Picatoste</w:t>
      </w:r>
      <w:proofErr w:type="spellEnd"/>
      <w:r w:rsidRPr="007146C1">
        <w:rPr>
          <w:rFonts w:ascii="Times New Roman" w:eastAsia="Times New Roman" w:hAnsi="Times New Roman" w:cs="Times New Roman"/>
          <w:color w:val="0D0D0D"/>
          <w:sz w:val="20"/>
          <w:szCs w:val="20"/>
          <w:lang w:val="en-GB" w:eastAsia="en-GB"/>
        </w:rPr>
        <w:t xml:space="preserve">, A., </w:t>
      </w:r>
      <w:proofErr w:type="spellStart"/>
      <w:r w:rsidRPr="007146C1">
        <w:rPr>
          <w:rFonts w:ascii="Times New Roman" w:eastAsia="Times New Roman" w:hAnsi="Times New Roman" w:cs="Times New Roman"/>
          <w:color w:val="0D0D0D"/>
          <w:sz w:val="20"/>
          <w:szCs w:val="20"/>
          <w:lang w:val="en-GB" w:eastAsia="en-GB"/>
        </w:rPr>
        <w:t>Justel</w:t>
      </w:r>
      <w:proofErr w:type="spellEnd"/>
      <w:r w:rsidRPr="007146C1">
        <w:rPr>
          <w:rFonts w:ascii="Times New Roman" w:eastAsia="Times New Roman" w:hAnsi="Times New Roman" w:cs="Times New Roman"/>
          <w:color w:val="0D0D0D"/>
          <w:sz w:val="20"/>
          <w:szCs w:val="20"/>
          <w:lang w:val="en-GB" w:eastAsia="en-GB"/>
        </w:rPr>
        <w:t xml:space="preserve">, D., &amp; Mendoza, J. M. F. (2022). Circularity and life cycle environmental impact assessment of batteries for electric vehicles: Industrial challenges, best practices and research </w:t>
      </w:r>
      <w:r w:rsidRPr="007146C1">
        <w:rPr>
          <w:rFonts w:ascii="Times New Roman" w:eastAsia="Times New Roman" w:hAnsi="Times New Roman" w:cs="Times New Roman"/>
          <w:color w:val="0D0D0D"/>
          <w:sz w:val="20"/>
          <w:szCs w:val="20"/>
          <w:lang w:val="en-GB" w:eastAsia="en-GB"/>
        </w:rPr>
        <w:lastRenderedPageBreak/>
        <w:t>guidelines. </w:t>
      </w:r>
      <w:r w:rsidRPr="007146C1">
        <w:rPr>
          <w:rFonts w:ascii="Times New Roman" w:eastAsia="Times New Roman" w:hAnsi="Times New Roman" w:cs="Times New Roman"/>
          <w:i/>
          <w:iCs/>
          <w:color w:val="0D0D0D"/>
          <w:sz w:val="20"/>
          <w:szCs w:val="20"/>
          <w:lang w:val="en-GB" w:eastAsia="en-GB"/>
        </w:rPr>
        <w:t>Renewable and Sustainable Energy Reviews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169</w:t>
      </w:r>
      <w:r w:rsidRPr="007146C1">
        <w:rPr>
          <w:rFonts w:ascii="Times New Roman" w:eastAsia="Times New Roman" w:hAnsi="Times New Roman" w:cs="Times New Roman"/>
          <w:color w:val="0D0D0D"/>
          <w:sz w:val="20"/>
          <w:szCs w:val="20"/>
          <w:lang w:val="en-GB" w:eastAsia="en-GB"/>
        </w:rPr>
        <w:t>, 112941. </w:t>
      </w:r>
      <w:hyperlink r:id="rId53" w:tgtFrame="_blank" w:history="1">
        <w:r w:rsidRPr="007146C1">
          <w:rPr>
            <w:rFonts w:ascii="Times New Roman" w:eastAsia="Times New Roman" w:hAnsi="Times New Roman" w:cs="Times New Roman"/>
            <w:color w:val="0D0D0D"/>
            <w:sz w:val="20"/>
            <w:szCs w:val="20"/>
            <w:lang w:val="en-GB" w:eastAsia="en-GB"/>
          </w:rPr>
          <w:t>https://doi.org/10.1016/j.rser.2022.112941</w:t>
        </w:r>
      </w:hyperlink>
    </w:p>
    <w:p w14:paraId="6E2D4632"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Pitak, I., </w:t>
      </w:r>
      <w:proofErr w:type="spellStart"/>
      <w:r w:rsidRPr="007146C1">
        <w:rPr>
          <w:rFonts w:ascii="Times New Roman" w:eastAsia="Times New Roman" w:hAnsi="Times New Roman" w:cs="Times New Roman"/>
          <w:color w:val="0D0D0D"/>
          <w:sz w:val="20"/>
          <w:szCs w:val="20"/>
          <w:lang w:val="en-GB" w:eastAsia="en-GB"/>
        </w:rPr>
        <w:t>Sholokhova</w:t>
      </w:r>
      <w:proofErr w:type="spellEnd"/>
      <w:r w:rsidRPr="007146C1">
        <w:rPr>
          <w:rFonts w:ascii="Times New Roman" w:eastAsia="Times New Roman" w:hAnsi="Times New Roman" w:cs="Times New Roman"/>
          <w:color w:val="0D0D0D"/>
          <w:sz w:val="20"/>
          <w:szCs w:val="20"/>
          <w:lang w:val="en-GB" w:eastAsia="en-GB"/>
        </w:rPr>
        <w:t xml:space="preserve">, A., </w:t>
      </w:r>
      <w:proofErr w:type="spellStart"/>
      <w:r w:rsidRPr="007146C1">
        <w:rPr>
          <w:rFonts w:ascii="Times New Roman" w:eastAsia="Times New Roman" w:hAnsi="Times New Roman" w:cs="Times New Roman"/>
          <w:color w:val="0D0D0D"/>
          <w:sz w:val="20"/>
          <w:szCs w:val="20"/>
          <w:lang w:val="en-GB" w:eastAsia="en-GB"/>
        </w:rPr>
        <w:t>Baltušnikas</w:t>
      </w:r>
      <w:proofErr w:type="spellEnd"/>
      <w:r w:rsidRPr="007146C1">
        <w:rPr>
          <w:rFonts w:ascii="Times New Roman" w:eastAsia="Times New Roman" w:hAnsi="Times New Roman" w:cs="Times New Roman"/>
          <w:color w:val="0D0D0D"/>
          <w:sz w:val="20"/>
          <w:szCs w:val="20"/>
          <w:lang w:val="en-GB" w:eastAsia="en-GB"/>
        </w:rPr>
        <w:t xml:space="preserve">, A., &amp; </w:t>
      </w:r>
      <w:proofErr w:type="spellStart"/>
      <w:r w:rsidRPr="007146C1">
        <w:rPr>
          <w:rFonts w:ascii="Times New Roman" w:eastAsia="Times New Roman" w:hAnsi="Times New Roman" w:cs="Times New Roman"/>
          <w:color w:val="0D0D0D"/>
          <w:sz w:val="20"/>
          <w:szCs w:val="20"/>
          <w:lang w:val="en-GB" w:eastAsia="en-GB"/>
        </w:rPr>
        <w:t>Kriūkienė</w:t>
      </w:r>
      <w:proofErr w:type="spellEnd"/>
      <w:r w:rsidRPr="007146C1">
        <w:rPr>
          <w:rFonts w:ascii="Times New Roman" w:eastAsia="Times New Roman" w:hAnsi="Times New Roman" w:cs="Times New Roman"/>
          <w:color w:val="0D0D0D"/>
          <w:sz w:val="20"/>
          <w:szCs w:val="20"/>
          <w:lang w:val="en-GB" w:eastAsia="en-GB"/>
        </w:rPr>
        <w:t>, R. (2025). Strategic Resource Extraction and Recycling from Waste: A Pathway to Sustainable Resource Conservation. </w:t>
      </w:r>
      <w:r w:rsidRPr="007146C1">
        <w:rPr>
          <w:rFonts w:ascii="Times New Roman" w:eastAsia="Times New Roman" w:hAnsi="Times New Roman" w:cs="Times New Roman"/>
          <w:i/>
          <w:iCs/>
          <w:color w:val="0D0D0D"/>
          <w:sz w:val="20"/>
          <w:szCs w:val="20"/>
          <w:lang w:val="en-GB" w:eastAsia="en-GB"/>
        </w:rPr>
        <w:t>Resources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14</w:t>
      </w:r>
      <w:r w:rsidRPr="007146C1">
        <w:rPr>
          <w:rFonts w:ascii="Times New Roman" w:eastAsia="Times New Roman" w:hAnsi="Times New Roman" w:cs="Times New Roman"/>
          <w:color w:val="0D0D0D"/>
          <w:sz w:val="20"/>
          <w:szCs w:val="20"/>
          <w:lang w:val="en-GB" w:eastAsia="en-GB"/>
        </w:rPr>
        <w:t>(1), 1. </w:t>
      </w:r>
      <w:hyperlink r:id="rId54" w:tgtFrame="_blank" w:history="1">
        <w:r w:rsidRPr="007146C1">
          <w:rPr>
            <w:rFonts w:ascii="Times New Roman" w:eastAsia="Times New Roman" w:hAnsi="Times New Roman" w:cs="Times New Roman"/>
            <w:color w:val="0D0D0D"/>
            <w:sz w:val="20"/>
            <w:szCs w:val="20"/>
            <w:lang w:val="en-GB" w:eastAsia="en-GB"/>
          </w:rPr>
          <w:t>https://doi.org/10.3390/resources14010001</w:t>
        </w:r>
      </w:hyperlink>
    </w:p>
    <w:p w14:paraId="59EAE53F"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Rafiq, H. M. U., &amp; Aslam, M. U. (2023). </w:t>
      </w:r>
      <w:r w:rsidRPr="007146C1">
        <w:rPr>
          <w:rFonts w:ascii="Times New Roman" w:eastAsia="Times New Roman" w:hAnsi="Times New Roman" w:cs="Times New Roman"/>
          <w:i/>
          <w:iCs/>
          <w:color w:val="0D0D0D"/>
          <w:sz w:val="20"/>
          <w:szCs w:val="20"/>
          <w:lang w:val="en-GB" w:eastAsia="en-GB"/>
        </w:rPr>
        <w:t>Electric Vehicle Battery Pack - Flexible Module Design</w:t>
      </w:r>
      <w:r w:rsidRPr="007146C1">
        <w:rPr>
          <w:rFonts w:ascii="Times New Roman" w:eastAsia="Times New Roman" w:hAnsi="Times New Roman" w:cs="Times New Roman"/>
          <w:color w:val="0D0D0D"/>
          <w:sz w:val="20"/>
          <w:szCs w:val="20"/>
          <w:lang w:val="en-GB" w:eastAsia="en-GB"/>
        </w:rPr>
        <w:t xml:space="preserve">. </w:t>
      </w:r>
      <w:proofErr w:type="spellStart"/>
      <w:r w:rsidRPr="007146C1">
        <w:rPr>
          <w:rFonts w:ascii="Times New Roman" w:eastAsia="Times New Roman" w:hAnsi="Times New Roman" w:cs="Times New Roman"/>
          <w:color w:val="0D0D0D"/>
          <w:sz w:val="20"/>
          <w:szCs w:val="20"/>
          <w:lang w:val="en-GB" w:eastAsia="en-GB"/>
        </w:rPr>
        <w:t>Politecnico</w:t>
      </w:r>
      <w:proofErr w:type="spellEnd"/>
      <w:r w:rsidRPr="007146C1">
        <w:rPr>
          <w:rFonts w:ascii="Times New Roman" w:eastAsia="Times New Roman" w:hAnsi="Times New Roman" w:cs="Times New Roman"/>
          <w:color w:val="0D0D0D"/>
          <w:sz w:val="20"/>
          <w:szCs w:val="20"/>
          <w:lang w:val="en-GB" w:eastAsia="en-GB"/>
        </w:rPr>
        <w:t xml:space="preserve"> di Torino. </w:t>
      </w:r>
      <w:hyperlink r:id="rId55" w:tgtFrame="_blank" w:history="1">
        <w:r w:rsidRPr="007146C1">
          <w:rPr>
            <w:rFonts w:ascii="Times New Roman" w:eastAsia="Times New Roman" w:hAnsi="Times New Roman" w:cs="Times New Roman"/>
            <w:color w:val="0D0D0D"/>
            <w:sz w:val="20"/>
            <w:szCs w:val="20"/>
            <w:lang w:val="en-GB" w:eastAsia="en-GB"/>
          </w:rPr>
          <w:t>https://webthesis.biblio.polito.it/id/eprint/28554</w:t>
        </w:r>
      </w:hyperlink>
    </w:p>
    <w:p w14:paraId="2369901C"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Raimi, D., Campbell, E., Newell, R. G., Prest, B. C., Villanueva, S., &amp; Wingenroth, J. (2022). </w:t>
      </w:r>
      <w:r w:rsidRPr="007146C1">
        <w:rPr>
          <w:rFonts w:ascii="Times New Roman" w:eastAsia="Times New Roman" w:hAnsi="Times New Roman" w:cs="Times New Roman"/>
          <w:i/>
          <w:iCs/>
          <w:color w:val="0D0D0D"/>
          <w:sz w:val="20"/>
          <w:szCs w:val="20"/>
          <w:lang w:val="en-GB" w:eastAsia="en-GB"/>
        </w:rPr>
        <w:t>Global Energy Outlook 2022: Turning Points and Tension in the Energy Transition</w:t>
      </w:r>
      <w:r w:rsidRPr="007146C1">
        <w:rPr>
          <w:rFonts w:ascii="Times New Roman" w:eastAsia="Times New Roman" w:hAnsi="Times New Roman" w:cs="Times New Roman"/>
          <w:color w:val="0D0D0D"/>
          <w:sz w:val="20"/>
          <w:szCs w:val="20"/>
          <w:lang w:val="en-GB" w:eastAsia="en-GB"/>
        </w:rPr>
        <w:t>. Resources for the Future. </w:t>
      </w:r>
      <w:hyperlink r:id="rId56" w:tgtFrame="_blank" w:history="1">
        <w:r w:rsidRPr="007146C1">
          <w:rPr>
            <w:rFonts w:ascii="Times New Roman" w:eastAsia="Times New Roman" w:hAnsi="Times New Roman" w:cs="Times New Roman"/>
            <w:color w:val="0D0D0D"/>
            <w:sz w:val="20"/>
            <w:szCs w:val="20"/>
            <w:lang w:val="en-GB" w:eastAsia="en-GB"/>
          </w:rPr>
          <w:t>https://www.rff.org/publications/reports/global-energy-outlook-2022/</w:t>
        </w:r>
      </w:hyperlink>
    </w:p>
    <w:p w14:paraId="23CA3D11"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Rallo, H., Sánchez, A., Canals, L., &amp; Amante, B. (2022). Battery dismantling centre in Europe: A centralized vs decentralized analysis. </w:t>
      </w:r>
      <w:r w:rsidRPr="007146C1">
        <w:rPr>
          <w:rFonts w:ascii="Times New Roman" w:eastAsia="Times New Roman" w:hAnsi="Times New Roman" w:cs="Times New Roman"/>
          <w:i/>
          <w:iCs/>
          <w:color w:val="0D0D0D"/>
          <w:sz w:val="20"/>
          <w:szCs w:val="20"/>
          <w:lang w:val="en-GB" w:eastAsia="en-GB"/>
        </w:rPr>
        <w:t>Resources, Conservation &amp; Recycling Advances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15</w:t>
      </w:r>
      <w:r w:rsidRPr="007146C1">
        <w:rPr>
          <w:rFonts w:ascii="Times New Roman" w:eastAsia="Times New Roman" w:hAnsi="Times New Roman" w:cs="Times New Roman"/>
          <w:color w:val="0D0D0D"/>
          <w:sz w:val="20"/>
          <w:szCs w:val="20"/>
          <w:lang w:val="en-GB" w:eastAsia="en-GB"/>
        </w:rPr>
        <w:t>, 200087. </w:t>
      </w:r>
      <w:hyperlink r:id="rId57" w:tgtFrame="_blank" w:history="1">
        <w:r w:rsidRPr="007146C1">
          <w:rPr>
            <w:rFonts w:ascii="Times New Roman" w:eastAsia="Times New Roman" w:hAnsi="Times New Roman" w:cs="Times New Roman"/>
            <w:color w:val="0D0D0D"/>
            <w:sz w:val="20"/>
            <w:szCs w:val="20"/>
            <w:lang w:val="en-GB" w:eastAsia="en-GB"/>
          </w:rPr>
          <w:t>https://doi.org/10.1016/j.rcradv.2022.200087</w:t>
        </w:r>
      </w:hyperlink>
    </w:p>
    <w:p w14:paraId="2095862D"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Roy, J. J., </w:t>
      </w:r>
      <w:proofErr w:type="spellStart"/>
      <w:r w:rsidRPr="007146C1">
        <w:rPr>
          <w:rFonts w:ascii="Times New Roman" w:eastAsia="Times New Roman" w:hAnsi="Times New Roman" w:cs="Times New Roman"/>
          <w:color w:val="0D0D0D"/>
          <w:sz w:val="20"/>
          <w:szCs w:val="20"/>
          <w:lang w:val="en-GB" w:eastAsia="en-GB"/>
        </w:rPr>
        <w:t>Rarotra</w:t>
      </w:r>
      <w:proofErr w:type="spellEnd"/>
      <w:r w:rsidRPr="007146C1">
        <w:rPr>
          <w:rFonts w:ascii="Times New Roman" w:eastAsia="Times New Roman" w:hAnsi="Times New Roman" w:cs="Times New Roman"/>
          <w:color w:val="0D0D0D"/>
          <w:sz w:val="20"/>
          <w:szCs w:val="20"/>
          <w:lang w:val="en-GB" w:eastAsia="en-GB"/>
        </w:rPr>
        <w:t xml:space="preserve">, S., </w:t>
      </w:r>
      <w:proofErr w:type="spellStart"/>
      <w:r w:rsidRPr="007146C1">
        <w:rPr>
          <w:rFonts w:ascii="Times New Roman" w:eastAsia="Times New Roman" w:hAnsi="Times New Roman" w:cs="Times New Roman"/>
          <w:color w:val="0D0D0D"/>
          <w:sz w:val="20"/>
          <w:szCs w:val="20"/>
          <w:lang w:val="en-GB" w:eastAsia="en-GB"/>
        </w:rPr>
        <w:t>Krikstolaityte</w:t>
      </w:r>
      <w:proofErr w:type="spellEnd"/>
      <w:r w:rsidRPr="007146C1">
        <w:rPr>
          <w:rFonts w:ascii="Times New Roman" w:eastAsia="Times New Roman" w:hAnsi="Times New Roman" w:cs="Times New Roman"/>
          <w:color w:val="0D0D0D"/>
          <w:sz w:val="20"/>
          <w:szCs w:val="20"/>
          <w:lang w:val="en-GB" w:eastAsia="en-GB"/>
        </w:rPr>
        <w:t>, V., Zhuoran, K. W., Cindy, Y. D., Tan, X. Y., Carboni, M., Meyer, D., Yan, Q., &amp; Srinivasan, M. (2022). Green recycling methods to treat lithium-ion batteries E-waste: A circular approach to sustainability. </w:t>
      </w:r>
      <w:r w:rsidRPr="007146C1">
        <w:rPr>
          <w:rFonts w:ascii="Times New Roman" w:eastAsia="Times New Roman" w:hAnsi="Times New Roman" w:cs="Times New Roman"/>
          <w:i/>
          <w:iCs/>
          <w:color w:val="0D0D0D"/>
          <w:sz w:val="20"/>
          <w:szCs w:val="20"/>
          <w:lang w:val="en-GB" w:eastAsia="en-GB"/>
        </w:rPr>
        <w:t>Advanced Materials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34</w:t>
      </w:r>
      <w:r w:rsidRPr="007146C1">
        <w:rPr>
          <w:rFonts w:ascii="Times New Roman" w:eastAsia="Times New Roman" w:hAnsi="Times New Roman" w:cs="Times New Roman"/>
          <w:color w:val="0D0D0D"/>
          <w:sz w:val="20"/>
          <w:szCs w:val="20"/>
          <w:lang w:val="en-GB" w:eastAsia="en-GB"/>
        </w:rPr>
        <w:t>(25), 2103346. </w:t>
      </w:r>
      <w:hyperlink r:id="rId58" w:tgtFrame="_blank" w:history="1">
        <w:r w:rsidRPr="007146C1">
          <w:rPr>
            <w:rFonts w:ascii="Times New Roman" w:eastAsia="Times New Roman" w:hAnsi="Times New Roman" w:cs="Times New Roman"/>
            <w:color w:val="0D0D0D"/>
            <w:sz w:val="20"/>
            <w:szCs w:val="20"/>
            <w:lang w:val="en-GB" w:eastAsia="en-GB"/>
          </w:rPr>
          <w:t>https://doi.org/10.1002/adma.202103346</w:t>
        </w:r>
      </w:hyperlink>
    </w:p>
    <w:p w14:paraId="23492D63"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Rufino Júnior, C. A., Riva Sanseverino, E., Gallo, P., Koch, D., Diel, S., Walter, G., Trilla, L., Ferreira, V. J., Pérez, G. B., Kotak, Y., Schweiger, H.-G., &amp; Zanin, H. (2024). Towards to Battery Digital Passport: Reviewing Regulations and Standards for Second-Life Batteries. </w:t>
      </w:r>
      <w:r w:rsidRPr="007146C1">
        <w:rPr>
          <w:rFonts w:ascii="Times New Roman" w:eastAsia="Times New Roman" w:hAnsi="Times New Roman" w:cs="Times New Roman"/>
          <w:i/>
          <w:iCs/>
          <w:color w:val="0D0D0D"/>
          <w:sz w:val="20"/>
          <w:szCs w:val="20"/>
          <w:lang w:val="en-GB" w:eastAsia="en-GB"/>
        </w:rPr>
        <w:t>Batteries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10</w:t>
      </w:r>
      <w:r w:rsidRPr="007146C1">
        <w:rPr>
          <w:rFonts w:ascii="Times New Roman" w:eastAsia="Times New Roman" w:hAnsi="Times New Roman" w:cs="Times New Roman"/>
          <w:color w:val="0D0D0D"/>
          <w:sz w:val="20"/>
          <w:szCs w:val="20"/>
          <w:lang w:val="en-GB" w:eastAsia="en-GB"/>
        </w:rPr>
        <w:t>(4), 115. </w:t>
      </w:r>
      <w:hyperlink r:id="rId59" w:tgtFrame="_blank" w:history="1">
        <w:r w:rsidRPr="007146C1">
          <w:rPr>
            <w:rFonts w:ascii="Times New Roman" w:eastAsia="Times New Roman" w:hAnsi="Times New Roman" w:cs="Times New Roman"/>
            <w:color w:val="0D0D0D"/>
            <w:sz w:val="20"/>
            <w:szCs w:val="20"/>
            <w:lang w:val="en-GB" w:eastAsia="en-GB"/>
          </w:rPr>
          <w:t>https://doi.org/10.3390/batteries10040115</w:t>
        </w:r>
      </w:hyperlink>
    </w:p>
    <w:p w14:paraId="495EFBEA"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Schuh, G., Schmitz, S., Schopen, M., &amp; Hermann, A. (2023). Concept for Maturity Assessment of Remanufacturing Ability in Production Process Development. </w:t>
      </w:r>
      <w:r w:rsidRPr="007146C1">
        <w:rPr>
          <w:rFonts w:ascii="Times New Roman" w:eastAsia="Times New Roman" w:hAnsi="Times New Roman" w:cs="Times New Roman"/>
          <w:i/>
          <w:iCs/>
          <w:color w:val="0D0D0D"/>
          <w:sz w:val="20"/>
          <w:szCs w:val="20"/>
          <w:lang w:val="en-GB" w:eastAsia="en-GB"/>
        </w:rPr>
        <w:t>Procedia CIRP</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120</w:t>
      </w:r>
      <w:r w:rsidRPr="007146C1">
        <w:rPr>
          <w:rFonts w:ascii="Times New Roman" w:eastAsia="Times New Roman" w:hAnsi="Times New Roman" w:cs="Times New Roman"/>
          <w:color w:val="0D0D0D"/>
          <w:sz w:val="20"/>
          <w:szCs w:val="20"/>
          <w:lang w:val="en-GB" w:eastAsia="en-GB"/>
        </w:rPr>
        <w:t>, 846-851. </w:t>
      </w:r>
      <w:hyperlink r:id="rId60" w:tgtFrame="_blank" w:history="1">
        <w:r w:rsidRPr="007146C1">
          <w:rPr>
            <w:rFonts w:ascii="Times New Roman" w:eastAsia="Times New Roman" w:hAnsi="Times New Roman" w:cs="Times New Roman"/>
            <w:color w:val="0D0D0D"/>
            <w:sz w:val="20"/>
            <w:szCs w:val="20"/>
            <w:lang w:val="en-GB" w:eastAsia="en-GB"/>
          </w:rPr>
          <w:t>https://doi.org/10.1016/j.procir.2023.09.086</w:t>
        </w:r>
      </w:hyperlink>
    </w:p>
    <w:p w14:paraId="5BF32EC0"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Shi, D., Cui, Y., Shen, X., Gao, Z., Ma, X., Li, X., Fang, Y., Wang, S., &amp; Fang, S. (2025). A review of the combined effects of environmental and operational factors on lithium-ion battery performance: temperature, vibration, and charging/discharging cycles. </w:t>
      </w:r>
      <w:r w:rsidRPr="007146C1">
        <w:rPr>
          <w:rFonts w:ascii="Times New Roman" w:eastAsia="Times New Roman" w:hAnsi="Times New Roman" w:cs="Times New Roman"/>
          <w:i/>
          <w:iCs/>
          <w:color w:val="0D0D0D"/>
          <w:sz w:val="20"/>
          <w:szCs w:val="20"/>
          <w:lang w:val="en-GB" w:eastAsia="en-GB"/>
        </w:rPr>
        <w:t>RSC Advances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15</w:t>
      </w:r>
      <w:r w:rsidRPr="007146C1">
        <w:rPr>
          <w:rFonts w:ascii="Times New Roman" w:eastAsia="Times New Roman" w:hAnsi="Times New Roman" w:cs="Times New Roman"/>
          <w:color w:val="0D0D0D"/>
          <w:sz w:val="20"/>
          <w:szCs w:val="20"/>
          <w:lang w:val="en-GB" w:eastAsia="en-GB"/>
        </w:rPr>
        <w:t>(17), 13272-13283. </w:t>
      </w:r>
      <w:hyperlink r:id="rId61" w:tgtFrame="_blank" w:history="1">
        <w:r w:rsidRPr="007146C1">
          <w:rPr>
            <w:rFonts w:ascii="Times New Roman" w:eastAsia="Times New Roman" w:hAnsi="Times New Roman" w:cs="Times New Roman"/>
            <w:color w:val="0D0D0D"/>
            <w:sz w:val="20"/>
            <w:szCs w:val="20"/>
            <w:lang w:val="en-GB" w:eastAsia="en-GB"/>
          </w:rPr>
          <w:t>https://doi.org/10.1039/D5RA00934K</w:t>
        </w:r>
      </w:hyperlink>
    </w:p>
    <w:p w14:paraId="1B55676D"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Song, Y., Thatcher, D., Li, Q., McHugh, T., &amp; Wu, P. (2021). Developing sustainable road infrastructure performance indicators using a model-driven fuzzy spatial multi-criteria decision making method. </w:t>
      </w:r>
      <w:r w:rsidRPr="007146C1">
        <w:rPr>
          <w:rFonts w:ascii="Times New Roman" w:eastAsia="Times New Roman" w:hAnsi="Times New Roman" w:cs="Times New Roman"/>
          <w:i/>
          <w:iCs/>
          <w:color w:val="0D0D0D"/>
          <w:sz w:val="20"/>
          <w:szCs w:val="20"/>
          <w:lang w:val="en-GB" w:eastAsia="en-GB"/>
        </w:rPr>
        <w:t>Renewable and Sustainable Energy Reviews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138</w:t>
      </w:r>
      <w:r w:rsidRPr="007146C1">
        <w:rPr>
          <w:rFonts w:ascii="Times New Roman" w:eastAsia="Times New Roman" w:hAnsi="Times New Roman" w:cs="Times New Roman"/>
          <w:color w:val="0D0D0D"/>
          <w:sz w:val="20"/>
          <w:szCs w:val="20"/>
          <w:lang w:val="en-GB" w:eastAsia="en-GB"/>
        </w:rPr>
        <w:t>, 110538. </w:t>
      </w:r>
      <w:hyperlink r:id="rId62" w:tgtFrame="_blank" w:history="1">
        <w:r w:rsidRPr="007146C1">
          <w:rPr>
            <w:rFonts w:ascii="Times New Roman" w:eastAsia="Times New Roman" w:hAnsi="Times New Roman" w:cs="Times New Roman"/>
            <w:color w:val="0D0D0D"/>
            <w:sz w:val="20"/>
            <w:szCs w:val="20"/>
            <w:lang w:val="en-GB" w:eastAsia="en-GB"/>
          </w:rPr>
          <w:t>https://doi.org/10.1016/j.rser.2020.110538</w:t>
        </w:r>
      </w:hyperlink>
    </w:p>
    <w:p w14:paraId="366D74C0"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t>Tchanche</w:t>
      </w:r>
      <w:proofErr w:type="spellEnd"/>
      <w:r w:rsidRPr="007146C1">
        <w:rPr>
          <w:rFonts w:ascii="Times New Roman" w:eastAsia="Times New Roman" w:hAnsi="Times New Roman" w:cs="Times New Roman"/>
          <w:color w:val="0D0D0D"/>
          <w:sz w:val="20"/>
          <w:szCs w:val="20"/>
          <w:lang w:val="en-GB" w:eastAsia="en-GB"/>
        </w:rPr>
        <w:t>, B. (2021). Dynamics of Greenhouse Gas (GHG) Emissions in the Transportation Sector of Senegal. </w:t>
      </w:r>
      <w:r w:rsidRPr="007146C1">
        <w:rPr>
          <w:rFonts w:ascii="Times New Roman" w:eastAsia="Times New Roman" w:hAnsi="Times New Roman" w:cs="Times New Roman"/>
          <w:i/>
          <w:iCs/>
          <w:color w:val="0D0D0D"/>
          <w:sz w:val="20"/>
          <w:szCs w:val="20"/>
          <w:lang w:val="en-GB" w:eastAsia="en-GB"/>
        </w:rPr>
        <w:t>Earth</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2</w:t>
      </w:r>
      <w:r w:rsidRPr="007146C1">
        <w:rPr>
          <w:rFonts w:ascii="Times New Roman" w:eastAsia="Times New Roman" w:hAnsi="Times New Roman" w:cs="Times New Roman"/>
          <w:color w:val="0D0D0D"/>
          <w:sz w:val="20"/>
          <w:szCs w:val="20"/>
          <w:lang w:val="en-GB" w:eastAsia="en-GB"/>
        </w:rPr>
        <w:t>(1), 1-15. </w:t>
      </w:r>
      <w:hyperlink r:id="rId63" w:tgtFrame="_blank" w:history="1">
        <w:r w:rsidRPr="007146C1">
          <w:rPr>
            <w:rFonts w:ascii="Times New Roman" w:eastAsia="Times New Roman" w:hAnsi="Times New Roman" w:cs="Times New Roman"/>
            <w:color w:val="0D0D0D"/>
            <w:sz w:val="20"/>
            <w:szCs w:val="20"/>
            <w:lang w:val="en-GB" w:eastAsia="en-GB"/>
          </w:rPr>
          <w:t>https://doi.org/10.3390/earth2010001</w:t>
        </w:r>
      </w:hyperlink>
    </w:p>
    <w:p w14:paraId="2024AD6A"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Tsao, Y.-C., &amp; Ai, H. T. T. (2024). Remanufacturing electric vehicle battery supply chain under government subsidies and carbon trading: Optimal pricing and return policy. </w:t>
      </w:r>
      <w:r w:rsidRPr="007146C1">
        <w:rPr>
          <w:rFonts w:ascii="Times New Roman" w:eastAsia="Times New Roman" w:hAnsi="Times New Roman" w:cs="Times New Roman"/>
          <w:i/>
          <w:iCs/>
          <w:color w:val="0D0D0D"/>
          <w:sz w:val="20"/>
          <w:szCs w:val="20"/>
          <w:lang w:val="en-GB" w:eastAsia="en-GB"/>
        </w:rPr>
        <w:t>Applied Energy</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375</w:t>
      </w:r>
      <w:r w:rsidRPr="007146C1">
        <w:rPr>
          <w:rFonts w:ascii="Times New Roman" w:eastAsia="Times New Roman" w:hAnsi="Times New Roman" w:cs="Times New Roman"/>
          <w:color w:val="0D0D0D"/>
          <w:sz w:val="20"/>
          <w:szCs w:val="20"/>
          <w:lang w:val="en-GB" w:eastAsia="en-GB"/>
        </w:rPr>
        <w:t>, 124063. </w:t>
      </w:r>
      <w:hyperlink r:id="rId64" w:tgtFrame="_blank" w:history="1">
        <w:r w:rsidRPr="007146C1">
          <w:rPr>
            <w:rFonts w:ascii="Times New Roman" w:eastAsia="Times New Roman" w:hAnsi="Times New Roman" w:cs="Times New Roman"/>
            <w:color w:val="0D0D0D"/>
            <w:sz w:val="20"/>
            <w:szCs w:val="20"/>
            <w:lang w:val="en-GB" w:eastAsia="en-GB"/>
          </w:rPr>
          <w:t>https://doi.org/10.1016/j.apenergy.2024.124063</w:t>
        </w:r>
      </w:hyperlink>
    </w:p>
    <w:p w14:paraId="3A1D6FCF"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Van Hoof, G., Robertz, B., &amp; </w:t>
      </w:r>
      <w:proofErr w:type="spellStart"/>
      <w:r w:rsidRPr="007146C1">
        <w:rPr>
          <w:rFonts w:ascii="Times New Roman" w:eastAsia="Times New Roman" w:hAnsi="Times New Roman" w:cs="Times New Roman"/>
          <w:color w:val="0D0D0D"/>
          <w:sz w:val="20"/>
          <w:szCs w:val="20"/>
          <w:lang w:val="en-GB" w:eastAsia="en-GB"/>
        </w:rPr>
        <w:t>Verrecht</w:t>
      </w:r>
      <w:proofErr w:type="spellEnd"/>
      <w:r w:rsidRPr="007146C1">
        <w:rPr>
          <w:rFonts w:ascii="Times New Roman" w:eastAsia="Times New Roman" w:hAnsi="Times New Roman" w:cs="Times New Roman"/>
          <w:color w:val="0D0D0D"/>
          <w:sz w:val="20"/>
          <w:szCs w:val="20"/>
          <w:lang w:val="en-GB" w:eastAsia="en-GB"/>
        </w:rPr>
        <w:t>, B. (2023). Towards sustainable battery recycling: A carbon footprint comparison between pyrometallurgical and hydrometallurgical battery recycling flowsheets. </w:t>
      </w:r>
      <w:r w:rsidRPr="007146C1">
        <w:rPr>
          <w:rFonts w:ascii="Times New Roman" w:eastAsia="Times New Roman" w:hAnsi="Times New Roman" w:cs="Times New Roman"/>
          <w:i/>
          <w:iCs/>
          <w:color w:val="0D0D0D"/>
          <w:sz w:val="20"/>
          <w:szCs w:val="20"/>
          <w:lang w:val="en-GB" w:eastAsia="en-GB"/>
        </w:rPr>
        <w:t>Metals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13</w:t>
      </w:r>
      <w:r w:rsidRPr="007146C1">
        <w:rPr>
          <w:rFonts w:ascii="Times New Roman" w:eastAsia="Times New Roman" w:hAnsi="Times New Roman" w:cs="Times New Roman"/>
          <w:color w:val="0D0D0D"/>
          <w:sz w:val="20"/>
          <w:szCs w:val="20"/>
          <w:lang w:val="en-GB" w:eastAsia="en-GB"/>
        </w:rPr>
        <w:t>(12), 1915. </w:t>
      </w:r>
      <w:hyperlink r:id="rId65" w:tgtFrame="_blank" w:history="1">
        <w:r w:rsidRPr="007146C1">
          <w:rPr>
            <w:rFonts w:ascii="Times New Roman" w:eastAsia="Times New Roman" w:hAnsi="Times New Roman" w:cs="Times New Roman"/>
            <w:color w:val="0D0D0D"/>
            <w:sz w:val="20"/>
            <w:szCs w:val="20"/>
            <w:lang w:val="en-GB" w:eastAsia="en-GB"/>
          </w:rPr>
          <w:t>https://doi.org/10.3390/met13121915</w:t>
        </w:r>
      </w:hyperlink>
    </w:p>
    <w:p w14:paraId="165729CD" w14:textId="77777777" w:rsidR="007146C1" w:rsidRPr="00F843BF"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fi-FI" w:eastAsia="en-GB"/>
        </w:rPr>
      </w:pPr>
      <w:proofErr w:type="spellStart"/>
      <w:r w:rsidRPr="007146C1">
        <w:rPr>
          <w:rFonts w:ascii="Times New Roman" w:eastAsia="Times New Roman" w:hAnsi="Times New Roman" w:cs="Times New Roman"/>
          <w:color w:val="0D0D0D"/>
          <w:sz w:val="20"/>
          <w:szCs w:val="20"/>
          <w:lang w:val="en-GB" w:eastAsia="en-GB"/>
        </w:rPr>
        <w:t>Vichard</w:t>
      </w:r>
      <w:proofErr w:type="spellEnd"/>
      <w:r w:rsidRPr="007146C1">
        <w:rPr>
          <w:rFonts w:ascii="Times New Roman" w:eastAsia="Times New Roman" w:hAnsi="Times New Roman" w:cs="Times New Roman"/>
          <w:color w:val="0D0D0D"/>
          <w:sz w:val="20"/>
          <w:szCs w:val="20"/>
          <w:lang w:val="en-GB" w:eastAsia="en-GB"/>
        </w:rPr>
        <w:t xml:space="preserve">, L., Ravey, A., Venet, P., Harel, F., Pelissier, S., &amp; </w:t>
      </w:r>
      <w:proofErr w:type="spellStart"/>
      <w:r w:rsidRPr="007146C1">
        <w:rPr>
          <w:rFonts w:ascii="Times New Roman" w:eastAsia="Times New Roman" w:hAnsi="Times New Roman" w:cs="Times New Roman"/>
          <w:color w:val="0D0D0D"/>
          <w:sz w:val="20"/>
          <w:szCs w:val="20"/>
          <w:lang w:val="en-GB" w:eastAsia="en-GB"/>
        </w:rPr>
        <w:t>Hissel</w:t>
      </w:r>
      <w:proofErr w:type="spellEnd"/>
      <w:r w:rsidRPr="007146C1">
        <w:rPr>
          <w:rFonts w:ascii="Times New Roman" w:eastAsia="Times New Roman" w:hAnsi="Times New Roman" w:cs="Times New Roman"/>
          <w:color w:val="0D0D0D"/>
          <w:sz w:val="20"/>
          <w:szCs w:val="20"/>
          <w:lang w:val="en-GB" w:eastAsia="en-GB"/>
        </w:rPr>
        <w:t>, D. (2021). A method to estimate battery SOH indicators based on vehicle operating data only. </w:t>
      </w:r>
      <w:r w:rsidRPr="00F843BF">
        <w:rPr>
          <w:rFonts w:ascii="Times New Roman" w:eastAsia="Times New Roman" w:hAnsi="Times New Roman" w:cs="Times New Roman"/>
          <w:i/>
          <w:iCs/>
          <w:color w:val="0D0D0D"/>
          <w:sz w:val="20"/>
          <w:szCs w:val="20"/>
          <w:lang w:val="fi-FI" w:eastAsia="en-GB"/>
        </w:rPr>
        <w:t>Energy</w:t>
      </w:r>
      <w:r w:rsidRPr="00F843BF">
        <w:rPr>
          <w:rFonts w:ascii="Times New Roman" w:eastAsia="Times New Roman" w:hAnsi="Times New Roman" w:cs="Times New Roman"/>
          <w:color w:val="0D0D0D"/>
          <w:sz w:val="20"/>
          <w:szCs w:val="20"/>
          <w:lang w:val="fi-FI" w:eastAsia="en-GB"/>
        </w:rPr>
        <w:t>, </w:t>
      </w:r>
      <w:r w:rsidRPr="00F843BF">
        <w:rPr>
          <w:rFonts w:ascii="Times New Roman" w:eastAsia="Times New Roman" w:hAnsi="Times New Roman" w:cs="Times New Roman"/>
          <w:i/>
          <w:iCs/>
          <w:color w:val="0D0D0D"/>
          <w:sz w:val="20"/>
          <w:szCs w:val="20"/>
          <w:lang w:val="fi-FI" w:eastAsia="en-GB"/>
        </w:rPr>
        <w:t>225</w:t>
      </w:r>
      <w:r w:rsidRPr="00F843BF">
        <w:rPr>
          <w:rFonts w:ascii="Times New Roman" w:eastAsia="Times New Roman" w:hAnsi="Times New Roman" w:cs="Times New Roman"/>
          <w:color w:val="0D0D0D"/>
          <w:sz w:val="20"/>
          <w:szCs w:val="20"/>
          <w:lang w:val="fi-FI" w:eastAsia="en-GB"/>
        </w:rPr>
        <w:t>, 120235. </w:t>
      </w:r>
      <w:r>
        <w:fldChar w:fldCharType="begin"/>
      </w:r>
      <w:r w:rsidRPr="00F843BF">
        <w:rPr>
          <w:lang w:val="fi-FI"/>
        </w:rPr>
        <w:instrText>HYPERLINK "https://www.google.com/url?sa=E&amp;q=https%3A%2F%2Fdoi.org%2F10.1016%2Fj.energy.2021.120235" \t "_blank"</w:instrText>
      </w:r>
      <w:r>
        <w:fldChar w:fldCharType="separate"/>
      </w:r>
      <w:r w:rsidRPr="00F843BF">
        <w:rPr>
          <w:rFonts w:ascii="Times New Roman" w:eastAsia="Times New Roman" w:hAnsi="Times New Roman" w:cs="Times New Roman"/>
          <w:color w:val="0D0D0D"/>
          <w:sz w:val="20"/>
          <w:szCs w:val="20"/>
          <w:lang w:val="fi-FI" w:eastAsia="en-GB"/>
        </w:rPr>
        <w:t>https://doi.org/10.1016/j.energy.2021.120235</w:t>
      </w:r>
      <w:r>
        <w:fldChar w:fldCharType="end"/>
      </w:r>
    </w:p>
    <w:p w14:paraId="28EB4988"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F843BF">
        <w:rPr>
          <w:rFonts w:ascii="Times New Roman" w:eastAsia="Times New Roman" w:hAnsi="Times New Roman" w:cs="Times New Roman"/>
          <w:color w:val="0D0D0D"/>
          <w:sz w:val="20"/>
          <w:szCs w:val="20"/>
          <w:lang w:val="fi-FI" w:eastAsia="en-GB"/>
        </w:rPr>
        <w:t xml:space="preserve">Waseem, M., Ahmad, M., Parveen, A., &amp; Suhaib, M. (2023). </w:t>
      </w:r>
      <w:r w:rsidRPr="007146C1">
        <w:rPr>
          <w:rFonts w:ascii="Times New Roman" w:eastAsia="Times New Roman" w:hAnsi="Times New Roman" w:cs="Times New Roman"/>
          <w:color w:val="0D0D0D"/>
          <w:sz w:val="20"/>
          <w:szCs w:val="20"/>
          <w:lang w:val="en-GB" w:eastAsia="en-GB"/>
        </w:rPr>
        <w:t>Battery technologies and functionality of battery management system for EVs: Current status, key challenges, and future prospectives. </w:t>
      </w:r>
      <w:r w:rsidRPr="007146C1">
        <w:rPr>
          <w:rFonts w:ascii="Times New Roman" w:eastAsia="Times New Roman" w:hAnsi="Times New Roman" w:cs="Times New Roman"/>
          <w:i/>
          <w:iCs/>
          <w:color w:val="0D0D0D"/>
          <w:sz w:val="20"/>
          <w:szCs w:val="20"/>
          <w:lang w:val="en-GB" w:eastAsia="en-GB"/>
        </w:rPr>
        <w:t>Journal of Power Sources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580</w:t>
      </w:r>
      <w:r w:rsidRPr="007146C1">
        <w:rPr>
          <w:rFonts w:ascii="Times New Roman" w:eastAsia="Times New Roman" w:hAnsi="Times New Roman" w:cs="Times New Roman"/>
          <w:color w:val="0D0D0D"/>
          <w:sz w:val="20"/>
          <w:szCs w:val="20"/>
          <w:lang w:val="en-GB" w:eastAsia="en-GB"/>
        </w:rPr>
        <w:t>, 233349. </w:t>
      </w:r>
      <w:hyperlink r:id="rId66" w:tgtFrame="_blank" w:history="1">
        <w:r w:rsidRPr="007146C1">
          <w:rPr>
            <w:rFonts w:ascii="Times New Roman" w:eastAsia="Times New Roman" w:hAnsi="Times New Roman" w:cs="Times New Roman"/>
            <w:color w:val="0D0D0D"/>
            <w:sz w:val="20"/>
            <w:szCs w:val="20"/>
            <w:lang w:val="en-GB" w:eastAsia="en-GB"/>
          </w:rPr>
          <w:t>https://doi.org/10.1016/j.jpowsour.2023.233349</w:t>
        </w:r>
      </w:hyperlink>
    </w:p>
    <w:p w14:paraId="6570B8C0"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proofErr w:type="spellStart"/>
      <w:r w:rsidRPr="007146C1">
        <w:rPr>
          <w:rFonts w:ascii="Times New Roman" w:eastAsia="Times New Roman" w:hAnsi="Times New Roman" w:cs="Times New Roman"/>
          <w:color w:val="0D0D0D"/>
          <w:sz w:val="20"/>
          <w:szCs w:val="20"/>
          <w:lang w:val="en-GB" w:eastAsia="en-GB"/>
        </w:rPr>
        <w:t>Wrålsen</w:t>
      </w:r>
      <w:proofErr w:type="spellEnd"/>
      <w:r w:rsidRPr="007146C1">
        <w:rPr>
          <w:rFonts w:ascii="Times New Roman" w:eastAsia="Times New Roman" w:hAnsi="Times New Roman" w:cs="Times New Roman"/>
          <w:color w:val="0D0D0D"/>
          <w:sz w:val="20"/>
          <w:szCs w:val="20"/>
          <w:lang w:val="en-GB" w:eastAsia="en-GB"/>
        </w:rPr>
        <w:t xml:space="preserve">, B., &amp; </w:t>
      </w:r>
      <w:proofErr w:type="spellStart"/>
      <w:r w:rsidRPr="007146C1">
        <w:rPr>
          <w:rFonts w:ascii="Times New Roman" w:eastAsia="Times New Roman" w:hAnsi="Times New Roman" w:cs="Times New Roman"/>
          <w:color w:val="0D0D0D"/>
          <w:sz w:val="20"/>
          <w:szCs w:val="20"/>
          <w:lang w:val="en-GB" w:eastAsia="en-GB"/>
        </w:rPr>
        <w:t>O'Born</w:t>
      </w:r>
      <w:proofErr w:type="spellEnd"/>
      <w:r w:rsidRPr="007146C1">
        <w:rPr>
          <w:rFonts w:ascii="Times New Roman" w:eastAsia="Times New Roman" w:hAnsi="Times New Roman" w:cs="Times New Roman"/>
          <w:color w:val="0D0D0D"/>
          <w:sz w:val="20"/>
          <w:szCs w:val="20"/>
          <w:lang w:val="en-GB" w:eastAsia="en-GB"/>
        </w:rPr>
        <w:t>, R. (2023). Use of life cycle assessment to evaluate circular economy business models in the case of Li-ion battery remanufacturing. </w:t>
      </w:r>
      <w:r w:rsidRPr="007146C1">
        <w:rPr>
          <w:rFonts w:ascii="Times New Roman" w:eastAsia="Times New Roman" w:hAnsi="Times New Roman" w:cs="Times New Roman"/>
          <w:i/>
          <w:iCs/>
          <w:color w:val="0D0D0D"/>
          <w:sz w:val="20"/>
          <w:szCs w:val="20"/>
          <w:lang w:val="en-GB" w:eastAsia="en-GB"/>
        </w:rPr>
        <w:t>The International Journal of Life Cycle Assessment</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28</w:t>
      </w:r>
      <w:r w:rsidRPr="007146C1">
        <w:rPr>
          <w:rFonts w:ascii="Times New Roman" w:eastAsia="Times New Roman" w:hAnsi="Times New Roman" w:cs="Times New Roman"/>
          <w:color w:val="0D0D0D"/>
          <w:sz w:val="20"/>
          <w:szCs w:val="20"/>
          <w:lang w:val="en-GB" w:eastAsia="en-GB"/>
        </w:rPr>
        <w:t>(5), 554-565. </w:t>
      </w:r>
      <w:hyperlink r:id="rId67" w:tgtFrame="_blank" w:history="1">
        <w:r w:rsidRPr="007146C1">
          <w:rPr>
            <w:rFonts w:ascii="Times New Roman" w:eastAsia="Times New Roman" w:hAnsi="Times New Roman" w:cs="Times New Roman"/>
            <w:color w:val="0D0D0D"/>
            <w:sz w:val="20"/>
            <w:szCs w:val="20"/>
            <w:lang w:val="en-GB" w:eastAsia="en-GB"/>
          </w:rPr>
          <w:t>https://doi.org/10.1007/s11367-023-02154-0</w:t>
        </w:r>
      </w:hyperlink>
    </w:p>
    <w:p w14:paraId="306C8F7E"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Yang, Z., Huang, H., &amp; Lin, F. (2022). Sustainable Electric Vehicle Batteries for a Sustainable World: Perspectives on Battery Cathodes, Environment, Supply Chain, Manufacturing, Life Cycle, and Policy. </w:t>
      </w:r>
      <w:r w:rsidRPr="007146C1">
        <w:rPr>
          <w:rFonts w:ascii="Times New Roman" w:eastAsia="Times New Roman" w:hAnsi="Times New Roman" w:cs="Times New Roman"/>
          <w:i/>
          <w:iCs/>
          <w:color w:val="0D0D0D"/>
          <w:sz w:val="20"/>
          <w:szCs w:val="20"/>
          <w:lang w:val="en-GB" w:eastAsia="en-GB"/>
        </w:rPr>
        <w:t>Advanced Energy Materials</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12</w:t>
      </w:r>
      <w:r w:rsidRPr="007146C1">
        <w:rPr>
          <w:rFonts w:ascii="Times New Roman" w:eastAsia="Times New Roman" w:hAnsi="Times New Roman" w:cs="Times New Roman"/>
          <w:color w:val="0D0D0D"/>
          <w:sz w:val="20"/>
          <w:szCs w:val="20"/>
          <w:lang w:val="en-GB" w:eastAsia="en-GB"/>
        </w:rPr>
        <w:t>(26), 2200383. </w:t>
      </w:r>
      <w:hyperlink r:id="rId68" w:tgtFrame="_blank" w:history="1">
        <w:r w:rsidRPr="007146C1">
          <w:rPr>
            <w:rFonts w:ascii="Times New Roman" w:eastAsia="Times New Roman" w:hAnsi="Times New Roman" w:cs="Times New Roman"/>
            <w:color w:val="0D0D0D"/>
            <w:sz w:val="20"/>
            <w:szCs w:val="20"/>
            <w:lang w:val="en-GB" w:eastAsia="en-GB"/>
          </w:rPr>
          <w:t>https://doi.org/10.1002/aenm.202200383</w:t>
        </w:r>
      </w:hyperlink>
    </w:p>
    <w:p w14:paraId="4FC9A446"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Yu, M., Bai, B., Xiong, S., &amp; Liao, X. (2021). Evaluating environmental impacts and economic performance of remanufacturing electric vehicle lithium-ion batteries. </w:t>
      </w:r>
      <w:r w:rsidRPr="007146C1">
        <w:rPr>
          <w:rFonts w:ascii="Times New Roman" w:eastAsia="Times New Roman" w:hAnsi="Times New Roman" w:cs="Times New Roman"/>
          <w:i/>
          <w:iCs/>
          <w:color w:val="0D0D0D"/>
          <w:sz w:val="20"/>
          <w:szCs w:val="20"/>
          <w:lang w:val="en-GB" w:eastAsia="en-GB"/>
        </w:rPr>
        <w:t>Journal of Cleaner Production</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321</w:t>
      </w:r>
      <w:r w:rsidRPr="007146C1">
        <w:rPr>
          <w:rFonts w:ascii="Times New Roman" w:eastAsia="Times New Roman" w:hAnsi="Times New Roman" w:cs="Times New Roman"/>
          <w:color w:val="0D0D0D"/>
          <w:sz w:val="20"/>
          <w:szCs w:val="20"/>
          <w:lang w:val="en-GB" w:eastAsia="en-GB"/>
        </w:rPr>
        <w:t>, 128935. </w:t>
      </w:r>
      <w:hyperlink r:id="rId69" w:tgtFrame="_blank" w:history="1">
        <w:r w:rsidRPr="007146C1">
          <w:rPr>
            <w:rFonts w:ascii="Times New Roman" w:eastAsia="Times New Roman" w:hAnsi="Times New Roman" w:cs="Times New Roman"/>
            <w:color w:val="0D0D0D"/>
            <w:sz w:val="20"/>
            <w:szCs w:val="20"/>
            <w:lang w:val="en-GB" w:eastAsia="en-GB"/>
          </w:rPr>
          <w:t>https://doi.org/10.1016/j.jclepro.2021.128935</w:t>
        </w:r>
      </w:hyperlink>
    </w:p>
    <w:p w14:paraId="05AFE08F" w14:textId="77777777" w:rsidR="007146C1" w:rsidRPr="007146C1" w:rsidRDefault="007146C1" w:rsidP="007146C1">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lastRenderedPageBreak/>
        <w:t xml:space="preserve">Zhao, Y., Pohl, O., Bhatt, A. I., Collis, G. E., Mahon, P. J., </w:t>
      </w:r>
      <w:proofErr w:type="spellStart"/>
      <w:r w:rsidRPr="007146C1">
        <w:rPr>
          <w:rFonts w:ascii="Times New Roman" w:eastAsia="Times New Roman" w:hAnsi="Times New Roman" w:cs="Times New Roman"/>
          <w:color w:val="0D0D0D"/>
          <w:sz w:val="20"/>
          <w:szCs w:val="20"/>
          <w:lang w:val="en-GB" w:eastAsia="en-GB"/>
        </w:rPr>
        <w:t>Rüther</w:t>
      </w:r>
      <w:proofErr w:type="spellEnd"/>
      <w:r w:rsidRPr="007146C1">
        <w:rPr>
          <w:rFonts w:ascii="Times New Roman" w:eastAsia="Times New Roman" w:hAnsi="Times New Roman" w:cs="Times New Roman"/>
          <w:color w:val="0D0D0D"/>
          <w:sz w:val="20"/>
          <w:szCs w:val="20"/>
          <w:lang w:val="en-GB" w:eastAsia="en-GB"/>
        </w:rPr>
        <w:t>, T., &amp; Hollenkamp, A. F. (2021). A Review on Battery Market Trends, Second-Life Reuse, and Recycling. </w:t>
      </w:r>
      <w:r w:rsidRPr="007146C1">
        <w:rPr>
          <w:rFonts w:ascii="Times New Roman" w:eastAsia="Times New Roman" w:hAnsi="Times New Roman" w:cs="Times New Roman"/>
          <w:i/>
          <w:iCs/>
          <w:color w:val="0D0D0D"/>
          <w:sz w:val="20"/>
          <w:szCs w:val="20"/>
          <w:lang w:val="en-GB" w:eastAsia="en-GB"/>
        </w:rPr>
        <w:t>Sustainable Chemistry</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2</w:t>
      </w:r>
      <w:r w:rsidRPr="007146C1">
        <w:rPr>
          <w:rFonts w:ascii="Times New Roman" w:eastAsia="Times New Roman" w:hAnsi="Times New Roman" w:cs="Times New Roman"/>
          <w:color w:val="0D0D0D"/>
          <w:sz w:val="20"/>
          <w:szCs w:val="20"/>
          <w:lang w:val="en-GB" w:eastAsia="en-GB"/>
        </w:rPr>
        <w:t>(1), 167-205. </w:t>
      </w:r>
      <w:hyperlink r:id="rId70" w:tgtFrame="_blank" w:history="1">
        <w:r w:rsidRPr="007146C1">
          <w:rPr>
            <w:rFonts w:ascii="Times New Roman" w:eastAsia="Times New Roman" w:hAnsi="Times New Roman" w:cs="Times New Roman"/>
            <w:color w:val="0D0D0D"/>
            <w:sz w:val="20"/>
            <w:szCs w:val="20"/>
            <w:lang w:val="en-GB" w:eastAsia="en-GB"/>
          </w:rPr>
          <w:t>https://doi.org/10.3390/suschem2010011</w:t>
        </w:r>
      </w:hyperlink>
    </w:p>
    <w:p w14:paraId="2E635306" w14:textId="351ED0DA" w:rsidR="00CD3A89" w:rsidRPr="00F843BF" w:rsidRDefault="007146C1" w:rsidP="00F843BF">
      <w:pPr>
        <w:shd w:val="clear" w:color="auto" w:fill="FFFFFF"/>
        <w:spacing w:after="0" w:line="240" w:lineRule="auto"/>
        <w:ind w:left="540" w:hanging="540"/>
        <w:jc w:val="both"/>
        <w:rPr>
          <w:rFonts w:ascii="Times New Roman" w:eastAsia="Times New Roman" w:hAnsi="Times New Roman" w:cs="Times New Roman"/>
          <w:color w:val="0D0D0D"/>
          <w:sz w:val="20"/>
          <w:szCs w:val="20"/>
          <w:lang w:val="en-GB" w:eastAsia="en-GB"/>
        </w:rPr>
      </w:pPr>
      <w:r w:rsidRPr="007146C1">
        <w:rPr>
          <w:rFonts w:ascii="Times New Roman" w:eastAsia="Times New Roman" w:hAnsi="Times New Roman" w:cs="Times New Roman"/>
          <w:color w:val="0D0D0D"/>
          <w:sz w:val="20"/>
          <w:szCs w:val="20"/>
          <w:lang w:val="en-GB" w:eastAsia="en-GB"/>
        </w:rPr>
        <w:t xml:space="preserve">Zhu, J., Mathews, I., Ren, D., Li, W., Cogswell, D. A., Xing, B., Sedlatschek, T., </w:t>
      </w:r>
      <w:proofErr w:type="spellStart"/>
      <w:r w:rsidRPr="007146C1">
        <w:rPr>
          <w:rFonts w:ascii="Times New Roman" w:eastAsia="Times New Roman" w:hAnsi="Times New Roman" w:cs="Times New Roman"/>
          <w:color w:val="0D0D0D"/>
          <w:sz w:val="20"/>
          <w:szCs w:val="20"/>
          <w:lang w:val="en-GB" w:eastAsia="en-GB"/>
        </w:rPr>
        <w:t>Kantareddy</w:t>
      </w:r>
      <w:proofErr w:type="spellEnd"/>
      <w:r w:rsidRPr="007146C1">
        <w:rPr>
          <w:rFonts w:ascii="Times New Roman" w:eastAsia="Times New Roman" w:hAnsi="Times New Roman" w:cs="Times New Roman"/>
          <w:color w:val="0D0D0D"/>
          <w:sz w:val="20"/>
          <w:szCs w:val="20"/>
          <w:lang w:val="en-GB" w:eastAsia="en-GB"/>
        </w:rPr>
        <w:t>, S. N. R., Yi, M., Gao, T., Xia, Y., Zhou, Q., Wierzbicki, T., &amp; Bazant, M. Z. (2021). End-of-life or second-life options for retired electric vehicle batteries. </w:t>
      </w:r>
      <w:r w:rsidRPr="007146C1">
        <w:rPr>
          <w:rFonts w:ascii="Times New Roman" w:eastAsia="Times New Roman" w:hAnsi="Times New Roman" w:cs="Times New Roman"/>
          <w:i/>
          <w:iCs/>
          <w:color w:val="0D0D0D"/>
          <w:sz w:val="20"/>
          <w:szCs w:val="20"/>
          <w:lang w:val="en-GB" w:eastAsia="en-GB"/>
        </w:rPr>
        <w:t>Cell Reports Physical Science</w:t>
      </w:r>
      <w:r w:rsidRPr="007146C1">
        <w:rPr>
          <w:rFonts w:ascii="Times New Roman" w:eastAsia="Times New Roman" w:hAnsi="Times New Roman" w:cs="Times New Roman"/>
          <w:color w:val="0D0D0D"/>
          <w:sz w:val="20"/>
          <w:szCs w:val="20"/>
          <w:lang w:val="en-GB" w:eastAsia="en-GB"/>
        </w:rPr>
        <w:t>, </w:t>
      </w:r>
      <w:r w:rsidRPr="007146C1">
        <w:rPr>
          <w:rFonts w:ascii="Times New Roman" w:eastAsia="Times New Roman" w:hAnsi="Times New Roman" w:cs="Times New Roman"/>
          <w:i/>
          <w:iCs/>
          <w:color w:val="0D0D0D"/>
          <w:sz w:val="20"/>
          <w:szCs w:val="20"/>
          <w:lang w:val="en-GB" w:eastAsia="en-GB"/>
        </w:rPr>
        <w:t>2</w:t>
      </w:r>
      <w:r w:rsidRPr="007146C1">
        <w:rPr>
          <w:rFonts w:ascii="Times New Roman" w:eastAsia="Times New Roman" w:hAnsi="Times New Roman" w:cs="Times New Roman"/>
          <w:color w:val="0D0D0D"/>
          <w:sz w:val="20"/>
          <w:szCs w:val="20"/>
          <w:lang w:val="en-GB" w:eastAsia="en-GB"/>
        </w:rPr>
        <w:t>(8), 100537. </w:t>
      </w:r>
      <w:hyperlink r:id="rId71" w:tgtFrame="_blank" w:history="1">
        <w:r w:rsidRPr="007146C1">
          <w:rPr>
            <w:rFonts w:ascii="Times New Roman" w:eastAsia="Times New Roman" w:hAnsi="Times New Roman" w:cs="Times New Roman"/>
            <w:color w:val="0D0D0D"/>
            <w:sz w:val="20"/>
            <w:szCs w:val="20"/>
            <w:lang w:val="en-GB" w:eastAsia="en-GB"/>
          </w:rPr>
          <w:t>https://doi.org/10.1016/j.xcrp.2021.100537</w:t>
        </w:r>
      </w:hyperlink>
      <w:r w:rsidR="00BD060A" w:rsidRPr="00FF6C3B">
        <w:rPr>
          <w:rFonts w:ascii="Times New Roman" w:hAnsi="Times New Roman" w:cs="Times New Roman"/>
        </w:rPr>
        <w:t xml:space="preserve"> </w:t>
      </w:r>
    </w:p>
    <w:sectPr w:rsidR="00CD3A89" w:rsidRPr="00F843BF" w:rsidSect="009F05A1">
      <w:headerReference w:type="even" r:id="rId72"/>
      <w:headerReference w:type="default" r:id="rId73"/>
      <w:footerReference w:type="default" r:id="rId74"/>
      <w:headerReference w:type="first" r:id="rId75"/>
      <w:footerReference w:type="first" r:id="rId76"/>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187E8" w14:textId="77777777" w:rsidR="006E4437" w:rsidRDefault="006E4437" w:rsidP="00CD3A89">
      <w:pPr>
        <w:spacing w:after="0" w:line="240" w:lineRule="auto"/>
      </w:pPr>
      <w:r>
        <w:separator/>
      </w:r>
    </w:p>
  </w:endnote>
  <w:endnote w:type="continuationSeparator" w:id="0">
    <w:p w14:paraId="78645832" w14:textId="77777777" w:rsidR="006E4437" w:rsidRDefault="006E4437"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8593113"/>
      <w:docPartObj>
        <w:docPartGallery w:val="Page Numbers (Bottom of Page)"/>
        <w:docPartUnique/>
      </w:docPartObj>
    </w:sdtPr>
    <w:sdtEndPr/>
    <w:sdtContent>
      <w:p w14:paraId="140C1D93" w14:textId="77777777" w:rsidR="00F6450F" w:rsidRPr="00F30965" w:rsidRDefault="00F6450F">
        <w:pPr>
          <w:pStyle w:val="Footer"/>
          <w:jc w:val="center"/>
          <w:rPr>
            <w:rFonts w:ascii="Times New Roman" w:hAnsi="Times New Roman" w:cs="Times New Roman"/>
            <w:sz w:val="28"/>
          </w:rPr>
        </w:pPr>
      </w:p>
      <w:p w14:paraId="2FD73DBC" w14:textId="77777777" w:rsidR="00263AE4" w:rsidRPr="00F30965" w:rsidRDefault="0053347B">
        <w:pPr>
          <w:pStyle w:val="Footer"/>
          <w:jc w:val="center"/>
          <w:rPr>
            <w:rFonts w:ascii="Times New Roman" w:hAnsi="Times New Roman" w:cs="Times New Roman"/>
            <w:sz w:val="20"/>
          </w:rPr>
        </w:pPr>
        <w:r w:rsidRPr="00F30965">
          <w:rPr>
            <w:rFonts w:ascii="Times New Roman" w:hAnsi="Times New Roman" w:cs="Times New Roman"/>
            <w:sz w:val="20"/>
          </w:rPr>
          <w:fldChar w:fldCharType="begin"/>
        </w:r>
        <w:r w:rsidR="00A22248" w:rsidRPr="00F30965">
          <w:rPr>
            <w:rFonts w:ascii="Times New Roman" w:hAnsi="Times New Roman" w:cs="Times New Roman"/>
            <w:sz w:val="20"/>
          </w:rPr>
          <w:instrText xml:space="preserve"> PAGE   \* MERGEFORMAT </w:instrText>
        </w:r>
        <w:r w:rsidRPr="00F30965">
          <w:rPr>
            <w:rFonts w:ascii="Times New Roman" w:hAnsi="Times New Roman" w:cs="Times New Roman"/>
            <w:sz w:val="20"/>
          </w:rPr>
          <w:fldChar w:fldCharType="separate"/>
        </w:r>
        <w:r w:rsidR="0057117F" w:rsidRPr="00F30965">
          <w:rPr>
            <w:rFonts w:ascii="Times New Roman" w:hAnsi="Times New Roman" w:cs="Times New Roman"/>
            <w:noProof/>
            <w:sz w:val="20"/>
          </w:rPr>
          <w:t>10</w:t>
        </w:r>
        <w:r w:rsidRPr="00F30965">
          <w:rPr>
            <w:rFonts w:ascii="Times New Roman" w:hAnsi="Times New Roman" w:cs="Times New Roman"/>
            <w:sz w:val="20"/>
          </w:rPr>
          <w:fldChar w:fldCharType="end"/>
        </w:r>
      </w:p>
      <w:p w14:paraId="6F682B03" w14:textId="77777777" w:rsidR="00485F13" w:rsidRPr="00F30965" w:rsidRDefault="006E4437">
        <w:pPr>
          <w:pStyle w:val="Footer"/>
          <w:jc w:val="center"/>
          <w:rPr>
            <w:rFonts w:ascii="Times New Roman" w:hAnsi="Times New Roman" w:cs="Times New Roman"/>
            <w:sz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584AA" w14:textId="77777777" w:rsidR="002C371D" w:rsidRPr="00F30965" w:rsidRDefault="002C371D" w:rsidP="002C371D">
    <w:pPr>
      <w:pStyle w:val="Footer"/>
      <w:jc w:val="both"/>
      <w:rPr>
        <w:rFonts w:ascii="Times New Roman" w:hAnsi="Times New Roman" w:cs="Times New Roman"/>
        <w:i/>
        <w:sz w:val="16"/>
      </w:rPr>
    </w:pPr>
  </w:p>
  <w:p w14:paraId="24947C7B" w14:textId="77777777" w:rsidR="003F5286" w:rsidRPr="00F30965" w:rsidRDefault="003F5286" w:rsidP="002C371D">
    <w:pPr>
      <w:pStyle w:val="Footer"/>
      <w:jc w:val="both"/>
      <w:rPr>
        <w:rFonts w:ascii="Times New Roman" w:hAnsi="Times New Roman" w:cs="Times New Roman"/>
        <w:i/>
        <w:sz w:val="16"/>
      </w:rPr>
    </w:pPr>
  </w:p>
  <w:p w14:paraId="29A6A18A" w14:textId="0AD37FB0" w:rsidR="00C531FA" w:rsidRPr="00F30965" w:rsidRDefault="00C531FA" w:rsidP="00E72385">
    <w:pPr>
      <w:spacing w:after="0" w:line="240" w:lineRule="auto"/>
      <w:jc w:val="both"/>
      <w:rPr>
        <w:rFonts w:ascii="Times New Roman" w:eastAsia="Times New Roman" w:hAnsi="Times New Roman" w:cs="Times New Roman"/>
        <w:i/>
        <w:sz w:val="16"/>
        <w:szCs w:val="20"/>
      </w:rPr>
    </w:pPr>
  </w:p>
  <w:p w14:paraId="788FF469" w14:textId="77777777" w:rsidR="00CD3A89" w:rsidRPr="00F30965" w:rsidRDefault="00CD3A89">
    <w:pPr>
      <w:pStyle w:val="Footer"/>
      <w:rPr>
        <w:rFonts w:ascii="Times New Roman" w:hAnsi="Times New Roman" w:cs="Times New Roman"/>
        <w:sz w:val="20"/>
      </w:rPr>
    </w:pPr>
  </w:p>
  <w:p w14:paraId="45A052B6" w14:textId="77777777" w:rsidR="00490A64" w:rsidRPr="00F30965" w:rsidRDefault="00490A64">
    <w:pPr>
      <w:pStyle w:val="Footer"/>
      <w:rPr>
        <w:rFonts w:ascii="Times New Roman" w:hAnsi="Times New Roman"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1E46D" w14:textId="77777777" w:rsidR="006E4437" w:rsidRDefault="006E4437" w:rsidP="00CD3A89">
      <w:pPr>
        <w:spacing w:after="0" w:line="240" w:lineRule="auto"/>
      </w:pPr>
      <w:r>
        <w:separator/>
      </w:r>
    </w:p>
  </w:footnote>
  <w:footnote w:type="continuationSeparator" w:id="0">
    <w:p w14:paraId="07199EAF" w14:textId="77777777" w:rsidR="006E4437" w:rsidRDefault="006E4437"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3B5B" w14:textId="3FC5DE3E" w:rsidR="004D7326" w:rsidRDefault="006E4437">
    <w:pPr>
      <w:pStyle w:val="Header"/>
    </w:pPr>
    <w:r>
      <w:rPr>
        <w:noProof/>
      </w:rPr>
      <w:pict w14:anchorId="478B2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2438" o:spid="_x0000_s1026"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93F89" w14:textId="71CD5B14" w:rsidR="00171FBC" w:rsidRPr="00F30965" w:rsidRDefault="006E4437" w:rsidP="00171FBC">
    <w:pPr>
      <w:tabs>
        <w:tab w:val="center" w:pos="4320"/>
        <w:tab w:val="right" w:pos="8640"/>
      </w:tabs>
      <w:spacing w:after="0" w:line="240" w:lineRule="auto"/>
      <w:jc w:val="right"/>
      <w:rPr>
        <w:rFonts w:ascii="Times New Roman" w:eastAsia="Times New Roman" w:hAnsi="Times New Roman" w:cs="Times New Roman"/>
        <w:i/>
        <w:sz w:val="16"/>
        <w:szCs w:val="20"/>
        <w:highlight w:val="yellow"/>
      </w:rPr>
    </w:pPr>
    <w:r>
      <w:rPr>
        <w:noProof/>
      </w:rPr>
      <w:pict w14:anchorId="07917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2439" o:spid="_x0000_s1027"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p w14:paraId="1967310E" w14:textId="77777777" w:rsidR="00171FBC" w:rsidRPr="00F30965" w:rsidRDefault="00171FBC" w:rsidP="00171FBC">
    <w:pPr>
      <w:tabs>
        <w:tab w:val="center" w:pos="4320"/>
        <w:tab w:val="right" w:pos="8640"/>
      </w:tabs>
      <w:spacing w:after="0" w:line="240" w:lineRule="auto"/>
      <w:jc w:val="right"/>
      <w:rPr>
        <w:rFonts w:ascii="Times New Roman" w:eastAsia="Times New Roman" w:hAnsi="Times New Roman" w:cs="Times New Roman"/>
        <w:i/>
        <w:sz w:val="16"/>
        <w:szCs w:val="20"/>
        <w:highlight w:val="yellow"/>
      </w:rPr>
    </w:pPr>
  </w:p>
  <w:p w14:paraId="26D1A81A" w14:textId="77777777" w:rsidR="00171FBC" w:rsidRPr="00F30965" w:rsidRDefault="00171FBC" w:rsidP="00171FBC">
    <w:pPr>
      <w:tabs>
        <w:tab w:val="center" w:pos="4320"/>
        <w:tab w:val="right" w:pos="8640"/>
      </w:tabs>
      <w:spacing w:after="0" w:line="240" w:lineRule="auto"/>
      <w:jc w:val="right"/>
      <w:rPr>
        <w:rFonts w:ascii="Times New Roman" w:eastAsia="Times New Roman" w:hAnsi="Times New Roman" w:cs="Times New Roman"/>
        <w:i/>
        <w:sz w:val="16"/>
        <w:szCs w:val="20"/>
        <w:highlight w:val="yellow"/>
      </w:rPr>
    </w:pPr>
  </w:p>
  <w:p w14:paraId="542AA1E5" w14:textId="77777777" w:rsidR="00171FBC" w:rsidRPr="00F30965" w:rsidRDefault="00171FBC" w:rsidP="00171FBC">
    <w:pPr>
      <w:tabs>
        <w:tab w:val="center" w:pos="4320"/>
        <w:tab w:val="right" w:pos="8640"/>
      </w:tabs>
      <w:spacing w:after="0" w:line="240" w:lineRule="auto"/>
      <w:jc w:val="right"/>
      <w:rPr>
        <w:rFonts w:ascii="Times New Roman" w:eastAsia="Times New Roman" w:hAnsi="Times New Roman" w:cs="Times New Roman"/>
        <w:i/>
        <w:sz w:val="16"/>
        <w:szCs w:val="20"/>
        <w:highlight w:val="yellow"/>
      </w:rPr>
    </w:pPr>
  </w:p>
  <w:p w14:paraId="0291ADBB" w14:textId="16A0161A" w:rsidR="00171FBC" w:rsidRPr="00F30965" w:rsidRDefault="00171FBC" w:rsidP="00171FBC">
    <w:pPr>
      <w:tabs>
        <w:tab w:val="center" w:pos="4320"/>
        <w:tab w:val="right" w:pos="8640"/>
      </w:tabs>
      <w:spacing w:after="0" w:line="240" w:lineRule="auto"/>
      <w:jc w:val="right"/>
      <w:rPr>
        <w:rFonts w:ascii="Times New Roman" w:eastAsia="Times New Roman" w:hAnsi="Times New Roman" w:cs="Times New Roman"/>
        <w:i/>
        <w:sz w:val="16"/>
        <w:szCs w:val="20"/>
      </w:rPr>
    </w:pPr>
  </w:p>
  <w:p w14:paraId="29C282C0" w14:textId="77777777" w:rsidR="00974577" w:rsidRPr="00F30965" w:rsidRDefault="00974577" w:rsidP="00171FBC">
    <w:pPr>
      <w:tabs>
        <w:tab w:val="center" w:pos="4320"/>
        <w:tab w:val="right" w:pos="8640"/>
      </w:tabs>
      <w:spacing w:after="0" w:line="240" w:lineRule="auto"/>
      <w:jc w:val="right"/>
      <w:rPr>
        <w:rFonts w:ascii="Times New Roman" w:eastAsia="Times New Roman" w:hAnsi="Times New Roman" w:cs="Times New Roman"/>
        <w:i/>
        <w:sz w:val="16"/>
        <w:szCs w:val="20"/>
      </w:rPr>
    </w:pPr>
  </w:p>
  <w:p w14:paraId="261ED2DA" w14:textId="77777777" w:rsidR="00171FBC" w:rsidRPr="00F30965" w:rsidRDefault="00171FBC" w:rsidP="00171FBC">
    <w:pPr>
      <w:tabs>
        <w:tab w:val="center" w:pos="4320"/>
        <w:tab w:val="right" w:pos="8640"/>
      </w:tabs>
      <w:spacing w:after="0" w:line="240" w:lineRule="auto"/>
      <w:jc w:val="right"/>
      <w:rPr>
        <w:rFonts w:ascii="Times New Roman" w:hAnsi="Times New Roman" w:cs="Times New Roman"/>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6E13F" w14:textId="74299DB0" w:rsidR="004D7326" w:rsidRDefault="006E4437">
    <w:pPr>
      <w:pStyle w:val="Header"/>
    </w:pPr>
    <w:r>
      <w:rPr>
        <w:noProof/>
      </w:rPr>
      <w:pict w14:anchorId="27C96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2437" o:spid="_x0000_s1025"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57CB"/>
    <w:multiLevelType w:val="multilevel"/>
    <w:tmpl w:val="A5CC345E"/>
    <w:lvl w:ilvl="0">
      <w:start w:val="3"/>
      <w:numFmt w:val="decimal"/>
      <w:lvlText w:val="%1"/>
      <w:lvlJc w:val="left"/>
      <w:pPr>
        <w:ind w:left="360" w:hanging="360"/>
      </w:pPr>
      <w:rPr>
        <w:rFonts w:eastAsiaTheme="minorHAnsi" w:hint="default"/>
      </w:rPr>
    </w:lvl>
    <w:lvl w:ilvl="1">
      <w:start w:val="1"/>
      <w:numFmt w:val="decimal"/>
      <w:lvlText w:val="%1.%2"/>
      <w:lvlJc w:val="left"/>
      <w:pPr>
        <w:ind w:left="502" w:hanging="360"/>
      </w:pPr>
      <w:rPr>
        <w:rFonts w:eastAsiaTheme="minorHAnsi" w:hint="default"/>
      </w:rPr>
    </w:lvl>
    <w:lvl w:ilvl="2">
      <w:start w:val="1"/>
      <w:numFmt w:val="decimal"/>
      <w:lvlText w:val="%1.%2.%3"/>
      <w:lvlJc w:val="left"/>
      <w:pPr>
        <w:ind w:left="1004" w:hanging="720"/>
      </w:pPr>
      <w:rPr>
        <w:rFonts w:eastAsiaTheme="minorHAnsi" w:hint="default"/>
      </w:rPr>
    </w:lvl>
    <w:lvl w:ilvl="3">
      <w:start w:val="1"/>
      <w:numFmt w:val="decimal"/>
      <w:lvlText w:val="%1.%2.%3.%4"/>
      <w:lvlJc w:val="left"/>
      <w:pPr>
        <w:ind w:left="1146" w:hanging="720"/>
      </w:pPr>
      <w:rPr>
        <w:rFonts w:eastAsiaTheme="minorHAnsi" w:hint="default"/>
      </w:rPr>
    </w:lvl>
    <w:lvl w:ilvl="4">
      <w:start w:val="1"/>
      <w:numFmt w:val="decimal"/>
      <w:lvlText w:val="%1.%2.%3.%4.%5"/>
      <w:lvlJc w:val="left"/>
      <w:pPr>
        <w:ind w:left="1648" w:hanging="1080"/>
      </w:pPr>
      <w:rPr>
        <w:rFonts w:eastAsiaTheme="minorHAnsi" w:hint="default"/>
      </w:rPr>
    </w:lvl>
    <w:lvl w:ilvl="5">
      <w:start w:val="1"/>
      <w:numFmt w:val="decimal"/>
      <w:lvlText w:val="%1.%2.%3.%4.%5.%6"/>
      <w:lvlJc w:val="left"/>
      <w:pPr>
        <w:ind w:left="1790" w:hanging="1080"/>
      </w:pPr>
      <w:rPr>
        <w:rFonts w:eastAsiaTheme="minorHAnsi" w:hint="default"/>
      </w:rPr>
    </w:lvl>
    <w:lvl w:ilvl="6">
      <w:start w:val="1"/>
      <w:numFmt w:val="decimal"/>
      <w:lvlText w:val="%1.%2.%3.%4.%5.%6.%7"/>
      <w:lvlJc w:val="left"/>
      <w:pPr>
        <w:ind w:left="2292" w:hanging="1440"/>
      </w:pPr>
      <w:rPr>
        <w:rFonts w:eastAsiaTheme="minorHAnsi" w:hint="default"/>
      </w:rPr>
    </w:lvl>
    <w:lvl w:ilvl="7">
      <w:start w:val="1"/>
      <w:numFmt w:val="decimal"/>
      <w:lvlText w:val="%1.%2.%3.%4.%5.%6.%7.%8"/>
      <w:lvlJc w:val="left"/>
      <w:pPr>
        <w:ind w:left="2434" w:hanging="1440"/>
      </w:pPr>
      <w:rPr>
        <w:rFonts w:eastAsiaTheme="minorHAnsi" w:hint="default"/>
      </w:rPr>
    </w:lvl>
    <w:lvl w:ilvl="8">
      <w:start w:val="1"/>
      <w:numFmt w:val="decimal"/>
      <w:lvlText w:val="%1.%2.%3.%4.%5.%6.%7.%8.%9"/>
      <w:lvlJc w:val="left"/>
      <w:pPr>
        <w:ind w:left="2936" w:hanging="1800"/>
      </w:pPr>
      <w:rPr>
        <w:rFonts w:eastAsiaTheme="minorHAnsi" w:hint="default"/>
      </w:rPr>
    </w:lvl>
  </w:abstractNum>
  <w:abstractNum w:abstractNumId="1" w15:restartNumberingAfterBreak="0">
    <w:nsid w:val="142C1C41"/>
    <w:multiLevelType w:val="multilevel"/>
    <w:tmpl w:val="2466ADA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1D1815"/>
    <w:multiLevelType w:val="multilevel"/>
    <w:tmpl w:val="2DF8DDB4"/>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EE5628E"/>
    <w:multiLevelType w:val="hybridMultilevel"/>
    <w:tmpl w:val="C250F5C6"/>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6E532B"/>
    <w:multiLevelType w:val="multilevel"/>
    <w:tmpl w:val="D6EC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465846"/>
    <w:multiLevelType w:val="multilevel"/>
    <w:tmpl w:val="9AAA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557418"/>
    <w:multiLevelType w:val="multilevel"/>
    <w:tmpl w:val="0BB4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4A6326"/>
    <w:multiLevelType w:val="hybridMultilevel"/>
    <w:tmpl w:val="47BA3B26"/>
    <w:lvl w:ilvl="0" w:tplc="99303784">
      <w:start w:val="1"/>
      <w:numFmt w:val="decimal"/>
      <w:lvlText w:val="%1."/>
      <w:lvlJc w:val="left"/>
      <w:pPr>
        <w:ind w:left="0" w:hanging="72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8" w15:restartNumberingAfterBreak="0">
    <w:nsid w:val="4A235B14"/>
    <w:multiLevelType w:val="multilevel"/>
    <w:tmpl w:val="B1D4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F2B21"/>
    <w:multiLevelType w:val="multilevel"/>
    <w:tmpl w:val="9044E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8B6F56"/>
    <w:multiLevelType w:val="hybridMultilevel"/>
    <w:tmpl w:val="F86AA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620EEC"/>
    <w:multiLevelType w:val="multilevel"/>
    <w:tmpl w:val="1ED0884E"/>
    <w:lvl w:ilvl="0">
      <w:start w:val="1"/>
      <w:numFmt w:val="decimal"/>
      <w:lvlText w:val="%1."/>
      <w:lvlJc w:val="left"/>
      <w:pPr>
        <w:ind w:left="502"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C756034"/>
    <w:multiLevelType w:val="multilevel"/>
    <w:tmpl w:val="CB449A20"/>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18841015">
    <w:abstractNumId w:val="11"/>
  </w:num>
  <w:num w:numId="2" w16cid:durableId="428426418">
    <w:abstractNumId w:val="12"/>
  </w:num>
  <w:num w:numId="3" w16cid:durableId="1291594459">
    <w:abstractNumId w:val="5"/>
  </w:num>
  <w:num w:numId="4" w16cid:durableId="326522020">
    <w:abstractNumId w:val="8"/>
  </w:num>
  <w:num w:numId="5" w16cid:durableId="1311396812">
    <w:abstractNumId w:val="4"/>
  </w:num>
  <w:num w:numId="6" w16cid:durableId="778765780">
    <w:abstractNumId w:val="0"/>
  </w:num>
  <w:num w:numId="7" w16cid:durableId="270279284">
    <w:abstractNumId w:val="9"/>
  </w:num>
  <w:num w:numId="8" w16cid:durableId="173541808">
    <w:abstractNumId w:val="6"/>
  </w:num>
  <w:num w:numId="9" w16cid:durableId="1272055359">
    <w:abstractNumId w:val="1"/>
  </w:num>
  <w:num w:numId="10" w16cid:durableId="2056194557">
    <w:abstractNumId w:val="3"/>
  </w:num>
  <w:num w:numId="11" w16cid:durableId="538057381">
    <w:abstractNumId w:val="13"/>
  </w:num>
  <w:num w:numId="12" w16cid:durableId="1908344307">
    <w:abstractNumId w:val="2"/>
  </w:num>
  <w:num w:numId="13" w16cid:durableId="19822932">
    <w:abstractNumId w:val="10"/>
  </w:num>
  <w:num w:numId="14" w16cid:durableId="14916754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3266"/>
    <w:rsid w:val="000017B5"/>
    <w:rsid w:val="000140EA"/>
    <w:rsid w:val="00016E7C"/>
    <w:rsid w:val="00021F14"/>
    <w:rsid w:val="00022490"/>
    <w:rsid w:val="000226DD"/>
    <w:rsid w:val="00035990"/>
    <w:rsid w:val="000372DB"/>
    <w:rsid w:val="00041716"/>
    <w:rsid w:val="000426C2"/>
    <w:rsid w:val="00055C41"/>
    <w:rsid w:val="0005761D"/>
    <w:rsid w:val="00071C44"/>
    <w:rsid w:val="00071F1E"/>
    <w:rsid w:val="0009475D"/>
    <w:rsid w:val="00095AC7"/>
    <w:rsid w:val="000A2031"/>
    <w:rsid w:val="000A3D90"/>
    <w:rsid w:val="000B3587"/>
    <w:rsid w:val="000B4382"/>
    <w:rsid w:val="000B5344"/>
    <w:rsid w:val="000C2408"/>
    <w:rsid w:val="000D1EDB"/>
    <w:rsid w:val="000D25DB"/>
    <w:rsid w:val="000E4CE3"/>
    <w:rsid w:val="000F1B90"/>
    <w:rsid w:val="001004BF"/>
    <w:rsid w:val="00100B40"/>
    <w:rsid w:val="00100E8D"/>
    <w:rsid w:val="0010611F"/>
    <w:rsid w:val="00107AEE"/>
    <w:rsid w:val="001134C7"/>
    <w:rsid w:val="00117338"/>
    <w:rsid w:val="00117484"/>
    <w:rsid w:val="001248F3"/>
    <w:rsid w:val="00124A37"/>
    <w:rsid w:val="00124EFB"/>
    <w:rsid w:val="0013012E"/>
    <w:rsid w:val="0014561B"/>
    <w:rsid w:val="001458EB"/>
    <w:rsid w:val="00150CE4"/>
    <w:rsid w:val="001539D2"/>
    <w:rsid w:val="001635C1"/>
    <w:rsid w:val="0016540A"/>
    <w:rsid w:val="00171FBC"/>
    <w:rsid w:val="00173BAF"/>
    <w:rsid w:val="00190C2D"/>
    <w:rsid w:val="001A4A55"/>
    <w:rsid w:val="001A69A3"/>
    <w:rsid w:val="001B111C"/>
    <w:rsid w:val="001D00F5"/>
    <w:rsid w:val="001D36C2"/>
    <w:rsid w:val="001E0183"/>
    <w:rsid w:val="001E0D24"/>
    <w:rsid w:val="00205B59"/>
    <w:rsid w:val="0020686E"/>
    <w:rsid w:val="0021209B"/>
    <w:rsid w:val="00220A21"/>
    <w:rsid w:val="0022479D"/>
    <w:rsid w:val="00226CCD"/>
    <w:rsid w:val="0023656F"/>
    <w:rsid w:val="002367E7"/>
    <w:rsid w:val="00250135"/>
    <w:rsid w:val="002573C9"/>
    <w:rsid w:val="00260707"/>
    <w:rsid w:val="00263AE4"/>
    <w:rsid w:val="002721C6"/>
    <w:rsid w:val="002750C7"/>
    <w:rsid w:val="0028695F"/>
    <w:rsid w:val="002957AA"/>
    <w:rsid w:val="002972E2"/>
    <w:rsid w:val="00297CC0"/>
    <w:rsid w:val="002A041A"/>
    <w:rsid w:val="002A078A"/>
    <w:rsid w:val="002A4DDA"/>
    <w:rsid w:val="002A635B"/>
    <w:rsid w:val="002B02E7"/>
    <w:rsid w:val="002B5F8B"/>
    <w:rsid w:val="002C340E"/>
    <w:rsid w:val="002C371D"/>
    <w:rsid w:val="002C61CD"/>
    <w:rsid w:val="002C7DF4"/>
    <w:rsid w:val="002D274B"/>
    <w:rsid w:val="002D6E70"/>
    <w:rsid w:val="002E0378"/>
    <w:rsid w:val="002F4C95"/>
    <w:rsid w:val="00302872"/>
    <w:rsid w:val="0031517D"/>
    <w:rsid w:val="00332601"/>
    <w:rsid w:val="003349BB"/>
    <w:rsid w:val="00335947"/>
    <w:rsid w:val="00337CF5"/>
    <w:rsid w:val="0036282A"/>
    <w:rsid w:val="00363E11"/>
    <w:rsid w:val="00370C0D"/>
    <w:rsid w:val="00376494"/>
    <w:rsid w:val="00380ACB"/>
    <w:rsid w:val="003844E1"/>
    <w:rsid w:val="003A4B86"/>
    <w:rsid w:val="003B1444"/>
    <w:rsid w:val="003B2B85"/>
    <w:rsid w:val="003B30A2"/>
    <w:rsid w:val="003B4704"/>
    <w:rsid w:val="003C538B"/>
    <w:rsid w:val="003D0DD7"/>
    <w:rsid w:val="003D115B"/>
    <w:rsid w:val="003E073D"/>
    <w:rsid w:val="003F1D60"/>
    <w:rsid w:val="003F1EDC"/>
    <w:rsid w:val="003F305A"/>
    <w:rsid w:val="003F36EC"/>
    <w:rsid w:val="003F47A0"/>
    <w:rsid w:val="003F5286"/>
    <w:rsid w:val="003F78EF"/>
    <w:rsid w:val="00400222"/>
    <w:rsid w:val="00411761"/>
    <w:rsid w:val="00416F97"/>
    <w:rsid w:val="00417F1D"/>
    <w:rsid w:val="00424421"/>
    <w:rsid w:val="0043035E"/>
    <w:rsid w:val="004451FF"/>
    <w:rsid w:val="00452223"/>
    <w:rsid w:val="00454377"/>
    <w:rsid w:val="00455B14"/>
    <w:rsid w:val="004568B2"/>
    <w:rsid w:val="004573F9"/>
    <w:rsid w:val="004743E7"/>
    <w:rsid w:val="00485F13"/>
    <w:rsid w:val="0048681C"/>
    <w:rsid w:val="00490A64"/>
    <w:rsid w:val="0049515D"/>
    <w:rsid w:val="004B44AD"/>
    <w:rsid w:val="004B60EC"/>
    <w:rsid w:val="004C5D40"/>
    <w:rsid w:val="004D4F2E"/>
    <w:rsid w:val="004D6091"/>
    <w:rsid w:val="004D7326"/>
    <w:rsid w:val="004E094F"/>
    <w:rsid w:val="004F2706"/>
    <w:rsid w:val="005074B2"/>
    <w:rsid w:val="0050797C"/>
    <w:rsid w:val="0051528E"/>
    <w:rsid w:val="005219E5"/>
    <w:rsid w:val="00527592"/>
    <w:rsid w:val="0053347B"/>
    <w:rsid w:val="005357A7"/>
    <w:rsid w:val="00536BCB"/>
    <w:rsid w:val="00536BED"/>
    <w:rsid w:val="00550BA2"/>
    <w:rsid w:val="00562C90"/>
    <w:rsid w:val="00563841"/>
    <w:rsid w:val="0057117F"/>
    <w:rsid w:val="005722FD"/>
    <w:rsid w:val="005734C1"/>
    <w:rsid w:val="00573B5D"/>
    <w:rsid w:val="0058198B"/>
    <w:rsid w:val="00591F61"/>
    <w:rsid w:val="00592118"/>
    <w:rsid w:val="005965D1"/>
    <w:rsid w:val="005A1751"/>
    <w:rsid w:val="005C26C6"/>
    <w:rsid w:val="005C4957"/>
    <w:rsid w:val="005C5758"/>
    <w:rsid w:val="005C63EE"/>
    <w:rsid w:val="005D777F"/>
    <w:rsid w:val="005F13F4"/>
    <w:rsid w:val="005F46A4"/>
    <w:rsid w:val="00604FB0"/>
    <w:rsid w:val="00610F47"/>
    <w:rsid w:val="00612B95"/>
    <w:rsid w:val="00630AE8"/>
    <w:rsid w:val="00647361"/>
    <w:rsid w:val="006642C2"/>
    <w:rsid w:val="006738C1"/>
    <w:rsid w:val="00682F1A"/>
    <w:rsid w:val="006853A4"/>
    <w:rsid w:val="0068719D"/>
    <w:rsid w:val="006A2F45"/>
    <w:rsid w:val="006A374D"/>
    <w:rsid w:val="006A3FCB"/>
    <w:rsid w:val="006B60F9"/>
    <w:rsid w:val="006C5ABE"/>
    <w:rsid w:val="006C667C"/>
    <w:rsid w:val="006C7C39"/>
    <w:rsid w:val="006D0F78"/>
    <w:rsid w:val="006D422A"/>
    <w:rsid w:val="006D658B"/>
    <w:rsid w:val="006E4437"/>
    <w:rsid w:val="00700CB4"/>
    <w:rsid w:val="00703125"/>
    <w:rsid w:val="007146C1"/>
    <w:rsid w:val="00715502"/>
    <w:rsid w:val="00720A7E"/>
    <w:rsid w:val="00721737"/>
    <w:rsid w:val="007240A8"/>
    <w:rsid w:val="007323FC"/>
    <w:rsid w:val="007331C9"/>
    <w:rsid w:val="00734E32"/>
    <w:rsid w:val="007400C8"/>
    <w:rsid w:val="0074126F"/>
    <w:rsid w:val="0074590E"/>
    <w:rsid w:val="00747D62"/>
    <w:rsid w:val="007546D1"/>
    <w:rsid w:val="007622EE"/>
    <w:rsid w:val="0076390D"/>
    <w:rsid w:val="00766E2E"/>
    <w:rsid w:val="00770788"/>
    <w:rsid w:val="00775207"/>
    <w:rsid w:val="007775D5"/>
    <w:rsid w:val="007852CE"/>
    <w:rsid w:val="00785993"/>
    <w:rsid w:val="007A6925"/>
    <w:rsid w:val="007A74C1"/>
    <w:rsid w:val="007B380F"/>
    <w:rsid w:val="007B63EC"/>
    <w:rsid w:val="007C242B"/>
    <w:rsid w:val="007C49C7"/>
    <w:rsid w:val="007E02F8"/>
    <w:rsid w:val="007E0587"/>
    <w:rsid w:val="007E4345"/>
    <w:rsid w:val="007E4F54"/>
    <w:rsid w:val="007F0C03"/>
    <w:rsid w:val="007F504C"/>
    <w:rsid w:val="0080010F"/>
    <w:rsid w:val="00801B9C"/>
    <w:rsid w:val="00803CE6"/>
    <w:rsid w:val="00807ED0"/>
    <w:rsid w:val="00812548"/>
    <w:rsid w:val="008155A1"/>
    <w:rsid w:val="00817F0B"/>
    <w:rsid w:val="008334FA"/>
    <w:rsid w:val="00833821"/>
    <w:rsid w:val="00843678"/>
    <w:rsid w:val="00853DC1"/>
    <w:rsid w:val="0087010D"/>
    <w:rsid w:val="00871B85"/>
    <w:rsid w:val="00873867"/>
    <w:rsid w:val="00873A5C"/>
    <w:rsid w:val="008776D1"/>
    <w:rsid w:val="00890B0C"/>
    <w:rsid w:val="008917F2"/>
    <w:rsid w:val="008B2EF2"/>
    <w:rsid w:val="008C1E2B"/>
    <w:rsid w:val="008C3188"/>
    <w:rsid w:val="008C3497"/>
    <w:rsid w:val="008D6290"/>
    <w:rsid w:val="008D72FE"/>
    <w:rsid w:val="008F67E8"/>
    <w:rsid w:val="009110A9"/>
    <w:rsid w:val="00912D44"/>
    <w:rsid w:val="00914913"/>
    <w:rsid w:val="00930F25"/>
    <w:rsid w:val="009431AE"/>
    <w:rsid w:val="00945900"/>
    <w:rsid w:val="009461F2"/>
    <w:rsid w:val="00950F40"/>
    <w:rsid w:val="00951D84"/>
    <w:rsid w:val="00953210"/>
    <w:rsid w:val="00962251"/>
    <w:rsid w:val="00970D59"/>
    <w:rsid w:val="00974577"/>
    <w:rsid w:val="0098174A"/>
    <w:rsid w:val="00981B64"/>
    <w:rsid w:val="00982102"/>
    <w:rsid w:val="00982184"/>
    <w:rsid w:val="00984737"/>
    <w:rsid w:val="00984830"/>
    <w:rsid w:val="009B0B88"/>
    <w:rsid w:val="009C1509"/>
    <w:rsid w:val="009D24F9"/>
    <w:rsid w:val="009D4171"/>
    <w:rsid w:val="009D5065"/>
    <w:rsid w:val="009E1EFB"/>
    <w:rsid w:val="009E4DB1"/>
    <w:rsid w:val="009E5B17"/>
    <w:rsid w:val="009F05A1"/>
    <w:rsid w:val="009F3496"/>
    <w:rsid w:val="00A0172A"/>
    <w:rsid w:val="00A0275B"/>
    <w:rsid w:val="00A21828"/>
    <w:rsid w:val="00A22248"/>
    <w:rsid w:val="00A30A6F"/>
    <w:rsid w:val="00A324F0"/>
    <w:rsid w:val="00A45FAD"/>
    <w:rsid w:val="00A50F6D"/>
    <w:rsid w:val="00A5393A"/>
    <w:rsid w:val="00A552B3"/>
    <w:rsid w:val="00A5640A"/>
    <w:rsid w:val="00A61B2E"/>
    <w:rsid w:val="00A6662D"/>
    <w:rsid w:val="00A706F7"/>
    <w:rsid w:val="00A80AA8"/>
    <w:rsid w:val="00A8119A"/>
    <w:rsid w:val="00A90597"/>
    <w:rsid w:val="00A90DA5"/>
    <w:rsid w:val="00A91EF0"/>
    <w:rsid w:val="00AA0D41"/>
    <w:rsid w:val="00AA1973"/>
    <w:rsid w:val="00AB7D38"/>
    <w:rsid w:val="00AC3409"/>
    <w:rsid w:val="00AD2C4E"/>
    <w:rsid w:val="00AE1C1D"/>
    <w:rsid w:val="00AE2874"/>
    <w:rsid w:val="00AF47AA"/>
    <w:rsid w:val="00B15404"/>
    <w:rsid w:val="00B175CB"/>
    <w:rsid w:val="00B224B2"/>
    <w:rsid w:val="00B257EE"/>
    <w:rsid w:val="00B414F6"/>
    <w:rsid w:val="00B4162A"/>
    <w:rsid w:val="00B44CB3"/>
    <w:rsid w:val="00B55480"/>
    <w:rsid w:val="00B56DDF"/>
    <w:rsid w:val="00B57C4D"/>
    <w:rsid w:val="00B635EC"/>
    <w:rsid w:val="00B73072"/>
    <w:rsid w:val="00B75F26"/>
    <w:rsid w:val="00B7605E"/>
    <w:rsid w:val="00B843AE"/>
    <w:rsid w:val="00B8786D"/>
    <w:rsid w:val="00B950C8"/>
    <w:rsid w:val="00B976CC"/>
    <w:rsid w:val="00BA1088"/>
    <w:rsid w:val="00BB5A79"/>
    <w:rsid w:val="00BB5B87"/>
    <w:rsid w:val="00BC1F51"/>
    <w:rsid w:val="00BD060A"/>
    <w:rsid w:val="00BD5FA4"/>
    <w:rsid w:val="00BF5BC1"/>
    <w:rsid w:val="00C11417"/>
    <w:rsid w:val="00C13266"/>
    <w:rsid w:val="00C14909"/>
    <w:rsid w:val="00C24625"/>
    <w:rsid w:val="00C25EE8"/>
    <w:rsid w:val="00C27421"/>
    <w:rsid w:val="00C2794F"/>
    <w:rsid w:val="00C32323"/>
    <w:rsid w:val="00C333AF"/>
    <w:rsid w:val="00C47C47"/>
    <w:rsid w:val="00C531FA"/>
    <w:rsid w:val="00C56D42"/>
    <w:rsid w:val="00C650FF"/>
    <w:rsid w:val="00C8244C"/>
    <w:rsid w:val="00C972F4"/>
    <w:rsid w:val="00CB0A4D"/>
    <w:rsid w:val="00CB60C5"/>
    <w:rsid w:val="00CC5CE9"/>
    <w:rsid w:val="00CD3A89"/>
    <w:rsid w:val="00CD4AFC"/>
    <w:rsid w:val="00CD5E65"/>
    <w:rsid w:val="00CD670C"/>
    <w:rsid w:val="00CE1DE1"/>
    <w:rsid w:val="00CE3E7D"/>
    <w:rsid w:val="00CE736C"/>
    <w:rsid w:val="00CF722D"/>
    <w:rsid w:val="00D00543"/>
    <w:rsid w:val="00D06DFA"/>
    <w:rsid w:val="00D10AE9"/>
    <w:rsid w:val="00D10F19"/>
    <w:rsid w:val="00D13224"/>
    <w:rsid w:val="00D20C8C"/>
    <w:rsid w:val="00D210BB"/>
    <w:rsid w:val="00D31904"/>
    <w:rsid w:val="00D442ED"/>
    <w:rsid w:val="00D51808"/>
    <w:rsid w:val="00D52E20"/>
    <w:rsid w:val="00D541A9"/>
    <w:rsid w:val="00D56D7F"/>
    <w:rsid w:val="00D60317"/>
    <w:rsid w:val="00D61E1D"/>
    <w:rsid w:val="00D62D23"/>
    <w:rsid w:val="00D65A86"/>
    <w:rsid w:val="00D70799"/>
    <w:rsid w:val="00D720CF"/>
    <w:rsid w:val="00D73BEF"/>
    <w:rsid w:val="00D76E4A"/>
    <w:rsid w:val="00D851AD"/>
    <w:rsid w:val="00D931D5"/>
    <w:rsid w:val="00D96C36"/>
    <w:rsid w:val="00DA3942"/>
    <w:rsid w:val="00DA50EA"/>
    <w:rsid w:val="00DE5E5F"/>
    <w:rsid w:val="00E214BA"/>
    <w:rsid w:val="00E2233D"/>
    <w:rsid w:val="00E313E5"/>
    <w:rsid w:val="00E4312B"/>
    <w:rsid w:val="00E448E0"/>
    <w:rsid w:val="00E46D35"/>
    <w:rsid w:val="00E51A67"/>
    <w:rsid w:val="00E52F59"/>
    <w:rsid w:val="00E531CD"/>
    <w:rsid w:val="00E702F4"/>
    <w:rsid w:val="00E7093B"/>
    <w:rsid w:val="00E711FB"/>
    <w:rsid w:val="00E72385"/>
    <w:rsid w:val="00E724B4"/>
    <w:rsid w:val="00E73D8F"/>
    <w:rsid w:val="00E743C6"/>
    <w:rsid w:val="00E8718E"/>
    <w:rsid w:val="00E971BB"/>
    <w:rsid w:val="00EB1005"/>
    <w:rsid w:val="00EB2A09"/>
    <w:rsid w:val="00EB740E"/>
    <w:rsid w:val="00EB7881"/>
    <w:rsid w:val="00EC09B7"/>
    <w:rsid w:val="00EC0EA3"/>
    <w:rsid w:val="00EC4533"/>
    <w:rsid w:val="00ED402E"/>
    <w:rsid w:val="00ED56A4"/>
    <w:rsid w:val="00ED58E6"/>
    <w:rsid w:val="00ED6468"/>
    <w:rsid w:val="00ED74B4"/>
    <w:rsid w:val="00EF3322"/>
    <w:rsid w:val="00F0322C"/>
    <w:rsid w:val="00F27D08"/>
    <w:rsid w:val="00F30965"/>
    <w:rsid w:val="00F403B2"/>
    <w:rsid w:val="00F55591"/>
    <w:rsid w:val="00F558C3"/>
    <w:rsid w:val="00F62C79"/>
    <w:rsid w:val="00F6450F"/>
    <w:rsid w:val="00F656D4"/>
    <w:rsid w:val="00F65878"/>
    <w:rsid w:val="00F831CF"/>
    <w:rsid w:val="00F843BF"/>
    <w:rsid w:val="00F860CE"/>
    <w:rsid w:val="00F94CA3"/>
    <w:rsid w:val="00F95852"/>
    <w:rsid w:val="00FA0ECA"/>
    <w:rsid w:val="00FA6E5A"/>
    <w:rsid w:val="00FB57ED"/>
    <w:rsid w:val="00FB7FAB"/>
    <w:rsid w:val="00FC0C2D"/>
    <w:rsid w:val="00FD7B10"/>
    <w:rsid w:val="00FE38E2"/>
    <w:rsid w:val="00FE419C"/>
    <w:rsid w:val="00FF5AC2"/>
    <w:rsid w:val="00FF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35BDC"/>
  <w15:docId w15:val="{DA0A101A-D637-4F74-8DDC-8FEA01D1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7F0C03"/>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7F0C03"/>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7F0C03"/>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7F0C03"/>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7F0C03"/>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7F0C0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7F0C03"/>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7F0C03"/>
    <w:rPr>
      <w:rFonts w:ascii="Arial" w:eastAsiaTheme="majorEastAsia" w:hAnsi="Arial" w:cstheme="majorBidi"/>
      <w:b/>
      <w:bCs/>
      <w:i/>
      <w:iCs/>
      <w:sz w:val="20"/>
    </w:rPr>
  </w:style>
  <w:style w:type="character" w:styleId="UnresolvedMention">
    <w:name w:val="Unresolved Mention"/>
    <w:basedOn w:val="DefaultParagraphFont"/>
    <w:uiPriority w:val="99"/>
    <w:semiHidden/>
    <w:unhideWhenUsed/>
    <w:rsid w:val="001E0183"/>
    <w:rPr>
      <w:color w:val="605E5C"/>
      <w:shd w:val="clear" w:color="auto" w:fill="E1DFDD"/>
    </w:rPr>
  </w:style>
  <w:style w:type="table" w:styleId="TableGrid">
    <w:name w:val="Table Grid"/>
    <w:basedOn w:val="TableNormal"/>
    <w:uiPriority w:val="39"/>
    <w:rsid w:val="00FF6C3B"/>
    <w:pPr>
      <w:spacing w:after="0" w:line="240" w:lineRule="auto"/>
    </w:pPr>
    <w:rPr>
      <w:rFonts w:eastAsia="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6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053516">
      <w:bodyDiv w:val="1"/>
      <w:marLeft w:val="0"/>
      <w:marRight w:val="0"/>
      <w:marTop w:val="0"/>
      <w:marBottom w:val="0"/>
      <w:divBdr>
        <w:top w:val="none" w:sz="0" w:space="0" w:color="auto"/>
        <w:left w:val="none" w:sz="0" w:space="0" w:color="auto"/>
        <w:bottom w:val="none" w:sz="0" w:space="0" w:color="auto"/>
        <w:right w:val="none" w:sz="0" w:space="0" w:color="auto"/>
      </w:divBdr>
    </w:div>
    <w:div w:id="653217926">
      <w:bodyDiv w:val="1"/>
      <w:marLeft w:val="0"/>
      <w:marRight w:val="0"/>
      <w:marTop w:val="0"/>
      <w:marBottom w:val="0"/>
      <w:divBdr>
        <w:top w:val="none" w:sz="0" w:space="0" w:color="auto"/>
        <w:left w:val="none" w:sz="0" w:space="0" w:color="auto"/>
        <w:bottom w:val="none" w:sz="0" w:space="0" w:color="auto"/>
        <w:right w:val="none" w:sz="0" w:space="0" w:color="auto"/>
      </w:divBdr>
    </w:div>
    <w:div w:id="662588630">
      <w:bodyDiv w:val="1"/>
      <w:marLeft w:val="0"/>
      <w:marRight w:val="0"/>
      <w:marTop w:val="0"/>
      <w:marBottom w:val="0"/>
      <w:divBdr>
        <w:top w:val="none" w:sz="0" w:space="0" w:color="auto"/>
        <w:left w:val="none" w:sz="0" w:space="0" w:color="auto"/>
        <w:bottom w:val="none" w:sz="0" w:space="0" w:color="auto"/>
        <w:right w:val="none" w:sz="0" w:space="0" w:color="auto"/>
      </w:divBdr>
    </w:div>
    <w:div w:id="679166545">
      <w:bodyDiv w:val="1"/>
      <w:marLeft w:val="0"/>
      <w:marRight w:val="0"/>
      <w:marTop w:val="0"/>
      <w:marBottom w:val="0"/>
      <w:divBdr>
        <w:top w:val="none" w:sz="0" w:space="0" w:color="auto"/>
        <w:left w:val="none" w:sz="0" w:space="0" w:color="auto"/>
        <w:bottom w:val="none" w:sz="0" w:space="0" w:color="auto"/>
        <w:right w:val="none" w:sz="0" w:space="0" w:color="auto"/>
      </w:divBdr>
    </w:div>
    <w:div w:id="1112818169">
      <w:bodyDiv w:val="1"/>
      <w:marLeft w:val="0"/>
      <w:marRight w:val="0"/>
      <w:marTop w:val="0"/>
      <w:marBottom w:val="0"/>
      <w:divBdr>
        <w:top w:val="none" w:sz="0" w:space="0" w:color="auto"/>
        <w:left w:val="none" w:sz="0" w:space="0" w:color="auto"/>
        <w:bottom w:val="none" w:sz="0" w:space="0" w:color="auto"/>
        <w:right w:val="none" w:sz="0" w:space="0" w:color="auto"/>
      </w:divBdr>
    </w:div>
    <w:div w:id="111983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E&amp;q=https%3A%2F%2Fdoi.org%2F10.2760%2F4852968" TargetMode="External"/><Relationship Id="rId21" Type="http://schemas.openxmlformats.org/officeDocument/2006/relationships/hyperlink" Target="https://www.google.com/url?sa=E&amp;q=https%3A%2F%2Fdoi.org%2F10.3390%2Fbatteries10120440" TargetMode="External"/><Relationship Id="rId42" Type="http://schemas.openxmlformats.org/officeDocument/2006/relationships/hyperlink" Target="https://www.google.com/url?sa=E&amp;q=https%3A%2F%2Fdoi.org%2F10.1007%2Fs13243-025-00149-8" TargetMode="External"/><Relationship Id="rId47" Type="http://schemas.openxmlformats.org/officeDocument/2006/relationships/hyperlink" Target="https://www.google.com/url?sa=E&amp;q=https%3A%2F%2Fdoi.org%2F10.1088%2F1748-9326%2Fabee4e" TargetMode="External"/><Relationship Id="rId63" Type="http://schemas.openxmlformats.org/officeDocument/2006/relationships/hyperlink" Target="https://www.google.com/url?sa=E&amp;q=https%3A%2F%2Fdoi.org%2F10.3390%2Fearth2010001" TargetMode="External"/><Relationship Id="rId68" Type="http://schemas.openxmlformats.org/officeDocument/2006/relationships/hyperlink" Target="https://www.google.com/url?sa=E&amp;q=https%3A%2F%2Fdoi.org%2F10.1002%2Faenm.202200383"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s://www.google.com/url?sa=E&amp;q=https%3A%2F%2Fuhra.herts.ac.uk%2F" TargetMode="External"/><Relationship Id="rId32" Type="http://schemas.openxmlformats.org/officeDocument/2006/relationships/hyperlink" Target="https://www.google.com/url?sa=E&amp;q=https%3A%2F%2Fdoi.org%2F10.1016%2Fj.jclepro.2021.129798" TargetMode="External"/><Relationship Id="rId37" Type="http://schemas.openxmlformats.org/officeDocument/2006/relationships/hyperlink" Target="https://www.google.com/url?sa=E&amp;q=https%3A%2F%2Fdoi.org%2F10.34726%2Fhss.2018.57183" TargetMode="External"/><Relationship Id="rId40" Type="http://schemas.openxmlformats.org/officeDocument/2006/relationships/hyperlink" Target="https://www.google.com/url?sa=E&amp;q=https%3A%2F%2Fdoi.org%2F10.1016%2Fj.jclepro.2019.119403" TargetMode="External"/><Relationship Id="rId45" Type="http://schemas.openxmlformats.org/officeDocument/2006/relationships/hyperlink" Target="https://www.google.com/url?sa=E&amp;q=https%3A%2F%2Fdoi.org%2F10.3390%2Fen14082217" TargetMode="External"/><Relationship Id="rId53" Type="http://schemas.openxmlformats.org/officeDocument/2006/relationships/hyperlink" Target="https://www.google.com/url?sa=E&amp;q=https%3A%2F%2Fdoi.org%2F10.1016%2Fj.rser.2022.112941" TargetMode="External"/><Relationship Id="rId58" Type="http://schemas.openxmlformats.org/officeDocument/2006/relationships/hyperlink" Target="https://www.google.com/url?sa=E&amp;q=https%3A%2F%2Fdoi.org%2F10.1002%2Fadma.202103346" TargetMode="External"/><Relationship Id="rId66" Type="http://schemas.openxmlformats.org/officeDocument/2006/relationships/hyperlink" Target="https://www.google.com/url?sa=E&amp;q=https%3A%2F%2Fdoi.org%2F10.1016%2Fj.jpowsour.2023.233349"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google.com/url?sa=E&amp;q=https%3A%2F%2Fdoi.org%2F10.1039%2FD5RA00934K" TargetMode="External"/><Relationship Id="rId19" Type="http://schemas.openxmlformats.org/officeDocument/2006/relationships/hyperlink" Target="https://www.google.com/url?sa=E&amp;q=https%3A%2F%2Ftrace.tennessee.edu%2Futk_gradthes%2F11362" TargetMode="External"/><Relationship Id="rId14" Type="http://schemas.openxmlformats.org/officeDocument/2006/relationships/image" Target="media/image7.png"/><Relationship Id="rId22" Type="http://schemas.openxmlformats.org/officeDocument/2006/relationships/hyperlink" Target="https://www.google.com/url?sa=E&amp;q=https%3A%2F%2Fdoi.org%2F10.1016%2Fj.wasman.2019.04.059" TargetMode="External"/><Relationship Id="rId27" Type="http://schemas.openxmlformats.org/officeDocument/2006/relationships/hyperlink" Target="https://www.google.com/url?sa=E&amp;q=https%3A%2F%2Ftheicct.org%2Fwp-content%2Fuploads%2F2024%2F12%2FID-255-%25E2%2580%2593-Battery-jobs_working-paper_final.pdf" TargetMode="External"/><Relationship Id="rId30" Type="http://schemas.openxmlformats.org/officeDocument/2006/relationships/hyperlink" Target="https://www.google.com/url?sa=E&amp;q=https%3A%2F%2Fdoi.org%2F10.13044%2Fj.sdewes.d9.0411" TargetMode="External"/><Relationship Id="rId35" Type="http://schemas.openxmlformats.org/officeDocument/2006/relationships/hyperlink" Target="https://www.google.com/url?sa=E&amp;q=https%3A%2F%2Fdoi.org%2F10.1016%2Fj.jclepro.2022.132281" TargetMode="External"/><Relationship Id="rId43" Type="http://schemas.openxmlformats.org/officeDocument/2006/relationships/hyperlink" Target="https://www.google.com/url?sa=E&amp;q=https%3A%2F%2Fdoi.org%2F10.1016%2Fj.jclepro.2022.132225" TargetMode="External"/><Relationship Id="rId48" Type="http://schemas.openxmlformats.org/officeDocument/2006/relationships/hyperlink" Target="https://www.google.com/url?sa=E&amp;q=https%3A%2F%2Fdoi.org%2F10.3390%2Fen15093227" TargetMode="External"/><Relationship Id="rId56" Type="http://schemas.openxmlformats.org/officeDocument/2006/relationships/hyperlink" Target="https://www.google.com/url?sa=E&amp;q=https%3A%2F%2Fwww.rff.org%2Fpublications%2Freports%2Fglobal-energy-outlook-2022%2F" TargetMode="External"/><Relationship Id="rId64" Type="http://schemas.openxmlformats.org/officeDocument/2006/relationships/hyperlink" Target="https://www.google.com/url?sa=E&amp;q=https%3A%2F%2Fdoi.org%2F10.1016%2Fj.apenergy.2024.124063" TargetMode="External"/><Relationship Id="rId69" Type="http://schemas.openxmlformats.org/officeDocument/2006/relationships/hyperlink" Target="https://www.google.com/url?sa=E&amp;q=https%3A%2F%2Fdoi.org%2F10.1016%2Fj.jclepro.2021.128935"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oogle.com/url?sa=E&amp;q=https%3A%2F%2Fdoi.org%2F10.3390%2Fijerph20054346"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google.com/url?sa=E&amp;q=https%3A%2F%2Frepository.energycomlibrary.org%2Fhandle%2F123456789%2F63" TargetMode="External"/><Relationship Id="rId25" Type="http://schemas.openxmlformats.org/officeDocument/2006/relationships/hyperlink" Target="https://www.google.com/url?sa=E&amp;q=https%3A%2F%2Fdoi.org%2F10.1016%2Fj.scitotenv.2023.166845" TargetMode="External"/><Relationship Id="rId33" Type="http://schemas.openxmlformats.org/officeDocument/2006/relationships/hyperlink" Target="https://www.google.com/url?sa=E&amp;q=https%3A%2F%2Fdoi.org%2F10.20517%2Fcf.2023.47" TargetMode="External"/><Relationship Id="rId38" Type="http://schemas.openxmlformats.org/officeDocument/2006/relationships/hyperlink" Target="https://www.google.com/url?sa=E&amp;q=https%3A%2F%2Fdoi.org%2F10.1016%2Fj.jclepro.2024.142401" TargetMode="External"/><Relationship Id="rId46" Type="http://schemas.openxmlformats.org/officeDocument/2006/relationships/hyperlink" Target="https://www.google.com/url?sa=E&amp;q=https%3A%2F%2Fdoi.org%2F10.1007%2Fs41810-024-00214-y" TargetMode="External"/><Relationship Id="rId59" Type="http://schemas.openxmlformats.org/officeDocument/2006/relationships/hyperlink" Target="https://www.google.com/url?sa=E&amp;q=https%3A%2F%2Fdoi.org%2F10.3390%2Fbatteries10040115" TargetMode="External"/><Relationship Id="rId67" Type="http://schemas.openxmlformats.org/officeDocument/2006/relationships/hyperlink" Target="https://www.google.com/url?sa=E&amp;q=https%3A%2F%2Fdoi.org%2F10.1007%2Fs11367-023-02154-0" TargetMode="External"/><Relationship Id="rId20" Type="http://schemas.openxmlformats.org/officeDocument/2006/relationships/hyperlink" Target="https://www.google.com/url?sa=E&amp;q=https%3A%2F%2Fdoi.org%2F10.1007%2F978-3-031-55665-4_2" TargetMode="External"/><Relationship Id="rId41" Type="http://schemas.openxmlformats.org/officeDocument/2006/relationships/hyperlink" Target="https://www.google.com/url?sa=E&amp;q=https%3A%2F%2Fdoi.org%2F10.1088%2F2515-7655%2Facaa57" TargetMode="External"/><Relationship Id="rId54" Type="http://schemas.openxmlformats.org/officeDocument/2006/relationships/hyperlink" Target="https://www.google.com/url?sa=E&amp;q=https%3A%2F%2Fdoi.org%2F10.3390%2Fresources14010001" TargetMode="External"/><Relationship Id="rId62" Type="http://schemas.openxmlformats.org/officeDocument/2006/relationships/hyperlink" Target="https://www.google.com/url?sa=E&amp;q=https%3A%2F%2Fdoi.org%2F10.1016%2Fj.rser.2020.110538" TargetMode="External"/><Relationship Id="rId70" Type="http://schemas.openxmlformats.org/officeDocument/2006/relationships/hyperlink" Target="https://www.google.com/url?sa=E&amp;q=https%3A%2F%2Fdoi.org%2F10.3390%2Fsuschem2010011"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google.com/url?sa=E&amp;q=https%3A%2F%2Fdoi.org%2F10.1016%2FC2011-0-04141-1" TargetMode="External"/><Relationship Id="rId28" Type="http://schemas.openxmlformats.org/officeDocument/2006/relationships/hyperlink" Target="https://www.google.com/url?sa=E&amp;q=https%3A%2F%2Fdoi.org%2F10.1016%2Fj.seppur.2022.122966" TargetMode="External"/><Relationship Id="rId36" Type="http://schemas.openxmlformats.org/officeDocument/2006/relationships/hyperlink" Target="https://www.google.com/url?sa=E&amp;q=https%3A%2F%2Fdoi.org%2F10.1016%2Fj.est.2023.108126" TargetMode="External"/><Relationship Id="rId49" Type="http://schemas.openxmlformats.org/officeDocument/2006/relationships/hyperlink" Target="https://www.google.com/url?sa=E&amp;q=https%3A%2F%2Fdoi.org%2F10.1002%2Faenm.202102028" TargetMode="External"/><Relationship Id="rId57" Type="http://schemas.openxmlformats.org/officeDocument/2006/relationships/hyperlink" Target="https://www.google.com/url?sa=E&amp;q=https%3A%2F%2Fdoi.org%2F10.1016%2Fj.rcradv.2022.200087" TargetMode="External"/><Relationship Id="rId10" Type="http://schemas.openxmlformats.org/officeDocument/2006/relationships/image" Target="media/image3.png"/><Relationship Id="rId31" Type="http://schemas.openxmlformats.org/officeDocument/2006/relationships/hyperlink" Target="https://www.google.com/url?sa=E&amp;q=https%3A%2F%2Fdoi.org%2F10.1111%2Fjiec.13336" TargetMode="External"/><Relationship Id="rId44" Type="http://schemas.openxmlformats.org/officeDocument/2006/relationships/hyperlink" Target="https://www.google.com/url?sa=E&amp;q=https%3A%2F%2Fdoi.org%2F10.3390%2Fsu14042149" TargetMode="External"/><Relationship Id="rId52" Type="http://schemas.openxmlformats.org/officeDocument/2006/relationships/hyperlink" Target="https://www.google.com/url?sa=E&amp;q=https%3A%2F%2Fdoi.org%2F10.1016%2Fj.jclepro.2022.132872" TargetMode="External"/><Relationship Id="rId60" Type="http://schemas.openxmlformats.org/officeDocument/2006/relationships/hyperlink" Target="https://www.google.com/url?sa=E&amp;q=https%3A%2F%2Fdoi.org%2F10.1016%2Fj.procir.2023.09.086" TargetMode="External"/><Relationship Id="rId65" Type="http://schemas.openxmlformats.org/officeDocument/2006/relationships/hyperlink" Target="https://www.google.com/url?sa=E&amp;q=https%3A%2F%2Fdoi.org%2F10.3390%2Fmet13121915" TargetMode="External"/><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google.com/url?sa=E&amp;q=https%3A%2F%2Fdoi.org%2F10.56049%2Fjghie.v25i1.329" TargetMode="External"/><Relationship Id="rId39" Type="http://schemas.openxmlformats.org/officeDocument/2006/relationships/hyperlink" Target="https://www.google.com/url?sa=E&amp;q=https%3A%2F%2Friunet.upv.es%2Fhandle%2F10251%2F207674" TargetMode="External"/><Relationship Id="rId34" Type="http://schemas.openxmlformats.org/officeDocument/2006/relationships/hyperlink" Target="https://www.google.com/url?sa=E&amp;q=https%3A%2F%2Fdoi.org%2F10.1016%2Fj.est.2022.105644" TargetMode="External"/><Relationship Id="rId50" Type="http://schemas.openxmlformats.org/officeDocument/2006/relationships/hyperlink" Target="https://www.google.com/url?sa=E&amp;q=https%3A%2F%2Fdoi.org%2F10.1007%2Fs41918-025-00247-y" TargetMode="External"/><Relationship Id="rId55" Type="http://schemas.openxmlformats.org/officeDocument/2006/relationships/hyperlink" Target="https://www.google.com/url?sa=E&amp;q=https%3A%2F%2Fwebthesis.biblio.polito.it%2Fid%2Feprint%2F28554"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google.com/url?sa=E&amp;q=https%3A%2F%2Fdoi.org%2F10.1016%2Fj.xcrp.2021.100537" TargetMode="External"/><Relationship Id="rId2" Type="http://schemas.openxmlformats.org/officeDocument/2006/relationships/numbering" Target="numbering.xml"/><Relationship Id="rId29" Type="http://schemas.openxmlformats.org/officeDocument/2006/relationships/hyperlink" Target="https://www.google.com/url?sa=E&amp;q=https%3A%2F%2Fdoi.org%2F10.1007%2F978-3-031-71622-5_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3E46E-CBBF-41F3-AC04-36EA243E2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21</Pages>
  <Words>11492</Words>
  <Characters>65508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Editor-20</cp:lastModifiedBy>
  <cp:revision>272</cp:revision>
  <dcterms:created xsi:type="dcterms:W3CDTF">2014-09-20T11:25:00Z</dcterms:created>
  <dcterms:modified xsi:type="dcterms:W3CDTF">2026-05-27T09:40:00Z</dcterms:modified>
</cp:coreProperties>
</file>