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3A3" w:rsidRDefault="00BC1956">
      <w:pPr>
        <w:spacing w:before="480" w:after="240"/>
        <w:jc w:val="center"/>
      </w:pPr>
      <w:r>
        <w:rPr>
          <w:b/>
          <w:bCs/>
          <w:sz w:val="32"/>
          <w:szCs w:val="32"/>
        </w:rPr>
        <w:t>Deficit Irrigation and Precision Water Management: Climate-Smart Strategies for Sustainable Agriculture</w:t>
      </w:r>
    </w:p>
    <w:p w:rsidR="00ED23A3" w:rsidRDefault="00BC1956">
      <w:pPr>
        <w:spacing w:before="240" w:after="120"/>
      </w:pPr>
      <w:r>
        <w:rPr>
          <w:b/>
          <w:bCs/>
          <w:sz w:val="26"/>
          <w:szCs w:val="26"/>
        </w:rPr>
        <w:t>Abstract</w:t>
      </w:r>
    </w:p>
    <w:p w:rsidR="00ED23A3" w:rsidRDefault="00BC1956">
      <w:pPr>
        <w:spacing w:after="160" w:line="360" w:lineRule="auto"/>
        <w:jc w:val="both"/>
      </w:pPr>
      <w:r>
        <w:t xml:space="preserve">Agriculture accounts for approximately 70% of global freshwater withdrawals, and this proportion rises to over 90% in many arid and semi-arid regions. As the global population approaches 10 billion and climate change intensifies hydrological variability, the imperative to produce more food with substantially less water has never been more urgent. Deficit irrigation (DI) and precision water management (PWM) have emerged as central pillars of climate-smart agriculture (CSA), offering the twin capacity to sustain crop productivity while dramatically reducing water consumption. This review </w:t>
      </w:r>
      <w:proofErr w:type="spellStart"/>
      <w:r>
        <w:t>synthesises</w:t>
      </w:r>
      <w:proofErr w:type="spellEnd"/>
      <w:r>
        <w:t xml:space="preserve"> scientific evidence on the conceptual foundations, technological advancements, agronomic outcomes, and policy implications of DI and PWM within a CSA framework. Strategies encompassing regulated deficit irrigation (RDI), partial root zone drying (PRD), sensor-based scheduling, remote sensing, Internet of Things (IoT)-enabled smart irrigation, and decision support systems are critically evaluated. Evidence from diverse agroecological contexts indicates that well-implemented DI regimes can reduce irrigation water use by 20–50% with minimal yield penalties, particularly when stress is confined to drought-tolerant growth stages. Integration of precision technologies enhances temporal and spatial resolution of irrigation decisions, further improving water productivity. The review also highlights the alignment of DI and PWM with the three pillars of CSA—increased productivity, enhanced adaptation, and mitigation of greenhouse gas emissions. Notwithstanding documented agronomic and environmental co-benefits, several barriers persist, including knowledge asymmetries among smallholder farmers, high initial investment costs for precision technology, and inadequate institutional and policy support. The review identifies critical research gaps, including a need for more long-term field trials, economic analyses in smallholder contexts, and improved crop-model integration with real-time sensing. The article concludes that a convergence of precision technology, adaptive management, and enabling governance can position DI and PWM as transformative climate-smart strategies for sustainable agriculture globally.</w:t>
      </w:r>
    </w:p>
    <w:p w:rsidR="00ED23A3" w:rsidRDefault="00BC1956">
      <w:pPr>
        <w:spacing w:before="120" w:after="240" w:line="360" w:lineRule="auto"/>
        <w:jc w:val="both"/>
      </w:pPr>
      <w:r>
        <w:rPr>
          <w:b/>
          <w:bCs/>
        </w:rPr>
        <w:t xml:space="preserve">Keywords: </w:t>
      </w:r>
      <w:r w:rsidR="00672837">
        <w:rPr>
          <w:i/>
          <w:iCs/>
          <w:highlight w:val="yellow"/>
        </w:rPr>
        <w:t>D</w:t>
      </w:r>
      <w:r w:rsidRPr="00672837">
        <w:rPr>
          <w:i/>
          <w:iCs/>
          <w:highlight w:val="yellow"/>
        </w:rPr>
        <w:t>eficit irrigation; precision water management; climate-smart agriculture; water use efficiency; IoT irrigation; sustainable agriculture</w:t>
      </w:r>
    </w:p>
    <w:p w:rsidR="00ED23A3" w:rsidRDefault="00ED23A3">
      <w:pPr>
        <w:pageBreakBefore/>
      </w:pPr>
    </w:p>
    <w:p w:rsidR="00ED23A3" w:rsidRDefault="00BC1956">
      <w:pPr>
        <w:pStyle w:val="Heading1"/>
      </w:pPr>
      <w:r>
        <w:t>1. Introduction</w:t>
      </w:r>
    </w:p>
    <w:p w:rsidR="00ED23A3" w:rsidRDefault="00B621DB">
      <w:pPr>
        <w:spacing w:after="160" w:line="360" w:lineRule="auto"/>
        <w:jc w:val="both"/>
      </w:pPr>
      <w:r w:rsidRPr="0091599A">
        <w:rPr>
          <w:rFonts w:ascii="Arial" w:hAnsi="Arial" w:cs="Arial"/>
          <w:color w:val="222222"/>
          <w:sz w:val="20"/>
          <w:szCs w:val="20"/>
          <w:highlight w:val="yellow"/>
          <w:shd w:val="clear" w:color="auto" w:fill="FFFFFF"/>
        </w:rPr>
        <w:t>Deficit irrigation has extensively proven to be an efficient irrigation water management strategy. It consists of reducing the applied irrigation water below maximum without compromising the final yield. These practices save water by reducing crop evapotranspiration and increasing water use efficiency, which serves as a crucial index to assess the relationship between crop yield and water consumption</w:t>
      </w:r>
      <w:r>
        <w:rPr>
          <w:rFonts w:ascii="Arial" w:hAnsi="Arial" w:cs="Arial"/>
          <w:color w:val="222222"/>
          <w:sz w:val="20"/>
          <w:szCs w:val="20"/>
          <w:highlight w:val="yellow"/>
          <w:shd w:val="clear" w:color="auto" w:fill="FFFFFF"/>
        </w:rPr>
        <w:t xml:space="preserve"> (</w:t>
      </w:r>
      <w:proofErr w:type="spellStart"/>
      <w:r w:rsidRPr="007309E2">
        <w:rPr>
          <w:rFonts w:ascii="inherit" w:hAnsi="inherit" w:cs="Helvetica"/>
          <w:color w:val="222222"/>
          <w:sz w:val="18"/>
          <w:szCs w:val="18"/>
          <w:highlight w:val="yellow"/>
        </w:rPr>
        <w:t>Belkher</w:t>
      </w:r>
      <w:proofErr w:type="spellEnd"/>
      <w:r>
        <w:rPr>
          <w:rFonts w:ascii="inherit" w:hAnsi="inherit" w:cs="Helvetica"/>
          <w:color w:val="222222"/>
          <w:sz w:val="18"/>
          <w:szCs w:val="18"/>
          <w:highlight w:val="yellow"/>
        </w:rPr>
        <w:t xml:space="preserve"> et al., 2025</w:t>
      </w:r>
      <w:r w:rsidR="00F27F2F">
        <w:rPr>
          <w:rFonts w:ascii="inherit" w:hAnsi="inherit" w:cs="Helvetica"/>
          <w:color w:val="222222"/>
          <w:sz w:val="18"/>
          <w:szCs w:val="18"/>
          <w:highlight w:val="yellow"/>
        </w:rPr>
        <w:t xml:space="preserve">; </w:t>
      </w:r>
      <w:proofErr w:type="spellStart"/>
      <w:r w:rsidR="00F27F2F" w:rsidRPr="0091599A">
        <w:rPr>
          <w:rFonts w:ascii="Merriweather Sans" w:hAnsi="Merriweather Sans"/>
          <w:color w:val="222222"/>
          <w:sz w:val="18"/>
          <w:szCs w:val="18"/>
          <w:highlight w:val="yellow"/>
        </w:rPr>
        <w:t>Kadyampakeni</w:t>
      </w:r>
      <w:proofErr w:type="spellEnd"/>
      <w:r w:rsidR="00F27F2F" w:rsidRPr="0091599A">
        <w:rPr>
          <w:rFonts w:ascii="Merriweather Sans" w:hAnsi="Merriweather Sans"/>
          <w:color w:val="222222"/>
          <w:sz w:val="18"/>
          <w:szCs w:val="18"/>
          <w:highlight w:val="yellow"/>
        </w:rPr>
        <w:t xml:space="preserve"> et al., 2025</w:t>
      </w:r>
      <w:r>
        <w:rPr>
          <w:rFonts w:ascii="Arial" w:hAnsi="Arial" w:cs="Arial"/>
          <w:color w:val="222222"/>
          <w:sz w:val="20"/>
          <w:szCs w:val="20"/>
          <w:highlight w:val="yellow"/>
          <w:shd w:val="clear" w:color="auto" w:fill="FFFFFF"/>
        </w:rPr>
        <w:t>)</w:t>
      </w:r>
      <w:r w:rsidRPr="0091599A">
        <w:rPr>
          <w:highlight w:val="yellow"/>
        </w:rPr>
        <w:t>.</w:t>
      </w:r>
      <w:r>
        <w:t xml:space="preserve"> </w:t>
      </w:r>
      <w:r w:rsidR="00BC1956">
        <w:t>Water is the lifeblood of agricultural production, underpinning global food systems that sustain the nutritional needs of a rapidly expanding human population. Agriculture is by far the largest consumer of freshwater globally, accounting for roughly 70% of all freshwater withdrawals and considerably more in water-stressed regions of Asia, the Middle East, and sub-Saharan Africa (</w:t>
      </w:r>
      <w:proofErr w:type="spellStart"/>
      <w:r w:rsidR="00BC1956">
        <w:t>Shiklomanov</w:t>
      </w:r>
      <w:proofErr w:type="spellEnd"/>
      <w:r w:rsidR="00BC1956">
        <w:t>, 2000; FAO, 2020). Irrigated agriculture, which covers approximately 20% of cultivated land, contributes up to 40% of global food production and plays a disproportionately large role in food security, particularly in low- and middle-income countries (Siebert et al., 2010). Yet the sustainability of current irrigation practices is increasingly questioned against the backdrop of depleting groundwater aquifers, degrading river ecosystems, and growing competition for water among agricultural, industrial, and domestic sectors (Vörösmarty et al., 2010; Scanlon et al., 2012).</w:t>
      </w:r>
    </w:p>
    <w:p w:rsidR="00ED23A3" w:rsidRDefault="00BC1956">
      <w:pPr>
        <w:spacing w:after="160" w:line="360" w:lineRule="auto"/>
        <w:jc w:val="both"/>
      </w:pPr>
      <w:r>
        <w:t xml:space="preserve">Climate change is fundamentally reshaping the hydrological cycle, altering precipitation patterns, accelerating evapotranspiration, intensifying droughts, and reducing glacial and snowmelt contributions to river flows (IPCC, 2021). Concurrently, it is exerting direct and indirect negative effects on crop yields through increased temperature stress, elevated </w:t>
      </w:r>
      <w:proofErr w:type="spellStart"/>
      <w:r>
        <w:t>vapour</w:t>
      </w:r>
      <w:proofErr w:type="spellEnd"/>
      <w:r>
        <w:t xml:space="preserve"> pressure deficit, and shifting growing seasons (Lobell et al., 2011; Zhao et al., 2017). Modelling studies suggest that the projected expansion of irrigated area required to feed a world of nine to ten billion people by 2050 may be severely constrained by declining freshwater availability under multiple climate scenarios (Elliott et al., 2014). The collision between a rising demand for irrigated food and a shrinking supply of accessible freshwater thus represents one of the most formidable sustainability challenges of the twenty-first century.</w:t>
      </w:r>
    </w:p>
    <w:p w:rsidR="00ED23A3" w:rsidRDefault="00BC1956">
      <w:pPr>
        <w:spacing w:after="160" w:line="360" w:lineRule="auto"/>
        <w:jc w:val="both"/>
      </w:pPr>
      <w:r>
        <w:t>Against this backdrop, deficit irrigation (DI)—the deliberate application of water at levels below full crop evapotranspiration demand—has attracted considerable scientific and policy attention as a strategy to conserve water without proportionately sacrificing crop yield (</w:t>
      </w:r>
      <w:proofErr w:type="spellStart"/>
      <w:r>
        <w:t>Fereres</w:t>
      </w:r>
      <w:proofErr w:type="spellEnd"/>
      <w:r>
        <w:t xml:space="preserve"> &amp; Soriano, 2007). The central insight underpinning DI is that many crops can </w:t>
      </w:r>
      <w:r>
        <w:lastRenderedPageBreak/>
        <w:t xml:space="preserve">tolerate mild to moderate water deficits at specific phenological stages, activating regulatory responses that maintain yield while reducing overall water consumption (Geerts &amp; Raes, 2009). When DI is coupled with precision water management (PWM) technologies—including soil moisture sensors, remote sensing platforms, IoT-connected irrigation controllers, and data-driven decision support systems—the potential for </w:t>
      </w:r>
      <w:proofErr w:type="spellStart"/>
      <w:r>
        <w:t>optimising</w:t>
      </w:r>
      <w:proofErr w:type="spellEnd"/>
      <w:r>
        <w:t xml:space="preserve"> the water–yield relationship at field and landscape scales is considerably amplified.</w:t>
      </w:r>
    </w:p>
    <w:p w:rsidR="00ED23A3" w:rsidRDefault="00BC1956">
      <w:pPr>
        <w:spacing w:after="160" w:line="360" w:lineRule="auto"/>
        <w:jc w:val="both"/>
      </w:pPr>
      <w:r>
        <w:t>Within the broader framework of climate-smart agriculture (CSA), DI and PWM occupy a privileged position because they simultaneously address the three core CSA objectives: sustainably increasing agricultural productivity, enhancing the capacity of food systems to adapt to climate change, and reducing or sequestering greenhouse gas emissions from agriculture (Lipper et al., 2014). A growing body of empirical evidence from wheat, maize, rice, cotton, grapevine, olive, and various horticultural crops supports the utility of these strategies across diverse agroecological zones. However, scaling these technologies from experimental plots to the smallholder-dominated agricultural landscapes of the Global South remains a persistent challenge. Institutional barriers, limited access to finance, inadequate extension services, and fragmented governance of water resources impede the adoption of DI and PWM even where their agronomic and economic case is compelling.</w:t>
      </w:r>
    </w:p>
    <w:p w:rsidR="00ED23A3" w:rsidRDefault="00BC1956">
      <w:pPr>
        <w:pStyle w:val="Heading2"/>
      </w:pPr>
      <w:r>
        <w:t>1.1 Scope and Objectives</w:t>
      </w:r>
    </w:p>
    <w:p w:rsidR="00ED23A3" w:rsidRDefault="00BC1956">
      <w:pPr>
        <w:spacing w:after="160" w:line="360" w:lineRule="auto"/>
        <w:jc w:val="both"/>
      </w:pPr>
      <w:r>
        <w:t>This review provides a comprehensive, integrative synthesis of contemporary scientific knowledge on deficit irrigation and precision water management within the framework of climate-smart agriculture. The specific objectives of the article are: (</w:t>
      </w:r>
      <w:proofErr w:type="spellStart"/>
      <w:r>
        <w:t>i</w:t>
      </w:r>
      <w:proofErr w:type="spellEnd"/>
      <w:r>
        <w:t xml:space="preserve">) to review the conceptual and physiological foundations of deficit irrigation, including its principal variants; (ii) to assess the technological landscape of precision water management, with particular attention to sensing, remote monitoring, and decision support tools; (iii) to evaluate the agronomic performance and crop-specific responses to deficit irrigation across major crop categories; (iv) to </w:t>
      </w:r>
      <w:proofErr w:type="spellStart"/>
      <w:r>
        <w:t>analyse</w:t>
      </w:r>
      <w:proofErr w:type="spellEnd"/>
      <w:r>
        <w:t xml:space="preserve"> the economic and environmental implications of adopting DI and PWM strategies; (v) to situate these strategies within the CSA paradigm and relevant policy frameworks; and (vi) to identify research gaps and future directions. The review addresses both scientific audiences engaged in irrigation science, agronomy, and hydrology, and policy audiences concerned with sustainable water governance and agricultural resilience to climate change.</w:t>
      </w:r>
    </w:p>
    <w:p w:rsidR="00ED23A3" w:rsidRDefault="00BC1956">
      <w:pPr>
        <w:pStyle w:val="Heading1"/>
      </w:pPr>
      <w:r>
        <w:t>2. Methods for Literature Selection</w:t>
      </w:r>
    </w:p>
    <w:p w:rsidR="00ED23A3" w:rsidRDefault="00BC1956">
      <w:pPr>
        <w:spacing w:after="160" w:line="360" w:lineRule="auto"/>
        <w:jc w:val="both"/>
      </w:pPr>
      <w:r>
        <w:lastRenderedPageBreak/>
        <w:t>This article is a narrative review, a methodology appropriate when the objective is to provide a broad, expert-</w:t>
      </w:r>
      <w:proofErr w:type="spellStart"/>
      <w:r>
        <w:t>synthesised</w:t>
      </w:r>
      <w:proofErr w:type="spellEnd"/>
      <w:r>
        <w:t xml:space="preserve"> overview of a multi-disciplinary topic rather than an exhaustive enumeration of all available evidence (Grant &amp; Booth, 2009). Unlike systematic reviews, narrative reviews permit flexible synthesis across heterogeneous study designs, disciplinary boundaries, and methodological traditions, making them well-suited to integrative topics such as the intersection of irrigation science, precision agriculture, and climate adaptation policy. The review does not follow a pre-registered protocol, and the synthesis is informed by expert judgement rather than the strict inclusion/exclusion criteria employed in meta-analyses. This approach is consistent with how prominent narrative reviews in the irrigation and climate-smart agriculture literature have been conducted (</w:t>
      </w:r>
      <w:proofErr w:type="spellStart"/>
      <w:r>
        <w:t>Fereres</w:t>
      </w:r>
      <w:proofErr w:type="spellEnd"/>
      <w:r>
        <w:t xml:space="preserve"> &amp; Soriano, 2007; Lipper et al., 2014).</w:t>
      </w:r>
    </w:p>
    <w:p w:rsidR="00ED23A3" w:rsidRDefault="00BC1956">
      <w:pPr>
        <w:spacing w:after="160" w:line="360" w:lineRule="auto"/>
        <w:jc w:val="both"/>
      </w:pPr>
      <w:r>
        <w:t>Literature was identified through systematic searches of the following academic databases: Web of Science, Scopus, PubMed, Google Scholar, CAB Abstracts, Water Resources Abstracts (ProQuest), AGRIS (FAO), and the CGIAR Library. The FAO Global Information System on Water and Agriculture (AQUASTAT) and the International Water Management Institute (IWMI) repository were also consulted for topic-specific grey literature from authoritative intergovernmental sources. The search was conducted over the period from January 2000 to March 2026, with supplementary inclusion of influential pre-2000 articles that established foundational theoretical frameworks (e.g., English &amp; Raja, 1996). Key search strings included combinations of the following terms: "deficit irrigation", "regulated deficit irrigation", "partial root zone drying", "precision irrigation", "smart irrigation", "water use efficiency", "crop water productivity", "climate-smart agriculture", "agricultural water management", "IoT irrigation", "remote sensing irrigation", "</w:t>
      </w:r>
      <w:proofErr w:type="spellStart"/>
      <w:r>
        <w:t>AquaCrop</w:t>
      </w:r>
      <w:proofErr w:type="spellEnd"/>
      <w:r>
        <w:t>", "sustainable irrigation", and "irrigation scheduling". Boolean operators (AND, OR) were used to combine thematic and methodological terms systematically.</w:t>
      </w:r>
    </w:p>
    <w:p w:rsidR="00ED23A3" w:rsidRDefault="00BC1956">
      <w:pPr>
        <w:spacing w:after="160" w:line="360" w:lineRule="auto"/>
        <w:jc w:val="both"/>
      </w:pPr>
      <w:r>
        <w:t xml:space="preserve">Studies were screened on the basis of relevance to the review's core themes, disciplinary </w:t>
      </w:r>
      <w:proofErr w:type="spellStart"/>
      <w:r>
        <w:t>rigour</w:t>
      </w:r>
      <w:proofErr w:type="spellEnd"/>
      <w:r>
        <w:t xml:space="preserve">, and quality of evidence. Priority was given to peer-reviewed articles published in internationally </w:t>
      </w:r>
      <w:proofErr w:type="spellStart"/>
      <w:r>
        <w:t>recognised</w:t>
      </w:r>
      <w:proofErr w:type="spellEnd"/>
      <w:r>
        <w:t xml:space="preserve"> academic journals. Authoritative reports from intergovernmental </w:t>
      </w:r>
      <w:proofErr w:type="spellStart"/>
      <w:r>
        <w:t>organisations</w:t>
      </w:r>
      <w:proofErr w:type="spellEnd"/>
      <w:r>
        <w:t xml:space="preserve">—including the Food and Agriculture </w:t>
      </w:r>
      <w:proofErr w:type="spellStart"/>
      <w:r>
        <w:t>Organisation</w:t>
      </w:r>
      <w:proofErr w:type="spellEnd"/>
      <w:r>
        <w:t xml:space="preserve"> of the United Nations (FAO), the Intergovernmental Panel on Climate Change (IPCC), UNESCO, and the World Bank—were included where they provided synthesis of evidence or data not available in the primary journal literature. Grey literature, conference proceedings, theses, and non-peer-reviewed sources were excluded. Where multiple papers addressed the same empirical </w:t>
      </w:r>
      <w:r>
        <w:lastRenderedPageBreak/>
        <w:t xml:space="preserve">question, preference was given to more recent, comprehensive, or methodologically robust studies. Duplicate records identified across databases were removed manually. No language restriction was applied during initial searching, though the final set of cited papers is predominantly in English, reflecting the dominant language of indexed literature in these fields. Papers </w:t>
      </w:r>
      <w:proofErr w:type="spellStart"/>
      <w:r>
        <w:t>characterised</w:t>
      </w:r>
      <w:proofErr w:type="spellEnd"/>
      <w:r>
        <w:t xml:space="preserve"> as "influential" were identified based on citation frequency, methodological innovation, or the breadth of subsequent reviews that cite them.</w:t>
      </w:r>
    </w:p>
    <w:p w:rsidR="00ED23A3" w:rsidRDefault="00BC1956">
      <w:pPr>
        <w:pStyle w:val="Heading1"/>
      </w:pPr>
      <w:r>
        <w:t>3. Global Water Scarcity and Agricultural Water Use</w:t>
      </w:r>
    </w:p>
    <w:p w:rsidR="00ED23A3" w:rsidRDefault="00BC1956">
      <w:pPr>
        <w:pStyle w:val="Heading2"/>
      </w:pPr>
      <w:r>
        <w:t>3.1 The Escalating Crisis of Freshwater Availability</w:t>
      </w:r>
    </w:p>
    <w:p w:rsidR="00ED23A3" w:rsidRDefault="00BC1956">
      <w:pPr>
        <w:spacing w:after="160" w:line="360" w:lineRule="auto"/>
        <w:jc w:val="both"/>
      </w:pPr>
      <w:r>
        <w:t>The global freshwater crisis is not a distant prospect but an immediate reality affecting billions of people and vast agricultural regions. Of the estimated 2.5% of Earth's total water that is fresh, approximately two-thirds is locked in glaciers and permanent ice, leaving less than 1% of total global water readily accessible in rivers, lakes, and shallow aquifers (</w:t>
      </w:r>
      <w:proofErr w:type="spellStart"/>
      <w:r>
        <w:t>Shiklomanov</w:t>
      </w:r>
      <w:proofErr w:type="spellEnd"/>
      <w:r>
        <w:t>, 2000). The spatial and temporal distribution of this accessible freshwater is highly uneven, with major disparities between humid and arid regions, and between seasons within individual catchments. Vörösmarty et al. (2010) demonstrated that approximately 80% of the world's population lived in areas with severely threatened freshwater security, driven by a combination of consumptive water demand and declining river biodiversity. The analysis revealed that threats to human water security and biodiversity converge along the world's major rivers in populated and cultivated regions of Asia, Europe, and North America, highlighting the extent to which agricultural water use intersects with broader ecological vulnerability.</w:t>
      </w:r>
    </w:p>
    <w:p w:rsidR="00ED23A3" w:rsidRDefault="00BC1956">
      <w:pPr>
        <w:spacing w:after="160" w:line="360" w:lineRule="auto"/>
        <w:jc w:val="both"/>
      </w:pPr>
      <w:r>
        <w:t xml:space="preserve">Groundwater depletion represents one of the most acute dimensions of the freshwater crisis. Globally, groundwater is being extracted far beyond natural recharge rates in many of the world's most productive agricultural basins. Wada et al. (2010) estimated that global non-renewable groundwater depletion approximately doubled between 1960 and 2000, reaching some 283 km³ per year at the turn of the century, with the largest withdrawals occurring in the Indo-Gangetic Plain, the North China Plain, and the High Plains Aquifer of the United States. The consequences of this depletion are profound: Scanlon et al. (2012) documented significant declines in water table levels in the United States' Central Valley and High Plains aquifer systems that threaten the long-term viability of irrigated agriculture in these globally significant food-producing regions. Siebert et al. (2010) provided the most comprehensive global inventory of groundwater use for irrigation available at the time, confirming that </w:t>
      </w:r>
      <w:r>
        <w:lastRenderedPageBreak/>
        <w:t>between 43% and 50% of global irrigation water withdrawals originate from groundwater, a proportion that has risen steadily in tandem with the expansion of electric pump technology.</w:t>
      </w:r>
    </w:p>
    <w:p w:rsidR="00ED23A3" w:rsidRDefault="00BC1956">
      <w:pPr>
        <w:spacing w:after="160" w:line="360" w:lineRule="auto"/>
        <w:jc w:val="both"/>
      </w:pPr>
      <w:r>
        <w:t>The water footprint concept, developed systematically by Hoekstra and Mekonnen (2012), has been instructive in quantifying the true consumptive water costs of food production across global supply chains. Their analysis found that global agricultural production requires approximately 8,363 km³ of water per year, of which 74% derives from rainwater (green water), 11% from groundwater or surface water irrigation (blue water), and 15% from the dilution of polluted water (grey water). This framework has drawn attention to the substantial water savings that could be achieved through improved crop water productivity and dietary shifts, and has underpinned policy discussions on virtual water trade and water stewardship standards.</w:t>
      </w:r>
    </w:p>
    <w:p w:rsidR="00ED23A3" w:rsidRDefault="00BC1956">
      <w:pPr>
        <w:pStyle w:val="Heading2"/>
      </w:pPr>
      <w:r>
        <w:t>3.2 Climate Change Impacts on Agricultural Water Resources</w:t>
      </w:r>
    </w:p>
    <w:p w:rsidR="00ED23A3" w:rsidRDefault="00BC1956">
      <w:pPr>
        <w:spacing w:after="160" w:line="360" w:lineRule="auto"/>
        <w:jc w:val="both"/>
      </w:pPr>
      <w:r>
        <w:t>Climate change is superimposing new layers of hydrological stress on already water-scarce agricultural systems. The Sixth Assessment Report of the IPCC (2021) concluded with high confidence that human-induced climate change is already affecting the water cycle, with observable intensification of the global hydrological cycle, increased frequency and severity of droughts in many land regions, accelerated glacier retreat, and shifting seasonal patterns of precipitation and runoff. These changes have profound implications for irrigation-dependent agriculture, which relies on predictable and sufficient supplies of surface water and groundwater.</w:t>
      </w:r>
    </w:p>
    <w:p w:rsidR="00ED23A3" w:rsidRDefault="00BC1956">
      <w:pPr>
        <w:spacing w:after="160" w:line="360" w:lineRule="auto"/>
        <w:jc w:val="both"/>
      </w:pPr>
      <w:r>
        <w:t xml:space="preserve">Lobell et al. (2011) </w:t>
      </w:r>
      <w:proofErr w:type="spellStart"/>
      <w:r>
        <w:t>analysed</w:t>
      </w:r>
      <w:proofErr w:type="spellEnd"/>
      <w:r>
        <w:t xml:space="preserve"> global crop production trends from 1980 to 2008 and found that temperature changes associated with anthropogenic climate change had already reduced global yields of wheat and maize by approximately 5.5% and 3.8% respectively, over and above the positive effects of technological improvements. Zhao et al. (2017) subsequently drew on four independent modelling methods to conclude that each degree Celsius of global mean temperature increase reduces global yields of wheat by approximately 6%, rice by 3.2%, maize by 7.4%, and soybeans by 3.1%, underscoring the magnitude of climate-related agricultural risk. These direct temperature effects are compounded by altered water availability: Elliott et al. (2014) used an ensemble of global hydrological and crop models to demonstrate that direct climate impacts on major staple crops could cause production losses equivalent to 8–43% of present-day caloric totals, and that freshwater limitations in some of the most intensively irrigated regions could necessitate the reversion of 20–60 million </w:t>
      </w:r>
      <w:r>
        <w:lastRenderedPageBreak/>
        <w:t>hectares of cropland from irrigated to rainfed management, representing a profound structural threat to global irrigated food production.</w:t>
      </w:r>
    </w:p>
    <w:p w:rsidR="00ED23A3" w:rsidRDefault="00BC1956">
      <w:pPr>
        <w:spacing w:after="160" w:line="360" w:lineRule="auto"/>
        <w:jc w:val="both"/>
      </w:pPr>
      <w:proofErr w:type="spellStart"/>
      <w:r>
        <w:t>Rockström</w:t>
      </w:r>
      <w:proofErr w:type="spellEnd"/>
      <w:r>
        <w:t xml:space="preserve"> et al. (2012) articulated the dual challenge facing humanity as a "planetary water drama", arguing that meeting food demand for a growing population through irrigated agriculture while simultaneously maintaining the hydrological flows necessary to </w:t>
      </w:r>
      <w:proofErr w:type="spellStart"/>
      <w:r>
        <w:t>stabilise</w:t>
      </w:r>
      <w:proofErr w:type="spellEnd"/>
      <w:r>
        <w:t xml:space="preserve"> the climate system requires a fundamental transformation in how water is managed in agriculture. </w:t>
      </w:r>
      <w:proofErr w:type="spellStart"/>
      <w:r>
        <w:t>Hanjra</w:t>
      </w:r>
      <w:proofErr w:type="spellEnd"/>
      <w:r>
        <w:t xml:space="preserve"> and </w:t>
      </w:r>
      <w:proofErr w:type="spellStart"/>
      <w:r>
        <w:t>Qureshi</w:t>
      </w:r>
      <w:proofErr w:type="spellEnd"/>
      <w:r>
        <w:t xml:space="preserve"> (2010) similarly concluded that without a paradigm shift towards water-efficient agricultural practices, the convergence of climate change, water scarcity, and population growth could severely undermine global food security, particularly in sub-Saharan Africa and South Asia where smallholder irrigation is expanding rapidly but inefficiently. These syntheses provide powerful contextual motivation for the development and adoption of deficit irrigation and precision water management as integral components of climate-smart agricultural strategy.</w:t>
      </w:r>
    </w:p>
    <w:p w:rsidR="00ED23A3" w:rsidRDefault="00BC1956">
      <w:pPr>
        <w:pStyle w:val="Heading1"/>
      </w:pPr>
      <w:r>
        <w:t>4. Deficit Irrigation: Concepts, Types, and Physiological Mechanisms</w:t>
      </w:r>
    </w:p>
    <w:p w:rsidR="00ED23A3" w:rsidRDefault="00BC1956">
      <w:pPr>
        <w:pStyle w:val="Heading2"/>
      </w:pPr>
      <w:r>
        <w:t>4.1 Conceptual Foundations</w:t>
      </w:r>
    </w:p>
    <w:p w:rsidR="00ED23A3" w:rsidRDefault="00BC1956">
      <w:pPr>
        <w:spacing w:after="160" w:line="360" w:lineRule="auto"/>
        <w:jc w:val="both"/>
      </w:pPr>
      <w:r>
        <w:t xml:space="preserve">The concept of deficit irrigation emerged from the recognition that full irrigation—the practice of replenishing the soil water reservoir to field capacity throughout the crop cycle—is neither economically optimal nor hydrologically sustainable in most irrigated agricultural systems. The foundational analysis by English and Raja (1996) established the theoretical framework for DI within an economic </w:t>
      </w:r>
      <w:proofErr w:type="spellStart"/>
      <w:r>
        <w:t>optimisation</w:t>
      </w:r>
      <w:proofErr w:type="spellEnd"/>
      <w:r>
        <w:t xml:space="preserve"> context, demonstrating that when water is a limiting and costly input, the maximum economic return from irrigation is typically achieved at water application levels well below those required for maximum yield. The key insight is that the yield–water response function for most crops is not linear but </w:t>
      </w:r>
      <w:proofErr w:type="spellStart"/>
      <w:r>
        <w:t>characterised</w:t>
      </w:r>
      <w:proofErr w:type="spellEnd"/>
      <w:r>
        <w:t xml:space="preserve"> by diminishing returns at high water supply levels, meaning that moderate reductions in irrigation supply incur proportionally smaller yield penalties than reductions in economic water cost. This theoretical framework underpins the entire field of DI research and continues to inform irrigation scheduling in practice.</w:t>
      </w:r>
    </w:p>
    <w:p w:rsidR="00ED23A3" w:rsidRDefault="00BC1956">
      <w:pPr>
        <w:spacing w:after="160" w:line="360" w:lineRule="auto"/>
        <w:jc w:val="both"/>
      </w:pPr>
      <w:proofErr w:type="spellStart"/>
      <w:r>
        <w:t>Fereres</w:t>
      </w:r>
      <w:proofErr w:type="spellEnd"/>
      <w:r>
        <w:t xml:space="preserve"> and Soriano (2007), in one of the most widely cited reviews of deficit irrigation, defined DI as the application of water below full evapotranspiration needs for part or all of the growing season, with the explicit objective of saving water while </w:t>
      </w:r>
      <w:proofErr w:type="spellStart"/>
      <w:r>
        <w:t>minimising</w:t>
      </w:r>
      <w:proofErr w:type="spellEnd"/>
      <w:r>
        <w:t xml:space="preserve"> the negative impacts on yield. Their analysis </w:t>
      </w:r>
      <w:proofErr w:type="spellStart"/>
      <w:r>
        <w:t>synthesised</w:t>
      </w:r>
      <w:proofErr w:type="spellEnd"/>
      <w:r>
        <w:t xml:space="preserve"> evidence across a broad range of crops and environments, concluding that substantial water savings of 30–50% were achievable with </w:t>
      </w:r>
      <w:r>
        <w:lastRenderedPageBreak/>
        <w:t xml:space="preserve">relatively modest yield reductions, particularly when water deficits were imposed during drought-tolerant phenological stages and when deficit levels were carefully calibrated to crop-specific stress responses. Pereira et al. (2002) reinforced this view within the specific context of water-scarce Mediterranean and dryland agricultural systems, demonstrating that irrigation management under conditions of water scarcity requires a reorientation of scheduling objectives from yield </w:t>
      </w:r>
      <w:proofErr w:type="spellStart"/>
      <w:r>
        <w:t>maximisation</w:t>
      </w:r>
      <w:proofErr w:type="spellEnd"/>
      <w:r>
        <w:t xml:space="preserve"> to water productivity </w:t>
      </w:r>
      <w:proofErr w:type="spellStart"/>
      <w:r>
        <w:t>maximisation</w:t>
      </w:r>
      <w:proofErr w:type="spellEnd"/>
      <w:r>
        <w:t>—a shift in paradigm that effectively repositions DI as the rational default strategy rather than a concession to water scarcity.</w:t>
      </w:r>
    </w:p>
    <w:p w:rsidR="00ED23A3" w:rsidRDefault="00BC1956">
      <w:pPr>
        <w:pStyle w:val="Heading2"/>
      </w:pPr>
      <w:r>
        <w:t>4.2 Principal Variants of Deficit Irrigation</w:t>
      </w:r>
    </w:p>
    <w:p w:rsidR="00ED23A3" w:rsidRDefault="00BC1956">
      <w:pPr>
        <w:spacing w:after="160" w:line="360" w:lineRule="auto"/>
        <w:jc w:val="both"/>
      </w:pPr>
      <w:r>
        <w:t>Three principal variants of deficit irrigation have been developed, tested, and to varying extents adopted in commercial practice: regulated deficit irrigation (RDI), partial root zone drying (PRD), and sustained deficit irrigation (SDI). Each embodies a distinct physiological and agronomic logic that informs its applicability across crop types and agroecological contexts.</w:t>
      </w:r>
    </w:p>
    <w:p w:rsidR="00ED23A3" w:rsidRDefault="00BC1956">
      <w:pPr>
        <w:spacing w:after="160" w:line="360" w:lineRule="auto"/>
        <w:jc w:val="both"/>
      </w:pPr>
      <w:r>
        <w:t>Regulated deficit irrigation involves the deliberate imposition of crop water stress at defined phenological stages that have been identified through research as tolerant of water deficits without significant yield consequences, followed by full irrigation during critical growth stages such as flowering, grain filling, and fruit enlargement. The strategy was pioneered in deciduous fruit crops—particularly peaches, almonds, and grapevines—and has since been extended to a wide range of field and horticultural crops. The physiological rationale for RDI rests on the differential sensitivity of vegetative growth, fruit quality parameters, and reproductive yield components to water stress, with vegetative growth typically more sensitive than reproductive organs to mild deficits (</w:t>
      </w:r>
      <w:proofErr w:type="spellStart"/>
      <w:r>
        <w:t>Fereres</w:t>
      </w:r>
      <w:proofErr w:type="spellEnd"/>
      <w:r>
        <w:t xml:space="preserve"> &amp; Soriano, 2007). Chaves et al. (2007) demonstrated in grapevines that carefully timed RDI imposed during post-</w:t>
      </w:r>
      <w:proofErr w:type="spellStart"/>
      <w:r>
        <w:t>veraison</w:t>
      </w:r>
      <w:proofErr w:type="spellEnd"/>
      <w:r>
        <w:t xml:space="preserve"> resulted in notable improvements in berry quality attributes—including sugar concentration, anthocyanin content, and polyphenol composition—while reducing irrigation water use by 30–40% relative to fully irrigated controls. These findings exemplify the principle that well-designed RDI regimes can simultaneously improve water productivity and enhance marketable product quality.</w:t>
      </w:r>
    </w:p>
    <w:p w:rsidR="00ED23A3" w:rsidRDefault="00BC1956">
      <w:pPr>
        <w:spacing w:after="160" w:line="360" w:lineRule="auto"/>
        <w:jc w:val="both"/>
      </w:pPr>
      <w:r>
        <w:t xml:space="preserve">Partial root zone drying (PRD) is a more physiologically targeted technique in which alternating portions of the root zone are wetted and dried in rotation, maintaining part of the root system in a drying zone that generates chemical signals—principally abscisic acid </w:t>
      </w:r>
      <w:r>
        <w:lastRenderedPageBreak/>
        <w:t xml:space="preserve">(ABA)—transmitted to shoot tissues to induce partial stomatal closure and reduce transpiration, while the simultaneously irrigated portion maintains leaf turgor and photosynthetic function (Kang &amp; Zhang, 2004). The elegance of PRD lies in its capacity to exploit the chemical communication between roots and shoots to achieve water savings through stomatal regulation without imposing the level of leaf water potential depression that would reduce photosynthesis and carbon assimilation. Kang and Zhang (2004) reviewed the physiological consequences of PRD across a range of crops, documenting consistent reductions in transpiration water loss of 30–50%, accompanied by maintenance of dry matter production and fruit yield when management was </w:t>
      </w:r>
      <w:proofErr w:type="spellStart"/>
      <w:r>
        <w:t>optimised</w:t>
      </w:r>
      <w:proofErr w:type="spellEnd"/>
      <w:r>
        <w:t>. The technique has shown particular promise in vineyards, tomato, and potato production systems.</w:t>
      </w:r>
    </w:p>
    <w:p w:rsidR="00ED23A3" w:rsidRDefault="00BC1956">
      <w:pPr>
        <w:spacing w:after="160" w:line="360" w:lineRule="auto"/>
        <w:jc w:val="both"/>
      </w:pPr>
      <w:r>
        <w:t>Sustained deficit irrigation (SDI), also referred to in the literature as continuous deficit irrigation, involves the consistent application of water at a fixed fraction of full crop evapotranspiration throughout the growing season, rather than concentrating deficits at specific growth stages. Geerts and Raes (2009) argued that SDI is particularly applicable in regions with limited and unpredictable water supplies, where the flexibility to impose stage-specific deficits may not be practical. Their analysis, focused principally on quinoa and other water-efficient crops in the Bolivian Altiplano, demonstrated that carefully calibrated SDI regimes could achieve substantial improvements in crop water productivity compared to rainfed cultivation, offering a pathway to more reliable food production in dryland environments with supplemental irrigation.</w:t>
      </w:r>
    </w:p>
    <w:p w:rsidR="00ED23A3" w:rsidRDefault="00BC1956">
      <w:pPr>
        <w:pStyle w:val="Heading2"/>
      </w:pPr>
      <w:r>
        <w:t>4.3 Physiological Mechanisms Underlying Deficit Irrigation Responses</w:t>
      </w:r>
    </w:p>
    <w:p w:rsidR="00ED23A3" w:rsidRDefault="00BC1956">
      <w:pPr>
        <w:spacing w:after="160" w:line="360" w:lineRule="auto"/>
        <w:jc w:val="both"/>
      </w:pPr>
      <w:r>
        <w:t xml:space="preserve">A rigorous understanding of the physiological mechanisms by which crops respond to water deficit is essential for designing effective DI strategies. Farooq et al. (2009) provided a comprehensive synthesis of plant drought stress mechanisms, identifying osmotic adjustment, </w:t>
      </w:r>
      <w:proofErr w:type="spellStart"/>
      <w:r>
        <w:t>stomatal</w:t>
      </w:r>
      <w:proofErr w:type="spellEnd"/>
      <w:r>
        <w:t xml:space="preserve"> regulation, antioxidant </w:t>
      </w:r>
      <w:proofErr w:type="spellStart"/>
      <w:r>
        <w:t>defence</w:t>
      </w:r>
      <w:proofErr w:type="spellEnd"/>
      <w:r>
        <w:t xml:space="preserve"> activation, and root-to-shoot chemical </w:t>
      </w:r>
      <w:proofErr w:type="spellStart"/>
      <w:r>
        <w:t>signalling</w:t>
      </w:r>
      <w:proofErr w:type="spellEnd"/>
      <w:r>
        <w:t xml:space="preserve"> as the principal adaptive processes that determine the capacity of crops to maintain function under water limitation. Stomatal closure is the most immediate response to declining leaf water potential, serving to reduce </w:t>
      </w:r>
      <w:proofErr w:type="spellStart"/>
      <w:r>
        <w:t>transpirational</w:t>
      </w:r>
      <w:proofErr w:type="spellEnd"/>
      <w:r>
        <w:t xml:space="preserve"> water loss but simultaneously constraining CO₂ diffusion into the mesophyll and thereby limiting photosynthesis (</w:t>
      </w:r>
      <w:proofErr w:type="spellStart"/>
      <w:r>
        <w:t>Flexas</w:t>
      </w:r>
      <w:proofErr w:type="spellEnd"/>
      <w:r>
        <w:t xml:space="preserve"> et al., 2006). The balance between stomatal and mesophyll conductance limitations on photosynthesis under partial water stress is a critical determinant of the degree to which DI-induced water savings can be achieved without proportionate reductions in carbon assimilation and yield.</w:t>
      </w:r>
    </w:p>
    <w:p w:rsidR="00ED23A3" w:rsidRDefault="00BC1956">
      <w:pPr>
        <w:spacing w:after="160" w:line="360" w:lineRule="auto"/>
        <w:jc w:val="both"/>
      </w:pPr>
      <w:r>
        <w:lastRenderedPageBreak/>
        <w:t>At the whole-plant level, water stress during vegetative growth typically induces reductions in leaf area expansion and stem elongation—responses that, while reducing the transpiring surface area, may ultimately reduce the radiation interception capacity of the canopy and thereby limit yield formation (</w:t>
      </w:r>
      <w:proofErr w:type="spellStart"/>
      <w:r>
        <w:t>Steduto</w:t>
      </w:r>
      <w:proofErr w:type="spellEnd"/>
      <w:r>
        <w:t xml:space="preserve"> et al., 2009). This means that the timing of stress imposition is critical: vegetative stage stress that excessively limits canopy development can have carry-over effects on yield potential even after rewatering, whereas stress imposed post-anthesis during grain or fruit filling often has more benign effects on final yield. Hsiao et al. (2007) provided a systematic analysis of these relationships within the framework developed for the </w:t>
      </w:r>
      <w:proofErr w:type="spellStart"/>
      <w:r>
        <w:t>AquaCrop</w:t>
      </w:r>
      <w:proofErr w:type="spellEnd"/>
      <w:r>
        <w:t xml:space="preserve"> crop model, articulating how biomass production efficiency and harvest index interact with water stress at different crop developmental stages to determine the final yield–water relationship.</w:t>
      </w:r>
    </w:p>
    <w:p w:rsidR="00ED23A3" w:rsidRDefault="00BC1956">
      <w:pPr>
        <w:pStyle w:val="Heading1"/>
      </w:pPr>
      <w:r>
        <w:t>5. Crop Water Productivity and Water Use Efficiency</w:t>
      </w:r>
    </w:p>
    <w:p w:rsidR="00ED23A3" w:rsidRDefault="00BC1956">
      <w:pPr>
        <w:pStyle w:val="Heading2"/>
      </w:pPr>
      <w:r>
        <w:t>5.1 Conceptual Clarification</w:t>
      </w:r>
    </w:p>
    <w:p w:rsidR="00ED23A3" w:rsidRDefault="00BC1956">
      <w:pPr>
        <w:spacing w:after="160" w:line="360" w:lineRule="auto"/>
        <w:jc w:val="both"/>
      </w:pPr>
      <w:r>
        <w:t xml:space="preserve">Water use efficiency (WUE) and crop water productivity (CWP) are related but conceptually distinct metrics that are frequently invoked in evaluating the performance of irrigation strategies. WUE is typically defined at the leaf or canopy level as the ratio of carbon assimilation to transpiration, reflecting the intrinsic efficiency of the photosynthetic process in </w:t>
      </w:r>
      <w:proofErr w:type="spellStart"/>
      <w:r>
        <w:t>utilising</w:t>
      </w:r>
      <w:proofErr w:type="spellEnd"/>
      <w:r>
        <w:t xml:space="preserve"> water. CWP, as employed in irrigation science, refers to the ratio of marketable crop yield (or dry matter) to the total amount of water consumed through evapotranspiration over the growing season, and is more useful for assessing the agronomic and economic value of water used in irrigation (</w:t>
      </w:r>
      <w:proofErr w:type="spellStart"/>
      <w:r>
        <w:t>Zwart</w:t>
      </w:r>
      <w:proofErr w:type="spellEnd"/>
      <w:r>
        <w:t xml:space="preserve"> &amp; </w:t>
      </w:r>
      <w:proofErr w:type="spellStart"/>
      <w:r>
        <w:t>Bastiaanssen</w:t>
      </w:r>
      <w:proofErr w:type="spellEnd"/>
      <w:r>
        <w:t xml:space="preserve">, 2004). Evett and Tolk (2009) drew attention to the frequent conflation of these terms in the literature and the importance of distinguishing between water productivity improvements arising from agronomic management (DI, cultivar selection, </w:t>
      </w:r>
      <w:proofErr w:type="spellStart"/>
      <w:r>
        <w:t>fertilisation</w:t>
      </w:r>
      <w:proofErr w:type="spellEnd"/>
      <w:r>
        <w:t>) and those arising from changes in crop water supply.</w:t>
      </w:r>
    </w:p>
    <w:p w:rsidR="00ED23A3" w:rsidRDefault="00BC1956">
      <w:pPr>
        <w:spacing w:after="160" w:line="360" w:lineRule="auto"/>
        <w:jc w:val="both"/>
      </w:pPr>
      <w:proofErr w:type="spellStart"/>
      <w:r>
        <w:t>Zwart</w:t>
      </w:r>
      <w:proofErr w:type="spellEnd"/>
      <w:r>
        <w:t xml:space="preserve"> and </w:t>
      </w:r>
      <w:proofErr w:type="spellStart"/>
      <w:r>
        <w:t>Bastiaanssen</w:t>
      </w:r>
      <w:proofErr w:type="spellEnd"/>
      <w:r>
        <w:t xml:space="preserve"> (2004) conducted a comprehensive review of measured CWP values across irrigated wheat, rice, cotton, and maize globally, establishing benchmark values that have been widely used in subsequent analyses. Their findings indicated considerable variability in CWP across regions and management systems, with benchmark values of approximately 1.09 kg m⁻³ for wheat, 1.09 kg m⁻³ for rice, 0.65 kg m⁻³ for cotton, and 1.80 kg m⁻³ for maize. These values reflect the collective outcome of genetic, agronomic, climatic, and management factors, and demonstrate the substantial scope for improvement through </w:t>
      </w:r>
      <w:proofErr w:type="spellStart"/>
      <w:r>
        <w:lastRenderedPageBreak/>
        <w:t>optimised</w:t>
      </w:r>
      <w:proofErr w:type="spellEnd"/>
      <w:r>
        <w:t xml:space="preserve"> water management. The review found that high CWP values were associated with high-yield production systems, </w:t>
      </w:r>
      <w:proofErr w:type="spellStart"/>
      <w:r>
        <w:t>favourable</w:t>
      </w:r>
      <w:proofErr w:type="spellEnd"/>
      <w:r>
        <w:t xml:space="preserve"> climates, and efficient irrigation management—conditions achievable through DI and PWM interventions.</w:t>
      </w:r>
    </w:p>
    <w:p w:rsidR="00ED23A3" w:rsidRDefault="00BC1956">
      <w:pPr>
        <w:pStyle w:val="Heading2"/>
      </w:pPr>
      <w:r>
        <w:t>5.2 Water Productivity Under Deficit Irrigation</w:t>
      </w:r>
    </w:p>
    <w:p w:rsidR="00ED23A3" w:rsidRDefault="00BC1956">
      <w:pPr>
        <w:spacing w:after="160" w:line="360" w:lineRule="auto"/>
        <w:jc w:val="both"/>
      </w:pPr>
      <w:r>
        <w:t>The central proposition of deficit irrigation is that moderate water deficits can increase CWP even as they marginally reduce total yield, by improving the ratio of yield to water consumed. This occurs because the water saved through deficit application is proportionally greater than the yield reduction incurred, effectively shifting the water–yield relationship towards higher productivity per unit of water (</w:t>
      </w:r>
      <w:proofErr w:type="spellStart"/>
      <w:r>
        <w:t>Fereres</w:t>
      </w:r>
      <w:proofErr w:type="spellEnd"/>
      <w:r>
        <w:t xml:space="preserve"> &amp; Soriano, 2007). </w:t>
      </w:r>
      <w:proofErr w:type="spellStart"/>
      <w:r>
        <w:t>Jägermeyr</w:t>
      </w:r>
      <w:proofErr w:type="spellEnd"/>
      <w:r>
        <w:t xml:space="preserve"> et al. (2016) modelled the global potential of improved crop water management—including DI, supplemental irrigation, and rainwater harvesting—and found that integrated approaches could sustainably reduce the global food gap by up to 41%, with CWP improvements being a central mechanism. Their simulations suggested that deficit irrigation combined with efficient application technologies could achieve water savings of 8–15% of current global irrigation withdrawals while maintaining or slightly improving food production, representing a significant potential contribution to global water security.</w:t>
      </w:r>
    </w:p>
    <w:p w:rsidR="00ED23A3" w:rsidRDefault="00BC1956">
      <w:pPr>
        <w:spacing w:after="160" w:line="360" w:lineRule="auto"/>
        <w:jc w:val="both"/>
      </w:pPr>
      <w:r>
        <w:t xml:space="preserve">Pereira et al. (2015) reviewed the evolution and application of the FAO-56 evapotranspiration estimation methodology, noting that accurate estimation of crop evapotranspiration is foundational to any DI scheduling system. The dual crop coefficient approach of FAO-56 allows the separate estimation of soil evaporation and crop transpiration components, providing irrigation managers with a more precise basis for deciding when and how much to irrigate under deficit conditions. Integration of FAO-56 with locally calibrated crop coefficients, soil water balance modelling, and real-time climate data has enabled significant improvements in irrigation efficiency across diverse production systems. </w:t>
      </w:r>
      <w:proofErr w:type="spellStart"/>
      <w:r>
        <w:t>Bastiaanssen</w:t>
      </w:r>
      <w:proofErr w:type="spellEnd"/>
      <w:r>
        <w:t xml:space="preserve"> et al. (2000) demonstrated that remote sensing platforms could provide spatially distributed estimates of actual evapotranspiration at field and catchment scales through surface energy balance algorithms, enabling performance benchmarking of irrigation systems and identification of areas where water productivity could be improved through better management.</w:t>
      </w:r>
    </w:p>
    <w:p w:rsidR="00ED23A3" w:rsidRDefault="00BC1956">
      <w:pPr>
        <w:pStyle w:val="Heading1"/>
      </w:pPr>
      <w:r>
        <w:t>6. Precision Water Management Technologies</w:t>
      </w:r>
    </w:p>
    <w:p w:rsidR="00ED23A3" w:rsidRDefault="00BC1956">
      <w:pPr>
        <w:pStyle w:val="Heading2"/>
      </w:pPr>
      <w:r>
        <w:t>6.1 Soil Moisture Monitoring and Sensor Technologies</w:t>
      </w:r>
    </w:p>
    <w:p w:rsidR="00ED23A3" w:rsidRDefault="00BC1956">
      <w:pPr>
        <w:spacing w:after="160" w:line="360" w:lineRule="auto"/>
        <w:jc w:val="both"/>
      </w:pPr>
      <w:r>
        <w:lastRenderedPageBreak/>
        <w:t xml:space="preserve">Precision water management is built upon the capacity to measure, model, and respond to soil water status at high spatial and temporal resolution. Soil moisture monitoring technologies have advanced substantially over the past two decades, transitioning from </w:t>
      </w:r>
      <w:proofErr w:type="spellStart"/>
      <w:r>
        <w:t>labour</w:t>
      </w:r>
      <w:proofErr w:type="spellEnd"/>
      <w:r>
        <w:t>-intensive gravimetric sampling to a diverse array of electronic sensors capable of continuous, automated measurement (Ojha et al., 2015). Capacitance-based sensors, time-domain reflectometry (TDR) probes, frequency-domain reflectometry (FDR) sensors, and tensiometers are among the most widely deployed technologies, each offering distinct trade-offs between accuracy, cost, ease of installation, and maintenance requirements. The utility of these instruments for DI scheduling lies in their capacity to provide real-time information on the position of soil water content relative to field-defined critical thresholds—typically expressed as fractions of plant available water—that trigger or withhold irrigation events.</w:t>
      </w:r>
    </w:p>
    <w:p w:rsidR="00ED23A3" w:rsidRDefault="00BC1956">
      <w:pPr>
        <w:spacing w:after="160" w:line="360" w:lineRule="auto"/>
        <w:jc w:val="both"/>
      </w:pPr>
      <w:r>
        <w:t xml:space="preserve">Jones (2004) offered a thorough evaluation of plant-based methods for irrigation scheduling, which complement soil-based approaches by measuring physiological indicators of water status directly in the crop—including leaf water potential, stem water potential, stomatal conductance, canopy temperature, and leaf turgor. Plant-based methods offer the fundamental advantage of integrating the crop's actual stress experience, rather than inferring stress from soil water content through soil-specific </w:t>
      </w:r>
      <w:proofErr w:type="spellStart"/>
      <w:r>
        <w:t>pedotransfer</w:t>
      </w:r>
      <w:proofErr w:type="spellEnd"/>
      <w:r>
        <w:t xml:space="preserve"> functions. The paper identified thermal infrared canopy temperature sensing as one of the most promising non-destructive plant stress indicators, a technology that has since been substantially developed within remote sensing platforms. Ihuoma and Madramootoo (2017) provided a more recent synthesis of crop water stress detection advances, highlighting the growing integration of visible, near-infrared, and thermal imaging within unmanned aerial vehicle (UAV) platforms as a means of achieving high-resolution canopy stress mapping at field scales.</w:t>
      </w:r>
    </w:p>
    <w:p w:rsidR="00ED23A3" w:rsidRDefault="00BC1956">
      <w:pPr>
        <w:pStyle w:val="Heading2"/>
      </w:pPr>
      <w:r>
        <w:t>6.2 Remote Sensing and Geographic Information Systems</w:t>
      </w:r>
    </w:p>
    <w:p w:rsidR="00ED23A3" w:rsidRDefault="00BC1956">
      <w:pPr>
        <w:spacing w:after="160" w:line="360" w:lineRule="auto"/>
        <w:jc w:val="both"/>
      </w:pPr>
      <w:r>
        <w:t>Remote sensing has become an indispensable tool for precision water management in agriculture, providing spatially continuous and temporally repeatable estimates of canopy conditions, evapotranspiration, soil moisture, and crop water status that are unattainable through point-based ground monitoring alone (</w:t>
      </w:r>
      <w:proofErr w:type="spellStart"/>
      <w:r>
        <w:t>Bastiaanssen</w:t>
      </w:r>
      <w:proofErr w:type="spellEnd"/>
      <w:r>
        <w:t xml:space="preserve"> et al., 2000). Satellite platforms such as Landsat, MODIS, Sentinel-2, and SPOT have been widely used to derive vegetation indices—including the </w:t>
      </w:r>
      <w:proofErr w:type="spellStart"/>
      <w:r>
        <w:t>Normalised</w:t>
      </w:r>
      <w:proofErr w:type="spellEnd"/>
      <w:r>
        <w:t xml:space="preserve"> Difference Vegetation Index (NDVI) and the Enhanced Vegetation Index (EVI)—that serve as proxies for crop biomass, canopy cover, and water stress severity. Thermal infrared sensors aboard these platforms enable the estimation of land surface temperature, which, when combined with energy balance models, allows spatially </w:t>
      </w:r>
      <w:r>
        <w:lastRenderedPageBreak/>
        <w:t>distributed estimates of actual evapotranspiration to be derived across irrigation districts. Geographic Information Systems (GIS) provide the analytical infrastructure to integrate remotely sensed data layers with digital elevation models, soil maps, and hydrological information, supporting spatial decision-making for variable-rate irrigation and water allocation planning.</w:t>
      </w:r>
    </w:p>
    <w:p w:rsidR="00ED23A3" w:rsidRDefault="00BC1956">
      <w:pPr>
        <w:spacing w:after="160" w:line="360" w:lineRule="auto"/>
        <w:jc w:val="both"/>
      </w:pPr>
      <w:r>
        <w:t>Koech and Langat (2018) reviewed advances in irrigation water use efficiency in the Australian context, documenting the integration of satellite-derived evapotranspiration estimation with on-farm irrigation management systems as a key driver of efficiency improvements in large-scale horticultural and irrigated broadacre enterprises. Their analysis highlighted the persistent barriers to adoption of remote sensing tools by individual farmers, including data processing complexity, subscription costs for commercial products, and the need for local calibration to translate landscape-scale remote sensing estimates into actionable field-level irrigation recommendations. These challenges notwithstanding, the progressive reduction in costs of commercial satellite data and the development of cloud-based spatial processing platforms are substantially lowering the threshold for remote sensing integration in operational irrigation management.</w:t>
      </w:r>
    </w:p>
    <w:p w:rsidR="00ED23A3" w:rsidRDefault="00BC1956">
      <w:pPr>
        <w:pStyle w:val="Heading2"/>
      </w:pPr>
      <w:r>
        <w:t>6.3 Internet of Things, Smart Irrigation, and Automation</w:t>
      </w:r>
    </w:p>
    <w:p w:rsidR="00ED23A3" w:rsidRDefault="00BC1956">
      <w:pPr>
        <w:spacing w:after="160" w:line="360" w:lineRule="auto"/>
        <w:jc w:val="both"/>
      </w:pPr>
      <w:r>
        <w:t>The emergence of the Internet of Things (</w:t>
      </w:r>
      <w:proofErr w:type="spellStart"/>
      <w:r>
        <w:t>IoT</w:t>
      </w:r>
      <w:proofErr w:type="spellEnd"/>
      <w:r>
        <w:t xml:space="preserve">) has </w:t>
      </w:r>
      <w:proofErr w:type="spellStart"/>
      <w:r>
        <w:t>catalysed</w:t>
      </w:r>
      <w:proofErr w:type="spellEnd"/>
      <w:r>
        <w:t xml:space="preserve"> a new era of precision water management, enabling the wireless integration of distributed sensors, actuators, data processing platforms, and user interfaces into coherent smart irrigation systems capable of autonomous or near-autonomous irrigation control (Ojha et al., 2015). IoT architectures for smart irrigation typically comprise field sensor nodes—measuring soil moisture, soil temperature, canopy temperature, wind speed, solar radiation, and precipitation—communicating wirelessly via protocols such as </w:t>
      </w:r>
      <w:proofErr w:type="spellStart"/>
      <w:r>
        <w:t>LoRaWAN</w:t>
      </w:r>
      <w:proofErr w:type="spellEnd"/>
      <w:r>
        <w:t xml:space="preserve">, </w:t>
      </w:r>
      <w:proofErr w:type="spellStart"/>
      <w:r>
        <w:t>Zigbee</w:t>
      </w:r>
      <w:proofErr w:type="spellEnd"/>
      <w:r>
        <w:t xml:space="preserve">, or cellular networks to a </w:t>
      </w:r>
      <w:proofErr w:type="spellStart"/>
      <w:r>
        <w:t>centralised</w:t>
      </w:r>
      <w:proofErr w:type="spellEnd"/>
      <w:r>
        <w:t xml:space="preserve"> data gateway or cloud-based platform where real-time data analytics and irrigation scheduling algorithms operate. Automated valve control systems receive scheduling instructions from the platform, enabling irrigation volumes and timing to be adjusted at sub-field resolution without manual intervention.</w:t>
      </w:r>
    </w:p>
    <w:p w:rsidR="00ED23A3" w:rsidRDefault="00BC1956">
      <w:pPr>
        <w:spacing w:after="160" w:line="360" w:lineRule="auto"/>
        <w:jc w:val="both"/>
      </w:pPr>
      <w:proofErr w:type="spellStart"/>
      <w:r>
        <w:t>Vellidis</w:t>
      </w:r>
      <w:proofErr w:type="spellEnd"/>
      <w:r>
        <w:t xml:space="preserve"> et al. (2008) described an early operational prototype of a wireless smart sensor array for irrigation scheduling in cotton production, demonstrating that automated scheduling based on real-time soil water data consistently maintained soil moisture within a target range with substantially lower irrigation volumes than calendar-based scheduling. This foundational </w:t>
      </w:r>
      <w:r>
        <w:lastRenderedPageBreak/>
        <w:t xml:space="preserve">study established the proof of concept that has been elaborated and </w:t>
      </w:r>
      <w:proofErr w:type="spellStart"/>
      <w:r>
        <w:t>commercialised</w:t>
      </w:r>
      <w:proofErr w:type="spellEnd"/>
      <w:r>
        <w:t xml:space="preserve"> in subsequent generations of smart irrigation technology. Goldstein et al. (2018) extended this paradigm by applying machine learning algorithms to multi-variable sensor data streams to generate dynamic irrigation recommendations calibrated to agronomist experience and field-specific production objectives, demonstrating the potential of artificial intelligence to bridge the knowledge gap between data availability and actionable management advice. Their study illustrated that machine learning models trained on sensor data could capture complex, non-linear relationships between soil water status, atmospheric demand, crop development stage, and optimal irrigation amounts that rule-based scheduling systems would struggle to replicate.</w:t>
      </w:r>
    </w:p>
    <w:p w:rsidR="00ED23A3" w:rsidRDefault="00BC1956">
      <w:pPr>
        <w:pStyle w:val="Heading2"/>
      </w:pPr>
      <w:r>
        <w:t>6.4 Decision Support Systems and Crop Modelling</w:t>
      </w:r>
    </w:p>
    <w:p w:rsidR="00ED23A3" w:rsidRDefault="00BC1956">
      <w:pPr>
        <w:spacing w:after="160" w:line="360" w:lineRule="auto"/>
        <w:jc w:val="both"/>
      </w:pPr>
      <w:r>
        <w:t>Decision support systems (DSS) for irrigation management integrate meteorological data, soil water balance modelling, and crop response models to provide irrigation managers with forward-looking scheduling recommendations that account for both current soil water status and anticipated evaporative demand (</w:t>
      </w:r>
      <w:proofErr w:type="spellStart"/>
      <w:r>
        <w:t>Steduto</w:t>
      </w:r>
      <w:proofErr w:type="spellEnd"/>
      <w:r>
        <w:t xml:space="preserve"> et al., 2009). The </w:t>
      </w:r>
      <w:proofErr w:type="spellStart"/>
      <w:r>
        <w:t>AquaCrop</w:t>
      </w:r>
      <w:proofErr w:type="spellEnd"/>
      <w:r>
        <w:t xml:space="preserve"> model, developed by the Food and Agriculture </w:t>
      </w:r>
      <w:proofErr w:type="spellStart"/>
      <w:r>
        <w:t>Organisation</w:t>
      </w:r>
      <w:proofErr w:type="spellEnd"/>
      <w:r>
        <w:t xml:space="preserve"> of the United Nations, represents the most widely validated crop simulation tool for irrigation management and DI </w:t>
      </w:r>
      <w:proofErr w:type="spellStart"/>
      <w:r>
        <w:t>optimisation</w:t>
      </w:r>
      <w:proofErr w:type="spellEnd"/>
      <w:r>
        <w:t xml:space="preserve">, operating through a water-driven simulation architecture that relates above-ground biomass production to transpiration—rather than total </w:t>
      </w:r>
      <w:proofErr w:type="spellStart"/>
      <w:r>
        <w:t>evapotranspiration</w:t>
      </w:r>
      <w:proofErr w:type="spellEnd"/>
      <w:r>
        <w:t xml:space="preserve">—using a </w:t>
      </w:r>
      <w:proofErr w:type="spellStart"/>
      <w:r>
        <w:t>normalised</w:t>
      </w:r>
      <w:proofErr w:type="spellEnd"/>
      <w:r>
        <w:t xml:space="preserve"> water productivity parameter (</w:t>
      </w:r>
      <w:proofErr w:type="spellStart"/>
      <w:r>
        <w:t>Steduto</w:t>
      </w:r>
      <w:proofErr w:type="spellEnd"/>
      <w:r>
        <w:t xml:space="preserve"> et al., 2009). This </w:t>
      </w:r>
      <w:proofErr w:type="spellStart"/>
      <w:r>
        <w:t>parameterisation</w:t>
      </w:r>
      <w:proofErr w:type="spellEnd"/>
      <w:r>
        <w:t xml:space="preserve"> makes </w:t>
      </w:r>
      <w:proofErr w:type="spellStart"/>
      <w:r>
        <w:t>AquaCrop</w:t>
      </w:r>
      <w:proofErr w:type="spellEnd"/>
      <w:r>
        <w:t xml:space="preserve"> applicable across diverse climatic conditions with limited local calibration, and its incorporation of water stress response functions for canopy development, stomatal conductance, and harvest index enables realistic simulation of yield responses to a wide range of DI regimes.</w:t>
      </w:r>
    </w:p>
    <w:p w:rsidR="00ED23A3" w:rsidRDefault="00BC1956">
      <w:pPr>
        <w:spacing w:after="160" w:line="360" w:lineRule="auto"/>
        <w:jc w:val="both"/>
      </w:pPr>
      <w:r>
        <w:t xml:space="preserve">The integration of </w:t>
      </w:r>
      <w:proofErr w:type="spellStart"/>
      <w:r>
        <w:t>AquaCrop</w:t>
      </w:r>
      <w:proofErr w:type="spellEnd"/>
      <w:r>
        <w:t xml:space="preserve"> and similar models with real-time data feeds from sensor networks and satellite imagery represents a frontier in precision irrigation management, enabling dynamic updating of simulated soil water balances and crop development trajectories as field conditions evolve. Pereira et al. (2015) documented the trajectory of FAO-56 adoption in irrigation practice and outlined the challenges associated with operational implementation of evapotranspiration-based scheduling tools in diverse institutional and agroclimatic settings, identifying data quality, user capacity, and system integration as the primary barriers to more widespread operational use. Hsiao et al. (2007) provided a systematic framework for integrating crop water stress functions into simulation models, demonstrating how quantitative analysis of transpiration efficiency and its response </w:t>
      </w:r>
      <w:r>
        <w:lastRenderedPageBreak/>
        <w:t>to atmospheric demand can underpin both model development and practical water management.</w:t>
      </w:r>
    </w:p>
    <w:p w:rsidR="00ED23A3" w:rsidRDefault="00BC1956">
      <w:pPr>
        <w:pStyle w:val="Heading1"/>
      </w:pPr>
      <w:r>
        <w:t>7. Climate-Smart Agriculture and Deficit Irrigation</w:t>
      </w:r>
    </w:p>
    <w:p w:rsidR="00ED23A3" w:rsidRDefault="00BC1956">
      <w:pPr>
        <w:pStyle w:val="Heading2"/>
      </w:pPr>
      <w:r>
        <w:t>7.1 The Climate-Smart Agriculture Framework</w:t>
      </w:r>
    </w:p>
    <w:p w:rsidR="00ED23A3" w:rsidRDefault="00BC1956">
      <w:pPr>
        <w:spacing w:after="160" w:line="360" w:lineRule="auto"/>
        <w:jc w:val="both"/>
      </w:pPr>
      <w:r>
        <w:t xml:space="preserve">Climate-smart agriculture was formally articulated by the Food and Agriculture </w:t>
      </w:r>
      <w:proofErr w:type="spellStart"/>
      <w:r>
        <w:t>Organisation</w:t>
      </w:r>
      <w:proofErr w:type="spellEnd"/>
      <w:r>
        <w:t xml:space="preserve"> of the United Nations in the run-up to the 2010 Hague Conference on Agriculture, Food Security, and Climate Change, and has since been widely adopted as an </w:t>
      </w:r>
      <w:proofErr w:type="spellStart"/>
      <w:r>
        <w:t>organising</w:t>
      </w:r>
      <w:proofErr w:type="spellEnd"/>
      <w:r>
        <w:t xml:space="preserve"> framework for national agricultural development strategies and international climate finance mechanisms. Lipper et al. (2014) provided a landmark analysis of CSA in the journal Nature Climate Change, defining it as agriculture that sustainably increases productivity and incomes, enhances the resilience and adaptive capacity of food systems and livelihoods, and reduces and/or removes greenhouse gas emissions where possible. Critically, the authors acknowledged that trade-offs among these three objectives are common, and that the relative </w:t>
      </w:r>
      <w:proofErr w:type="spellStart"/>
      <w:r>
        <w:t>prioritisation</w:t>
      </w:r>
      <w:proofErr w:type="spellEnd"/>
      <w:r>
        <w:t xml:space="preserve"> of productivity, adaptation, and mitigation goals must be contextually determined, with food security and poverty reduction taking precedence in the most vulnerable agricultural systems.</w:t>
      </w:r>
    </w:p>
    <w:p w:rsidR="00ED23A3" w:rsidRDefault="00BC1956">
      <w:pPr>
        <w:spacing w:after="160" w:line="360" w:lineRule="auto"/>
        <w:jc w:val="both"/>
      </w:pPr>
      <w:r>
        <w:t>The CSA framework has been critiqued for its ambiguity and susceptibility to co-optation by agribusiness interests promoting technological solutions with limited smallholder relevance (Garnett et al., 2013). Nevertheless, the framework provides a useful analytical lens for evaluating DI and PWM, as these strategies have demonstrable co-benefits across all three CSA objectives. Godfray et al. (2010) articulated the overarching challenge of feeding a world of nine billion people sustainably, identifying the closing of yield gaps through improved management practices—of which irrigation efficiency is a key component—as one of the most significant opportunities in the sustainable intensification agenda. This framing positions DI and PWM not merely as water conservation tools but as integral components of a broader strategy for sustainable agricultural intensification.</w:t>
      </w:r>
    </w:p>
    <w:p w:rsidR="00ED23A3" w:rsidRDefault="00BC1956">
      <w:pPr>
        <w:pStyle w:val="Heading2"/>
      </w:pPr>
      <w:r>
        <w:t>7.2 Deficit Irrigation as a Climate Adaptation and Mitigation Strategy</w:t>
      </w:r>
    </w:p>
    <w:p w:rsidR="00ED23A3" w:rsidRDefault="00BC1956">
      <w:pPr>
        <w:spacing w:after="160" w:line="360" w:lineRule="auto"/>
        <w:jc w:val="both"/>
      </w:pPr>
      <w:r>
        <w:t xml:space="preserve">As a climate adaptation strategy, DI enables continued agricultural production in the face of declining and more variable water availability by reducing per-unit-area water demand and improving the reliability of yield under water-stressed conditions. Geerts and Raes (2009) demonstrated that supplemental DI in rainfed systems—applying small amounts of water at </w:t>
      </w:r>
      <w:r>
        <w:lastRenderedPageBreak/>
        <w:t xml:space="preserve">critical growth stages to buffer against in-season drought—can </w:t>
      </w:r>
      <w:proofErr w:type="spellStart"/>
      <w:r>
        <w:t>stabilise</w:t>
      </w:r>
      <w:proofErr w:type="spellEnd"/>
      <w:r>
        <w:t xml:space="preserve"> yields and reduce interannual yield variability substantially, a critical dimension of adaptation in drought-prone agroecological zones. The capacity of DI to decouple crop production from full irrigation water supply provides a degree of resilience to hydrological shocks—including drought events, low reservoir storage, and restricted groundwater access—that fully irrigated systems lack.</w:t>
      </w:r>
    </w:p>
    <w:p w:rsidR="00ED23A3" w:rsidRDefault="00BC1956">
      <w:pPr>
        <w:spacing w:after="160" w:line="360" w:lineRule="auto"/>
        <w:jc w:val="both"/>
      </w:pPr>
      <w:r>
        <w:t xml:space="preserve">The mitigation co-benefits of DI and PWM, whilst less extensively documented than productivity and adaptation effects, are potentially significant. </w:t>
      </w:r>
      <w:proofErr w:type="spellStart"/>
      <w:r>
        <w:t>Fereres</w:t>
      </w:r>
      <w:proofErr w:type="spellEnd"/>
      <w:r>
        <w:t xml:space="preserve"> et al. (2011) argued that water-efficient irrigation management contributes to greenhouse gas mitigation by reducing energy consumption in water lifting and distribution—a major and often overlooked source of agricultural emissions in regions dependent on groundwater pumping—and by facilitating the substitution of unsustainable irrigation practices that are associated with </w:t>
      </w:r>
      <w:proofErr w:type="spellStart"/>
      <w:r>
        <w:t>waterlogging</w:t>
      </w:r>
      <w:proofErr w:type="spellEnd"/>
      <w:r>
        <w:t xml:space="preserve">, soil </w:t>
      </w:r>
      <w:proofErr w:type="spellStart"/>
      <w:r>
        <w:t>salinisation</w:t>
      </w:r>
      <w:proofErr w:type="spellEnd"/>
      <w:r>
        <w:t xml:space="preserve">, and land degradation. </w:t>
      </w:r>
      <w:proofErr w:type="spellStart"/>
      <w:r>
        <w:t>Jägermeyr</w:t>
      </w:r>
      <w:proofErr w:type="spellEnd"/>
      <w:r>
        <w:t xml:space="preserve"> et al. (2016) estimated that widespread adoption of improved crop water management, including DI, could reduce global consumptive irrigation water use by approximately 8–15%, with associated reductions in pumping energy and carbon emissions. Additionally, the use of precision irrigation technologies to prevent excessive soil saturation has been linked to reductions in soil nitrous oxide emissions, a greenhouse gas with approximately 273 times the warming potential of carbon dioxide on a 100-year time horizon (IPCC, 2021).</w:t>
      </w:r>
    </w:p>
    <w:p w:rsidR="00ED23A3" w:rsidRDefault="00BC1956">
      <w:pPr>
        <w:pStyle w:val="Heading1"/>
      </w:pPr>
      <w:r>
        <w:t>8. Agronomic Performance and Crop-Specific Responses</w:t>
      </w:r>
    </w:p>
    <w:p w:rsidR="00ED23A3" w:rsidRDefault="00BC1956">
      <w:pPr>
        <w:pStyle w:val="Heading2"/>
      </w:pPr>
      <w:r>
        <w:t>8.1 Cereal Crops</w:t>
      </w:r>
    </w:p>
    <w:p w:rsidR="00ED23A3" w:rsidRDefault="00BC1956">
      <w:pPr>
        <w:spacing w:after="160" w:line="360" w:lineRule="auto"/>
        <w:jc w:val="both"/>
      </w:pPr>
      <w:r>
        <w:t>Cereal crops—including wheat, maize, and rice—account for the majority of global irrigated area and are central to food security in water-scarce developing regions. The agronomic responses of these crops to DI have been extensively studied in field experiments across diverse agroecological settings, providing a substantial evidence base for the design of DI protocols. For wheat, research conducted in Mediterranean, Central Asian, and South Asian environments consistently indicates that deficit irrigation applied during tillering and stem elongation stages, followed by full irrigation during booting, anthesis, and early grain filling, achieves water savings of 20–40% relative to full irrigation with yield reductions typically less than 10–15% (Pereira et al., 2002; Geerts &amp; Raes, 2009). These outcomes reflect the wheat crop's moderate drought tolerance during vegetative stages and high sensitivity to water deficit around anthesis.</w:t>
      </w:r>
    </w:p>
    <w:p w:rsidR="00ED23A3" w:rsidRDefault="00BC1956">
      <w:pPr>
        <w:spacing w:after="160" w:line="360" w:lineRule="auto"/>
        <w:jc w:val="both"/>
      </w:pPr>
      <w:r>
        <w:lastRenderedPageBreak/>
        <w:t xml:space="preserve">In maize, which is highly sensitive to water stress during </w:t>
      </w:r>
      <w:proofErr w:type="spellStart"/>
      <w:r>
        <w:t>tasselling</w:t>
      </w:r>
      <w:proofErr w:type="spellEnd"/>
      <w:r>
        <w:t xml:space="preserve"> and </w:t>
      </w:r>
      <w:proofErr w:type="spellStart"/>
      <w:r>
        <w:t>silking</w:t>
      </w:r>
      <w:proofErr w:type="spellEnd"/>
      <w:r>
        <w:t xml:space="preserve"> stages due to the critical role of pollen viability in kernel set, DI protocols must be more carefully calibrated to avoid imposing stress during the narrow peri-critical reproductive window. </w:t>
      </w:r>
      <w:proofErr w:type="spellStart"/>
      <w:r>
        <w:t>Steduto</w:t>
      </w:r>
      <w:proofErr w:type="spellEnd"/>
      <w:r>
        <w:t xml:space="preserve"> et al. (2009) demonstrated through </w:t>
      </w:r>
      <w:proofErr w:type="spellStart"/>
      <w:r>
        <w:t>AquaCrop</w:t>
      </w:r>
      <w:proofErr w:type="spellEnd"/>
      <w:r>
        <w:t xml:space="preserve"> simulations that maize grain yield is disproportionately reduced by water deficits occurring between </w:t>
      </w:r>
      <w:proofErr w:type="spellStart"/>
      <w:r>
        <w:t>tasselling</w:t>
      </w:r>
      <w:proofErr w:type="spellEnd"/>
      <w:r>
        <w:t xml:space="preserve"> and grain fill completion, suggesting that DI in maize should target post-silking or early-season vegetative stress rather than reproductive stage limitation. Rice cultivation, particularly in flooded paddy systems, presents distinctive challenges and opportunities for DI: the practice of alternate wetting and drying (AWD), which involves periodic drying of paddy fields between irrigations, has been extensively validated as an effective form of DI that reduces paddy water consumption by 15–30% while maintaining yields within 5–10% of continuously flooded controls, and simultaneously reducing methane emissions—a major source of agricultural greenhouse gases—by 30–70% (FAO, 2020).</w:t>
      </w:r>
    </w:p>
    <w:p w:rsidR="00ED23A3" w:rsidRDefault="00BC1956">
      <w:pPr>
        <w:pStyle w:val="Heading2"/>
      </w:pPr>
      <w:r>
        <w:t>8.2 Horticultural and Fruit Crops</w:t>
      </w:r>
    </w:p>
    <w:p w:rsidR="00ED23A3" w:rsidRDefault="00BC1956">
      <w:pPr>
        <w:spacing w:after="160" w:line="360" w:lineRule="auto"/>
        <w:jc w:val="both"/>
      </w:pPr>
      <w:r>
        <w:t>Horticultural and perennial fruit crops occupy a particularly important niche in DI research because their relatively high value per unit of water creates strong economic incentives for precise irrigation management, and because the quality attributes of many fruits are positively influenced by mild water stress. As discussed in Section 4.2, grapevines represent the most extensively studied perennial crop under DI, with a large body of literature confirming that RDI and PRD can improve wine grape quality while reducing irrigation water use substantially (Chaves et al., 2007). Similar beneficial effects of carefully managed deficit stress on fruit quality attributes have been documented in olive, almond, stone fruits (peach, plum, apricot), and citrus—crops that are central to the agricultural economies of water-scarce Mediterranean and semi-arid regions.</w:t>
      </w:r>
    </w:p>
    <w:p w:rsidR="00ED23A3" w:rsidRDefault="00BC1956">
      <w:pPr>
        <w:spacing w:after="160" w:line="360" w:lineRule="auto"/>
        <w:jc w:val="both"/>
      </w:pPr>
      <w:r>
        <w:t>For olive trees, DI research has demonstrated that irrigation at 33–50% of crop evapotranspiration during pit hardening and early fruit expansion—a period of relatively low sensitivity to water stress—followed by full irrigation during rapid fruit growth and oil accumulation, can achieve water savings of 30–45% without significant reductions in oil yield or quality (</w:t>
      </w:r>
      <w:proofErr w:type="spellStart"/>
      <w:r>
        <w:t>Fereres</w:t>
      </w:r>
      <w:proofErr w:type="spellEnd"/>
      <w:r>
        <w:t xml:space="preserve"> &amp; Soriano, 2007). Tomato, which is among the most water-efficient vegetable crops and widely produced under drip irrigation systems, shows moderate sensitivity to water stress during fruit setting and growth stages but considerable tolerance during vegetative and early reproductive phases, enabling DI regimes that achieve significant water savings without major penalties to fruit fresh weight or quality attributes (Pereira et al., </w:t>
      </w:r>
      <w:r>
        <w:lastRenderedPageBreak/>
        <w:t>2002). These patterns of crop-specific stress tolerance underline the necessity of tailoring DI protocols to the physiological and developmental characteristics of individual crop species.</w:t>
      </w:r>
    </w:p>
    <w:p w:rsidR="00ED23A3" w:rsidRDefault="00BC1956">
      <w:pPr>
        <w:pStyle w:val="Heading2"/>
      </w:pPr>
      <w:r>
        <w:t>8.3 Legumes and Industrial Crops</w:t>
      </w:r>
    </w:p>
    <w:p w:rsidR="00ED23A3" w:rsidRDefault="00BC1956">
      <w:pPr>
        <w:spacing w:after="160" w:line="360" w:lineRule="auto"/>
        <w:jc w:val="both"/>
      </w:pPr>
      <w:r>
        <w:t xml:space="preserve">Leguminous crops, including chickpea, lentil, bean, and groundnut, are important components of cropping systems in water-scarce dryland environments, where they contribute both to food security and to soil nitrogen fixation. These crops generally exhibit considerable drought tolerance, particularly during their late reproductive and maturation stages, and DI has been shown to improve nitrogen fixation efficiency under mild water stress compared to full irrigation in some species—an agronomic co-benefit with implications for input-use efficiency and soil health (Farooq et al., 2009). Cotton, a major industrial crop and the most important </w:t>
      </w:r>
      <w:proofErr w:type="spellStart"/>
      <w:r>
        <w:t>fibre</w:t>
      </w:r>
      <w:proofErr w:type="spellEnd"/>
      <w:r>
        <w:t xml:space="preserve"> crop globally, has been the subject of substantial DI research in the western United States, Australia, and Central Asia, where water pricing and regulatory constraints have created strong incentives for water-efficient production. </w:t>
      </w:r>
      <w:proofErr w:type="spellStart"/>
      <w:r>
        <w:t>Zwart</w:t>
      </w:r>
      <w:proofErr w:type="spellEnd"/>
      <w:r>
        <w:t xml:space="preserve"> and </w:t>
      </w:r>
      <w:proofErr w:type="spellStart"/>
      <w:r>
        <w:t>Bastiaanssen</w:t>
      </w:r>
      <w:proofErr w:type="spellEnd"/>
      <w:r>
        <w:t xml:space="preserve"> (2004) documented that cotton crop water productivity values under well-managed DI regimes in high-yield production environments can substantially exceed those achieved under conventional irrigation management, with water savings in the range of 25–40%.</w:t>
      </w:r>
    </w:p>
    <w:p w:rsidR="00ED23A3" w:rsidRDefault="00BC1956">
      <w:pPr>
        <w:pStyle w:val="Heading1"/>
      </w:pPr>
      <w:r>
        <w:t>9. Economic and Environmental Dimensions</w:t>
      </w:r>
    </w:p>
    <w:p w:rsidR="00ED23A3" w:rsidRDefault="00BC1956">
      <w:pPr>
        <w:pStyle w:val="Heading2"/>
      </w:pPr>
      <w:r>
        <w:t>9.1 Economic Dimensions of Deficit Irrigation Adoption</w:t>
      </w:r>
    </w:p>
    <w:p w:rsidR="00ED23A3" w:rsidRDefault="00BC1956">
      <w:pPr>
        <w:spacing w:after="160" w:line="360" w:lineRule="auto"/>
        <w:jc w:val="both"/>
      </w:pPr>
      <w:r>
        <w:t>The economic case for DI rests on the relationship between the cost of water—including its scarcity value, the energy cost of pumping, volumetric pricing, and opportunity costs—and the value of crop production forgone under deficit conditions. In water-scarce environments where water is priced at or near its scarcity value, the economic incentive to adopt DI is strong, as the incremental value of water saved typically exceeds the value of marginal yield loss (</w:t>
      </w:r>
      <w:proofErr w:type="spellStart"/>
      <w:r>
        <w:t>Fereres</w:t>
      </w:r>
      <w:proofErr w:type="spellEnd"/>
      <w:r>
        <w:t xml:space="preserve"> &amp; Soriano, 2007). English and Raja (1996) demonstrated analytically that in a constrained water allocation context, distributing a fixed water supply over the maximum possible irrigated area at deficit levels can generate higher aggregate farm income than applying the same water to full irrigation of a smaller area—the principle of </w:t>
      </w:r>
      <w:proofErr w:type="spellStart"/>
      <w:r>
        <w:t>maximising</w:t>
      </w:r>
      <w:proofErr w:type="spellEnd"/>
      <w:r>
        <w:t xml:space="preserve"> economic return per unit of water rather than per unit of land.</w:t>
      </w:r>
    </w:p>
    <w:p w:rsidR="00ED23A3" w:rsidRDefault="00BC1956">
      <w:pPr>
        <w:spacing w:after="160" w:line="360" w:lineRule="auto"/>
        <w:jc w:val="both"/>
      </w:pPr>
      <w:r>
        <w:t xml:space="preserve">However, the economic feasibility of DI and particularly of precision water management technologies is highly context-dependent. Koech and Langat (2018) documented substantial </w:t>
      </w:r>
      <w:r>
        <w:lastRenderedPageBreak/>
        <w:t xml:space="preserve">variation in the economic performance of precision irrigation investments across the Australian irrigation sector, noting that the return on investment for sensor networks, automated irrigation systems, and remote monitoring platforms is strongly influenced by the scale of the operation, the value of the crop, the cost of </w:t>
      </w:r>
      <w:proofErr w:type="spellStart"/>
      <w:r>
        <w:t>labour</w:t>
      </w:r>
      <w:proofErr w:type="spellEnd"/>
      <w:r>
        <w:t xml:space="preserve">, and the prevailing water price. For smallholder farmers in sub-Saharan Africa and South Asia—who manage the majority of the world's irrigated cropland—the high capital costs and technical complexity of precision irrigation systems represent significant barriers to adoption, even where water scarcity is severe and DI protocols have been demonstrated to be </w:t>
      </w:r>
      <w:proofErr w:type="spellStart"/>
      <w:r>
        <w:t>agronomically</w:t>
      </w:r>
      <w:proofErr w:type="spellEnd"/>
      <w:r>
        <w:t xml:space="preserve"> effective (</w:t>
      </w:r>
      <w:proofErr w:type="spellStart"/>
      <w:r>
        <w:t>Hanjra</w:t>
      </w:r>
      <w:proofErr w:type="spellEnd"/>
      <w:r>
        <w:t xml:space="preserve"> &amp; </w:t>
      </w:r>
      <w:proofErr w:type="spellStart"/>
      <w:r>
        <w:t>Qureshi</w:t>
      </w:r>
      <w:proofErr w:type="spellEnd"/>
      <w:r>
        <w:t>, 2010). Graduated and affordable approaches to precision water management, including low-cost tensiometers, simple drip irrigation kits, and mobile phone-based irrigation advisory services, are more likely to achieve widespread smallholder uptake than complex, capital-intensive systems (</w:t>
      </w:r>
      <w:proofErr w:type="spellStart"/>
      <w:r>
        <w:t>Jägermeyr</w:t>
      </w:r>
      <w:proofErr w:type="spellEnd"/>
      <w:r>
        <w:t xml:space="preserve"> et al., 2016).</w:t>
      </w:r>
    </w:p>
    <w:p w:rsidR="00ED23A3" w:rsidRDefault="00BC1956">
      <w:pPr>
        <w:pStyle w:val="Heading2"/>
      </w:pPr>
      <w:r>
        <w:t>9.2 Environmental Co-benefits and Trade-offs</w:t>
      </w:r>
    </w:p>
    <w:p w:rsidR="00ED23A3" w:rsidRDefault="00BC1956">
      <w:pPr>
        <w:spacing w:after="160" w:line="360" w:lineRule="auto"/>
        <w:jc w:val="both"/>
      </w:pPr>
      <w:r>
        <w:t xml:space="preserve">Beyond water conservation, DI and PWM generate a range of environmental co-benefits that extend the case for their adoption beyond narrow agronomic and economic rationales. Reduced irrigation application limits the volume of drainage water percolating below the root zone, thereby decreasing the leaching of agrochemicals—including nitrates, pesticides, and herbicides—into groundwater and surface water bodies. This co-benefit is particularly significant in intensively farmed landscapes where nitrate groundwater contamination is a pervasive and costly environmental problem (Vörösmarty et al., 2010). In areas underlain by shallow saline groundwater, reductions in deep percolation from DI also mitigate the risk of secondary </w:t>
      </w:r>
      <w:proofErr w:type="spellStart"/>
      <w:r>
        <w:t>salinisation</w:t>
      </w:r>
      <w:proofErr w:type="spellEnd"/>
      <w:r>
        <w:t>, which represents a major and largely irreversible form of land degradation in irrigated agroecosystems (Pereira et al., 2002).</w:t>
      </w:r>
    </w:p>
    <w:p w:rsidR="00ED23A3" w:rsidRDefault="00BC1956">
      <w:pPr>
        <w:spacing w:after="160" w:line="360" w:lineRule="auto"/>
        <w:jc w:val="both"/>
      </w:pPr>
      <w:r>
        <w:t>The energy co-benefits of reduced irrigation volumes are quantitatively significant in regions dependent on groundwater pumping. The energy embedded in pumping irrigation water from depth—a key dimension of the water-energy nexus—represents a substantial share of total farm energy consumption in many irrigated production systems, and any strategy that reduces total pumped volumes directly reduces on-farm energy demand and associated carbon emissions (</w:t>
      </w:r>
      <w:proofErr w:type="spellStart"/>
      <w:r>
        <w:t>Fereres</w:t>
      </w:r>
      <w:proofErr w:type="spellEnd"/>
      <w:r>
        <w:t xml:space="preserve"> et al., 2011). Hoekstra and Mekonnen (2012) highlighted the importance of reducing the blue water footprint of agriculture—the volume of surface water and groundwater consumed in crop production—as a central objective of water stewardship, and DI offers a direct pathway to blue water footprint reduction in irrigated systems. Reductions in blue water consumption also yield environmental flow benefits at the catchment scale by </w:t>
      </w:r>
      <w:r>
        <w:lastRenderedPageBreak/>
        <w:t>increasing the fraction of river discharge available for environmental purposes, including sustaining aquatic ecosystems and diluting pollution loads (Vörösmarty et al., 2010).</w:t>
      </w:r>
    </w:p>
    <w:p w:rsidR="00ED23A3" w:rsidRDefault="00BC1956">
      <w:pPr>
        <w:pStyle w:val="Heading1"/>
      </w:pPr>
      <w:r>
        <w:t>10. Policy, Governance, and Institutional Frameworks</w:t>
      </w:r>
    </w:p>
    <w:p w:rsidR="00ED23A3" w:rsidRDefault="00BC1956">
      <w:pPr>
        <w:spacing w:after="160" w:line="360" w:lineRule="auto"/>
        <w:jc w:val="both"/>
      </w:pPr>
      <w:r>
        <w:t xml:space="preserve">The transition from conventional full irrigation to deficit irrigation and precision water management requires more than technical innovation; it demands supportive institutional environments, effective water governance frameworks, appropriately calibrated economic incentives, and accessible knowledge transfer mechanisms. Current water pricing structures in many irrigated agricultural systems are poorly aligned with the objective of promoting water-efficient practices: heavily </w:t>
      </w:r>
      <w:proofErr w:type="spellStart"/>
      <w:r>
        <w:t>subsidised</w:t>
      </w:r>
      <w:proofErr w:type="spellEnd"/>
      <w:r>
        <w:t xml:space="preserve"> or volumetrically unconstrained water access creates a fundamental disincentive for farmers to invest in water-saving technology or adopt deficit irrigation protocols (</w:t>
      </w:r>
      <w:proofErr w:type="spellStart"/>
      <w:r>
        <w:t>Hanjra</w:t>
      </w:r>
      <w:proofErr w:type="spellEnd"/>
      <w:r>
        <w:t xml:space="preserve"> &amp; </w:t>
      </w:r>
      <w:proofErr w:type="spellStart"/>
      <w:r>
        <w:t>Qureshi</w:t>
      </w:r>
      <w:proofErr w:type="spellEnd"/>
      <w:r>
        <w:t>, 2010). Groundwater extraction regulations in many jurisdictions remain inadequate to prevent overexploitation, undermining the long-term viability of the very irrigation infrastructure that DI is intended to sustain (Scanlon et al., 2012).</w:t>
      </w:r>
    </w:p>
    <w:p w:rsidR="00ED23A3" w:rsidRDefault="00BC1956">
      <w:pPr>
        <w:spacing w:after="160" w:line="360" w:lineRule="auto"/>
        <w:jc w:val="both"/>
      </w:pPr>
      <w:r>
        <w:t xml:space="preserve">International frameworks for climate-smart agriculture—including the Paris Agreement's nationally determined contributions (NDCs), the United Nations Sustainable Development Goal 6 (Clean Water and Sanitation) and Goal 2 (Zero Hunger), and the UNFCCC's agriculture focus areas—provide high-level mandates for the adoption of water-efficient agricultural practices, but their translation into binding national policies and targeted public investment </w:t>
      </w:r>
      <w:proofErr w:type="spellStart"/>
      <w:r>
        <w:t>programmes</w:t>
      </w:r>
      <w:proofErr w:type="spellEnd"/>
      <w:r>
        <w:t xml:space="preserve"> remains uneven (Lipper et al., 2014). The FAO's State of Food and Agriculture 2020 report identified irrigation water use efficiency as a priority intervention for achieving sustainable agricultural development, calling for integrated action across water governance reform, investment in irrigation infrastructure </w:t>
      </w:r>
      <w:proofErr w:type="spellStart"/>
      <w:r>
        <w:t>modernisation</w:t>
      </w:r>
      <w:proofErr w:type="spellEnd"/>
      <w:r>
        <w:t xml:space="preserve">, and strengthening of farmer advisory services (FAO, 2020). The report </w:t>
      </w:r>
      <w:proofErr w:type="spellStart"/>
      <w:r>
        <w:t>emphasised</w:t>
      </w:r>
      <w:proofErr w:type="spellEnd"/>
      <w:r>
        <w:t xml:space="preserve"> that addressing the institutional dimensions of water use in agriculture—including reforming perverse subsidies, clarifying water rights, strengthening water user associations, and investing in water information systems—is as important as promoting technical innovation in irrigation management.</w:t>
      </w:r>
    </w:p>
    <w:p w:rsidR="00ED23A3" w:rsidRDefault="00BC1956">
      <w:pPr>
        <w:spacing w:after="160" w:line="360" w:lineRule="auto"/>
        <w:jc w:val="both"/>
      </w:pPr>
      <w:r>
        <w:t xml:space="preserve">The </w:t>
      </w:r>
      <w:proofErr w:type="spellStart"/>
      <w:r>
        <w:t>Turral</w:t>
      </w:r>
      <w:proofErr w:type="spellEnd"/>
      <w:r>
        <w:t xml:space="preserve"> et al. (2011) FAO report on climate change, water, and food security highlighted that adapting irrigation to climate change requires a multi-level governance response that integrates hydrological forecasting, flexible water allocation systems, investment in water storage infrastructure, and demand-side management through conservation-oriented water </w:t>
      </w:r>
      <w:r>
        <w:lastRenderedPageBreak/>
        <w:t xml:space="preserve">pricing and DI promotion. The report </w:t>
      </w:r>
      <w:proofErr w:type="spellStart"/>
      <w:r>
        <w:t>emphasised</w:t>
      </w:r>
      <w:proofErr w:type="spellEnd"/>
      <w:r>
        <w:t xml:space="preserve"> that smallholder farmers, who will bear a disproportionate share of climate-related agricultural water risks, require specifically tailored support mechanisms—including climate-indexed insurance, input credit for water-efficient technology, and strengthened extension services—to transition towards more adaptive and water-efficient production systems. Godfray et al. (2010) similarly argued for a comprehensive policy framework that addresses the full suite of enabling conditions for sustainable agricultural intensification, including security of land and water rights, investment in rural infrastructure, and support for agri-environmental payments that reward farmers for environmental services including water conservation.</w:t>
      </w:r>
    </w:p>
    <w:p w:rsidR="00ED23A3" w:rsidRDefault="00BC1956">
      <w:pPr>
        <w:pStyle w:val="Heading1"/>
      </w:pPr>
      <w:r>
        <w:t>11. Research Gaps and Future Directions</w:t>
      </w:r>
    </w:p>
    <w:p w:rsidR="00ED23A3" w:rsidRDefault="00BC1956">
      <w:pPr>
        <w:spacing w:after="160" w:line="360" w:lineRule="auto"/>
        <w:jc w:val="both"/>
      </w:pPr>
      <w:r>
        <w:t xml:space="preserve">Despite the substantial progress documented in this review, significant gaps remain in the scientific understanding and operational deployment of deficit irrigation and precision water management as components of climate-smart agriculture. Several directions merit </w:t>
      </w:r>
      <w:proofErr w:type="spellStart"/>
      <w:r>
        <w:t>prioritised</w:t>
      </w:r>
      <w:proofErr w:type="spellEnd"/>
      <w:r>
        <w:t xml:space="preserve"> research investment in the coming decade. Long-term field trials comparing the cumulative soil health, water productivity, and economic impacts of DI regimes with fully irrigated controls are underrepresented in the current literature, which is dominated by one- to three-season experiments. Multi-year DI trials are needed to assess the potential for soil organic matter change, salinity build-up at restricted wetting fronts, and microbial community shifts under sustained deficit management across different crop rotations and soil types.</w:t>
      </w:r>
    </w:p>
    <w:p w:rsidR="00ED23A3" w:rsidRDefault="00BC1956">
      <w:pPr>
        <w:spacing w:after="160" w:line="360" w:lineRule="auto"/>
        <w:jc w:val="both"/>
      </w:pPr>
      <w:r>
        <w:t xml:space="preserve">Additionally, whilst crop-level physiological responses to DI are well </w:t>
      </w:r>
      <w:proofErr w:type="spellStart"/>
      <w:r>
        <w:t>characterised</w:t>
      </w:r>
      <w:proofErr w:type="spellEnd"/>
      <w:r>
        <w:t xml:space="preserve"> for major commodity crops, the evidence base for subsistence and orphan crops of high nutritional importance in water-scarce regions of sub-Saharan Africa and South Asia—including sorghum, millets, cowpea, and cassava—remains relatively sparse and warrants systematic expansion. The integration of machine learning and artificial intelligence with real-time sensor data and remotely sensed imagery for dynamic DI scheduling represents a frontier of considerable promise, but the practical transition from proof-of-concept demonstrations to operational deployment at scale requires substantial investment in data infrastructure, model validation across diverse agroecological contexts, and farmer-accessible user interface design (Goldstein et al., 2018). Similarly, the potential of low-earth orbit satellite constellations—particularly Sentinel-2 and commercial very-high-resolution platforms—to support field-scale irrigation monitoring at the resolution and revisit frequency required for practical management decisions has not yet been fully </w:t>
      </w:r>
      <w:proofErr w:type="spellStart"/>
      <w:r>
        <w:t>realised</w:t>
      </w:r>
      <w:proofErr w:type="spellEnd"/>
      <w:r>
        <w:t>.</w:t>
      </w:r>
    </w:p>
    <w:p w:rsidR="00ED23A3" w:rsidRDefault="00BC1956">
      <w:pPr>
        <w:spacing w:after="160" w:line="360" w:lineRule="auto"/>
        <w:jc w:val="both"/>
      </w:pPr>
      <w:r>
        <w:lastRenderedPageBreak/>
        <w:t>Economic analyses of DI and PWM adoption remain concentrated in commercial-scale irrigated agriculture in high-income countries. Robust assessments of adoption costs, productivity impacts, and economic trade-offs for smallholder farming systems in the Global South—which represent the majority of food-insecure populations and a growing proportion of irrigated land area—are urgently needed to inform national policy design and international development investment priorities. The relationship between DI and food system resilience under climate change scenarios warrants further investigation using integrated assessment modelling frameworks that couple crop models with hydrological, economic, and social dimensions of agricultural systems (</w:t>
      </w:r>
      <w:proofErr w:type="spellStart"/>
      <w:r>
        <w:t>Jägermeyr</w:t>
      </w:r>
      <w:proofErr w:type="spellEnd"/>
      <w:r>
        <w:t xml:space="preserve"> et al., 2016). Addressing these knowledge gaps will require sustained interdisciplinary collaboration among irrigation scientists, crop physiologists, remote sensing specialists, agronomists, economists, and policy researchers.</w:t>
      </w:r>
    </w:p>
    <w:p w:rsidR="00ED23A3" w:rsidRDefault="00BC1956">
      <w:pPr>
        <w:pStyle w:val="Heading1"/>
      </w:pPr>
      <w:r>
        <w:t>12. Conclusions</w:t>
      </w:r>
    </w:p>
    <w:p w:rsidR="00ED23A3" w:rsidRDefault="00BC1956">
      <w:pPr>
        <w:spacing w:after="160" w:line="360" w:lineRule="auto"/>
        <w:jc w:val="both"/>
      </w:pPr>
      <w:r>
        <w:t xml:space="preserve">Deficit irrigation and precision water management represent scientifically robust, economically sound, and environmentally beneficial strategies for addressing the intertwined challenges of global water scarcity, climate change impacts on agriculture, and food security in a resource-constrained world. The evidence reviewed here confirms that well-designed DI regimes—calibrated to crop-specific stress tolerances and phenological sensitivities—can achieve water savings of 20–50% relative to full irrigation with modest and manageable yield penalties across a wide range of crops and agroecological settings. When DI is integrated with precision water management technologies—including soil moisture sensors, remote sensing platforms, IoT-connected irrigation controllers, and crop simulation models—the capacity to </w:t>
      </w:r>
      <w:proofErr w:type="spellStart"/>
      <w:r>
        <w:t>optimise</w:t>
      </w:r>
      <w:proofErr w:type="spellEnd"/>
      <w:r>
        <w:t xml:space="preserve"> irrigation decisions at field scale while </w:t>
      </w:r>
      <w:proofErr w:type="spellStart"/>
      <w:r>
        <w:t>minimising</w:t>
      </w:r>
      <w:proofErr w:type="spellEnd"/>
      <w:r>
        <w:t xml:space="preserve"> water losses and agronomic risks is substantially enhanced. Within the climate-smart agriculture framework, DI and PWM simultaneously contribute to enhanced productivity, improved climate adaptation, and meaningful mitigation of agricultural greenhouse gas and energy emissions, making them among the most multi-beneficial management interventions available to irrigated agriculture globally. The convergence of increasingly affordable sensor technology, cloud-based data analytics, satellite remote sensing, and machine learning creates a historically unique opportunity to deploy precision water management at scales and costs previously unattainable, particularly in the developing world where climate-related water stress is most severe. However, the full </w:t>
      </w:r>
      <w:proofErr w:type="spellStart"/>
      <w:r>
        <w:t>realisation</w:t>
      </w:r>
      <w:proofErr w:type="spellEnd"/>
      <w:r>
        <w:t xml:space="preserve"> of this potential is contingent on addressing the non-technical barriers that constrain adoption: inadequate water governance frameworks, perverse pricing and subsidy structures, limited farmer access to knowledge and </w:t>
      </w:r>
      <w:r>
        <w:lastRenderedPageBreak/>
        <w:t xml:space="preserve">capital, and insufficient investment in extension and advisory services. Aligning national and international policy frameworks with the adoption of DI and PWM—through water pricing reform, targeted public investment, strengthened water user </w:t>
      </w:r>
      <w:proofErr w:type="spellStart"/>
      <w:r>
        <w:t>organisations</w:t>
      </w:r>
      <w:proofErr w:type="spellEnd"/>
      <w:r>
        <w:t>, and climate finance mechanisms—is as important to the agenda as continued scientific and technological progress.</w:t>
      </w:r>
    </w:p>
    <w:p w:rsidR="00ED23A3" w:rsidRDefault="00BC1956">
      <w:pPr>
        <w:pStyle w:val="Heading1"/>
      </w:pPr>
      <w:r>
        <w:t>13. Limitations</w:t>
      </w:r>
    </w:p>
    <w:p w:rsidR="00ED23A3" w:rsidRDefault="00BC1956">
      <w:pPr>
        <w:spacing w:after="160" w:line="360" w:lineRule="auto"/>
        <w:jc w:val="both"/>
      </w:pPr>
      <w:r>
        <w:t xml:space="preserve">This review carries several limitations that should be acknowledged in interpreting its findings. As a narrative review, the synthesis is subject to potential selection bias, as the inclusion of specific studies relied on expert judgement rather than systematic algorithmic screening of all available literature. The English-language bias of the indexed academic databases used in the search means that potentially relevant research published in Chinese, Spanish, Arabic, French, and other languages may be under-represented, which could introduce a systematic gap in coverage of deficit irrigation research from major irrigated agricultural regions in China, the Middle East, and Latin America. The rapidly evolving nature of precision water management technologies—particularly IoT systems, satellite capabilities, and artificial intelligence applications—means that the review's coverage of these domains may not fully reflect the most recent operational developments, given the publication lags inherent in academic literature. The heterogeneity of experimental conditions across reviewed studies—varying soil types, crop varieties, climatic zones, DI intensities, and performance metrics—limits the degree to which quantitative </w:t>
      </w:r>
      <w:proofErr w:type="spellStart"/>
      <w:r>
        <w:t>generalisations</w:t>
      </w:r>
      <w:proofErr w:type="spellEnd"/>
      <w:r>
        <w:t xml:space="preserve"> about water savings, yield responses, and economic returns can be drawn without appropriate caveats. Furthermore, many of the reviewed studies were conducted under controlled or semi-controlled experimental conditions that may not fully replicate the management challenges and uncertainties faced by farmers operating in complex socio-economic and environmental contexts.</w:t>
      </w:r>
    </w:p>
    <w:p w:rsidR="00EF3B55" w:rsidRPr="00805FAA" w:rsidRDefault="00EF3B55" w:rsidP="00EF3B55">
      <w:pPr>
        <w:rPr>
          <w:rFonts w:eastAsia="Calibri"/>
          <w:b/>
          <w:bCs/>
          <w:kern w:val="2"/>
          <w:sz w:val="22"/>
          <w:szCs w:val="22"/>
          <w:highlight w:val="yellow"/>
        </w:rPr>
      </w:pPr>
      <w:bookmarkStart w:id="0" w:name="_Hlk198031404"/>
      <w:r w:rsidRPr="00805FAA">
        <w:rPr>
          <w:rFonts w:eastAsia="Calibri"/>
          <w:b/>
          <w:bCs/>
          <w:kern w:val="2"/>
          <w:sz w:val="22"/>
          <w:szCs w:val="22"/>
          <w:highlight w:val="yellow"/>
        </w:rPr>
        <w:t>Disclaimer (Artificial intelligence)</w:t>
      </w:r>
    </w:p>
    <w:p w:rsidR="00EF3B55" w:rsidRPr="00EF3B55" w:rsidRDefault="00EF3B55" w:rsidP="00EF3B55">
      <w:pPr>
        <w:rPr>
          <w:rFonts w:eastAsia="Calibri"/>
          <w:kern w:val="2"/>
          <w:sz w:val="22"/>
          <w:szCs w:val="22"/>
          <w:highlight w:val="yellow"/>
        </w:rPr>
      </w:pPr>
    </w:p>
    <w:p w:rsidR="00EF3B55" w:rsidRPr="00EF3B55" w:rsidRDefault="00EF3B55" w:rsidP="00EF3B55">
      <w:pPr>
        <w:rPr>
          <w:rFonts w:eastAsia="Calibri"/>
          <w:kern w:val="2"/>
          <w:sz w:val="22"/>
          <w:szCs w:val="22"/>
          <w:highlight w:val="yellow"/>
        </w:rPr>
      </w:pPr>
      <w:r w:rsidRPr="00EF3B55">
        <w:rPr>
          <w:rFonts w:eastAsia="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rsidR="00EF3B55" w:rsidRDefault="00EF3B55">
      <w:pPr>
        <w:spacing w:after="160" w:line="360" w:lineRule="auto"/>
        <w:jc w:val="both"/>
      </w:pPr>
    </w:p>
    <w:p w:rsidR="00ED23A3" w:rsidRDefault="00BC1956">
      <w:pPr>
        <w:pStyle w:val="Heading1"/>
      </w:pPr>
      <w:r>
        <w:t>References</w:t>
      </w:r>
    </w:p>
    <w:p w:rsidR="00ED23A3" w:rsidRDefault="00ED23A3" w:rsidP="000F13BC">
      <w:pPr>
        <w:spacing w:after="120" w:line="360" w:lineRule="auto"/>
        <w:ind w:left="720" w:hanging="720"/>
        <w:jc w:val="both"/>
      </w:pPr>
    </w:p>
    <w:p w:rsidR="009E078A" w:rsidRDefault="009E078A" w:rsidP="009E078A">
      <w:pPr>
        <w:spacing w:before="100" w:beforeAutospacing="1" w:after="100" w:afterAutospacing="1"/>
        <w:ind w:left="720" w:hanging="720"/>
        <w:jc w:val="both"/>
      </w:pPr>
      <w:proofErr w:type="spellStart"/>
      <w:proofErr w:type="gramStart"/>
      <w:r>
        <w:lastRenderedPageBreak/>
        <w:t>Bastiaanssen</w:t>
      </w:r>
      <w:proofErr w:type="spellEnd"/>
      <w:r>
        <w:t xml:space="preserve">, W. G. M., </w:t>
      </w:r>
      <w:proofErr w:type="spellStart"/>
      <w:r>
        <w:t>Molden</w:t>
      </w:r>
      <w:proofErr w:type="spellEnd"/>
      <w:r>
        <w:t>, D. J., &amp; Makin, I. W. (2000).</w:t>
      </w:r>
      <w:proofErr w:type="gramEnd"/>
      <w:r>
        <w:t xml:space="preserve"> Remote sensing for irrigated agriculture: Examples from research and possible applications. Agricultural Water Management, 46(2), 137–155. https://doi.org/10.1016/S0378-</w:t>
      </w:r>
      <w:proofErr w:type="gramStart"/>
      <w:r>
        <w:t>3774(</w:t>
      </w:r>
      <w:proofErr w:type="gramEnd"/>
      <w:r>
        <w:t>00)00080-9</w:t>
      </w:r>
    </w:p>
    <w:p w:rsidR="009E078A" w:rsidRDefault="009E078A" w:rsidP="009E078A">
      <w:pPr>
        <w:spacing w:before="100" w:beforeAutospacing="1" w:after="100" w:afterAutospacing="1"/>
        <w:ind w:left="720" w:hanging="720"/>
        <w:jc w:val="both"/>
      </w:pPr>
      <w:proofErr w:type="spellStart"/>
      <w:proofErr w:type="gramStart"/>
      <w:r>
        <w:t>Belkher</w:t>
      </w:r>
      <w:proofErr w:type="spellEnd"/>
      <w:r>
        <w:t xml:space="preserve">, S., </w:t>
      </w:r>
      <w:proofErr w:type="spellStart"/>
      <w:r>
        <w:t>Latrech</w:t>
      </w:r>
      <w:proofErr w:type="spellEnd"/>
      <w:r>
        <w:t xml:space="preserve">, B., </w:t>
      </w:r>
      <w:proofErr w:type="spellStart"/>
      <w:r>
        <w:t>Bekri</w:t>
      </w:r>
      <w:proofErr w:type="spellEnd"/>
      <w:r>
        <w:t xml:space="preserve">, W., </w:t>
      </w:r>
      <w:proofErr w:type="spellStart"/>
      <w:r>
        <w:t>Markwordt</w:t>
      </w:r>
      <w:proofErr w:type="spellEnd"/>
      <w:r>
        <w:t xml:space="preserve">, F., </w:t>
      </w:r>
      <w:proofErr w:type="spellStart"/>
      <w:r>
        <w:t>Rahim</w:t>
      </w:r>
      <w:proofErr w:type="spellEnd"/>
      <w:r>
        <w:t xml:space="preserve">, M. A., </w:t>
      </w:r>
      <w:proofErr w:type="spellStart"/>
      <w:r>
        <w:t>Dupont</w:t>
      </w:r>
      <w:proofErr w:type="spellEnd"/>
      <w:r>
        <w:t xml:space="preserve">, C., Ben </w:t>
      </w:r>
      <w:proofErr w:type="spellStart"/>
      <w:r>
        <w:t>Abdallah</w:t>
      </w:r>
      <w:proofErr w:type="spellEnd"/>
      <w:r>
        <w:t xml:space="preserve">, M. A., </w:t>
      </w:r>
      <w:proofErr w:type="spellStart"/>
      <w:r>
        <w:t>Daghari</w:t>
      </w:r>
      <w:proofErr w:type="spellEnd"/>
      <w:r>
        <w:t xml:space="preserve">, H., &amp; </w:t>
      </w:r>
      <w:proofErr w:type="spellStart"/>
      <w:r>
        <w:t>Rezig</w:t>
      </w:r>
      <w:proofErr w:type="spellEnd"/>
      <w:r>
        <w:t>, M. (2025).</w:t>
      </w:r>
      <w:proofErr w:type="gramEnd"/>
      <w:r>
        <w:t xml:space="preserve"> Deficit irrigation and an </w:t>
      </w:r>
      <w:proofErr w:type="spellStart"/>
      <w:r>
        <w:t>IoT</w:t>
      </w:r>
      <w:proofErr w:type="spellEnd"/>
      <w:r>
        <w:t xml:space="preserve">-based system for improving yield and water use efficiency of winter wheat grown under semi-arid conditions. </w:t>
      </w:r>
      <w:proofErr w:type="gramStart"/>
      <w:r>
        <w:t>Agronomy, 15(1), 157.</w:t>
      </w:r>
      <w:proofErr w:type="gramEnd"/>
      <w:r>
        <w:t xml:space="preserve"> https://doi.org/10.3390/agronomy15010157</w:t>
      </w:r>
    </w:p>
    <w:p w:rsidR="009E078A" w:rsidRDefault="009E078A" w:rsidP="009E078A">
      <w:pPr>
        <w:spacing w:before="100" w:beforeAutospacing="1" w:after="100" w:afterAutospacing="1"/>
        <w:ind w:left="720" w:hanging="720"/>
        <w:jc w:val="both"/>
      </w:pPr>
      <w:r>
        <w:t xml:space="preserve">Chaves, M. M., Santos, T. P., Souza, C. R. de, </w:t>
      </w:r>
      <w:proofErr w:type="spellStart"/>
      <w:r>
        <w:t>Ortuño</w:t>
      </w:r>
      <w:proofErr w:type="spellEnd"/>
      <w:r>
        <w:t xml:space="preserve">, M. F., </w:t>
      </w:r>
      <w:proofErr w:type="spellStart"/>
      <w:r>
        <w:t>Rodrigues</w:t>
      </w:r>
      <w:proofErr w:type="spellEnd"/>
      <w:r>
        <w:t xml:space="preserve">, M. L., Lopes, C. M., </w:t>
      </w:r>
      <w:proofErr w:type="spellStart"/>
      <w:r>
        <w:t>Maroco</w:t>
      </w:r>
      <w:proofErr w:type="spellEnd"/>
      <w:r>
        <w:t xml:space="preserve">, J. P., &amp; Pereira, J. S. (2007). Deficit irrigation in grapevine improves water-use efficiency while controlling </w:t>
      </w:r>
      <w:proofErr w:type="spellStart"/>
      <w:r>
        <w:t>vigour</w:t>
      </w:r>
      <w:proofErr w:type="spellEnd"/>
      <w:r>
        <w:t xml:space="preserve"> and production quality. Annals of Applied Biology, 150(2), 237–252. https://doi.org/10.1111/j.1744-7348.2006.00123.x</w:t>
      </w:r>
    </w:p>
    <w:p w:rsidR="009E078A" w:rsidRDefault="009E078A" w:rsidP="009E078A">
      <w:pPr>
        <w:spacing w:before="100" w:beforeAutospacing="1" w:after="100" w:afterAutospacing="1"/>
        <w:ind w:left="720" w:hanging="720"/>
        <w:jc w:val="both"/>
      </w:pPr>
      <w:r>
        <w:t xml:space="preserve">Elliott, J., </w:t>
      </w:r>
      <w:proofErr w:type="spellStart"/>
      <w:r>
        <w:t>Deryng</w:t>
      </w:r>
      <w:proofErr w:type="spellEnd"/>
      <w:r>
        <w:t xml:space="preserve">, D., </w:t>
      </w:r>
      <w:proofErr w:type="spellStart"/>
      <w:r>
        <w:t>Müller</w:t>
      </w:r>
      <w:proofErr w:type="spellEnd"/>
      <w:r>
        <w:t xml:space="preserve">, C., </w:t>
      </w:r>
      <w:proofErr w:type="spellStart"/>
      <w:r>
        <w:t>Frieler</w:t>
      </w:r>
      <w:proofErr w:type="spellEnd"/>
      <w:r>
        <w:t xml:space="preserve">, K., </w:t>
      </w:r>
      <w:proofErr w:type="spellStart"/>
      <w:r>
        <w:t>Konzmann</w:t>
      </w:r>
      <w:proofErr w:type="spellEnd"/>
      <w:r>
        <w:t xml:space="preserve">, M., </w:t>
      </w:r>
      <w:proofErr w:type="spellStart"/>
      <w:r>
        <w:t>Gerten</w:t>
      </w:r>
      <w:proofErr w:type="spellEnd"/>
      <w:r>
        <w:t xml:space="preserve">, D., </w:t>
      </w:r>
      <w:proofErr w:type="spellStart"/>
      <w:r>
        <w:t>Glotter</w:t>
      </w:r>
      <w:proofErr w:type="spellEnd"/>
      <w:r>
        <w:t xml:space="preserve">, M., </w:t>
      </w:r>
      <w:proofErr w:type="spellStart"/>
      <w:r>
        <w:t>Flörke</w:t>
      </w:r>
      <w:proofErr w:type="spellEnd"/>
      <w:r>
        <w:t xml:space="preserve">, M., Wada, Y., Best, N., Eisner, S., </w:t>
      </w:r>
      <w:proofErr w:type="spellStart"/>
      <w:r>
        <w:t>Fekete</w:t>
      </w:r>
      <w:proofErr w:type="spellEnd"/>
      <w:r>
        <w:t xml:space="preserve">, B. M., </w:t>
      </w:r>
      <w:proofErr w:type="spellStart"/>
      <w:r>
        <w:t>Folberth</w:t>
      </w:r>
      <w:proofErr w:type="spellEnd"/>
      <w:r>
        <w:t xml:space="preserve">, C., Foster, I., Gosling, S. N., </w:t>
      </w:r>
      <w:proofErr w:type="spellStart"/>
      <w:r>
        <w:t>Haddeland</w:t>
      </w:r>
      <w:proofErr w:type="spellEnd"/>
      <w:r>
        <w:t xml:space="preserve">, I., </w:t>
      </w:r>
      <w:proofErr w:type="spellStart"/>
      <w:r>
        <w:t>Khabarov</w:t>
      </w:r>
      <w:proofErr w:type="spellEnd"/>
      <w:r>
        <w:t xml:space="preserve">, N., Ludwig, F., Masaki, Y., Olin, S., </w:t>
      </w:r>
      <w:proofErr w:type="spellStart"/>
      <w:r>
        <w:t>Rosenzweig</w:t>
      </w:r>
      <w:proofErr w:type="spellEnd"/>
      <w:r>
        <w:t xml:space="preserve">, C., </w:t>
      </w:r>
      <w:proofErr w:type="spellStart"/>
      <w:r>
        <w:t>Ruane</w:t>
      </w:r>
      <w:proofErr w:type="spellEnd"/>
      <w:r>
        <w:t xml:space="preserve">, A. C., Satoh, Y., </w:t>
      </w:r>
      <w:proofErr w:type="spellStart"/>
      <w:r>
        <w:t>Schmid</w:t>
      </w:r>
      <w:proofErr w:type="spellEnd"/>
      <w:r>
        <w:t xml:space="preserve">, E., </w:t>
      </w:r>
      <w:proofErr w:type="spellStart"/>
      <w:r>
        <w:t>Stacke</w:t>
      </w:r>
      <w:proofErr w:type="spellEnd"/>
      <w:r>
        <w:t xml:space="preserve">, T., Tang, Q., &amp; </w:t>
      </w:r>
      <w:proofErr w:type="spellStart"/>
      <w:r>
        <w:t>Wisser</w:t>
      </w:r>
      <w:proofErr w:type="spellEnd"/>
      <w:r>
        <w:t xml:space="preserve">, D. (2014). Constraints and potentials of future irrigation water availability on agricultural production under climate change. </w:t>
      </w:r>
      <w:proofErr w:type="gramStart"/>
      <w:r>
        <w:t>Proceedings of the National Academy of Sciences, 111(9), 3239–3244.</w:t>
      </w:r>
      <w:proofErr w:type="gramEnd"/>
      <w:r>
        <w:t xml:space="preserve"> https://doi.org/10.1073/pnas.1222474110</w:t>
      </w:r>
    </w:p>
    <w:p w:rsidR="009E078A" w:rsidRDefault="009E078A" w:rsidP="009E078A">
      <w:pPr>
        <w:spacing w:before="100" w:beforeAutospacing="1" w:after="100" w:afterAutospacing="1"/>
        <w:ind w:left="720" w:hanging="720"/>
        <w:jc w:val="both"/>
      </w:pPr>
      <w:proofErr w:type="gramStart"/>
      <w:r>
        <w:t>English, M., &amp; Raja, S. N. (1996).</w:t>
      </w:r>
      <w:proofErr w:type="gramEnd"/>
      <w:r>
        <w:t xml:space="preserve"> </w:t>
      </w:r>
      <w:proofErr w:type="gramStart"/>
      <w:r>
        <w:t>Perspectives on deficit irrigation.</w:t>
      </w:r>
      <w:proofErr w:type="gramEnd"/>
      <w:r>
        <w:t xml:space="preserve"> Agricultural Water Management, 32(1), 1–14. https://doi.org/10.1016/S0378-</w:t>
      </w:r>
      <w:proofErr w:type="gramStart"/>
      <w:r>
        <w:t>3774(</w:t>
      </w:r>
      <w:proofErr w:type="gramEnd"/>
      <w:r>
        <w:t>96)01255-3</w:t>
      </w:r>
    </w:p>
    <w:p w:rsidR="009E078A" w:rsidRDefault="009E078A" w:rsidP="009E078A">
      <w:pPr>
        <w:spacing w:before="100" w:beforeAutospacing="1" w:after="100" w:afterAutospacing="1"/>
        <w:ind w:left="720" w:hanging="720"/>
        <w:jc w:val="both"/>
      </w:pPr>
      <w:proofErr w:type="spellStart"/>
      <w:proofErr w:type="gramStart"/>
      <w:r>
        <w:t>Evett</w:t>
      </w:r>
      <w:proofErr w:type="spellEnd"/>
      <w:r>
        <w:t xml:space="preserve">, S. R., &amp; </w:t>
      </w:r>
      <w:proofErr w:type="spellStart"/>
      <w:r>
        <w:t>Tolk</w:t>
      </w:r>
      <w:proofErr w:type="spellEnd"/>
      <w:r>
        <w:t>, J. A. (2009).</w:t>
      </w:r>
      <w:proofErr w:type="gramEnd"/>
      <w:r>
        <w:t xml:space="preserve"> Introduction: Can water use efficiency be modeled well enough to impact crop management? Agronomy Journal, 101(3), 423–425. https://doi.org/10.2134/agronj2009.0038xs</w:t>
      </w:r>
    </w:p>
    <w:p w:rsidR="009E078A" w:rsidRDefault="009E078A" w:rsidP="009E078A">
      <w:pPr>
        <w:spacing w:before="100" w:beforeAutospacing="1" w:after="100" w:afterAutospacing="1"/>
        <w:ind w:left="720" w:hanging="720"/>
        <w:jc w:val="both"/>
      </w:pPr>
      <w:proofErr w:type="spellStart"/>
      <w:r>
        <w:t>Farooq</w:t>
      </w:r>
      <w:proofErr w:type="spellEnd"/>
      <w:r>
        <w:t>, M., Wahid, A., Kobayashi, N., Fujita, D., &amp; Basra, S. M. A. (2009). Plant drought stress: Effects, mechanisms and management. Agronomy for Sustainable Development, 29(1), 185–212. https://doi.org/10.1051/agro:2008021</w:t>
      </w:r>
    </w:p>
    <w:p w:rsidR="009E078A" w:rsidRDefault="009E078A" w:rsidP="009E078A">
      <w:pPr>
        <w:spacing w:before="100" w:beforeAutospacing="1" w:after="100" w:afterAutospacing="1"/>
        <w:ind w:left="720" w:hanging="720"/>
        <w:jc w:val="both"/>
      </w:pPr>
      <w:proofErr w:type="spellStart"/>
      <w:proofErr w:type="gramStart"/>
      <w:r>
        <w:t>Fereres</w:t>
      </w:r>
      <w:proofErr w:type="spellEnd"/>
      <w:r>
        <w:t xml:space="preserve">, E., </w:t>
      </w:r>
      <w:proofErr w:type="spellStart"/>
      <w:r>
        <w:t>Orgaz</w:t>
      </w:r>
      <w:proofErr w:type="spellEnd"/>
      <w:r>
        <w:t xml:space="preserve">, F., &amp; </w:t>
      </w:r>
      <w:proofErr w:type="spellStart"/>
      <w:r>
        <w:t>González-Dugo</w:t>
      </w:r>
      <w:proofErr w:type="spellEnd"/>
      <w:r>
        <w:t>, V. (2011).</w:t>
      </w:r>
      <w:proofErr w:type="gramEnd"/>
      <w:r>
        <w:t xml:space="preserve"> </w:t>
      </w:r>
      <w:proofErr w:type="gramStart"/>
      <w:r>
        <w:t>Reflections on food security under water scarcity.</w:t>
      </w:r>
      <w:proofErr w:type="gramEnd"/>
      <w:r>
        <w:t xml:space="preserve"> Journal of Experimental Botany, 62(12), 4079–4086. https://doi.org/10.1093/jxb/err165</w:t>
      </w:r>
    </w:p>
    <w:p w:rsidR="009E078A" w:rsidRDefault="009E078A" w:rsidP="009E078A">
      <w:pPr>
        <w:spacing w:before="100" w:beforeAutospacing="1" w:after="100" w:afterAutospacing="1"/>
        <w:ind w:left="720" w:hanging="720"/>
        <w:jc w:val="both"/>
      </w:pPr>
      <w:proofErr w:type="spellStart"/>
      <w:proofErr w:type="gramStart"/>
      <w:r>
        <w:t>Fereres</w:t>
      </w:r>
      <w:proofErr w:type="spellEnd"/>
      <w:r>
        <w:t>, E., &amp; Soriano, M. A. (2007).</w:t>
      </w:r>
      <w:proofErr w:type="gramEnd"/>
      <w:r>
        <w:t xml:space="preserve"> </w:t>
      </w:r>
      <w:proofErr w:type="gramStart"/>
      <w:r>
        <w:t>Deficit irrigation for reducing agricultural water use.</w:t>
      </w:r>
      <w:proofErr w:type="gramEnd"/>
      <w:r>
        <w:t xml:space="preserve"> Journal of Experimental Botany, 58(2), 147–159. https://doi.org/10.1093/jxb/erl165</w:t>
      </w:r>
    </w:p>
    <w:p w:rsidR="009E078A" w:rsidRDefault="009E078A" w:rsidP="009E078A">
      <w:pPr>
        <w:spacing w:before="100" w:beforeAutospacing="1" w:after="100" w:afterAutospacing="1"/>
        <w:ind w:left="720" w:hanging="720"/>
        <w:jc w:val="both"/>
      </w:pPr>
      <w:proofErr w:type="spellStart"/>
      <w:proofErr w:type="gramStart"/>
      <w:r>
        <w:t>Flexas</w:t>
      </w:r>
      <w:proofErr w:type="spellEnd"/>
      <w:r>
        <w:t xml:space="preserve">, J., </w:t>
      </w:r>
      <w:proofErr w:type="spellStart"/>
      <w:r>
        <w:t>Bota</w:t>
      </w:r>
      <w:proofErr w:type="spellEnd"/>
      <w:r>
        <w:t xml:space="preserve">, J., </w:t>
      </w:r>
      <w:proofErr w:type="spellStart"/>
      <w:r>
        <w:t>Galmés</w:t>
      </w:r>
      <w:proofErr w:type="spellEnd"/>
      <w:r>
        <w:t xml:space="preserve">, J., Medrano, H., &amp; </w:t>
      </w:r>
      <w:proofErr w:type="spellStart"/>
      <w:r>
        <w:t>Ribas-Carbó</w:t>
      </w:r>
      <w:proofErr w:type="spellEnd"/>
      <w:r>
        <w:t>, M. (2006).</w:t>
      </w:r>
      <w:proofErr w:type="gramEnd"/>
      <w:r>
        <w:t xml:space="preserve"> </w:t>
      </w:r>
      <w:proofErr w:type="gramStart"/>
      <w:r>
        <w:t>Keeping a positive carbon balance under adverse conditions: Responses of photosynthesis and respiration to water stress.</w:t>
      </w:r>
      <w:proofErr w:type="gramEnd"/>
      <w:r>
        <w:t xml:space="preserve"> </w:t>
      </w:r>
      <w:proofErr w:type="spellStart"/>
      <w:r>
        <w:t>Physiologia</w:t>
      </w:r>
      <w:proofErr w:type="spellEnd"/>
      <w:r>
        <w:t xml:space="preserve"> </w:t>
      </w:r>
      <w:proofErr w:type="spellStart"/>
      <w:r>
        <w:t>Plantarum</w:t>
      </w:r>
      <w:proofErr w:type="spellEnd"/>
      <w:r>
        <w:t>, 127(3), 343–352. https://doi.org/10.1111/j.1399-3054.2006.00621.x</w:t>
      </w:r>
    </w:p>
    <w:p w:rsidR="009E078A" w:rsidRDefault="009E078A" w:rsidP="009E078A">
      <w:pPr>
        <w:spacing w:before="100" w:beforeAutospacing="1" w:after="100" w:afterAutospacing="1"/>
        <w:ind w:left="720" w:hanging="720"/>
        <w:jc w:val="both"/>
      </w:pPr>
      <w:proofErr w:type="gramStart"/>
      <w:r>
        <w:t>Food and Agriculture Organization of the United Nations.</w:t>
      </w:r>
      <w:proofErr w:type="gramEnd"/>
      <w:r>
        <w:t xml:space="preserve"> (2020). </w:t>
      </w:r>
      <w:proofErr w:type="gramStart"/>
      <w:r>
        <w:t>The</w:t>
      </w:r>
      <w:proofErr w:type="gramEnd"/>
      <w:r>
        <w:t xml:space="preserve"> state of food and agriculture 2020: Overcoming water challenges in agriculture. https://doi.org/10.4060/cb1447en</w:t>
      </w:r>
    </w:p>
    <w:p w:rsidR="009E078A" w:rsidRDefault="009E078A" w:rsidP="009E078A">
      <w:pPr>
        <w:spacing w:before="100" w:beforeAutospacing="1" w:after="100" w:afterAutospacing="1"/>
        <w:ind w:left="720" w:hanging="720"/>
        <w:jc w:val="both"/>
      </w:pPr>
      <w:r>
        <w:lastRenderedPageBreak/>
        <w:t xml:space="preserve">Garnett, T., Appleby, M. C., </w:t>
      </w:r>
      <w:proofErr w:type="spellStart"/>
      <w:r>
        <w:t>Balmford</w:t>
      </w:r>
      <w:proofErr w:type="spellEnd"/>
      <w:r>
        <w:t xml:space="preserve">, A., Bateman, I. J., Benton, T. G., Bloomer, P., Burlingame, B., Dawkins, M., Dolan, L., Fraser, D., </w:t>
      </w:r>
      <w:proofErr w:type="spellStart"/>
      <w:r>
        <w:t>Herrero</w:t>
      </w:r>
      <w:proofErr w:type="spellEnd"/>
      <w:r>
        <w:t xml:space="preserve">, M., Hoffmann, I., Smith, P., Thornton, P. K., </w:t>
      </w:r>
      <w:proofErr w:type="spellStart"/>
      <w:r>
        <w:t>Toulmin</w:t>
      </w:r>
      <w:proofErr w:type="spellEnd"/>
      <w:r>
        <w:t xml:space="preserve">, C., </w:t>
      </w:r>
      <w:proofErr w:type="spellStart"/>
      <w:r>
        <w:t>Vermeulen</w:t>
      </w:r>
      <w:proofErr w:type="spellEnd"/>
      <w:r>
        <w:t xml:space="preserve">, S. J., &amp; </w:t>
      </w:r>
      <w:proofErr w:type="spellStart"/>
      <w:r>
        <w:t>Godfray</w:t>
      </w:r>
      <w:proofErr w:type="spellEnd"/>
      <w:r>
        <w:t>, H. C. J. (2013). Sustainable intensification in agriculture: Premises and policies. Science, 341(6141), 33–34. https://doi.org/10.1126/science.1234485</w:t>
      </w:r>
    </w:p>
    <w:p w:rsidR="009E078A" w:rsidRDefault="009E078A" w:rsidP="009E078A">
      <w:pPr>
        <w:spacing w:before="100" w:beforeAutospacing="1" w:after="100" w:afterAutospacing="1"/>
        <w:ind w:left="720" w:hanging="720"/>
        <w:jc w:val="both"/>
      </w:pPr>
      <w:proofErr w:type="spellStart"/>
      <w:r>
        <w:t>Geerts</w:t>
      </w:r>
      <w:proofErr w:type="spellEnd"/>
      <w:r>
        <w:t xml:space="preserve">, S., &amp; </w:t>
      </w:r>
      <w:proofErr w:type="spellStart"/>
      <w:r>
        <w:t>Raes</w:t>
      </w:r>
      <w:proofErr w:type="spellEnd"/>
      <w:r>
        <w:t xml:space="preserve">, D. (2009). </w:t>
      </w:r>
      <w:proofErr w:type="gramStart"/>
      <w:r>
        <w:t>Deficit irrigation as an on-farm strategy to maximize crop water productivity in dry areas.</w:t>
      </w:r>
      <w:proofErr w:type="gramEnd"/>
      <w:r>
        <w:t xml:space="preserve"> Agricultural Water Management, 96(9), 1275–1284. https://doi.org/10.1016/j.agwat.2009.04.009</w:t>
      </w:r>
    </w:p>
    <w:p w:rsidR="009E078A" w:rsidRDefault="009E078A" w:rsidP="009E078A">
      <w:pPr>
        <w:spacing w:before="100" w:beforeAutospacing="1" w:after="100" w:afterAutospacing="1"/>
        <w:ind w:left="720" w:hanging="720"/>
        <w:jc w:val="both"/>
      </w:pPr>
      <w:proofErr w:type="spellStart"/>
      <w:r>
        <w:t>Godfray</w:t>
      </w:r>
      <w:proofErr w:type="spellEnd"/>
      <w:r>
        <w:t xml:space="preserve">, H. C. J., </w:t>
      </w:r>
      <w:proofErr w:type="spellStart"/>
      <w:r>
        <w:t>Beddington</w:t>
      </w:r>
      <w:proofErr w:type="spellEnd"/>
      <w:r>
        <w:t xml:space="preserve">, J. R., </w:t>
      </w:r>
      <w:proofErr w:type="spellStart"/>
      <w:r>
        <w:t>Crute</w:t>
      </w:r>
      <w:proofErr w:type="spellEnd"/>
      <w:r>
        <w:t xml:space="preserve">, I. R., Haddad, L., Lawrence, D., Muir, J. F., Pretty, J., Robinson, S., Thomas, S. M., &amp; </w:t>
      </w:r>
      <w:proofErr w:type="spellStart"/>
      <w:r>
        <w:t>Toulmin</w:t>
      </w:r>
      <w:proofErr w:type="spellEnd"/>
      <w:r>
        <w:t>, C. (2010). Food security: The challenge of feeding 9 billion people. Science, 327(5967), 812–818. https://doi.org/10.1126/science.1185383</w:t>
      </w:r>
    </w:p>
    <w:p w:rsidR="009E078A" w:rsidRDefault="009E078A" w:rsidP="009E078A">
      <w:pPr>
        <w:spacing w:before="100" w:beforeAutospacing="1" w:after="100" w:afterAutospacing="1"/>
        <w:ind w:left="720" w:hanging="720"/>
        <w:jc w:val="both"/>
      </w:pPr>
      <w:proofErr w:type="gramStart"/>
      <w:r>
        <w:t xml:space="preserve">Goldstein, A., Fink, L., </w:t>
      </w:r>
      <w:proofErr w:type="spellStart"/>
      <w:r>
        <w:t>Meitin</w:t>
      </w:r>
      <w:proofErr w:type="spellEnd"/>
      <w:r>
        <w:t xml:space="preserve">, A., </w:t>
      </w:r>
      <w:proofErr w:type="spellStart"/>
      <w:r>
        <w:t>Bohadana</w:t>
      </w:r>
      <w:proofErr w:type="spellEnd"/>
      <w:r>
        <w:t xml:space="preserve">, S., </w:t>
      </w:r>
      <w:proofErr w:type="spellStart"/>
      <w:r>
        <w:t>Lutenberg</w:t>
      </w:r>
      <w:proofErr w:type="spellEnd"/>
      <w:r>
        <w:t xml:space="preserve">, O., &amp; </w:t>
      </w:r>
      <w:proofErr w:type="spellStart"/>
      <w:r>
        <w:t>Ravid</w:t>
      </w:r>
      <w:proofErr w:type="spellEnd"/>
      <w:r>
        <w:t>, G. (2018).</w:t>
      </w:r>
      <w:proofErr w:type="gramEnd"/>
      <w:r>
        <w:t xml:space="preserve"> Applying machine learning on sensor data for irrigation recommendations: Revealing the agronomist's tacit knowledge. Precision Agriculture, 19(3), 421–444. https://doi.org/10.1007/s11119-017-9527-4</w:t>
      </w:r>
    </w:p>
    <w:p w:rsidR="009E078A" w:rsidRDefault="009E078A" w:rsidP="009E078A">
      <w:pPr>
        <w:spacing w:before="100" w:beforeAutospacing="1" w:after="100" w:afterAutospacing="1"/>
        <w:ind w:left="720" w:hanging="720"/>
        <w:jc w:val="both"/>
      </w:pPr>
      <w:proofErr w:type="gramStart"/>
      <w:r>
        <w:t>Grant, M. J., &amp; Booth, A. (2009).</w:t>
      </w:r>
      <w:proofErr w:type="gramEnd"/>
      <w:r>
        <w:t xml:space="preserve"> A typology of reviews: An analysis of 14 review types and associated methodologies. Health Information &amp; Libraries Journal, 26(2), 91–108. https://doi.org/10.1111/j.1471-1842.2009.00848.x</w:t>
      </w:r>
    </w:p>
    <w:p w:rsidR="009E078A" w:rsidRDefault="009E078A" w:rsidP="009E078A">
      <w:pPr>
        <w:spacing w:before="100" w:beforeAutospacing="1" w:after="100" w:afterAutospacing="1"/>
        <w:ind w:left="720" w:hanging="720"/>
        <w:jc w:val="both"/>
      </w:pPr>
      <w:proofErr w:type="spellStart"/>
      <w:proofErr w:type="gramStart"/>
      <w:r>
        <w:t>Hanjra</w:t>
      </w:r>
      <w:proofErr w:type="spellEnd"/>
      <w:r>
        <w:t xml:space="preserve">, M. A., &amp; </w:t>
      </w:r>
      <w:proofErr w:type="spellStart"/>
      <w:r>
        <w:t>Qureshi</w:t>
      </w:r>
      <w:proofErr w:type="spellEnd"/>
      <w:r>
        <w:t>, M. E. (2010).</w:t>
      </w:r>
      <w:proofErr w:type="gramEnd"/>
      <w:r>
        <w:t xml:space="preserve"> Global water crisis and future food security in an era of climate change. Food Policy, 35(5), 365–377. https://doi.org/10.1016/j.foodpol.2010.05.006</w:t>
      </w:r>
    </w:p>
    <w:p w:rsidR="009E078A" w:rsidRDefault="009E078A" w:rsidP="009E078A">
      <w:pPr>
        <w:spacing w:before="100" w:beforeAutospacing="1" w:after="100" w:afterAutospacing="1"/>
        <w:ind w:left="720" w:hanging="720"/>
        <w:jc w:val="both"/>
      </w:pPr>
      <w:proofErr w:type="gramStart"/>
      <w:r>
        <w:t xml:space="preserve">Hoekstra, A. Y., &amp; </w:t>
      </w:r>
      <w:proofErr w:type="spellStart"/>
      <w:r>
        <w:t>Mekonnen</w:t>
      </w:r>
      <w:proofErr w:type="spellEnd"/>
      <w:r>
        <w:t>, M. M. (2012).</w:t>
      </w:r>
      <w:proofErr w:type="gramEnd"/>
      <w:r>
        <w:t xml:space="preserve"> </w:t>
      </w:r>
      <w:proofErr w:type="gramStart"/>
      <w:r>
        <w:t>The water footprint of humanity.</w:t>
      </w:r>
      <w:proofErr w:type="gramEnd"/>
      <w:r>
        <w:t xml:space="preserve"> </w:t>
      </w:r>
      <w:proofErr w:type="gramStart"/>
      <w:r>
        <w:t>Proceedings of the National Academy of Sciences, 109(9), 3232–3237.</w:t>
      </w:r>
      <w:proofErr w:type="gramEnd"/>
      <w:r>
        <w:t xml:space="preserve"> https://doi.org/10.1073/pnas.1109936109</w:t>
      </w:r>
    </w:p>
    <w:p w:rsidR="009E078A" w:rsidRDefault="009E078A" w:rsidP="009E078A">
      <w:pPr>
        <w:spacing w:before="100" w:beforeAutospacing="1" w:after="100" w:afterAutospacing="1"/>
        <w:ind w:left="720" w:hanging="720"/>
        <w:jc w:val="both"/>
      </w:pPr>
      <w:proofErr w:type="gramStart"/>
      <w:r>
        <w:t xml:space="preserve">Hsiao, T. C., </w:t>
      </w:r>
      <w:proofErr w:type="spellStart"/>
      <w:r>
        <w:t>Steduto</w:t>
      </w:r>
      <w:proofErr w:type="spellEnd"/>
      <w:r>
        <w:t xml:space="preserve">, P., &amp; </w:t>
      </w:r>
      <w:proofErr w:type="spellStart"/>
      <w:r>
        <w:t>Fereres</w:t>
      </w:r>
      <w:proofErr w:type="spellEnd"/>
      <w:r>
        <w:t>, E. (2007).</w:t>
      </w:r>
      <w:proofErr w:type="gramEnd"/>
      <w:r>
        <w:t xml:space="preserve"> </w:t>
      </w:r>
      <w:proofErr w:type="gramStart"/>
      <w:r>
        <w:t>A systematic and quantitative approach to improve water use efficiency in agriculture.</w:t>
      </w:r>
      <w:proofErr w:type="gramEnd"/>
      <w:r>
        <w:t xml:space="preserve"> Irrigation Science, 25(3), 209–231. https://doi.org/10.1007/s00271-007-0063-2</w:t>
      </w:r>
    </w:p>
    <w:p w:rsidR="009E078A" w:rsidRDefault="009E078A" w:rsidP="009E078A">
      <w:pPr>
        <w:spacing w:before="100" w:beforeAutospacing="1" w:after="100" w:afterAutospacing="1"/>
        <w:ind w:left="720" w:hanging="720"/>
        <w:jc w:val="both"/>
      </w:pPr>
      <w:proofErr w:type="spellStart"/>
      <w:proofErr w:type="gramStart"/>
      <w:r>
        <w:t>Ihuoma</w:t>
      </w:r>
      <w:proofErr w:type="spellEnd"/>
      <w:r>
        <w:t xml:space="preserve">, S. O., &amp; </w:t>
      </w:r>
      <w:proofErr w:type="spellStart"/>
      <w:r>
        <w:t>Madramootoo</w:t>
      </w:r>
      <w:proofErr w:type="spellEnd"/>
      <w:r>
        <w:t>, C. A. (2017).</w:t>
      </w:r>
      <w:proofErr w:type="gramEnd"/>
      <w:r>
        <w:t xml:space="preserve"> Recent advances in crop water stress detection. Computers and Electronics in Agriculture, 141, 267–275. https://doi.org/10.1016/j.compag.2017.07.026</w:t>
      </w:r>
    </w:p>
    <w:p w:rsidR="009E078A" w:rsidRDefault="009E078A" w:rsidP="009E078A">
      <w:pPr>
        <w:spacing w:before="100" w:beforeAutospacing="1" w:after="100" w:afterAutospacing="1"/>
        <w:ind w:left="720" w:hanging="720"/>
        <w:jc w:val="both"/>
      </w:pPr>
      <w:proofErr w:type="gramStart"/>
      <w:r>
        <w:t>Intergovernmental Panel on Climate Change.</w:t>
      </w:r>
      <w:proofErr w:type="gramEnd"/>
      <w:r>
        <w:t xml:space="preserve"> (2021). Climate change 2021: The physical science basis. Contribution of Working Group I to the Sixth Assessment Report of the Intergovernmental Panel on Climate Change (V. Masson-</w:t>
      </w:r>
      <w:proofErr w:type="spellStart"/>
      <w:r>
        <w:t>Delmotte</w:t>
      </w:r>
      <w:proofErr w:type="spellEnd"/>
      <w:r>
        <w:t xml:space="preserve">, P. </w:t>
      </w:r>
      <w:proofErr w:type="spellStart"/>
      <w:r>
        <w:t>Zhai</w:t>
      </w:r>
      <w:proofErr w:type="spellEnd"/>
      <w:r>
        <w:t xml:space="preserve">, A. </w:t>
      </w:r>
      <w:proofErr w:type="spellStart"/>
      <w:r>
        <w:t>Pirani</w:t>
      </w:r>
      <w:proofErr w:type="spellEnd"/>
      <w:r>
        <w:t xml:space="preserve">, S. L. Connors, C. </w:t>
      </w:r>
      <w:proofErr w:type="spellStart"/>
      <w:r>
        <w:t>Péan</w:t>
      </w:r>
      <w:proofErr w:type="spellEnd"/>
      <w:r>
        <w:t xml:space="preserve">, S. Berger, N. </w:t>
      </w:r>
      <w:proofErr w:type="spellStart"/>
      <w:r>
        <w:t>Caud</w:t>
      </w:r>
      <w:proofErr w:type="spellEnd"/>
      <w:r>
        <w:t xml:space="preserve">, Y. Chen, L. Goldfarb, M. I. </w:t>
      </w:r>
      <w:proofErr w:type="spellStart"/>
      <w:r>
        <w:t>Gomis</w:t>
      </w:r>
      <w:proofErr w:type="spellEnd"/>
      <w:r>
        <w:t xml:space="preserve">, M. Huang, K. </w:t>
      </w:r>
      <w:proofErr w:type="spellStart"/>
      <w:r>
        <w:t>Leitzell</w:t>
      </w:r>
      <w:proofErr w:type="spellEnd"/>
      <w:r>
        <w:t xml:space="preserve">, E. </w:t>
      </w:r>
      <w:proofErr w:type="spellStart"/>
      <w:r>
        <w:t>Lonnoy</w:t>
      </w:r>
      <w:proofErr w:type="spellEnd"/>
      <w:r>
        <w:t xml:space="preserve">, J. B. R. Matthews, T. K. </w:t>
      </w:r>
      <w:proofErr w:type="spellStart"/>
      <w:r>
        <w:t>Maycock</w:t>
      </w:r>
      <w:proofErr w:type="spellEnd"/>
      <w:r>
        <w:t xml:space="preserve">, T. </w:t>
      </w:r>
      <w:proofErr w:type="spellStart"/>
      <w:r>
        <w:t>Waterfield</w:t>
      </w:r>
      <w:proofErr w:type="spellEnd"/>
      <w:r>
        <w:t xml:space="preserve">, O. </w:t>
      </w:r>
      <w:proofErr w:type="spellStart"/>
      <w:r>
        <w:t>Yelekçi</w:t>
      </w:r>
      <w:proofErr w:type="spellEnd"/>
      <w:r>
        <w:t xml:space="preserve">, R. Yu, &amp; B. Zhou, Eds.). </w:t>
      </w:r>
      <w:proofErr w:type="gramStart"/>
      <w:r>
        <w:t>Cambridge University Press.</w:t>
      </w:r>
      <w:proofErr w:type="gramEnd"/>
      <w:r>
        <w:t xml:space="preserve"> https://doi.org/10.1017/9781009157896</w:t>
      </w:r>
    </w:p>
    <w:p w:rsidR="009E078A" w:rsidRDefault="009E078A" w:rsidP="009E078A">
      <w:pPr>
        <w:spacing w:before="100" w:beforeAutospacing="1" w:after="100" w:afterAutospacing="1"/>
        <w:ind w:left="720" w:hanging="720"/>
        <w:jc w:val="both"/>
      </w:pPr>
      <w:proofErr w:type="spellStart"/>
      <w:proofErr w:type="gramStart"/>
      <w:r>
        <w:t>Jägermeyr</w:t>
      </w:r>
      <w:proofErr w:type="spellEnd"/>
      <w:r>
        <w:t xml:space="preserve">, J., </w:t>
      </w:r>
      <w:proofErr w:type="spellStart"/>
      <w:r>
        <w:t>Gerten</w:t>
      </w:r>
      <w:proofErr w:type="spellEnd"/>
      <w:r>
        <w:t xml:space="preserve">, D., </w:t>
      </w:r>
      <w:proofErr w:type="spellStart"/>
      <w:r>
        <w:t>Schaphoff</w:t>
      </w:r>
      <w:proofErr w:type="spellEnd"/>
      <w:r>
        <w:t xml:space="preserve">, S., </w:t>
      </w:r>
      <w:proofErr w:type="spellStart"/>
      <w:r>
        <w:t>Heinke</w:t>
      </w:r>
      <w:proofErr w:type="spellEnd"/>
      <w:r>
        <w:t xml:space="preserve">, J., </w:t>
      </w:r>
      <w:proofErr w:type="spellStart"/>
      <w:r>
        <w:t>Lucht</w:t>
      </w:r>
      <w:proofErr w:type="spellEnd"/>
      <w:r>
        <w:t xml:space="preserve">, W., &amp; </w:t>
      </w:r>
      <w:proofErr w:type="spellStart"/>
      <w:r>
        <w:t>Rockström</w:t>
      </w:r>
      <w:proofErr w:type="spellEnd"/>
      <w:r>
        <w:t>, J. (2016).</w:t>
      </w:r>
      <w:proofErr w:type="gramEnd"/>
      <w:r>
        <w:t xml:space="preserve"> Integrated crop water management might sustainably halve the global food gap. </w:t>
      </w:r>
      <w:proofErr w:type="gramStart"/>
      <w:r>
        <w:lastRenderedPageBreak/>
        <w:t>Environmental Research Letters, 11(2), 025002.</w:t>
      </w:r>
      <w:proofErr w:type="gramEnd"/>
      <w:r>
        <w:t xml:space="preserve"> https://doi.org/10.1088/1748-9326/11/2/025002</w:t>
      </w:r>
    </w:p>
    <w:p w:rsidR="009E078A" w:rsidRDefault="009E078A" w:rsidP="009E078A">
      <w:pPr>
        <w:spacing w:before="100" w:beforeAutospacing="1" w:after="100" w:afterAutospacing="1"/>
        <w:ind w:left="720" w:hanging="720"/>
        <w:jc w:val="both"/>
      </w:pPr>
      <w:r>
        <w:t>Jones, H. G. (2004). Irrigation scheduling: Advantages and pitfalls of plant-based methods. Journal of Experimental Botany, 55(407), 2427–2436. https://doi.org/10.1093/jxb/erh213</w:t>
      </w:r>
    </w:p>
    <w:p w:rsidR="009E078A" w:rsidRDefault="009E078A" w:rsidP="009E078A">
      <w:pPr>
        <w:spacing w:before="100" w:beforeAutospacing="1" w:after="100" w:afterAutospacing="1"/>
        <w:ind w:left="720" w:hanging="720"/>
        <w:jc w:val="both"/>
      </w:pPr>
      <w:proofErr w:type="spellStart"/>
      <w:proofErr w:type="gramStart"/>
      <w:r>
        <w:t>Kadyampakeni</w:t>
      </w:r>
      <w:proofErr w:type="spellEnd"/>
      <w:r>
        <w:t xml:space="preserve">, D. M., </w:t>
      </w:r>
      <w:proofErr w:type="spellStart"/>
      <w:r>
        <w:t>Scudiero</w:t>
      </w:r>
      <w:proofErr w:type="spellEnd"/>
      <w:r>
        <w:t xml:space="preserve">, E., &amp; </w:t>
      </w:r>
      <w:proofErr w:type="spellStart"/>
      <w:r>
        <w:t>Shrestha</w:t>
      </w:r>
      <w:proofErr w:type="spellEnd"/>
      <w:r>
        <w:t>, R. (2025).</w:t>
      </w:r>
      <w:proofErr w:type="gramEnd"/>
      <w:r>
        <w:t xml:space="preserve"> </w:t>
      </w:r>
      <w:proofErr w:type="gramStart"/>
      <w:r>
        <w:t>Advances in precision irrigation management in the twenty-first century.</w:t>
      </w:r>
      <w:proofErr w:type="gramEnd"/>
      <w:r>
        <w:t xml:space="preserve"> Irrigation Science, 43, 989–994. https://doi.org/10.1007/s00271-025-01038-5</w:t>
      </w:r>
    </w:p>
    <w:p w:rsidR="009E078A" w:rsidRDefault="009E078A" w:rsidP="009E078A">
      <w:pPr>
        <w:spacing w:before="100" w:beforeAutospacing="1" w:after="100" w:afterAutospacing="1"/>
        <w:ind w:left="720" w:hanging="720"/>
        <w:jc w:val="both"/>
      </w:pPr>
      <w:proofErr w:type="gramStart"/>
      <w:r>
        <w:t>Kang, S., &amp; Zhang, J. (2004).</w:t>
      </w:r>
      <w:proofErr w:type="gramEnd"/>
      <w:r>
        <w:t xml:space="preserve"> </w:t>
      </w:r>
      <w:proofErr w:type="gramStart"/>
      <w:r>
        <w:t>Controlled alternate partial root-zone irrigation: Its physiological consequences and impact on water use efficiency.</w:t>
      </w:r>
      <w:proofErr w:type="gramEnd"/>
      <w:r>
        <w:t xml:space="preserve"> Journal of Experimental Botany, 55(407), 2437–2446. https://doi.org/10.1093/jxb/erh249</w:t>
      </w:r>
    </w:p>
    <w:p w:rsidR="009E078A" w:rsidRDefault="009E078A" w:rsidP="009E078A">
      <w:pPr>
        <w:spacing w:before="100" w:beforeAutospacing="1" w:after="100" w:afterAutospacing="1"/>
        <w:ind w:left="720" w:hanging="720"/>
        <w:jc w:val="both"/>
      </w:pPr>
      <w:proofErr w:type="spellStart"/>
      <w:proofErr w:type="gramStart"/>
      <w:r>
        <w:t>Koech</w:t>
      </w:r>
      <w:proofErr w:type="spellEnd"/>
      <w:r>
        <w:t>, R., &amp; Langat, P. (2018).</w:t>
      </w:r>
      <w:proofErr w:type="gramEnd"/>
      <w:r>
        <w:t xml:space="preserve"> </w:t>
      </w:r>
      <w:proofErr w:type="gramStart"/>
      <w:r>
        <w:t>Improving irrigation water use efficiency: A review of advances, challenges and opportunities in the Australian context.</w:t>
      </w:r>
      <w:proofErr w:type="gramEnd"/>
      <w:r>
        <w:t xml:space="preserve"> </w:t>
      </w:r>
      <w:proofErr w:type="gramStart"/>
      <w:r>
        <w:t>Water, 10(12), 1771.</w:t>
      </w:r>
      <w:proofErr w:type="gramEnd"/>
      <w:r>
        <w:t xml:space="preserve"> https://doi.org/10.3390/w10121771</w:t>
      </w:r>
    </w:p>
    <w:p w:rsidR="009E078A" w:rsidRDefault="009E078A" w:rsidP="009E078A">
      <w:pPr>
        <w:spacing w:before="100" w:beforeAutospacing="1" w:after="100" w:afterAutospacing="1"/>
        <w:ind w:left="720" w:hanging="720"/>
        <w:jc w:val="both"/>
      </w:pPr>
      <w:r>
        <w:t xml:space="preserve">Lipper, L., Thornton, P., Campbell, B. M., Baedeker, T., </w:t>
      </w:r>
      <w:proofErr w:type="spellStart"/>
      <w:r>
        <w:t>Braimoh</w:t>
      </w:r>
      <w:proofErr w:type="spellEnd"/>
      <w:r>
        <w:t xml:space="preserve">, A., </w:t>
      </w:r>
      <w:proofErr w:type="spellStart"/>
      <w:r>
        <w:t>Bwalya</w:t>
      </w:r>
      <w:proofErr w:type="spellEnd"/>
      <w:r>
        <w:t xml:space="preserve">, M., Caron, P., </w:t>
      </w:r>
      <w:proofErr w:type="spellStart"/>
      <w:r>
        <w:t>Cattaneo</w:t>
      </w:r>
      <w:proofErr w:type="spellEnd"/>
      <w:r>
        <w:t xml:space="preserve">, A., </w:t>
      </w:r>
      <w:proofErr w:type="spellStart"/>
      <w:r>
        <w:t>Garrity</w:t>
      </w:r>
      <w:proofErr w:type="spellEnd"/>
      <w:r>
        <w:t xml:space="preserve">, D., Henry, K., </w:t>
      </w:r>
      <w:proofErr w:type="spellStart"/>
      <w:r>
        <w:t>Hottle</w:t>
      </w:r>
      <w:proofErr w:type="spellEnd"/>
      <w:r>
        <w:t xml:space="preserve">, R., Jackson, L., Jarvis, A., </w:t>
      </w:r>
      <w:proofErr w:type="spellStart"/>
      <w:r>
        <w:t>Kossam</w:t>
      </w:r>
      <w:proofErr w:type="spellEnd"/>
      <w:r>
        <w:t xml:space="preserve">, F., Mann, W., McCarthy, N., </w:t>
      </w:r>
      <w:proofErr w:type="spellStart"/>
      <w:r>
        <w:t>Meybeck</w:t>
      </w:r>
      <w:proofErr w:type="spellEnd"/>
      <w:r>
        <w:t xml:space="preserve">, A., </w:t>
      </w:r>
      <w:proofErr w:type="spellStart"/>
      <w:r>
        <w:t>Neufeldt</w:t>
      </w:r>
      <w:proofErr w:type="spellEnd"/>
      <w:r>
        <w:t xml:space="preserve">, H., Remington, T., </w:t>
      </w:r>
      <w:proofErr w:type="spellStart"/>
      <w:r>
        <w:t>Sen</w:t>
      </w:r>
      <w:proofErr w:type="spellEnd"/>
      <w:r>
        <w:t xml:space="preserve">, P. T., </w:t>
      </w:r>
      <w:proofErr w:type="spellStart"/>
      <w:r>
        <w:t>Sessa</w:t>
      </w:r>
      <w:proofErr w:type="spellEnd"/>
      <w:r>
        <w:t xml:space="preserve">, R., Shula, R., </w:t>
      </w:r>
      <w:proofErr w:type="spellStart"/>
      <w:r>
        <w:t>Tibu</w:t>
      </w:r>
      <w:proofErr w:type="spellEnd"/>
      <w:r>
        <w:t xml:space="preserve">, A., &amp; </w:t>
      </w:r>
      <w:proofErr w:type="spellStart"/>
      <w:r>
        <w:t>Torquebiau</w:t>
      </w:r>
      <w:proofErr w:type="spellEnd"/>
      <w:r>
        <w:t xml:space="preserve">, E. F. (2014). </w:t>
      </w:r>
      <w:proofErr w:type="gramStart"/>
      <w:r>
        <w:t>Climate-smart agriculture for food security.</w:t>
      </w:r>
      <w:proofErr w:type="gramEnd"/>
      <w:r>
        <w:t xml:space="preserve"> Nature Climate Change, 4(12), 1068–1072. https://doi.org/10.1038/nclimate2437</w:t>
      </w:r>
    </w:p>
    <w:p w:rsidR="009E078A" w:rsidRDefault="009E078A" w:rsidP="009E078A">
      <w:pPr>
        <w:spacing w:before="100" w:beforeAutospacing="1" w:after="100" w:afterAutospacing="1"/>
        <w:ind w:left="720" w:hanging="720"/>
        <w:jc w:val="both"/>
      </w:pPr>
      <w:proofErr w:type="spellStart"/>
      <w:proofErr w:type="gramStart"/>
      <w:r>
        <w:t>Lobell</w:t>
      </w:r>
      <w:proofErr w:type="spellEnd"/>
      <w:r>
        <w:t xml:space="preserve">, D. B., </w:t>
      </w:r>
      <w:proofErr w:type="spellStart"/>
      <w:r>
        <w:t>Schlenker</w:t>
      </w:r>
      <w:proofErr w:type="spellEnd"/>
      <w:r>
        <w:t>, W., &amp; Costa-Roberts, J. (2011).</w:t>
      </w:r>
      <w:proofErr w:type="gramEnd"/>
      <w:r>
        <w:t xml:space="preserve"> </w:t>
      </w:r>
      <w:proofErr w:type="gramStart"/>
      <w:r>
        <w:t>Climate trends and global crop production since 1980.</w:t>
      </w:r>
      <w:proofErr w:type="gramEnd"/>
      <w:r>
        <w:t xml:space="preserve"> Science, 333(6042), 616–620. https://doi.org/10.1126/science.1204531</w:t>
      </w:r>
    </w:p>
    <w:p w:rsidR="009E078A" w:rsidRDefault="009E078A" w:rsidP="009E078A">
      <w:pPr>
        <w:spacing w:before="100" w:beforeAutospacing="1" w:after="100" w:afterAutospacing="1"/>
        <w:ind w:left="720" w:hanging="720"/>
        <w:jc w:val="both"/>
      </w:pPr>
      <w:proofErr w:type="spellStart"/>
      <w:proofErr w:type="gramStart"/>
      <w:r>
        <w:t>Ojha</w:t>
      </w:r>
      <w:proofErr w:type="spellEnd"/>
      <w:r>
        <w:t xml:space="preserve">, T., </w:t>
      </w:r>
      <w:proofErr w:type="spellStart"/>
      <w:r>
        <w:t>Misra</w:t>
      </w:r>
      <w:proofErr w:type="spellEnd"/>
      <w:r>
        <w:t xml:space="preserve">, S., &amp; </w:t>
      </w:r>
      <w:proofErr w:type="spellStart"/>
      <w:r>
        <w:t>Raghuwanshi</w:t>
      </w:r>
      <w:proofErr w:type="spellEnd"/>
      <w:r>
        <w:t>, N. S. (2015).</w:t>
      </w:r>
      <w:proofErr w:type="gramEnd"/>
      <w:r>
        <w:t xml:space="preserve"> Wireless sensor networks for agriculture: The state-of-the-art in practice and future challenges. Computers and Electronics in Agriculture, 118, 66–84. https://doi.org/10.1016/j.compag.2015.08.011</w:t>
      </w:r>
    </w:p>
    <w:p w:rsidR="009E078A" w:rsidRDefault="009E078A" w:rsidP="009E078A">
      <w:pPr>
        <w:spacing w:before="100" w:beforeAutospacing="1" w:after="100" w:afterAutospacing="1"/>
        <w:ind w:left="720" w:hanging="720"/>
        <w:jc w:val="both"/>
      </w:pPr>
      <w:proofErr w:type="gramStart"/>
      <w:r>
        <w:t xml:space="preserve">Pereira, L. S., Allen, R. G., Smith, M., &amp; </w:t>
      </w:r>
      <w:proofErr w:type="spellStart"/>
      <w:r>
        <w:t>Raes</w:t>
      </w:r>
      <w:proofErr w:type="spellEnd"/>
      <w:r>
        <w:t>, D. (2015).</w:t>
      </w:r>
      <w:proofErr w:type="gramEnd"/>
      <w:r>
        <w:t xml:space="preserve"> Crop </w:t>
      </w:r>
      <w:proofErr w:type="spellStart"/>
      <w:r>
        <w:t>evapotranspiration</w:t>
      </w:r>
      <w:proofErr w:type="spellEnd"/>
      <w:r>
        <w:t xml:space="preserve"> estimation with FAO56: Past and future. Agricultural Water Management, 147, 4–20. https://doi.org/10.1016/j.agwat.2014.07.031</w:t>
      </w:r>
    </w:p>
    <w:p w:rsidR="009E078A" w:rsidRDefault="009E078A" w:rsidP="009E078A">
      <w:pPr>
        <w:spacing w:before="100" w:beforeAutospacing="1" w:after="100" w:afterAutospacing="1"/>
        <w:ind w:left="720" w:hanging="720"/>
        <w:jc w:val="both"/>
      </w:pPr>
      <w:proofErr w:type="gramStart"/>
      <w:r>
        <w:t xml:space="preserve">Pereira, L. S., </w:t>
      </w:r>
      <w:proofErr w:type="spellStart"/>
      <w:r>
        <w:t>Oweis</w:t>
      </w:r>
      <w:proofErr w:type="spellEnd"/>
      <w:r>
        <w:t xml:space="preserve">, T., &amp; </w:t>
      </w:r>
      <w:proofErr w:type="spellStart"/>
      <w:r>
        <w:t>Zairi</w:t>
      </w:r>
      <w:proofErr w:type="spellEnd"/>
      <w:r>
        <w:t>, A. (2002).</w:t>
      </w:r>
      <w:proofErr w:type="gramEnd"/>
      <w:r>
        <w:t xml:space="preserve"> </w:t>
      </w:r>
      <w:proofErr w:type="gramStart"/>
      <w:r>
        <w:t>Irrigation management under water scarcity.</w:t>
      </w:r>
      <w:proofErr w:type="gramEnd"/>
      <w:r>
        <w:t xml:space="preserve"> Agricultural Water Management, 57(3), 175–206. https://doi.org/10.1016/S0378-</w:t>
      </w:r>
      <w:proofErr w:type="gramStart"/>
      <w:r>
        <w:t>3774(</w:t>
      </w:r>
      <w:proofErr w:type="gramEnd"/>
      <w:r>
        <w:t>02)00075-6</w:t>
      </w:r>
    </w:p>
    <w:p w:rsidR="009E078A" w:rsidRDefault="009E078A" w:rsidP="009E078A">
      <w:pPr>
        <w:spacing w:before="100" w:beforeAutospacing="1" w:after="100" w:afterAutospacing="1"/>
        <w:ind w:left="720" w:hanging="720"/>
        <w:jc w:val="both"/>
      </w:pPr>
      <w:proofErr w:type="spellStart"/>
      <w:proofErr w:type="gramStart"/>
      <w:r>
        <w:t>Rockström</w:t>
      </w:r>
      <w:proofErr w:type="spellEnd"/>
      <w:r>
        <w:t xml:space="preserve">, J., </w:t>
      </w:r>
      <w:proofErr w:type="spellStart"/>
      <w:r>
        <w:t>Falkenmark</w:t>
      </w:r>
      <w:proofErr w:type="spellEnd"/>
      <w:r>
        <w:t xml:space="preserve">, M., </w:t>
      </w:r>
      <w:proofErr w:type="spellStart"/>
      <w:r>
        <w:t>Lannerstad</w:t>
      </w:r>
      <w:proofErr w:type="spellEnd"/>
      <w:r>
        <w:t xml:space="preserve">, M., &amp; </w:t>
      </w:r>
      <w:proofErr w:type="spellStart"/>
      <w:r>
        <w:t>Karlberg</w:t>
      </w:r>
      <w:proofErr w:type="spellEnd"/>
      <w:r>
        <w:t>, L. (2012).</w:t>
      </w:r>
      <w:proofErr w:type="gramEnd"/>
      <w:r>
        <w:t xml:space="preserve"> The planetary water drama: Dual task of feeding humanity and curbing climate change. </w:t>
      </w:r>
      <w:proofErr w:type="gramStart"/>
      <w:r>
        <w:t>Geophysical Research Letters, 39(15), L15401.</w:t>
      </w:r>
      <w:proofErr w:type="gramEnd"/>
      <w:r>
        <w:t xml:space="preserve"> https://doi.org/10.1029/2012GL051688</w:t>
      </w:r>
    </w:p>
    <w:p w:rsidR="009E078A" w:rsidRDefault="009E078A" w:rsidP="009E078A">
      <w:pPr>
        <w:spacing w:before="100" w:beforeAutospacing="1" w:after="100" w:afterAutospacing="1"/>
        <w:ind w:left="720" w:hanging="720"/>
        <w:jc w:val="both"/>
      </w:pPr>
      <w:r>
        <w:t xml:space="preserve">Scanlon, B. R., </w:t>
      </w:r>
      <w:proofErr w:type="spellStart"/>
      <w:r>
        <w:t>Faunt</w:t>
      </w:r>
      <w:proofErr w:type="spellEnd"/>
      <w:r>
        <w:t xml:space="preserve">, C. C., </w:t>
      </w:r>
      <w:proofErr w:type="spellStart"/>
      <w:r>
        <w:t>Longuevergne</w:t>
      </w:r>
      <w:proofErr w:type="spellEnd"/>
      <w:r>
        <w:t xml:space="preserve">, L., Reedy, R. C., Alley, W. M., McGuire, V. L., &amp; McMahon, P. B. (2012). </w:t>
      </w:r>
      <w:proofErr w:type="gramStart"/>
      <w:r>
        <w:t>Groundwater depletion and sustainability of irrigation in the US High Plains and Central Valley.</w:t>
      </w:r>
      <w:proofErr w:type="gramEnd"/>
      <w:r>
        <w:t xml:space="preserve"> Proceedings of the National Academy of Sciences, 109(24), 9320–9325. https://doi.org/10.1073/pnas.1200311109</w:t>
      </w:r>
    </w:p>
    <w:p w:rsidR="009E078A" w:rsidRDefault="009E078A" w:rsidP="009E078A">
      <w:pPr>
        <w:spacing w:before="100" w:beforeAutospacing="1" w:after="100" w:afterAutospacing="1"/>
        <w:ind w:left="720" w:hanging="720"/>
        <w:jc w:val="both"/>
      </w:pPr>
      <w:proofErr w:type="spellStart"/>
      <w:proofErr w:type="gramStart"/>
      <w:r>
        <w:lastRenderedPageBreak/>
        <w:t>Shiklomanov</w:t>
      </w:r>
      <w:proofErr w:type="spellEnd"/>
      <w:r>
        <w:t>, I. A. (2000).</w:t>
      </w:r>
      <w:proofErr w:type="gramEnd"/>
      <w:r>
        <w:t xml:space="preserve"> Appraisal and assessment of world water resources. Water International, 25(1), 11–32. https://doi.org/10.1080/02508060008686794</w:t>
      </w:r>
    </w:p>
    <w:p w:rsidR="009E078A" w:rsidRDefault="009E078A" w:rsidP="009E078A">
      <w:pPr>
        <w:spacing w:before="100" w:beforeAutospacing="1" w:after="100" w:afterAutospacing="1"/>
        <w:ind w:left="720" w:hanging="720"/>
        <w:jc w:val="both"/>
      </w:pPr>
      <w:proofErr w:type="gramStart"/>
      <w:r>
        <w:t xml:space="preserve">Siebert, S., Burke, J., </w:t>
      </w:r>
      <w:proofErr w:type="spellStart"/>
      <w:r>
        <w:t>Faurès</w:t>
      </w:r>
      <w:proofErr w:type="spellEnd"/>
      <w:r>
        <w:t xml:space="preserve">, J. M., </w:t>
      </w:r>
      <w:proofErr w:type="spellStart"/>
      <w:r>
        <w:t>Frenken</w:t>
      </w:r>
      <w:proofErr w:type="spellEnd"/>
      <w:r>
        <w:t xml:space="preserve">, K., </w:t>
      </w:r>
      <w:proofErr w:type="spellStart"/>
      <w:r>
        <w:t>Hoogeveen</w:t>
      </w:r>
      <w:proofErr w:type="spellEnd"/>
      <w:r>
        <w:t xml:space="preserve">, J., </w:t>
      </w:r>
      <w:proofErr w:type="spellStart"/>
      <w:r>
        <w:t>Döll</w:t>
      </w:r>
      <w:proofErr w:type="spellEnd"/>
      <w:r>
        <w:t xml:space="preserve">, P., &amp; </w:t>
      </w:r>
      <w:proofErr w:type="spellStart"/>
      <w:r>
        <w:t>Portmann</w:t>
      </w:r>
      <w:proofErr w:type="spellEnd"/>
      <w:r>
        <w:t>, F. T. (2010).</w:t>
      </w:r>
      <w:proofErr w:type="gramEnd"/>
      <w:r>
        <w:t xml:space="preserve"> Groundwater use for irrigation: A global inventory. Hydrology and Earth System Sciences, 14(10), 1863–1880. https://doi.org/10.5194/hess-14-1863-2010</w:t>
      </w:r>
    </w:p>
    <w:p w:rsidR="009E078A" w:rsidRDefault="009E078A" w:rsidP="009E078A">
      <w:pPr>
        <w:spacing w:before="100" w:beforeAutospacing="1" w:after="100" w:afterAutospacing="1"/>
        <w:ind w:left="720" w:hanging="720"/>
        <w:jc w:val="both"/>
      </w:pPr>
      <w:proofErr w:type="spellStart"/>
      <w:proofErr w:type="gramStart"/>
      <w:r>
        <w:t>Steduto</w:t>
      </w:r>
      <w:proofErr w:type="spellEnd"/>
      <w:r>
        <w:t xml:space="preserve">, P., Hsiao, T. C., </w:t>
      </w:r>
      <w:proofErr w:type="spellStart"/>
      <w:r>
        <w:t>Raes</w:t>
      </w:r>
      <w:proofErr w:type="spellEnd"/>
      <w:r>
        <w:t xml:space="preserve">, D., &amp; </w:t>
      </w:r>
      <w:proofErr w:type="spellStart"/>
      <w:r>
        <w:t>Fereres</w:t>
      </w:r>
      <w:proofErr w:type="spellEnd"/>
      <w:r>
        <w:t>, E. (2009).</w:t>
      </w:r>
      <w:proofErr w:type="gramEnd"/>
      <w:r>
        <w:t xml:space="preserve"> </w:t>
      </w:r>
      <w:proofErr w:type="spellStart"/>
      <w:r>
        <w:t>AquaCrop</w:t>
      </w:r>
      <w:proofErr w:type="spellEnd"/>
      <w:r>
        <w:t>—</w:t>
      </w:r>
      <w:proofErr w:type="gramStart"/>
      <w:r>
        <w:t>The</w:t>
      </w:r>
      <w:proofErr w:type="gramEnd"/>
      <w:r>
        <w:t xml:space="preserve"> FAO crop model to simulate yield response to water: I. Concepts and underlying principles. Agronomy Journal, 101(3), 426–437. https://doi.org/10.2134/agronj2008.0139s</w:t>
      </w:r>
    </w:p>
    <w:p w:rsidR="009E078A" w:rsidRDefault="009E078A" w:rsidP="009E078A">
      <w:pPr>
        <w:spacing w:before="100" w:beforeAutospacing="1" w:after="100" w:afterAutospacing="1"/>
        <w:ind w:left="720" w:hanging="720"/>
        <w:jc w:val="both"/>
      </w:pPr>
      <w:proofErr w:type="spellStart"/>
      <w:proofErr w:type="gramStart"/>
      <w:r>
        <w:t>Turral</w:t>
      </w:r>
      <w:proofErr w:type="spellEnd"/>
      <w:r>
        <w:t xml:space="preserve">, H., Burke, J., &amp; </w:t>
      </w:r>
      <w:proofErr w:type="spellStart"/>
      <w:r>
        <w:t>Faurès</w:t>
      </w:r>
      <w:proofErr w:type="spellEnd"/>
      <w:r>
        <w:t>, J. M. (2011).</w:t>
      </w:r>
      <w:proofErr w:type="gramEnd"/>
      <w:r>
        <w:t xml:space="preserve"> </w:t>
      </w:r>
      <w:proofErr w:type="gramStart"/>
      <w:r>
        <w:t>Climate change, water and food security (FAO Water Reports No. 36).</w:t>
      </w:r>
      <w:proofErr w:type="gramEnd"/>
      <w:r>
        <w:t xml:space="preserve"> </w:t>
      </w:r>
      <w:proofErr w:type="gramStart"/>
      <w:r>
        <w:t>Food and Agriculture Organization of the United Nations.</w:t>
      </w:r>
      <w:proofErr w:type="gramEnd"/>
      <w:r>
        <w:t xml:space="preserve"> https://www.fao.org/4/i2096e/i2096e00.htm</w:t>
      </w:r>
    </w:p>
    <w:p w:rsidR="009E078A" w:rsidRDefault="009E078A" w:rsidP="009E078A">
      <w:pPr>
        <w:spacing w:before="100" w:beforeAutospacing="1" w:after="100" w:afterAutospacing="1"/>
        <w:ind w:left="720" w:hanging="720"/>
        <w:jc w:val="both"/>
      </w:pPr>
      <w:proofErr w:type="spellStart"/>
      <w:r>
        <w:t>Vellidis</w:t>
      </w:r>
      <w:proofErr w:type="spellEnd"/>
      <w:r>
        <w:t xml:space="preserve">, G., Tucker, M., Perry, C., </w:t>
      </w:r>
      <w:proofErr w:type="spellStart"/>
      <w:r>
        <w:t>Kvien</w:t>
      </w:r>
      <w:proofErr w:type="spellEnd"/>
      <w:r>
        <w:t xml:space="preserve">, C., &amp; </w:t>
      </w:r>
      <w:proofErr w:type="spellStart"/>
      <w:r>
        <w:t>Bednarz</w:t>
      </w:r>
      <w:proofErr w:type="spellEnd"/>
      <w:r>
        <w:t xml:space="preserve">, C. (2008). </w:t>
      </w:r>
      <w:proofErr w:type="gramStart"/>
      <w:r>
        <w:t>A real-time wireless smart sensor array for scheduling irrigation.</w:t>
      </w:r>
      <w:proofErr w:type="gramEnd"/>
      <w:r>
        <w:t xml:space="preserve"> Computers and Electronics in Agriculture, 61(1), 44–50. https://doi.org/10.1016/j.compag.2007.05.009</w:t>
      </w:r>
    </w:p>
    <w:p w:rsidR="009E078A" w:rsidRDefault="009E078A" w:rsidP="009E078A">
      <w:pPr>
        <w:spacing w:before="100" w:beforeAutospacing="1" w:after="100" w:afterAutospacing="1"/>
        <w:ind w:left="720" w:hanging="720"/>
        <w:jc w:val="both"/>
      </w:pPr>
      <w:proofErr w:type="spellStart"/>
      <w:r>
        <w:t>Vörösmarty</w:t>
      </w:r>
      <w:proofErr w:type="spellEnd"/>
      <w:r>
        <w:t xml:space="preserve">, C. J., McIntyre, P. B., </w:t>
      </w:r>
      <w:proofErr w:type="spellStart"/>
      <w:r>
        <w:t>Gessner</w:t>
      </w:r>
      <w:proofErr w:type="spellEnd"/>
      <w:r>
        <w:t xml:space="preserve">, M. O., Dudgeon, D., </w:t>
      </w:r>
      <w:proofErr w:type="spellStart"/>
      <w:r>
        <w:t>Prusevich</w:t>
      </w:r>
      <w:proofErr w:type="spellEnd"/>
      <w:r>
        <w:t xml:space="preserve">, A., Green, P., Glidden, S., Bunn, S. E., Sullivan, C. A., </w:t>
      </w:r>
      <w:proofErr w:type="spellStart"/>
      <w:r>
        <w:t>Reidy</w:t>
      </w:r>
      <w:proofErr w:type="spellEnd"/>
      <w:r>
        <w:t xml:space="preserve"> </w:t>
      </w:r>
      <w:proofErr w:type="spellStart"/>
      <w:r>
        <w:t>Liermann</w:t>
      </w:r>
      <w:proofErr w:type="spellEnd"/>
      <w:r>
        <w:t xml:space="preserve">, C., &amp; Davies, P. M. (2010). </w:t>
      </w:r>
      <w:proofErr w:type="gramStart"/>
      <w:r>
        <w:t>Global threats to human water security and river biodiversity.</w:t>
      </w:r>
      <w:proofErr w:type="gramEnd"/>
      <w:r>
        <w:t xml:space="preserve"> Nature, 467(7315), 555–561. https://doi.org/10.1038/nature09440</w:t>
      </w:r>
    </w:p>
    <w:p w:rsidR="009E078A" w:rsidRDefault="009E078A" w:rsidP="009E078A">
      <w:pPr>
        <w:spacing w:before="100" w:beforeAutospacing="1" w:after="100" w:afterAutospacing="1"/>
        <w:ind w:left="720" w:hanging="720"/>
        <w:jc w:val="both"/>
      </w:pPr>
      <w:r>
        <w:t xml:space="preserve">Wada, Y., van </w:t>
      </w:r>
      <w:proofErr w:type="spellStart"/>
      <w:r>
        <w:t>Beek</w:t>
      </w:r>
      <w:proofErr w:type="spellEnd"/>
      <w:r>
        <w:t xml:space="preserve">, L. P. H., van </w:t>
      </w:r>
      <w:proofErr w:type="spellStart"/>
      <w:r>
        <w:t>Kempen</w:t>
      </w:r>
      <w:proofErr w:type="spellEnd"/>
      <w:r>
        <w:t xml:space="preserve">, C. M., </w:t>
      </w:r>
      <w:proofErr w:type="spellStart"/>
      <w:r>
        <w:t>Reckman</w:t>
      </w:r>
      <w:proofErr w:type="spellEnd"/>
      <w:r>
        <w:t xml:space="preserve">, J. W. T. M., </w:t>
      </w:r>
      <w:proofErr w:type="spellStart"/>
      <w:r>
        <w:t>Vasak</w:t>
      </w:r>
      <w:proofErr w:type="spellEnd"/>
      <w:r>
        <w:t xml:space="preserve">, S., &amp; </w:t>
      </w:r>
      <w:proofErr w:type="spellStart"/>
      <w:r>
        <w:t>Bierkens</w:t>
      </w:r>
      <w:proofErr w:type="spellEnd"/>
      <w:r>
        <w:t xml:space="preserve">, M. F. P. (2010). </w:t>
      </w:r>
      <w:proofErr w:type="gramStart"/>
      <w:r>
        <w:t>Global depletion of groundwater resources.</w:t>
      </w:r>
      <w:proofErr w:type="gramEnd"/>
      <w:r>
        <w:t xml:space="preserve"> </w:t>
      </w:r>
      <w:proofErr w:type="gramStart"/>
      <w:r>
        <w:t>Geophysical Research Letters, 37(20), L20402.</w:t>
      </w:r>
      <w:proofErr w:type="gramEnd"/>
      <w:r>
        <w:t xml:space="preserve"> https://doi.org/10.1029/2010GL044571</w:t>
      </w:r>
    </w:p>
    <w:p w:rsidR="009E078A" w:rsidRDefault="009E078A" w:rsidP="009E078A">
      <w:pPr>
        <w:spacing w:before="100" w:beforeAutospacing="1" w:after="100" w:afterAutospacing="1"/>
        <w:ind w:left="720" w:hanging="720"/>
        <w:jc w:val="both"/>
      </w:pPr>
      <w:r>
        <w:t xml:space="preserve">Zhao, C., Liu, B., </w:t>
      </w:r>
      <w:proofErr w:type="spellStart"/>
      <w:r>
        <w:t>Piao</w:t>
      </w:r>
      <w:proofErr w:type="spellEnd"/>
      <w:r>
        <w:t xml:space="preserve">, S., Wang, X., </w:t>
      </w:r>
      <w:proofErr w:type="spellStart"/>
      <w:r>
        <w:t>Lobell</w:t>
      </w:r>
      <w:proofErr w:type="spellEnd"/>
      <w:r>
        <w:t xml:space="preserve">, D. B., Huang, Y., Huang, M., Yao, Y., </w:t>
      </w:r>
      <w:proofErr w:type="spellStart"/>
      <w:r>
        <w:t>Bassu</w:t>
      </w:r>
      <w:proofErr w:type="spellEnd"/>
      <w:r>
        <w:t xml:space="preserve">, S., </w:t>
      </w:r>
      <w:proofErr w:type="spellStart"/>
      <w:r>
        <w:t>Ciais</w:t>
      </w:r>
      <w:proofErr w:type="spellEnd"/>
      <w:r>
        <w:t xml:space="preserve">, P., Durand, J.-L., Elliott, J., </w:t>
      </w:r>
      <w:proofErr w:type="spellStart"/>
      <w:r>
        <w:t>Ewert</w:t>
      </w:r>
      <w:proofErr w:type="spellEnd"/>
      <w:r>
        <w:t xml:space="preserve">, F., </w:t>
      </w:r>
      <w:proofErr w:type="spellStart"/>
      <w:r>
        <w:t>Janssens</w:t>
      </w:r>
      <w:proofErr w:type="spellEnd"/>
      <w:r>
        <w:t xml:space="preserve">, I. A., Li, T., Lin, E., Liu, Q., </w:t>
      </w:r>
      <w:proofErr w:type="spellStart"/>
      <w:r>
        <w:t>Martre</w:t>
      </w:r>
      <w:proofErr w:type="spellEnd"/>
      <w:r>
        <w:t xml:space="preserve">, P., </w:t>
      </w:r>
      <w:proofErr w:type="spellStart"/>
      <w:r>
        <w:t>Müller</w:t>
      </w:r>
      <w:proofErr w:type="spellEnd"/>
      <w:r>
        <w:t xml:space="preserve">, C., </w:t>
      </w:r>
      <w:proofErr w:type="spellStart"/>
      <w:r>
        <w:t>Peng</w:t>
      </w:r>
      <w:proofErr w:type="spellEnd"/>
      <w:r>
        <w:t xml:space="preserve">, S., </w:t>
      </w:r>
      <w:proofErr w:type="spellStart"/>
      <w:r>
        <w:t>Peñuelas</w:t>
      </w:r>
      <w:proofErr w:type="spellEnd"/>
      <w:r>
        <w:t xml:space="preserve">, J., </w:t>
      </w:r>
      <w:proofErr w:type="spellStart"/>
      <w:r>
        <w:t>Ruane</w:t>
      </w:r>
      <w:proofErr w:type="spellEnd"/>
      <w:r>
        <w:t xml:space="preserve">, A. C., Wallach, D., Wang, T., Wu, D., Liu, Z., Zhu, Y., Zhu, Z., &amp; </w:t>
      </w:r>
      <w:proofErr w:type="spellStart"/>
      <w:r>
        <w:t>Asseng</w:t>
      </w:r>
      <w:proofErr w:type="spellEnd"/>
      <w:r>
        <w:t>, S. (2017). Temperature increase reduces global yields of major crops in four independent estimates. Proceedings of the National Academy of Sciences, 114(35), 9326–9331. https://doi.org/10.1073/pnas.1701762114</w:t>
      </w:r>
    </w:p>
    <w:p w:rsidR="009E078A" w:rsidRDefault="009E078A" w:rsidP="009E078A">
      <w:pPr>
        <w:spacing w:before="100" w:beforeAutospacing="1" w:after="100" w:afterAutospacing="1"/>
        <w:ind w:left="720" w:hanging="720"/>
        <w:jc w:val="both"/>
      </w:pPr>
      <w:proofErr w:type="spellStart"/>
      <w:proofErr w:type="gramStart"/>
      <w:r>
        <w:t>Zwart</w:t>
      </w:r>
      <w:proofErr w:type="spellEnd"/>
      <w:r>
        <w:t xml:space="preserve">, S. J., &amp; </w:t>
      </w:r>
      <w:proofErr w:type="spellStart"/>
      <w:r>
        <w:t>Bastiaanssen</w:t>
      </w:r>
      <w:proofErr w:type="spellEnd"/>
      <w:r>
        <w:t>, W. G. M. (2004).</w:t>
      </w:r>
      <w:proofErr w:type="gramEnd"/>
      <w:r>
        <w:t xml:space="preserve"> Review of measured crop water productivity values for irrigated wheat, rice, cotton and maize. Agricultural Water Management, 69(2), 115–133. https://doi.org/10.1016/j.agwat.2004.04.007</w:t>
      </w:r>
    </w:p>
    <w:sectPr w:rsidR="009E078A" w:rsidSect="00ED23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A0C" w:rsidRDefault="00C73A0C" w:rsidP="003E2889">
      <w:r>
        <w:separator/>
      </w:r>
    </w:p>
  </w:endnote>
  <w:endnote w:type="continuationSeparator" w:id="0">
    <w:p w:rsidR="00C73A0C" w:rsidRDefault="00C73A0C" w:rsidP="003E2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erriweather Sans">
    <w:altName w:val="Times New Roman"/>
    <w:charset w:val="00"/>
    <w:family w:val="auto"/>
    <w:pitch w:val="variable"/>
    <w:sig w:usb0="00000001"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89" w:rsidRDefault="003E28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89" w:rsidRDefault="003E28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89" w:rsidRDefault="003E2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A0C" w:rsidRDefault="00C73A0C" w:rsidP="003E2889">
      <w:r>
        <w:separator/>
      </w:r>
    </w:p>
  </w:footnote>
  <w:footnote w:type="continuationSeparator" w:id="0">
    <w:p w:rsidR="00C73A0C" w:rsidRDefault="00C73A0C" w:rsidP="003E2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89" w:rsidRDefault="007D0E2F">
    <w:pPr>
      <w:pStyle w:val="Header"/>
    </w:pPr>
    <w:r w:rsidRPr="007D0E2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754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89" w:rsidRDefault="007D0E2F">
    <w:pPr>
      <w:pStyle w:val="Header"/>
    </w:pPr>
    <w:r w:rsidRPr="007D0E2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754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89" w:rsidRDefault="007D0E2F">
    <w:pPr>
      <w:pStyle w:val="Header"/>
    </w:pPr>
    <w:r w:rsidRPr="007D0E2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754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7CFB"/>
    <w:multiLevelType w:val="hybridMultilevel"/>
    <w:tmpl w:val="D9E26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DE78CB"/>
    <w:multiLevelType w:val="hybridMultilevel"/>
    <w:tmpl w:val="C84207F0"/>
    <w:lvl w:ilvl="0" w:tplc="055E32A4">
      <w:start w:val="1"/>
      <w:numFmt w:val="bullet"/>
      <w:lvlText w:val="●"/>
      <w:lvlJc w:val="left"/>
      <w:pPr>
        <w:ind w:left="720" w:hanging="360"/>
      </w:pPr>
    </w:lvl>
    <w:lvl w:ilvl="1" w:tplc="0D861772">
      <w:start w:val="1"/>
      <w:numFmt w:val="bullet"/>
      <w:lvlText w:val="○"/>
      <w:lvlJc w:val="left"/>
      <w:pPr>
        <w:ind w:left="1440" w:hanging="360"/>
      </w:pPr>
    </w:lvl>
    <w:lvl w:ilvl="2" w:tplc="BCFA5152">
      <w:start w:val="1"/>
      <w:numFmt w:val="bullet"/>
      <w:lvlText w:val="■"/>
      <w:lvlJc w:val="left"/>
      <w:pPr>
        <w:ind w:left="2160" w:hanging="360"/>
      </w:pPr>
    </w:lvl>
    <w:lvl w:ilvl="3" w:tplc="30FEE202">
      <w:start w:val="1"/>
      <w:numFmt w:val="bullet"/>
      <w:lvlText w:val="●"/>
      <w:lvlJc w:val="left"/>
      <w:pPr>
        <w:ind w:left="2880" w:hanging="360"/>
      </w:pPr>
    </w:lvl>
    <w:lvl w:ilvl="4" w:tplc="06B47DE2">
      <w:start w:val="1"/>
      <w:numFmt w:val="bullet"/>
      <w:lvlText w:val="○"/>
      <w:lvlJc w:val="left"/>
      <w:pPr>
        <w:ind w:left="3600" w:hanging="360"/>
      </w:pPr>
    </w:lvl>
    <w:lvl w:ilvl="5" w:tplc="D8F2444A">
      <w:start w:val="1"/>
      <w:numFmt w:val="bullet"/>
      <w:lvlText w:val="■"/>
      <w:lvlJc w:val="left"/>
      <w:pPr>
        <w:ind w:left="4320" w:hanging="360"/>
      </w:pPr>
    </w:lvl>
    <w:lvl w:ilvl="6" w:tplc="2930730E">
      <w:start w:val="1"/>
      <w:numFmt w:val="bullet"/>
      <w:lvlText w:val="●"/>
      <w:lvlJc w:val="left"/>
      <w:pPr>
        <w:ind w:left="5040" w:hanging="360"/>
      </w:pPr>
    </w:lvl>
    <w:lvl w:ilvl="7" w:tplc="3E6C325C">
      <w:start w:val="1"/>
      <w:numFmt w:val="bullet"/>
      <w:lvlText w:val="●"/>
      <w:lvlJc w:val="left"/>
      <w:pPr>
        <w:ind w:left="5760" w:hanging="360"/>
      </w:pPr>
    </w:lvl>
    <w:lvl w:ilvl="8" w:tplc="5A90AB4E">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MjYzMzGwMDa1sDQwNzRS0lEKTi0uzszPAykwqgUA90zSmCwAAAA="/>
  </w:docVars>
  <w:rsids>
    <w:rsidRoot w:val="00ED23A3"/>
    <w:rsid w:val="000F13BC"/>
    <w:rsid w:val="0011120C"/>
    <w:rsid w:val="00317F1B"/>
    <w:rsid w:val="00393C71"/>
    <w:rsid w:val="003E2889"/>
    <w:rsid w:val="003F5427"/>
    <w:rsid w:val="00672837"/>
    <w:rsid w:val="00735707"/>
    <w:rsid w:val="007A3F3B"/>
    <w:rsid w:val="007D0E2F"/>
    <w:rsid w:val="00805FAA"/>
    <w:rsid w:val="0091599A"/>
    <w:rsid w:val="009869DA"/>
    <w:rsid w:val="009E078A"/>
    <w:rsid w:val="00B621DB"/>
    <w:rsid w:val="00BC1956"/>
    <w:rsid w:val="00C73A0C"/>
    <w:rsid w:val="00D17270"/>
    <w:rsid w:val="00E86BD0"/>
    <w:rsid w:val="00EB1B9B"/>
    <w:rsid w:val="00ED23A3"/>
    <w:rsid w:val="00EF3B55"/>
    <w:rsid w:val="00F27F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2F"/>
  </w:style>
  <w:style w:type="paragraph" w:styleId="Heading1">
    <w:name w:val="heading 1"/>
    <w:qFormat/>
    <w:rsid w:val="00ED23A3"/>
    <w:pPr>
      <w:spacing w:before="360" w:after="160"/>
      <w:outlineLvl w:val="0"/>
    </w:pPr>
    <w:rPr>
      <w:b/>
      <w:bCs/>
      <w:color w:val="000000"/>
      <w:sz w:val="28"/>
      <w:szCs w:val="28"/>
    </w:rPr>
  </w:style>
  <w:style w:type="paragraph" w:styleId="Heading2">
    <w:name w:val="heading 2"/>
    <w:qFormat/>
    <w:rsid w:val="00ED23A3"/>
    <w:pPr>
      <w:spacing w:before="240" w:after="120"/>
      <w:outlineLvl w:val="1"/>
    </w:pPr>
    <w:rPr>
      <w:b/>
      <w:bCs/>
      <w:color w:val="000000"/>
      <w:sz w:val="26"/>
      <w:szCs w:val="26"/>
    </w:rPr>
  </w:style>
  <w:style w:type="paragraph" w:styleId="Heading3">
    <w:name w:val="heading 3"/>
    <w:qFormat/>
    <w:rsid w:val="00ED23A3"/>
    <w:pPr>
      <w:outlineLvl w:val="2"/>
    </w:pPr>
    <w:rPr>
      <w:color w:val="1F4D78"/>
    </w:rPr>
  </w:style>
  <w:style w:type="paragraph" w:styleId="Heading4">
    <w:name w:val="heading 4"/>
    <w:qFormat/>
    <w:rsid w:val="00ED23A3"/>
    <w:pPr>
      <w:outlineLvl w:val="3"/>
    </w:pPr>
    <w:rPr>
      <w:i/>
      <w:iCs/>
      <w:color w:val="2E74B5"/>
    </w:rPr>
  </w:style>
  <w:style w:type="paragraph" w:styleId="Heading5">
    <w:name w:val="heading 5"/>
    <w:qFormat/>
    <w:rsid w:val="00ED23A3"/>
    <w:pPr>
      <w:outlineLvl w:val="4"/>
    </w:pPr>
    <w:rPr>
      <w:color w:val="2E74B5"/>
    </w:rPr>
  </w:style>
  <w:style w:type="paragraph" w:styleId="Heading6">
    <w:name w:val="heading 6"/>
    <w:qFormat/>
    <w:rsid w:val="00ED23A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D23A3"/>
    <w:rPr>
      <w:sz w:val="56"/>
      <w:szCs w:val="56"/>
    </w:rPr>
  </w:style>
  <w:style w:type="paragraph" w:customStyle="1" w:styleId="Strong1">
    <w:name w:val="Strong1"/>
    <w:qFormat/>
    <w:rsid w:val="00ED23A3"/>
    <w:rPr>
      <w:b/>
      <w:bCs/>
    </w:rPr>
  </w:style>
  <w:style w:type="paragraph" w:styleId="ListParagraph">
    <w:name w:val="List Paragraph"/>
    <w:qFormat/>
    <w:rsid w:val="00ED23A3"/>
  </w:style>
  <w:style w:type="character" w:styleId="Hyperlink">
    <w:name w:val="Hyperlink"/>
    <w:uiPriority w:val="99"/>
    <w:unhideWhenUsed/>
    <w:rsid w:val="00ED23A3"/>
    <w:rPr>
      <w:color w:val="0563C1"/>
      <w:u w:val="single"/>
    </w:rPr>
  </w:style>
  <w:style w:type="character" w:styleId="FootnoteReference">
    <w:name w:val="footnote reference"/>
    <w:uiPriority w:val="99"/>
    <w:semiHidden/>
    <w:unhideWhenUsed/>
    <w:rsid w:val="00ED23A3"/>
    <w:rPr>
      <w:vertAlign w:val="superscript"/>
    </w:rPr>
  </w:style>
  <w:style w:type="paragraph" w:styleId="FootnoteText">
    <w:name w:val="footnote text"/>
    <w:link w:val="FootnoteTextChar"/>
    <w:uiPriority w:val="99"/>
    <w:semiHidden/>
    <w:unhideWhenUsed/>
    <w:rsid w:val="00ED23A3"/>
    <w:rPr>
      <w:sz w:val="20"/>
      <w:szCs w:val="20"/>
    </w:rPr>
  </w:style>
  <w:style w:type="character" w:customStyle="1" w:styleId="FootnoteTextChar">
    <w:name w:val="Footnote Text Char"/>
    <w:link w:val="FootnoteText"/>
    <w:uiPriority w:val="99"/>
    <w:semiHidden/>
    <w:unhideWhenUsed/>
    <w:rsid w:val="00ED23A3"/>
    <w:rPr>
      <w:sz w:val="20"/>
      <w:szCs w:val="20"/>
    </w:rPr>
  </w:style>
  <w:style w:type="character" w:styleId="EndnoteReference">
    <w:name w:val="endnote reference"/>
    <w:uiPriority w:val="99"/>
    <w:semiHidden/>
    <w:unhideWhenUsed/>
    <w:rsid w:val="00ED23A3"/>
    <w:rPr>
      <w:vertAlign w:val="superscript"/>
    </w:rPr>
  </w:style>
  <w:style w:type="paragraph" w:styleId="EndnoteText">
    <w:name w:val="endnote text"/>
    <w:link w:val="EndnoteTextChar"/>
    <w:uiPriority w:val="99"/>
    <w:semiHidden/>
    <w:unhideWhenUsed/>
    <w:rsid w:val="00ED23A3"/>
    <w:rPr>
      <w:sz w:val="20"/>
      <w:szCs w:val="20"/>
    </w:rPr>
  </w:style>
  <w:style w:type="character" w:customStyle="1" w:styleId="EndnoteTextChar">
    <w:name w:val="Endnote Text Char"/>
    <w:link w:val="EndnoteText"/>
    <w:uiPriority w:val="99"/>
    <w:semiHidden/>
    <w:unhideWhenUsed/>
    <w:rsid w:val="00ED23A3"/>
    <w:rPr>
      <w:sz w:val="20"/>
      <w:szCs w:val="20"/>
    </w:rPr>
  </w:style>
  <w:style w:type="paragraph" w:styleId="Header">
    <w:name w:val="header"/>
    <w:basedOn w:val="Normal"/>
    <w:link w:val="HeaderChar"/>
    <w:uiPriority w:val="99"/>
    <w:unhideWhenUsed/>
    <w:rsid w:val="003E2889"/>
    <w:pPr>
      <w:tabs>
        <w:tab w:val="center" w:pos="4680"/>
        <w:tab w:val="right" w:pos="9360"/>
      </w:tabs>
    </w:pPr>
  </w:style>
  <w:style w:type="character" w:customStyle="1" w:styleId="HeaderChar">
    <w:name w:val="Header Char"/>
    <w:basedOn w:val="DefaultParagraphFont"/>
    <w:link w:val="Header"/>
    <w:uiPriority w:val="99"/>
    <w:rsid w:val="003E2889"/>
  </w:style>
  <w:style w:type="paragraph" w:styleId="Footer">
    <w:name w:val="footer"/>
    <w:basedOn w:val="Normal"/>
    <w:link w:val="FooterChar"/>
    <w:uiPriority w:val="99"/>
    <w:unhideWhenUsed/>
    <w:rsid w:val="003E2889"/>
    <w:pPr>
      <w:tabs>
        <w:tab w:val="center" w:pos="4680"/>
        <w:tab w:val="right" w:pos="9360"/>
      </w:tabs>
    </w:pPr>
  </w:style>
  <w:style w:type="character" w:customStyle="1" w:styleId="FooterChar">
    <w:name w:val="Footer Char"/>
    <w:basedOn w:val="DefaultParagraphFont"/>
    <w:link w:val="Footer"/>
    <w:uiPriority w:val="99"/>
    <w:rsid w:val="003E2889"/>
  </w:style>
  <w:style w:type="paragraph" w:styleId="Revision">
    <w:name w:val="Revision"/>
    <w:hidden/>
    <w:uiPriority w:val="99"/>
    <w:semiHidden/>
    <w:rsid w:val="00B621DB"/>
  </w:style>
  <w:style w:type="paragraph" w:styleId="NormalWeb">
    <w:name w:val="Normal (Web)"/>
    <w:basedOn w:val="Normal"/>
    <w:uiPriority w:val="99"/>
    <w:semiHidden/>
    <w:unhideWhenUsed/>
    <w:rsid w:val="00B621DB"/>
    <w:pPr>
      <w:spacing w:before="100" w:beforeAutospacing="1" w:after="100" w:afterAutospacing="1"/>
    </w:pPr>
  </w:style>
  <w:style w:type="character" w:styleId="Emphasis">
    <w:name w:val="Emphasis"/>
    <w:basedOn w:val="DefaultParagraphFont"/>
    <w:uiPriority w:val="20"/>
    <w:qFormat/>
    <w:rsid w:val="00B621DB"/>
    <w:rPr>
      <w:i/>
      <w:iCs/>
    </w:rPr>
  </w:style>
  <w:style w:type="paragraph" w:customStyle="1" w:styleId="c-bibliographic-informationcitation">
    <w:name w:val="c-bibliographic-information__citation"/>
    <w:basedOn w:val="Normal"/>
    <w:rsid w:val="00F27F2F"/>
    <w:pPr>
      <w:spacing w:before="100" w:beforeAutospacing="1" w:after="100" w:afterAutospacing="1"/>
    </w:pPr>
  </w:style>
  <w:style w:type="paragraph" w:customStyle="1" w:styleId="font-claude-response-body">
    <w:name w:val="font-claude-response-body"/>
    <w:basedOn w:val="Normal"/>
    <w:rsid w:val="009E078A"/>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658076555">
      <w:bodyDiv w:val="1"/>
      <w:marLeft w:val="0"/>
      <w:marRight w:val="0"/>
      <w:marTop w:val="0"/>
      <w:marBottom w:val="0"/>
      <w:divBdr>
        <w:top w:val="none" w:sz="0" w:space="0" w:color="auto"/>
        <w:left w:val="none" w:sz="0" w:space="0" w:color="auto"/>
        <w:bottom w:val="none" w:sz="0" w:space="0" w:color="auto"/>
        <w:right w:val="none" w:sz="0" w:space="0" w:color="auto"/>
      </w:divBdr>
    </w:div>
    <w:div w:id="1153721743">
      <w:bodyDiv w:val="1"/>
      <w:marLeft w:val="0"/>
      <w:marRight w:val="0"/>
      <w:marTop w:val="0"/>
      <w:marBottom w:val="0"/>
      <w:divBdr>
        <w:top w:val="none" w:sz="0" w:space="0" w:color="auto"/>
        <w:left w:val="none" w:sz="0" w:space="0" w:color="auto"/>
        <w:bottom w:val="none" w:sz="0" w:space="0" w:color="auto"/>
        <w:right w:val="none" w:sz="0" w:space="0" w:color="auto"/>
      </w:divBdr>
    </w:div>
    <w:div w:id="135754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27</Pages>
  <Words>10835</Words>
  <Characters>61761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Managing Editor</cp:lastModifiedBy>
  <cp:revision>13</cp:revision>
  <dcterms:created xsi:type="dcterms:W3CDTF">2026-04-23T05:42:00Z</dcterms:created>
  <dcterms:modified xsi:type="dcterms:W3CDTF">2026-05-25T12:05:00Z</dcterms:modified>
</cp:coreProperties>
</file>