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61B1" w14:textId="7E3BF1D8" w:rsidR="00BD40C4" w:rsidRPr="009A443D" w:rsidRDefault="00BD40C4" w:rsidP="00027409">
      <w:pPr>
        <w:tabs>
          <w:tab w:val="left" w:pos="284"/>
        </w:tabs>
        <w:spacing w:line="360" w:lineRule="auto"/>
        <w:jc w:val="both"/>
        <w:rPr>
          <w:rFonts w:ascii="Verdana" w:hAnsi="Verdana" w:cs="Times New Roman"/>
          <w:b/>
          <w:bCs/>
        </w:rPr>
      </w:pPr>
      <w:r w:rsidRPr="009A443D">
        <w:rPr>
          <w:rFonts w:ascii="Verdana" w:hAnsi="Verdana" w:cs="Times New Roman"/>
          <w:b/>
          <w:bCs/>
        </w:rPr>
        <w:t>A Comparative Performance Evaluation of Standalone and Hybrid Forecasting Models for Cashew Nut Price Prediction in Andhra Pradesh</w:t>
      </w:r>
      <w:r w:rsidR="009A443D">
        <w:rPr>
          <w:rFonts w:ascii="Verdana" w:hAnsi="Verdana" w:cs="Times New Roman"/>
          <w:b/>
          <w:bCs/>
        </w:rPr>
        <w:t>, India</w:t>
      </w:r>
    </w:p>
    <w:p w14:paraId="2EB4E91F" w14:textId="41810265" w:rsidR="00A23569" w:rsidRPr="003D5174" w:rsidRDefault="00F65D83" w:rsidP="00027409">
      <w:pPr>
        <w:pStyle w:val="NormalWeb"/>
        <w:spacing w:line="360" w:lineRule="auto"/>
        <w:jc w:val="both"/>
      </w:pPr>
      <w:r w:rsidRPr="003D5174">
        <w:rPr>
          <w:rStyle w:val="Strong"/>
          <w:rFonts w:eastAsiaTheme="majorEastAsia"/>
        </w:rPr>
        <w:t>Abstract:</w:t>
      </w:r>
      <w:r w:rsidR="003575AA" w:rsidRPr="003D5174">
        <w:t xml:space="preserve"> </w:t>
      </w:r>
      <w:r w:rsidR="00A23569" w:rsidRPr="003D5174">
        <w:t>Cashew nut (</w:t>
      </w:r>
      <w:r w:rsidR="00A23569" w:rsidRPr="003D5174">
        <w:rPr>
          <w:i/>
          <w:iCs/>
        </w:rPr>
        <w:t>Anacardium occidentale</w:t>
      </w:r>
      <w:r w:rsidR="00A23569" w:rsidRPr="003D5174">
        <w:t xml:space="preserve"> L.) is an important plantation and export crop that plays a significant role in the livelihoods of farmers and the agricultural economy of Andhra Pradesh. Accurate price forecasting is essential for better market planning and informed decision-making in the cashew sector. The present study compared standalone and hybrid forecasting approaches for predicting cashew nut prices. Autoregressive Integrated Moving Average (ARIMA) and Support Vector Regression (SVR) models were developed individually, while a hybrid ARIMA–SVR model was used to capture both linear and nonlinear movements in the price series. The performance of the models was assessed using Root Mean Square Error (RMSE)</w:t>
      </w:r>
      <w:r w:rsidR="0062442B" w:rsidRPr="003D5174">
        <w:t>, Mean Absolute Error (MAE)</w:t>
      </w:r>
      <w:r w:rsidR="00A23569" w:rsidRPr="003D5174">
        <w:t xml:space="preserve"> and Mean Absolute Percentage Error (MAPE). Although the SVR model recorded lower error values, its residuals showed significant autocorrelation, suggesting that the model could not fully capture the underlying pattern of the series. Hence, the hybrid ARIMA–SVR model, which was the next best-performing model, was considered more suitable for forecasting cashew nut prices. Further diagnostic tests such as the Box–Pierce, BDS, and Diebold–Mariano tests also supported the adequacy and predictive superiority of the hybrid model. Forecasts for the period from January to June 2026 indicated a slight declining trend in cashew nut prices. Overall, the hybrid ARIMA–SVR model provided more </w:t>
      </w:r>
      <w:r w:rsidR="000235CB">
        <w:t>reliable</w:t>
      </w:r>
      <w:r w:rsidR="00A23569" w:rsidRPr="003D5174">
        <w:t xml:space="preserve"> forecasts and can support better market-related decisions in Andhra Pradesh.</w:t>
      </w:r>
    </w:p>
    <w:p w14:paraId="49A06F1E" w14:textId="3618209C" w:rsidR="00E862EF" w:rsidRPr="003D5174" w:rsidRDefault="00F65D83" w:rsidP="00027409">
      <w:pPr>
        <w:pStyle w:val="NormalWeb"/>
        <w:spacing w:line="360" w:lineRule="auto"/>
        <w:jc w:val="both"/>
        <w:rPr>
          <w:i/>
          <w:iCs/>
          <w:lang w:val="en-US"/>
        </w:rPr>
      </w:pPr>
      <w:r w:rsidRPr="003D5174">
        <w:rPr>
          <w:i/>
          <w:iCs/>
          <w:lang w:val="en-US"/>
        </w:rPr>
        <w:t>Key Words:</w:t>
      </w:r>
      <w:r w:rsidR="00E862EF" w:rsidRPr="003D5174">
        <w:rPr>
          <w:i/>
          <w:iCs/>
          <w:lang w:val="en-US"/>
        </w:rPr>
        <w:t xml:space="preserve"> ARIMA; SVR; ARIMA-SVR; RMSE;</w:t>
      </w:r>
      <w:r w:rsidR="005C6033" w:rsidRPr="003D5174">
        <w:rPr>
          <w:i/>
          <w:iCs/>
          <w:lang w:val="en-US"/>
        </w:rPr>
        <w:t xml:space="preserve"> </w:t>
      </w:r>
      <w:r w:rsidR="00A72170" w:rsidRPr="003D5174">
        <w:rPr>
          <w:i/>
          <w:iCs/>
          <w:lang w:val="en-US"/>
        </w:rPr>
        <w:t xml:space="preserve">MAE; </w:t>
      </w:r>
      <w:r w:rsidRPr="003D5174">
        <w:rPr>
          <w:i/>
          <w:iCs/>
          <w:lang w:val="en-US"/>
        </w:rPr>
        <w:t>MAPE and F</w:t>
      </w:r>
      <w:r w:rsidR="00E862EF" w:rsidRPr="003D5174">
        <w:rPr>
          <w:i/>
          <w:iCs/>
          <w:lang w:val="en-US"/>
        </w:rPr>
        <w:t>orecasting</w:t>
      </w:r>
    </w:p>
    <w:p w14:paraId="12F11868" w14:textId="40B39EC1" w:rsidR="00CD36DA" w:rsidRPr="001B2FCC" w:rsidRDefault="00651295" w:rsidP="00027409">
      <w:pPr>
        <w:pStyle w:val="ListParagraph"/>
        <w:numPr>
          <w:ilvl w:val="0"/>
          <w:numId w:val="13"/>
        </w:numPr>
        <w:tabs>
          <w:tab w:val="left" w:pos="284"/>
        </w:tabs>
        <w:spacing w:line="360" w:lineRule="auto"/>
        <w:jc w:val="both"/>
        <w:rPr>
          <w:rFonts w:ascii="Times New Roman" w:hAnsi="Times New Roman" w:cs="Times New Roman"/>
          <w:iCs/>
          <w:lang w:val="en-US"/>
        </w:rPr>
      </w:pPr>
      <w:r w:rsidRPr="003D5174">
        <w:rPr>
          <w:rFonts w:ascii="Times New Roman" w:hAnsi="Times New Roman" w:cs="Times New Roman"/>
          <w:iCs/>
          <w:lang w:val="en-US"/>
        </w:rPr>
        <w:t>Introduction</w:t>
      </w:r>
      <w:r w:rsidR="00A76F9D" w:rsidRPr="003D5174">
        <w:rPr>
          <w:rFonts w:ascii="Times New Roman" w:hAnsi="Times New Roman" w:cs="Times New Roman"/>
          <w:iCs/>
          <w:lang w:val="en-US"/>
        </w:rPr>
        <w:t xml:space="preserve"> </w:t>
      </w:r>
    </w:p>
    <w:p w14:paraId="464202D5" w14:textId="32564F00" w:rsidR="00CD36DA" w:rsidRPr="003D5174" w:rsidRDefault="00CD36DA" w:rsidP="00027409">
      <w:pPr>
        <w:pStyle w:val="NormalWeb"/>
        <w:spacing w:line="360" w:lineRule="auto"/>
        <w:jc w:val="both"/>
      </w:pPr>
      <w:r w:rsidRPr="003D5174">
        <w:t>Cashew nut (</w:t>
      </w:r>
      <w:r w:rsidRPr="003D5174">
        <w:rPr>
          <w:rStyle w:val="Emphasis"/>
        </w:rPr>
        <w:t>Anacardium occidentale</w:t>
      </w:r>
      <w:r w:rsidRPr="003D5174">
        <w:t xml:space="preserve"> L.), belonging to the family </w:t>
      </w:r>
      <w:proofErr w:type="spellStart"/>
      <w:r w:rsidRPr="003D5174">
        <w:t>Anacardiaceae</w:t>
      </w:r>
      <w:proofErr w:type="spellEnd"/>
      <w:r w:rsidRPr="003D5174">
        <w:t>, is one of the important plantation and export crops cultivated in India. The crop is popularly known as the “Gold Mine of Wasteland” because of its ability to grow well in marginal and degraded soils while also helping in soil conservation</w:t>
      </w:r>
      <w:r w:rsidR="00CE4EDB">
        <w:t xml:space="preserve"> (</w:t>
      </w:r>
      <w:r w:rsidR="00CE4EDB" w:rsidRPr="00CE4EDB">
        <w:t>Rejani</w:t>
      </w:r>
      <w:r w:rsidR="00CE4EDB">
        <w:t xml:space="preserve"> &amp; </w:t>
      </w:r>
      <w:proofErr w:type="spellStart"/>
      <w:r w:rsidR="00CE4EDB" w:rsidRPr="00CE4EDB">
        <w:t>Yadukumar</w:t>
      </w:r>
      <w:proofErr w:type="spellEnd"/>
      <w:r w:rsidR="00CE4EDB">
        <w:t>, 2010)</w:t>
      </w:r>
      <w:r w:rsidRPr="003D5174">
        <w:t xml:space="preserve">. India is among the leading cashew-producing countries in the world, with cashew cultivated over nearly 12.05 lakh hectares and an annual production of about 8.02 lakh tonnes. Major cashew-growing states in the country include Odisha, Andhra Pradesh, Maharashtra, Karnataka, Kerala, Tamil Nadu, and West Bengal. In addition to its production importance, India also holds a </w:t>
      </w:r>
      <w:r w:rsidRPr="003D5174">
        <w:lastRenderedPageBreak/>
        <w:t xml:space="preserve">significant share in global cashew kernel exports (APEDA, 2024; PIB, </w:t>
      </w:r>
      <w:proofErr w:type="gramStart"/>
      <w:r w:rsidRPr="003D5174">
        <w:t>2026</w:t>
      </w:r>
      <w:r w:rsidR="00CE4EDB">
        <w:t xml:space="preserve"> </w:t>
      </w:r>
      <w:r w:rsidRPr="003D5174">
        <w:t>)</w:t>
      </w:r>
      <w:proofErr w:type="gramEnd"/>
      <w:r w:rsidRPr="003D5174">
        <w:t xml:space="preserve">. Andhra Pradesh contributes nearly 1.4 lakh tonnes, accounting for around 17.43 per cent of the country’s total production. The state has well-established research and extension support through institutions such as the AICRP on Cashew, Cashew Research Station at </w:t>
      </w:r>
      <w:proofErr w:type="spellStart"/>
      <w:r w:rsidRPr="003D5174">
        <w:t>Bapatla</w:t>
      </w:r>
      <w:proofErr w:type="spellEnd"/>
      <w:r w:rsidRPr="003D5174">
        <w:t xml:space="preserve">, and KVK </w:t>
      </w:r>
      <w:proofErr w:type="spellStart"/>
      <w:r w:rsidRPr="003D5174">
        <w:t>Venkataramannagudem</w:t>
      </w:r>
      <w:proofErr w:type="spellEnd"/>
      <w:r w:rsidRPr="003D5174">
        <w:t>. Palasa in Srikakulam district is also recognized as one of the major cashew processing centres in the country (</w:t>
      </w:r>
      <w:proofErr w:type="spellStart"/>
      <w:r w:rsidRPr="003D5174">
        <w:t>MoCI</w:t>
      </w:r>
      <w:proofErr w:type="spellEnd"/>
      <w:r w:rsidRPr="003D5174">
        <w:t>, 2025).</w:t>
      </w:r>
    </w:p>
    <w:p w14:paraId="6D736FEE" w14:textId="6437238D" w:rsidR="00CD36DA" w:rsidRPr="003D5174" w:rsidRDefault="00CD36DA" w:rsidP="00027409">
      <w:pPr>
        <w:pStyle w:val="NormalWeb"/>
        <w:spacing w:line="360" w:lineRule="auto"/>
        <w:jc w:val="both"/>
      </w:pPr>
      <w:r w:rsidRPr="003D5174">
        <w:t>Although cashew is an economically important crop, its prices often fluctuate due to changes in production, seasonal arrivals, export demand, and global market conditions. Such fluctuations affect farmers, traders, processors, and other stakeholders involved in the cashew industry. In this context, accurate price forecasting becomes important for better market planning and informed decision-making</w:t>
      </w:r>
      <w:r w:rsidR="00CE4EDB">
        <w:t xml:space="preserve"> (</w:t>
      </w:r>
      <w:r w:rsidR="00CE4EDB" w:rsidRPr="00CE4EDB">
        <w:t>Shripad</w:t>
      </w:r>
      <w:r w:rsidR="00CE4EDB">
        <w:t xml:space="preserve"> et al., 2024)</w:t>
      </w:r>
      <w:r w:rsidRPr="003D5174">
        <w:t>.</w:t>
      </w:r>
    </w:p>
    <w:p w14:paraId="0099F367" w14:textId="12AA5D75" w:rsidR="00CD36DA" w:rsidRPr="003D5174" w:rsidRDefault="00CD36DA" w:rsidP="00027409">
      <w:pPr>
        <w:pStyle w:val="NormalWeb"/>
        <w:spacing w:line="360" w:lineRule="auto"/>
        <w:jc w:val="both"/>
      </w:pPr>
      <w:r w:rsidRPr="003D5174">
        <w:t>Among the different forecasting methods, the Autoregressive Integrated Moving Average (ARIMA) model is widely used for analysing linear trends and patterns in time series data. On the other hand, Support Vector Regression (SVR), a machine learning approach, is capable of handling nonlinear relationships in data. However, when these models are used separately, they may not fully capture the complex behaviour of agricultural price movements. Recent studies have suggested that hybrid models combining ARIMA and SVR can provide better forecasting performance by incorporating both linear and nonlinear components of the series</w:t>
      </w:r>
      <w:r w:rsidR="00D577B1">
        <w:t xml:space="preserve"> (</w:t>
      </w:r>
      <w:r w:rsidR="00D577B1" w:rsidRPr="00D577B1">
        <w:t>Mitra</w:t>
      </w:r>
      <w:r w:rsidR="00D577B1">
        <w:t xml:space="preserve"> &amp; </w:t>
      </w:r>
      <w:r w:rsidR="00D577B1" w:rsidRPr="00D577B1">
        <w:t>Paul</w:t>
      </w:r>
      <w:r w:rsidR="00D577B1">
        <w:t>, 2017)</w:t>
      </w:r>
      <w:r w:rsidRPr="003D5174">
        <w:t>. However, studies on hybrid forecasting approaches for cashew nut prices are still limited, particularly in Andhra Pradesh. Therefore, the present study was undertaken to compare standalone and hybrid ARIMA–SVR models to identify a more reliable approach for forecasting cashew nut prices in Andhra Pradesh.</w:t>
      </w:r>
    </w:p>
    <w:p w14:paraId="6646021E" w14:textId="662C1B62" w:rsidR="00510B77" w:rsidRDefault="00510B77" w:rsidP="00510B77">
      <w:pPr>
        <w:pStyle w:val="NormalWeb"/>
        <w:spacing w:line="360" w:lineRule="auto"/>
        <w:jc w:val="both"/>
      </w:pPr>
      <w:r>
        <w:t xml:space="preserve">Several earlier studies have highlighted the usefulness of statistical, machine learning, and hybrid models in agricultural price forecasting. </w:t>
      </w:r>
      <w:proofErr w:type="spellStart"/>
      <w:r>
        <w:t>Phadte</w:t>
      </w:r>
      <w:proofErr w:type="spellEnd"/>
      <w:r>
        <w:t xml:space="preserve"> and </w:t>
      </w:r>
      <w:proofErr w:type="spellStart"/>
      <w:r>
        <w:t>Kolambkar</w:t>
      </w:r>
      <w:proofErr w:type="spellEnd"/>
      <w:r>
        <w:t xml:space="preserve"> (2024) analysed cashew nut arrivals and prices and reported declining arrivals along with increasing prices over time, while also observing the influence of lagged prices on price persistence. Jadhav et al. (2017) applied ARIMA models for forecasting paddy, ragi, and maize prices in Karnataka and confirmed the effectiveness of ARIMA models through lower forecasting errors. Mulla Areef et al. (2020) used ARIMA techniques to forecast onion prices in the Kurnool market and identified ARIMA (1,1,1) as the most suitable forecasting model. Cheng and Huang (2025) developed a hybrid </w:t>
      </w:r>
      <w:r w:rsidR="00897B25">
        <w:t>ARIMA-SVR</w:t>
      </w:r>
      <w:r>
        <w:t xml:space="preserve"> framework and demonstrated improved forecasting accuracy and risk assessment in crop price prediction. Rubio and Alba (2022) proposed a </w:t>
      </w:r>
      <w:r>
        <w:lastRenderedPageBreak/>
        <w:t>hybrid ARIMA–SVR model and highlighted its ability to effectively capture both linear and nonlinear patterns in time series forecasting. Sahu et al. (2026) compared ARIMA and ARIMA–ANN hybrid models for groundnut forecasting and observed that conventional ARIMA models also performed effectively. Shaik Shameem et al. (2025) compared ARIMA and machine learning approaches and found that hybrid ARIMA–SVR models provided better forecasting accuracy for sesamum prices. Paul et al. (2022) compared ARIMA with machine learning models such as SVR, RF, GBM, and GRNN for forecasting agricultural prices and reported that machine learning approaches achieved better forecasting accuracy than conventional ARIMA models. Ragunath and Rathipriya (2025) developed an ensemble regression framework for agricultural commodity price forecasting and reported that hybrid and ensemble approaches improved forecasting accuracy and reliability by combining the strengths of multiple regression models. Zhao (2024) reviewed traditional, intelligent, and hybrid forecasting approaches for agricultural price prediction and concluded that hybrid forecasting methods generally provide better prediction accuracy by effectively capturing both linear and nonlinear patterns in time series data.</w:t>
      </w:r>
    </w:p>
    <w:p w14:paraId="01751DC3" w14:textId="286E0840" w:rsidR="00A27E70" w:rsidRPr="009A443D" w:rsidRDefault="00A27E70" w:rsidP="00027409">
      <w:pPr>
        <w:pStyle w:val="Heading2"/>
        <w:numPr>
          <w:ilvl w:val="0"/>
          <w:numId w:val="13"/>
        </w:numPr>
        <w:spacing w:line="360" w:lineRule="auto"/>
        <w:rPr>
          <w:rFonts w:ascii="Times New Roman" w:hAnsi="Times New Roman" w:cs="Times New Roman"/>
          <w:color w:val="auto"/>
          <w:sz w:val="24"/>
          <w:szCs w:val="24"/>
        </w:rPr>
      </w:pPr>
      <w:r w:rsidRPr="009A443D">
        <w:rPr>
          <w:rStyle w:val="Strong"/>
          <w:rFonts w:ascii="Times New Roman" w:hAnsi="Times New Roman" w:cs="Times New Roman"/>
          <w:color w:val="auto"/>
          <w:sz w:val="24"/>
          <w:szCs w:val="24"/>
        </w:rPr>
        <w:t>M</w:t>
      </w:r>
      <w:r w:rsidR="00651295" w:rsidRPr="009A443D">
        <w:rPr>
          <w:rStyle w:val="Strong"/>
          <w:rFonts w:ascii="Times New Roman" w:hAnsi="Times New Roman" w:cs="Times New Roman"/>
          <w:color w:val="auto"/>
          <w:sz w:val="24"/>
          <w:szCs w:val="24"/>
        </w:rPr>
        <w:t>ethodology</w:t>
      </w:r>
    </w:p>
    <w:p w14:paraId="2E11C9BA" w14:textId="7C0DCEBF" w:rsidR="009E5712" w:rsidRPr="003D5174" w:rsidRDefault="009E5712" w:rsidP="00027409">
      <w:pPr>
        <w:pStyle w:val="NormalWeb"/>
        <w:spacing w:line="360" w:lineRule="auto"/>
        <w:jc w:val="both"/>
      </w:pPr>
      <w:r w:rsidRPr="003D5174">
        <w:t xml:space="preserve">The present study was conducted using monthly wholesale price data of cashew nut markets in Andhra Pradesh for the period from 2010 to 2025. The data (Rs. /quintal) were collected from secondary sources, namely AGMARKNET and </w:t>
      </w:r>
      <w:proofErr w:type="spellStart"/>
      <w:r w:rsidRPr="003D5174">
        <w:t>Indiastat</w:t>
      </w:r>
      <w:proofErr w:type="spellEnd"/>
      <w:r w:rsidRPr="003D5174">
        <w:t>, comprising a total of 192 monthly observations.</w:t>
      </w:r>
    </w:p>
    <w:p w14:paraId="7B749EA3" w14:textId="77777777" w:rsidR="009E5712" w:rsidRPr="003D5174" w:rsidRDefault="009E5712" w:rsidP="00027409">
      <w:pPr>
        <w:pStyle w:val="NormalWeb"/>
        <w:spacing w:line="360" w:lineRule="auto"/>
        <w:jc w:val="both"/>
      </w:pPr>
      <w:r w:rsidRPr="003D5174">
        <w:t>For developing and evaluating the forecasting models, the dataset was divided into training and testing datasets. Data from 2010 to 2024 were used for model development, while the most recent one-year data (January 2025 to December 2025) were kept separately as the testing dataset. This was done to check how well the models could predict future cashew nut prices using recent observations that were not included during model building.</w:t>
      </w:r>
    </w:p>
    <w:p w14:paraId="4C4F1B57" w14:textId="61244693" w:rsidR="00A27E70" w:rsidRPr="003D5174" w:rsidRDefault="00A574D8" w:rsidP="00027409">
      <w:pPr>
        <w:pStyle w:val="Heading2"/>
        <w:spacing w:before="0" w:after="0" w:line="360" w:lineRule="auto"/>
        <w:rPr>
          <w:rFonts w:ascii="Times New Roman" w:hAnsi="Times New Roman" w:cs="Times New Roman"/>
          <w:color w:val="auto"/>
          <w:sz w:val="24"/>
          <w:szCs w:val="24"/>
        </w:rPr>
      </w:pPr>
      <w:r w:rsidRPr="003D5174">
        <w:rPr>
          <w:rStyle w:val="Strong"/>
          <w:rFonts w:ascii="Times New Roman" w:hAnsi="Times New Roman" w:cs="Times New Roman"/>
          <w:b w:val="0"/>
          <w:bCs w:val="0"/>
          <w:color w:val="auto"/>
          <w:sz w:val="24"/>
          <w:szCs w:val="24"/>
        </w:rPr>
        <w:t>2</w:t>
      </w:r>
      <w:r w:rsidR="00A27E70" w:rsidRPr="003D5174">
        <w:rPr>
          <w:rStyle w:val="Strong"/>
          <w:rFonts w:ascii="Times New Roman" w:hAnsi="Times New Roman" w:cs="Times New Roman"/>
          <w:b w:val="0"/>
          <w:bCs w:val="0"/>
          <w:color w:val="auto"/>
          <w:sz w:val="24"/>
          <w:szCs w:val="24"/>
        </w:rPr>
        <w:t>.1 Auto Regressive Integrated Moving Average (ARIMA)</w:t>
      </w:r>
    </w:p>
    <w:p w14:paraId="11D8AB2E" w14:textId="31969CB4" w:rsidR="00A27E70" w:rsidRPr="003D5174" w:rsidRDefault="00A27E70" w:rsidP="00027409">
      <w:pPr>
        <w:pStyle w:val="NormalWeb"/>
        <w:spacing w:before="0" w:beforeAutospacing="0" w:after="0" w:afterAutospacing="0" w:line="360" w:lineRule="auto"/>
        <w:jc w:val="both"/>
      </w:pPr>
      <w:r w:rsidRPr="003D5174">
        <w:t>The methodological framework of the ARIMA model is based on the approach proposed by Jadhav et al. (2017). ARIMA is a widely used statistical technique for analysing and forecasting univariate time series data. It is particularly effective in modelling linear patterns and capturing the underlying structure of historical data.</w:t>
      </w:r>
    </w:p>
    <w:p w14:paraId="402BBDA1" w14:textId="68952ACF" w:rsidR="00A27E70" w:rsidRPr="003D5174" w:rsidRDefault="00A27E70" w:rsidP="00027409">
      <w:pPr>
        <w:pStyle w:val="NormalWeb"/>
        <w:spacing w:before="0" w:beforeAutospacing="0" w:after="0" w:afterAutospacing="0" w:line="360" w:lineRule="auto"/>
        <w:jc w:val="both"/>
      </w:pPr>
      <w:r w:rsidRPr="003D5174">
        <w:lastRenderedPageBreak/>
        <w:t>The ARIMA model comprises three components, namely Auto</w:t>
      </w:r>
      <w:r w:rsidR="008A62C3" w:rsidRPr="003D5174">
        <w:t xml:space="preserve"> </w:t>
      </w:r>
      <w:r w:rsidRPr="003D5174">
        <w:t xml:space="preserve">Regressive (AR), Integrated (I), and Moving Average (MA). The </w:t>
      </w:r>
      <w:r w:rsidRPr="003D5174">
        <w:rPr>
          <w:rStyle w:val="Strong"/>
          <w:rFonts w:eastAsiaTheme="majorEastAsia"/>
          <w:b w:val="0"/>
        </w:rPr>
        <w:t>Auto Regressive (AR) component</w:t>
      </w:r>
      <w:r w:rsidRPr="003D5174">
        <w:t xml:space="preserve"> explains the dependence of the current observation on its past values. The</w:t>
      </w:r>
      <w:r w:rsidRPr="003D5174">
        <w:rPr>
          <w:b/>
        </w:rPr>
        <w:t xml:space="preserve"> </w:t>
      </w:r>
      <w:r w:rsidRPr="003D5174">
        <w:rPr>
          <w:rStyle w:val="Strong"/>
          <w:rFonts w:eastAsiaTheme="majorEastAsia"/>
          <w:b w:val="0"/>
        </w:rPr>
        <w:t>Integrated (I) component</w:t>
      </w:r>
      <w:r w:rsidRPr="003D5174">
        <w:t xml:space="preserve"> involves differencing the series to achieve stationarity, which is essential for reliable time series modelling. The</w:t>
      </w:r>
      <w:r w:rsidRPr="003D5174">
        <w:rPr>
          <w:b/>
        </w:rPr>
        <w:t xml:space="preserve"> </w:t>
      </w:r>
      <w:r w:rsidRPr="003D5174">
        <w:rPr>
          <w:rStyle w:val="Strong"/>
          <w:rFonts w:eastAsiaTheme="majorEastAsia"/>
          <w:b w:val="0"/>
        </w:rPr>
        <w:t>MA component</w:t>
      </w:r>
      <w:r w:rsidRPr="003D5174">
        <w:t xml:space="preserve"> represents the relationship between the current observation and past error terms generated from previous forecasts.</w:t>
      </w:r>
    </w:p>
    <w:p w14:paraId="6916B2FC" w14:textId="58AC2672" w:rsidR="00A27E70" w:rsidRPr="003D5174" w:rsidRDefault="00A27E70" w:rsidP="00027409">
      <w:pPr>
        <w:pStyle w:val="NormalWeb"/>
        <w:spacing w:before="0" w:beforeAutospacing="0" w:after="0" w:afterAutospacing="0" w:line="360" w:lineRule="auto"/>
        <w:jc w:val="both"/>
      </w:pPr>
      <w:r w:rsidRPr="003D5174">
        <w:t xml:space="preserve">The ARIMA model is expressed as ARIMA (p, d, q), where </w:t>
      </w:r>
      <w:r w:rsidRPr="003D5174">
        <w:rPr>
          <w:rStyle w:val="Emphasis"/>
          <w:rFonts w:eastAsiaTheme="majorEastAsia"/>
        </w:rPr>
        <w:t>p</w:t>
      </w:r>
      <w:r w:rsidRPr="003D5174">
        <w:t xml:space="preserve"> denotes the order of the autoregressive terms, </w:t>
      </w:r>
      <w:r w:rsidRPr="003D5174">
        <w:rPr>
          <w:rStyle w:val="Emphasis"/>
          <w:rFonts w:eastAsiaTheme="majorEastAsia"/>
        </w:rPr>
        <w:t>d</w:t>
      </w:r>
      <w:r w:rsidRPr="003D5174">
        <w:t xml:space="preserve"> represents the degree of differencing required to achieve </w:t>
      </w:r>
      <w:r w:rsidR="007D2771" w:rsidRPr="003D5174">
        <w:t>stationar</w:t>
      </w:r>
      <w:r w:rsidR="00BA16EC">
        <w:t>it</w:t>
      </w:r>
      <w:r w:rsidR="007D2771" w:rsidRPr="003D5174">
        <w:t>y</w:t>
      </w:r>
      <w:r w:rsidRPr="003D5174">
        <w:t xml:space="preserve">, and </w:t>
      </w:r>
      <w:r w:rsidRPr="003D5174">
        <w:rPr>
          <w:rStyle w:val="Emphasis"/>
          <w:rFonts w:eastAsiaTheme="majorEastAsia"/>
        </w:rPr>
        <w:t>q</w:t>
      </w:r>
      <w:r w:rsidRPr="003D5174">
        <w:t xml:space="preserve"> indicates the order of the moving average terms.</w:t>
      </w:r>
    </w:p>
    <w:p w14:paraId="26DD6429" w14:textId="77777777" w:rsidR="00A27E70" w:rsidRPr="003D5174" w:rsidRDefault="00A27E70" w:rsidP="00027409">
      <w:pPr>
        <w:pStyle w:val="NormalWeb"/>
        <w:spacing w:before="0" w:beforeAutospacing="0" w:after="0" w:afterAutospacing="0" w:line="360" w:lineRule="auto"/>
      </w:pPr>
      <w:r w:rsidRPr="003D5174">
        <w:t>Mathematically, the ARIMA model is represented as:</w:t>
      </w:r>
    </w:p>
    <w:p w14:paraId="23317279" w14:textId="2870D278" w:rsidR="00A27E70" w:rsidRPr="003D5174" w:rsidRDefault="00000000" w:rsidP="0076542C">
      <w:pPr>
        <w:pStyle w:val="NormalWeb"/>
        <w:tabs>
          <w:tab w:val="left" w:pos="284"/>
        </w:tabs>
        <w:ind w:left="360"/>
        <w:jc w:val="both"/>
        <w:rPr>
          <w:rFonts w:ascii="Arial" w:hAnsi="Arial" w:cs="Arial"/>
        </w:rPr>
      </w:pPr>
      <m:oMathPara>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vertAlign w:val="subscript"/>
            </w:rPr>
            <m:t>​</m:t>
          </m:r>
          <m:r>
            <w:rPr>
              <w:rFonts w:ascii="Cambria Math" w:hAnsi="Cambria Math"/>
            </w:rPr>
            <m:t xml:space="preserve"> = </m:t>
          </m:r>
          <m:sSub>
            <m:sSubPr>
              <m:ctrlPr>
                <w:rPr>
                  <w:rFonts w:ascii="Cambria Math" w:hAnsi="Cambria Math"/>
                  <w:i/>
                </w:rPr>
              </m:ctrlPr>
            </m:sSubPr>
            <m:e>
              <m:r>
                <w:rPr>
                  <w:rFonts w:ascii="Cambria Math" w:hAnsi="Cambria Math"/>
                </w:rPr>
                <m:t>ϕ</m:t>
              </m:r>
            </m:e>
            <m:sub>
              <m:r>
                <w:rPr>
                  <w:rFonts w:ascii="Cambria Math" w:hAnsi="Cambria Math"/>
                </w:rPr>
                <m:t>1</m:t>
              </m:r>
            </m:sub>
          </m:sSub>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vertAlign w:val="subscript"/>
            </w:rPr>
            <m:t>​</m:t>
          </m:r>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t-2</m:t>
              </m:r>
            </m:sub>
          </m:sSub>
          <m:r>
            <w:rPr>
              <w:rFonts w:ascii="Cambria Math" w:hAnsi="Cambria Math"/>
              <w:vertAlign w:val="subscript"/>
            </w:rPr>
            <m:t>​</m:t>
          </m:r>
          <m:r>
            <w:rPr>
              <w:rFonts w:ascii="Cambria Math" w:hAnsi="Cambria Math"/>
            </w:rPr>
            <m:t>​​+⋯+</m:t>
          </m:r>
          <m:sSub>
            <m:sSubPr>
              <m:ctrlPr>
                <w:rPr>
                  <w:rFonts w:ascii="Cambria Math" w:hAnsi="Cambria Math"/>
                  <w:i/>
                </w:rPr>
              </m:ctrlPr>
            </m:sSubPr>
            <m:e>
              <m:r>
                <w:rPr>
                  <w:rFonts w:ascii="Cambria Math" w:hAnsi="Cambria Math"/>
                </w:rPr>
                <m:t>ϕ</m:t>
              </m:r>
            </m:e>
            <m:sub>
              <m:r>
                <w:rPr>
                  <w:rFonts w:ascii="Cambria Math" w:hAnsi="Cambria Math"/>
                </w:rPr>
                <m:t>p</m:t>
              </m:r>
            </m:sub>
          </m:sSub>
          <m:r>
            <w:rPr>
              <w:rFonts w:ascii="Cambria Math" w:hAnsi="Cambria Math"/>
              <w:vertAlign w:val="subscript"/>
            </w:rPr>
            <m:t>​</m:t>
          </m:r>
          <m:sSub>
            <m:sSubPr>
              <m:ctrlPr>
                <w:rPr>
                  <w:rFonts w:ascii="Cambria Math" w:hAnsi="Cambria Math"/>
                  <w:i/>
                </w:rPr>
              </m:ctrlPr>
            </m:sSubPr>
            <m:e>
              <m:r>
                <w:rPr>
                  <w:rFonts w:ascii="Cambria Math" w:hAnsi="Cambria Math"/>
                </w:rPr>
                <m:t>Y</m:t>
              </m:r>
            </m:e>
            <m:sub>
              <m:r>
                <w:rPr>
                  <w:rFonts w:ascii="Cambria Math" w:hAnsi="Cambria Math"/>
                </w:rPr>
                <m:t>t-p</m:t>
              </m:r>
            </m:sub>
          </m:sSub>
          <m:r>
            <w:rPr>
              <w:rFonts w:ascii="Cambria Math" w:hAnsi="Cambria Math"/>
              <w:vertAlign w:val="subscript"/>
            </w:rPr>
            <m:t>​</m:t>
          </m:r>
          <m:r>
            <w:rPr>
              <w:rFonts w:ascii="Cambria Math" w:hAnsi="Cambria Math"/>
            </w:rPr>
            <m:t>​</m:t>
          </m:r>
          <m:r>
            <w:rPr>
              <w:rFonts w:ascii="Cambria Math" w:hAnsi="Cambria Math"/>
              <w:vertAlign w:val="subscript"/>
            </w:rPr>
            <m:t>​</m:t>
          </m:r>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sSub>
            <m:sSubPr>
              <m:ctrlPr>
                <w:rPr>
                  <w:rFonts w:ascii="Cambria Math" w:hAnsi="Cambria Math"/>
                  <w:i/>
                </w:rPr>
              </m:ctrlPr>
            </m:sSubPr>
            <m:e>
              <m:r>
                <w:rPr>
                  <w:rFonts w:ascii="Cambria Math" w:hAnsi="Cambria Math"/>
                </w:rPr>
                <m:t>ε</m:t>
              </m:r>
            </m:e>
            <m:sub>
              <m:r>
                <w:rPr>
                  <w:rFonts w:ascii="Cambria Math" w:hAnsi="Cambria Math"/>
                </w:rPr>
                <m:t>t-2</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q</m:t>
              </m:r>
            </m:sub>
          </m:sSub>
          <m:sSub>
            <m:sSubPr>
              <m:ctrlPr>
                <w:rPr>
                  <w:rFonts w:ascii="Cambria Math" w:hAnsi="Cambria Math"/>
                  <w:i/>
                </w:rPr>
              </m:ctrlPr>
            </m:sSubPr>
            <m:e>
              <m:r>
                <w:rPr>
                  <w:rFonts w:ascii="Cambria Math" w:hAnsi="Cambria Math"/>
                </w:rPr>
                <m:t>ε</m:t>
              </m:r>
            </m:e>
            <m:sub>
              <m:r>
                <w:rPr>
                  <w:rFonts w:ascii="Cambria Math" w:hAnsi="Cambria Math"/>
                </w:rPr>
                <m:t>t-q</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m:oMathPara>
    </w:p>
    <w:p w14:paraId="2830AA57" w14:textId="6E039B54" w:rsidR="00F72F8F" w:rsidRPr="003D5174" w:rsidRDefault="00230893" w:rsidP="00027409">
      <w:pPr>
        <w:spacing w:line="360" w:lineRule="auto"/>
        <w:jc w:val="both"/>
      </w:pPr>
      <w:r w:rsidRPr="003D5174">
        <w:rPr>
          <w:rFonts w:ascii="Times New Roman" w:hAnsi="Times New Roman" w:cs="Times New Roman"/>
          <w:lang w:val="en-US"/>
        </w:rPr>
        <w:t xml:space="preserve">Where </w:t>
      </w:r>
      <w:r w:rsidRPr="003D5174">
        <w:rPr>
          <w:rFonts w:ascii="Times New Roman" w:hAnsi="Times New Roman" w:cs="Times New Roman"/>
          <w:position w:val="-12"/>
          <w:lang w:val="en-US"/>
        </w:rPr>
        <w:object w:dxaOrig="260" w:dyaOrig="360" w14:anchorId="039A0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5pt" o:ole="">
            <v:imagedata r:id="rId8" o:title=""/>
          </v:shape>
          <o:OLEObject Type="Embed" ProgID="Equation.3" ShapeID="_x0000_i1025" DrawAspect="Content" ObjectID="_1841308156" r:id="rId9"/>
        </w:object>
      </w:r>
      <w:r w:rsidRPr="003D5174">
        <w:rPr>
          <w:rFonts w:ascii="Times New Roman" w:hAnsi="Times New Roman" w:cs="Times New Roman"/>
          <w:lang w:val="en-US"/>
        </w:rPr>
        <w:t xml:space="preserve">denotes the observed value at time </w:t>
      </w:r>
      <w:r w:rsidRPr="003D5174">
        <w:rPr>
          <w:rFonts w:ascii="Times New Roman" w:hAnsi="Times New Roman" w:cs="Times New Roman"/>
          <w:position w:val="-6"/>
          <w:lang w:val="en-US"/>
        </w:rPr>
        <w:object w:dxaOrig="139" w:dyaOrig="240" w14:anchorId="2A9AD623">
          <v:shape id="_x0000_i1026" type="#_x0000_t75" style="width:6.5pt;height:12.5pt" o:ole="">
            <v:imagedata r:id="rId10" o:title=""/>
          </v:shape>
          <o:OLEObject Type="Embed" ProgID="Equation.3" ShapeID="_x0000_i1026" DrawAspect="Content" ObjectID="_1841308157" r:id="rId11"/>
        </w:object>
      </w:r>
      <w:r w:rsidRPr="003D5174">
        <w:rPr>
          <w:rFonts w:ascii="Times New Roman" w:hAnsi="Times New Roman" w:cs="Times New Roman"/>
          <w:lang w:val="en-US"/>
        </w:rPr>
        <w:t xml:space="preserve">, </w:t>
      </w:r>
      <w:r w:rsidRPr="003D5174">
        <w:rPr>
          <w:rFonts w:ascii="Times New Roman" w:hAnsi="Times New Roman" w:cs="Times New Roman"/>
          <w:position w:val="-10"/>
          <w:lang w:val="en-US"/>
        </w:rPr>
        <w:object w:dxaOrig="200" w:dyaOrig="320" w14:anchorId="440C6FC1">
          <v:shape id="_x0000_i1027" type="#_x0000_t75" style="width:10pt;height:15pt" o:ole="">
            <v:imagedata r:id="rId12" o:title=""/>
          </v:shape>
          <o:OLEObject Type="Embed" ProgID="Equation.3" ShapeID="_x0000_i1027" DrawAspect="Content" ObjectID="_1841308158" r:id="rId13"/>
        </w:object>
      </w:r>
      <w:r w:rsidRPr="003D5174">
        <w:rPr>
          <w:rFonts w:ascii="Times New Roman" w:hAnsi="Times New Roman" w:cs="Times New Roman"/>
          <w:lang w:val="en-US"/>
        </w:rPr>
        <w:t xml:space="preserve">and </w:t>
      </w:r>
      <w:r w:rsidRPr="003D5174">
        <w:rPr>
          <w:rFonts w:ascii="Times New Roman" w:hAnsi="Times New Roman" w:cs="Times New Roman"/>
          <w:position w:val="-6"/>
          <w:lang w:val="en-US"/>
        </w:rPr>
        <w:object w:dxaOrig="200" w:dyaOrig="279" w14:anchorId="2EE90871">
          <v:shape id="_x0000_i1028" type="#_x0000_t75" style="width:10pt;height:14.5pt" o:ole="">
            <v:imagedata r:id="rId14" o:title=""/>
          </v:shape>
          <o:OLEObject Type="Embed" ProgID="Equation.3" ShapeID="_x0000_i1028" DrawAspect="Content" ObjectID="_1841308159" r:id="rId15"/>
        </w:object>
      </w:r>
      <w:r w:rsidRPr="003D5174">
        <w:rPr>
          <w:rFonts w:ascii="Times New Roman" w:hAnsi="Times New Roman" w:cs="Times New Roman"/>
        </w:rPr>
        <w:t xml:space="preserve">are the parameters of the autoregressive and moving average components respectively, and </w:t>
      </w:r>
      <w:r w:rsidR="004105EB" w:rsidRPr="003D5174">
        <w:rPr>
          <w:rFonts w:ascii="Times New Roman" w:hAnsi="Times New Roman" w:cs="Times New Roman"/>
          <w:position w:val="-12"/>
        </w:rPr>
        <w:object w:dxaOrig="240" w:dyaOrig="360" w14:anchorId="7D19B4C1">
          <v:shape id="_x0000_i1029" type="#_x0000_t75" style="width:12.5pt;height:18.5pt" o:ole="">
            <v:imagedata r:id="rId16" o:title=""/>
          </v:shape>
          <o:OLEObject Type="Embed" ProgID="Equation.3" ShapeID="_x0000_i1029" DrawAspect="Content" ObjectID="_1841308160" r:id="rId17"/>
        </w:object>
      </w:r>
      <w:r w:rsidRPr="003D5174">
        <w:rPr>
          <w:rStyle w:val="vlist-s"/>
          <w:rFonts w:ascii="Times New Roman" w:hAnsi="Times New Roman" w:cs="Times New Roman"/>
        </w:rPr>
        <w:t>​</w:t>
      </w:r>
      <w:r w:rsidRPr="003D5174">
        <w:rPr>
          <w:rFonts w:ascii="Times New Roman" w:hAnsi="Times New Roman" w:cs="Times New Roman"/>
        </w:rPr>
        <w:t xml:space="preserve"> represents the white noise error term</w:t>
      </w:r>
      <w:r w:rsidRPr="003D5174">
        <w:t>.</w:t>
      </w:r>
    </w:p>
    <w:p w14:paraId="6C23DA25" w14:textId="6B734DA4" w:rsidR="004105EB" w:rsidRPr="003D5174" w:rsidRDefault="00A574D8" w:rsidP="00027409">
      <w:pPr>
        <w:pStyle w:val="Heading2"/>
        <w:spacing w:before="0" w:after="0" w:line="360" w:lineRule="auto"/>
        <w:rPr>
          <w:rFonts w:ascii="Times New Roman" w:hAnsi="Times New Roman" w:cs="Times New Roman"/>
          <w:color w:val="auto"/>
          <w:sz w:val="24"/>
          <w:szCs w:val="24"/>
        </w:rPr>
      </w:pPr>
      <w:r w:rsidRPr="003D5174">
        <w:rPr>
          <w:rStyle w:val="Strong"/>
          <w:rFonts w:ascii="Times New Roman" w:hAnsi="Times New Roman" w:cs="Times New Roman"/>
          <w:b w:val="0"/>
          <w:bCs w:val="0"/>
          <w:color w:val="auto"/>
          <w:sz w:val="24"/>
          <w:szCs w:val="24"/>
        </w:rPr>
        <w:t>2</w:t>
      </w:r>
      <w:r w:rsidR="004105EB" w:rsidRPr="003D5174">
        <w:rPr>
          <w:rStyle w:val="Strong"/>
          <w:rFonts w:ascii="Times New Roman" w:hAnsi="Times New Roman" w:cs="Times New Roman"/>
          <w:b w:val="0"/>
          <w:bCs w:val="0"/>
          <w:color w:val="auto"/>
          <w:sz w:val="24"/>
          <w:szCs w:val="24"/>
        </w:rPr>
        <w:t>.2 Support Vector Regression (SVR)</w:t>
      </w:r>
    </w:p>
    <w:p w14:paraId="36749F4C" w14:textId="730AD3B6" w:rsidR="004105EB" w:rsidRPr="003D5174" w:rsidRDefault="00C1471E" w:rsidP="00027409">
      <w:pPr>
        <w:pStyle w:val="NormalWeb"/>
        <w:spacing w:before="0" w:beforeAutospacing="0" w:after="0" w:afterAutospacing="0" w:line="360" w:lineRule="auto"/>
        <w:jc w:val="both"/>
      </w:pPr>
      <w:r w:rsidRPr="003D5174">
        <w:t>SVR</w:t>
      </w:r>
      <w:r w:rsidR="004105EB" w:rsidRPr="003D5174">
        <w:t xml:space="preserve"> is a supervised machine learning technique widely used for regression and predictive modelling. It is an extension of Support Vector Machines (SVM) and is capable of handling both linear and nonlinear relationships in data effectively. Unlike conventional regression techniques that minimize the overall prediction error, SVR aims to estimate a function that approximates the observed data within a specified tolerance margin, known as the ε-insensitive zone.</w:t>
      </w:r>
    </w:p>
    <w:p w14:paraId="331008FE" w14:textId="77777777" w:rsidR="004105EB" w:rsidRPr="003D5174" w:rsidRDefault="004105EB" w:rsidP="00027409">
      <w:pPr>
        <w:pStyle w:val="NormalWeb"/>
        <w:spacing w:before="0" w:beforeAutospacing="0" w:after="0" w:afterAutospacing="0" w:line="360" w:lineRule="auto"/>
      </w:pPr>
      <w:r w:rsidRPr="003D5174">
        <w:t>The general regression function is expressed as:</w:t>
      </w:r>
    </w:p>
    <w:p w14:paraId="50A1A088" w14:textId="3093E12B" w:rsidR="004105EB" w:rsidRPr="003D5174" w:rsidRDefault="0076542C" w:rsidP="0076542C">
      <w:pPr>
        <w:pStyle w:val="NormalWeb"/>
        <w:tabs>
          <w:tab w:val="left" w:pos="284"/>
        </w:tabs>
        <w:ind w:left="360"/>
        <w:jc w:val="both"/>
        <w:rPr>
          <w:rFonts w:ascii="Arial" w:hAnsi="Arial" w:cs="Arial"/>
        </w:rPr>
      </w:pPr>
      <m:oMathPara>
        <m:oMath>
          <m:r>
            <w:rPr>
              <w:rFonts w:ascii="Cambria Math" w:hAnsi="Cambria Math" w:cs="Arial"/>
            </w:rPr>
            <m:t>f(X)=</m:t>
          </m:r>
          <m:sSub>
            <m:sSubPr>
              <m:ctrlPr>
                <w:rPr>
                  <w:rFonts w:ascii="Cambria Math" w:hAnsi="Cambria Math" w:cs="Arial"/>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oMath>
      </m:oMathPara>
    </w:p>
    <w:p w14:paraId="0BDEB514" w14:textId="15D2E15F" w:rsidR="004105EB" w:rsidRPr="003D5174" w:rsidRDefault="008F788E" w:rsidP="00027409">
      <w:pPr>
        <w:spacing w:line="360" w:lineRule="auto"/>
        <w:rPr>
          <w:rFonts w:ascii="Times New Roman" w:hAnsi="Times New Roman" w:cs="Times New Roman"/>
        </w:rPr>
      </w:pPr>
      <w:r w:rsidRPr="003D5174">
        <w:rPr>
          <w:rFonts w:ascii="Times New Roman" w:hAnsi="Times New Roman" w:cs="Times New Roman"/>
        </w:rPr>
        <w:t>The objective of SVR is to minimize the structural risk, which includes both the empirical error beyond the ε-tolerance and the complexity of the model. This can be represented as:</w:t>
      </w:r>
    </w:p>
    <w:p w14:paraId="79D569B3" w14:textId="7B482901" w:rsidR="004105EB" w:rsidRPr="003D5174" w:rsidRDefault="00000000" w:rsidP="0076542C">
      <w:pPr>
        <w:pStyle w:val="NormalWeb"/>
        <w:tabs>
          <w:tab w:val="left" w:pos="284"/>
        </w:tabs>
        <w:ind w:left="360"/>
        <w:jc w:val="both"/>
        <w:rPr>
          <w:rFonts w:ascii="Arial" w:hAnsi="Arial" w:cs="Arial"/>
        </w:rPr>
      </w:pPr>
      <m:oMathPara>
        <m:oMath>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n</m:t>
              </m:r>
            </m:sup>
            <m:e>
              <m:r>
                <m:rPr>
                  <m:sty m:val="p"/>
                </m:rPr>
                <w:rPr>
                  <w:rFonts w:ascii="Cambria Math" w:hAnsi="Cambria Math" w:cs="Arial"/>
                </w:rPr>
                <m:t>max</m:t>
              </m:r>
              <m:r>
                <w:rPr>
                  <w:rFonts w:ascii="Cambria Math" w:hAnsi="Cambria Math" w:cs="Arial"/>
                </w:rPr>
                <m:t>⁡[0,1-</m:t>
              </m:r>
            </m:e>
          </m:nary>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w:rPr>
              <w:rFonts w:ascii="Cambria Math" w:hAnsi="Cambria Math" w:cs="Arial"/>
            </w:rPr>
            <m:t>f(</m:t>
          </m:r>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w:rPr>
              <w:rFonts w:ascii="Cambria Math" w:hAnsi="Cambria Math" w:cs="Arial"/>
            </w:rPr>
            <m:t>)]+λ</m:t>
          </m:r>
          <m:nary>
            <m:naryPr>
              <m:chr m:val="∑"/>
              <m:limLoc m:val="undOvr"/>
              <m:grow m:val="1"/>
              <m:ctrlPr>
                <w:rPr>
                  <w:rFonts w:ascii="Cambria Math" w:hAnsi="Cambria Math" w:cs="Arial"/>
                </w:rPr>
              </m:ctrlPr>
            </m:naryPr>
            <m:sub>
              <m:r>
                <w:rPr>
                  <w:rFonts w:ascii="Cambria Math" w:hAnsi="Cambria Math" w:cs="Arial"/>
                </w:rPr>
                <m:t>j=1</m:t>
              </m:r>
            </m:sub>
            <m:sup>
              <m:r>
                <w:rPr>
                  <w:rFonts w:ascii="Cambria Math" w:hAnsi="Cambria Math" w:cs="Arial"/>
                </w:rPr>
                <m:t>p</m:t>
              </m:r>
            </m:sup>
            <m:e>
              <m:sSubSup>
                <m:sSubSupPr>
                  <m:ctrlPr>
                    <w:rPr>
                      <w:rFonts w:ascii="Cambria Math" w:hAnsi="Cambria Math" w:cs="Arial"/>
                    </w:rPr>
                  </m:ctrlPr>
                </m:sSubSupPr>
                <m:e>
                  <m:r>
                    <w:rPr>
                      <w:rFonts w:ascii="Cambria Math" w:hAnsi="Cambria Math" w:cs="Arial"/>
                    </w:rPr>
                    <m:t>β</m:t>
                  </m:r>
                </m:e>
                <m:sub>
                  <m:r>
                    <w:rPr>
                      <w:rFonts w:ascii="Cambria Math" w:hAnsi="Cambria Math" w:cs="Arial"/>
                    </w:rPr>
                    <m:t>j</m:t>
                  </m:r>
                </m:sub>
                <m:sup>
                  <m:r>
                    <w:rPr>
                      <w:rFonts w:ascii="Cambria Math" w:hAnsi="Cambria Math" w:cs="Arial"/>
                    </w:rPr>
                    <m:t>2</m:t>
                  </m:r>
                </m:sup>
              </m:sSubSup>
            </m:e>
          </m:nary>
        </m:oMath>
      </m:oMathPara>
    </w:p>
    <w:p w14:paraId="279EE3F3" w14:textId="3BD505A7" w:rsidR="00E7770F" w:rsidRPr="003D5174" w:rsidRDefault="00E7770F" w:rsidP="00027409">
      <w:pPr>
        <w:tabs>
          <w:tab w:val="left" w:pos="1707"/>
        </w:tabs>
        <w:spacing w:line="360" w:lineRule="auto"/>
        <w:jc w:val="both"/>
      </w:pPr>
      <w:r w:rsidRPr="003D5174">
        <w:rPr>
          <w:rFonts w:ascii="Times New Roman" w:hAnsi="Times New Roman" w:cs="Times New Roman"/>
        </w:rPr>
        <w:lastRenderedPageBreak/>
        <w:t>SVR operates by transforming the original input space into a higher-dimensional feature space using a nonlinear mapping function. In this transformed space, an optimal regression hyperplane is constructed to best fit the data while maintaining generalization capability</w:t>
      </w:r>
      <w:r w:rsidRPr="003D5174">
        <w:t>.</w:t>
      </w:r>
    </w:p>
    <w:p w14:paraId="51B5EF1D" w14:textId="569AD841" w:rsidR="00E7770F" w:rsidRPr="003D5174" w:rsidRDefault="00E7770F" w:rsidP="00027409">
      <w:pPr>
        <w:tabs>
          <w:tab w:val="left" w:pos="1707"/>
        </w:tabs>
        <w:spacing w:line="360" w:lineRule="auto"/>
        <w:jc w:val="both"/>
        <w:rPr>
          <w:rFonts w:ascii="Times New Roman" w:hAnsi="Times New Roman" w:cs="Times New Roman"/>
        </w:rPr>
      </w:pPr>
      <w:r w:rsidRPr="003D5174">
        <w:rPr>
          <w:rFonts w:ascii="Times New Roman" w:hAnsi="Times New Roman" w:cs="Times New Roman"/>
        </w:rPr>
        <w:t xml:space="preserve">Given a data set </w:t>
      </w:r>
      <m:oMath>
        <m:r>
          <w:rPr>
            <w:rFonts w:ascii="Cambria Math" w:hAnsi="Cambria Math" w:cs="Arial"/>
          </w:rPr>
          <m:t>Z={(</m:t>
        </m:r>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w:rPr>
            <w:rFonts w:ascii="Cambria Math" w:hAnsi="Cambria Math" w:cs="Arial"/>
          </w:rPr>
          <m:t>)</m:t>
        </m:r>
        <m:sSubSup>
          <m:sSubSupPr>
            <m:ctrlPr>
              <w:rPr>
                <w:rFonts w:ascii="Cambria Math" w:hAnsi="Cambria Math" w:cs="Arial"/>
              </w:rPr>
            </m:ctrlPr>
          </m:sSubSupPr>
          <m:e>
            <m:r>
              <w:rPr>
                <w:rFonts w:ascii="Cambria Math" w:hAnsi="Cambria Math" w:cs="Arial"/>
              </w:rPr>
              <m:t>}</m:t>
            </m:r>
          </m:e>
          <m:sub>
            <m:r>
              <w:rPr>
                <w:rFonts w:ascii="Cambria Math" w:hAnsi="Cambria Math" w:cs="Arial"/>
              </w:rPr>
              <m:t>i=1</m:t>
            </m:r>
          </m:sub>
          <m:sup>
            <m:r>
              <w:rPr>
                <w:rFonts w:ascii="Cambria Math" w:hAnsi="Cambria Math" w:cs="Arial"/>
              </w:rPr>
              <m:t>N</m:t>
            </m:r>
          </m:sup>
        </m:sSubSup>
      </m:oMath>
      <w:r w:rsidR="00F72F8F" w:rsidRPr="003D5174">
        <w:rPr>
          <w:rFonts w:ascii="Times New Roman" w:eastAsiaTheme="minorEastAsia" w:hAnsi="Times New Roman" w:cs="Times New Roman"/>
        </w:rPr>
        <w:t xml:space="preserve">, </w:t>
      </w:r>
      <w:r w:rsidRPr="003D5174">
        <w:rPr>
          <w:rFonts w:ascii="Times New Roman" w:hAnsi="Times New Roman" w:cs="Times New Roman"/>
        </w:rPr>
        <w:t xml:space="preserve">where </w:t>
      </w:r>
      <m:oMath>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w:rPr>
            <w:rFonts w:ascii="Cambria Math" w:hAnsi="Cambria Math" w:cs="Arial"/>
          </w:rPr>
          <m:t>∈</m:t>
        </m:r>
        <m:sSup>
          <m:sSupPr>
            <m:ctrlPr>
              <w:rPr>
                <w:rFonts w:ascii="Cambria Math" w:hAnsi="Cambria Math" w:cs="Arial"/>
              </w:rPr>
            </m:ctrlPr>
          </m:sSupPr>
          <m:e>
            <m:r>
              <m:rPr>
                <m:sty m:val="p"/>
              </m:rPr>
              <w:rPr>
                <w:rFonts w:ascii="Cambria Math" w:hAnsi="Cambria Math" w:cs="Arial"/>
              </w:rPr>
              <m:t>R</m:t>
            </m:r>
          </m:e>
          <m:sup>
            <m:r>
              <w:rPr>
                <w:rFonts w:ascii="Cambria Math" w:hAnsi="Cambria Math" w:cs="Arial"/>
              </w:rPr>
              <m:t>n</m:t>
            </m:r>
          </m:sup>
        </m:sSup>
      </m:oMath>
      <w:r w:rsidRPr="003D5174">
        <w:rPr>
          <w:rFonts w:ascii="Times New Roman" w:hAnsi="Times New Roman" w:cs="Times New Roman"/>
        </w:rPr>
        <w:t xml:space="preserve"> denotes the input variables and </w:t>
      </w:r>
      <w:r w:rsidR="00E61525" w:rsidRPr="003D5174">
        <w:rPr>
          <w:rFonts w:ascii="Times New Roman" w:hAnsi="Times New Roman" w:cs="Times New Roman"/>
          <w:position w:val="-12"/>
        </w:rPr>
        <w:object w:dxaOrig="260" w:dyaOrig="360" w14:anchorId="2B0299A9">
          <v:shape id="_x0000_i1030" type="#_x0000_t75" style="width:12pt;height:18.5pt" o:ole="">
            <v:imagedata r:id="rId18" o:title=""/>
          </v:shape>
          <o:OLEObject Type="Embed" ProgID="Equation.3" ShapeID="_x0000_i1030" DrawAspect="Content" ObjectID="_1841308161" r:id="rId19"/>
        </w:object>
      </w:r>
      <w:r w:rsidRPr="003D5174">
        <w:rPr>
          <w:rStyle w:val="vlist-s"/>
          <w:rFonts w:ascii="Times New Roman" w:hAnsi="Times New Roman" w:cs="Times New Roman"/>
        </w:rPr>
        <w:t>​</w:t>
      </w:r>
      <w:r w:rsidRPr="003D5174">
        <w:rPr>
          <w:rFonts w:ascii="Times New Roman" w:hAnsi="Times New Roman" w:cs="Times New Roman"/>
        </w:rPr>
        <w:t xml:space="preserve"> represents the corresponding output variable, the SVR model is defined as:</w:t>
      </w:r>
    </w:p>
    <w:p w14:paraId="16AEBE22" w14:textId="7F07D062" w:rsidR="00191D3C" w:rsidRPr="003D5174" w:rsidRDefault="00E61525" w:rsidP="00F72F8F">
      <w:pPr>
        <w:pStyle w:val="NormalWeb"/>
        <w:tabs>
          <w:tab w:val="left" w:pos="284"/>
        </w:tabs>
        <w:ind w:left="360"/>
        <w:jc w:val="both"/>
        <w:rPr>
          <w:rFonts w:ascii="Arial" w:hAnsi="Arial" w:cs="Arial"/>
        </w:rPr>
      </w:pPr>
      <w:r w:rsidRPr="003D5174">
        <w:tab/>
      </w:r>
      <w:r w:rsidR="00F72F8F" w:rsidRPr="003D5174">
        <w:rPr>
          <w:rFonts w:ascii="Cambria Math" w:hAnsi="Cambria Math" w:cs="Arial"/>
          <w:i/>
        </w:rPr>
        <w:br/>
      </w:r>
      <m:oMathPara>
        <m:oMath>
          <m:r>
            <w:rPr>
              <w:rFonts w:ascii="Cambria Math" w:hAnsi="Cambria Math" w:cs="Arial"/>
            </w:rPr>
            <m:t>f(x)=</m:t>
          </m:r>
          <m:sSup>
            <m:sSupPr>
              <m:ctrlPr>
                <w:rPr>
                  <w:rFonts w:ascii="Cambria Math" w:hAnsi="Cambria Math" w:cs="Arial"/>
                </w:rPr>
              </m:ctrlPr>
            </m:sSupPr>
            <m:e>
              <m:r>
                <w:rPr>
                  <w:rFonts w:ascii="Cambria Math" w:hAnsi="Cambria Math" w:cs="Arial"/>
                </w:rPr>
                <m:t>W</m:t>
              </m:r>
            </m:e>
            <m:sup>
              <m:r>
                <w:rPr>
                  <w:rFonts w:ascii="Cambria Math" w:hAnsi="Cambria Math" w:cs="Arial"/>
                </w:rPr>
                <m:t>T</m:t>
              </m:r>
            </m:sup>
          </m:sSup>
          <m:r>
            <w:rPr>
              <w:rFonts w:ascii="Cambria Math" w:hAnsi="Cambria Math" w:cs="Arial"/>
            </w:rPr>
            <m:t>ϕ(x)+b</m:t>
          </m:r>
          <m:r>
            <m:rPr>
              <m:sty m:val="p"/>
            </m:rPr>
            <w:rPr>
              <w:rFonts w:ascii="Cambria Math" w:hAnsi="Cambria Math" w:cs="Arial"/>
            </w:rPr>
            <w:br/>
          </m:r>
        </m:oMath>
      </m:oMathPara>
    </w:p>
    <w:p w14:paraId="607B5952" w14:textId="5F2B1241" w:rsidR="00E61525" w:rsidRPr="003D5174" w:rsidRDefault="00E61525" w:rsidP="00027409">
      <w:pPr>
        <w:tabs>
          <w:tab w:val="left" w:pos="2347"/>
        </w:tabs>
        <w:spacing w:line="360" w:lineRule="auto"/>
        <w:jc w:val="both"/>
        <w:rPr>
          <w:rFonts w:ascii="Times New Roman" w:hAnsi="Times New Roman" w:cs="Times New Roman"/>
        </w:rPr>
      </w:pPr>
      <w:r w:rsidRPr="003D5174">
        <w:rPr>
          <w:rFonts w:ascii="Times New Roman" w:hAnsi="Times New Roman" w:cs="Times New Roman"/>
        </w:rPr>
        <w:t xml:space="preserve">where </w:t>
      </w:r>
      <w:r w:rsidRPr="003D5174">
        <w:rPr>
          <w:rStyle w:val="katex-mathml"/>
          <w:rFonts w:ascii="Times New Roman" w:hAnsi="Times New Roman" w:cs="Times New Roman"/>
        </w:rPr>
        <w:t>W</w:t>
      </w:r>
      <w:r w:rsidRPr="003D5174">
        <w:rPr>
          <w:rFonts w:ascii="Times New Roman" w:hAnsi="Times New Roman" w:cs="Times New Roman"/>
        </w:rPr>
        <w:t xml:space="preserve"> is the weight vector, </w:t>
      </w:r>
      <w:r w:rsidRPr="003D5174">
        <w:rPr>
          <w:rStyle w:val="katex-mathml"/>
          <w:rFonts w:ascii="Times New Roman" w:hAnsi="Times New Roman" w:cs="Times New Roman"/>
        </w:rPr>
        <w:t>b</w:t>
      </w:r>
      <w:r w:rsidRPr="003D5174">
        <w:rPr>
          <w:rFonts w:ascii="Times New Roman" w:hAnsi="Times New Roman" w:cs="Times New Roman"/>
        </w:rPr>
        <w:t xml:space="preserve"> is the bias term, and </w:t>
      </w:r>
      <w:r w:rsidRPr="003D5174">
        <w:rPr>
          <w:rFonts w:ascii="Times New Roman" w:hAnsi="Times New Roman" w:cs="Times New Roman"/>
          <w:position w:val="-10"/>
        </w:rPr>
        <w:object w:dxaOrig="499" w:dyaOrig="320" w14:anchorId="12682DD2">
          <v:shape id="_x0000_i1031" type="#_x0000_t75" style="width:25pt;height:15pt" o:ole="">
            <v:imagedata r:id="rId20" o:title=""/>
          </v:shape>
          <o:OLEObject Type="Embed" ProgID="Equation.3" ShapeID="_x0000_i1031" DrawAspect="Content" ObjectID="_1841308162" r:id="rId21"/>
        </w:object>
      </w:r>
      <w:r w:rsidRPr="003D5174">
        <w:rPr>
          <w:rFonts w:ascii="Times New Roman" w:hAnsi="Times New Roman" w:cs="Times New Roman"/>
        </w:rPr>
        <w:t xml:space="preserve"> denotes the nonlinear kernel-induced transformation function.</w:t>
      </w:r>
    </w:p>
    <w:p w14:paraId="0B44E307" w14:textId="7A48FA51" w:rsidR="004105EB" w:rsidRPr="003D5174" w:rsidRDefault="00A574D8" w:rsidP="00027409">
      <w:pPr>
        <w:pStyle w:val="Heading2"/>
        <w:spacing w:line="360" w:lineRule="auto"/>
        <w:rPr>
          <w:rFonts w:ascii="Times New Roman" w:hAnsi="Times New Roman" w:cs="Times New Roman"/>
          <w:color w:val="auto"/>
          <w:sz w:val="24"/>
          <w:szCs w:val="24"/>
        </w:rPr>
      </w:pPr>
      <w:r w:rsidRPr="003D5174">
        <w:rPr>
          <w:rStyle w:val="Strong"/>
          <w:rFonts w:ascii="Times New Roman" w:hAnsi="Times New Roman" w:cs="Times New Roman"/>
          <w:b w:val="0"/>
          <w:bCs w:val="0"/>
          <w:color w:val="auto"/>
          <w:sz w:val="24"/>
          <w:szCs w:val="24"/>
        </w:rPr>
        <w:t>2</w:t>
      </w:r>
      <w:r w:rsidR="004105EB" w:rsidRPr="003D5174">
        <w:rPr>
          <w:rStyle w:val="Strong"/>
          <w:rFonts w:ascii="Times New Roman" w:hAnsi="Times New Roman" w:cs="Times New Roman"/>
          <w:b w:val="0"/>
          <w:bCs w:val="0"/>
          <w:color w:val="auto"/>
          <w:sz w:val="24"/>
          <w:szCs w:val="24"/>
        </w:rPr>
        <w:t>.3 Hybrid ARIMA–SVR Approach</w:t>
      </w:r>
    </w:p>
    <w:p w14:paraId="6CC645B4" w14:textId="77777777" w:rsidR="004105EB" w:rsidRPr="003D5174" w:rsidRDefault="004105EB" w:rsidP="00027409">
      <w:pPr>
        <w:pStyle w:val="NormalWeb"/>
        <w:spacing w:before="0" w:beforeAutospacing="0" w:after="0" w:afterAutospacing="0" w:line="360" w:lineRule="auto"/>
        <w:jc w:val="both"/>
      </w:pPr>
      <w:r w:rsidRPr="003D5174">
        <w:t>The hybrid ARIMA–SVR model is developed by integrating the strengths of both statistical and machine learning approaches to improve forecasting accuracy. In this framework, the ARIMA model is first employed to capture the linear structure present in the time series data.</w:t>
      </w:r>
    </w:p>
    <w:p w14:paraId="0D6CF325" w14:textId="49273D95" w:rsidR="004105EB" w:rsidRPr="003D5174" w:rsidRDefault="004105EB" w:rsidP="00027409">
      <w:pPr>
        <w:pStyle w:val="NormalWeb"/>
        <w:spacing w:before="0" w:beforeAutospacing="0" w:after="0" w:afterAutospacing="0" w:line="360" w:lineRule="auto"/>
        <w:jc w:val="both"/>
      </w:pPr>
      <w:r w:rsidRPr="003D5174">
        <w:t xml:space="preserve">The residuals obtained from the ARIMA model, which typically contain nonlinear and complex patterns not captured by the linear component, are subsequently </w:t>
      </w:r>
      <w:r w:rsidR="00E61525" w:rsidRPr="003D5174">
        <w:t>modelled</w:t>
      </w:r>
      <w:r w:rsidRPr="003D5174">
        <w:t xml:space="preserve"> using SVR. This decomposition-based hybridization enables the model to effectively capture both linear and nonlinear dynamics inherent in the data.</w:t>
      </w:r>
    </w:p>
    <w:p w14:paraId="27B8835F" w14:textId="77777777" w:rsidR="004105EB" w:rsidRPr="003D5174" w:rsidRDefault="004105EB" w:rsidP="00027409">
      <w:pPr>
        <w:pStyle w:val="NormalWeb"/>
        <w:spacing w:before="0" w:beforeAutospacing="0" w:after="0" w:afterAutospacing="0" w:line="360" w:lineRule="auto"/>
        <w:jc w:val="both"/>
      </w:pPr>
      <w:r w:rsidRPr="003D5174">
        <w:t>By combining ARIMA and SVR, the hybrid approach enhances forecasting performance by reducing prediction errors and improving the robustness and reliability of forecasts compared to individual modelling techniques.</w:t>
      </w:r>
    </w:p>
    <w:p w14:paraId="3F90AE7C" w14:textId="77777777" w:rsidR="00F72F8F" w:rsidRPr="003D5174" w:rsidRDefault="00F72F8F" w:rsidP="00027409">
      <w:pPr>
        <w:pStyle w:val="NormalWeb"/>
        <w:spacing w:before="0" w:beforeAutospacing="0" w:after="0" w:afterAutospacing="0" w:line="360" w:lineRule="auto"/>
        <w:jc w:val="both"/>
      </w:pPr>
    </w:p>
    <w:p w14:paraId="776C9038" w14:textId="16B0662D" w:rsidR="00E61525" w:rsidRPr="003D5174" w:rsidRDefault="00A574D8" w:rsidP="00027409">
      <w:pPr>
        <w:pStyle w:val="Heading2"/>
        <w:spacing w:before="0" w:after="0" w:line="360" w:lineRule="auto"/>
        <w:rPr>
          <w:rFonts w:ascii="Times New Roman" w:hAnsi="Times New Roman" w:cs="Times New Roman"/>
          <w:color w:val="auto"/>
          <w:sz w:val="24"/>
          <w:szCs w:val="24"/>
        </w:rPr>
      </w:pPr>
      <w:r w:rsidRPr="003D5174">
        <w:rPr>
          <w:rStyle w:val="Strong"/>
          <w:rFonts w:ascii="Times New Roman" w:hAnsi="Times New Roman" w:cs="Times New Roman"/>
          <w:b w:val="0"/>
          <w:bCs w:val="0"/>
          <w:color w:val="auto"/>
          <w:sz w:val="24"/>
          <w:szCs w:val="24"/>
        </w:rPr>
        <w:t>2</w:t>
      </w:r>
      <w:r w:rsidR="00E61525" w:rsidRPr="003D5174">
        <w:rPr>
          <w:rStyle w:val="Strong"/>
          <w:rFonts w:ascii="Times New Roman" w:hAnsi="Times New Roman" w:cs="Times New Roman"/>
          <w:b w:val="0"/>
          <w:bCs w:val="0"/>
          <w:color w:val="auto"/>
          <w:sz w:val="24"/>
          <w:szCs w:val="24"/>
        </w:rPr>
        <w:t>.4 Statistical Tests</w:t>
      </w:r>
    </w:p>
    <w:p w14:paraId="1AE59E25" w14:textId="788BC1EF" w:rsidR="00E61525" w:rsidRPr="003D5174" w:rsidRDefault="00A574D8" w:rsidP="00027409">
      <w:pPr>
        <w:pStyle w:val="Heading3"/>
        <w:spacing w:before="0" w:after="0" w:line="360" w:lineRule="auto"/>
        <w:rPr>
          <w:rFonts w:ascii="Times New Roman" w:hAnsi="Times New Roman" w:cs="Times New Roman"/>
          <w:color w:val="auto"/>
          <w:sz w:val="24"/>
          <w:szCs w:val="24"/>
        </w:rPr>
      </w:pPr>
      <w:r w:rsidRPr="003D5174">
        <w:rPr>
          <w:rStyle w:val="Strong"/>
          <w:rFonts w:ascii="Times New Roman" w:hAnsi="Times New Roman" w:cs="Times New Roman"/>
          <w:b w:val="0"/>
          <w:bCs w:val="0"/>
          <w:color w:val="auto"/>
          <w:sz w:val="24"/>
          <w:szCs w:val="24"/>
        </w:rPr>
        <w:t>2</w:t>
      </w:r>
      <w:r w:rsidR="00E61525" w:rsidRPr="003D5174">
        <w:rPr>
          <w:rStyle w:val="Strong"/>
          <w:rFonts w:ascii="Times New Roman" w:hAnsi="Times New Roman" w:cs="Times New Roman"/>
          <w:b w:val="0"/>
          <w:bCs w:val="0"/>
          <w:color w:val="auto"/>
          <w:sz w:val="24"/>
          <w:szCs w:val="24"/>
        </w:rPr>
        <w:t>.4.1 Box–Pierce Test</w:t>
      </w:r>
    </w:p>
    <w:p w14:paraId="306BA993" w14:textId="1E6395C7" w:rsidR="00E61525" w:rsidRPr="003D5174" w:rsidRDefault="00E61525" w:rsidP="00027409">
      <w:pPr>
        <w:pStyle w:val="NormalWeb"/>
        <w:spacing w:before="0" w:beforeAutospacing="0" w:after="0" w:afterAutospacing="0" w:line="360" w:lineRule="auto"/>
        <w:jc w:val="both"/>
      </w:pPr>
      <w:r w:rsidRPr="003D5174">
        <w:t>The Box–Pierce test was employed to examine the presence of autocorrelation in the residuals of the fitted models. This test assesses whether the residual series behaves as white noise, which is an essential assumption for an adequately fitted time series model. A non-significant test result indicates the absence of autocorrelation and confirms the adequacy of the model</w:t>
      </w:r>
    </w:p>
    <w:p w14:paraId="1CF321E6" w14:textId="77777777" w:rsidR="0076542C" w:rsidRPr="003D5174" w:rsidRDefault="0076542C" w:rsidP="00027409">
      <w:pPr>
        <w:pStyle w:val="NormalWeb"/>
        <w:spacing w:before="0" w:beforeAutospacing="0" w:after="0" w:afterAutospacing="0" w:line="360" w:lineRule="auto"/>
        <w:jc w:val="both"/>
      </w:pPr>
    </w:p>
    <w:p w14:paraId="2D5528DF" w14:textId="77777777" w:rsidR="00E61525" w:rsidRPr="003D5174" w:rsidRDefault="00E61525" w:rsidP="00027409">
      <w:pPr>
        <w:pStyle w:val="Heading3"/>
        <w:spacing w:before="0" w:after="0" w:line="360" w:lineRule="auto"/>
        <w:rPr>
          <w:rFonts w:ascii="Times New Roman" w:hAnsi="Times New Roman" w:cs="Times New Roman"/>
          <w:color w:val="auto"/>
          <w:sz w:val="24"/>
          <w:szCs w:val="24"/>
        </w:rPr>
      </w:pPr>
      <w:r w:rsidRPr="003D5174">
        <w:rPr>
          <w:rStyle w:val="Strong"/>
          <w:rFonts w:ascii="Times New Roman" w:hAnsi="Times New Roman" w:cs="Times New Roman"/>
          <w:b w:val="0"/>
          <w:bCs w:val="0"/>
          <w:color w:val="auto"/>
          <w:sz w:val="24"/>
          <w:szCs w:val="24"/>
        </w:rPr>
        <w:lastRenderedPageBreak/>
        <w:t>2.4.2 Brock–Dechert–</w:t>
      </w:r>
      <w:proofErr w:type="spellStart"/>
      <w:r w:rsidRPr="003D5174">
        <w:rPr>
          <w:rStyle w:val="Strong"/>
          <w:rFonts w:ascii="Times New Roman" w:hAnsi="Times New Roman" w:cs="Times New Roman"/>
          <w:b w:val="0"/>
          <w:bCs w:val="0"/>
          <w:color w:val="auto"/>
          <w:sz w:val="24"/>
          <w:szCs w:val="24"/>
        </w:rPr>
        <w:t>Scheinkman</w:t>
      </w:r>
      <w:proofErr w:type="spellEnd"/>
      <w:r w:rsidRPr="003D5174">
        <w:rPr>
          <w:rStyle w:val="Strong"/>
          <w:rFonts w:ascii="Times New Roman" w:hAnsi="Times New Roman" w:cs="Times New Roman"/>
          <w:b w:val="0"/>
          <w:bCs w:val="0"/>
          <w:color w:val="auto"/>
          <w:sz w:val="24"/>
          <w:szCs w:val="24"/>
        </w:rPr>
        <w:t xml:space="preserve"> (BDS) Test</w:t>
      </w:r>
    </w:p>
    <w:p w14:paraId="138646EB" w14:textId="649547EB" w:rsidR="004E1A3D" w:rsidRPr="003D5174" w:rsidRDefault="004E1A3D" w:rsidP="00027409">
      <w:pPr>
        <w:pStyle w:val="NormalWeb"/>
        <w:spacing w:before="0" w:beforeAutospacing="0" w:after="0" w:afterAutospacing="0" w:line="360" w:lineRule="auto"/>
        <w:jc w:val="both"/>
      </w:pPr>
      <w:r w:rsidRPr="003D5174">
        <w:t xml:space="preserve">The </w:t>
      </w:r>
      <w:r w:rsidRPr="003D5174">
        <w:rPr>
          <w:rStyle w:val="Strong"/>
          <w:rFonts w:eastAsiaTheme="majorEastAsia"/>
          <w:b w:val="0"/>
        </w:rPr>
        <w:t>BDS test</w:t>
      </w:r>
      <w:r w:rsidRPr="003D5174">
        <w:t xml:space="preserve"> is employed to detect the presence of </w:t>
      </w:r>
      <w:r w:rsidRPr="003D5174">
        <w:rPr>
          <w:rStyle w:val="Strong"/>
          <w:rFonts w:eastAsiaTheme="majorEastAsia"/>
          <w:b w:val="0"/>
        </w:rPr>
        <w:t>nonlinearity and dependence structures</w:t>
      </w:r>
      <w:r w:rsidRPr="003D5174">
        <w:t xml:space="preserve"> in time series data. It evaluates whether the residuals of a fitted model are </w:t>
      </w:r>
      <w:r w:rsidRPr="003D5174">
        <w:rPr>
          <w:rStyle w:val="Strong"/>
          <w:rFonts w:eastAsiaTheme="majorEastAsia"/>
          <w:b w:val="0"/>
        </w:rPr>
        <w:t>independently and identically distributed (</w:t>
      </w:r>
      <w:proofErr w:type="spellStart"/>
      <w:r w:rsidRPr="003D5174">
        <w:rPr>
          <w:rStyle w:val="Strong"/>
          <w:rFonts w:eastAsiaTheme="majorEastAsia"/>
          <w:b w:val="0"/>
        </w:rPr>
        <w:t>i.i.d.</w:t>
      </w:r>
      <w:proofErr w:type="spellEnd"/>
      <w:r w:rsidRPr="003D5174">
        <w:rPr>
          <w:rStyle w:val="Strong"/>
          <w:rFonts w:eastAsiaTheme="majorEastAsia"/>
          <w:b w:val="0"/>
        </w:rPr>
        <w:t>)</w:t>
      </w:r>
      <w:r w:rsidRPr="003D5174">
        <w:rPr>
          <w:b/>
        </w:rPr>
        <w:t>.</w:t>
      </w:r>
      <w:r w:rsidRPr="003D5174">
        <w:t xml:space="preserve"> A statistically significant BDS statistic indicates rejection of the </w:t>
      </w:r>
      <w:proofErr w:type="spellStart"/>
      <w:r w:rsidRPr="003D5174">
        <w:t>i.i.d.</w:t>
      </w:r>
      <w:proofErr w:type="spellEnd"/>
      <w:r w:rsidRPr="003D5174">
        <w:t xml:space="preserve"> assumption, thereby confirming the presence of nonlinear dynamics or residual dependence in the series. This outcome provides empirical justification for the application of advanced nonlinear forecasting techniques such as </w:t>
      </w:r>
      <w:r w:rsidRPr="003D5174">
        <w:rPr>
          <w:rStyle w:val="Strong"/>
          <w:rFonts w:eastAsiaTheme="majorEastAsia"/>
          <w:b w:val="0"/>
        </w:rPr>
        <w:t>SVR, ANN, Extreme Learning Machine (ELM), and Random Forest Regression</w:t>
      </w:r>
      <w:r w:rsidRPr="003D5174">
        <w:t>, which are better suited to capture complex data structures (Brock et al.</w:t>
      </w:r>
      <w:r w:rsidR="000233B2">
        <w:t xml:space="preserve">, </w:t>
      </w:r>
      <w:r w:rsidRPr="003D5174">
        <w:t>1996)</w:t>
      </w:r>
      <w:r w:rsidR="0076542C" w:rsidRPr="003D5174">
        <w:t>.</w:t>
      </w:r>
    </w:p>
    <w:p w14:paraId="31810F83" w14:textId="77777777" w:rsidR="0076542C" w:rsidRPr="003D5174" w:rsidRDefault="0076542C" w:rsidP="00027409">
      <w:pPr>
        <w:pStyle w:val="NormalWeb"/>
        <w:spacing w:before="0" w:beforeAutospacing="0" w:after="0" w:afterAutospacing="0" w:line="360" w:lineRule="auto"/>
        <w:jc w:val="both"/>
      </w:pPr>
    </w:p>
    <w:p w14:paraId="17F73B54" w14:textId="2DF61530" w:rsidR="00E61525" w:rsidRPr="003D5174" w:rsidRDefault="00A574D8" w:rsidP="00027409">
      <w:pPr>
        <w:pStyle w:val="Heading2"/>
        <w:spacing w:before="0" w:after="0" w:line="360" w:lineRule="auto"/>
        <w:rPr>
          <w:rFonts w:ascii="Times New Roman" w:hAnsi="Times New Roman" w:cs="Times New Roman"/>
          <w:sz w:val="24"/>
          <w:szCs w:val="24"/>
        </w:rPr>
      </w:pPr>
      <w:r w:rsidRPr="003D5174">
        <w:rPr>
          <w:rStyle w:val="Strong"/>
          <w:rFonts w:ascii="Times New Roman" w:hAnsi="Times New Roman" w:cs="Times New Roman"/>
          <w:b w:val="0"/>
          <w:bCs w:val="0"/>
          <w:color w:val="auto"/>
          <w:sz w:val="24"/>
          <w:szCs w:val="24"/>
        </w:rPr>
        <w:t>2.5</w:t>
      </w:r>
      <w:r w:rsidR="00E61525" w:rsidRPr="003D5174">
        <w:rPr>
          <w:rStyle w:val="Strong"/>
          <w:rFonts w:ascii="Times New Roman" w:hAnsi="Times New Roman" w:cs="Times New Roman"/>
          <w:b w:val="0"/>
          <w:bCs w:val="0"/>
          <w:color w:val="auto"/>
          <w:sz w:val="24"/>
          <w:szCs w:val="24"/>
        </w:rPr>
        <w:t xml:space="preserve"> Performance Evaluation Metrics</w:t>
      </w:r>
    </w:p>
    <w:p w14:paraId="02ABD0AC" w14:textId="77777777" w:rsidR="00E61525" w:rsidRPr="003D5174" w:rsidRDefault="00E61525" w:rsidP="00027409">
      <w:pPr>
        <w:pStyle w:val="NormalWeb"/>
        <w:spacing w:before="0" w:beforeAutospacing="0" w:after="0" w:afterAutospacing="0" w:line="360" w:lineRule="auto"/>
        <w:jc w:val="both"/>
      </w:pPr>
      <w:r w:rsidRPr="003D5174">
        <w:t>The forecasting performance of the models was evaluated using standard statistical accuracy measures. The models with lower error values were considered to possess superior forecasting performance.</w:t>
      </w:r>
    </w:p>
    <w:p w14:paraId="14711115" w14:textId="77777777" w:rsidR="00E61525" w:rsidRPr="003D5174" w:rsidRDefault="00E61525" w:rsidP="00027409">
      <w:pPr>
        <w:pStyle w:val="Heading3"/>
        <w:spacing w:before="0" w:after="0" w:line="360" w:lineRule="auto"/>
        <w:rPr>
          <w:rFonts w:ascii="Times New Roman" w:hAnsi="Times New Roman" w:cs="Times New Roman"/>
          <w:color w:val="auto"/>
          <w:sz w:val="24"/>
          <w:szCs w:val="24"/>
        </w:rPr>
      </w:pPr>
      <w:r w:rsidRPr="003D5174">
        <w:rPr>
          <w:rStyle w:val="Strong"/>
          <w:rFonts w:ascii="Times New Roman" w:hAnsi="Times New Roman" w:cs="Times New Roman"/>
          <w:b w:val="0"/>
          <w:bCs w:val="0"/>
          <w:color w:val="auto"/>
          <w:sz w:val="24"/>
          <w:szCs w:val="24"/>
        </w:rPr>
        <w:t>2.5.1 Root Mean Square Error (RMSE)</w:t>
      </w:r>
    </w:p>
    <w:p w14:paraId="50A907C1" w14:textId="08E6B6BF" w:rsidR="00E61525" w:rsidRPr="003D5174" w:rsidRDefault="00C1471E" w:rsidP="00027409">
      <w:pPr>
        <w:pStyle w:val="NormalWeb"/>
        <w:spacing w:before="0" w:beforeAutospacing="0" w:after="0" w:afterAutospacing="0" w:line="360" w:lineRule="auto"/>
        <w:jc w:val="both"/>
      </w:pPr>
      <w:r w:rsidRPr="003D5174">
        <w:t>RMSE</w:t>
      </w:r>
      <w:r w:rsidR="00E61525" w:rsidRPr="003D5174">
        <w:t xml:space="preserve"> measures the square root of the average squared deviations between the observed and forecasted values. It provides an estimate of the magnitude of prediction errors and is widely used to assess forecasting accuracy.</w:t>
      </w:r>
    </w:p>
    <w:p w14:paraId="056E9E5B" w14:textId="23B49A53" w:rsidR="00292FE1" w:rsidRPr="003D5174" w:rsidRDefault="0076542C" w:rsidP="00027409">
      <w:pPr>
        <w:pStyle w:val="NormalWeb"/>
        <w:spacing w:line="360" w:lineRule="auto"/>
        <w:jc w:val="center"/>
      </w:pPr>
      <m:oMathPara>
        <m:oMath>
          <m:r>
            <w:rPr>
              <w:rFonts w:ascii="Cambria Math" w:hAnsi="Cambria Math" w:cs="Arial"/>
            </w:rPr>
            <m:t>RMSE=</m:t>
          </m:r>
          <m:rad>
            <m:radPr>
              <m:degHide m:val="1"/>
              <m:ctrlPr>
                <w:rPr>
                  <w:rFonts w:ascii="Cambria Math" w:hAnsi="Cambria Math" w:cs="Arial"/>
                </w:rPr>
              </m:ctrlPr>
            </m:radPr>
            <m:deg/>
            <m:e>
              <m:f>
                <m:fPr>
                  <m:ctrlPr>
                    <w:rPr>
                      <w:rFonts w:ascii="Cambria Math" w:hAnsi="Cambria Math" w:cs="Arial"/>
                    </w:rPr>
                  </m:ctrlPr>
                </m:fPr>
                <m:num>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N</m:t>
                      </m:r>
                    </m:sup>
                    <m:e>
                      <m:r>
                        <w:rPr>
                          <w:rFonts w:ascii="Cambria Math" w:hAnsi="Cambria Math" w:cs="Arial"/>
                        </w:rPr>
                        <m:t>(</m:t>
                      </m:r>
                    </m:e>
                  </m:nary>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y</m:t>
                          </m:r>
                        </m:e>
                      </m:acc>
                    </m:e>
                    <m:sub>
                      <m:r>
                        <w:rPr>
                          <w:rFonts w:ascii="Cambria Math" w:hAnsi="Cambria Math" w:cs="Arial"/>
                        </w:rPr>
                        <m:t>i</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num>
                <m:den>
                  <m:r>
                    <w:rPr>
                      <w:rFonts w:ascii="Cambria Math" w:hAnsi="Cambria Math" w:cs="Arial"/>
                    </w:rPr>
                    <m:t>N</m:t>
                  </m:r>
                </m:den>
              </m:f>
            </m:e>
          </m:rad>
        </m:oMath>
      </m:oMathPara>
    </w:p>
    <w:p w14:paraId="3F63DDC3" w14:textId="77777777" w:rsidR="00CF3BE8" w:rsidRPr="003D5174" w:rsidRDefault="00CF3BE8" w:rsidP="00027409">
      <w:pPr>
        <w:spacing w:after="0" w:line="360" w:lineRule="auto"/>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where:</w:t>
      </w:r>
    </w:p>
    <w:p w14:paraId="2D9F1824" w14:textId="07A3071C" w:rsidR="00CF3BE8" w:rsidRPr="003D5174" w:rsidRDefault="00000000" w:rsidP="00027409">
      <w:pPr>
        <w:spacing w:after="0" w:line="360" w:lineRule="auto"/>
        <w:rPr>
          <w:rFonts w:ascii="Times New Roman" w:eastAsia="Times New Roman" w:hAnsi="Times New Roman" w:cs="Times New Roman"/>
          <w:kern w:val="0"/>
          <w:lang w:eastAsia="en-IN"/>
          <w14:ligatures w14:val="none"/>
        </w:rPr>
      </w:pPr>
      <m:oMath>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oMath>
      <w:r w:rsidR="00CF3BE8" w:rsidRPr="003D5174">
        <w:rPr>
          <w:rFonts w:ascii="Times New Roman" w:eastAsia="Times New Roman" w:hAnsi="Times New Roman" w:cs="Times New Roman"/>
          <w:kern w:val="0"/>
          <w:lang w:eastAsia="en-IN"/>
          <w14:ligatures w14:val="none"/>
        </w:rPr>
        <w:t>​</w:t>
      </w:r>
      <w:r w:rsidR="00D76766" w:rsidRPr="003D5174">
        <w:rPr>
          <w:rFonts w:ascii="Times New Roman" w:eastAsia="Times New Roman" w:hAnsi="Times New Roman" w:cs="Times New Roman"/>
          <w:kern w:val="0"/>
          <w:lang w:eastAsia="en-IN"/>
          <w14:ligatures w14:val="none"/>
        </w:rPr>
        <w:t xml:space="preserve"> = actual observed value; </w:t>
      </w:r>
      <m:oMath>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y</m:t>
                </m:r>
              </m:e>
            </m:acc>
          </m:e>
          <m:sub>
            <m:r>
              <w:rPr>
                <w:rFonts w:ascii="Cambria Math" w:hAnsi="Cambria Math" w:cs="Arial"/>
              </w:rPr>
              <m:t>i</m:t>
            </m:r>
          </m:sub>
        </m:sSub>
      </m:oMath>
      <w:r w:rsidR="00CF3BE8" w:rsidRPr="003D5174">
        <w:rPr>
          <w:rFonts w:ascii="Times New Roman" w:eastAsia="Times New Roman" w:hAnsi="Times New Roman" w:cs="Times New Roman"/>
          <w:kern w:val="0"/>
          <w:lang w:eastAsia="en-IN"/>
          <w14:ligatures w14:val="none"/>
        </w:rPr>
        <w:t xml:space="preserve">​ = predicted value </w:t>
      </w:r>
      <w:r w:rsidR="00D76766" w:rsidRPr="003D5174">
        <w:rPr>
          <w:rFonts w:ascii="Times New Roman" w:eastAsia="Times New Roman" w:hAnsi="Times New Roman" w:cs="Times New Roman"/>
          <w:kern w:val="0"/>
          <w:lang w:eastAsia="en-IN"/>
          <w14:ligatures w14:val="none"/>
        </w:rPr>
        <w:t xml:space="preserve">and </w:t>
      </w:r>
      <m:oMath>
        <m:r>
          <w:rPr>
            <w:rFonts w:ascii="Cambria Math" w:hAnsi="Cambria Math" w:cs="Arial"/>
          </w:rPr>
          <m:t>N</m:t>
        </m:r>
      </m:oMath>
      <w:r w:rsidR="00CF3BE8" w:rsidRPr="003D5174">
        <w:rPr>
          <w:rFonts w:ascii="Times New Roman" w:eastAsia="Times New Roman" w:hAnsi="Times New Roman" w:cs="Times New Roman"/>
          <w:kern w:val="0"/>
          <w:lang w:eastAsia="en-IN"/>
          <w14:ligatures w14:val="none"/>
        </w:rPr>
        <w:t xml:space="preserve"> = total number of observations </w:t>
      </w:r>
    </w:p>
    <w:p w14:paraId="3F562955" w14:textId="677C84A2" w:rsidR="004579C9" w:rsidRPr="003D5174" w:rsidRDefault="00CF3BE8" w:rsidP="00027409">
      <w:pPr>
        <w:spacing w:after="0" w:line="360" w:lineRule="auto"/>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A lower RMSE value indicates better model performance.</w:t>
      </w:r>
    </w:p>
    <w:p w14:paraId="4069E68B" w14:textId="77777777" w:rsidR="0076542C" w:rsidRPr="003D5174" w:rsidRDefault="0076542C" w:rsidP="00027409">
      <w:pPr>
        <w:spacing w:after="0" w:line="360" w:lineRule="auto"/>
        <w:rPr>
          <w:rFonts w:ascii="Times New Roman" w:eastAsia="Times New Roman" w:hAnsi="Times New Roman" w:cs="Times New Roman"/>
          <w:kern w:val="0"/>
          <w:lang w:eastAsia="en-IN"/>
          <w14:ligatures w14:val="none"/>
        </w:rPr>
      </w:pPr>
    </w:p>
    <w:p w14:paraId="06CF723F" w14:textId="77777777" w:rsidR="004579C9" w:rsidRPr="003D5174" w:rsidRDefault="004579C9" w:rsidP="00027409">
      <w:pPr>
        <w:spacing w:after="0" w:line="360" w:lineRule="auto"/>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2.5.2 Mean Absolute Error</w:t>
      </w:r>
    </w:p>
    <w:p w14:paraId="4132F3DA" w14:textId="77777777" w:rsidR="004579C9" w:rsidRPr="003D5174" w:rsidRDefault="004579C9" w:rsidP="004579C9">
      <w:pPr>
        <w:spacing w:after="0" w:line="360" w:lineRule="auto"/>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Mean Absolute Error (MAE) measures the average absolute difference between actual and predicted values. Lower MAE values indicate better forecasting accuracy.</w:t>
      </w:r>
    </w:p>
    <w:p w14:paraId="5AC1D4F3" w14:textId="6D6E2F31" w:rsidR="004579C9" w:rsidRPr="003D5174" w:rsidRDefault="004579C9" w:rsidP="004579C9">
      <w:pPr>
        <w:spacing w:after="0" w:line="360" w:lineRule="auto"/>
        <w:rPr>
          <w:rFonts w:ascii="Times New Roman" w:eastAsia="Times New Roman" w:hAnsi="Times New Roman" w:cs="Times New Roman"/>
          <w:kern w:val="0"/>
          <w:lang w:eastAsia="en-IN"/>
          <w14:ligatures w14:val="none"/>
        </w:rPr>
      </w:pPr>
      <m:oMathPara>
        <m:oMath>
          <m:r>
            <w:rPr>
              <w:rFonts w:ascii="Cambria Math" w:eastAsia="Times New Roman" w:hAnsi="Cambria Math" w:cs="Times New Roman"/>
              <w:kern w:val="0"/>
              <w:lang w:eastAsia="en-IN"/>
              <w14:ligatures w14:val="none"/>
            </w:rPr>
            <m:t xml:space="preserve">MAE= </m:t>
          </m:r>
          <m:f>
            <m:fPr>
              <m:ctrlPr>
                <w:rPr>
                  <w:rFonts w:ascii="Cambria Math" w:eastAsia="Times New Roman" w:hAnsi="Cambria Math" w:cs="Times New Roman"/>
                  <w:i/>
                  <w:kern w:val="0"/>
                  <w:lang w:eastAsia="en-IN"/>
                  <w14:ligatures w14:val="none"/>
                </w:rPr>
              </m:ctrlPr>
            </m:fPr>
            <m:num>
              <m:r>
                <w:rPr>
                  <w:rFonts w:ascii="Cambria Math" w:eastAsia="Times New Roman" w:hAnsi="Cambria Math" w:cs="Times New Roman"/>
                  <w:kern w:val="0"/>
                  <w:lang w:eastAsia="en-IN"/>
                  <w14:ligatures w14:val="none"/>
                </w:rPr>
                <m:t>1</m:t>
              </m:r>
            </m:num>
            <m:den>
              <m:r>
                <w:rPr>
                  <w:rFonts w:ascii="Cambria Math" w:eastAsia="Times New Roman" w:hAnsi="Cambria Math" w:cs="Times New Roman"/>
                  <w:kern w:val="0"/>
                  <w:lang w:eastAsia="en-IN"/>
                  <w14:ligatures w14:val="none"/>
                </w:rPr>
                <m:t>N</m:t>
              </m:r>
            </m:den>
          </m:f>
          <m:r>
            <w:rPr>
              <w:rFonts w:ascii="Cambria Math" w:eastAsia="Times New Roman" w:hAnsi="Cambria Math" w:cs="Times New Roman"/>
              <w:kern w:val="0"/>
              <w:lang w:eastAsia="en-IN"/>
              <w14:ligatures w14:val="none"/>
            </w:rPr>
            <m:t xml:space="preserve"> </m:t>
          </m:r>
          <m:nary>
            <m:naryPr>
              <m:chr m:val="∑"/>
              <m:limLoc m:val="undOvr"/>
              <m:ctrlPr>
                <w:rPr>
                  <w:rFonts w:ascii="Cambria Math" w:eastAsia="Times New Roman" w:hAnsi="Cambria Math" w:cs="Times New Roman"/>
                  <w:i/>
                  <w:kern w:val="0"/>
                  <w:lang w:eastAsia="en-IN"/>
                  <w14:ligatures w14:val="none"/>
                </w:rPr>
              </m:ctrlPr>
            </m:naryPr>
            <m:sub>
              <m:r>
                <w:rPr>
                  <w:rFonts w:ascii="Cambria Math" w:eastAsia="Times New Roman" w:hAnsi="Cambria Math" w:cs="Times New Roman"/>
                  <w:kern w:val="0"/>
                  <w:lang w:eastAsia="en-IN"/>
                  <w14:ligatures w14:val="none"/>
                </w:rPr>
                <m:t>i=1</m:t>
              </m:r>
            </m:sub>
            <m:sup>
              <m:r>
                <w:rPr>
                  <w:rFonts w:ascii="Cambria Math" w:eastAsia="Times New Roman" w:hAnsi="Cambria Math" w:cs="Times New Roman"/>
                  <w:kern w:val="0"/>
                  <w:lang w:eastAsia="en-IN"/>
                  <w14:ligatures w14:val="none"/>
                </w:rPr>
                <m:t>n</m:t>
              </m:r>
            </m:sup>
            <m:e>
              <m:d>
                <m:dPr>
                  <m:begChr m:val="|"/>
                  <m:endChr m:val="|"/>
                  <m:ctrlPr>
                    <w:rPr>
                      <w:rFonts w:ascii="Cambria Math" w:eastAsia="Times New Roman" w:hAnsi="Cambria Math" w:cs="Times New Roman"/>
                      <w:i/>
                      <w:kern w:val="0"/>
                      <w:lang w:eastAsia="en-IN"/>
                      <w14:ligatures w14:val="none"/>
                    </w:rPr>
                  </m:ctrlPr>
                </m:dPr>
                <m:e>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i</m:t>
                      </m:r>
                    </m:sub>
                  </m:sSub>
                  <m:r>
                    <w:rPr>
                      <w:rFonts w:ascii="Cambria Math" w:eastAsia="Times New Roman" w:hAnsi="Cambria Math" w:cs="Times New Roman"/>
                      <w:kern w:val="0"/>
                      <w:lang w:eastAsia="en-IN"/>
                      <w14:ligatures w14:val="none"/>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y</m:t>
                          </m:r>
                        </m:e>
                      </m:acc>
                    </m:e>
                    <m:sub>
                      <m:r>
                        <w:rPr>
                          <w:rFonts w:ascii="Cambria Math" w:hAnsi="Cambria Math" w:cs="Arial"/>
                        </w:rPr>
                        <m:t>i</m:t>
                      </m:r>
                    </m:sub>
                  </m:sSub>
                </m:e>
              </m:d>
            </m:e>
          </m:nary>
        </m:oMath>
      </m:oMathPara>
    </w:p>
    <w:p w14:paraId="14C541F2" w14:textId="4EF903A8" w:rsidR="00651295" w:rsidRPr="003D5174" w:rsidRDefault="00E3784E" w:rsidP="00027409">
      <w:pPr>
        <w:spacing w:after="0" w:line="360" w:lineRule="auto"/>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where:</w:t>
      </w:r>
    </w:p>
    <w:p w14:paraId="31AE306B" w14:textId="474DA643" w:rsidR="00E3784E" w:rsidRPr="003D5174" w:rsidRDefault="00000000" w:rsidP="00027409">
      <w:pPr>
        <w:spacing w:after="0" w:line="360" w:lineRule="auto"/>
        <w:rPr>
          <w:rFonts w:ascii="Times New Roman" w:eastAsia="Times New Roman" w:hAnsi="Times New Roman" w:cs="Times New Roman"/>
          <w:kern w:val="0"/>
          <w:lang w:eastAsia="en-IN"/>
          <w14:ligatures w14:val="none"/>
        </w:rPr>
      </w:pPr>
      <m:oMath>
        <m:sSub>
          <m:sSubPr>
            <m:ctrlPr>
              <w:rPr>
                <w:rFonts w:ascii="Cambria Math" w:eastAsia="Times New Roman" w:hAnsi="Cambria Math" w:cs="Times New Roman"/>
                <w:i/>
                <w:kern w:val="0"/>
                <w:lang w:eastAsia="en-IN"/>
                <w14:ligatures w14:val="none"/>
              </w:rPr>
            </m:ctrlPr>
          </m:sSubPr>
          <m:e>
            <m:r>
              <w:rPr>
                <w:rFonts w:ascii="Cambria Math" w:eastAsia="Times New Roman" w:hAnsi="Cambria Math" w:cs="Times New Roman"/>
                <w:kern w:val="0"/>
                <w:lang w:eastAsia="en-IN"/>
                <w14:ligatures w14:val="none"/>
              </w:rPr>
              <m:t>y</m:t>
            </m:r>
          </m:e>
          <m:sub>
            <m:r>
              <w:rPr>
                <w:rFonts w:ascii="Cambria Math" w:eastAsia="Times New Roman" w:hAnsi="Cambria Math" w:cs="Times New Roman"/>
                <w:kern w:val="0"/>
                <w:lang w:eastAsia="en-IN"/>
                <w14:ligatures w14:val="none"/>
              </w:rPr>
              <m:t>i</m:t>
            </m:r>
          </m:sub>
        </m:sSub>
      </m:oMath>
      <w:r w:rsidR="00E3784E" w:rsidRPr="003D5174">
        <w:rPr>
          <w:rFonts w:ascii="Times New Roman" w:eastAsia="Times New Roman" w:hAnsi="Times New Roman" w:cs="Times New Roman"/>
          <w:kern w:val="0"/>
          <w:lang w:eastAsia="en-IN"/>
          <w14:ligatures w14:val="none"/>
        </w:rPr>
        <w:t xml:space="preserve"> = actual observed value; </w:t>
      </w:r>
      <m:oMath>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y</m:t>
                </m:r>
              </m:e>
            </m:acc>
          </m:e>
          <m:sub>
            <m:r>
              <w:rPr>
                <w:rFonts w:ascii="Cambria Math" w:hAnsi="Cambria Math" w:cs="Arial"/>
              </w:rPr>
              <m:t>i</m:t>
            </m:r>
          </m:sub>
        </m:sSub>
      </m:oMath>
      <w:r w:rsidR="00E3784E" w:rsidRPr="003D5174">
        <w:rPr>
          <w:rFonts w:ascii="Times New Roman" w:eastAsia="Times New Roman" w:hAnsi="Times New Roman" w:cs="Times New Roman"/>
          <w:kern w:val="0"/>
          <w:lang w:eastAsia="en-IN"/>
          <w14:ligatures w14:val="none"/>
        </w:rPr>
        <w:t xml:space="preserve">= predicted value and </w:t>
      </w:r>
      <m:oMath>
        <m:r>
          <w:rPr>
            <w:rFonts w:ascii="Cambria Math" w:eastAsia="Times New Roman" w:hAnsi="Cambria Math" w:cs="Times New Roman"/>
            <w:kern w:val="0"/>
            <w:lang w:eastAsia="en-IN"/>
            <w14:ligatures w14:val="none"/>
          </w:rPr>
          <m:t>N</m:t>
        </m:r>
      </m:oMath>
      <w:r w:rsidR="00E3784E" w:rsidRPr="003D5174">
        <w:rPr>
          <w:rFonts w:ascii="Times New Roman" w:eastAsia="Times New Roman" w:hAnsi="Times New Roman" w:cs="Times New Roman"/>
          <w:kern w:val="0"/>
          <w:lang w:eastAsia="en-IN"/>
          <w14:ligatures w14:val="none"/>
        </w:rPr>
        <w:t xml:space="preserve"> = total number of observations</w:t>
      </w:r>
    </w:p>
    <w:p w14:paraId="322AC584" w14:textId="77777777" w:rsidR="0076542C" w:rsidRPr="003D5174" w:rsidRDefault="0076542C" w:rsidP="00027409">
      <w:pPr>
        <w:spacing w:after="0" w:line="360" w:lineRule="auto"/>
        <w:rPr>
          <w:rFonts w:ascii="Times New Roman" w:eastAsia="Times New Roman" w:hAnsi="Times New Roman" w:cs="Times New Roman"/>
          <w:kern w:val="0"/>
          <w:lang w:eastAsia="en-IN"/>
          <w14:ligatures w14:val="none"/>
        </w:rPr>
      </w:pPr>
    </w:p>
    <w:p w14:paraId="45A9826D" w14:textId="4BEE37D9" w:rsidR="00E61525" w:rsidRPr="003D5174" w:rsidRDefault="00E61525" w:rsidP="00027409">
      <w:pPr>
        <w:pStyle w:val="Heading3"/>
        <w:spacing w:before="0" w:after="0" w:line="360" w:lineRule="auto"/>
        <w:rPr>
          <w:rFonts w:ascii="Times New Roman" w:hAnsi="Times New Roman" w:cs="Times New Roman"/>
          <w:color w:val="auto"/>
          <w:sz w:val="24"/>
          <w:szCs w:val="24"/>
        </w:rPr>
      </w:pPr>
      <w:r w:rsidRPr="003D5174">
        <w:rPr>
          <w:rStyle w:val="Strong"/>
          <w:rFonts w:ascii="Times New Roman" w:hAnsi="Times New Roman" w:cs="Times New Roman"/>
          <w:b w:val="0"/>
          <w:bCs w:val="0"/>
          <w:color w:val="auto"/>
          <w:sz w:val="24"/>
          <w:szCs w:val="24"/>
        </w:rPr>
        <w:lastRenderedPageBreak/>
        <w:t>2.5.</w:t>
      </w:r>
      <w:r w:rsidR="004579C9" w:rsidRPr="003D5174">
        <w:rPr>
          <w:rStyle w:val="Strong"/>
          <w:rFonts w:ascii="Times New Roman" w:hAnsi="Times New Roman" w:cs="Times New Roman"/>
          <w:b w:val="0"/>
          <w:bCs w:val="0"/>
          <w:color w:val="auto"/>
          <w:sz w:val="24"/>
          <w:szCs w:val="24"/>
        </w:rPr>
        <w:t xml:space="preserve">3 </w:t>
      </w:r>
      <w:r w:rsidRPr="003D5174">
        <w:rPr>
          <w:rStyle w:val="Strong"/>
          <w:rFonts w:ascii="Times New Roman" w:hAnsi="Times New Roman" w:cs="Times New Roman"/>
          <w:b w:val="0"/>
          <w:bCs w:val="0"/>
          <w:color w:val="auto"/>
          <w:sz w:val="24"/>
          <w:szCs w:val="24"/>
        </w:rPr>
        <w:t>Mean Absolute Percentage Error (MAPE)</w:t>
      </w:r>
    </w:p>
    <w:p w14:paraId="12FD5E20" w14:textId="29AE0D90" w:rsidR="00E61525" w:rsidRPr="003D5174" w:rsidRDefault="00C1471E" w:rsidP="00027409">
      <w:pPr>
        <w:pStyle w:val="NormalWeb"/>
        <w:spacing w:before="0" w:beforeAutospacing="0" w:after="0" w:afterAutospacing="0" w:line="360" w:lineRule="auto"/>
        <w:jc w:val="both"/>
      </w:pPr>
      <w:r w:rsidRPr="003D5174">
        <w:t xml:space="preserve"> MAPE </w:t>
      </w:r>
      <w:r w:rsidR="00E61525" w:rsidRPr="003D5174">
        <w:t>measures forecasting accuracy in percentage terms by computing the average absolute deviation between actual and predicted values relative to the actual observations.</w:t>
      </w:r>
    </w:p>
    <w:p w14:paraId="33B72BD0" w14:textId="5CBD376D" w:rsidR="0076542C" w:rsidRPr="003D5174" w:rsidRDefault="0076542C" w:rsidP="0076542C">
      <w:pPr>
        <w:pStyle w:val="NormalWeb"/>
        <w:tabs>
          <w:tab w:val="left" w:pos="284"/>
        </w:tabs>
        <w:ind w:left="360"/>
        <w:jc w:val="both"/>
        <w:rPr>
          <w:rFonts w:ascii="Arial" w:hAnsi="Arial" w:cs="Arial"/>
        </w:rPr>
      </w:pPr>
      <m:oMathPara>
        <m:oMath>
          <m:r>
            <w:rPr>
              <w:rFonts w:ascii="Cambria Math" w:hAnsi="Cambria Math" w:cs="Arial"/>
            </w:rPr>
            <m:t>MAPE=</m:t>
          </m:r>
          <m:f>
            <m:fPr>
              <m:ctrlPr>
                <w:rPr>
                  <w:rFonts w:ascii="Cambria Math" w:hAnsi="Cambria Math" w:cs="Arial"/>
                </w:rPr>
              </m:ctrlPr>
            </m:fPr>
            <m:num>
              <m:r>
                <w:rPr>
                  <w:rFonts w:ascii="Cambria Math" w:hAnsi="Cambria Math" w:cs="Arial"/>
                </w:rPr>
                <m:t>1</m:t>
              </m:r>
            </m:num>
            <m:den>
              <m:r>
                <w:rPr>
                  <w:rFonts w:ascii="Cambria Math" w:hAnsi="Cambria Math" w:cs="Arial"/>
                </w:rPr>
                <m:t>N</m:t>
              </m:r>
            </m:den>
          </m:f>
          <m:nary>
            <m:naryPr>
              <m:chr m:val="∑"/>
              <m:limLoc m:val="undOvr"/>
              <m:grow m:val="1"/>
              <m:ctrlPr>
                <w:rPr>
                  <w:rFonts w:ascii="Cambria Math" w:hAnsi="Cambria Math" w:cs="Arial"/>
                </w:rPr>
              </m:ctrlPr>
            </m:naryPr>
            <m:sub>
              <m:r>
                <w:rPr>
                  <w:rFonts w:ascii="Cambria Math" w:hAnsi="Cambria Math" w:cs="Arial"/>
                </w:rPr>
                <m:t>t=1</m:t>
              </m:r>
            </m:sub>
            <m:sup>
              <m:r>
                <w:rPr>
                  <w:rFonts w:ascii="Cambria Math" w:hAnsi="Cambria Math" w:cs="Arial"/>
                </w:rPr>
                <m:t>N</m:t>
              </m:r>
            </m:sup>
            <m:e>
              <m:d>
                <m:dPr>
                  <m:begChr m:val="|"/>
                  <m:endChr m:val="|"/>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A</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F</m:t>
                          </m:r>
                        </m:e>
                        <m:sub>
                          <m:r>
                            <w:rPr>
                              <w:rFonts w:ascii="Cambria Math" w:hAnsi="Cambria Math" w:cs="Arial"/>
                            </w:rPr>
                            <m:t>t</m:t>
                          </m:r>
                        </m:sub>
                      </m:sSub>
                    </m:den>
                  </m:f>
                </m:e>
              </m:d>
            </m:e>
          </m:nary>
        </m:oMath>
      </m:oMathPara>
    </w:p>
    <w:p w14:paraId="4D01B3F8" w14:textId="62042737" w:rsidR="00292FE1" w:rsidRPr="003D5174" w:rsidRDefault="00292FE1" w:rsidP="00027409">
      <w:pPr>
        <w:pStyle w:val="NormalWeb"/>
        <w:spacing w:before="0" w:beforeAutospacing="0" w:after="0" w:afterAutospacing="0" w:line="360" w:lineRule="auto"/>
        <w:jc w:val="both"/>
      </w:pPr>
      <w:r w:rsidRPr="003D5174">
        <w:t xml:space="preserve">Where </w:t>
      </w:r>
      <w:r w:rsidR="00AD08CA" w:rsidRPr="003D5174">
        <w:t xml:space="preserve"> </w:t>
      </w:r>
      <w:r w:rsidR="00AD08CA" w:rsidRPr="003D5174">
        <w:rPr>
          <w:position w:val="-12"/>
        </w:rPr>
        <w:object w:dxaOrig="279" w:dyaOrig="360" w14:anchorId="44059B3C">
          <v:shape id="_x0000_i1032" type="#_x0000_t75" style="width:14.5pt;height:18.5pt" o:ole="">
            <v:imagedata r:id="rId22" o:title=""/>
          </v:shape>
          <o:OLEObject Type="Embed" ProgID="Equation.3" ShapeID="_x0000_i1032" DrawAspect="Content" ObjectID="_1841308163" r:id="rId23"/>
        </w:object>
      </w:r>
      <w:r w:rsidR="00AD08CA" w:rsidRPr="003D5174">
        <w:t xml:space="preserve">and </w:t>
      </w:r>
      <w:r w:rsidR="00CF3BE8" w:rsidRPr="003D5174">
        <w:rPr>
          <w:position w:val="-12"/>
        </w:rPr>
        <w:object w:dxaOrig="260" w:dyaOrig="360" w14:anchorId="31ED87DD">
          <v:shape id="_x0000_i1033" type="#_x0000_t75" style="width:12pt;height:18.5pt" o:ole="">
            <v:imagedata r:id="rId24" o:title=""/>
          </v:shape>
          <o:OLEObject Type="Embed" ProgID="Equation.3" ShapeID="_x0000_i1033" DrawAspect="Content" ObjectID="_1841308164" r:id="rId25"/>
        </w:object>
      </w:r>
      <w:r w:rsidR="0076542C" w:rsidRPr="003D5174">
        <w:t xml:space="preserve"> </w:t>
      </w:r>
      <w:r w:rsidR="00AD08CA" w:rsidRPr="003D5174">
        <w:t xml:space="preserve">denote actual and </w:t>
      </w:r>
      <w:r w:rsidR="00D76766" w:rsidRPr="003D5174">
        <w:t>predicted values and N be the total number of observations</w:t>
      </w:r>
    </w:p>
    <w:p w14:paraId="7E136B36" w14:textId="77777777" w:rsidR="00D76766" w:rsidRPr="003D5174" w:rsidRDefault="00D76766" w:rsidP="00027409">
      <w:pPr>
        <w:spacing w:after="0" w:line="360" w:lineRule="auto"/>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A lower MAPE value indicates higher forecasting accuracy and improved model efficiency.</w:t>
      </w:r>
    </w:p>
    <w:p w14:paraId="3BC9D745" w14:textId="77777777" w:rsidR="0076542C" w:rsidRPr="003D5174" w:rsidRDefault="0076542C" w:rsidP="00027409">
      <w:pPr>
        <w:spacing w:after="0" w:line="360" w:lineRule="auto"/>
        <w:rPr>
          <w:rFonts w:ascii="Times New Roman" w:eastAsia="Times New Roman" w:hAnsi="Times New Roman" w:cs="Times New Roman"/>
          <w:kern w:val="0"/>
          <w:lang w:eastAsia="en-IN"/>
          <w14:ligatures w14:val="none"/>
        </w:rPr>
      </w:pPr>
    </w:p>
    <w:p w14:paraId="50231D9A" w14:textId="32802E91" w:rsidR="00E61525" w:rsidRPr="009A443D" w:rsidRDefault="00651295" w:rsidP="00027409">
      <w:pPr>
        <w:pStyle w:val="NormalWeb"/>
        <w:numPr>
          <w:ilvl w:val="0"/>
          <w:numId w:val="13"/>
        </w:numPr>
        <w:spacing w:before="0" w:beforeAutospacing="0" w:after="0" w:afterAutospacing="0" w:line="360" w:lineRule="auto"/>
        <w:jc w:val="both"/>
        <w:rPr>
          <w:b/>
          <w:bCs/>
        </w:rPr>
      </w:pPr>
      <w:r w:rsidRPr="009A443D">
        <w:rPr>
          <w:b/>
          <w:bCs/>
        </w:rPr>
        <w:t>Results and Discussion</w:t>
      </w:r>
    </w:p>
    <w:p w14:paraId="25043100" w14:textId="77777777" w:rsidR="003F3480" w:rsidRPr="003D5174" w:rsidRDefault="00CC4BA6"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 xml:space="preserve">The wholesale monthly prices of cashew nut in Andhra Pradesh (Table 1) exhibit a mean of ₹13,020.63 and a median of ₹12,258.37, indicating a </w:t>
      </w:r>
      <w:r w:rsidRPr="003D5174">
        <w:rPr>
          <w:rFonts w:ascii="Times New Roman" w:eastAsia="Times New Roman" w:hAnsi="Times New Roman" w:cs="Times New Roman"/>
          <w:bCs/>
          <w:kern w:val="0"/>
          <w:lang w:eastAsia="en-IN"/>
          <w14:ligatures w14:val="none"/>
        </w:rPr>
        <w:t>positively skewed distribution</w:t>
      </w:r>
      <w:r w:rsidRPr="003D5174">
        <w:rPr>
          <w:rFonts w:ascii="Times New Roman" w:eastAsia="Times New Roman" w:hAnsi="Times New Roman" w:cs="Times New Roman"/>
          <w:kern w:val="0"/>
          <w:lang w:eastAsia="en-IN"/>
          <w14:ligatures w14:val="none"/>
        </w:rPr>
        <w:t xml:space="preserve"> (skewness = 1.50). The mode of ₹10,000, being lower than both the mean and median, further confirms the presence of intermittent higher price realizations during the study period. The standard deviation (₹3,533.87) and coefficient of variation (27.14%) reflect </w:t>
      </w:r>
      <w:r w:rsidRPr="003D5174">
        <w:rPr>
          <w:rFonts w:ascii="Times New Roman" w:eastAsia="Times New Roman" w:hAnsi="Times New Roman" w:cs="Times New Roman"/>
          <w:bCs/>
          <w:kern w:val="0"/>
          <w:lang w:eastAsia="en-IN"/>
          <w14:ligatures w14:val="none"/>
        </w:rPr>
        <w:t>moderate variability</w:t>
      </w:r>
      <w:r w:rsidRPr="003D5174">
        <w:rPr>
          <w:rFonts w:ascii="Times New Roman" w:eastAsia="Times New Roman" w:hAnsi="Times New Roman" w:cs="Times New Roman"/>
          <w:kern w:val="0"/>
          <w:lang w:eastAsia="en-IN"/>
          <w14:ligatures w14:val="none"/>
        </w:rPr>
        <w:t xml:space="preserve"> in prices over time. The observed price range (₹8,500–₹25,519) highlights considerable fluctuations in the market. The interquartile range of ₹3,229.64 (₹13,969.64–₹10,740) further indicates a moderate spread within the central 50 per cent of the distribution. The kurtosis value of 2.21 suggests a </w:t>
      </w:r>
      <w:r w:rsidRPr="003D5174">
        <w:rPr>
          <w:rFonts w:ascii="Times New Roman" w:eastAsia="Times New Roman" w:hAnsi="Times New Roman" w:cs="Times New Roman"/>
          <w:bCs/>
          <w:kern w:val="0"/>
          <w:lang w:eastAsia="en-IN"/>
          <w14:ligatures w14:val="none"/>
        </w:rPr>
        <w:t>platykurtic distribution</w:t>
      </w:r>
      <w:r w:rsidRPr="003D5174">
        <w:rPr>
          <w:rFonts w:ascii="Times New Roman" w:eastAsia="Times New Roman" w:hAnsi="Times New Roman" w:cs="Times New Roman"/>
          <w:kern w:val="0"/>
          <w:lang w:eastAsia="en-IN"/>
          <w14:ligatures w14:val="none"/>
        </w:rPr>
        <w:t>, implying a relatively flatter distribution with fewer extreme observations compared to a normal distribution. Overall, the results indicate that cashew nut prices are moderately volatile with episodic upward price spikes, reflecting underlying market instability during the study period.</w:t>
      </w:r>
    </w:p>
    <w:p w14:paraId="67450A29" w14:textId="2CD8A591" w:rsidR="00CC4BA6" w:rsidRPr="003D5174" w:rsidRDefault="00CC4BA6"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hAnsi="Times New Roman" w:cs="Times New Roman"/>
        </w:rPr>
        <w:t>Table 1: Summary statistics of cashew nut of monthly prices of Andhra Pradesh</w:t>
      </w:r>
    </w:p>
    <w:tbl>
      <w:tblPr>
        <w:tblStyle w:val="TableGrid"/>
        <w:tblW w:w="0" w:type="auto"/>
        <w:jc w:val="center"/>
        <w:tblLook w:val="04A0" w:firstRow="1" w:lastRow="0" w:firstColumn="1" w:lastColumn="0" w:noHBand="0" w:noVBand="1"/>
      </w:tblPr>
      <w:tblGrid>
        <w:gridCol w:w="1383"/>
        <w:gridCol w:w="1236"/>
      </w:tblGrid>
      <w:tr w:rsidR="00CC4BA6" w:rsidRPr="003D5174" w14:paraId="5029FC11" w14:textId="77777777" w:rsidTr="007A1B0B">
        <w:trPr>
          <w:trHeight w:val="562"/>
          <w:jc w:val="center"/>
        </w:trPr>
        <w:tc>
          <w:tcPr>
            <w:tcW w:w="1383" w:type="dxa"/>
          </w:tcPr>
          <w:p w14:paraId="5EA3C765"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Statistic</w:t>
            </w:r>
          </w:p>
        </w:tc>
        <w:tc>
          <w:tcPr>
            <w:tcW w:w="1236" w:type="dxa"/>
          </w:tcPr>
          <w:p w14:paraId="4C255B3C"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 xml:space="preserve"> Value </w:t>
            </w:r>
          </w:p>
        </w:tc>
      </w:tr>
      <w:tr w:rsidR="00CC4BA6" w:rsidRPr="003D5174" w14:paraId="0EC8AEDA" w14:textId="77777777" w:rsidTr="007A1B0B">
        <w:trPr>
          <w:jc w:val="center"/>
        </w:trPr>
        <w:tc>
          <w:tcPr>
            <w:tcW w:w="1383" w:type="dxa"/>
          </w:tcPr>
          <w:p w14:paraId="75B7E7E6"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 xml:space="preserve">Mean </w:t>
            </w:r>
          </w:p>
        </w:tc>
        <w:tc>
          <w:tcPr>
            <w:tcW w:w="1236" w:type="dxa"/>
          </w:tcPr>
          <w:p w14:paraId="2B484696"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13020.63</w:t>
            </w:r>
          </w:p>
        </w:tc>
      </w:tr>
      <w:tr w:rsidR="00CC4BA6" w:rsidRPr="003D5174" w14:paraId="4678FA8A" w14:textId="77777777" w:rsidTr="007A1B0B">
        <w:trPr>
          <w:jc w:val="center"/>
        </w:trPr>
        <w:tc>
          <w:tcPr>
            <w:tcW w:w="1383" w:type="dxa"/>
          </w:tcPr>
          <w:p w14:paraId="43E8AA2D"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Median</w:t>
            </w:r>
          </w:p>
        </w:tc>
        <w:tc>
          <w:tcPr>
            <w:tcW w:w="1236" w:type="dxa"/>
          </w:tcPr>
          <w:p w14:paraId="4FD5570A"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12258.37</w:t>
            </w:r>
          </w:p>
        </w:tc>
      </w:tr>
      <w:tr w:rsidR="00CC4BA6" w:rsidRPr="003D5174" w14:paraId="6C68EA63" w14:textId="77777777" w:rsidTr="007A1B0B">
        <w:trPr>
          <w:jc w:val="center"/>
        </w:trPr>
        <w:tc>
          <w:tcPr>
            <w:tcW w:w="1383" w:type="dxa"/>
          </w:tcPr>
          <w:p w14:paraId="2A306D28"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Mode</w:t>
            </w:r>
          </w:p>
        </w:tc>
        <w:tc>
          <w:tcPr>
            <w:tcW w:w="1236" w:type="dxa"/>
          </w:tcPr>
          <w:p w14:paraId="1ED85606"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10000</w:t>
            </w:r>
          </w:p>
        </w:tc>
      </w:tr>
      <w:tr w:rsidR="00CC4BA6" w:rsidRPr="003D5174" w14:paraId="34B30493" w14:textId="77777777" w:rsidTr="007A1B0B">
        <w:trPr>
          <w:jc w:val="center"/>
        </w:trPr>
        <w:tc>
          <w:tcPr>
            <w:tcW w:w="1383" w:type="dxa"/>
          </w:tcPr>
          <w:p w14:paraId="0FF4B960"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S.D.</w:t>
            </w:r>
          </w:p>
        </w:tc>
        <w:tc>
          <w:tcPr>
            <w:tcW w:w="1236" w:type="dxa"/>
          </w:tcPr>
          <w:p w14:paraId="3A785072"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3533.87</w:t>
            </w:r>
          </w:p>
        </w:tc>
      </w:tr>
      <w:tr w:rsidR="00CC4BA6" w:rsidRPr="003D5174" w14:paraId="0DD43E45" w14:textId="77777777" w:rsidTr="007A1B0B">
        <w:trPr>
          <w:jc w:val="center"/>
        </w:trPr>
        <w:tc>
          <w:tcPr>
            <w:tcW w:w="1383" w:type="dxa"/>
          </w:tcPr>
          <w:p w14:paraId="52C3491A"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Skewness</w:t>
            </w:r>
          </w:p>
        </w:tc>
        <w:tc>
          <w:tcPr>
            <w:tcW w:w="1236" w:type="dxa"/>
          </w:tcPr>
          <w:p w14:paraId="28D85226"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1.5</w:t>
            </w:r>
          </w:p>
        </w:tc>
      </w:tr>
      <w:tr w:rsidR="00CC4BA6" w:rsidRPr="003D5174" w14:paraId="4C39108F" w14:textId="77777777" w:rsidTr="007A1B0B">
        <w:trPr>
          <w:jc w:val="center"/>
        </w:trPr>
        <w:tc>
          <w:tcPr>
            <w:tcW w:w="1383" w:type="dxa"/>
          </w:tcPr>
          <w:p w14:paraId="226594F7"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Kurtosis</w:t>
            </w:r>
          </w:p>
        </w:tc>
        <w:tc>
          <w:tcPr>
            <w:tcW w:w="1236" w:type="dxa"/>
          </w:tcPr>
          <w:p w14:paraId="2E108E8A"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2.21</w:t>
            </w:r>
          </w:p>
        </w:tc>
      </w:tr>
      <w:tr w:rsidR="00CC4BA6" w:rsidRPr="003D5174" w14:paraId="0494452C" w14:textId="77777777" w:rsidTr="007A1B0B">
        <w:trPr>
          <w:jc w:val="center"/>
        </w:trPr>
        <w:tc>
          <w:tcPr>
            <w:tcW w:w="1383" w:type="dxa"/>
          </w:tcPr>
          <w:p w14:paraId="443D2247"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Minimum</w:t>
            </w:r>
          </w:p>
        </w:tc>
        <w:tc>
          <w:tcPr>
            <w:tcW w:w="1236" w:type="dxa"/>
          </w:tcPr>
          <w:p w14:paraId="7858DFF2"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8500</w:t>
            </w:r>
          </w:p>
        </w:tc>
      </w:tr>
      <w:tr w:rsidR="00CC4BA6" w:rsidRPr="003D5174" w14:paraId="62E253CE" w14:textId="77777777" w:rsidTr="007A1B0B">
        <w:trPr>
          <w:jc w:val="center"/>
        </w:trPr>
        <w:tc>
          <w:tcPr>
            <w:tcW w:w="1383" w:type="dxa"/>
          </w:tcPr>
          <w:p w14:paraId="472E5F02"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lastRenderedPageBreak/>
              <w:t>Maximum</w:t>
            </w:r>
          </w:p>
        </w:tc>
        <w:tc>
          <w:tcPr>
            <w:tcW w:w="1236" w:type="dxa"/>
          </w:tcPr>
          <w:p w14:paraId="58FFA824"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25519</w:t>
            </w:r>
          </w:p>
        </w:tc>
      </w:tr>
      <w:tr w:rsidR="00CC4BA6" w:rsidRPr="003D5174" w14:paraId="3AF71911" w14:textId="77777777" w:rsidTr="007A1B0B">
        <w:trPr>
          <w:jc w:val="center"/>
        </w:trPr>
        <w:tc>
          <w:tcPr>
            <w:tcW w:w="1383" w:type="dxa"/>
          </w:tcPr>
          <w:p w14:paraId="1FB5E0CD"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1</w:t>
            </w:r>
            <w:r w:rsidRPr="003D5174">
              <w:rPr>
                <w:rFonts w:ascii="Times New Roman" w:hAnsi="Times New Roman" w:cs="Times New Roman"/>
                <w:vertAlign w:val="superscript"/>
              </w:rPr>
              <w:t>st</w:t>
            </w:r>
            <w:r w:rsidRPr="003D5174">
              <w:rPr>
                <w:rFonts w:ascii="Times New Roman" w:hAnsi="Times New Roman" w:cs="Times New Roman"/>
              </w:rPr>
              <w:t xml:space="preserve"> quartile</w:t>
            </w:r>
          </w:p>
        </w:tc>
        <w:tc>
          <w:tcPr>
            <w:tcW w:w="1236" w:type="dxa"/>
          </w:tcPr>
          <w:p w14:paraId="1F7DDF95"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10740</w:t>
            </w:r>
          </w:p>
        </w:tc>
      </w:tr>
      <w:tr w:rsidR="00CC4BA6" w:rsidRPr="003D5174" w14:paraId="7B92FFC2" w14:textId="77777777" w:rsidTr="007A1B0B">
        <w:trPr>
          <w:jc w:val="center"/>
        </w:trPr>
        <w:tc>
          <w:tcPr>
            <w:tcW w:w="1383" w:type="dxa"/>
          </w:tcPr>
          <w:p w14:paraId="34897506"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3</w:t>
            </w:r>
            <w:r w:rsidRPr="003D5174">
              <w:rPr>
                <w:rFonts w:ascii="Times New Roman" w:hAnsi="Times New Roman" w:cs="Times New Roman"/>
                <w:vertAlign w:val="superscript"/>
              </w:rPr>
              <w:t>rd</w:t>
            </w:r>
            <w:r w:rsidRPr="003D5174">
              <w:rPr>
                <w:rFonts w:ascii="Times New Roman" w:hAnsi="Times New Roman" w:cs="Times New Roman"/>
              </w:rPr>
              <w:t xml:space="preserve"> quartile</w:t>
            </w:r>
          </w:p>
        </w:tc>
        <w:tc>
          <w:tcPr>
            <w:tcW w:w="1236" w:type="dxa"/>
          </w:tcPr>
          <w:p w14:paraId="185B2479"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13969.64</w:t>
            </w:r>
          </w:p>
        </w:tc>
      </w:tr>
      <w:tr w:rsidR="00CC4BA6" w:rsidRPr="003D5174" w14:paraId="77BCDF30" w14:textId="77777777" w:rsidTr="007A1B0B">
        <w:trPr>
          <w:jc w:val="center"/>
        </w:trPr>
        <w:tc>
          <w:tcPr>
            <w:tcW w:w="1383" w:type="dxa"/>
          </w:tcPr>
          <w:p w14:paraId="516AB275"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 xml:space="preserve">C.V </w:t>
            </w:r>
          </w:p>
        </w:tc>
        <w:tc>
          <w:tcPr>
            <w:tcW w:w="1236" w:type="dxa"/>
          </w:tcPr>
          <w:p w14:paraId="054D0B73" w14:textId="77777777" w:rsidR="00CC4BA6" w:rsidRPr="003D5174" w:rsidRDefault="00CC4BA6"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27.14%</w:t>
            </w:r>
          </w:p>
        </w:tc>
      </w:tr>
    </w:tbl>
    <w:p w14:paraId="4190B18B" w14:textId="77777777" w:rsidR="009112AD" w:rsidRPr="003D5174" w:rsidRDefault="009112AD"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 xml:space="preserve">In this study, multiple modelling approaches were employed to better capture the underlying structure of cashew nut price data and enhance forecasting accuracy. The analysis commenced with an ARIMA model, where the </w:t>
      </w:r>
      <w:proofErr w:type="spellStart"/>
      <w:proofErr w:type="gramStart"/>
      <w:r w:rsidRPr="003D5174">
        <w:rPr>
          <w:rFonts w:ascii="Courier New" w:eastAsia="Times New Roman" w:hAnsi="Courier New" w:cs="Courier New"/>
          <w:kern w:val="0"/>
          <w:lang w:eastAsia="en-IN"/>
          <w14:ligatures w14:val="none"/>
        </w:rPr>
        <w:t>auto.arima</w:t>
      </w:r>
      <w:proofErr w:type="spellEnd"/>
      <w:proofErr w:type="gramEnd"/>
      <w:r w:rsidRPr="003D5174">
        <w:rPr>
          <w:rFonts w:ascii="Courier New" w:eastAsia="Times New Roman" w:hAnsi="Courier New" w:cs="Courier New"/>
          <w:kern w:val="0"/>
          <w:lang w:eastAsia="en-IN"/>
          <w14:ligatures w14:val="none"/>
        </w:rPr>
        <w:t>()</w:t>
      </w:r>
      <w:r w:rsidRPr="003D5174">
        <w:rPr>
          <w:rFonts w:ascii="Times New Roman" w:eastAsia="Times New Roman" w:hAnsi="Times New Roman" w:cs="Times New Roman"/>
          <w:kern w:val="0"/>
          <w:lang w:eastAsia="en-IN"/>
          <w14:ligatures w14:val="none"/>
        </w:rPr>
        <w:t xml:space="preserve"> function in R identified ARIMA (0,1,5) as the optimal specification based on the minimum Akaike Information Criterion (AIC). Diagnostic evaluation using the Box–Pierce test indicated that the residuals were free from autocorrelation, suggesting that the model adequately captured the linear dependence structure of the series. However, the BDS test provided evidence of non-linearity in the residuals, implying that the ARIMA model alone was insufficient to fully represent the underlying data-generating process.</w:t>
      </w:r>
    </w:p>
    <w:p w14:paraId="66F7F7F6" w14:textId="1E66D640" w:rsidR="009112AD" w:rsidRPr="003D5174" w:rsidRDefault="009112AD"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 xml:space="preserve">To address this limitation, </w:t>
      </w:r>
      <w:r w:rsidR="00C1471E" w:rsidRPr="003D5174">
        <w:rPr>
          <w:rFonts w:ascii="Times New Roman" w:eastAsia="Times New Roman" w:hAnsi="Times New Roman" w:cs="Times New Roman"/>
          <w:kern w:val="0"/>
          <w:lang w:eastAsia="en-IN"/>
          <w14:ligatures w14:val="none"/>
        </w:rPr>
        <w:t>SVR</w:t>
      </w:r>
      <w:r w:rsidRPr="003D5174">
        <w:rPr>
          <w:rFonts w:ascii="Times New Roman" w:eastAsia="Times New Roman" w:hAnsi="Times New Roman" w:cs="Times New Roman"/>
          <w:kern w:val="0"/>
          <w:lang w:eastAsia="en-IN"/>
          <w14:ligatures w14:val="none"/>
        </w:rPr>
        <w:t xml:space="preserve"> model was developed. The model was optimized with a cost parameter of 7, gamma of 0.6, and epsilon of 0.01. These </w:t>
      </w:r>
      <w:r w:rsidR="003067B4" w:rsidRPr="003D5174">
        <w:rPr>
          <w:rFonts w:ascii="Times New Roman" w:eastAsia="Times New Roman" w:hAnsi="Times New Roman" w:cs="Times New Roman"/>
          <w:kern w:val="0"/>
          <w:lang w:eastAsia="en-IN"/>
          <w14:ligatures w14:val="none"/>
        </w:rPr>
        <w:t>hyper parameters</w:t>
      </w:r>
      <w:r w:rsidRPr="003D5174">
        <w:rPr>
          <w:rFonts w:ascii="Times New Roman" w:eastAsia="Times New Roman" w:hAnsi="Times New Roman" w:cs="Times New Roman"/>
          <w:kern w:val="0"/>
          <w:lang w:eastAsia="en-IN"/>
          <w14:ligatures w14:val="none"/>
        </w:rPr>
        <w:t xml:space="preserve"> were selected to achieve an appropriate balance between model flexibility and generalization performance, thereby improving predictive accuracy while mitigating the risk of </w:t>
      </w:r>
      <w:r w:rsidR="003067B4" w:rsidRPr="003D5174">
        <w:rPr>
          <w:rFonts w:ascii="Times New Roman" w:eastAsia="Times New Roman" w:hAnsi="Times New Roman" w:cs="Times New Roman"/>
          <w:kern w:val="0"/>
          <w:lang w:eastAsia="en-IN"/>
          <w14:ligatures w14:val="none"/>
        </w:rPr>
        <w:t>over fitting</w:t>
      </w:r>
      <w:r w:rsidRPr="003D5174">
        <w:rPr>
          <w:rFonts w:ascii="Times New Roman" w:eastAsia="Times New Roman" w:hAnsi="Times New Roman" w:cs="Times New Roman"/>
          <w:kern w:val="0"/>
          <w:lang w:eastAsia="en-IN"/>
          <w14:ligatures w14:val="none"/>
        </w:rPr>
        <w:t>.</w:t>
      </w:r>
    </w:p>
    <w:p w14:paraId="7AD46C3C" w14:textId="6A360AF9" w:rsidR="008B0C23" w:rsidRPr="003D5174" w:rsidRDefault="009112AD"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Subsequently, a hybrid ARIMA–SVR model was constructed to integrate the linear modelling capabilities of ARIMA with the non-linear learning strengths of SVR. This hybrid framework was designed to more effectively capture both linear and non-linear components of the time series.</w:t>
      </w:r>
    </w:p>
    <w:p w14:paraId="10D25E58" w14:textId="64E6B591" w:rsidR="008B0C23" w:rsidRPr="003D5174" w:rsidRDefault="008B0C23"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Model performance was assessed using RMSE and MAPE, as summari</w:t>
      </w:r>
      <w:r w:rsidR="00391663" w:rsidRPr="003D5174">
        <w:rPr>
          <w:rFonts w:ascii="Times New Roman" w:eastAsia="Times New Roman" w:hAnsi="Times New Roman" w:cs="Times New Roman"/>
          <w:kern w:val="0"/>
          <w:lang w:eastAsia="en-IN"/>
          <w14:ligatures w14:val="none"/>
        </w:rPr>
        <w:t>s</w:t>
      </w:r>
      <w:r w:rsidRPr="003D5174">
        <w:rPr>
          <w:rFonts w:ascii="Times New Roman" w:eastAsia="Times New Roman" w:hAnsi="Times New Roman" w:cs="Times New Roman"/>
          <w:kern w:val="0"/>
          <w:lang w:eastAsia="en-IN"/>
          <w14:ligatures w14:val="none"/>
        </w:rPr>
        <w:t>ed in Table 2.</w:t>
      </w:r>
    </w:p>
    <w:p w14:paraId="50313B5E" w14:textId="07959719" w:rsidR="008B0C23" w:rsidRPr="003D5174" w:rsidRDefault="008B0C23"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 xml:space="preserve"> </w:t>
      </w:r>
    </w:p>
    <w:tbl>
      <w:tblPr>
        <w:tblStyle w:val="TableGrid"/>
        <w:tblpPr w:leftFromText="180" w:rightFromText="180" w:vertAnchor="text" w:horzAnchor="margin" w:tblpY="710"/>
        <w:tblW w:w="5120" w:type="pct"/>
        <w:tblLayout w:type="fixed"/>
        <w:tblLook w:val="04A0" w:firstRow="1" w:lastRow="0" w:firstColumn="1" w:lastColumn="0" w:noHBand="0" w:noVBand="1"/>
      </w:tblPr>
      <w:tblGrid>
        <w:gridCol w:w="1839"/>
        <w:gridCol w:w="1238"/>
        <w:gridCol w:w="1238"/>
        <w:gridCol w:w="1613"/>
        <w:gridCol w:w="1353"/>
        <w:gridCol w:w="1049"/>
        <w:gridCol w:w="1134"/>
      </w:tblGrid>
      <w:tr w:rsidR="00027409" w:rsidRPr="003D5174" w14:paraId="4ED9C10E" w14:textId="315FB0DA" w:rsidTr="00027409">
        <w:trPr>
          <w:trHeight w:val="201"/>
        </w:trPr>
        <w:tc>
          <w:tcPr>
            <w:tcW w:w="972" w:type="pct"/>
            <w:vMerge w:val="restart"/>
            <w:vAlign w:val="center"/>
          </w:tcPr>
          <w:p w14:paraId="2955B2DF" w14:textId="77777777" w:rsidR="00027409" w:rsidRPr="003D5174" w:rsidRDefault="00027409" w:rsidP="00027409">
            <w:pPr>
              <w:tabs>
                <w:tab w:val="left" w:pos="720"/>
              </w:tabs>
              <w:spacing w:before="60" w:after="60" w:line="360" w:lineRule="auto"/>
              <w:ind w:left="-120"/>
              <w:jc w:val="center"/>
              <w:rPr>
                <w:rFonts w:ascii="Times New Roman" w:hAnsi="Times New Roman" w:cs="Times New Roman"/>
                <w:b/>
              </w:rPr>
            </w:pPr>
            <w:r w:rsidRPr="003D5174">
              <w:rPr>
                <w:rFonts w:ascii="Times New Roman" w:hAnsi="Times New Roman" w:cs="Times New Roman"/>
                <w:b/>
              </w:rPr>
              <w:t>Models</w:t>
            </w:r>
          </w:p>
        </w:tc>
        <w:tc>
          <w:tcPr>
            <w:tcW w:w="1308" w:type="pct"/>
            <w:gridSpan w:val="2"/>
            <w:vAlign w:val="center"/>
          </w:tcPr>
          <w:p w14:paraId="57BBEF86" w14:textId="77777777" w:rsidR="00027409" w:rsidRPr="003D5174" w:rsidRDefault="00027409" w:rsidP="00027409">
            <w:pPr>
              <w:tabs>
                <w:tab w:val="left" w:pos="720"/>
              </w:tabs>
              <w:spacing w:before="60" w:after="60" w:line="360" w:lineRule="auto"/>
              <w:jc w:val="center"/>
              <w:rPr>
                <w:rFonts w:ascii="Times New Roman" w:hAnsi="Times New Roman" w:cs="Times New Roman"/>
                <w:b/>
              </w:rPr>
            </w:pPr>
            <w:r w:rsidRPr="003D5174">
              <w:rPr>
                <w:rFonts w:ascii="Times New Roman" w:hAnsi="Times New Roman" w:cs="Times New Roman"/>
                <w:b/>
              </w:rPr>
              <w:t>RMSE</w:t>
            </w:r>
          </w:p>
        </w:tc>
        <w:tc>
          <w:tcPr>
            <w:tcW w:w="1567" w:type="pct"/>
            <w:gridSpan w:val="2"/>
            <w:vAlign w:val="center"/>
          </w:tcPr>
          <w:p w14:paraId="5FE0D1B4" w14:textId="77777777" w:rsidR="00027409" w:rsidRPr="003D5174" w:rsidRDefault="00027409" w:rsidP="00027409">
            <w:pPr>
              <w:tabs>
                <w:tab w:val="left" w:pos="720"/>
              </w:tabs>
              <w:spacing w:before="60" w:after="60" w:line="360" w:lineRule="auto"/>
              <w:jc w:val="center"/>
              <w:rPr>
                <w:rFonts w:ascii="Times New Roman" w:hAnsi="Times New Roman" w:cs="Times New Roman"/>
                <w:b/>
              </w:rPr>
            </w:pPr>
            <w:r w:rsidRPr="003D5174">
              <w:rPr>
                <w:rFonts w:ascii="Times New Roman" w:hAnsi="Times New Roman" w:cs="Times New Roman"/>
                <w:b/>
              </w:rPr>
              <w:t>MAPE</w:t>
            </w:r>
          </w:p>
        </w:tc>
        <w:tc>
          <w:tcPr>
            <w:tcW w:w="1153" w:type="pct"/>
            <w:gridSpan w:val="2"/>
          </w:tcPr>
          <w:p w14:paraId="3F106394" w14:textId="7D2AFC02" w:rsidR="00027409" w:rsidRPr="003D5174" w:rsidRDefault="00F72131" w:rsidP="00027409">
            <w:pPr>
              <w:tabs>
                <w:tab w:val="left" w:pos="720"/>
              </w:tabs>
              <w:spacing w:before="60" w:after="60" w:line="360" w:lineRule="auto"/>
              <w:jc w:val="center"/>
              <w:rPr>
                <w:rFonts w:ascii="Times New Roman" w:hAnsi="Times New Roman" w:cs="Times New Roman"/>
                <w:b/>
              </w:rPr>
            </w:pPr>
            <w:r w:rsidRPr="003D5174">
              <w:rPr>
                <w:rFonts w:ascii="Times New Roman" w:hAnsi="Times New Roman" w:cs="Times New Roman"/>
                <w:b/>
              </w:rPr>
              <w:t>MAE</w:t>
            </w:r>
          </w:p>
        </w:tc>
      </w:tr>
      <w:tr w:rsidR="00027409" w:rsidRPr="003D5174" w14:paraId="77D1FFB4" w14:textId="72C8EA12" w:rsidTr="00027409">
        <w:trPr>
          <w:trHeight w:val="200"/>
        </w:trPr>
        <w:tc>
          <w:tcPr>
            <w:tcW w:w="972" w:type="pct"/>
            <w:vMerge/>
            <w:vAlign w:val="center"/>
          </w:tcPr>
          <w:p w14:paraId="12D007B0" w14:textId="77777777" w:rsidR="00027409" w:rsidRPr="003D5174" w:rsidRDefault="00027409" w:rsidP="00027409">
            <w:pPr>
              <w:tabs>
                <w:tab w:val="left" w:pos="720"/>
              </w:tabs>
              <w:spacing w:before="60" w:after="60" w:line="360" w:lineRule="auto"/>
              <w:jc w:val="center"/>
              <w:rPr>
                <w:rFonts w:ascii="Times New Roman" w:hAnsi="Times New Roman" w:cs="Times New Roman"/>
                <w:b/>
              </w:rPr>
            </w:pPr>
          </w:p>
        </w:tc>
        <w:tc>
          <w:tcPr>
            <w:tcW w:w="654" w:type="pct"/>
            <w:vAlign w:val="center"/>
          </w:tcPr>
          <w:p w14:paraId="51C396FF" w14:textId="77777777" w:rsidR="00027409" w:rsidRPr="003D5174" w:rsidRDefault="00027409" w:rsidP="00027409">
            <w:pPr>
              <w:tabs>
                <w:tab w:val="left" w:pos="720"/>
              </w:tabs>
              <w:spacing w:before="60" w:after="60" w:line="360" w:lineRule="auto"/>
              <w:jc w:val="center"/>
              <w:rPr>
                <w:rFonts w:ascii="Times New Roman" w:hAnsi="Times New Roman" w:cs="Times New Roman"/>
                <w:b/>
              </w:rPr>
            </w:pPr>
            <w:r w:rsidRPr="003D5174">
              <w:rPr>
                <w:rFonts w:ascii="Times New Roman" w:hAnsi="Times New Roman" w:cs="Times New Roman"/>
                <w:b/>
              </w:rPr>
              <w:t>Train</w:t>
            </w:r>
          </w:p>
        </w:tc>
        <w:tc>
          <w:tcPr>
            <w:tcW w:w="654" w:type="pct"/>
            <w:vAlign w:val="center"/>
          </w:tcPr>
          <w:p w14:paraId="578486FB" w14:textId="77777777" w:rsidR="00027409" w:rsidRPr="003D5174" w:rsidRDefault="00027409" w:rsidP="00027409">
            <w:pPr>
              <w:tabs>
                <w:tab w:val="left" w:pos="720"/>
              </w:tabs>
              <w:spacing w:before="60" w:after="60" w:line="360" w:lineRule="auto"/>
              <w:jc w:val="center"/>
              <w:rPr>
                <w:rFonts w:ascii="Times New Roman" w:hAnsi="Times New Roman" w:cs="Times New Roman"/>
                <w:b/>
              </w:rPr>
            </w:pPr>
            <w:r w:rsidRPr="003D5174">
              <w:rPr>
                <w:rFonts w:ascii="Times New Roman" w:hAnsi="Times New Roman" w:cs="Times New Roman"/>
                <w:b/>
              </w:rPr>
              <w:t>Test</w:t>
            </w:r>
          </w:p>
        </w:tc>
        <w:tc>
          <w:tcPr>
            <w:tcW w:w="852" w:type="pct"/>
            <w:vAlign w:val="center"/>
          </w:tcPr>
          <w:p w14:paraId="123B3CEE" w14:textId="77777777" w:rsidR="00027409" w:rsidRPr="003D5174" w:rsidRDefault="00027409" w:rsidP="00027409">
            <w:pPr>
              <w:tabs>
                <w:tab w:val="left" w:pos="720"/>
              </w:tabs>
              <w:spacing w:before="60" w:after="60" w:line="360" w:lineRule="auto"/>
              <w:jc w:val="center"/>
              <w:rPr>
                <w:rFonts w:ascii="Times New Roman" w:hAnsi="Times New Roman" w:cs="Times New Roman"/>
                <w:b/>
              </w:rPr>
            </w:pPr>
            <w:r w:rsidRPr="003D5174">
              <w:rPr>
                <w:rFonts w:ascii="Times New Roman" w:hAnsi="Times New Roman" w:cs="Times New Roman"/>
                <w:b/>
              </w:rPr>
              <w:t>Train</w:t>
            </w:r>
          </w:p>
        </w:tc>
        <w:tc>
          <w:tcPr>
            <w:tcW w:w="715" w:type="pct"/>
            <w:vAlign w:val="center"/>
          </w:tcPr>
          <w:p w14:paraId="059D1F9A" w14:textId="77777777" w:rsidR="00027409" w:rsidRPr="003D5174" w:rsidRDefault="00027409" w:rsidP="00027409">
            <w:pPr>
              <w:tabs>
                <w:tab w:val="left" w:pos="720"/>
              </w:tabs>
              <w:spacing w:before="60" w:after="60" w:line="360" w:lineRule="auto"/>
              <w:jc w:val="center"/>
              <w:rPr>
                <w:rFonts w:ascii="Times New Roman" w:hAnsi="Times New Roman" w:cs="Times New Roman"/>
                <w:b/>
              </w:rPr>
            </w:pPr>
            <w:r w:rsidRPr="003D5174">
              <w:rPr>
                <w:rFonts w:ascii="Times New Roman" w:hAnsi="Times New Roman" w:cs="Times New Roman"/>
                <w:b/>
              </w:rPr>
              <w:t>Test</w:t>
            </w:r>
          </w:p>
        </w:tc>
        <w:tc>
          <w:tcPr>
            <w:tcW w:w="554" w:type="pct"/>
          </w:tcPr>
          <w:p w14:paraId="3CF7DFBA" w14:textId="798A3E9E" w:rsidR="00027409" w:rsidRPr="003D5174" w:rsidRDefault="00D767DB" w:rsidP="00027409">
            <w:pPr>
              <w:tabs>
                <w:tab w:val="left" w:pos="720"/>
              </w:tabs>
              <w:spacing w:before="60" w:after="60" w:line="360" w:lineRule="auto"/>
              <w:jc w:val="center"/>
              <w:rPr>
                <w:rFonts w:ascii="Times New Roman" w:hAnsi="Times New Roman" w:cs="Times New Roman"/>
                <w:b/>
              </w:rPr>
            </w:pPr>
            <w:r w:rsidRPr="003D5174">
              <w:rPr>
                <w:rFonts w:ascii="Times New Roman" w:hAnsi="Times New Roman" w:cs="Times New Roman"/>
                <w:b/>
              </w:rPr>
              <w:t>Train</w:t>
            </w:r>
          </w:p>
        </w:tc>
        <w:tc>
          <w:tcPr>
            <w:tcW w:w="599" w:type="pct"/>
          </w:tcPr>
          <w:p w14:paraId="20C8B56B" w14:textId="408051EC" w:rsidR="00027409" w:rsidRPr="003D5174" w:rsidRDefault="00D767DB" w:rsidP="00027409">
            <w:pPr>
              <w:tabs>
                <w:tab w:val="left" w:pos="720"/>
              </w:tabs>
              <w:spacing w:before="60" w:after="60" w:line="360" w:lineRule="auto"/>
              <w:jc w:val="center"/>
              <w:rPr>
                <w:rFonts w:ascii="Times New Roman" w:hAnsi="Times New Roman" w:cs="Times New Roman"/>
                <w:b/>
              </w:rPr>
            </w:pPr>
            <w:r w:rsidRPr="003D5174">
              <w:rPr>
                <w:rFonts w:ascii="Times New Roman" w:hAnsi="Times New Roman" w:cs="Times New Roman"/>
                <w:b/>
              </w:rPr>
              <w:t>test</w:t>
            </w:r>
          </w:p>
        </w:tc>
      </w:tr>
      <w:tr w:rsidR="00027409" w:rsidRPr="003D5174" w14:paraId="47F34E13" w14:textId="4EE48D88" w:rsidTr="00027409">
        <w:trPr>
          <w:trHeight w:val="434"/>
        </w:trPr>
        <w:tc>
          <w:tcPr>
            <w:tcW w:w="972" w:type="pct"/>
            <w:vAlign w:val="center"/>
          </w:tcPr>
          <w:p w14:paraId="4E4B9566" w14:textId="77777777"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eastAsia="Times New Roman" w:hAnsi="Times New Roman" w:cs="Times New Roman"/>
                <w:color w:val="000000"/>
                <w:kern w:val="0"/>
                <w:lang w:eastAsia="en-IN"/>
                <w14:ligatures w14:val="none"/>
              </w:rPr>
              <w:t xml:space="preserve">ARIMA </w:t>
            </w:r>
            <w:r w:rsidRPr="003D5174">
              <w:rPr>
                <w:rFonts w:ascii="Times New Roman" w:hAnsi="Times New Roman" w:cs="Times New Roman"/>
              </w:rPr>
              <w:t>(0,1,5)</w:t>
            </w:r>
          </w:p>
        </w:tc>
        <w:tc>
          <w:tcPr>
            <w:tcW w:w="654" w:type="pct"/>
            <w:vAlign w:val="center"/>
          </w:tcPr>
          <w:p w14:paraId="44AF5161" w14:textId="4A0BD26B"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1874.4</w:t>
            </w:r>
            <w:r w:rsidR="00D767DB" w:rsidRPr="003D5174">
              <w:rPr>
                <w:rFonts w:ascii="Times New Roman" w:hAnsi="Times New Roman" w:cs="Times New Roman"/>
              </w:rPr>
              <w:t>5</w:t>
            </w:r>
          </w:p>
        </w:tc>
        <w:tc>
          <w:tcPr>
            <w:tcW w:w="654" w:type="pct"/>
            <w:vAlign w:val="center"/>
          </w:tcPr>
          <w:p w14:paraId="14D1E296" w14:textId="6CA425B3"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2536.</w:t>
            </w:r>
            <w:r w:rsidR="00D767DB" w:rsidRPr="003D5174">
              <w:rPr>
                <w:rFonts w:ascii="Times New Roman" w:hAnsi="Times New Roman" w:cs="Times New Roman"/>
              </w:rPr>
              <w:t>30</w:t>
            </w:r>
          </w:p>
        </w:tc>
        <w:tc>
          <w:tcPr>
            <w:tcW w:w="852" w:type="pct"/>
            <w:vAlign w:val="center"/>
          </w:tcPr>
          <w:p w14:paraId="52EE60FE" w14:textId="132EDF18"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0.08</w:t>
            </w:r>
            <w:r w:rsidR="00D767DB" w:rsidRPr="003D5174">
              <w:rPr>
                <w:rFonts w:ascii="Times New Roman" w:hAnsi="Times New Roman" w:cs="Times New Roman"/>
              </w:rPr>
              <w:t>36</w:t>
            </w:r>
          </w:p>
        </w:tc>
        <w:tc>
          <w:tcPr>
            <w:tcW w:w="715" w:type="pct"/>
            <w:vAlign w:val="center"/>
          </w:tcPr>
          <w:p w14:paraId="1E0BDB93" w14:textId="77777777"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0.1628</w:t>
            </w:r>
          </w:p>
        </w:tc>
        <w:tc>
          <w:tcPr>
            <w:tcW w:w="554" w:type="pct"/>
          </w:tcPr>
          <w:p w14:paraId="413D753C" w14:textId="25250970" w:rsidR="00027409" w:rsidRPr="003D5174" w:rsidRDefault="00D767DB"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1122.23</w:t>
            </w:r>
          </w:p>
        </w:tc>
        <w:tc>
          <w:tcPr>
            <w:tcW w:w="599" w:type="pct"/>
          </w:tcPr>
          <w:p w14:paraId="31167512" w14:textId="42479DF8" w:rsidR="00027409" w:rsidRPr="003D5174" w:rsidRDefault="00D767DB"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2205.12</w:t>
            </w:r>
          </w:p>
        </w:tc>
      </w:tr>
      <w:tr w:rsidR="00027409" w:rsidRPr="003D5174" w14:paraId="790DF7CF" w14:textId="45960523" w:rsidTr="00027409">
        <w:trPr>
          <w:trHeight w:val="338"/>
        </w:trPr>
        <w:tc>
          <w:tcPr>
            <w:tcW w:w="972" w:type="pct"/>
            <w:vAlign w:val="center"/>
          </w:tcPr>
          <w:p w14:paraId="5C07072B" w14:textId="77777777"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SVR</w:t>
            </w:r>
          </w:p>
        </w:tc>
        <w:tc>
          <w:tcPr>
            <w:tcW w:w="654" w:type="pct"/>
            <w:vAlign w:val="center"/>
          </w:tcPr>
          <w:p w14:paraId="14AAD56A" w14:textId="5DB965C6"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25.6</w:t>
            </w:r>
            <w:r w:rsidR="00D767DB" w:rsidRPr="003D5174">
              <w:rPr>
                <w:rFonts w:ascii="Times New Roman" w:hAnsi="Times New Roman" w:cs="Times New Roman"/>
              </w:rPr>
              <w:t>5</w:t>
            </w:r>
          </w:p>
        </w:tc>
        <w:tc>
          <w:tcPr>
            <w:tcW w:w="654" w:type="pct"/>
            <w:vAlign w:val="center"/>
          </w:tcPr>
          <w:p w14:paraId="78CA0059" w14:textId="7683435C"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24.</w:t>
            </w:r>
            <w:r w:rsidR="00D767DB" w:rsidRPr="003D5174">
              <w:rPr>
                <w:rFonts w:ascii="Times New Roman" w:hAnsi="Times New Roman" w:cs="Times New Roman"/>
              </w:rPr>
              <w:t>10</w:t>
            </w:r>
          </w:p>
        </w:tc>
        <w:tc>
          <w:tcPr>
            <w:tcW w:w="852" w:type="pct"/>
            <w:vAlign w:val="center"/>
          </w:tcPr>
          <w:p w14:paraId="787C430D" w14:textId="77777777"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0.0019</w:t>
            </w:r>
          </w:p>
        </w:tc>
        <w:tc>
          <w:tcPr>
            <w:tcW w:w="715" w:type="pct"/>
            <w:vAlign w:val="center"/>
          </w:tcPr>
          <w:p w14:paraId="52253924" w14:textId="77777777"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0.0016</w:t>
            </w:r>
          </w:p>
        </w:tc>
        <w:tc>
          <w:tcPr>
            <w:tcW w:w="554" w:type="pct"/>
          </w:tcPr>
          <w:p w14:paraId="124186AB" w14:textId="3AA0FCAB" w:rsidR="00027409" w:rsidRPr="003D5174" w:rsidRDefault="00D767DB"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22.23</w:t>
            </w:r>
          </w:p>
        </w:tc>
        <w:tc>
          <w:tcPr>
            <w:tcW w:w="599" w:type="pct"/>
          </w:tcPr>
          <w:p w14:paraId="274FE223" w14:textId="2DB02150" w:rsidR="00027409" w:rsidRPr="003D5174" w:rsidRDefault="00D767DB"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22.18</w:t>
            </w:r>
          </w:p>
        </w:tc>
      </w:tr>
      <w:tr w:rsidR="00027409" w:rsidRPr="003D5174" w14:paraId="5EEE80F7" w14:textId="3EA32B10" w:rsidTr="00027409">
        <w:trPr>
          <w:trHeight w:val="63"/>
        </w:trPr>
        <w:tc>
          <w:tcPr>
            <w:tcW w:w="972" w:type="pct"/>
            <w:vAlign w:val="center"/>
          </w:tcPr>
          <w:p w14:paraId="27E8C952" w14:textId="77777777"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ARIMA+SVR</w:t>
            </w:r>
          </w:p>
        </w:tc>
        <w:tc>
          <w:tcPr>
            <w:tcW w:w="654" w:type="pct"/>
            <w:vAlign w:val="center"/>
          </w:tcPr>
          <w:p w14:paraId="288011DA" w14:textId="2FC35E17"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15.</w:t>
            </w:r>
            <w:r w:rsidR="00D767DB" w:rsidRPr="003D5174">
              <w:rPr>
                <w:rFonts w:ascii="Times New Roman" w:hAnsi="Times New Roman" w:cs="Times New Roman"/>
              </w:rPr>
              <w:t>20</w:t>
            </w:r>
          </w:p>
        </w:tc>
        <w:tc>
          <w:tcPr>
            <w:tcW w:w="654" w:type="pct"/>
            <w:vAlign w:val="center"/>
          </w:tcPr>
          <w:p w14:paraId="5439A179" w14:textId="3701FD25"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255.32</w:t>
            </w:r>
          </w:p>
        </w:tc>
        <w:tc>
          <w:tcPr>
            <w:tcW w:w="852" w:type="pct"/>
            <w:vAlign w:val="center"/>
          </w:tcPr>
          <w:p w14:paraId="41F49186" w14:textId="77777777"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0.0011</w:t>
            </w:r>
          </w:p>
        </w:tc>
        <w:tc>
          <w:tcPr>
            <w:tcW w:w="715" w:type="pct"/>
            <w:vAlign w:val="center"/>
          </w:tcPr>
          <w:p w14:paraId="5E7F911A" w14:textId="77777777" w:rsidR="00027409" w:rsidRPr="003D5174" w:rsidRDefault="00027409"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0.0059</w:t>
            </w:r>
          </w:p>
        </w:tc>
        <w:tc>
          <w:tcPr>
            <w:tcW w:w="554" w:type="pct"/>
          </w:tcPr>
          <w:p w14:paraId="584C160C" w14:textId="4CDAB1B8" w:rsidR="00027409" w:rsidRPr="003D5174" w:rsidRDefault="00D767DB"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13.79</w:t>
            </w:r>
          </w:p>
        </w:tc>
        <w:tc>
          <w:tcPr>
            <w:tcW w:w="599" w:type="pct"/>
          </w:tcPr>
          <w:p w14:paraId="14B7D031" w14:textId="0776FF4C" w:rsidR="00027409" w:rsidRPr="003D5174" w:rsidRDefault="00D767DB" w:rsidP="00027409">
            <w:pPr>
              <w:tabs>
                <w:tab w:val="left" w:pos="720"/>
              </w:tabs>
              <w:spacing w:before="60" w:after="60" w:line="360" w:lineRule="auto"/>
              <w:jc w:val="center"/>
              <w:rPr>
                <w:rFonts w:ascii="Times New Roman" w:hAnsi="Times New Roman" w:cs="Times New Roman"/>
              </w:rPr>
            </w:pPr>
            <w:r w:rsidRPr="003D5174">
              <w:rPr>
                <w:rFonts w:ascii="Times New Roman" w:hAnsi="Times New Roman" w:cs="Times New Roman"/>
              </w:rPr>
              <w:t>89.83</w:t>
            </w:r>
          </w:p>
        </w:tc>
      </w:tr>
    </w:tbl>
    <w:p w14:paraId="25F57F20" w14:textId="0F6962D4" w:rsidR="008B0C23" w:rsidRPr="003D5174" w:rsidRDefault="008B0C23" w:rsidP="00027409">
      <w:pPr>
        <w:tabs>
          <w:tab w:val="left" w:pos="284"/>
        </w:tabs>
        <w:spacing w:line="360" w:lineRule="auto"/>
        <w:jc w:val="both"/>
        <w:rPr>
          <w:rFonts w:ascii="Times New Roman" w:hAnsi="Times New Roman" w:cs="Times New Roman"/>
        </w:rPr>
      </w:pPr>
      <w:r w:rsidRPr="003D5174">
        <w:rPr>
          <w:rFonts w:ascii="Times New Roman" w:hAnsi="Times New Roman" w:cs="Times New Roman"/>
        </w:rPr>
        <w:t>Table-2: Model selection criteria of cashew nut in Andhra Pradesh</w:t>
      </w:r>
    </w:p>
    <w:p w14:paraId="6C181381" w14:textId="77777777" w:rsidR="00027409" w:rsidRPr="003D5174" w:rsidRDefault="00027409" w:rsidP="00027409">
      <w:pPr>
        <w:spacing w:after="0" w:line="360" w:lineRule="auto"/>
        <w:jc w:val="both"/>
        <w:rPr>
          <w:rFonts w:ascii="Times New Roman" w:eastAsia="Times New Roman" w:hAnsi="Times New Roman" w:cs="Times New Roman"/>
          <w:kern w:val="0"/>
          <w:lang w:eastAsia="en-IN"/>
          <w14:ligatures w14:val="none"/>
        </w:rPr>
      </w:pPr>
    </w:p>
    <w:p w14:paraId="035EBDA0" w14:textId="77777777" w:rsidR="003B4FD3" w:rsidRPr="003D5174" w:rsidRDefault="003B4FD3" w:rsidP="003B4FD3">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lastRenderedPageBreak/>
        <w:t>Table 2 presents the model selection criteria for the different forecasting models used for forecasting cashew nut prices in Andhra Pradesh. Among the models, the SVR model recorded the lowest RMSE, MAPE, and MAE values for the testing dataset, indicating comparatively better forecasting accuracy. In contrast, the ARIMA (0,1,5) model showed relatively higher error values for both training and testing datasets. The hybrid ARIMA–SVR model performed better than the standalone ARIMA model, with lower test RMSE, MAPE, and MAE values. However, its predictive performance still remained inferior to that of the SVR model.</w:t>
      </w:r>
    </w:p>
    <w:p w14:paraId="70A92E03" w14:textId="77777777" w:rsidR="008B0C23" w:rsidRPr="003D5174" w:rsidRDefault="008B0C23" w:rsidP="00027409">
      <w:pPr>
        <w:spacing w:after="0" w:line="360" w:lineRule="auto"/>
        <w:jc w:val="both"/>
        <w:rPr>
          <w:rFonts w:ascii="Times New Roman" w:eastAsia="Times New Roman" w:hAnsi="Times New Roman" w:cs="Times New Roman"/>
          <w:kern w:val="0"/>
          <w:lang w:eastAsia="en-IN"/>
          <w14:ligatures w14:val="none"/>
        </w:rPr>
      </w:pPr>
    </w:p>
    <w:p w14:paraId="2FB921A2" w14:textId="77777777" w:rsidR="001C7E8F" w:rsidRPr="003D5174" w:rsidRDefault="009112AD"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Residual diagnostic analysis, presented in Table 3, provided additional insights into model adequacy.</w:t>
      </w:r>
    </w:p>
    <w:p w14:paraId="4E9ADDD9" w14:textId="74E6A9A4" w:rsidR="001539F6" w:rsidRPr="003D5174" w:rsidRDefault="009112AD"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 xml:space="preserve"> </w:t>
      </w:r>
      <w:r w:rsidR="001539F6" w:rsidRPr="003D5174">
        <w:rPr>
          <w:rFonts w:ascii="Times New Roman" w:hAnsi="Times New Roman" w:cs="Times New Roman"/>
        </w:rPr>
        <w:t>Table 3: Box-Pierce Test for autocorrelation of cashew nut in Andhra Pradesh</w:t>
      </w:r>
    </w:p>
    <w:tbl>
      <w:tblPr>
        <w:tblStyle w:val="TableGrid"/>
        <w:tblpPr w:leftFromText="180" w:rightFromText="180" w:vertAnchor="page" w:horzAnchor="margin" w:tblpY="6431"/>
        <w:tblW w:w="5110" w:type="pct"/>
        <w:tblLook w:val="04A0" w:firstRow="1" w:lastRow="0" w:firstColumn="1" w:lastColumn="0" w:noHBand="0" w:noVBand="1"/>
      </w:tblPr>
      <w:tblGrid>
        <w:gridCol w:w="2720"/>
        <w:gridCol w:w="2652"/>
        <w:gridCol w:w="2152"/>
        <w:gridCol w:w="1921"/>
      </w:tblGrid>
      <w:tr w:rsidR="001539F6" w:rsidRPr="003D5174" w14:paraId="0BEF7B51" w14:textId="77777777" w:rsidTr="001539F6">
        <w:trPr>
          <w:trHeight w:val="20"/>
        </w:trPr>
        <w:tc>
          <w:tcPr>
            <w:tcW w:w="1440" w:type="pct"/>
            <w:vAlign w:val="center"/>
            <w:hideMark/>
          </w:tcPr>
          <w:p w14:paraId="721A7357" w14:textId="77777777" w:rsidR="001539F6" w:rsidRPr="003D5174" w:rsidRDefault="001539F6" w:rsidP="001539F6">
            <w:pPr>
              <w:tabs>
                <w:tab w:val="left" w:pos="720"/>
              </w:tabs>
              <w:spacing w:line="360" w:lineRule="auto"/>
              <w:jc w:val="center"/>
              <w:rPr>
                <w:rFonts w:ascii="Times New Roman" w:eastAsia="Times New Roman" w:hAnsi="Times New Roman" w:cs="Times New Roman"/>
                <w:b/>
                <w:bCs/>
                <w:color w:val="000000"/>
                <w:kern w:val="0"/>
                <w:lang w:eastAsia="en-IN"/>
                <w14:ligatures w14:val="none"/>
              </w:rPr>
            </w:pPr>
            <w:r w:rsidRPr="003D5174">
              <w:rPr>
                <w:rFonts w:ascii="Times New Roman" w:eastAsia="Times New Roman" w:hAnsi="Times New Roman" w:cs="Times New Roman"/>
                <w:b/>
                <w:bCs/>
                <w:color w:val="000000"/>
                <w:kern w:val="0"/>
                <w:lang w:eastAsia="en-IN"/>
                <w14:ligatures w14:val="none"/>
              </w:rPr>
              <w:t>Residual Data</w:t>
            </w:r>
          </w:p>
        </w:tc>
        <w:tc>
          <w:tcPr>
            <w:tcW w:w="1404" w:type="pct"/>
            <w:vAlign w:val="center"/>
            <w:hideMark/>
          </w:tcPr>
          <w:p w14:paraId="7BC7D6B9" w14:textId="77777777" w:rsidR="001539F6" w:rsidRPr="003D5174" w:rsidRDefault="001539F6" w:rsidP="001539F6">
            <w:pPr>
              <w:tabs>
                <w:tab w:val="left" w:pos="720"/>
              </w:tabs>
              <w:spacing w:line="360" w:lineRule="auto"/>
              <w:jc w:val="center"/>
              <w:rPr>
                <w:rFonts w:ascii="Times New Roman" w:eastAsia="Times New Roman" w:hAnsi="Times New Roman" w:cs="Times New Roman"/>
                <w:b/>
                <w:bCs/>
                <w:color w:val="000000"/>
                <w:kern w:val="0"/>
                <w:lang w:eastAsia="en-IN"/>
                <w14:ligatures w14:val="none"/>
              </w:rPr>
            </w:pPr>
            <w:r w:rsidRPr="003D5174">
              <w:rPr>
                <w:rFonts w:ascii="Times New Roman" w:eastAsia="Times New Roman" w:hAnsi="Times New Roman" w:cs="Times New Roman"/>
                <w:b/>
                <w:bCs/>
                <w:color w:val="000000"/>
                <w:kern w:val="0"/>
                <w:lang w:eastAsia="en-IN"/>
                <w14:ligatures w14:val="none"/>
              </w:rPr>
              <w:t>Chi-square (χ²)</w:t>
            </w:r>
          </w:p>
        </w:tc>
        <w:tc>
          <w:tcPr>
            <w:tcW w:w="1139" w:type="pct"/>
            <w:vAlign w:val="center"/>
            <w:hideMark/>
          </w:tcPr>
          <w:p w14:paraId="3C857CCE" w14:textId="77777777" w:rsidR="001539F6" w:rsidRPr="003D5174" w:rsidRDefault="001539F6" w:rsidP="001539F6">
            <w:pPr>
              <w:tabs>
                <w:tab w:val="left" w:pos="720"/>
              </w:tabs>
              <w:spacing w:line="360" w:lineRule="auto"/>
              <w:jc w:val="center"/>
              <w:rPr>
                <w:rFonts w:ascii="Times New Roman" w:eastAsia="Times New Roman" w:hAnsi="Times New Roman" w:cs="Times New Roman"/>
                <w:b/>
                <w:bCs/>
                <w:color w:val="000000"/>
                <w:kern w:val="0"/>
                <w:lang w:eastAsia="en-IN"/>
                <w14:ligatures w14:val="none"/>
              </w:rPr>
            </w:pPr>
            <w:r w:rsidRPr="003D5174">
              <w:rPr>
                <w:rFonts w:ascii="Times New Roman" w:eastAsia="Times New Roman" w:hAnsi="Times New Roman" w:cs="Times New Roman"/>
                <w:b/>
                <w:bCs/>
                <w:color w:val="000000"/>
                <w:kern w:val="0"/>
                <w:lang w:eastAsia="en-IN"/>
                <w14:ligatures w14:val="none"/>
              </w:rPr>
              <w:t>Degree of freedom</w:t>
            </w:r>
          </w:p>
        </w:tc>
        <w:tc>
          <w:tcPr>
            <w:tcW w:w="1017" w:type="pct"/>
            <w:vAlign w:val="center"/>
            <w:hideMark/>
          </w:tcPr>
          <w:p w14:paraId="6811BF94" w14:textId="77777777" w:rsidR="001539F6" w:rsidRPr="003D5174" w:rsidRDefault="001539F6" w:rsidP="001539F6">
            <w:pPr>
              <w:tabs>
                <w:tab w:val="left" w:pos="720"/>
              </w:tabs>
              <w:spacing w:line="360" w:lineRule="auto"/>
              <w:jc w:val="center"/>
              <w:rPr>
                <w:rFonts w:ascii="Times New Roman" w:eastAsia="Times New Roman" w:hAnsi="Times New Roman" w:cs="Times New Roman"/>
                <w:b/>
                <w:bCs/>
                <w:color w:val="000000"/>
                <w:kern w:val="0"/>
                <w:lang w:eastAsia="en-IN"/>
                <w14:ligatures w14:val="none"/>
              </w:rPr>
            </w:pPr>
            <w:r w:rsidRPr="003D5174">
              <w:rPr>
                <w:rFonts w:ascii="Times New Roman" w:eastAsia="Times New Roman" w:hAnsi="Times New Roman" w:cs="Times New Roman"/>
                <w:b/>
                <w:bCs/>
                <w:color w:val="000000"/>
                <w:kern w:val="0"/>
                <w:lang w:eastAsia="en-IN"/>
                <w14:ligatures w14:val="none"/>
              </w:rPr>
              <w:t>p-value</w:t>
            </w:r>
          </w:p>
        </w:tc>
      </w:tr>
      <w:tr w:rsidR="001539F6" w:rsidRPr="003D5174" w14:paraId="1DB9C2A4" w14:textId="77777777" w:rsidTr="001539F6">
        <w:trPr>
          <w:trHeight w:val="20"/>
        </w:trPr>
        <w:tc>
          <w:tcPr>
            <w:tcW w:w="1440" w:type="pct"/>
            <w:vAlign w:val="center"/>
            <w:hideMark/>
          </w:tcPr>
          <w:p w14:paraId="7D5A9123"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 xml:space="preserve">ARIMA </w:t>
            </w:r>
            <w:r w:rsidRPr="003D5174">
              <w:rPr>
                <w:rFonts w:ascii="Times New Roman" w:hAnsi="Times New Roman" w:cs="Times New Roman"/>
              </w:rPr>
              <w:t xml:space="preserve">(0,1,5) </w:t>
            </w:r>
          </w:p>
        </w:tc>
        <w:tc>
          <w:tcPr>
            <w:tcW w:w="1404" w:type="pct"/>
            <w:vAlign w:val="center"/>
          </w:tcPr>
          <w:p w14:paraId="167EED32"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rPr>
              <w:t>0.10516</w:t>
            </w:r>
          </w:p>
        </w:tc>
        <w:tc>
          <w:tcPr>
            <w:tcW w:w="1139" w:type="pct"/>
            <w:vAlign w:val="center"/>
          </w:tcPr>
          <w:p w14:paraId="1E5E45D9"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rPr>
              <w:t>1</w:t>
            </w:r>
          </w:p>
        </w:tc>
        <w:tc>
          <w:tcPr>
            <w:tcW w:w="1017" w:type="pct"/>
            <w:vAlign w:val="center"/>
          </w:tcPr>
          <w:p w14:paraId="21AA4F87"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rPr>
              <w:t>0.7457</w:t>
            </w:r>
          </w:p>
        </w:tc>
      </w:tr>
      <w:tr w:rsidR="001539F6" w:rsidRPr="003D5174" w14:paraId="311017D2" w14:textId="77777777" w:rsidTr="001539F6">
        <w:trPr>
          <w:trHeight w:val="20"/>
        </w:trPr>
        <w:tc>
          <w:tcPr>
            <w:tcW w:w="1440" w:type="pct"/>
            <w:vAlign w:val="center"/>
            <w:hideMark/>
          </w:tcPr>
          <w:p w14:paraId="7A6CC3D3"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 xml:space="preserve">SVR </w:t>
            </w:r>
          </w:p>
        </w:tc>
        <w:tc>
          <w:tcPr>
            <w:tcW w:w="1404" w:type="pct"/>
            <w:vAlign w:val="center"/>
          </w:tcPr>
          <w:p w14:paraId="39A162F9"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31.275</w:t>
            </w:r>
          </w:p>
        </w:tc>
        <w:tc>
          <w:tcPr>
            <w:tcW w:w="1139" w:type="pct"/>
            <w:vAlign w:val="center"/>
          </w:tcPr>
          <w:p w14:paraId="7F5EC4E4"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1</w:t>
            </w:r>
          </w:p>
        </w:tc>
        <w:tc>
          <w:tcPr>
            <w:tcW w:w="1017" w:type="pct"/>
            <w:vAlign w:val="center"/>
          </w:tcPr>
          <w:p w14:paraId="71B4683E"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rPr>
              <w:t>0.0000**</w:t>
            </w:r>
          </w:p>
        </w:tc>
      </w:tr>
      <w:tr w:rsidR="001539F6" w:rsidRPr="003D5174" w14:paraId="4D348035" w14:textId="77777777" w:rsidTr="001539F6">
        <w:trPr>
          <w:trHeight w:val="20"/>
        </w:trPr>
        <w:tc>
          <w:tcPr>
            <w:tcW w:w="1440" w:type="pct"/>
            <w:vAlign w:val="center"/>
            <w:hideMark/>
          </w:tcPr>
          <w:p w14:paraId="516EB286"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 xml:space="preserve">ARIMA+SVR </w:t>
            </w:r>
          </w:p>
        </w:tc>
        <w:tc>
          <w:tcPr>
            <w:tcW w:w="1404" w:type="pct"/>
            <w:vAlign w:val="center"/>
          </w:tcPr>
          <w:p w14:paraId="1EC3935A"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0.097309</w:t>
            </w:r>
          </w:p>
        </w:tc>
        <w:tc>
          <w:tcPr>
            <w:tcW w:w="1139" w:type="pct"/>
            <w:vAlign w:val="center"/>
          </w:tcPr>
          <w:p w14:paraId="4FF8A0E9"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1</w:t>
            </w:r>
          </w:p>
        </w:tc>
        <w:tc>
          <w:tcPr>
            <w:tcW w:w="1017" w:type="pct"/>
            <w:vAlign w:val="center"/>
          </w:tcPr>
          <w:p w14:paraId="1041F3D9" w14:textId="77777777" w:rsidR="001539F6" w:rsidRPr="003D5174" w:rsidRDefault="001539F6" w:rsidP="001539F6">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0.7551</w:t>
            </w:r>
          </w:p>
        </w:tc>
      </w:tr>
    </w:tbl>
    <w:p w14:paraId="76C06B0A" w14:textId="4308E3AC" w:rsidR="008B0C23" w:rsidRPr="003D5174" w:rsidRDefault="001C7E8F" w:rsidP="00027409">
      <w:pPr>
        <w:spacing w:after="0" w:line="360" w:lineRule="auto"/>
        <w:jc w:val="both"/>
        <w:rPr>
          <w:rFonts w:ascii="Times New Roman" w:hAnsi="Times New Roman" w:cs="Times New Roman"/>
        </w:rPr>
      </w:pPr>
      <w:r w:rsidRPr="003D5174">
        <w:rPr>
          <w:rFonts w:ascii="Times New Roman" w:hAnsi="Times New Roman" w:cs="Times New Roman"/>
        </w:rPr>
        <w:t>**: Significant at the 1% level (p &lt; 0.01)</w:t>
      </w:r>
    </w:p>
    <w:p w14:paraId="5FBB3669" w14:textId="77777777" w:rsidR="00391663" w:rsidRPr="003D5174" w:rsidRDefault="00391663" w:rsidP="00027409">
      <w:pPr>
        <w:spacing w:after="0" w:line="360" w:lineRule="auto"/>
        <w:jc w:val="both"/>
        <w:rPr>
          <w:rFonts w:ascii="Times New Roman" w:eastAsia="Times New Roman" w:hAnsi="Times New Roman" w:cs="Times New Roman"/>
          <w:kern w:val="0"/>
          <w:lang w:eastAsia="en-IN"/>
          <w14:ligatures w14:val="none"/>
        </w:rPr>
      </w:pPr>
    </w:p>
    <w:p w14:paraId="7DE37083" w14:textId="5DAA58BD" w:rsidR="000C4DDA" w:rsidRDefault="00CC4BA6"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hAnsi="Times New Roman" w:cs="Times New Roman"/>
        </w:rPr>
        <w:t>The Box–Pierce test results presented in Table 3 revealed that the SVR model had a highly significant p-value (</w:t>
      </w:r>
      <w:r w:rsidR="001C7E8F" w:rsidRPr="003D5174">
        <w:rPr>
          <w:rFonts w:ascii="Times New Roman" w:hAnsi="Times New Roman" w:cs="Times New Roman"/>
        </w:rPr>
        <w:t>0.0000</w:t>
      </w:r>
      <w:r w:rsidRPr="003D5174">
        <w:rPr>
          <w:rFonts w:ascii="Times New Roman" w:hAnsi="Times New Roman" w:cs="Times New Roman"/>
        </w:rPr>
        <w:t>), indicating the presence of significant autocorrelation in the residuals and suggesting that the model failed to capture all temporal dependencies in the series. In contrast, the ARIMA (0,1,5) and hybrid ARIMA-SVR models produced non-significant p-values of 0.7457 and 0.7551, respectively, indicating the absence of significant autocorrelation in their residuals.</w:t>
      </w:r>
      <w:r w:rsidR="000C4DDA" w:rsidRPr="003D5174">
        <w:rPr>
          <w:rFonts w:ascii="Times New Roman" w:hAnsi="Times New Roman" w:cs="Times New Roman"/>
        </w:rPr>
        <w:t xml:space="preserve"> </w:t>
      </w:r>
      <w:r w:rsidR="000C4DDA" w:rsidRPr="003D5174">
        <w:rPr>
          <w:rFonts w:ascii="Times New Roman" w:eastAsia="Times New Roman" w:hAnsi="Times New Roman" w:cs="Times New Roman"/>
          <w:kern w:val="0"/>
          <w:lang w:eastAsia="en-IN"/>
          <w14:ligatures w14:val="none"/>
        </w:rPr>
        <w:t>These results suggest that the hybrid framework provides a more balanced and reliable approach for forecasting cashew nut prices in Andhra Pradesh.</w:t>
      </w:r>
    </w:p>
    <w:p w14:paraId="47F5B85A" w14:textId="77777777" w:rsidR="00602F63" w:rsidRDefault="00602F63" w:rsidP="00027409">
      <w:pPr>
        <w:spacing w:after="0" w:line="360" w:lineRule="auto"/>
        <w:jc w:val="both"/>
        <w:rPr>
          <w:rFonts w:ascii="Times New Roman" w:eastAsia="Times New Roman" w:hAnsi="Times New Roman" w:cs="Times New Roman"/>
          <w:kern w:val="0"/>
          <w:lang w:eastAsia="en-IN"/>
          <w14:ligatures w14:val="none"/>
        </w:rPr>
      </w:pPr>
    </w:p>
    <w:p w14:paraId="0FE550CB" w14:textId="77777777" w:rsidR="00602F63" w:rsidRDefault="00602F63" w:rsidP="00027409">
      <w:pPr>
        <w:spacing w:after="0" w:line="360" w:lineRule="auto"/>
        <w:jc w:val="both"/>
        <w:rPr>
          <w:rFonts w:ascii="Times New Roman" w:eastAsia="Times New Roman" w:hAnsi="Times New Roman" w:cs="Times New Roman"/>
          <w:kern w:val="0"/>
          <w:lang w:eastAsia="en-IN"/>
          <w14:ligatures w14:val="none"/>
        </w:rPr>
      </w:pPr>
    </w:p>
    <w:p w14:paraId="5A806C55" w14:textId="77777777" w:rsidR="00602F63" w:rsidRDefault="00602F63" w:rsidP="00027409">
      <w:pPr>
        <w:spacing w:after="0" w:line="360" w:lineRule="auto"/>
        <w:jc w:val="both"/>
        <w:rPr>
          <w:rFonts w:ascii="Times New Roman" w:eastAsia="Times New Roman" w:hAnsi="Times New Roman" w:cs="Times New Roman"/>
          <w:kern w:val="0"/>
          <w:lang w:eastAsia="en-IN"/>
          <w14:ligatures w14:val="none"/>
        </w:rPr>
      </w:pPr>
    </w:p>
    <w:p w14:paraId="31967689" w14:textId="77777777" w:rsidR="00602F63" w:rsidRDefault="00602F63" w:rsidP="00027409">
      <w:pPr>
        <w:spacing w:after="0" w:line="360" w:lineRule="auto"/>
        <w:jc w:val="both"/>
        <w:rPr>
          <w:rFonts w:ascii="Times New Roman" w:eastAsia="Times New Roman" w:hAnsi="Times New Roman" w:cs="Times New Roman"/>
          <w:kern w:val="0"/>
          <w:lang w:eastAsia="en-IN"/>
          <w14:ligatures w14:val="none"/>
        </w:rPr>
      </w:pPr>
    </w:p>
    <w:p w14:paraId="76E5AC9F" w14:textId="77777777" w:rsidR="00602F63" w:rsidRDefault="00602F63" w:rsidP="00027409">
      <w:pPr>
        <w:spacing w:after="0" w:line="360" w:lineRule="auto"/>
        <w:jc w:val="both"/>
        <w:rPr>
          <w:rFonts w:ascii="Times New Roman" w:eastAsia="Times New Roman" w:hAnsi="Times New Roman" w:cs="Times New Roman"/>
          <w:kern w:val="0"/>
          <w:lang w:eastAsia="en-IN"/>
          <w14:ligatures w14:val="none"/>
        </w:rPr>
      </w:pPr>
    </w:p>
    <w:p w14:paraId="2957B4F8" w14:textId="77777777" w:rsidR="00602F63" w:rsidRDefault="00602F63" w:rsidP="00027409">
      <w:pPr>
        <w:spacing w:after="0" w:line="360" w:lineRule="auto"/>
        <w:jc w:val="both"/>
        <w:rPr>
          <w:rFonts w:ascii="Times New Roman" w:eastAsia="Times New Roman" w:hAnsi="Times New Roman" w:cs="Times New Roman"/>
          <w:kern w:val="0"/>
          <w:lang w:eastAsia="en-IN"/>
          <w14:ligatures w14:val="none"/>
        </w:rPr>
      </w:pPr>
    </w:p>
    <w:p w14:paraId="65836790" w14:textId="77777777" w:rsidR="00602F63" w:rsidRPr="003D5174" w:rsidRDefault="00602F63" w:rsidP="00027409">
      <w:pPr>
        <w:spacing w:after="0" w:line="360" w:lineRule="auto"/>
        <w:jc w:val="both"/>
        <w:rPr>
          <w:rFonts w:ascii="Times New Roman" w:eastAsia="Times New Roman" w:hAnsi="Times New Roman" w:cs="Times New Roman"/>
          <w:kern w:val="0"/>
          <w:lang w:eastAsia="en-IN"/>
          <w14:ligatures w14:val="none"/>
        </w:rPr>
      </w:pPr>
    </w:p>
    <w:p w14:paraId="4BBE0772" w14:textId="19605B3C" w:rsidR="00CC4BA6" w:rsidRPr="003D5174" w:rsidRDefault="00CC4BA6" w:rsidP="00027409">
      <w:pPr>
        <w:tabs>
          <w:tab w:val="left" w:pos="284"/>
        </w:tabs>
        <w:spacing w:after="0" w:line="360" w:lineRule="auto"/>
        <w:jc w:val="both"/>
        <w:rPr>
          <w:rFonts w:ascii="Times New Roman" w:hAnsi="Times New Roman" w:cs="Times New Roman"/>
        </w:rPr>
      </w:pPr>
    </w:p>
    <w:p w14:paraId="54308D0F" w14:textId="77777777" w:rsidR="00CC4BA6" w:rsidRPr="003D5174" w:rsidRDefault="00CC4BA6" w:rsidP="00027409">
      <w:pPr>
        <w:tabs>
          <w:tab w:val="left" w:pos="720"/>
        </w:tabs>
        <w:spacing w:after="0" w:line="360" w:lineRule="auto"/>
        <w:ind w:left="1440" w:hanging="1440"/>
        <w:jc w:val="both"/>
        <w:rPr>
          <w:rFonts w:ascii="Times New Roman" w:hAnsi="Times New Roman" w:cs="Times New Roman"/>
          <w:b/>
          <w:bCs/>
          <w:color w:val="000000" w:themeColor="text1"/>
        </w:rPr>
      </w:pPr>
      <w:r w:rsidRPr="003D5174">
        <w:rPr>
          <w:rFonts w:ascii="Times New Roman" w:hAnsi="Times New Roman" w:cs="Times New Roman"/>
        </w:rPr>
        <w:lastRenderedPageBreak/>
        <w:t xml:space="preserve">Table 4: </w:t>
      </w:r>
      <w:r w:rsidRPr="003D5174">
        <w:rPr>
          <w:rFonts w:ascii="Times New Roman" w:hAnsi="Times New Roman" w:cs="Times New Roman"/>
          <w:color w:val="000000" w:themeColor="text1"/>
        </w:rPr>
        <w:t>BDS test results on residuals of ARIMA (0,1,5) model for Cashew nut prices</w:t>
      </w:r>
    </w:p>
    <w:tbl>
      <w:tblPr>
        <w:tblStyle w:val="TableGrid"/>
        <w:tblW w:w="5000" w:type="pct"/>
        <w:jc w:val="center"/>
        <w:tblLook w:val="04A0" w:firstRow="1" w:lastRow="0" w:firstColumn="1" w:lastColumn="0" w:noHBand="0" w:noVBand="1"/>
      </w:tblPr>
      <w:tblGrid>
        <w:gridCol w:w="1771"/>
        <w:gridCol w:w="1939"/>
        <w:gridCol w:w="1939"/>
        <w:gridCol w:w="1900"/>
        <w:gridCol w:w="1693"/>
      </w:tblGrid>
      <w:tr w:rsidR="00CC4BA6" w:rsidRPr="003D5174" w14:paraId="660809C3" w14:textId="77777777" w:rsidTr="007A1B0B">
        <w:trPr>
          <w:trHeight w:val="545"/>
          <w:jc w:val="center"/>
        </w:trPr>
        <w:tc>
          <w:tcPr>
            <w:tcW w:w="958" w:type="pct"/>
            <w:vMerge w:val="restart"/>
            <w:vAlign w:val="center"/>
            <w:hideMark/>
          </w:tcPr>
          <w:p w14:paraId="65A060D3" w14:textId="77777777" w:rsidR="00CC4BA6" w:rsidRPr="003D5174" w:rsidRDefault="00CC4BA6" w:rsidP="00027409">
            <w:pPr>
              <w:tabs>
                <w:tab w:val="left" w:pos="720"/>
              </w:tabs>
              <w:spacing w:line="360" w:lineRule="auto"/>
              <w:jc w:val="center"/>
              <w:rPr>
                <w:rFonts w:ascii="Times New Roman" w:hAnsi="Times New Roman" w:cs="Times New Roman"/>
                <w:b/>
                <w:bCs/>
              </w:rPr>
            </w:pPr>
            <w:r w:rsidRPr="003D5174">
              <w:rPr>
                <w:rFonts w:ascii="Times New Roman" w:hAnsi="Times New Roman" w:cs="Times New Roman"/>
                <w:b/>
                <w:bCs/>
              </w:rPr>
              <w:t>Embedding Dimension</w:t>
            </w:r>
          </w:p>
        </w:tc>
        <w:tc>
          <w:tcPr>
            <w:tcW w:w="4042" w:type="pct"/>
            <w:gridSpan w:val="4"/>
            <w:vAlign w:val="center"/>
          </w:tcPr>
          <w:p w14:paraId="54AF5977" w14:textId="77777777" w:rsidR="00CC4BA6" w:rsidRPr="003D5174" w:rsidRDefault="00CC4BA6" w:rsidP="00027409">
            <w:pPr>
              <w:tabs>
                <w:tab w:val="left" w:pos="720"/>
              </w:tabs>
              <w:spacing w:line="360" w:lineRule="auto"/>
              <w:jc w:val="center"/>
              <w:rPr>
                <w:rFonts w:ascii="Times New Roman" w:hAnsi="Times New Roman" w:cs="Times New Roman"/>
                <w:b/>
                <w:bCs/>
              </w:rPr>
            </w:pPr>
            <w:r w:rsidRPr="003D5174">
              <w:rPr>
                <w:rFonts w:ascii="Times New Roman" w:hAnsi="Times New Roman" w:cs="Times New Roman"/>
                <w:b/>
                <w:bCs/>
              </w:rPr>
              <w:t>Epsilon</w:t>
            </w:r>
          </w:p>
        </w:tc>
      </w:tr>
      <w:tr w:rsidR="00CC4BA6" w:rsidRPr="003D5174" w14:paraId="256D19BE" w14:textId="77777777" w:rsidTr="007A1B0B">
        <w:trPr>
          <w:trHeight w:val="411"/>
          <w:jc w:val="center"/>
        </w:trPr>
        <w:tc>
          <w:tcPr>
            <w:tcW w:w="958" w:type="pct"/>
            <w:vMerge/>
            <w:vAlign w:val="center"/>
          </w:tcPr>
          <w:p w14:paraId="5D6B6E61" w14:textId="77777777" w:rsidR="00CC4BA6" w:rsidRPr="003D5174" w:rsidRDefault="00CC4BA6" w:rsidP="00027409">
            <w:pPr>
              <w:tabs>
                <w:tab w:val="left" w:pos="720"/>
              </w:tabs>
              <w:spacing w:line="360" w:lineRule="auto"/>
              <w:jc w:val="center"/>
              <w:rPr>
                <w:rFonts w:ascii="Times New Roman" w:hAnsi="Times New Roman" w:cs="Times New Roman"/>
                <w:b/>
                <w:bCs/>
              </w:rPr>
            </w:pPr>
          </w:p>
        </w:tc>
        <w:tc>
          <w:tcPr>
            <w:tcW w:w="1049" w:type="pct"/>
            <w:vAlign w:val="center"/>
          </w:tcPr>
          <w:p w14:paraId="7D7678B2" w14:textId="77777777" w:rsidR="00CC4BA6" w:rsidRPr="003D5174" w:rsidRDefault="00CC4BA6" w:rsidP="00027409">
            <w:pPr>
              <w:tabs>
                <w:tab w:val="left" w:pos="720"/>
              </w:tabs>
              <w:spacing w:line="360" w:lineRule="auto"/>
              <w:jc w:val="center"/>
              <w:rPr>
                <w:rFonts w:ascii="Times New Roman" w:hAnsi="Times New Roman" w:cs="Times New Roman"/>
                <w:b/>
                <w:bCs/>
              </w:rPr>
            </w:pPr>
            <w:r w:rsidRPr="003D5174">
              <w:rPr>
                <w:rFonts w:ascii="Times New Roman" w:hAnsi="Times New Roman" w:cs="Times New Roman"/>
              </w:rPr>
              <w:t>939.84</w:t>
            </w:r>
          </w:p>
        </w:tc>
        <w:tc>
          <w:tcPr>
            <w:tcW w:w="1049" w:type="pct"/>
            <w:vAlign w:val="center"/>
          </w:tcPr>
          <w:p w14:paraId="45012F5D" w14:textId="77777777" w:rsidR="00CC4BA6" w:rsidRPr="003D5174" w:rsidRDefault="00CC4BA6" w:rsidP="00027409">
            <w:pPr>
              <w:tabs>
                <w:tab w:val="left" w:pos="720"/>
              </w:tabs>
              <w:spacing w:line="360" w:lineRule="auto"/>
              <w:jc w:val="center"/>
              <w:rPr>
                <w:rFonts w:ascii="Times New Roman" w:hAnsi="Times New Roman" w:cs="Times New Roman"/>
                <w:b/>
                <w:bCs/>
              </w:rPr>
            </w:pPr>
            <w:r w:rsidRPr="003D5174">
              <w:rPr>
                <w:rFonts w:ascii="Times New Roman" w:hAnsi="Times New Roman" w:cs="Times New Roman"/>
              </w:rPr>
              <w:t>1879.67</w:t>
            </w:r>
          </w:p>
        </w:tc>
        <w:tc>
          <w:tcPr>
            <w:tcW w:w="1028" w:type="pct"/>
            <w:vAlign w:val="center"/>
          </w:tcPr>
          <w:p w14:paraId="5982CF70" w14:textId="77777777" w:rsidR="00CC4BA6" w:rsidRPr="003D5174" w:rsidRDefault="00CC4BA6" w:rsidP="00027409">
            <w:pPr>
              <w:tabs>
                <w:tab w:val="left" w:pos="720"/>
              </w:tabs>
              <w:spacing w:line="360" w:lineRule="auto"/>
              <w:jc w:val="center"/>
              <w:rPr>
                <w:rFonts w:ascii="Times New Roman" w:hAnsi="Times New Roman" w:cs="Times New Roman"/>
                <w:b/>
                <w:bCs/>
              </w:rPr>
            </w:pPr>
            <w:r w:rsidRPr="003D5174">
              <w:rPr>
                <w:rFonts w:ascii="Times New Roman" w:hAnsi="Times New Roman" w:cs="Times New Roman"/>
              </w:rPr>
              <w:t>2819.51</w:t>
            </w:r>
          </w:p>
        </w:tc>
        <w:tc>
          <w:tcPr>
            <w:tcW w:w="916" w:type="pct"/>
            <w:vAlign w:val="center"/>
          </w:tcPr>
          <w:p w14:paraId="0A5CCE90" w14:textId="77777777" w:rsidR="00CC4BA6" w:rsidRPr="003D5174" w:rsidRDefault="00CC4BA6" w:rsidP="00027409">
            <w:pPr>
              <w:tabs>
                <w:tab w:val="left" w:pos="720"/>
              </w:tabs>
              <w:spacing w:line="360" w:lineRule="auto"/>
              <w:jc w:val="center"/>
              <w:rPr>
                <w:rFonts w:ascii="Times New Roman" w:hAnsi="Times New Roman" w:cs="Times New Roman"/>
                <w:b/>
                <w:bCs/>
              </w:rPr>
            </w:pPr>
            <w:r w:rsidRPr="003D5174">
              <w:rPr>
                <w:rFonts w:ascii="Times New Roman" w:hAnsi="Times New Roman" w:cs="Times New Roman"/>
              </w:rPr>
              <w:t>3759.35</w:t>
            </w:r>
          </w:p>
        </w:tc>
      </w:tr>
      <w:tr w:rsidR="00CC4BA6" w:rsidRPr="003D5174" w14:paraId="1AC6915D" w14:textId="77777777" w:rsidTr="007A1B0B">
        <w:trPr>
          <w:trHeight w:val="700"/>
          <w:jc w:val="center"/>
        </w:trPr>
        <w:tc>
          <w:tcPr>
            <w:tcW w:w="958" w:type="pct"/>
            <w:vAlign w:val="center"/>
            <w:hideMark/>
          </w:tcPr>
          <w:p w14:paraId="65816709"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b/>
                <w:bCs/>
              </w:rPr>
              <w:t>2</w:t>
            </w:r>
          </w:p>
        </w:tc>
        <w:tc>
          <w:tcPr>
            <w:tcW w:w="1049" w:type="pct"/>
            <w:vAlign w:val="center"/>
            <w:hideMark/>
          </w:tcPr>
          <w:p w14:paraId="305ABC62"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4.6070**,</w:t>
            </w:r>
          </w:p>
          <w:p w14:paraId="23F9B599"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0.0000</w:t>
            </w:r>
          </w:p>
        </w:tc>
        <w:tc>
          <w:tcPr>
            <w:tcW w:w="1049" w:type="pct"/>
            <w:vAlign w:val="center"/>
            <w:hideMark/>
          </w:tcPr>
          <w:p w14:paraId="3DB878B0"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5.5121**,</w:t>
            </w:r>
          </w:p>
          <w:p w14:paraId="68FAC410"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0.0000</w:t>
            </w:r>
          </w:p>
        </w:tc>
        <w:tc>
          <w:tcPr>
            <w:tcW w:w="1028" w:type="pct"/>
            <w:vAlign w:val="center"/>
            <w:hideMark/>
          </w:tcPr>
          <w:p w14:paraId="774088A1"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4.2766**,</w:t>
            </w:r>
          </w:p>
          <w:p w14:paraId="01C67B22"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 xml:space="preserve">p = 0.0000       </w:t>
            </w:r>
          </w:p>
        </w:tc>
        <w:tc>
          <w:tcPr>
            <w:tcW w:w="916" w:type="pct"/>
            <w:vAlign w:val="center"/>
            <w:hideMark/>
          </w:tcPr>
          <w:p w14:paraId="366E7762"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3.8035**,</w:t>
            </w:r>
          </w:p>
          <w:p w14:paraId="46E6AEA4"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0.0001</w:t>
            </w:r>
          </w:p>
        </w:tc>
      </w:tr>
      <w:tr w:rsidR="00CC4BA6" w:rsidRPr="003D5174" w14:paraId="70B28222" w14:textId="77777777" w:rsidTr="007A1B0B">
        <w:trPr>
          <w:jc w:val="center"/>
        </w:trPr>
        <w:tc>
          <w:tcPr>
            <w:tcW w:w="958" w:type="pct"/>
            <w:vAlign w:val="center"/>
            <w:hideMark/>
          </w:tcPr>
          <w:p w14:paraId="4EC350B6"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b/>
                <w:bCs/>
              </w:rPr>
              <w:t>3</w:t>
            </w:r>
          </w:p>
        </w:tc>
        <w:tc>
          <w:tcPr>
            <w:tcW w:w="1049" w:type="pct"/>
            <w:vAlign w:val="center"/>
            <w:hideMark/>
          </w:tcPr>
          <w:p w14:paraId="35FC2B3D"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5.2639**,</w:t>
            </w:r>
          </w:p>
          <w:p w14:paraId="261383D3"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 xml:space="preserve">p = 0.0000       </w:t>
            </w:r>
          </w:p>
        </w:tc>
        <w:tc>
          <w:tcPr>
            <w:tcW w:w="1049" w:type="pct"/>
            <w:vAlign w:val="center"/>
            <w:hideMark/>
          </w:tcPr>
          <w:p w14:paraId="55B50620"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6.2311**,</w:t>
            </w:r>
          </w:p>
          <w:p w14:paraId="1CB8D69D"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0.0000</w:t>
            </w:r>
          </w:p>
        </w:tc>
        <w:tc>
          <w:tcPr>
            <w:tcW w:w="1028" w:type="pct"/>
            <w:vAlign w:val="center"/>
            <w:hideMark/>
          </w:tcPr>
          <w:p w14:paraId="7A0E0878" w14:textId="77777777" w:rsidR="00CC4BA6" w:rsidRPr="003D5174" w:rsidRDefault="00CC4BA6" w:rsidP="00027409">
            <w:pPr>
              <w:tabs>
                <w:tab w:val="left" w:pos="720"/>
              </w:tabs>
              <w:spacing w:line="360" w:lineRule="auto"/>
              <w:rPr>
                <w:rFonts w:ascii="Times New Roman" w:hAnsi="Times New Roman" w:cs="Times New Roman"/>
              </w:rPr>
            </w:pPr>
            <w:r w:rsidRPr="003D5174">
              <w:rPr>
                <w:rFonts w:ascii="Times New Roman" w:hAnsi="Times New Roman" w:cs="Times New Roman"/>
              </w:rPr>
              <w:t xml:space="preserve">      W= 4.999**,</w:t>
            </w:r>
          </w:p>
          <w:p w14:paraId="0767CFB8"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 xml:space="preserve">p = 0.0000       </w:t>
            </w:r>
          </w:p>
        </w:tc>
        <w:tc>
          <w:tcPr>
            <w:tcW w:w="916" w:type="pct"/>
            <w:vAlign w:val="center"/>
            <w:hideMark/>
          </w:tcPr>
          <w:p w14:paraId="34987D84"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4.0926**,</w:t>
            </w:r>
          </w:p>
          <w:p w14:paraId="59140938"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0.0000</w:t>
            </w:r>
          </w:p>
        </w:tc>
      </w:tr>
    </w:tbl>
    <w:p w14:paraId="0B37358F" w14:textId="56508423" w:rsidR="00CC4BA6" w:rsidRPr="003D5174" w:rsidRDefault="00CC4BA6" w:rsidP="00027409">
      <w:pPr>
        <w:tabs>
          <w:tab w:val="left" w:pos="284"/>
        </w:tabs>
        <w:spacing w:after="0" w:line="360" w:lineRule="auto"/>
        <w:jc w:val="both"/>
        <w:rPr>
          <w:rFonts w:ascii="Times New Roman" w:hAnsi="Times New Roman" w:cs="Times New Roman"/>
        </w:rPr>
      </w:pPr>
      <w:r w:rsidRPr="003D5174">
        <w:rPr>
          <w:rFonts w:ascii="Times New Roman" w:hAnsi="Times New Roman" w:cs="Times New Roman"/>
        </w:rPr>
        <w:t>**:</w:t>
      </w:r>
      <w:r w:rsidR="00487C3C">
        <w:rPr>
          <w:rFonts w:ascii="Times New Roman" w:hAnsi="Times New Roman" w:cs="Times New Roman"/>
        </w:rPr>
        <w:t xml:space="preserve"> </w:t>
      </w:r>
      <w:r w:rsidRPr="003D5174">
        <w:rPr>
          <w:rFonts w:ascii="Times New Roman" w:hAnsi="Times New Roman" w:cs="Times New Roman"/>
        </w:rPr>
        <w:t>Significant at the 1% level (p &lt; 0.01)</w:t>
      </w:r>
    </w:p>
    <w:p w14:paraId="444E86B2" w14:textId="77777777" w:rsidR="00C1471E" w:rsidRPr="003D5174" w:rsidRDefault="00C1471E" w:rsidP="00027409">
      <w:pPr>
        <w:spacing w:line="360" w:lineRule="auto"/>
        <w:rPr>
          <w:rFonts w:ascii="Times New Roman" w:hAnsi="Times New Roman" w:cs="Times New Roman"/>
        </w:rPr>
      </w:pPr>
    </w:p>
    <w:p w14:paraId="25B720AE" w14:textId="77777777" w:rsidR="00CC4BA6" w:rsidRPr="003D5174" w:rsidRDefault="00CC4BA6" w:rsidP="00027409">
      <w:pPr>
        <w:spacing w:line="360" w:lineRule="auto"/>
        <w:rPr>
          <w:rFonts w:ascii="Times New Roman" w:hAnsi="Times New Roman" w:cs="Times New Roman"/>
        </w:rPr>
      </w:pPr>
      <w:r w:rsidRPr="003D5174">
        <w:rPr>
          <w:rFonts w:ascii="Times New Roman" w:hAnsi="Times New Roman" w:cs="Times New Roman"/>
        </w:rPr>
        <w:t>Table 5: BDS test results on residuals of SVR model for Cashew nut prices</w:t>
      </w:r>
    </w:p>
    <w:tbl>
      <w:tblPr>
        <w:tblStyle w:val="TableGrid"/>
        <w:tblW w:w="5075" w:type="pct"/>
        <w:tblLook w:val="04A0" w:firstRow="1" w:lastRow="0" w:firstColumn="1" w:lastColumn="0" w:noHBand="0" w:noVBand="1"/>
      </w:tblPr>
      <w:tblGrid>
        <w:gridCol w:w="1715"/>
        <w:gridCol w:w="2152"/>
        <w:gridCol w:w="2004"/>
        <w:gridCol w:w="1827"/>
        <w:gridCol w:w="1683"/>
      </w:tblGrid>
      <w:tr w:rsidR="00CC4BA6" w:rsidRPr="003D5174" w14:paraId="182085AD" w14:textId="77777777" w:rsidTr="00487C3C">
        <w:trPr>
          <w:trHeight w:val="327"/>
        </w:trPr>
        <w:tc>
          <w:tcPr>
            <w:tcW w:w="914" w:type="pct"/>
            <w:vMerge w:val="restart"/>
            <w:vAlign w:val="center"/>
            <w:hideMark/>
          </w:tcPr>
          <w:p w14:paraId="7D6D89E6" w14:textId="77777777" w:rsidR="00CC4BA6" w:rsidRPr="003D5174" w:rsidRDefault="00CC4BA6" w:rsidP="00027409">
            <w:pPr>
              <w:tabs>
                <w:tab w:val="left" w:pos="720"/>
              </w:tabs>
              <w:spacing w:after="140" w:line="360" w:lineRule="auto"/>
              <w:ind w:firstLine="22"/>
              <w:jc w:val="center"/>
              <w:rPr>
                <w:rFonts w:ascii="Times New Roman" w:hAnsi="Times New Roman" w:cs="Times New Roman"/>
                <w:b/>
                <w:bCs/>
              </w:rPr>
            </w:pPr>
            <w:r w:rsidRPr="003D5174">
              <w:rPr>
                <w:rFonts w:ascii="Times New Roman" w:hAnsi="Times New Roman" w:cs="Times New Roman"/>
                <w:b/>
                <w:bCs/>
              </w:rPr>
              <w:t>Embedding Dimension</w:t>
            </w:r>
          </w:p>
        </w:tc>
        <w:tc>
          <w:tcPr>
            <w:tcW w:w="4086" w:type="pct"/>
            <w:gridSpan w:val="4"/>
            <w:vAlign w:val="center"/>
          </w:tcPr>
          <w:p w14:paraId="6E5042D3" w14:textId="77777777" w:rsidR="00CC4BA6" w:rsidRPr="003D5174" w:rsidRDefault="00CC4BA6" w:rsidP="00027409">
            <w:pPr>
              <w:tabs>
                <w:tab w:val="left" w:pos="720"/>
              </w:tabs>
              <w:spacing w:after="140" w:line="360" w:lineRule="auto"/>
              <w:jc w:val="center"/>
              <w:rPr>
                <w:rFonts w:ascii="Times New Roman" w:hAnsi="Times New Roman" w:cs="Times New Roman"/>
                <w:b/>
                <w:bCs/>
              </w:rPr>
            </w:pPr>
            <w:r w:rsidRPr="003D5174">
              <w:rPr>
                <w:rFonts w:ascii="Times New Roman" w:hAnsi="Times New Roman" w:cs="Times New Roman"/>
                <w:b/>
                <w:bCs/>
              </w:rPr>
              <w:t>Epsilon</w:t>
            </w:r>
          </w:p>
        </w:tc>
      </w:tr>
      <w:tr w:rsidR="00CC4BA6" w:rsidRPr="003D5174" w14:paraId="24A10100" w14:textId="77777777" w:rsidTr="00487C3C">
        <w:trPr>
          <w:trHeight w:val="377"/>
        </w:trPr>
        <w:tc>
          <w:tcPr>
            <w:tcW w:w="914" w:type="pct"/>
            <w:vMerge/>
            <w:vAlign w:val="center"/>
          </w:tcPr>
          <w:p w14:paraId="32B4FC6A" w14:textId="77777777" w:rsidR="00CC4BA6" w:rsidRPr="003D5174" w:rsidRDefault="00CC4BA6" w:rsidP="00027409">
            <w:pPr>
              <w:tabs>
                <w:tab w:val="left" w:pos="720"/>
              </w:tabs>
              <w:spacing w:after="140" w:line="360" w:lineRule="auto"/>
              <w:ind w:firstLine="720"/>
              <w:rPr>
                <w:rFonts w:ascii="Times New Roman" w:hAnsi="Times New Roman" w:cs="Times New Roman"/>
                <w:b/>
                <w:bCs/>
              </w:rPr>
            </w:pPr>
          </w:p>
        </w:tc>
        <w:tc>
          <w:tcPr>
            <w:tcW w:w="1147" w:type="pct"/>
            <w:vAlign w:val="center"/>
          </w:tcPr>
          <w:p w14:paraId="64443BAF" w14:textId="77777777" w:rsidR="00CC4BA6" w:rsidRPr="003D5174" w:rsidRDefault="00CC4BA6" w:rsidP="00027409">
            <w:pPr>
              <w:tabs>
                <w:tab w:val="left" w:pos="720"/>
              </w:tabs>
              <w:spacing w:after="140" w:line="360" w:lineRule="auto"/>
              <w:jc w:val="center"/>
              <w:rPr>
                <w:rFonts w:ascii="Times New Roman" w:hAnsi="Times New Roman" w:cs="Times New Roman"/>
                <w:b/>
                <w:bCs/>
              </w:rPr>
            </w:pPr>
            <w:r w:rsidRPr="003D5174">
              <w:rPr>
                <w:rFonts w:ascii="Times New Roman" w:hAnsi="Times New Roman" w:cs="Times New Roman"/>
                <w:b/>
                <w:bCs/>
              </w:rPr>
              <w:t>12.813</w:t>
            </w:r>
          </w:p>
        </w:tc>
        <w:tc>
          <w:tcPr>
            <w:tcW w:w="1068" w:type="pct"/>
            <w:vAlign w:val="center"/>
          </w:tcPr>
          <w:p w14:paraId="28B285DD" w14:textId="77777777" w:rsidR="00CC4BA6" w:rsidRPr="003D5174" w:rsidRDefault="00CC4BA6" w:rsidP="00027409">
            <w:pPr>
              <w:tabs>
                <w:tab w:val="left" w:pos="720"/>
              </w:tabs>
              <w:spacing w:after="140" w:line="360" w:lineRule="auto"/>
              <w:jc w:val="center"/>
              <w:rPr>
                <w:rFonts w:ascii="Times New Roman" w:hAnsi="Times New Roman" w:cs="Times New Roman"/>
                <w:b/>
                <w:bCs/>
              </w:rPr>
            </w:pPr>
            <w:r w:rsidRPr="003D5174">
              <w:rPr>
                <w:rFonts w:ascii="Times New Roman" w:hAnsi="Times New Roman" w:cs="Times New Roman"/>
                <w:b/>
                <w:bCs/>
              </w:rPr>
              <w:t>25.626</w:t>
            </w:r>
          </w:p>
        </w:tc>
        <w:tc>
          <w:tcPr>
            <w:tcW w:w="974" w:type="pct"/>
            <w:vAlign w:val="center"/>
          </w:tcPr>
          <w:p w14:paraId="63C6283B" w14:textId="77777777" w:rsidR="00CC4BA6" w:rsidRPr="003D5174" w:rsidRDefault="00CC4BA6" w:rsidP="00027409">
            <w:pPr>
              <w:tabs>
                <w:tab w:val="left" w:pos="720"/>
              </w:tabs>
              <w:spacing w:after="140" w:line="360" w:lineRule="auto"/>
              <w:jc w:val="center"/>
              <w:rPr>
                <w:rFonts w:ascii="Times New Roman" w:hAnsi="Times New Roman" w:cs="Times New Roman"/>
                <w:b/>
                <w:bCs/>
              </w:rPr>
            </w:pPr>
            <w:r w:rsidRPr="003D5174">
              <w:rPr>
                <w:rFonts w:ascii="Times New Roman" w:hAnsi="Times New Roman" w:cs="Times New Roman"/>
                <w:b/>
                <w:bCs/>
              </w:rPr>
              <w:t>38.439</w:t>
            </w:r>
          </w:p>
        </w:tc>
        <w:tc>
          <w:tcPr>
            <w:tcW w:w="897" w:type="pct"/>
            <w:vAlign w:val="center"/>
          </w:tcPr>
          <w:p w14:paraId="44023B12" w14:textId="77777777" w:rsidR="00CC4BA6" w:rsidRPr="003D5174" w:rsidRDefault="00CC4BA6" w:rsidP="00027409">
            <w:pPr>
              <w:tabs>
                <w:tab w:val="left" w:pos="720"/>
              </w:tabs>
              <w:spacing w:after="140" w:line="360" w:lineRule="auto"/>
              <w:jc w:val="center"/>
              <w:rPr>
                <w:rFonts w:ascii="Times New Roman" w:hAnsi="Times New Roman" w:cs="Times New Roman"/>
                <w:b/>
                <w:bCs/>
              </w:rPr>
            </w:pPr>
            <w:r w:rsidRPr="003D5174">
              <w:rPr>
                <w:rFonts w:ascii="Times New Roman" w:hAnsi="Times New Roman" w:cs="Times New Roman"/>
                <w:b/>
                <w:bCs/>
              </w:rPr>
              <w:t>51.253</w:t>
            </w:r>
          </w:p>
        </w:tc>
      </w:tr>
      <w:tr w:rsidR="00CC4BA6" w:rsidRPr="003D5174" w14:paraId="4EB34A9F" w14:textId="77777777" w:rsidTr="00487C3C">
        <w:tc>
          <w:tcPr>
            <w:tcW w:w="914" w:type="pct"/>
            <w:vAlign w:val="center"/>
            <w:hideMark/>
          </w:tcPr>
          <w:p w14:paraId="4FB02036" w14:textId="77777777" w:rsidR="00CC4BA6" w:rsidRPr="003D5174" w:rsidRDefault="00CC4BA6" w:rsidP="00027409">
            <w:pPr>
              <w:tabs>
                <w:tab w:val="left" w:pos="720"/>
              </w:tabs>
              <w:spacing w:after="140" w:line="360" w:lineRule="auto"/>
              <w:ind w:firstLine="22"/>
              <w:jc w:val="center"/>
              <w:rPr>
                <w:rFonts w:ascii="Times New Roman" w:hAnsi="Times New Roman" w:cs="Times New Roman"/>
              </w:rPr>
            </w:pPr>
            <w:r w:rsidRPr="003D5174">
              <w:rPr>
                <w:rFonts w:ascii="Times New Roman" w:hAnsi="Times New Roman" w:cs="Times New Roman"/>
                <w:bCs/>
              </w:rPr>
              <w:t>2</w:t>
            </w:r>
          </w:p>
        </w:tc>
        <w:tc>
          <w:tcPr>
            <w:tcW w:w="1147" w:type="pct"/>
            <w:vAlign w:val="center"/>
            <w:hideMark/>
          </w:tcPr>
          <w:p w14:paraId="32D08ED6"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35.978**,</w:t>
            </w:r>
          </w:p>
          <w:p w14:paraId="06046BB5"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c>
          <w:tcPr>
            <w:tcW w:w="1068" w:type="pct"/>
            <w:vAlign w:val="center"/>
            <w:hideMark/>
          </w:tcPr>
          <w:p w14:paraId="72A4A890"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15.4632**,</w:t>
            </w:r>
          </w:p>
          <w:p w14:paraId="31E383CA"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c>
          <w:tcPr>
            <w:tcW w:w="974" w:type="pct"/>
            <w:vAlign w:val="center"/>
            <w:hideMark/>
          </w:tcPr>
          <w:p w14:paraId="0043B062"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11.1282**,</w:t>
            </w:r>
          </w:p>
          <w:p w14:paraId="3FD24477"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c>
          <w:tcPr>
            <w:tcW w:w="897" w:type="pct"/>
            <w:vAlign w:val="center"/>
            <w:hideMark/>
          </w:tcPr>
          <w:p w14:paraId="00997129"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9.2837**,</w:t>
            </w:r>
          </w:p>
          <w:p w14:paraId="1996F149"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r>
      <w:tr w:rsidR="00CC4BA6" w:rsidRPr="003D5174" w14:paraId="471EE667" w14:textId="77777777" w:rsidTr="00487C3C">
        <w:tc>
          <w:tcPr>
            <w:tcW w:w="914" w:type="pct"/>
            <w:vAlign w:val="center"/>
            <w:hideMark/>
          </w:tcPr>
          <w:p w14:paraId="4F429794" w14:textId="77777777" w:rsidR="00CC4BA6" w:rsidRPr="003D5174" w:rsidRDefault="00CC4BA6" w:rsidP="00027409">
            <w:pPr>
              <w:tabs>
                <w:tab w:val="left" w:pos="720"/>
              </w:tabs>
              <w:spacing w:after="140" w:line="360" w:lineRule="auto"/>
              <w:ind w:firstLine="22"/>
              <w:jc w:val="center"/>
              <w:rPr>
                <w:rFonts w:ascii="Times New Roman" w:hAnsi="Times New Roman" w:cs="Times New Roman"/>
              </w:rPr>
            </w:pPr>
            <w:r w:rsidRPr="003D5174">
              <w:rPr>
                <w:rFonts w:ascii="Times New Roman" w:hAnsi="Times New Roman" w:cs="Times New Roman"/>
                <w:bCs/>
              </w:rPr>
              <w:t>5</w:t>
            </w:r>
          </w:p>
        </w:tc>
        <w:tc>
          <w:tcPr>
            <w:tcW w:w="1147" w:type="pct"/>
            <w:vAlign w:val="center"/>
            <w:hideMark/>
          </w:tcPr>
          <w:p w14:paraId="48BDFAE2"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52.1343**,</w:t>
            </w:r>
          </w:p>
          <w:p w14:paraId="3B4E7C14"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c>
          <w:tcPr>
            <w:tcW w:w="1068" w:type="pct"/>
            <w:vAlign w:val="center"/>
            <w:hideMark/>
          </w:tcPr>
          <w:p w14:paraId="4CFAEC26"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W=13.0969**,</w:t>
            </w:r>
          </w:p>
          <w:p w14:paraId="51424253"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c>
          <w:tcPr>
            <w:tcW w:w="974" w:type="pct"/>
            <w:vAlign w:val="center"/>
            <w:hideMark/>
          </w:tcPr>
          <w:p w14:paraId="75F73FCB"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10.2981**,</w:t>
            </w:r>
          </w:p>
          <w:p w14:paraId="29574030"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c>
          <w:tcPr>
            <w:tcW w:w="897" w:type="pct"/>
            <w:vAlign w:val="center"/>
            <w:hideMark/>
          </w:tcPr>
          <w:p w14:paraId="13464B6E"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7.2266**,</w:t>
            </w:r>
          </w:p>
          <w:p w14:paraId="0AC87436"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r>
      <w:tr w:rsidR="00CC4BA6" w:rsidRPr="003D5174" w14:paraId="4042CEF8" w14:textId="77777777" w:rsidTr="00487C3C">
        <w:tc>
          <w:tcPr>
            <w:tcW w:w="914" w:type="pct"/>
            <w:vAlign w:val="center"/>
            <w:hideMark/>
          </w:tcPr>
          <w:p w14:paraId="0779CC65" w14:textId="77777777" w:rsidR="00CC4BA6" w:rsidRPr="003D5174" w:rsidRDefault="00CC4BA6" w:rsidP="00027409">
            <w:pPr>
              <w:tabs>
                <w:tab w:val="left" w:pos="720"/>
              </w:tabs>
              <w:spacing w:after="140" w:line="360" w:lineRule="auto"/>
              <w:ind w:firstLine="22"/>
              <w:jc w:val="center"/>
              <w:rPr>
                <w:rFonts w:ascii="Times New Roman" w:hAnsi="Times New Roman" w:cs="Times New Roman"/>
              </w:rPr>
            </w:pPr>
            <w:r w:rsidRPr="003D5174">
              <w:rPr>
                <w:rFonts w:ascii="Times New Roman" w:hAnsi="Times New Roman" w:cs="Times New Roman"/>
                <w:bCs/>
              </w:rPr>
              <w:t>10</w:t>
            </w:r>
          </w:p>
        </w:tc>
        <w:tc>
          <w:tcPr>
            <w:tcW w:w="1147" w:type="pct"/>
            <w:vAlign w:val="center"/>
            <w:hideMark/>
          </w:tcPr>
          <w:p w14:paraId="66A30366"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W=3.2017**,</w:t>
            </w:r>
          </w:p>
          <w:p w14:paraId="16C64F8D"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c>
          <w:tcPr>
            <w:tcW w:w="1068" w:type="pct"/>
            <w:vAlign w:val="center"/>
            <w:hideMark/>
          </w:tcPr>
          <w:p w14:paraId="50E6927D"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W=40.385**,</w:t>
            </w:r>
          </w:p>
          <w:p w14:paraId="388E9D14"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c>
          <w:tcPr>
            <w:tcW w:w="974" w:type="pct"/>
            <w:vAlign w:val="center"/>
            <w:hideMark/>
          </w:tcPr>
          <w:p w14:paraId="522CCFAC"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9.1105**,</w:t>
            </w:r>
          </w:p>
          <w:p w14:paraId="1C27D74C"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c>
          <w:tcPr>
            <w:tcW w:w="897" w:type="pct"/>
            <w:vAlign w:val="center"/>
            <w:hideMark/>
          </w:tcPr>
          <w:p w14:paraId="3F7B41F8"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W= 5.6364**,</w:t>
            </w:r>
          </w:p>
          <w:p w14:paraId="769EAC3E" w14:textId="77777777" w:rsidR="00CC4BA6" w:rsidRPr="003D5174" w:rsidRDefault="00CC4BA6" w:rsidP="00027409">
            <w:pPr>
              <w:tabs>
                <w:tab w:val="left" w:pos="720"/>
              </w:tabs>
              <w:spacing w:line="360" w:lineRule="auto"/>
              <w:jc w:val="center"/>
              <w:rPr>
                <w:rFonts w:ascii="Times New Roman" w:hAnsi="Times New Roman" w:cs="Times New Roman"/>
              </w:rPr>
            </w:pPr>
            <w:r w:rsidRPr="003D5174">
              <w:rPr>
                <w:rFonts w:ascii="Times New Roman" w:hAnsi="Times New Roman" w:cs="Times New Roman"/>
              </w:rPr>
              <w:t>p = 0.000</w:t>
            </w:r>
          </w:p>
        </w:tc>
      </w:tr>
    </w:tbl>
    <w:p w14:paraId="5E0AD117" w14:textId="09F4928D" w:rsidR="00CC4BA6" w:rsidRPr="003D5174" w:rsidRDefault="00CC4BA6" w:rsidP="00027409">
      <w:pPr>
        <w:spacing w:line="360" w:lineRule="auto"/>
        <w:rPr>
          <w:rFonts w:ascii="Times New Roman" w:hAnsi="Times New Roman" w:cs="Times New Roman"/>
        </w:rPr>
      </w:pPr>
      <w:r w:rsidRPr="003D5174">
        <w:rPr>
          <w:rFonts w:ascii="Times New Roman" w:hAnsi="Times New Roman" w:cs="Times New Roman"/>
        </w:rPr>
        <w:t>*</w:t>
      </w:r>
      <w:r w:rsidR="008A62C3" w:rsidRPr="003D5174">
        <w:rPr>
          <w:rFonts w:ascii="Times New Roman" w:hAnsi="Times New Roman" w:cs="Times New Roman"/>
        </w:rPr>
        <w:t>*: Significant</w:t>
      </w:r>
      <w:r w:rsidRPr="003D5174">
        <w:rPr>
          <w:rFonts w:ascii="Times New Roman" w:hAnsi="Times New Roman" w:cs="Times New Roman"/>
        </w:rPr>
        <w:t xml:space="preserve"> at the 1% level (p &lt; 0.01)</w:t>
      </w:r>
    </w:p>
    <w:p w14:paraId="1F1B4D6E" w14:textId="4084CC4B" w:rsidR="00CC4BA6" w:rsidRPr="003D5174" w:rsidRDefault="00CC4BA6" w:rsidP="00027409">
      <w:pPr>
        <w:tabs>
          <w:tab w:val="left" w:pos="720"/>
        </w:tabs>
        <w:spacing w:after="140" w:line="360" w:lineRule="auto"/>
        <w:ind w:left="1440" w:hanging="1440"/>
        <w:jc w:val="both"/>
        <w:rPr>
          <w:rFonts w:ascii="Times New Roman" w:hAnsi="Times New Roman" w:cs="Times New Roman"/>
          <w:b/>
          <w:bCs/>
        </w:rPr>
      </w:pPr>
      <w:r w:rsidRPr="003D5174">
        <w:rPr>
          <w:rFonts w:ascii="Times New Roman" w:hAnsi="Times New Roman" w:cs="Times New Roman"/>
        </w:rPr>
        <w:t xml:space="preserve">Table 6: BDS test results on residuals of ARIMA+SVR model for </w:t>
      </w:r>
      <w:r w:rsidR="001B2FCC">
        <w:rPr>
          <w:rFonts w:ascii="Times New Roman" w:hAnsi="Times New Roman" w:cs="Times New Roman"/>
        </w:rPr>
        <w:t>Cashew nut</w:t>
      </w:r>
      <w:r w:rsidRPr="003D5174">
        <w:rPr>
          <w:rFonts w:ascii="Times New Roman" w:hAnsi="Times New Roman" w:cs="Times New Roman"/>
        </w:rPr>
        <w:t xml:space="preserve"> prices</w:t>
      </w:r>
    </w:p>
    <w:tbl>
      <w:tblPr>
        <w:tblStyle w:val="TableGrid"/>
        <w:tblW w:w="8784" w:type="dxa"/>
        <w:tblLook w:val="04A0" w:firstRow="1" w:lastRow="0" w:firstColumn="1" w:lastColumn="0" w:noHBand="0" w:noVBand="1"/>
      </w:tblPr>
      <w:tblGrid>
        <w:gridCol w:w="1552"/>
        <w:gridCol w:w="1978"/>
        <w:gridCol w:w="1994"/>
        <w:gridCol w:w="1701"/>
        <w:gridCol w:w="1559"/>
      </w:tblGrid>
      <w:tr w:rsidR="00CC4BA6" w:rsidRPr="003D5174" w14:paraId="55C26461" w14:textId="77777777" w:rsidTr="007A1B0B">
        <w:trPr>
          <w:trHeight w:val="418"/>
        </w:trPr>
        <w:tc>
          <w:tcPr>
            <w:tcW w:w="1552" w:type="dxa"/>
            <w:vMerge w:val="restart"/>
            <w:hideMark/>
          </w:tcPr>
          <w:p w14:paraId="75763D57" w14:textId="77777777" w:rsidR="00CC4BA6" w:rsidRPr="003D5174" w:rsidRDefault="00CC4BA6" w:rsidP="00027409">
            <w:pPr>
              <w:tabs>
                <w:tab w:val="left" w:pos="720"/>
              </w:tabs>
              <w:spacing w:before="80" w:after="80" w:line="360" w:lineRule="auto"/>
              <w:jc w:val="center"/>
              <w:rPr>
                <w:rFonts w:ascii="Times New Roman" w:hAnsi="Times New Roman" w:cs="Times New Roman"/>
                <w:b/>
                <w:bCs/>
              </w:rPr>
            </w:pPr>
            <w:r w:rsidRPr="003D5174">
              <w:rPr>
                <w:rFonts w:ascii="Times New Roman" w:hAnsi="Times New Roman" w:cs="Times New Roman"/>
                <w:b/>
                <w:bCs/>
              </w:rPr>
              <w:t>Embedding Dimension</w:t>
            </w:r>
          </w:p>
        </w:tc>
        <w:tc>
          <w:tcPr>
            <w:tcW w:w="7232" w:type="dxa"/>
            <w:gridSpan w:val="4"/>
          </w:tcPr>
          <w:p w14:paraId="541C1E47" w14:textId="77777777" w:rsidR="00CC4BA6" w:rsidRPr="003D5174" w:rsidRDefault="00CC4BA6" w:rsidP="00027409">
            <w:pPr>
              <w:tabs>
                <w:tab w:val="left" w:pos="720"/>
              </w:tabs>
              <w:spacing w:before="80" w:after="80" w:line="360" w:lineRule="auto"/>
              <w:ind w:firstLine="40"/>
              <w:jc w:val="center"/>
              <w:rPr>
                <w:rFonts w:ascii="Times New Roman" w:hAnsi="Times New Roman" w:cs="Times New Roman"/>
                <w:b/>
                <w:bCs/>
              </w:rPr>
            </w:pPr>
            <w:r w:rsidRPr="003D5174">
              <w:rPr>
                <w:rFonts w:ascii="Times New Roman" w:hAnsi="Times New Roman" w:cs="Times New Roman"/>
                <w:b/>
                <w:bCs/>
              </w:rPr>
              <w:t>Epsilon</w:t>
            </w:r>
          </w:p>
        </w:tc>
      </w:tr>
      <w:tr w:rsidR="00CC4BA6" w:rsidRPr="003D5174" w14:paraId="26BBE49D" w14:textId="77777777" w:rsidTr="007A1B0B">
        <w:trPr>
          <w:trHeight w:val="321"/>
        </w:trPr>
        <w:tc>
          <w:tcPr>
            <w:tcW w:w="1552" w:type="dxa"/>
            <w:vMerge/>
          </w:tcPr>
          <w:p w14:paraId="1D91CE3C" w14:textId="77777777" w:rsidR="00CC4BA6" w:rsidRPr="003D5174" w:rsidRDefault="00CC4BA6" w:rsidP="00027409">
            <w:pPr>
              <w:tabs>
                <w:tab w:val="left" w:pos="720"/>
              </w:tabs>
              <w:spacing w:before="80" w:after="80" w:line="360" w:lineRule="auto"/>
              <w:jc w:val="center"/>
              <w:rPr>
                <w:rFonts w:ascii="Times New Roman" w:hAnsi="Times New Roman" w:cs="Times New Roman"/>
                <w:b/>
                <w:bCs/>
              </w:rPr>
            </w:pPr>
          </w:p>
        </w:tc>
        <w:tc>
          <w:tcPr>
            <w:tcW w:w="1978" w:type="dxa"/>
          </w:tcPr>
          <w:p w14:paraId="7DA183F9" w14:textId="77777777" w:rsidR="00CC4BA6" w:rsidRPr="003D5174" w:rsidRDefault="00CC4BA6" w:rsidP="00027409">
            <w:pPr>
              <w:tabs>
                <w:tab w:val="left" w:pos="720"/>
              </w:tabs>
              <w:spacing w:line="360" w:lineRule="auto"/>
              <w:ind w:firstLine="40"/>
              <w:jc w:val="center"/>
              <w:rPr>
                <w:rFonts w:ascii="Times New Roman" w:hAnsi="Times New Roman" w:cs="Times New Roman"/>
                <w:b/>
                <w:bCs/>
              </w:rPr>
            </w:pPr>
            <w:r w:rsidRPr="003D5174">
              <w:rPr>
                <w:rFonts w:ascii="Times New Roman" w:hAnsi="Times New Roman" w:cs="Times New Roman"/>
                <w:b/>
                <w:bCs/>
              </w:rPr>
              <w:t>7.124</w:t>
            </w:r>
          </w:p>
        </w:tc>
        <w:tc>
          <w:tcPr>
            <w:tcW w:w="1994" w:type="dxa"/>
          </w:tcPr>
          <w:p w14:paraId="3850DFCB" w14:textId="77777777" w:rsidR="00CC4BA6" w:rsidRPr="003D5174" w:rsidRDefault="00CC4BA6" w:rsidP="00027409">
            <w:pPr>
              <w:tabs>
                <w:tab w:val="left" w:pos="720"/>
              </w:tabs>
              <w:spacing w:line="360" w:lineRule="auto"/>
              <w:ind w:firstLine="40"/>
              <w:jc w:val="center"/>
              <w:rPr>
                <w:rFonts w:ascii="Times New Roman" w:hAnsi="Times New Roman" w:cs="Times New Roman"/>
                <w:b/>
                <w:bCs/>
              </w:rPr>
            </w:pPr>
            <w:r w:rsidRPr="003D5174">
              <w:rPr>
                <w:rFonts w:ascii="Times New Roman" w:hAnsi="Times New Roman" w:cs="Times New Roman"/>
                <w:b/>
                <w:bCs/>
              </w:rPr>
              <w:t>14.247</w:t>
            </w:r>
          </w:p>
        </w:tc>
        <w:tc>
          <w:tcPr>
            <w:tcW w:w="1701" w:type="dxa"/>
          </w:tcPr>
          <w:p w14:paraId="11A63DA6" w14:textId="77777777" w:rsidR="00CC4BA6" w:rsidRPr="003D5174" w:rsidRDefault="00CC4BA6" w:rsidP="00027409">
            <w:pPr>
              <w:tabs>
                <w:tab w:val="left" w:pos="720"/>
              </w:tabs>
              <w:spacing w:line="360" w:lineRule="auto"/>
              <w:ind w:firstLine="40"/>
              <w:jc w:val="center"/>
              <w:rPr>
                <w:rFonts w:ascii="Times New Roman" w:hAnsi="Times New Roman" w:cs="Times New Roman"/>
                <w:b/>
                <w:bCs/>
              </w:rPr>
            </w:pPr>
            <w:r w:rsidRPr="003D5174">
              <w:rPr>
                <w:rFonts w:ascii="Times New Roman" w:hAnsi="Times New Roman" w:cs="Times New Roman"/>
                <w:b/>
                <w:bCs/>
              </w:rPr>
              <w:t>21.371</w:t>
            </w:r>
          </w:p>
        </w:tc>
        <w:tc>
          <w:tcPr>
            <w:tcW w:w="1559" w:type="dxa"/>
          </w:tcPr>
          <w:p w14:paraId="3197C70C" w14:textId="77777777" w:rsidR="00CC4BA6" w:rsidRPr="003D5174" w:rsidRDefault="00CC4BA6" w:rsidP="00027409">
            <w:pPr>
              <w:tabs>
                <w:tab w:val="left" w:pos="720"/>
              </w:tabs>
              <w:spacing w:line="360" w:lineRule="auto"/>
              <w:ind w:firstLine="40"/>
              <w:jc w:val="center"/>
              <w:rPr>
                <w:rFonts w:ascii="Times New Roman" w:hAnsi="Times New Roman" w:cs="Times New Roman"/>
                <w:b/>
                <w:bCs/>
              </w:rPr>
            </w:pPr>
            <w:r w:rsidRPr="003D5174">
              <w:rPr>
                <w:rFonts w:ascii="Times New Roman" w:hAnsi="Times New Roman" w:cs="Times New Roman"/>
                <w:b/>
                <w:bCs/>
              </w:rPr>
              <w:t>28.494</w:t>
            </w:r>
          </w:p>
        </w:tc>
      </w:tr>
      <w:tr w:rsidR="00CC4BA6" w:rsidRPr="003D5174" w14:paraId="5FA87BB4" w14:textId="77777777" w:rsidTr="007A1B0B">
        <w:tc>
          <w:tcPr>
            <w:tcW w:w="1552" w:type="dxa"/>
            <w:hideMark/>
          </w:tcPr>
          <w:p w14:paraId="113E18EE" w14:textId="77777777" w:rsidR="00CC4BA6" w:rsidRPr="003D5174" w:rsidRDefault="00CC4BA6" w:rsidP="00027409">
            <w:pPr>
              <w:tabs>
                <w:tab w:val="left" w:pos="720"/>
              </w:tabs>
              <w:spacing w:before="80" w:after="80" w:line="360" w:lineRule="auto"/>
              <w:jc w:val="center"/>
              <w:rPr>
                <w:rFonts w:ascii="Times New Roman" w:hAnsi="Times New Roman" w:cs="Times New Roman"/>
              </w:rPr>
            </w:pPr>
            <w:r w:rsidRPr="003D5174">
              <w:rPr>
                <w:rFonts w:ascii="Times New Roman" w:hAnsi="Times New Roman" w:cs="Times New Roman"/>
                <w:b/>
                <w:bCs/>
              </w:rPr>
              <w:t>2</w:t>
            </w:r>
          </w:p>
        </w:tc>
        <w:tc>
          <w:tcPr>
            <w:tcW w:w="1978" w:type="dxa"/>
            <w:hideMark/>
          </w:tcPr>
          <w:p w14:paraId="164F174A"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 xml:space="preserve">W= -1.2327, </w:t>
            </w:r>
          </w:p>
          <w:p w14:paraId="733D2787" w14:textId="77777777" w:rsidR="00CC4BA6" w:rsidRPr="003D5174" w:rsidRDefault="00CC4BA6" w:rsidP="00027409">
            <w:pPr>
              <w:tabs>
                <w:tab w:val="left" w:pos="720"/>
              </w:tabs>
              <w:spacing w:line="360" w:lineRule="auto"/>
              <w:ind w:firstLine="40"/>
              <w:jc w:val="center"/>
              <w:rPr>
                <w:rFonts w:ascii="Times New Roman" w:hAnsi="Times New Roman" w:cs="Times New Roman"/>
                <w:vertAlign w:val="superscript"/>
              </w:rPr>
            </w:pPr>
            <w:r w:rsidRPr="003D5174">
              <w:rPr>
                <w:rFonts w:ascii="Times New Roman" w:hAnsi="Times New Roman" w:cs="Times New Roman"/>
              </w:rPr>
              <w:t>p = 0.2177</w:t>
            </w:r>
          </w:p>
        </w:tc>
        <w:tc>
          <w:tcPr>
            <w:tcW w:w="1994" w:type="dxa"/>
          </w:tcPr>
          <w:p w14:paraId="0C226859"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-1.2858,</w:t>
            </w:r>
          </w:p>
          <w:p w14:paraId="1F09CD04"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0.1985</w:t>
            </w:r>
          </w:p>
        </w:tc>
        <w:tc>
          <w:tcPr>
            <w:tcW w:w="1701" w:type="dxa"/>
          </w:tcPr>
          <w:p w14:paraId="560ACC26"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1.0989,</w:t>
            </w:r>
          </w:p>
          <w:p w14:paraId="7746A265"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0.2718</w:t>
            </w:r>
          </w:p>
        </w:tc>
        <w:tc>
          <w:tcPr>
            <w:tcW w:w="1559" w:type="dxa"/>
          </w:tcPr>
          <w:p w14:paraId="6BD0FFAA"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0.0194,</w:t>
            </w:r>
          </w:p>
          <w:p w14:paraId="4BED0A14"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0.9846</w:t>
            </w:r>
          </w:p>
        </w:tc>
      </w:tr>
      <w:tr w:rsidR="00CC4BA6" w:rsidRPr="003D5174" w14:paraId="2787822A" w14:textId="77777777" w:rsidTr="007A1B0B">
        <w:tc>
          <w:tcPr>
            <w:tcW w:w="1552" w:type="dxa"/>
            <w:hideMark/>
          </w:tcPr>
          <w:p w14:paraId="5D9E8B72" w14:textId="77777777" w:rsidR="00CC4BA6" w:rsidRPr="003D5174" w:rsidRDefault="00CC4BA6" w:rsidP="00027409">
            <w:pPr>
              <w:tabs>
                <w:tab w:val="left" w:pos="720"/>
              </w:tabs>
              <w:spacing w:before="80" w:after="80" w:line="360" w:lineRule="auto"/>
              <w:jc w:val="center"/>
              <w:rPr>
                <w:rFonts w:ascii="Times New Roman" w:hAnsi="Times New Roman" w:cs="Times New Roman"/>
              </w:rPr>
            </w:pPr>
            <w:r w:rsidRPr="003D5174">
              <w:rPr>
                <w:rFonts w:ascii="Times New Roman" w:hAnsi="Times New Roman" w:cs="Times New Roman"/>
                <w:b/>
                <w:bCs/>
              </w:rPr>
              <w:t>3</w:t>
            </w:r>
          </w:p>
        </w:tc>
        <w:tc>
          <w:tcPr>
            <w:tcW w:w="1978" w:type="dxa"/>
          </w:tcPr>
          <w:p w14:paraId="26587333"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-0.8813,</w:t>
            </w:r>
          </w:p>
          <w:p w14:paraId="2A483CC0"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0.3781</w:t>
            </w:r>
          </w:p>
        </w:tc>
        <w:tc>
          <w:tcPr>
            <w:tcW w:w="1994" w:type="dxa"/>
          </w:tcPr>
          <w:p w14:paraId="304F67B2"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0.0471,</w:t>
            </w:r>
          </w:p>
          <w:p w14:paraId="7149D840"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0.9625</w:t>
            </w:r>
          </w:p>
        </w:tc>
        <w:tc>
          <w:tcPr>
            <w:tcW w:w="1701" w:type="dxa"/>
          </w:tcPr>
          <w:p w14:paraId="38F9FF1E"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2.3788*,</w:t>
            </w:r>
          </w:p>
          <w:p w14:paraId="69BD0314"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0.01737</w:t>
            </w:r>
          </w:p>
        </w:tc>
        <w:tc>
          <w:tcPr>
            <w:tcW w:w="1559" w:type="dxa"/>
          </w:tcPr>
          <w:p w14:paraId="132C06A9"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1.0149,</w:t>
            </w:r>
          </w:p>
          <w:p w14:paraId="1B08468E"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0.3101</w:t>
            </w:r>
          </w:p>
        </w:tc>
      </w:tr>
      <w:tr w:rsidR="00CC4BA6" w:rsidRPr="003D5174" w14:paraId="27DF7559" w14:textId="77777777" w:rsidTr="007A1B0B">
        <w:tc>
          <w:tcPr>
            <w:tcW w:w="1552" w:type="dxa"/>
            <w:hideMark/>
          </w:tcPr>
          <w:p w14:paraId="1499512A" w14:textId="77777777" w:rsidR="00CC4BA6" w:rsidRPr="003D5174" w:rsidRDefault="00CC4BA6" w:rsidP="00027409">
            <w:pPr>
              <w:tabs>
                <w:tab w:val="left" w:pos="720"/>
              </w:tabs>
              <w:spacing w:before="80" w:after="80" w:line="360" w:lineRule="auto"/>
              <w:jc w:val="center"/>
              <w:rPr>
                <w:rFonts w:ascii="Times New Roman" w:hAnsi="Times New Roman" w:cs="Times New Roman"/>
              </w:rPr>
            </w:pPr>
            <w:r w:rsidRPr="003D5174">
              <w:rPr>
                <w:rFonts w:ascii="Times New Roman" w:hAnsi="Times New Roman" w:cs="Times New Roman"/>
                <w:b/>
                <w:bCs/>
              </w:rPr>
              <w:t>4</w:t>
            </w:r>
          </w:p>
        </w:tc>
        <w:tc>
          <w:tcPr>
            <w:tcW w:w="1978" w:type="dxa"/>
          </w:tcPr>
          <w:p w14:paraId="58CB6BCF"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-0.4289,</w:t>
            </w:r>
          </w:p>
          <w:p w14:paraId="0EF3BCD8" w14:textId="77777777" w:rsidR="00CC4BA6" w:rsidRPr="003D5174" w:rsidRDefault="00CC4BA6" w:rsidP="00027409">
            <w:pPr>
              <w:tabs>
                <w:tab w:val="left" w:pos="720"/>
              </w:tabs>
              <w:spacing w:line="360" w:lineRule="auto"/>
              <w:ind w:firstLine="40"/>
              <w:jc w:val="center"/>
              <w:rPr>
                <w:rFonts w:ascii="Times New Roman" w:hAnsi="Times New Roman" w:cs="Times New Roman"/>
                <w:vertAlign w:val="superscript"/>
              </w:rPr>
            </w:pPr>
            <w:r w:rsidRPr="003D5174">
              <w:rPr>
                <w:rFonts w:ascii="Times New Roman" w:hAnsi="Times New Roman" w:cs="Times New Roman"/>
              </w:rPr>
              <w:t>p = 0.668</w:t>
            </w:r>
          </w:p>
        </w:tc>
        <w:tc>
          <w:tcPr>
            <w:tcW w:w="1994" w:type="dxa"/>
          </w:tcPr>
          <w:p w14:paraId="37A05960"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0.6072,</w:t>
            </w:r>
          </w:p>
          <w:p w14:paraId="1D91867A" w14:textId="77777777" w:rsidR="00CC4BA6" w:rsidRPr="003D5174" w:rsidRDefault="00CC4BA6" w:rsidP="00027409">
            <w:pPr>
              <w:tabs>
                <w:tab w:val="left" w:pos="720"/>
              </w:tabs>
              <w:spacing w:line="360" w:lineRule="auto"/>
              <w:ind w:firstLine="40"/>
              <w:jc w:val="center"/>
              <w:rPr>
                <w:rFonts w:ascii="Times New Roman" w:hAnsi="Times New Roman" w:cs="Times New Roman"/>
                <w:vertAlign w:val="superscript"/>
              </w:rPr>
            </w:pPr>
            <w:r w:rsidRPr="003D5174">
              <w:rPr>
                <w:rFonts w:ascii="Times New Roman" w:hAnsi="Times New Roman" w:cs="Times New Roman"/>
              </w:rPr>
              <w:t>p = 0.5437</w:t>
            </w:r>
          </w:p>
        </w:tc>
        <w:tc>
          <w:tcPr>
            <w:tcW w:w="1701" w:type="dxa"/>
          </w:tcPr>
          <w:p w14:paraId="72E0BE8C"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2.5995**,</w:t>
            </w:r>
          </w:p>
          <w:p w14:paraId="32FB04F6"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0.009336</w:t>
            </w:r>
          </w:p>
        </w:tc>
        <w:tc>
          <w:tcPr>
            <w:tcW w:w="1559" w:type="dxa"/>
          </w:tcPr>
          <w:p w14:paraId="62FA0DD5"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1.4643,</w:t>
            </w:r>
          </w:p>
          <w:p w14:paraId="2DF1949F"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0.1431</w:t>
            </w:r>
          </w:p>
        </w:tc>
      </w:tr>
      <w:tr w:rsidR="00CC4BA6" w:rsidRPr="003D5174" w14:paraId="01957350" w14:textId="77777777" w:rsidTr="007A1B0B">
        <w:tc>
          <w:tcPr>
            <w:tcW w:w="1552" w:type="dxa"/>
            <w:hideMark/>
          </w:tcPr>
          <w:p w14:paraId="42A5AC27" w14:textId="77777777" w:rsidR="00CC4BA6" w:rsidRPr="003D5174" w:rsidRDefault="00CC4BA6" w:rsidP="00027409">
            <w:pPr>
              <w:tabs>
                <w:tab w:val="left" w:pos="720"/>
              </w:tabs>
              <w:spacing w:before="80" w:after="80" w:line="360" w:lineRule="auto"/>
              <w:jc w:val="center"/>
              <w:rPr>
                <w:rFonts w:ascii="Times New Roman" w:hAnsi="Times New Roman" w:cs="Times New Roman"/>
              </w:rPr>
            </w:pPr>
            <w:r w:rsidRPr="003D5174">
              <w:rPr>
                <w:rFonts w:ascii="Times New Roman" w:hAnsi="Times New Roman" w:cs="Times New Roman"/>
                <w:b/>
                <w:bCs/>
              </w:rPr>
              <w:t>5</w:t>
            </w:r>
          </w:p>
        </w:tc>
        <w:tc>
          <w:tcPr>
            <w:tcW w:w="1978" w:type="dxa"/>
          </w:tcPr>
          <w:p w14:paraId="68CA1F52"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0.4156,</w:t>
            </w:r>
          </w:p>
          <w:p w14:paraId="2D206DBF" w14:textId="77777777" w:rsidR="00CC4BA6" w:rsidRPr="003D5174" w:rsidRDefault="00CC4BA6" w:rsidP="00027409">
            <w:pPr>
              <w:tabs>
                <w:tab w:val="left" w:pos="720"/>
              </w:tabs>
              <w:spacing w:line="360" w:lineRule="auto"/>
              <w:ind w:firstLine="40"/>
              <w:jc w:val="center"/>
              <w:rPr>
                <w:rFonts w:ascii="Times New Roman" w:hAnsi="Times New Roman" w:cs="Times New Roman"/>
                <w:vertAlign w:val="superscript"/>
              </w:rPr>
            </w:pPr>
            <w:r w:rsidRPr="003D5174">
              <w:rPr>
                <w:rFonts w:ascii="Times New Roman" w:hAnsi="Times New Roman" w:cs="Times New Roman"/>
              </w:rPr>
              <w:t>p = 0.1725</w:t>
            </w:r>
          </w:p>
        </w:tc>
        <w:tc>
          <w:tcPr>
            <w:tcW w:w="1994" w:type="dxa"/>
          </w:tcPr>
          <w:p w14:paraId="501F13E0"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0.1326,</w:t>
            </w:r>
          </w:p>
          <w:p w14:paraId="534A49E5" w14:textId="77777777" w:rsidR="00CC4BA6" w:rsidRPr="003D5174" w:rsidRDefault="00CC4BA6" w:rsidP="00027409">
            <w:pPr>
              <w:tabs>
                <w:tab w:val="left" w:pos="720"/>
              </w:tabs>
              <w:spacing w:line="360" w:lineRule="auto"/>
              <w:ind w:firstLine="40"/>
              <w:jc w:val="center"/>
              <w:rPr>
                <w:rFonts w:ascii="Times New Roman" w:hAnsi="Times New Roman" w:cs="Times New Roman"/>
                <w:vertAlign w:val="superscript"/>
              </w:rPr>
            </w:pPr>
            <w:r w:rsidRPr="003D5174">
              <w:rPr>
                <w:rFonts w:ascii="Times New Roman" w:hAnsi="Times New Roman" w:cs="Times New Roman"/>
              </w:rPr>
              <w:t>p = 0.8945</w:t>
            </w:r>
          </w:p>
        </w:tc>
        <w:tc>
          <w:tcPr>
            <w:tcW w:w="1701" w:type="dxa"/>
          </w:tcPr>
          <w:p w14:paraId="6401C801"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2.9756**,</w:t>
            </w:r>
          </w:p>
          <w:p w14:paraId="3362CB32"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0.002924</w:t>
            </w:r>
          </w:p>
        </w:tc>
        <w:tc>
          <w:tcPr>
            <w:tcW w:w="1559" w:type="dxa"/>
          </w:tcPr>
          <w:p w14:paraId="701A082A"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1.6006,</w:t>
            </w:r>
          </w:p>
          <w:p w14:paraId="31B82CA5"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0.1095</w:t>
            </w:r>
          </w:p>
        </w:tc>
      </w:tr>
      <w:tr w:rsidR="00CC4BA6" w:rsidRPr="003D5174" w14:paraId="787116EC" w14:textId="77777777" w:rsidTr="007A1B0B">
        <w:tc>
          <w:tcPr>
            <w:tcW w:w="1552" w:type="dxa"/>
            <w:hideMark/>
          </w:tcPr>
          <w:p w14:paraId="5D756E78" w14:textId="77777777" w:rsidR="00CC4BA6" w:rsidRPr="003D5174" w:rsidRDefault="00CC4BA6" w:rsidP="00027409">
            <w:pPr>
              <w:tabs>
                <w:tab w:val="left" w:pos="720"/>
              </w:tabs>
              <w:spacing w:before="80" w:after="80" w:line="360" w:lineRule="auto"/>
              <w:jc w:val="center"/>
              <w:rPr>
                <w:rFonts w:ascii="Times New Roman" w:hAnsi="Times New Roman" w:cs="Times New Roman"/>
              </w:rPr>
            </w:pPr>
            <w:r w:rsidRPr="003D5174">
              <w:rPr>
                <w:rFonts w:ascii="Times New Roman" w:hAnsi="Times New Roman" w:cs="Times New Roman"/>
                <w:b/>
                <w:bCs/>
              </w:rPr>
              <w:lastRenderedPageBreak/>
              <w:t>6</w:t>
            </w:r>
          </w:p>
        </w:tc>
        <w:tc>
          <w:tcPr>
            <w:tcW w:w="1978" w:type="dxa"/>
          </w:tcPr>
          <w:p w14:paraId="7D1BEA73"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1.3643*,</w:t>
            </w:r>
          </w:p>
          <w:p w14:paraId="32FE48EC" w14:textId="77777777" w:rsidR="00CC4BA6" w:rsidRPr="003D5174" w:rsidRDefault="00CC4BA6" w:rsidP="00027409">
            <w:pPr>
              <w:tabs>
                <w:tab w:val="left" w:pos="720"/>
              </w:tabs>
              <w:spacing w:line="360" w:lineRule="auto"/>
              <w:ind w:firstLine="40"/>
              <w:jc w:val="center"/>
              <w:rPr>
                <w:rFonts w:ascii="Times New Roman" w:hAnsi="Times New Roman" w:cs="Times New Roman"/>
                <w:vertAlign w:val="superscript"/>
              </w:rPr>
            </w:pPr>
            <w:r w:rsidRPr="003D5174">
              <w:rPr>
                <w:rFonts w:ascii="Times New Roman" w:hAnsi="Times New Roman" w:cs="Times New Roman"/>
              </w:rPr>
              <w:t>p = 0.04059</w:t>
            </w:r>
          </w:p>
        </w:tc>
        <w:tc>
          <w:tcPr>
            <w:tcW w:w="1994" w:type="dxa"/>
          </w:tcPr>
          <w:p w14:paraId="6040450C"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-0.676,</w:t>
            </w:r>
          </w:p>
          <w:p w14:paraId="1CA5C9DC" w14:textId="77777777" w:rsidR="00CC4BA6" w:rsidRPr="003D5174" w:rsidRDefault="00CC4BA6" w:rsidP="00027409">
            <w:pPr>
              <w:tabs>
                <w:tab w:val="left" w:pos="720"/>
              </w:tabs>
              <w:spacing w:line="360" w:lineRule="auto"/>
              <w:ind w:firstLine="40"/>
              <w:jc w:val="center"/>
              <w:rPr>
                <w:rFonts w:ascii="Times New Roman" w:hAnsi="Times New Roman" w:cs="Times New Roman"/>
                <w:vertAlign w:val="superscript"/>
              </w:rPr>
            </w:pPr>
            <w:r w:rsidRPr="003D5174">
              <w:rPr>
                <w:rFonts w:ascii="Times New Roman" w:hAnsi="Times New Roman" w:cs="Times New Roman"/>
              </w:rPr>
              <w:t>p = 0.499</w:t>
            </w:r>
          </w:p>
        </w:tc>
        <w:tc>
          <w:tcPr>
            <w:tcW w:w="1701" w:type="dxa"/>
          </w:tcPr>
          <w:p w14:paraId="1F3DB100"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2.9931**,</w:t>
            </w:r>
          </w:p>
          <w:p w14:paraId="1CBC09B2"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0.002761</w:t>
            </w:r>
          </w:p>
        </w:tc>
        <w:tc>
          <w:tcPr>
            <w:tcW w:w="1559" w:type="dxa"/>
          </w:tcPr>
          <w:p w14:paraId="74CCAA15"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1.4155,</w:t>
            </w:r>
          </w:p>
          <w:p w14:paraId="6AA5DF36"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0.1569</w:t>
            </w:r>
          </w:p>
        </w:tc>
      </w:tr>
      <w:tr w:rsidR="00CC4BA6" w:rsidRPr="003D5174" w14:paraId="33C16C86" w14:textId="77777777" w:rsidTr="007A1B0B">
        <w:tc>
          <w:tcPr>
            <w:tcW w:w="1552" w:type="dxa"/>
            <w:hideMark/>
          </w:tcPr>
          <w:p w14:paraId="258942B0" w14:textId="77777777" w:rsidR="00CC4BA6" w:rsidRPr="003D5174" w:rsidRDefault="00CC4BA6" w:rsidP="00027409">
            <w:pPr>
              <w:tabs>
                <w:tab w:val="left" w:pos="720"/>
              </w:tabs>
              <w:spacing w:before="80" w:after="80" w:line="360" w:lineRule="auto"/>
              <w:jc w:val="center"/>
              <w:rPr>
                <w:rFonts w:ascii="Times New Roman" w:hAnsi="Times New Roman" w:cs="Times New Roman"/>
              </w:rPr>
            </w:pPr>
            <w:r w:rsidRPr="003D5174">
              <w:rPr>
                <w:rFonts w:ascii="Times New Roman" w:hAnsi="Times New Roman" w:cs="Times New Roman"/>
                <w:b/>
                <w:bCs/>
              </w:rPr>
              <w:t>7</w:t>
            </w:r>
          </w:p>
        </w:tc>
        <w:tc>
          <w:tcPr>
            <w:tcW w:w="1978" w:type="dxa"/>
          </w:tcPr>
          <w:p w14:paraId="1DD02372"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2.0477*,</w:t>
            </w:r>
          </w:p>
          <w:p w14:paraId="54EC8728"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0.04059</w:t>
            </w:r>
          </w:p>
        </w:tc>
        <w:tc>
          <w:tcPr>
            <w:tcW w:w="1994" w:type="dxa"/>
          </w:tcPr>
          <w:p w14:paraId="1109F2F5"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-1.4307,</w:t>
            </w:r>
          </w:p>
          <w:p w14:paraId="45BA6A49"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0.1525</w:t>
            </w:r>
          </w:p>
        </w:tc>
        <w:tc>
          <w:tcPr>
            <w:tcW w:w="1701" w:type="dxa"/>
          </w:tcPr>
          <w:p w14:paraId="1B8C3EB9"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2.9012**,</w:t>
            </w:r>
          </w:p>
          <w:p w14:paraId="6E4F0EA1"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0.003718</w:t>
            </w:r>
          </w:p>
        </w:tc>
        <w:tc>
          <w:tcPr>
            <w:tcW w:w="1559" w:type="dxa"/>
          </w:tcPr>
          <w:p w14:paraId="69F12501"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1.2278,</w:t>
            </w:r>
          </w:p>
          <w:p w14:paraId="63259491"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0.2195</w:t>
            </w:r>
          </w:p>
        </w:tc>
      </w:tr>
      <w:tr w:rsidR="00CC4BA6" w:rsidRPr="003D5174" w14:paraId="6AE3B99D" w14:textId="77777777" w:rsidTr="007A1B0B">
        <w:tc>
          <w:tcPr>
            <w:tcW w:w="1552" w:type="dxa"/>
            <w:hideMark/>
          </w:tcPr>
          <w:p w14:paraId="1E6D0F19" w14:textId="77777777" w:rsidR="00CC4BA6" w:rsidRPr="003D5174" w:rsidRDefault="00CC4BA6" w:rsidP="00027409">
            <w:pPr>
              <w:tabs>
                <w:tab w:val="left" w:pos="720"/>
              </w:tabs>
              <w:spacing w:before="80" w:after="80" w:line="360" w:lineRule="auto"/>
              <w:jc w:val="center"/>
              <w:rPr>
                <w:rFonts w:ascii="Times New Roman" w:hAnsi="Times New Roman" w:cs="Times New Roman"/>
              </w:rPr>
            </w:pPr>
            <w:r w:rsidRPr="003D5174">
              <w:rPr>
                <w:rFonts w:ascii="Times New Roman" w:hAnsi="Times New Roman" w:cs="Times New Roman"/>
                <w:b/>
                <w:bCs/>
              </w:rPr>
              <w:t>8</w:t>
            </w:r>
          </w:p>
        </w:tc>
        <w:tc>
          <w:tcPr>
            <w:tcW w:w="1978" w:type="dxa"/>
          </w:tcPr>
          <w:p w14:paraId="58E8F152"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2.6477**,</w:t>
            </w:r>
          </w:p>
          <w:p w14:paraId="7B7EBC50"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0.008103</w:t>
            </w:r>
          </w:p>
        </w:tc>
        <w:tc>
          <w:tcPr>
            <w:tcW w:w="1994" w:type="dxa"/>
          </w:tcPr>
          <w:p w14:paraId="480B4DFC"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 xml:space="preserve">W= -1.8655, </w:t>
            </w:r>
          </w:p>
          <w:p w14:paraId="74BB9F39"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0.06211</w:t>
            </w:r>
          </w:p>
        </w:tc>
        <w:tc>
          <w:tcPr>
            <w:tcW w:w="1701" w:type="dxa"/>
          </w:tcPr>
          <w:p w14:paraId="5CD85660"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2.8025**,</w:t>
            </w:r>
          </w:p>
          <w:p w14:paraId="727686B3"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0.00507</w:t>
            </w:r>
          </w:p>
        </w:tc>
        <w:tc>
          <w:tcPr>
            <w:tcW w:w="1559" w:type="dxa"/>
          </w:tcPr>
          <w:p w14:paraId="481A7B76"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0.9242,</w:t>
            </w:r>
          </w:p>
          <w:p w14:paraId="3AFF3010"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0.3554</w:t>
            </w:r>
          </w:p>
        </w:tc>
      </w:tr>
      <w:tr w:rsidR="00CC4BA6" w:rsidRPr="003D5174" w14:paraId="79404F26" w14:textId="77777777" w:rsidTr="007A1B0B">
        <w:tc>
          <w:tcPr>
            <w:tcW w:w="1552" w:type="dxa"/>
            <w:hideMark/>
          </w:tcPr>
          <w:p w14:paraId="3D54BA24" w14:textId="77777777" w:rsidR="00CC4BA6" w:rsidRPr="003D5174" w:rsidRDefault="00CC4BA6" w:rsidP="00027409">
            <w:pPr>
              <w:tabs>
                <w:tab w:val="left" w:pos="720"/>
              </w:tabs>
              <w:spacing w:before="80" w:after="80" w:line="360" w:lineRule="auto"/>
              <w:jc w:val="center"/>
              <w:rPr>
                <w:rFonts w:ascii="Times New Roman" w:hAnsi="Times New Roman" w:cs="Times New Roman"/>
              </w:rPr>
            </w:pPr>
            <w:r w:rsidRPr="003D5174">
              <w:rPr>
                <w:rFonts w:ascii="Times New Roman" w:hAnsi="Times New Roman" w:cs="Times New Roman"/>
                <w:b/>
                <w:bCs/>
              </w:rPr>
              <w:t>9</w:t>
            </w:r>
          </w:p>
        </w:tc>
        <w:tc>
          <w:tcPr>
            <w:tcW w:w="1978" w:type="dxa"/>
          </w:tcPr>
          <w:p w14:paraId="7675C586"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3.0649**,</w:t>
            </w:r>
          </w:p>
          <w:p w14:paraId="1F27ACB4"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0.002178</w:t>
            </w:r>
          </w:p>
        </w:tc>
        <w:tc>
          <w:tcPr>
            <w:tcW w:w="1994" w:type="dxa"/>
          </w:tcPr>
          <w:p w14:paraId="50193501"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-1.7192,</w:t>
            </w:r>
          </w:p>
          <w:p w14:paraId="7213495E"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0.08558</w:t>
            </w:r>
          </w:p>
        </w:tc>
        <w:tc>
          <w:tcPr>
            <w:tcW w:w="1701" w:type="dxa"/>
          </w:tcPr>
          <w:p w14:paraId="68F28B77"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2.7359**,</w:t>
            </w:r>
          </w:p>
          <w:p w14:paraId="3BDD38DC"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0.006221</w:t>
            </w:r>
          </w:p>
        </w:tc>
        <w:tc>
          <w:tcPr>
            <w:tcW w:w="1559" w:type="dxa"/>
          </w:tcPr>
          <w:p w14:paraId="30DB2797"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0.898,</w:t>
            </w:r>
          </w:p>
          <w:p w14:paraId="628A9343"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0.3692</w:t>
            </w:r>
          </w:p>
        </w:tc>
      </w:tr>
      <w:tr w:rsidR="00CC4BA6" w:rsidRPr="003D5174" w14:paraId="5AAFFDB2" w14:textId="77777777" w:rsidTr="007A1B0B">
        <w:tc>
          <w:tcPr>
            <w:tcW w:w="1552" w:type="dxa"/>
            <w:hideMark/>
          </w:tcPr>
          <w:p w14:paraId="33294E88" w14:textId="77777777" w:rsidR="00CC4BA6" w:rsidRPr="003D5174" w:rsidRDefault="00CC4BA6" w:rsidP="00027409">
            <w:pPr>
              <w:tabs>
                <w:tab w:val="left" w:pos="720"/>
              </w:tabs>
              <w:spacing w:before="80" w:after="80" w:line="360" w:lineRule="auto"/>
              <w:jc w:val="center"/>
              <w:rPr>
                <w:rFonts w:ascii="Times New Roman" w:hAnsi="Times New Roman" w:cs="Times New Roman"/>
              </w:rPr>
            </w:pPr>
            <w:r w:rsidRPr="003D5174">
              <w:rPr>
                <w:rFonts w:ascii="Times New Roman" w:hAnsi="Times New Roman" w:cs="Times New Roman"/>
                <w:b/>
                <w:bCs/>
              </w:rPr>
              <w:t>10</w:t>
            </w:r>
          </w:p>
        </w:tc>
        <w:tc>
          <w:tcPr>
            <w:tcW w:w="1978" w:type="dxa"/>
          </w:tcPr>
          <w:p w14:paraId="52B67645"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6.3992**,</w:t>
            </w:r>
          </w:p>
          <w:p w14:paraId="3CE41E1E" w14:textId="77777777" w:rsidR="00CC4BA6" w:rsidRPr="003D5174" w:rsidRDefault="00CC4BA6" w:rsidP="00027409">
            <w:pPr>
              <w:tabs>
                <w:tab w:val="left" w:pos="720"/>
              </w:tabs>
              <w:spacing w:line="360" w:lineRule="auto"/>
              <w:ind w:firstLine="40"/>
              <w:jc w:val="center"/>
              <w:rPr>
                <w:rFonts w:ascii="Times New Roman" w:hAnsi="Times New Roman" w:cs="Times New Roman"/>
                <w:vertAlign w:val="superscript"/>
              </w:rPr>
            </w:pPr>
            <w:r w:rsidRPr="003D5174">
              <w:rPr>
                <w:rFonts w:ascii="Times New Roman" w:hAnsi="Times New Roman" w:cs="Times New Roman"/>
              </w:rPr>
              <w:t>p = 1.562×10</w:t>
            </w:r>
            <w:r w:rsidRPr="003D5174">
              <w:rPr>
                <w:rFonts w:ascii="Times New Roman" w:hAnsi="Times New Roman" w:cs="Times New Roman"/>
                <w:vertAlign w:val="superscript"/>
              </w:rPr>
              <w:t>-10</w:t>
            </w:r>
          </w:p>
        </w:tc>
        <w:tc>
          <w:tcPr>
            <w:tcW w:w="1994" w:type="dxa"/>
          </w:tcPr>
          <w:p w14:paraId="166431B4"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-1.1099.</w:t>
            </w:r>
          </w:p>
          <w:p w14:paraId="1CD380D6"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0.2671</w:t>
            </w:r>
          </w:p>
        </w:tc>
        <w:tc>
          <w:tcPr>
            <w:tcW w:w="1701" w:type="dxa"/>
          </w:tcPr>
          <w:p w14:paraId="79025F4A"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2.469*,</w:t>
            </w:r>
          </w:p>
          <w:p w14:paraId="6B0E9A02"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0.01355</w:t>
            </w:r>
          </w:p>
        </w:tc>
        <w:tc>
          <w:tcPr>
            <w:tcW w:w="1559" w:type="dxa"/>
          </w:tcPr>
          <w:p w14:paraId="2A372FCC"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W= 0.9082,</w:t>
            </w:r>
          </w:p>
          <w:p w14:paraId="22315C55" w14:textId="77777777" w:rsidR="00CC4BA6" w:rsidRPr="003D5174" w:rsidRDefault="00CC4BA6" w:rsidP="00027409">
            <w:pPr>
              <w:tabs>
                <w:tab w:val="left" w:pos="720"/>
              </w:tabs>
              <w:spacing w:line="360" w:lineRule="auto"/>
              <w:ind w:firstLine="40"/>
              <w:jc w:val="center"/>
              <w:rPr>
                <w:rFonts w:ascii="Times New Roman" w:hAnsi="Times New Roman" w:cs="Times New Roman"/>
              </w:rPr>
            </w:pPr>
            <w:r w:rsidRPr="003D5174">
              <w:rPr>
                <w:rFonts w:ascii="Times New Roman" w:hAnsi="Times New Roman" w:cs="Times New Roman"/>
              </w:rPr>
              <w:t>p = 0.3638</w:t>
            </w:r>
          </w:p>
        </w:tc>
      </w:tr>
    </w:tbl>
    <w:p w14:paraId="2CA4872F" w14:textId="47DB11F3" w:rsidR="00CC4BA6" w:rsidRPr="003D5174" w:rsidRDefault="00CC4BA6" w:rsidP="00027409">
      <w:pPr>
        <w:tabs>
          <w:tab w:val="left" w:pos="720"/>
        </w:tabs>
        <w:spacing w:after="140" w:line="360" w:lineRule="auto"/>
        <w:jc w:val="both"/>
        <w:rPr>
          <w:rFonts w:ascii="Times New Roman" w:hAnsi="Times New Roman" w:cs="Times New Roman"/>
        </w:rPr>
      </w:pPr>
      <w:r w:rsidRPr="003D5174">
        <w:rPr>
          <w:rFonts w:ascii="Times New Roman" w:hAnsi="Times New Roman" w:cs="Times New Roman"/>
        </w:rPr>
        <w:t>*</w:t>
      </w:r>
      <w:r w:rsidR="008A62C3" w:rsidRPr="003D5174">
        <w:rPr>
          <w:rFonts w:ascii="Times New Roman" w:hAnsi="Times New Roman" w:cs="Times New Roman"/>
        </w:rPr>
        <w:t>*: Significant</w:t>
      </w:r>
      <w:r w:rsidRPr="003D5174">
        <w:rPr>
          <w:rFonts w:ascii="Times New Roman" w:hAnsi="Times New Roman" w:cs="Times New Roman"/>
        </w:rPr>
        <w:t xml:space="preserve"> at the 1% level (p &lt; 0.01), </w:t>
      </w:r>
      <w:r w:rsidR="008A62C3" w:rsidRPr="003D5174">
        <w:rPr>
          <w:rFonts w:ascii="Times New Roman" w:hAnsi="Times New Roman" w:cs="Times New Roman"/>
        </w:rPr>
        <w:t>*: Significant</w:t>
      </w:r>
      <w:r w:rsidRPr="003D5174">
        <w:rPr>
          <w:rFonts w:ascii="Times New Roman" w:hAnsi="Times New Roman" w:cs="Times New Roman"/>
        </w:rPr>
        <w:t xml:space="preserve"> at the 5% level (p &lt; 0.05)</w:t>
      </w:r>
    </w:p>
    <w:p w14:paraId="75C73355" w14:textId="2E8E40AC" w:rsidR="00E306D7" w:rsidRPr="003D5174" w:rsidRDefault="00E306D7"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The diagnostic evaluation using the BDS test (Tables 4</w:t>
      </w:r>
      <w:r w:rsidR="00487C3C">
        <w:rPr>
          <w:rFonts w:ascii="Times New Roman" w:eastAsia="Times New Roman" w:hAnsi="Times New Roman" w:cs="Times New Roman"/>
          <w:kern w:val="0"/>
          <w:lang w:eastAsia="en-IN"/>
          <w14:ligatures w14:val="none"/>
        </w:rPr>
        <w:t xml:space="preserve">, 5 and </w:t>
      </w:r>
      <w:r w:rsidRPr="003D5174">
        <w:rPr>
          <w:rFonts w:ascii="Times New Roman" w:eastAsia="Times New Roman" w:hAnsi="Times New Roman" w:cs="Times New Roman"/>
          <w:kern w:val="0"/>
          <w:lang w:eastAsia="en-IN"/>
          <w14:ligatures w14:val="none"/>
        </w:rPr>
        <w:t xml:space="preserve">6) provides a comprehensive assessment of the adequacy of the fitted models in capturing the underlying structure of the cashew nut price series. </w:t>
      </w:r>
      <w:r w:rsidR="00487C3C">
        <w:rPr>
          <w:rFonts w:ascii="Times New Roman" w:eastAsia="Times New Roman" w:hAnsi="Times New Roman" w:cs="Times New Roman"/>
          <w:kern w:val="0"/>
          <w:lang w:eastAsia="en-IN"/>
          <w14:ligatures w14:val="none"/>
        </w:rPr>
        <w:t xml:space="preserve">As given in Table 4, </w:t>
      </w:r>
      <w:r w:rsidRPr="003D5174">
        <w:rPr>
          <w:rFonts w:ascii="Times New Roman" w:eastAsia="Times New Roman" w:hAnsi="Times New Roman" w:cs="Times New Roman"/>
          <w:kern w:val="0"/>
          <w:lang w:eastAsia="en-IN"/>
          <w14:ligatures w14:val="none"/>
        </w:rPr>
        <w:t>The ARIMA (0,1,5) model exhibits statistically significant BDS statistics across all embedding dimensions and epsilon values, indicating strong nonlinear dependence in the residuals. This confirms that, although the model adequately c</w:t>
      </w:r>
      <w:r w:rsidR="007A1B0B" w:rsidRPr="003D5174">
        <w:rPr>
          <w:rFonts w:ascii="Times New Roman" w:eastAsia="Times New Roman" w:hAnsi="Times New Roman" w:cs="Times New Roman"/>
          <w:kern w:val="0"/>
          <w:lang w:eastAsia="en-IN"/>
          <w14:ligatures w14:val="none"/>
        </w:rPr>
        <w:t>aptures linearity in the residuals</w:t>
      </w:r>
      <w:r w:rsidRPr="003D5174">
        <w:rPr>
          <w:rFonts w:ascii="Times New Roman" w:eastAsia="Times New Roman" w:hAnsi="Times New Roman" w:cs="Times New Roman"/>
          <w:kern w:val="0"/>
          <w:lang w:eastAsia="en-IN"/>
          <w14:ligatures w14:val="none"/>
        </w:rPr>
        <w:t>, it fails to account for nonlinear dynamics present in the series.</w:t>
      </w:r>
    </w:p>
    <w:p w14:paraId="76094700" w14:textId="2D1422A6" w:rsidR="00E306D7" w:rsidRPr="003D5174" w:rsidRDefault="00E306D7"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Similarly, the SVR model, despite achieving the lowest forecasting errors in terms of RMSE and MAPE, also produces statistically significant BDS statistics across all parameter combinations</w:t>
      </w:r>
      <w:r w:rsidR="00487C3C">
        <w:rPr>
          <w:rFonts w:ascii="Times New Roman" w:eastAsia="Times New Roman" w:hAnsi="Times New Roman" w:cs="Times New Roman"/>
          <w:kern w:val="0"/>
          <w:lang w:eastAsia="en-IN"/>
          <w14:ligatures w14:val="none"/>
        </w:rPr>
        <w:t>, as shown in Table 5</w:t>
      </w:r>
      <w:r w:rsidRPr="003D5174">
        <w:rPr>
          <w:rFonts w:ascii="Times New Roman" w:eastAsia="Times New Roman" w:hAnsi="Times New Roman" w:cs="Times New Roman"/>
          <w:kern w:val="0"/>
          <w:lang w:eastAsia="en-IN"/>
          <w14:ligatures w14:val="none"/>
        </w:rPr>
        <w:t>. This indicates that the residuals retain systematic nonlinear structure, suggesting that the model captures predictive relationships effectively but does not fully eliminate dependence in the error process.</w:t>
      </w:r>
    </w:p>
    <w:p w14:paraId="5CF5C641" w14:textId="22DB24DE" w:rsidR="00E306D7" w:rsidRPr="003D5174" w:rsidRDefault="00E306D7"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 xml:space="preserve">In contrast, the hybrid ARIMA–SVR model demonstrates comparatively improved residual </w:t>
      </w:r>
      <w:r w:rsidR="007D2771" w:rsidRPr="003D5174">
        <w:rPr>
          <w:rFonts w:ascii="Times New Roman" w:eastAsia="Times New Roman" w:hAnsi="Times New Roman" w:cs="Times New Roman"/>
          <w:kern w:val="0"/>
          <w:lang w:eastAsia="en-IN"/>
          <w14:ligatures w14:val="none"/>
        </w:rPr>
        <w:t>behaviour</w:t>
      </w:r>
      <w:r w:rsidR="00487C3C">
        <w:rPr>
          <w:rFonts w:ascii="Times New Roman" w:eastAsia="Times New Roman" w:hAnsi="Times New Roman" w:cs="Times New Roman"/>
          <w:kern w:val="0"/>
          <w:lang w:eastAsia="en-IN"/>
          <w14:ligatures w14:val="none"/>
        </w:rPr>
        <w:t>, as given in Table 6</w:t>
      </w:r>
      <w:r w:rsidRPr="003D5174">
        <w:rPr>
          <w:rFonts w:ascii="Times New Roman" w:eastAsia="Times New Roman" w:hAnsi="Times New Roman" w:cs="Times New Roman"/>
          <w:kern w:val="0"/>
          <w:lang w:eastAsia="en-IN"/>
          <w14:ligatures w14:val="none"/>
        </w:rPr>
        <w:t>. The BDS statistics are largely insignificant at higher epsilon values and across several embedding dimensions, indicating that the residuals approximate white noise more closely than those of the individual models. Although a few isolated significant results are observed, these are not consistent across all configurations, suggesting that nonlinear dependence has been substantially reduced. This improvement reflects the ability of the hybrid framework to jointly capture both linear (ARIMA) and nonlinear (SVR) structures in the data.</w:t>
      </w:r>
    </w:p>
    <w:p w14:paraId="06BE3FEB" w14:textId="77777777" w:rsidR="00D21540" w:rsidRPr="00D21540" w:rsidRDefault="00D21540" w:rsidP="00D21540">
      <w:pPr>
        <w:spacing w:after="0" w:line="360" w:lineRule="auto"/>
        <w:jc w:val="both"/>
        <w:rPr>
          <w:rFonts w:ascii="Times New Roman" w:eastAsia="Times New Roman" w:hAnsi="Times New Roman" w:cs="Times New Roman"/>
          <w:kern w:val="0"/>
          <w:lang w:eastAsia="en-IN"/>
          <w14:ligatures w14:val="none"/>
        </w:rPr>
      </w:pPr>
      <w:r w:rsidRPr="00D21540">
        <w:rPr>
          <w:rFonts w:ascii="Times New Roman" w:eastAsia="Times New Roman" w:hAnsi="Times New Roman" w:cs="Times New Roman"/>
          <w:kern w:val="0"/>
          <w:lang w:eastAsia="en-IN"/>
          <w14:ligatures w14:val="none"/>
        </w:rPr>
        <w:t xml:space="preserve">When considered alongside forecasting accuracy results (Table 2), a clear trade-off emerges between predictive precision and statistical adequacy. The SVR model provided the best </w:t>
      </w:r>
      <w:r w:rsidRPr="00D21540">
        <w:rPr>
          <w:rFonts w:ascii="Times New Roman" w:eastAsia="Times New Roman" w:hAnsi="Times New Roman" w:cs="Times New Roman"/>
          <w:kern w:val="0"/>
          <w:lang w:eastAsia="en-IN"/>
          <w14:ligatures w14:val="none"/>
        </w:rPr>
        <w:lastRenderedPageBreak/>
        <w:t>point forecast accuracy, as evidenced by the lowest RMSE, MAE, and MAPE values. Despite the comparatively lower forecast errors of the SVR model, the presence of significant autocorrelation in residuals indicated model misspecification. As a result, the model could not completely capture the underlying behaviour of the price series.</w:t>
      </w:r>
    </w:p>
    <w:p w14:paraId="7B7E0FC9" w14:textId="48854C32" w:rsidR="00E306D7" w:rsidRPr="003D5174" w:rsidRDefault="00E306D7"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eastAsia="Times New Roman" w:hAnsi="Times New Roman" w:cs="Times New Roman"/>
          <w:kern w:val="0"/>
          <w:lang w:eastAsia="en-IN"/>
          <w14:ligatures w14:val="none"/>
        </w:rPr>
        <w:t>The hybrid ARIMA–SVR model offers a balanced compromise between these two extremes. Although its forecast errors are higher than those of the SVR model, it significantly improves upon the ARIMA model while simultaneously achieving better residual diagnostics. The Box–Pierce test results (Table 3) further support this conclusion, confirming the absence of autocorrelation in the hybrid model residuals. Additionally, the actual versus predicted comparison for 2025 (Table 7) demonstrates strong alignment between observed and fitted values, with only minor deviations during periods of market fluctuation.</w:t>
      </w:r>
      <w:r w:rsidR="005D6BDD" w:rsidRPr="003D5174">
        <w:rPr>
          <w:rFonts w:ascii="Times New Roman" w:eastAsia="Times New Roman" w:hAnsi="Times New Roman" w:cs="Times New Roman"/>
          <w:kern w:val="0"/>
          <w:lang w:eastAsia="en-IN"/>
          <w14:ligatures w14:val="none"/>
        </w:rPr>
        <w:t xml:space="preserve"> The actual and predicted </w:t>
      </w:r>
      <w:r w:rsidR="00D03E20" w:rsidRPr="003D5174">
        <w:rPr>
          <w:rFonts w:ascii="Times New Roman" w:eastAsia="Times New Roman" w:hAnsi="Times New Roman" w:cs="Times New Roman"/>
          <w:kern w:val="0"/>
          <w:lang w:eastAsia="en-IN"/>
          <w14:ligatures w14:val="none"/>
        </w:rPr>
        <w:t xml:space="preserve">values </w:t>
      </w:r>
      <w:r w:rsidR="005D6BDD" w:rsidRPr="003D5174">
        <w:rPr>
          <w:rFonts w:ascii="Times New Roman" w:eastAsia="Times New Roman" w:hAnsi="Times New Roman" w:cs="Times New Roman"/>
          <w:kern w:val="0"/>
          <w:lang w:eastAsia="en-IN"/>
          <w14:ligatures w14:val="none"/>
        </w:rPr>
        <w:t>are illustrated in Fig.1.</w:t>
      </w:r>
    </w:p>
    <w:p w14:paraId="693C3B0D" w14:textId="77777777" w:rsidR="00D21540" w:rsidRPr="00D21540" w:rsidRDefault="00D21540" w:rsidP="00D21540">
      <w:pPr>
        <w:spacing w:after="0" w:line="360" w:lineRule="auto"/>
        <w:jc w:val="both"/>
        <w:rPr>
          <w:rFonts w:ascii="Times New Roman" w:eastAsia="Times New Roman" w:hAnsi="Times New Roman" w:cs="Times New Roman"/>
          <w:kern w:val="0"/>
          <w:lang w:eastAsia="en-IN"/>
          <w14:ligatures w14:val="none"/>
        </w:rPr>
      </w:pPr>
      <w:r w:rsidRPr="00D21540">
        <w:rPr>
          <w:rFonts w:ascii="Times New Roman" w:eastAsia="Times New Roman" w:hAnsi="Times New Roman" w:cs="Times New Roman"/>
          <w:kern w:val="0"/>
          <w:lang w:eastAsia="en-IN"/>
          <w14:ligatures w14:val="none"/>
        </w:rPr>
        <w:t>Finally, the future forecasts using the ARIMA–SVR model for the period from January to June 2026 (Rs. 12902.8, 12885.47, 12867.8, 12849.83, 12831.57, and 12813.1 per quintal) indicated a slight decline in cashew nut prices over the forecast period.</w:t>
      </w:r>
    </w:p>
    <w:p w14:paraId="37669537" w14:textId="77777777" w:rsidR="00602F63" w:rsidRPr="003D5174" w:rsidRDefault="00602F63" w:rsidP="00027409">
      <w:pPr>
        <w:spacing w:after="0" w:line="360" w:lineRule="auto"/>
        <w:jc w:val="both"/>
        <w:rPr>
          <w:rFonts w:ascii="Times New Roman" w:eastAsia="Times New Roman" w:hAnsi="Times New Roman" w:cs="Times New Roman"/>
          <w:kern w:val="0"/>
          <w:lang w:eastAsia="en-IN"/>
          <w14:ligatures w14:val="none"/>
        </w:rPr>
      </w:pPr>
    </w:p>
    <w:p w14:paraId="3593CD7B" w14:textId="37E9C36F" w:rsidR="00151286" w:rsidRPr="003D5174" w:rsidRDefault="00CC4BA6" w:rsidP="00027409">
      <w:pPr>
        <w:spacing w:after="0" w:line="360" w:lineRule="auto"/>
        <w:jc w:val="both"/>
        <w:rPr>
          <w:rFonts w:ascii="Times New Roman" w:eastAsia="Times New Roman" w:hAnsi="Times New Roman" w:cs="Times New Roman"/>
          <w:kern w:val="0"/>
          <w:lang w:eastAsia="en-IN"/>
          <w14:ligatures w14:val="none"/>
        </w:rPr>
      </w:pPr>
      <w:r w:rsidRPr="003D5174">
        <w:rPr>
          <w:rFonts w:ascii="Times New Roman" w:hAnsi="Times New Roman" w:cs="Times New Roman"/>
          <w:lang w:val="en-US"/>
        </w:rPr>
        <w:t>Table 7:</w:t>
      </w:r>
      <w:r w:rsidRPr="003D5174">
        <w:rPr>
          <w:rFonts w:ascii="Times New Roman" w:eastAsia="Times New Roman" w:hAnsi="Times New Roman" w:cs="Times New Roman"/>
          <w:kern w:val="0"/>
          <w:lang w:eastAsia="en-IN"/>
          <w14:ligatures w14:val="none"/>
        </w:rPr>
        <w:t xml:space="preserve"> </w:t>
      </w:r>
      <w:r w:rsidR="00151286" w:rsidRPr="003D5174">
        <w:rPr>
          <w:rFonts w:ascii="Times New Roman" w:hAnsi="Times New Roman" w:cs="Times New Roman"/>
        </w:rPr>
        <w:t>Compar</w:t>
      </w:r>
      <w:r w:rsidR="00904F64" w:rsidRPr="003D5174">
        <w:rPr>
          <w:rFonts w:ascii="Times New Roman" w:hAnsi="Times New Roman" w:cs="Times New Roman"/>
        </w:rPr>
        <w:t xml:space="preserve">ative analysis </w:t>
      </w:r>
      <w:r w:rsidR="00151286" w:rsidRPr="003D5174">
        <w:rPr>
          <w:rFonts w:ascii="Times New Roman" w:hAnsi="Times New Roman" w:cs="Times New Roman"/>
        </w:rPr>
        <w:t xml:space="preserve">of </w:t>
      </w:r>
      <w:r w:rsidR="00904F64" w:rsidRPr="003D5174">
        <w:rPr>
          <w:rFonts w:ascii="Times New Roman" w:hAnsi="Times New Roman" w:cs="Times New Roman"/>
        </w:rPr>
        <w:t>a</w:t>
      </w:r>
      <w:r w:rsidR="00151286" w:rsidRPr="003D5174">
        <w:rPr>
          <w:rFonts w:ascii="Times New Roman" w:hAnsi="Times New Roman" w:cs="Times New Roman"/>
        </w:rPr>
        <w:t xml:space="preserve">ctual and </w:t>
      </w:r>
      <w:r w:rsidR="00D03E20" w:rsidRPr="003D5174">
        <w:rPr>
          <w:rFonts w:ascii="Times New Roman" w:hAnsi="Times New Roman" w:cs="Times New Roman"/>
        </w:rPr>
        <w:t xml:space="preserve">predicted </w:t>
      </w:r>
      <w:r w:rsidR="008A62C3" w:rsidRPr="003D5174">
        <w:rPr>
          <w:rFonts w:ascii="Times New Roman" w:hAnsi="Times New Roman" w:cs="Times New Roman"/>
        </w:rPr>
        <w:t>c</w:t>
      </w:r>
      <w:r w:rsidR="00151286" w:rsidRPr="003D5174">
        <w:rPr>
          <w:rFonts w:ascii="Times New Roman" w:hAnsi="Times New Roman" w:cs="Times New Roman"/>
        </w:rPr>
        <w:t xml:space="preserve">ashew </w:t>
      </w:r>
      <w:r w:rsidR="008A62C3" w:rsidRPr="003D5174">
        <w:rPr>
          <w:rFonts w:ascii="Times New Roman" w:hAnsi="Times New Roman" w:cs="Times New Roman"/>
        </w:rPr>
        <w:t>n</w:t>
      </w:r>
      <w:r w:rsidR="00151286" w:rsidRPr="003D5174">
        <w:rPr>
          <w:rFonts w:ascii="Times New Roman" w:hAnsi="Times New Roman" w:cs="Times New Roman"/>
        </w:rPr>
        <w:t xml:space="preserve">ut </w:t>
      </w:r>
      <w:r w:rsidR="008A62C3" w:rsidRPr="003D5174">
        <w:rPr>
          <w:rFonts w:ascii="Times New Roman" w:hAnsi="Times New Roman" w:cs="Times New Roman"/>
        </w:rPr>
        <w:t>p</w:t>
      </w:r>
      <w:r w:rsidR="00151286" w:rsidRPr="003D5174">
        <w:rPr>
          <w:rFonts w:ascii="Times New Roman" w:hAnsi="Times New Roman" w:cs="Times New Roman"/>
        </w:rPr>
        <w:t>rices in Andhra Pradesh for 2025 Using the ARIMA–SVR Model (Validation)</w:t>
      </w:r>
    </w:p>
    <w:tbl>
      <w:tblPr>
        <w:tblStyle w:val="TableGrid"/>
        <w:tblW w:w="5000" w:type="pct"/>
        <w:tblLook w:val="04A0" w:firstRow="1" w:lastRow="0" w:firstColumn="1" w:lastColumn="0" w:noHBand="0" w:noVBand="1"/>
      </w:tblPr>
      <w:tblGrid>
        <w:gridCol w:w="3783"/>
        <w:gridCol w:w="2795"/>
        <w:gridCol w:w="2664"/>
      </w:tblGrid>
      <w:tr w:rsidR="00CC4BA6" w:rsidRPr="003D5174" w14:paraId="0438C4E6" w14:textId="77777777" w:rsidTr="007A1B0B">
        <w:trPr>
          <w:trHeight w:val="300"/>
        </w:trPr>
        <w:tc>
          <w:tcPr>
            <w:tcW w:w="2047" w:type="pct"/>
            <w:noWrap/>
            <w:vAlign w:val="center"/>
          </w:tcPr>
          <w:p w14:paraId="4A1CECA7" w14:textId="77777777" w:rsidR="00CC4BA6" w:rsidRPr="003D5174" w:rsidRDefault="00CC4BA6" w:rsidP="00027409">
            <w:pPr>
              <w:tabs>
                <w:tab w:val="left" w:pos="720"/>
              </w:tabs>
              <w:spacing w:line="360" w:lineRule="auto"/>
              <w:jc w:val="center"/>
              <w:rPr>
                <w:rFonts w:ascii="Times New Roman" w:eastAsia="Times New Roman" w:hAnsi="Times New Roman" w:cs="Times New Roman"/>
                <w:b/>
                <w:bCs/>
                <w:color w:val="000000"/>
                <w:kern w:val="0"/>
                <w:lang w:eastAsia="en-IN"/>
                <w14:ligatures w14:val="none"/>
              </w:rPr>
            </w:pPr>
            <w:r w:rsidRPr="003D5174">
              <w:rPr>
                <w:rFonts w:ascii="Times New Roman" w:eastAsia="Times New Roman" w:hAnsi="Times New Roman" w:cs="Times New Roman"/>
                <w:b/>
                <w:bCs/>
                <w:color w:val="000000"/>
                <w:kern w:val="0"/>
                <w:lang w:eastAsia="en-IN"/>
                <w14:ligatures w14:val="none"/>
              </w:rPr>
              <w:t>Year 2025</w:t>
            </w:r>
          </w:p>
        </w:tc>
        <w:tc>
          <w:tcPr>
            <w:tcW w:w="1512" w:type="pct"/>
            <w:noWrap/>
            <w:vAlign w:val="center"/>
          </w:tcPr>
          <w:p w14:paraId="52AF95B0" w14:textId="77777777" w:rsidR="00CC4BA6" w:rsidRPr="003D5174" w:rsidRDefault="00CC4BA6" w:rsidP="00027409">
            <w:pPr>
              <w:tabs>
                <w:tab w:val="left" w:pos="720"/>
              </w:tabs>
              <w:spacing w:line="360" w:lineRule="auto"/>
              <w:jc w:val="center"/>
              <w:rPr>
                <w:rFonts w:ascii="Times New Roman" w:eastAsia="Times New Roman" w:hAnsi="Times New Roman" w:cs="Times New Roman"/>
                <w:b/>
                <w:bCs/>
                <w:color w:val="000000"/>
                <w:kern w:val="0"/>
                <w:lang w:eastAsia="en-IN"/>
                <w14:ligatures w14:val="none"/>
              </w:rPr>
            </w:pPr>
            <w:r w:rsidRPr="003D5174">
              <w:rPr>
                <w:rFonts w:ascii="Times New Roman" w:eastAsia="Times New Roman" w:hAnsi="Times New Roman" w:cs="Times New Roman"/>
                <w:b/>
                <w:bCs/>
                <w:color w:val="000000"/>
                <w:kern w:val="0"/>
                <w:lang w:eastAsia="en-IN"/>
                <w14:ligatures w14:val="none"/>
              </w:rPr>
              <w:t>Actual</w:t>
            </w:r>
          </w:p>
        </w:tc>
        <w:tc>
          <w:tcPr>
            <w:tcW w:w="1441" w:type="pct"/>
            <w:noWrap/>
            <w:vAlign w:val="center"/>
          </w:tcPr>
          <w:p w14:paraId="350E64AB" w14:textId="77777777" w:rsidR="00CC4BA6" w:rsidRPr="003D5174" w:rsidRDefault="00CC4BA6" w:rsidP="00027409">
            <w:pPr>
              <w:tabs>
                <w:tab w:val="left" w:pos="720"/>
              </w:tabs>
              <w:spacing w:line="360" w:lineRule="auto"/>
              <w:jc w:val="center"/>
              <w:rPr>
                <w:rFonts w:ascii="Times New Roman" w:eastAsia="Times New Roman" w:hAnsi="Times New Roman" w:cs="Times New Roman"/>
                <w:b/>
                <w:bCs/>
                <w:color w:val="000000"/>
                <w:kern w:val="0"/>
                <w:lang w:eastAsia="en-IN"/>
                <w14:ligatures w14:val="none"/>
              </w:rPr>
            </w:pPr>
            <w:r w:rsidRPr="003D5174">
              <w:rPr>
                <w:rFonts w:ascii="Times New Roman" w:eastAsia="Times New Roman" w:hAnsi="Times New Roman" w:cs="Times New Roman"/>
                <w:b/>
                <w:bCs/>
                <w:color w:val="000000"/>
                <w:kern w:val="0"/>
                <w:lang w:eastAsia="en-IN"/>
                <w14:ligatures w14:val="none"/>
              </w:rPr>
              <w:t>Predicted</w:t>
            </w:r>
          </w:p>
        </w:tc>
      </w:tr>
      <w:tr w:rsidR="00CC4BA6" w:rsidRPr="003D5174" w14:paraId="154CA2F7" w14:textId="77777777" w:rsidTr="007A1B0B">
        <w:trPr>
          <w:trHeight w:val="300"/>
        </w:trPr>
        <w:tc>
          <w:tcPr>
            <w:tcW w:w="2047" w:type="pct"/>
            <w:noWrap/>
            <w:vAlign w:val="center"/>
            <w:hideMark/>
          </w:tcPr>
          <w:p w14:paraId="10E657B1"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January</w:t>
            </w:r>
          </w:p>
        </w:tc>
        <w:tc>
          <w:tcPr>
            <w:tcW w:w="1512" w:type="pct"/>
            <w:noWrap/>
            <w:vAlign w:val="bottom"/>
          </w:tcPr>
          <w:p w14:paraId="6FBED440"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11750</w:t>
            </w:r>
          </w:p>
        </w:tc>
        <w:tc>
          <w:tcPr>
            <w:tcW w:w="1441" w:type="pct"/>
            <w:noWrap/>
            <w:vAlign w:val="bottom"/>
          </w:tcPr>
          <w:p w14:paraId="06E188E0"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11768.95</w:t>
            </w:r>
          </w:p>
        </w:tc>
      </w:tr>
      <w:tr w:rsidR="00CC4BA6" w:rsidRPr="003D5174" w14:paraId="6ACA15F7" w14:textId="77777777" w:rsidTr="007A1B0B">
        <w:trPr>
          <w:trHeight w:val="300"/>
        </w:trPr>
        <w:tc>
          <w:tcPr>
            <w:tcW w:w="2047" w:type="pct"/>
            <w:noWrap/>
            <w:vAlign w:val="center"/>
            <w:hideMark/>
          </w:tcPr>
          <w:p w14:paraId="381489F0"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February</w:t>
            </w:r>
          </w:p>
        </w:tc>
        <w:tc>
          <w:tcPr>
            <w:tcW w:w="1512" w:type="pct"/>
            <w:noWrap/>
            <w:vAlign w:val="bottom"/>
          </w:tcPr>
          <w:p w14:paraId="06FC9C79"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10000</w:t>
            </w:r>
          </w:p>
        </w:tc>
        <w:tc>
          <w:tcPr>
            <w:tcW w:w="1441" w:type="pct"/>
            <w:noWrap/>
            <w:vAlign w:val="bottom"/>
          </w:tcPr>
          <w:p w14:paraId="240B9118"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9990.82</w:t>
            </w:r>
          </w:p>
        </w:tc>
      </w:tr>
      <w:tr w:rsidR="00CC4BA6" w:rsidRPr="003D5174" w14:paraId="72FEEC36" w14:textId="77777777" w:rsidTr="007A1B0B">
        <w:trPr>
          <w:trHeight w:val="300"/>
        </w:trPr>
        <w:tc>
          <w:tcPr>
            <w:tcW w:w="2047" w:type="pct"/>
            <w:noWrap/>
            <w:vAlign w:val="center"/>
            <w:hideMark/>
          </w:tcPr>
          <w:p w14:paraId="65B9932C"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March</w:t>
            </w:r>
          </w:p>
        </w:tc>
        <w:tc>
          <w:tcPr>
            <w:tcW w:w="1512" w:type="pct"/>
            <w:noWrap/>
            <w:vAlign w:val="bottom"/>
          </w:tcPr>
          <w:p w14:paraId="1B4FF526"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12200</w:t>
            </w:r>
          </w:p>
        </w:tc>
        <w:tc>
          <w:tcPr>
            <w:tcW w:w="1441" w:type="pct"/>
            <w:noWrap/>
            <w:vAlign w:val="bottom"/>
          </w:tcPr>
          <w:p w14:paraId="657C7770"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12195.22</w:t>
            </w:r>
          </w:p>
        </w:tc>
      </w:tr>
      <w:tr w:rsidR="00CC4BA6" w:rsidRPr="003D5174" w14:paraId="3D0D5F3C" w14:textId="77777777" w:rsidTr="007A1B0B">
        <w:trPr>
          <w:trHeight w:val="300"/>
        </w:trPr>
        <w:tc>
          <w:tcPr>
            <w:tcW w:w="2047" w:type="pct"/>
            <w:noWrap/>
            <w:vAlign w:val="center"/>
            <w:hideMark/>
          </w:tcPr>
          <w:p w14:paraId="38B8BC5E"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April</w:t>
            </w:r>
          </w:p>
        </w:tc>
        <w:tc>
          <w:tcPr>
            <w:tcW w:w="1512" w:type="pct"/>
            <w:noWrap/>
            <w:vAlign w:val="bottom"/>
          </w:tcPr>
          <w:p w14:paraId="221F3971"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14500</w:t>
            </w:r>
          </w:p>
        </w:tc>
        <w:tc>
          <w:tcPr>
            <w:tcW w:w="1441" w:type="pct"/>
            <w:noWrap/>
            <w:vAlign w:val="bottom"/>
          </w:tcPr>
          <w:p w14:paraId="22EB6EFB"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14424.01</w:t>
            </w:r>
          </w:p>
        </w:tc>
      </w:tr>
      <w:tr w:rsidR="00CC4BA6" w:rsidRPr="003D5174" w14:paraId="4F4CEEB3" w14:textId="77777777" w:rsidTr="007A1B0B">
        <w:trPr>
          <w:trHeight w:val="300"/>
        </w:trPr>
        <w:tc>
          <w:tcPr>
            <w:tcW w:w="2047" w:type="pct"/>
            <w:noWrap/>
            <w:vAlign w:val="center"/>
            <w:hideMark/>
          </w:tcPr>
          <w:p w14:paraId="450B68A6"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May</w:t>
            </w:r>
          </w:p>
        </w:tc>
        <w:tc>
          <w:tcPr>
            <w:tcW w:w="1512" w:type="pct"/>
            <w:noWrap/>
            <w:vAlign w:val="bottom"/>
          </w:tcPr>
          <w:p w14:paraId="61BA78B3"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12500</w:t>
            </w:r>
          </w:p>
        </w:tc>
        <w:tc>
          <w:tcPr>
            <w:tcW w:w="1441" w:type="pct"/>
            <w:noWrap/>
            <w:vAlign w:val="bottom"/>
          </w:tcPr>
          <w:p w14:paraId="49B56768"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12483.04</w:t>
            </w:r>
          </w:p>
        </w:tc>
      </w:tr>
      <w:tr w:rsidR="00CC4BA6" w:rsidRPr="003D5174" w14:paraId="45CA3A66" w14:textId="77777777" w:rsidTr="007A1B0B">
        <w:trPr>
          <w:trHeight w:val="300"/>
        </w:trPr>
        <w:tc>
          <w:tcPr>
            <w:tcW w:w="2047" w:type="pct"/>
            <w:noWrap/>
            <w:vAlign w:val="center"/>
            <w:hideMark/>
          </w:tcPr>
          <w:p w14:paraId="556E34C6"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June</w:t>
            </w:r>
          </w:p>
        </w:tc>
        <w:tc>
          <w:tcPr>
            <w:tcW w:w="1512" w:type="pct"/>
            <w:noWrap/>
            <w:vAlign w:val="bottom"/>
          </w:tcPr>
          <w:p w14:paraId="7FEB7168"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12000</w:t>
            </w:r>
          </w:p>
        </w:tc>
        <w:tc>
          <w:tcPr>
            <w:tcW w:w="1441" w:type="pct"/>
            <w:noWrap/>
            <w:vAlign w:val="bottom"/>
          </w:tcPr>
          <w:p w14:paraId="066AAF0D"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11999.52</w:t>
            </w:r>
          </w:p>
        </w:tc>
      </w:tr>
      <w:tr w:rsidR="00CC4BA6" w:rsidRPr="003D5174" w14:paraId="6960DC2F" w14:textId="77777777" w:rsidTr="007A1B0B">
        <w:trPr>
          <w:trHeight w:val="300"/>
        </w:trPr>
        <w:tc>
          <w:tcPr>
            <w:tcW w:w="2047" w:type="pct"/>
            <w:noWrap/>
            <w:vAlign w:val="center"/>
            <w:hideMark/>
          </w:tcPr>
          <w:p w14:paraId="7A2F2920"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July</w:t>
            </w:r>
          </w:p>
        </w:tc>
        <w:tc>
          <w:tcPr>
            <w:tcW w:w="1512" w:type="pct"/>
            <w:noWrap/>
            <w:vAlign w:val="bottom"/>
          </w:tcPr>
          <w:p w14:paraId="7E49BB2A"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12350</w:t>
            </w:r>
          </w:p>
        </w:tc>
        <w:tc>
          <w:tcPr>
            <w:tcW w:w="1441" w:type="pct"/>
            <w:noWrap/>
            <w:vAlign w:val="bottom"/>
          </w:tcPr>
          <w:p w14:paraId="6D9E34EA"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12336.86</w:t>
            </w:r>
          </w:p>
        </w:tc>
      </w:tr>
      <w:tr w:rsidR="00CC4BA6" w:rsidRPr="003D5174" w14:paraId="5A588CBE" w14:textId="77777777" w:rsidTr="007A1B0B">
        <w:trPr>
          <w:trHeight w:val="300"/>
        </w:trPr>
        <w:tc>
          <w:tcPr>
            <w:tcW w:w="2047" w:type="pct"/>
            <w:noWrap/>
            <w:vAlign w:val="center"/>
            <w:hideMark/>
          </w:tcPr>
          <w:p w14:paraId="43EBD58F"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August</w:t>
            </w:r>
          </w:p>
        </w:tc>
        <w:tc>
          <w:tcPr>
            <w:tcW w:w="1512" w:type="pct"/>
            <w:noWrap/>
            <w:vAlign w:val="bottom"/>
          </w:tcPr>
          <w:p w14:paraId="496CAAA9"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14250</w:t>
            </w:r>
          </w:p>
        </w:tc>
        <w:tc>
          <w:tcPr>
            <w:tcW w:w="1441" w:type="pct"/>
            <w:noWrap/>
            <w:vAlign w:val="bottom"/>
          </w:tcPr>
          <w:p w14:paraId="68DBFBD2"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14236.54</w:t>
            </w:r>
          </w:p>
        </w:tc>
      </w:tr>
      <w:tr w:rsidR="00CC4BA6" w:rsidRPr="003D5174" w14:paraId="4E8C67D5" w14:textId="77777777" w:rsidTr="007A1B0B">
        <w:trPr>
          <w:trHeight w:val="300"/>
        </w:trPr>
        <w:tc>
          <w:tcPr>
            <w:tcW w:w="2047" w:type="pct"/>
            <w:noWrap/>
            <w:vAlign w:val="center"/>
            <w:hideMark/>
          </w:tcPr>
          <w:p w14:paraId="121C2C9E"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September</w:t>
            </w:r>
          </w:p>
        </w:tc>
        <w:tc>
          <w:tcPr>
            <w:tcW w:w="1512" w:type="pct"/>
            <w:vAlign w:val="bottom"/>
          </w:tcPr>
          <w:p w14:paraId="5DE869D6"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13000</w:t>
            </w:r>
          </w:p>
        </w:tc>
        <w:tc>
          <w:tcPr>
            <w:tcW w:w="1441" w:type="pct"/>
            <w:noWrap/>
            <w:vAlign w:val="bottom"/>
          </w:tcPr>
          <w:p w14:paraId="383118AD"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12985.15</w:t>
            </w:r>
          </w:p>
        </w:tc>
      </w:tr>
      <w:tr w:rsidR="00CC4BA6" w:rsidRPr="003D5174" w14:paraId="105FF4D8" w14:textId="77777777" w:rsidTr="007A1B0B">
        <w:trPr>
          <w:trHeight w:val="300"/>
        </w:trPr>
        <w:tc>
          <w:tcPr>
            <w:tcW w:w="2047" w:type="pct"/>
            <w:noWrap/>
            <w:vAlign w:val="center"/>
            <w:hideMark/>
          </w:tcPr>
          <w:p w14:paraId="7B783F0D"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October</w:t>
            </w:r>
          </w:p>
        </w:tc>
        <w:tc>
          <w:tcPr>
            <w:tcW w:w="1512" w:type="pct"/>
            <w:vAlign w:val="bottom"/>
          </w:tcPr>
          <w:p w14:paraId="4F17CC69"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15500</w:t>
            </w:r>
          </w:p>
        </w:tc>
        <w:tc>
          <w:tcPr>
            <w:tcW w:w="1441" w:type="pct"/>
            <w:noWrap/>
            <w:vAlign w:val="bottom"/>
          </w:tcPr>
          <w:p w14:paraId="5F09A731"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14619.82</w:t>
            </w:r>
          </w:p>
        </w:tc>
      </w:tr>
      <w:tr w:rsidR="00CC4BA6" w:rsidRPr="003D5174" w14:paraId="33CD28DA" w14:textId="77777777" w:rsidTr="007A1B0B">
        <w:trPr>
          <w:trHeight w:val="300"/>
        </w:trPr>
        <w:tc>
          <w:tcPr>
            <w:tcW w:w="2047" w:type="pct"/>
            <w:noWrap/>
            <w:vAlign w:val="center"/>
            <w:hideMark/>
          </w:tcPr>
          <w:p w14:paraId="4C40C77A"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November</w:t>
            </w:r>
          </w:p>
        </w:tc>
        <w:tc>
          <w:tcPr>
            <w:tcW w:w="1512" w:type="pct"/>
            <w:vAlign w:val="bottom"/>
          </w:tcPr>
          <w:p w14:paraId="6C317852"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14250</w:t>
            </w:r>
          </w:p>
        </w:tc>
        <w:tc>
          <w:tcPr>
            <w:tcW w:w="1441" w:type="pct"/>
            <w:noWrap/>
            <w:vAlign w:val="bottom"/>
          </w:tcPr>
          <w:p w14:paraId="40E1DC4C"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14236.54</w:t>
            </w:r>
          </w:p>
        </w:tc>
      </w:tr>
      <w:tr w:rsidR="00CC4BA6" w:rsidRPr="003D5174" w14:paraId="7159AFA1" w14:textId="77777777" w:rsidTr="007A1B0B">
        <w:trPr>
          <w:trHeight w:val="300"/>
        </w:trPr>
        <w:tc>
          <w:tcPr>
            <w:tcW w:w="2047" w:type="pct"/>
            <w:noWrap/>
            <w:vAlign w:val="center"/>
            <w:hideMark/>
          </w:tcPr>
          <w:p w14:paraId="60A4F37B"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eastAsia="Times New Roman" w:hAnsi="Times New Roman" w:cs="Times New Roman"/>
                <w:color w:val="000000"/>
                <w:kern w:val="0"/>
                <w:lang w:eastAsia="en-IN"/>
                <w14:ligatures w14:val="none"/>
              </w:rPr>
              <w:t>December</w:t>
            </w:r>
          </w:p>
        </w:tc>
        <w:tc>
          <w:tcPr>
            <w:tcW w:w="1512" w:type="pct"/>
            <w:vAlign w:val="bottom"/>
          </w:tcPr>
          <w:p w14:paraId="331DB00B"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12936</w:t>
            </w:r>
          </w:p>
        </w:tc>
        <w:tc>
          <w:tcPr>
            <w:tcW w:w="1441" w:type="pct"/>
            <w:noWrap/>
            <w:vAlign w:val="bottom"/>
          </w:tcPr>
          <w:p w14:paraId="14F7613A" w14:textId="77777777" w:rsidR="00CC4BA6" w:rsidRPr="003D5174" w:rsidRDefault="00CC4BA6" w:rsidP="00027409">
            <w:pPr>
              <w:tabs>
                <w:tab w:val="left" w:pos="720"/>
              </w:tabs>
              <w:spacing w:line="360" w:lineRule="auto"/>
              <w:jc w:val="center"/>
              <w:rPr>
                <w:rFonts w:ascii="Times New Roman" w:eastAsia="Times New Roman" w:hAnsi="Times New Roman" w:cs="Times New Roman"/>
                <w:color w:val="000000"/>
                <w:kern w:val="0"/>
                <w:lang w:eastAsia="en-IN"/>
                <w14:ligatures w14:val="none"/>
              </w:rPr>
            </w:pPr>
            <w:r w:rsidRPr="003D5174">
              <w:rPr>
                <w:rFonts w:ascii="Times New Roman" w:hAnsi="Times New Roman" w:cs="Times New Roman"/>
                <w:color w:val="000000"/>
              </w:rPr>
              <w:t>12919.77</w:t>
            </w:r>
          </w:p>
        </w:tc>
      </w:tr>
    </w:tbl>
    <w:p w14:paraId="18B3B138" w14:textId="77777777" w:rsidR="00CC4BA6" w:rsidRPr="003D5174" w:rsidRDefault="00CC4BA6" w:rsidP="00027409">
      <w:pPr>
        <w:tabs>
          <w:tab w:val="left" w:pos="284"/>
        </w:tabs>
        <w:spacing w:line="360" w:lineRule="auto"/>
        <w:jc w:val="center"/>
        <w:rPr>
          <w:rFonts w:ascii="Times New Roman" w:hAnsi="Times New Roman" w:cs="Times New Roman"/>
        </w:rPr>
      </w:pPr>
    </w:p>
    <w:p w14:paraId="3591A975" w14:textId="77777777" w:rsidR="00CC4BA6" w:rsidRPr="003D5174" w:rsidRDefault="00CC4BA6" w:rsidP="00027409">
      <w:pPr>
        <w:spacing w:line="360" w:lineRule="auto"/>
        <w:rPr>
          <w:rFonts w:ascii="Times New Roman" w:hAnsi="Times New Roman" w:cs="Times New Roman"/>
        </w:rPr>
      </w:pPr>
      <w:r w:rsidRPr="003D5174">
        <w:rPr>
          <w:noProof/>
          <w:lang w:eastAsia="en-IN"/>
        </w:rPr>
        <w:lastRenderedPageBreak/>
        <w:drawing>
          <wp:inline distT="0" distB="0" distL="0" distR="0" wp14:anchorId="599C3F76" wp14:editId="79BA0623">
            <wp:extent cx="5731510" cy="2595282"/>
            <wp:effectExtent l="0" t="0" r="2540" b="14605"/>
            <wp:docPr id="1051545539" name="Chart 1">
              <a:extLst xmlns:a="http://schemas.openxmlformats.org/drawingml/2006/main">
                <a:ext uri="{FF2B5EF4-FFF2-40B4-BE49-F238E27FC236}">
                  <a16:creationId xmlns:a16="http://schemas.microsoft.com/office/drawing/2014/main" id="{69255DD5-DFA0-297B-4567-4CEB540232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D6DF34D" w14:textId="38A7009C" w:rsidR="00C1471E" w:rsidRPr="003D5174" w:rsidRDefault="00C1471E" w:rsidP="00027409">
      <w:pPr>
        <w:tabs>
          <w:tab w:val="left" w:pos="284"/>
        </w:tabs>
        <w:spacing w:line="360" w:lineRule="auto"/>
        <w:jc w:val="center"/>
        <w:rPr>
          <w:rFonts w:ascii="Times New Roman" w:hAnsi="Times New Roman" w:cs="Times New Roman"/>
        </w:rPr>
      </w:pPr>
      <w:r w:rsidRPr="003D5174">
        <w:rPr>
          <w:rFonts w:ascii="Times New Roman" w:hAnsi="Times New Roman" w:cs="Times New Roman"/>
        </w:rPr>
        <w:t>Fig.1: Actual and predicted prices of Cashew nut in Andhra Pradesh</w:t>
      </w:r>
    </w:p>
    <w:p w14:paraId="301EAF5E" w14:textId="77777777" w:rsidR="00CC4BA6" w:rsidRPr="003D5174" w:rsidRDefault="00CC4BA6" w:rsidP="00027409">
      <w:pPr>
        <w:spacing w:after="0" w:line="360" w:lineRule="auto"/>
        <w:rPr>
          <w:rFonts w:ascii="Times New Roman" w:hAnsi="Times New Roman" w:cs="Times New Roman"/>
          <w:b/>
          <w:bCs/>
        </w:rPr>
      </w:pPr>
      <w:r w:rsidRPr="003D5174">
        <w:rPr>
          <w:rFonts w:ascii="Times New Roman" w:hAnsi="Times New Roman" w:cs="Times New Roman"/>
          <w:b/>
          <w:bCs/>
        </w:rPr>
        <w:t>Conclusion</w:t>
      </w:r>
    </w:p>
    <w:p w14:paraId="2B89C832" w14:textId="77777777" w:rsidR="00504FD0" w:rsidRPr="00504FD0" w:rsidRDefault="00504FD0" w:rsidP="00504FD0">
      <w:pPr>
        <w:pStyle w:val="NoSpacing"/>
        <w:spacing w:line="360" w:lineRule="auto"/>
        <w:jc w:val="both"/>
        <w:rPr>
          <w:rFonts w:ascii="Times New Roman" w:eastAsia="Times New Roman" w:hAnsi="Times New Roman" w:cs="Times New Roman"/>
          <w:sz w:val="24"/>
          <w:szCs w:val="24"/>
          <w:lang w:val="en-IN" w:eastAsia="en-IN"/>
        </w:rPr>
      </w:pPr>
      <w:bookmarkStart w:id="0" w:name="_Hlk198031404"/>
      <w:r w:rsidRPr="00504FD0">
        <w:rPr>
          <w:rFonts w:ascii="Times New Roman" w:eastAsia="Times New Roman" w:hAnsi="Times New Roman" w:cs="Times New Roman"/>
          <w:sz w:val="24"/>
          <w:szCs w:val="24"/>
          <w:lang w:val="en-IN" w:eastAsia="en-IN"/>
        </w:rPr>
        <w:t>This study evaluated the performance of ARIMA, SVR, and hybrid ARIMA+SVR models for forecasting cashew nut prices in Andhra Pradesh. The findings showed that combining linear and nonlinear modelling approaches improved the ability to capture the complex nature of price movements. The hybrid ARIMA+SVR model performed better than the standalone ARIMA model by producing lower forecast errors and by effectively capturing both trend and nonlinear variations in the data.</w:t>
      </w:r>
    </w:p>
    <w:p w14:paraId="5FD1F1D7" w14:textId="77777777" w:rsidR="00504FD0" w:rsidRPr="00504FD0" w:rsidRDefault="00504FD0" w:rsidP="00504FD0">
      <w:pPr>
        <w:pStyle w:val="NoSpacing"/>
        <w:spacing w:line="360" w:lineRule="auto"/>
        <w:jc w:val="both"/>
        <w:rPr>
          <w:rFonts w:ascii="Times New Roman" w:eastAsia="Times New Roman" w:hAnsi="Times New Roman" w:cs="Times New Roman"/>
          <w:sz w:val="24"/>
          <w:szCs w:val="24"/>
          <w:lang w:val="en-IN" w:eastAsia="en-IN"/>
        </w:rPr>
      </w:pPr>
      <w:r w:rsidRPr="00504FD0">
        <w:rPr>
          <w:rFonts w:ascii="Times New Roman" w:eastAsia="Times New Roman" w:hAnsi="Times New Roman" w:cs="Times New Roman"/>
          <w:sz w:val="24"/>
          <w:szCs w:val="24"/>
          <w:lang w:val="en-IN" w:eastAsia="en-IN"/>
        </w:rPr>
        <w:t>Although the SVR model showed better forecasting performance based on the selected error measures, residual diagnostic tests revealed the presence of autocorrelation, indicating that the model could not fully capture the temporal behaviour of the series. In contrast, the hybrid ARIMA+SVR model produced residuals that behaved more like white noise, suggesting better statistical adequacy and improved model specification.</w:t>
      </w:r>
    </w:p>
    <w:p w14:paraId="1437B07B" w14:textId="77777777" w:rsidR="00504FD0" w:rsidRPr="00504FD0" w:rsidRDefault="00504FD0" w:rsidP="00504FD0">
      <w:pPr>
        <w:pStyle w:val="NoSpacing"/>
        <w:spacing w:line="360" w:lineRule="auto"/>
        <w:jc w:val="both"/>
        <w:rPr>
          <w:rFonts w:ascii="Times New Roman" w:eastAsia="Times New Roman" w:hAnsi="Times New Roman" w:cs="Times New Roman"/>
          <w:sz w:val="24"/>
          <w:szCs w:val="24"/>
          <w:lang w:val="en-IN" w:eastAsia="en-IN"/>
        </w:rPr>
      </w:pPr>
      <w:r w:rsidRPr="00504FD0">
        <w:rPr>
          <w:rFonts w:ascii="Times New Roman" w:eastAsia="Times New Roman" w:hAnsi="Times New Roman" w:cs="Times New Roman"/>
          <w:sz w:val="24"/>
          <w:szCs w:val="24"/>
          <w:lang w:val="en-IN" w:eastAsia="en-IN"/>
        </w:rPr>
        <w:t>The results of the Box–Pierce and BDS tests further supported the robustness of the hybrid model by indicating reduced serial dependence and improved representation of both linear and nonlinear components in the data. Overall, the findings highlight the usefulness of hybrid forecasting approaches in agricultural commodity price prediction. The ARIMA+SVR model can therefore be considered a reliable tool for improving forecast accuracy and supporting better market planning and price risk management in the cashew sector.</w:t>
      </w:r>
    </w:p>
    <w:p w14:paraId="377A1D53" w14:textId="77777777" w:rsidR="00504FD0" w:rsidRPr="00504FD0" w:rsidRDefault="00504FD0" w:rsidP="00504FD0">
      <w:pPr>
        <w:pStyle w:val="NoSpacing"/>
        <w:spacing w:line="360" w:lineRule="auto"/>
        <w:jc w:val="both"/>
        <w:rPr>
          <w:rFonts w:ascii="Times New Roman" w:eastAsia="Times New Roman" w:hAnsi="Times New Roman" w:cs="Times New Roman"/>
          <w:sz w:val="24"/>
          <w:szCs w:val="24"/>
          <w:lang w:val="en-IN" w:eastAsia="en-IN"/>
        </w:rPr>
      </w:pPr>
      <w:r w:rsidRPr="00504FD0">
        <w:rPr>
          <w:rFonts w:ascii="Times New Roman" w:eastAsia="Times New Roman" w:hAnsi="Times New Roman" w:cs="Times New Roman"/>
          <w:sz w:val="24"/>
          <w:szCs w:val="24"/>
          <w:lang w:val="en-IN" w:eastAsia="en-IN"/>
        </w:rPr>
        <w:t xml:space="preserve">However, the study has certain limitations. The analysis was mainly based on historical price data and did not consider other important factors such as weather conditions, market arrivals, export demand, and policy changes that may influence cashew nut prices. In addition, the study was limited to Andhra Pradesh and did not include broader market and economic </w:t>
      </w:r>
      <w:r w:rsidRPr="00504FD0">
        <w:rPr>
          <w:rFonts w:ascii="Times New Roman" w:eastAsia="Times New Roman" w:hAnsi="Times New Roman" w:cs="Times New Roman"/>
          <w:sz w:val="24"/>
          <w:szCs w:val="24"/>
          <w:lang w:val="en-IN" w:eastAsia="en-IN"/>
        </w:rPr>
        <w:lastRenderedPageBreak/>
        <w:t>factors. Including such variables in future studies may help further improve forecasting performance.</w:t>
      </w:r>
    </w:p>
    <w:p w14:paraId="6E408B7D" w14:textId="77777777" w:rsidR="00E72E54" w:rsidRPr="009A443D" w:rsidRDefault="00E72E54" w:rsidP="00027409">
      <w:pPr>
        <w:pStyle w:val="NoSpacing"/>
        <w:spacing w:line="360" w:lineRule="auto"/>
        <w:rPr>
          <w:rFonts w:ascii="Arial" w:hAnsi="Arial" w:cs="Arial"/>
          <w:b/>
          <w:bCs/>
          <w:sz w:val="24"/>
          <w:szCs w:val="24"/>
          <w:highlight w:val="yellow"/>
        </w:rPr>
      </w:pPr>
      <w:r w:rsidRPr="009A443D">
        <w:rPr>
          <w:rFonts w:ascii="Arial" w:hAnsi="Arial" w:cs="Arial"/>
          <w:b/>
          <w:bCs/>
          <w:sz w:val="24"/>
          <w:szCs w:val="24"/>
          <w:highlight w:val="yellow"/>
        </w:rPr>
        <w:t>Disclaimer (Artificial intelligence)</w:t>
      </w:r>
    </w:p>
    <w:p w14:paraId="3D3431FF" w14:textId="77777777" w:rsidR="00E72E54" w:rsidRPr="003D5174" w:rsidRDefault="00E72E54" w:rsidP="00027409">
      <w:pPr>
        <w:pStyle w:val="NoSpacing"/>
        <w:spacing w:line="360" w:lineRule="auto"/>
        <w:rPr>
          <w:rFonts w:ascii="Arial" w:hAnsi="Arial" w:cs="Arial"/>
          <w:sz w:val="24"/>
          <w:szCs w:val="24"/>
          <w:highlight w:val="yellow"/>
        </w:rPr>
      </w:pPr>
    </w:p>
    <w:p w14:paraId="166ED995" w14:textId="77777777" w:rsidR="00E72E54" w:rsidRPr="003D5174" w:rsidRDefault="00E72E54" w:rsidP="00027409">
      <w:pPr>
        <w:pStyle w:val="NoSpacing"/>
        <w:spacing w:line="360" w:lineRule="auto"/>
        <w:rPr>
          <w:rFonts w:ascii="Arial" w:hAnsi="Arial" w:cs="Arial"/>
          <w:sz w:val="24"/>
          <w:szCs w:val="24"/>
          <w:highlight w:val="yellow"/>
        </w:rPr>
      </w:pPr>
      <w:r w:rsidRPr="003D5174">
        <w:rPr>
          <w:rFonts w:ascii="Arial" w:hAnsi="Arial" w:cs="Arial"/>
          <w:sz w:val="24"/>
          <w:szCs w:val="24"/>
          <w:highlight w:val="yellow"/>
        </w:rPr>
        <w:t xml:space="preserve">Author(s) hereby </w:t>
      </w:r>
      <w:proofErr w:type="gramStart"/>
      <w:r w:rsidRPr="003D5174">
        <w:rPr>
          <w:rFonts w:ascii="Arial" w:hAnsi="Arial" w:cs="Arial"/>
          <w:sz w:val="24"/>
          <w:szCs w:val="24"/>
          <w:highlight w:val="yellow"/>
        </w:rPr>
        <w:t>declare</w:t>
      </w:r>
      <w:proofErr w:type="gramEnd"/>
      <w:r w:rsidRPr="003D5174">
        <w:rPr>
          <w:rFonts w:ascii="Arial" w:hAnsi="Arial" w:cs="Arial"/>
          <w:sz w:val="24"/>
          <w:szCs w:val="24"/>
          <w:highlight w:val="yellow"/>
        </w:rPr>
        <w:t xml:space="preserve"> that NO generative AI technologies such as Large Language Models (ChatGPT, COPILOT, etc.) and text-to-image generators have been used during the writing or editing of this manuscript. </w:t>
      </w:r>
    </w:p>
    <w:bookmarkEnd w:id="0"/>
    <w:p w14:paraId="3FA6A39C" w14:textId="77777777" w:rsidR="00E72E54" w:rsidRPr="003D5174" w:rsidRDefault="00E72E54" w:rsidP="00027409">
      <w:pPr>
        <w:spacing w:after="0" w:line="360" w:lineRule="auto"/>
        <w:jc w:val="both"/>
        <w:rPr>
          <w:rFonts w:ascii="Times New Roman" w:eastAsia="Times New Roman" w:hAnsi="Times New Roman" w:cs="Times New Roman"/>
          <w:kern w:val="0"/>
          <w:lang w:eastAsia="en-IN"/>
          <w14:ligatures w14:val="none"/>
        </w:rPr>
      </w:pPr>
    </w:p>
    <w:p w14:paraId="19439E1D" w14:textId="77777777" w:rsidR="00E018DE" w:rsidRPr="003D5174" w:rsidRDefault="00E018DE" w:rsidP="00027409">
      <w:pPr>
        <w:spacing w:after="0" w:line="360" w:lineRule="auto"/>
        <w:rPr>
          <w:rFonts w:ascii="Times New Roman" w:hAnsi="Times New Roman" w:cs="Times New Roman"/>
          <w:b/>
          <w:bCs/>
          <w:lang w:val="en-US"/>
        </w:rPr>
      </w:pPr>
      <w:r w:rsidRPr="003D5174">
        <w:rPr>
          <w:rFonts w:ascii="Times New Roman" w:hAnsi="Times New Roman" w:cs="Times New Roman"/>
          <w:b/>
          <w:bCs/>
          <w:lang w:val="en-US"/>
        </w:rPr>
        <w:t>REFERENCES</w:t>
      </w:r>
    </w:p>
    <w:p w14:paraId="5179876B" w14:textId="3E4CECE3" w:rsidR="00C33DDA" w:rsidRPr="009A443D" w:rsidRDefault="00E018DE" w:rsidP="009A443D">
      <w:pPr>
        <w:pStyle w:val="ListParagraph"/>
        <w:numPr>
          <w:ilvl w:val="0"/>
          <w:numId w:val="16"/>
        </w:numPr>
        <w:spacing w:after="0" w:line="360" w:lineRule="auto"/>
        <w:jc w:val="both"/>
        <w:rPr>
          <w:rFonts w:ascii="Times New Roman" w:hAnsi="Times New Roman" w:cs="Times New Roman"/>
        </w:rPr>
      </w:pPr>
      <w:r w:rsidRPr="009A443D">
        <w:rPr>
          <w:rFonts w:ascii="Times New Roman" w:hAnsi="Times New Roman" w:cs="Times New Roman"/>
        </w:rPr>
        <w:t>Areef, M., Rajeswari, S., Vani, N. and Naidu, G. M. 2020. Price behaviour and forecasting of</w:t>
      </w:r>
      <w:r w:rsidR="009C314F" w:rsidRPr="009A443D">
        <w:rPr>
          <w:rFonts w:ascii="Times New Roman" w:hAnsi="Times New Roman" w:cs="Times New Roman"/>
        </w:rPr>
        <w:t xml:space="preserve"> </w:t>
      </w:r>
      <w:r w:rsidRPr="009A443D">
        <w:rPr>
          <w:rFonts w:ascii="Times New Roman" w:hAnsi="Times New Roman" w:cs="Times New Roman"/>
        </w:rPr>
        <w:t xml:space="preserve">onion prices in Kurnool market, Andhra Pradesh state. </w:t>
      </w:r>
      <w:r w:rsidRPr="009A443D">
        <w:rPr>
          <w:rFonts w:ascii="Times New Roman" w:hAnsi="Times New Roman" w:cs="Times New Roman"/>
          <w:i/>
          <w:iCs/>
        </w:rPr>
        <w:t>Economic Affairs</w:t>
      </w:r>
      <w:r w:rsidRPr="009A443D">
        <w:rPr>
          <w:rFonts w:ascii="Times New Roman" w:hAnsi="Times New Roman" w:cs="Times New Roman"/>
        </w:rPr>
        <w:t>, 65(1): 43–50.</w:t>
      </w:r>
    </w:p>
    <w:p w14:paraId="1C0536CC" w14:textId="538E51DE" w:rsidR="001870E5" w:rsidRPr="009A443D" w:rsidRDefault="009C314F" w:rsidP="009A443D">
      <w:pPr>
        <w:pStyle w:val="ListParagraph"/>
        <w:numPr>
          <w:ilvl w:val="0"/>
          <w:numId w:val="16"/>
        </w:numPr>
        <w:spacing w:after="0" w:line="360" w:lineRule="auto"/>
        <w:jc w:val="both"/>
        <w:rPr>
          <w:rFonts w:ascii="Times New Roman" w:hAnsi="Times New Roman" w:cs="Times New Roman"/>
        </w:rPr>
      </w:pPr>
      <w:r w:rsidRPr="009A443D">
        <w:rPr>
          <w:rFonts w:ascii="Times New Roman" w:hAnsi="Times New Roman" w:cs="Times New Roman"/>
        </w:rPr>
        <w:t>Brock,</w:t>
      </w:r>
      <w:r w:rsidR="00AF63D8" w:rsidRPr="009A443D">
        <w:rPr>
          <w:rFonts w:ascii="Times New Roman" w:hAnsi="Times New Roman" w:cs="Times New Roman"/>
        </w:rPr>
        <w:t xml:space="preserve"> </w:t>
      </w:r>
      <w:r w:rsidRPr="009A443D">
        <w:rPr>
          <w:rFonts w:ascii="Times New Roman" w:hAnsi="Times New Roman" w:cs="Times New Roman"/>
        </w:rPr>
        <w:t>W</w:t>
      </w:r>
      <w:r w:rsidR="00AF63D8" w:rsidRPr="009A443D">
        <w:rPr>
          <w:rFonts w:ascii="Times New Roman" w:hAnsi="Times New Roman" w:cs="Times New Roman"/>
        </w:rPr>
        <w:t xml:space="preserve">. </w:t>
      </w:r>
      <w:r w:rsidRPr="009A443D">
        <w:rPr>
          <w:rFonts w:ascii="Times New Roman" w:hAnsi="Times New Roman" w:cs="Times New Roman"/>
        </w:rPr>
        <w:t>A.,</w:t>
      </w:r>
      <w:r w:rsidR="00AF63D8" w:rsidRPr="009A443D">
        <w:rPr>
          <w:rFonts w:ascii="Times New Roman" w:hAnsi="Times New Roman" w:cs="Times New Roman"/>
        </w:rPr>
        <w:t xml:space="preserve"> </w:t>
      </w:r>
      <w:r w:rsidRPr="009A443D">
        <w:rPr>
          <w:rFonts w:ascii="Times New Roman" w:hAnsi="Times New Roman" w:cs="Times New Roman"/>
        </w:rPr>
        <w:t>Dechert, W. D.,</w:t>
      </w:r>
      <w:r w:rsidR="00AF63D8" w:rsidRPr="009A443D">
        <w:rPr>
          <w:rFonts w:ascii="Times New Roman" w:hAnsi="Times New Roman" w:cs="Times New Roman"/>
        </w:rPr>
        <w:t xml:space="preserve"> </w:t>
      </w:r>
      <w:proofErr w:type="spellStart"/>
      <w:r w:rsidR="001870E5" w:rsidRPr="009A443D">
        <w:rPr>
          <w:rFonts w:ascii="Times New Roman" w:hAnsi="Times New Roman" w:cs="Times New Roman"/>
        </w:rPr>
        <w:t>Sc</w:t>
      </w:r>
      <w:r w:rsidRPr="009A443D">
        <w:rPr>
          <w:rFonts w:ascii="Times New Roman" w:hAnsi="Times New Roman" w:cs="Times New Roman"/>
        </w:rPr>
        <w:t>heinkman</w:t>
      </w:r>
      <w:proofErr w:type="spellEnd"/>
      <w:r w:rsidRPr="009A443D">
        <w:rPr>
          <w:rFonts w:ascii="Times New Roman" w:hAnsi="Times New Roman" w:cs="Times New Roman"/>
        </w:rPr>
        <w:t>, J. A., &amp; LeBaron, B. 1996</w:t>
      </w:r>
      <w:r w:rsidR="001870E5" w:rsidRPr="009A443D">
        <w:rPr>
          <w:rFonts w:ascii="Times New Roman" w:hAnsi="Times New Roman" w:cs="Times New Roman"/>
        </w:rPr>
        <w:t xml:space="preserve">. </w:t>
      </w:r>
      <w:r w:rsidRPr="009A443D">
        <w:rPr>
          <w:rStyle w:val="Emphasis"/>
          <w:rFonts w:ascii="Times New Roman" w:hAnsi="Times New Roman" w:cs="Times New Roman"/>
          <w:i w:val="0"/>
          <w:iCs w:val="0"/>
        </w:rPr>
        <w:t>A Test for independence</w:t>
      </w:r>
      <w:r w:rsidR="00C33DDA" w:rsidRPr="009A443D">
        <w:rPr>
          <w:rStyle w:val="Emphasis"/>
          <w:rFonts w:ascii="Times New Roman" w:hAnsi="Times New Roman" w:cs="Times New Roman"/>
          <w:i w:val="0"/>
          <w:iCs w:val="0"/>
        </w:rPr>
        <w:t xml:space="preserve"> </w:t>
      </w:r>
      <w:r w:rsidR="001870E5" w:rsidRPr="009A443D">
        <w:rPr>
          <w:rStyle w:val="Emphasis"/>
          <w:rFonts w:ascii="Times New Roman" w:hAnsi="Times New Roman" w:cs="Times New Roman"/>
          <w:i w:val="0"/>
          <w:iCs w:val="0"/>
        </w:rPr>
        <w:t>Based</w:t>
      </w:r>
      <w:r w:rsidR="00C33DDA" w:rsidRPr="009A443D">
        <w:rPr>
          <w:rStyle w:val="Emphasis"/>
          <w:rFonts w:ascii="Times New Roman" w:hAnsi="Times New Roman" w:cs="Times New Roman"/>
          <w:i w:val="0"/>
          <w:iCs w:val="0"/>
        </w:rPr>
        <w:t xml:space="preserve"> </w:t>
      </w:r>
      <w:r w:rsidR="001870E5" w:rsidRPr="009A443D">
        <w:rPr>
          <w:rStyle w:val="Emphasis"/>
          <w:rFonts w:ascii="Times New Roman" w:hAnsi="Times New Roman" w:cs="Times New Roman"/>
          <w:i w:val="0"/>
          <w:iCs w:val="0"/>
        </w:rPr>
        <w:t>on the Correlation Dimension</w:t>
      </w:r>
      <w:r w:rsidR="001870E5" w:rsidRPr="009A443D">
        <w:rPr>
          <w:rFonts w:ascii="Times New Roman" w:hAnsi="Times New Roman" w:cs="Times New Roman"/>
          <w:i/>
          <w:iCs/>
        </w:rPr>
        <w:t>.</w:t>
      </w:r>
      <w:r w:rsidR="001870E5" w:rsidRPr="009A443D">
        <w:rPr>
          <w:rFonts w:ascii="Times New Roman" w:hAnsi="Times New Roman" w:cs="Times New Roman"/>
        </w:rPr>
        <w:t xml:space="preserve"> </w:t>
      </w:r>
      <w:r w:rsidR="001870E5" w:rsidRPr="009A443D">
        <w:rPr>
          <w:rFonts w:ascii="Times New Roman" w:hAnsi="Times New Roman" w:cs="Times New Roman"/>
          <w:i/>
          <w:iCs/>
        </w:rPr>
        <w:t>Economi</w:t>
      </w:r>
      <w:r w:rsidRPr="009A443D">
        <w:rPr>
          <w:rFonts w:ascii="Times New Roman" w:hAnsi="Times New Roman" w:cs="Times New Roman"/>
          <w:i/>
          <w:iCs/>
        </w:rPr>
        <w:t>cs Working Paper,</w:t>
      </w:r>
      <w:r w:rsidRPr="009A443D">
        <w:rPr>
          <w:rFonts w:ascii="Times New Roman" w:hAnsi="Times New Roman" w:cs="Times New Roman"/>
        </w:rPr>
        <w:t xml:space="preserve"> University of </w:t>
      </w:r>
      <w:r w:rsidR="001870E5" w:rsidRPr="009A443D">
        <w:rPr>
          <w:rFonts w:ascii="Times New Roman" w:hAnsi="Times New Roman" w:cs="Times New Roman"/>
        </w:rPr>
        <w:t>Wisconsin–Madison</w:t>
      </w:r>
    </w:p>
    <w:p w14:paraId="0B488BC4" w14:textId="77777777" w:rsidR="00C33DDA" w:rsidRPr="009A443D" w:rsidRDefault="00E018DE" w:rsidP="009A443D">
      <w:pPr>
        <w:pStyle w:val="ListParagraph"/>
        <w:numPr>
          <w:ilvl w:val="0"/>
          <w:numId w:val="16"/>
        </w:numPr>
        <w:spacing w:after="0" w:line="360" w:lineRule="auto"/>
        <w:jc w:val="both"/>
        <w:rPr>
          <w:rFonts w:ascii="Times New Roman" w:hAnsi="Times New Roman" w:cs="Times New Roman"/>
          <w:i/>
          <w:iCs/>
        </w:rPr>
      </w:pPr>
      <w:r w:rsidRPr="009A443D">
        <w:rPr>
          <w:rFonts w:ascii="Times New Roman" w:hAnsi="Times New Roman" w:cs="Times New Roman"/>
        </w:rPr>
        <w:t>Cheng, H. and Huang, A. 2025. SVM-based agricultural crop price prediction model</w:t>
      </w:r>
      <w:r w:rsidRPr="009A443D">
        <w:rPr>
          <w:rFonts w:ascii="Times New Roman" w:hAnsi="Times New Roman" w:cs="Times New Roman"/>
          <w:i/>
          <w:iCs/>
        </w:rPr>
        <w:t>.</w:t>
      </w:r>
      <w:r w:rsidRPr="009A443D">
        <w:rPr>
          <w:rFonts w:ascii="Times New Roman" w:hAnsi="Times New Roman" w:cs="Times New Roman"/>
        </w:rPr>
        <w:t xml:space="preserve"> </w:t>
      </w:r>
      <w:r w:rsidRPr="009A443D">
        <w:rPr>
          <w:rFonts w:ascii="Times New Roman" w:hAnsi="Times New Roman" w:cs="Times New Roman"/>
          <w:i/>
          <w:iCs/>
        </w:rPr>
        <w:t>IAENG</w:t>
      </w:r>
      <w:r w:rsidR="009C314F" w:rsidRPr="009A443D">
        <w:rPr>
          <w:rFonts w:ascii="Times New Roman" w:hAnsi="Times New Roman" w:cs="Times New Roman"/>
          <w:i/>
          <w:iCs/>
        </w:rPr>
        <w:t xml:space="preserve"> </w:t>
      </w:r>
      <w:r w:rsidR="00AF63D8" w:rsidRPr="009A443D">
        <w:rPr>
          <w:rFonts w:ascii="Times New Roman" w:hAnsi="Times New Roman" w:cs="Times New Roman"/>
          <w:i/>
          <w:iCs/>
        </w:rPr>
        <w:t xml:space="preserve">     </w:t>
      </w:r>
      <w:r w:rsidRPr="009A443D">
        <w:rPr>
          <w:rFonts w:ascii="Times New Roman" w:hAnsi="Times New Roman" w:cs="Times New Roman"/>
          <w:i/>
          <w:iCs/>
        </w:rPr>
        <w:t>International Journal of Computer Science</w:t>
      </w:r>
      <w:r w:rsidRPr="009A443D">
        <w:rPr>
          <w:rFonts w:ascii="Times New Roman" w:hAnsi="Times New Roman" w:cs="Times New Roman"/>
        </w:rPr>
        <w:t>. 52(2): 307–316.</w:t>
      </w:r>
    </w:p>
    <w:p w14:paraId="135ED13B" w14:textId="13E31FD3" w:rsidR="00E018DE" w:rsidRPr="009A443D" w:rsidRDefault="00E018DE" w:rsidP="009A443D">
      <w:pPr>
        <w:pStyle w:val="ListParagraph"/>
        <w:numPr>
          <w:ilvl w:val="0"/>
          <w:numId w:val="16"/>
        </w:numPr>
        <w:spacing w:after="0" w:line="360" w:lineRule="auto"/>
        <w:jc w:val="both"/>
        <w:rPr>
          <w:rFonts w:ascii="Times New Roman" w:eastAsia="Times New Roman" w:hAnsi="Times New Roman" w:cs="Times New Roman"/>
          <w:kern w:val="0"/>
          <w:lang w:eastAsia="en-IN"/>
          <w14:ligatures w14:val="none"/>
        </w:rPr>
      </w:pPr>
      <w:r w:rsidRPr="009A443D">
        <w:rPr>
          <w:rFonts w:ascii="Times New Roman" w:eastAsia="Times New Roman" w:hAnsi="Times New Roman" w:cs="Times New Roman"/>
          <w:kern w:val="0"/>
          <w:lang w:eastAsia="en-IN"/>
          <w14:ligatures w14:val="none"/>
        </w:rPr>
        <w:t>Jadhav V, Reddy B V and Gaddi G M. 2017. Application of ARIMA model for forecasting</w:t>
      </w:r>
      <w:r w:rsidR="00C33DDA" w:rsidRPr="009A443D">
        <w:rPr>
          <w:rFonts w:ascii="Times New Roman" w:eastAsia="Times New Roman" w:hAnsi="Times New Roman" w:cs="Times New Roman"/>
          <w:kern w:val="0"/>
          <w:lang w:eastAsia="en-IN"/>
          <w14:ligatures w14:val="none"/>
        </w:rPr>
        <w:t xml:space="preserve"> </w:t>
      </w:r>
      <w:r w:rsidRPr="009A443D">
        <w:rPr>
          <w:rFonts w:ascii="Times New Roman" w:eastAsia="Times New Roman" w:hAnsi="Times New Roman" w:cs="Times New Roman"/>
          <w:kern w:val="0"/>
          <w:lang w:eastAsia="en-IN"/>
          <w14:ligatures w14:val="none"/>
        </w:rPr>
        <w:t xml:space="preserve">agricultural prices. </w:t>
      </w:r>
      <w:r w:rsidRPr="009A443D">
        <w:rPr>
          <w:rFonts w:ascii="Times New Roman" w:eastAsia="Times New Roman" w:hAnsi="Times New Roman" w:cs="Times New Roman"/>
          <w:i/>
          <w:iCs/>
          <w:kern w:val="0"/>
          <w:lang w:eastAsia="en-IN"/>
          <w14:ligatures w14:val="none"/>
        </w:rPr>
        <w:t>Journal of Agricultural Science and Technology</w:t>
      </w:r>
      <w:r w:rsidRPr="009A443D">
        <w:rPr>
          <w:rFonts w:ascii="Times New Roman" w:eastAsia="Times New Roman" w:hAnsi="Times New Roman" w:cs="Times New Roman"/>
          <w:kern w:val="0"/>
          <w:lang w:eastAsia="en-IN"/>
          <w14:ligatures w14:val="none"/>
        </w:rPr>
        <w:t xml:space="preserve"> </w:t>
      </w:r>
      <w:r w:rsidRPr="009A443D">
        <w:rPr>
          <w:rFonts w:ascii="Times New Roman" w:eastAsia="Times New Roman" w:hAnsi="Times New Roman" w:cs="Times New Roman"/>
          <w:b/>
          <w:bCs/>
          <w:kern w:val="0"/>
          <w:lang w:eastAsia="en-IN"/>
          <w14:ligatures w14:val="none"/>
        </w:rPr>
        <w:t>19</w:t>
      </w:r>
      <w:r w:rsidRPr="009A443D">
        <w:rPr>
          <w:rFonts w:ascii="Times New Roman" w:eastAsia="Times New Roman" w:hAnsi="Times New Roman" w:cs="Times New Roman"/>
          <w:kern w:val="0"/>
          <w:lang w:eastAsia="en-IN"/>
          <w14:ligatures w14:val="none"/>
        </w:rPr>
        <w:t>(5): 981–992.</w:t>
      </w:r>
    </w:p>
    <w:p w14:paraId="73228696" w14:textId="339F18EB" w:rsidR="00C0026B" w:rsidRPr="009A443D" w:rsidRDefault="00C0026B" w:rsidP="009A443D">
      <w:pPr>
        <w:pStyle w:val="ListParagraph"/>
        <w:numPr>
          <w:ilvl w:val="0"/>
          <w:numId w:val="16"/>
        </w:numPr>
        <w:spacing w:after="0" w:line="360" w:lineRule="auto"/>
        <w:jc w:val="both"/>
        <w:rPr>
          <w:rFonts w:ascii="Times New Roman" w:hAnsi="Times New Roman" w:cs="Times New Roman"/>
        </w:rPr>
      </w:pPr>
      <w:r w:rsidRPr="009A443D">
        <w:rPr>
          <w:rFonts w:ascii="Times New Roman" w:hAnsi="Times New Roman" w:cs="Times New Roman"/>
        </w:rPr>
        <w:t xml:space="preserve">Paul, R. K., </w:t>
      </w:r>
      <w:proofErr w:type="spellStart"/>
      <w:r w:rsidRPr="009A443D">
        <w:rPr>
          <w:rFonts w:ascii="Times New Roman" w:hAnsi="Times New Roman" w:cs="Times New Roman"/>
        </w:rPr>
        <w:t>Yeasin</w:t>
      </w:r>
      <w:proofErr w:type="spellEnd"/>
      <w:r w:rsidRPr="009A443D">
        <w:rPr>
          <w:rFonts w:ascii="Times New Roman" w:hAnsi="Times New Roman" w:cs="Times New Roman"/>
        </w:rPr>
        <w:t xml:space="preserve">, M., Kumar, P., Kumar, P., Balasubramanian, M., Roy, H. S., Paul, A. K., &amp; Gupta, A. 2022. Machine learning techniques for forecasting agricultural prices: A case of brinjal in Odisha, India. </w:t>
      </w:r>
      <w:r w:rsidRPr="009A443D">
        <w:rPr>
          <w:rFonts w:ascii="Times New Roman" w:hAnsi="Times New Roman" w:cs="Times New Roman"/>
          <w:i/>
          <w:iCs/>
        </w:rPr>
        <w:t>PLOS ONE</w:t>
      </w:r>
      <w:r w:rsidRPr="009A443D">
        <w:rPr>
          <w:rFonts w:ascii="Times New Roman" w:hAnsi="Times New Roman" w:cs="Times New Roman"/>
        </w:rPr>
        <w:t>, 17(7), e0270553.</w:t>
      </w:r>
    </w:p>
    <w:p w14:paraId="0A932E60" w14:textId="77777777" w:rsidR="00C33DDA" w:rsidRPr="009A443D" w:rsidRDefault="00E018DE" w:rsidP="009A443D">
      <w:pPr>
        <w:pStyle w:val="ListParagraph"/>
        <w:numPr>
          <w:ilvl w:val="0"/>
          <w:numId w:val="16"/>
        </w:numPr>
        <w:spacing w:after="0" w:line="360" w:lineRule="auto"/>
        <w:jc w:val="both"/>
        <w:rPr>
          <w:rFonts w:ascii="Times New Roman" w:eastAsia="Times New Roman" w:hAnsi="Times New Roman" w:cs="Times New Roman"/>
          <w:kern w:val="0"/>
          <w:lang w:eastAsia="en-IN"/>
          <w14:ligatures w14:val="none"/>
        </w:rPr>
      </w:pPr>
      <w:proofErr w:type="spellStart"/>
      <w:r w:rsidRPr="009A443D">
        <w:rPr>
          <w:rFonts w:ascii="Times New Roman" w:eastAsia="Times New Roman" w:hAnsi="Times New Roman" w:cs="Times New Roman"/>
          <w:kern w:val="0"/>
          <w:lang w:eastAsia="en-IN"/>
          <w14:ligatures w14:val="none"/>
        </w:rPr>
        <w:t>Phadte</w:t>
      </w:r>
      <w:proofErr w:type="spellEnd"/>
      <w:r w:rsidRPr="009A443D">
        <w:rPr>
          <w:rFonts w:ascii="Times New Roman" w:eastAsia="Times New Roman" w:hAnsi="Times New Roman" w:cs="Times New Roman"/>
          <w:kern w:val="0"/>
          <w:lang w:eastAsia="en-IN"/>
          <w14:ligatures w14:val="none"/>
        </w:rPr>
        <w:t xml:space="preserve">, P. V. and </w:t>
      </w:r>
      <w:proofErr w:type="spellStart"/>
      <w:r w:rsidRPr="009A443D">
        <w:rPr>
          <w:rFonts w:ascii="Times New Roman" w:eastAsia="Times New Roman" w:hAnsi="Times New Roman" w:cs="Times New Roman"/>
          <w:kern w:val="0"/>
          <w:lang w:eastAsia="en-IN"/>
          <w14:ligatures w14:val="none"/>
        </w:rPr>
        <w:t>Kolambkar</w:t>
      </w:r>
      <w:proofErr w:type="spellEnd"/>
      <w:r w:rsidRPr="009A443D">
        <w:rPr>
          <w:rFonts w:ascii="Times New Roman" w:eastAsia="Times New Roman" w:hAnsi="Times New Roman" w:cs="Times New Roman"/>
          <w:kern w:val="0"/>
          <w:lang w:eastAsia="en-IN"/>
          <w14:ligatures w14:val="none"/>
        </w:rPr>
        <w:t>, R. A. 2024. Trend analysis of arrivals and prices of cashew</w:t>
      </w:r>
      <w:r w:rsidR="00C33DDA" w:rsidRPr="009A443D">
        <w:rPr>
          <w:rFonts w:ascii="Times New Roman" w:eastAsia="Times New Roman" w:hAnsi="Times New Roman" w:cs="Times New Roman"/>
          <w:kern w:val="0"/>
          <w:lang w:eastAsia="en-IN"/>
          <w14:ligatures w14:val="none"/>
        </w:rPr>
        <w:t xml:space="preserve"> </w:t>
      </w:r>
      <w:r w:rsidRPr="009A443D">
        <w:rPr>
          <w:rFonts w:ascii="Times New Roman" w:eastAsia="Times New Roman" w:hAnsi="Times New Roman" w:cs="Times New Roman"/>
          <w:kern w:val="0"/>
          <w:lang w:eastAsia="en-IN"/>
          <w14:ligatures w14:val="none"/>
        </w:rPr>
        <w:t>nut in Go</w:t>
      </w:r>
      <w:r w:rsidR="00C33DDA" w:rsidRPr="009A443D">
        <w:rPr>
          <w:rFonts w:ascii="Times New Roman" w:eastAsia="Times New Roman" w:hAnsi="Times New Roman" w:cs="Times New Roman"/>
          <w:kern w:val="0"/>
          <w:lang w:eastAsia="en-IN"/>
          <w14:ligatures w14:val="none"/>
        </w:rPr>
        <w:t xml:space="preserve">a </w:t>
      </w:r>
      <w:r w:rsidRPr="009A443D">
        <w:rPr>
          <w:rFonts w:ascii="Times New Roman" w:eastAsia="Times New Roman" w:hAnsi="Times New Roman" w:cs="Times New Roman"/>
          <w:kern w:val="0"/>
          <w:lang w:eastAsia="en-IN"/>
          <w14:ligatures w14:val="none"/>
        </w:rPr>
        <w:t xml:space="preserve">state. </w:t>
      </w:r>
      <w:r w:rsidRPr="009A443D">
        <w:rPr>
          <w:rFonts w:ascii="Times New Roman" w:eastAsia="Times New Roman" w:hAnsi="Times New Roman" w:cs="Times New Roman"/>
          <w:i/>
          <w:iCs/>
          <w:kern w:val="0"/>
          <w:lang w:eastAsia="en-IN"/>
          <w14:ligatures w14:val="none"/>
        </w:rPr>
        <w:t>Annals of Biology</w:t>
      </w:r>
      <w:r w:rsidRPr="009A443D">
        <w:rPr>
          <w:rFonts w:ascii="Times New Roman" w:eastAsia="Times New Roman" w:hAnsi="Times New Roman" w:cs="Times New Roman"/>
          <w:kern w:val="0"/>
          <w:lang w:eastAsia="en-IN"/>
          <w14:ligatures w14:val="none"/>
        </w:rPr>
        <w:t>, 40(2): 366–370.</w:t>
      </w:r>
    </w:p>
    <w:p w14:paraId="02489314" w14:textId="4AEC6E24" w:rsidR="00C0026B" w:rsidRPr="009A443D" w:rsidRDefault="00C0026B" w:rsidP="009A443D">
      <w:pPr>
        <w:pStyle w:val="ListParagraph"/>
        <w:numPr>
          <w:ilvl w:val="0"/>
          <w:numId w:val="16"/>
        </w:numPr>
        <w:spacing w:after="0" w:line="360" w:lineRule="auto"/>
        <w:jc w:val="both"/>
        <w:rPr>
          <w:rFonts w:ascii="Times New Roman" w:eastAsia="Times New Roman" w:hAnsi="Times New Roman" w:cs="Times New Roman"/>
          <w:kern w:val="0"/>
          <w:lang w:eastAsia="en-IN"/>
          <w14:ligatures w14:val="none"/>
        </w:rPr>
      </w:pPr>
      <w:r w:rsidRPr="009A443D">
        <w:rPr>
          <w:rFonts w:ascii="Times New Roman" w:eastAsia="Times New Roman" w:hAnsi="Times New Roman" w:cs="Times New Roman"/>
          <w:kern w:val="0"/>
          <w:lang w:eastAsia="en-IN"/>
          <w14:ligatures w14:val="none"/>
        </w:rPr>
        <w:t xml:space="preserve">Ragunath, R., &amp; Rathipriya, R. 2025. Forecasting agriculture commodity price trend using novel competitive ensemble regression model. </w:t>
      </w:r>
      <w:r w:rsidRPr="009A443D">
        <w:rPr>
          <w:rFonts w:ascii="Times New Roman" w:eastAsia="Times New Roman" w:hAnsi="Times New Roman" w:cs="Times New Roman"/>
          <w:i/>
          <w:iCs/>
          <w:kern w:val="0"/>
          <w:lang w:eastAsia="en-IN"/>
          <w14:ligatures w14:val="none"/>
        </w:rPr>
        <w:t>International Journal of Information Technology and Computer Science</w:t>
      </w:r>
      <w:r w:rsidRPr="009A443D">
        <w:rPr>
          <w:rFonts w:ascii="Times New Roman" w:eastAsia="Times New Roman" w:hAnsi="Times New Roman" w:cs="Times New Roman"/>
          <w:kern w:val="0"/>
          <w:lang w:eastAsia="en-IN"/>
          <w14:ligatures w14:val="none"/>
        </w:rPr>
        <w:t>, 17(3), 97–105.</w:t>
      </w:r>
    </w:p>
    <w:p w14:paraId="1FD6DB18" w14:textId="181975D7" w:rsidR="00C33DDA" w:rsidRPr="009A443D" w:rsidRDefault="00E018DE" w:rsidP="009A443D">
      <w:pPr>
        <w:pStyle w:val="ListParagraph"/>
        <w:numPr>
          <w:ilvl w:val="0"/>
          <w:numId w:val="16"/>
        </w:numPr>
        <w:spacing w:after="0" w:line="360" w:lineRule="auto"/>
        <w:jc w:val="both"/>
        <w:rPr>
          <w:rFonts w:ascii="Times New Roman" w:eastAsia="Times New Roman" w:hAnsi="Times New Roman" w:cs="Times New Roman"/>
          <w:kern w:val="0"/>
          <w:lang w:eastAsia="en-IN"/>
          <w14:ligatures w14:val="none"/>
        </w:rPr>
      </w:pPr>
      <w:r w:rsidRPr="009A443D">
        <w:rPr>
          <w:rFonts w:ascii="Times New Roman" w:hAnsi="Times New Roman" w:cs="Times New Roman"/>
        </w:rPr>
        <w:t xml:space="preserve">Rubio, L., &amp; Alba, K. 2022. Forecasting selected Colombian shares using a hybrid ARIMA-SVR model. </w:t>
      </w:r>
      <w:r w:rsidRPr="009A443D">
        <w:rPr>
          <w:rFonts w:ascii="Times New Roman" w:hAnsi="Times New Roman" w:cs="Times New Roman"/>
          <w:i/>
          <w:iCs/>
        </w:rPr>
        <w:t>Mathematics</w:t>
      </w:r>
      <w:r w:rsidRPr="009A443D">
        <w:rPr>
          <w:rFonts w:ascii="Times New Roman" w:hAnsi="Times New Roman" w:cs="Times New Roman"/>
        </w:rPr>
        <w:t>, 10(13), 2181.</w:t>
      </w:r>
    </w:p>
    <w:p w14:paraId="3F102235" w14:textId="77777777" w:rsidR="00C33DDA" w:rsidRPr="009A443D" w:rsidRDefault="00E018DE" w:rsidP="009A443D">
      <w:pPr>
        <w:pStyle w:val="ListParagraph"/>
        <w:numPr>
          <w:ilvl w:val="0"/>
          <w:numId w:val="16"/>
        </w:numPr>
        <w:spacing w:after="0" w:line="360" w:lineRule="auto"/>
        <w:jc w:val="both"/>
        <w:rPr>
          <w:rFonts w:ascii="Times New Roman" w:eastAsia="Times New Roman" w:hAnsi="Times New Roman" w:cs="Times New Roman"/>
          <w:kern w:val="0"/>
          <w:lang w:eastAsia="en-IN"/>
          <w14:ligatures w14:val="none"/>
        </w:rPr>
      </w:pPr>
      <w:r w:rsidRPr="009A443D">
        <w:rPr>
          <w:rFonts w:ascii="Times New Roman" w:hAnsi="Times New Roman" w:cs="Times New Roman"/>
          <w:color w:val="000000" w:themeColor="text1"/>
        </w:rPr>
        <w:t>Sahu, P., Singh, S. and Sonkar, S. 2026. Comparative evaluation of ARIMA and ARIMA–ANN</w:t>
      </w:r>
      <w:r w:rsidR="00C33DDA" w:rsidRPr="009A443D">
        <w:rPr>
          <w:rFonts w:ascii="Times New Roman" w:hAnsi="Times New Roman" w:cs="Times New Roman"/>
          <w:color w:val="000000" w:themeColor="text1"/>
        </w:rPr>
        <w:t xml:space="preserve"> </w:t>
      </w:r>
      <w:r w:rsidRPr="009A443D">
        <w:rPr>
          <w:rFonts w:ascii="Times New Roman" w:hAnsi="Times New Roman" w:cs="Times New Roman"/>
          <w:color w:val="000000" w:themeColor="text1"/>
        </w:rPr>
        <w:t>hybrid</w:t>
      </w:r>
      <w:r w:rsidR="00C33DDA" w:rsidRPr="009A443D">
        <w:rPr>
          <w:rFonts w:ascii="Times New Roman" w:hAnsi="Times New Roman" w:cs="Times New Roman"/>
          <w:color w:val="000000" w:themeColor="text1"/>
        </w:rPr>
        <w:t xml:space="preserve"> </w:t>
      </w:r>
      <w:r w:rsidRPr="009A443D">
        <w:rPr>
          <w:rFonts w:ascii="Times New Roman" w:hAnsi="Times New Roman" w:cs="Times New Roman"/>
          <w:color w:val="000000" w:themeColor="text1"/>
        </w:rPr>
        <w:t xml:space="preserve">models for forecasting groundnut area, production and productivity in </w:t>
      </w:r>
      <w:proofErr w:type="spellStart"/>
      <w:r w:rsidRPr="009A443D">
        <w:rPr>
          <w:rFonts w:ascii="Times New Roman" w:hAnsi="Times New Roman" w:cs="Times New Roman"/>
          <w:color w:val="000000" w:themeColor="text1"/>
        </w:rPr>
        <w:t>Surguja</w:t>
      </w:r>
      <w:proofErr w:type="spellEnd"/>
      <w:r w:rsidRPr="009A443D">
        <w:rPr>
          <w:rFonts w:ascii="Times New Roman" w:hAnsi="Times New Roman" w:cs="Times New Roman"/>
          <w:color w:val="000000" w:themeColor="text1"/>
        </w:rPr>
        <w:t xml:space="preserve"> district, Chhattisgarh, India. </w:t>
      </w:r>
      <w:r w:rsidRPr="009A443D">
        <w:rPr>
          <w:rFonts w:ascii="Times New Roman" w:hAnsi="Times New Roman" w:cs="Times New Roman"/>
          <w:i/>
          <w:iCs/>
          <w:color w:val="000000" w:themeColor="text1"/>
        </w:rPr>
        <w:t>Journal of Experimental Agriculture International</w:t>
      </w:r>
      <w:r w:rsidRPr="009A443D">
        <w:rPr>
          <w:rFonts w:ascii="Times New Roman" w:hAnsi="Times New Roman" w:cs="Times New Roman"/>
          <w:color w:val="000000" w:themeColor="text1"/>
        </w:rPr>
        <w:t>. 48(3):22–33.</w:t>
      </w:r>
    </w:p>
    <w:p w14:paraId="6EBBEB6F" w14:textId="13DA76E6" w:rsidR="00E018DE" w:rsidRPr="009A443D" w:rsidRDefault="00E018DE" w:rsidP="009A443D">
      <w:pPr>
        <w:pStyle w:val="ListParagraph"/>
        <w:numPr>
          <w:ilvl w:val="0"/>
          <w:numId w:val="16"/>
        </w:numPr>
        <w:spacing w:after="0" w:line="360" w:lineRule="auto"/>
        <w:jc w:val="both"/>
        <w:rPr>
          <w:rFonts w:ascii="Times New Roman" w:hAnsi="Times New Roman" w:cs="Times New Roman"/>
          <w:color w:val="000000" w:themeColor="text1"/>
        </w:rPr>
      </w:pPr>
      <w:r w:rsidRPr="009A443D">
        <w:rPr>
          <w:rFonts w:ascii="Times New Roman" w:hAnsi="Times New Roman" w:cs="Times New Roman"/>
          <w:color w:val="000000" w:themeColor="text1"/>
        </w:rPr>
        <w:lastRenderedPageBreak/>
        <w:t>Shameem, Shaik, Lavanya Kumari. P, Ramana Murthy. B, and Vani. N. 2025. A Synergistic</w:t>
      </w:r>
      <w:r w:rsidR="009C314F" w:rsidRPr="009A443D">
        <w:rPr>
          <w:rFonts w:ascii="Times New Roman" w:hAnsi="Times New Roman" w:cs="Times New Roman"/>
          <w:color w:val="000000" w:themeColor="text1"/>
        </w:rPr>
        <w:t xml:space="preserve"> </w:t>
      </w:r>
      <w:r w:rsidRPr="009A443D">
        <w:rPr>
          <w:rFonts w:ascii="Times New Roman" w:hAnsi="Times New Roman" w:cs="Times New Roman"/>
          <w:color w:val="000000" w:themeColor="text1"/>
        </w:rPr>
        <w:t>Approach to Forecasting Sesamum Prices in Andhra Pradesh: Hybrid, Machine</w:t>
      </w:r>
      <w:r w:rsidR="009C314F" w:rsidRPr="009A443D">
        <w:rPr>
          <w:rFonts w:ascii="Times New Roman" w:hAnsi="Times New Roman" w:cs="Times New Roman"/>
          <w:color w:val="000000" w:themeColor="text1"/>
        </w:rPr>
        <w:t xml:space="preserve"> </w:t>
      </w:r>
      <w:r w:rsidRPr="009A443D">
        <w:rPr>
          <w:rFonts w:ascii="Times New Roman" w:hAnsi="Times New Roman" w:cs="Times New Roman"/>
          <w:color w:val="000000" w:themeColor="text1"/>
        </w:rPr>
        <w:t xml:space="preserve">Learning and Wavelet Decomposition Models. </w:t>
      </w:r>
      <w:r w:rsidRPr="009A443D">
        <w:rPr>
          <w:rFonts w:ascii="Times New Roman" w:hAnsi="Times New Roman" w:cs="Times New Roman"/>
          <w:i/>
          <w:iCs/>
          <w:color w:val="000000" w:themeColor="text1"/>
        </w:rPr>
        <w:t>Journal of Scientific Research and</w:t>
      </w:r>
      <w:r w:rsidR="009C314F" w:rsidRPr="009A443D">
        <w:rPr>
          <w:rFonts w:ascii="Times New Roman" w:hAnsi="Times New Roman" w:cs="Times New Roman"/>
          <w:i/>
          <w:iCs/>
          <w:color w:val="000000" w:themeColor="text1"/>
        </w:rPr>
        <w:t xml:space="preserve"> </w:t>
      </w:r>
      <w:r w:rsidRPr="009A443D">
        <w:rPr>
          <w:rFonts w:ascii="Times New Roman" w:hAnsi="Times New Roman" w:cs="Times New Roman"/>
          <w:i/>
          <w:iCs/>
          <w:color w:val="000000" w:themeColor="text1"/>
        </w:rPr>
        <w:t xml:space="preserve">Reports. </w:t>
      </w:r>
      <w:r w:rsidRPr="009A443D">
        <w:rPr>
          <w:rFonts w:ascii="Times New Roman" w:hAnsi="Times New Roman" w:cs="Times New Roman"/>
          <w:color w:val="000000" w:themeColor="text1"/>
        </w:rPr>
        <w:t>31 (6):1033-43.</w:t>
      </w:r>
    </w:p>
    <w:p w14:paraId="5891FF1A" w14:textId="2ED6CFAB" w:rsidR="00447DFD" w:rsidRDefault="00447DFD" w:rsidP="009A443D">
      <w:pPr>
        <w:pStyle w:val="ListParagraph"/>
        <w:numPr>
          <w:ilvl w:val="0"/>
          <w:numId w:val="16"/>
        </w:numPr>
        <w:spacing w:after="0" w:line="360" w:lineRule="auto"/>
        <w:jc w:val="both"/>
        <w:rPr>
          <w:rFonts w:ascii="Times New Roman" w:eastAsia="Times New Roman" w:hAnsi="Times New Roman" w:cs="Times New Roman"/>
          <w:kern w:val="0"/>
          <w:lang w:eastAsia="en-IN"/>
          <w14:ligatures w14:val="none"/>
        </w:rPr>
      </w:pPr>
      <w:r w:rsidRPr="009A443D">
        <w:rPr>
          <w:rFonts w:ascii="Times New Roman" w:eastAsia="Times New Roman" w:hAnsi="Times New Roman" w:cs="Times New Roman"/>
          <w:kern w:val="0"/>
          <w:lang w:eastAsia="en-IN"/>
          <w14:ligatures w14:val="none"/>
        </w:rPr>
        <w:t xml:space="preserve">Zhao, </w:t>
      </w:r>
      <w:proofErr w:type="spellStart"/>
      <w:r w:rsidRPr="009A443D">
        <w:rPr>
          <w:rFonts w:ascii="Times New Roman" w:eastAsia="Times New Roman" w:hAnsi="Times New Roman" w:cs="Times New Roman"/>
          <w:kern w:val="0"/>
          <w:lang w:eastAsia="en-IN"/>
          <w14:ligatures w14:val="none"/>
        </w:rPr>
        <w:t>Chingkei</w:t>
      </w:r>
      <w:proofErr w:type="spellEnd"/>
      <w:r w:rsidRPr="009A443D">
        <w:rPr>
          <w:rFonts w:ascii="Times New Roman" w:eastAsia="Times New Roman" w:hAnsi="Times New Roman" w:cs="Times New Roman"/>
          <w:kern w:val="0"/>
          <w:lang w:eastAsia="en-IN"/>
          <w14:ligatures w14:val="none"/>
        </w:rPr>
        <w:t xml:space="preserve">. 2024. A Review of Agricultural Product Price Forecasting Research. </w:t>
      </w:r>
      <w:r w:rsidRPr="009A443D">
        <w:rPr>
          <w:rFonts w:ascii="Times New Roman" w:eastAsia="Times New Roman" w:hAnsi="Times New Roman" w:cs="Times New Roman"/>
          <w:i/>
          <w:iCs/>
          <w:kern w:val="0"/>
          <w:lang w:eastAsia="en-IN"/>
          <w14:ligatures w14:val="none"/>
        </w:rPr>
        <w:t>BIO Web of Conferences</w:t>
      </w:r>
      <w:r w:rsidRPr="009A443D">
        <w:rPr>
          <w:rFonts w:ascii="Times New Roman" w:eastAsia="Times New Roman" w:hAnsi="Times New Roman" w:cs="Times New Roman"/>
          <w:kern w:val="0"/>
          <w:lang w:eastAsia="en-IN"/>
          <w14:ligatures w14:val="none"/>
        </w:rPr>
        <w:t xml:space="preserve"> 142:01002.</w:t>
      </w:r>
    </w:p>
    <w:p w14:paraId="60B63609" w14:textId="2E73429A" w:rsidR="009A443D" w:rsidRPr="00D577B1" w:rsidRDefault="00CE4EDB" w:rsidP="009A443D">
      <w:pPr>
        <w:pStyle w:val="ListParagraph"/>
        <w:numPr>
          <w:ilvl w:val="0"/>
          <w:numId w:val="16"/>
        </w:numPr>
        <w:spacing w:after="0" w:line="360" w:lineRule="auto"/>
        <w:jc w:val="both"/>
        <w:rPr>
          <w:rFonts w:ascii="Times New Roman" w:eastAsia="Times New Roman" w:hAnsi="Times New Roman" w:cs="Times New Roman"/>
          <w:kern w:val="0"/>
          <w:highlight w:val="yellow"/>
          <w:lang w:eastAsia="en-IN"/>
          <w14:ligatures w14:val="none"/>
        </w:rPr>
      </w:pPr>
      <w:r w:rsidRPr="00D577B1">
        <w:rPr>
          <w:rFonts w:ascii="Times New Roman" w:eastAsia="Times New Roman" w:hAnsi="Times New Roman" w:cs="Times New Roman"/>
          <w:kern w:val="0"/>
          <w:highlight w:val="yellow"/>
          <w:lang w:eastAsia="en-IN"/>
          <w14:ligatures w14:val="none"/>
        </w:rPr>
        <w:t xml:space="preserve">Rejani, R., &amp; </w:t>
      </w:r>
      <w:proofErr w:type="spellStart"/>
      <w:r w:rsidRPr="00D577B1">
        <w:rPr>
          <w:rFonts w:ascii="Times New Roman" w:eastAsia="Times New Roman" w:hAnsi="Times New Roman" w:cs="Times New Roman"/>
          <w:kern w:val="0"/>
          <w:highlight w:val="yellow"/>
          <w:lang w:eastAsia="en-IN"/>
          <w14:ligatures w14:val="none"/>
        </w:rPr>
        <w:t>Yadukumar</w:t>
      </w:r>
      <w:proofErr w:type="spellEnd"/>
      <w:r w:rsidRPr="00D577B1">
        <w:rPr>
          <w:rFonts w:ascii="Times New Roman" w:eastAsia="Times New Roman" w:hAnsi="Times New Roman" w:cs="Times New Roman"/>
          <w:kern w:val="0"/>
          <w:highlight w:val="yellow"/>
          <w:lang w:eastAsia="en-IN"/>
          <w14:ligatures w14:val="none"/>
        </w:rPr>
        <w:t xml:space="preserve">, N. (2010). Soil and water conservation techniques in cashew grown along steep hill slopes. Scientia </w:t>
      </w:r>
      <w:proofErr w:type="spellStart"/>
      <w:r w:rsidRPr="00D577B1">
        <w:rPr>
          <w:rFonts w:ascii="Times New Roman" w:eastAsia="Times New Roman" w:hAnsi="Times New Roman" w:cs="Times New Roman"/>
          <w:kern w:val="0"/>
          <w:highlight w:val="yellow"/>
          <w:lang w:eastAsia="en-IN"/>
          <w14:ligatures w14:val="none"/>
        </w:rPr>
        <w:t>Horticulturae</w:t>
      </w:r>
      <w:proofErr w:type="spellEnd"/>
      <w:r w:rsidRPr="00D577B1">
        <w:rPr>
          <w:rFonts w:ascii="Times New Roman" w:eastAsia="Times New Roman" w:hAnsi="Times New Roman" w:cs="Times New Roman"/>
          <w:kern w:val="0"/>
          <w:highlight w:val="yellow"/>
          <w:lang w:eastAsia="en-IN"/>
          <w14:ligatures w14:val="none"/>
        </w:rPr>
        <w:t>, 126(3), 371-378.</w:t>
      </w:r>
      <w:r w:rsidRPr="00D577B1">
        <w:rPr>
          <w:highlight w:val="yellow"/>
        </w:rPr>
        <w:t xml:space="preserve"> </w:t>
      </w:r>
      <w:hyperlink r:id="rId27" w:history="1">
        <w:r w:rsidRPr="00D577B1">
          <w:rPr>
            <w:rStyle w:val="Hyperlink"/>
            <w:rFonts w:ascii="Times New Roman" w:eastAsia="Times New Roman" w:hAnsi="Times New Roman" w:cs="Times New Roman"/>
            <w:kern w:val="0"/>
            <w:highlight w:val="yellow"/>
            <w:lang w:eastAsia="en-IN"/>
            <w14:ligatures w14:val="none"/>
          </w:rPr>
          <w:t>https://doi.org/10.1016/j.scienta.2010.07.032</w:t>
        </w:r>
      </w:hyperlink>
    </w:p>
    <w:p w14:paraId="21BCD474" w14:textId="77777777" w:rsidR="00CE4EDB" w:rsidRPr="00D577B1" w:rsidRDefault="00CE4EDB" w:rsidP="00CE4EDB">
      <w:pPr>
        <w:pStyle w:val="ListParagraph"/>
        <w:numPr>
          <w:ilvl w:val="0"/>
          <w:numId w:val="16"/>
        </w:numPr>
        <w:shd w:val="clear" w:color="auto" w:fill="FFFFFF"/>
        <w:rPr>
          <w:rFonts w:ascii="Noto Sans" w:hAnsi="Noto Sans" w:cs="Noto Sans"/>
          <w:sz w:val="20"/>
          <w:szCs w:val="20"/>
          <w:highlight w:val="yellow"/>
        </w:rPr>
      </w:pPr>
      <w:r w:rsidRPr="00D577B1">
        <w:rPr>
          <w:rFonts w:ascii="Noto Sans" w:hAnsi="Noto Sans" w:cs="Noto Sans"/>
          <w:sz w:val="20"/>
          <w:szCs w:val="20"/>
          <w:highlight w:val="yellow"/>
        </w:rPr>
        <w:t xml:space="preserve">Shripad Bhat, Dinesh Kumar, Shiv Kumar, Kiran Kumara T M, &amp; H </w:t>
      </w:r>
      <w:proofErr w:type="spellStart"/>
      <w:r w:rsidRPr="00D577B1">
        <w:rPr>
          <w:rFonts w:ascii="Noto Sans" w:hAnsi="Noto Sans" w:cs="Noto Sans"/>
          <w:sz w:val="20"/>
          <w:szCs w:val="20"/>
          <w:highlight w:val="yellow"/>
        </w:rPr>
        <w:t>Rajashekara</w:t>
      </w:r>
      <w:proofErr w:type="spellEnd"/>
      <w:r w:rsidRPr="00D577B1">
        <w:rPr>
          <w:rFonts w:ascii="Noto Sans" w:hAnsi="Noto Sans" w:cs="Noto Sans"/>
          <w:sz w:val="20"/>
          <w:szCs w:val="20"/>
          <w:highlight w:val="yellow"/>
        </w:rPr>
        <w:t>. (2024). Vulnerability of the Indian cashew market to global price shocks. </w:t>
      </w:r>
      <w:r w:rsidRPr="00D577B1">
        <w:rPr>
          <w:rFonts w:ascii="Noto Sans" w:hAnsi="Noto Sans" w:cs="Noto Sans"/>
          <w:i/>
          <w:iCs/>
          <w:sz w:val="20"/>
          <w:szCs w:val="20"/>
          <w:highlight w:val="yellow"/>
        </w:rPr>
        <w:t>Agricultural Economics Research Review</w:t>
      </w:r>
      <w:r w:rsidRPr="00D577B1">
        <w:rPr>
          <w:rFonts w:ascii="Noto Sans" w:hAnsi="Noto Sans" w:cs="Noto Sans"/>
          <w:sz w:val="20"/>
          <w:szCs w:val="20"/>
          <w:highlight w:val="yellow"/>
        </w:rPr>
        <w:t>, </w:t>
      </w:r>
      <w:r w:rsidRPr="00D577B1">
        <w:rPr>
          <w:rFonts w:ascii="Noto Sans" w:hAnsi="Noto Sans" w:cs="Noto Sans"/>
          <w:i/>
          <w:iCs/>
          <w:sz w:val="20"/>
          <w:szCs w:val="20"/>
          <w:highlight w:val="yellow"/>
        </w:rPr>
        <w:t>37</w:t>
      </w:r>
      <w:r w:rsidRPr="00D577B1">
        <w:rPr>
          <w:rFonts w:ascii="Noto Sans" w:hAnsi="Noto Sans" w:cs="Noto Sans"/>
          <w:sz w:val="20"/>
          <w:szCs w:val="20"/>
          <w:highlight w:val="yellow"/>
        </w:rPr>
        <w:t>(1), 79-91. </w:t>
      </w:r>
      <w:hyperlink r:id="rId28" w:history="1">
        <w:r w:rsidRPr="00D577B1">
          <w:rPr>
            <w:rStyle w:val="Hyperlink"/>
            <w:rFonts w:ascii="Noto Sans" w:hAnsi="Noto Sans" w:cs="Noto Sans"/>
            <w:color w:val="006798"/>
            <w:sz w:val="20"/>
            <w:szCs w:val="20"/>
            <w:highlight w:val="yellow"/>
          </w:rPr>
          <w:t>https://epubs.icar.org.in/index.php/AERR/article/view/154838</w:t>
        </w:r>
      </w:hyperlink>
    </w:p>
    <w:p w14:paraId="464A211A" w14:textId="1C43049A" w:rsidR="00D577B1" w:rsidRPr="00D577B1" w:rsidRDefault="00D577B1" w:rsidP="00CE4EDB">
      <w:pPr>
        <w:pStyle w:val="ListParagraph"/>
        <w:numPr>
          <w:ilvl w:val="0"/>
          <w:numId w:val="16"/>
        </w:numPr>
        <w:shd w:val="clear" w:color="auto" w:fill="FFFFFF"/>
        <w:rPr>
          <w:rFonts w:ascii="Noto Sans" w:hAnsi="Noto Sans" w:cs="Noto Sans"/>
          <w:sz w:val="20"/>
          <w:szCs w:val="20"/>
          <w:highlight w:val="yellow"/>
        </w:rPr>
      </w:pPr>
      <w:r w:rsidRPr="00D577B1">
        <w:rPr>
          <w:rFonts w:ascii="Noto Sans" w:hAnsi="Noto Sans" w:cs="Noto Sans"/>
          <w:sz w:val="20"/>
          <w:szCs w:val="20"/>
          <w:highlight w:val="yellow"/>
        </w:rPr>
        <w:t>Mitra, D., &amp; Paul, R. K. (2017). Hybrid time-series models for forecasting agricultural commodity prices. Model Assisted Statistics and Applications, 12(3), 255-264.</w:t>
      </w:r>
    </w:p>
    <w:p w14:paraId="05E43DCB" w14:textId="77777777" w:rsidR="00CE4EDB" w:rsidRPr="009A443D" w:rsidRDefault="00CE4EDB" w:rsidP="00CE4EDB">
      <w:pPr>
        <w:pStyle w:val="ListParagraph"/>
        <w:spacing w:after="0" w:line="360" w:lineRule="auto"/>
        <w:jc w:val="both"/>
        <w:rPr>
          <w:rFonts w:ascii="Times New Roman" w:eastAsia="Times New Roman" w:hAnsi="Times New Roman" w:cs="Times New Roman"/>
          <w:kern w:val="0"/>
          <w:lang w:eastAsia="en-IN"/>
          <w14:ligatures w14:val="none"/>
        </w:rPr>
      </w:pPr>
    </w:p>
    <w:p w14:paraId="3663EBCC" w14:textId="77777777" w:rsidR="00447DFD" w:rsidRPr="003D5174" w:rsidRDefault="00447DFD" w:rsidP="00027409">
      <w:pPr>
        <w:spacing w:after="0" w:line="360" w:lineRule="auto"/>
        <w:ind w:left="284" w:hanging="284"/>
        <w:jc w:val="both"/>
        <w:rPr>
          <w:rFonts w:ascii="Times New Roman" w:eastAsia="Times New Roman" w:hAnsi="Times New Roman" w:cs="Times New Roman"/>
          <w:kern w:val="0"/>
          <w:lang w:eastAsia="en-IN"/>
          <w14:ligatures w14:val="none"/>
        </w:rPr>
      </w:pPr>
    </w:p>
    <w:sectPr w:rsidR="00447DFD" w:rsidRPr="003D5174" w:rsidSect="00E018DE">
      <w:headerReference w:type="even" r:id="rId29"/>
      <w:headerReference w:type="default" r:id="rId30"/>
      <w:footerReference w:type="even" r:id="rId31"/>
      <w:footerReference w:type="default" r:id="rId32"/>
      <w:headerReference w:type="first" r:id="rId33"/>
      <w:footerReference w:type="first" r:id="rId3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09B8" w14:textId="77777777" w:rsidR="005B22AF" w:rsidRDefault="005B22AF" w:rsidP="001E4F4B">
      <w:pPr>
        <w:spacing w:after="0" w:line="240" w:lineRule="auto"/>
      </w:pPr>
      <w:r>
        <w:separator/>
      </w:r>
    </w:p>
  </w:endnote>
  <w:endnote w:type="continuationSeparator" w:id="0">
    <w:p w14:paraId="0314D7BC" w14:textId="77777777" w:rsidR="005B22AF" w:rsidRDefault="005B22AF" w:rsidP="001E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E665" w14:textId="77777777" w:rsidR="0054157D" w:rsidRDefault="00541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6083" w14:textId="77777777" w:rsidR="0054157D" w:rsidRDefault="00541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A32F" w14:textId="77777777" w:rsidR="0054157D" w:rsidRDefault="00541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98C5" w14:textId="77777777" w:rsidR="005B22AF" w:rsidRDefault="005B22AF" w:rsidP="001E4F4B">
      <w:pPr>
        <w:spacing w:after="0" w:line="240" w:lineRule="auto"/>
      </w:pPr>
      <w:r>
        <w:separator/>
      </w:r>
    </w:p>
  </w:footnote>
  <w:footnote w:type="continuationSeparator" w:id="0">
    <w:p w14:paraId="7C557110" w14:textId="77777777" w:rsidR="005B22AF" w:rsidRDefault="005B22AF" w:rsidP="001E4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7DF3" w14:textId="1614E873" w:rsidR="0054157D" w:rsidRDefault="00000000">
    <w:pPr>
      <w:pStyle w:val="Header"/>
    </w:pPr>
    <w:r>
      <w:rPr>
        <w:noProof/>
      </w:rPr>
      <w:pict w14:anchorId="609A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478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AD04" w14:textId="1AA0755D" w:rsidR="001E4F4B" w:rsidRDefault="00000000">
    <w:pPr>
      <w:pStyle w:val="Header"/>
      <w:jc w:val="right"/>
    </w:pPr>
    <w:r>
      <w:rPr>
        <w:noProof/>
      </w:rPr>
      <w:pict w14:anchorId="6905B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47892"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845925235"/>
        <w:docPartObj>
          <w:docPartGallery w:val="Page Numbers (Top of Page)"/>
          <w:docPartUnique/>
        </w:docPartObj>
      </w:sdtPr>
      <w:sdtEndPr>
        <w:rPr>
          <w:noProof/>
        </w:rPr>
      </w:sdtEndPr>
      <w:sdtContent>
        <w:r w:rsidR="001E4F4B">
          <w:fldChar w:fldCharType="begin"/>
        </w:r>
        <w:r w:rsidR="001E4F4B">
          <w:instrText xml:space="preserve"> PAGE   \* MERGEFORMAT </w:instrText>
        </w:r>
        <w:r w:rsidR="001E4F4B">
          <w:fldChar w:fldCharType="separate"/>
        </w:r>
        <w:r w:rsidR="001E4F4B">
          <w:rPr>
            <w:noProof/>
          </w:rPr>
          <w:t>2</w:t>
        </w:r>
        <w:r w:rsidR="001E4F4B">
          <w:rPr>
            <w:noProof/>
          </w:rPr>
          <w:fldChar w:fldCharType="end"/>
        </w:r>
      </w:sdtContent>
    </w:sdt>
  </w:p>
  <w:p w14:paraId="41A11551" w14:textId="77777777" w:rsidR="001E4F4B" w:rsidRDefault="001E4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007E" w14:textId="41BAF407" w:rsidR="0054157D" w:rsidRDefault="00000000">
    <w:pPr>
      <w:pStyle w:val="Header"/>
    </w:pPr>
    <w:r>
      <w:rPr>
        <w:noProof/>
      </w:rPr>
      <w:pict w14:anchorId="24C8A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478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4EDE"/>
    <w:multiLevelType w:val="multilevel"/>
    <w:tmpl w:val="E51C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075A4"/>
    <w:multiLevelType w:val="multilevel"/>
    <w:tmpl w:val="CFAA370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42199E"/>
    <w:multiLevelType w:val="hybridMultilevel"/>
    <w:tmpl w:val="0B2A88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816696"/>
    <w:multiLevelType w:val="hybridMultilevel"/>
    <w:tmpl w:val="B554C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E30FB"/>
    <w:multiLevelType w:val="multilevel"/>
    <w:tmpl w:val="8D6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E75EC"/>
    <w:multiLevelType w:val="multilevel"/>
    <w:tmpl w:val="835C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97C72"/>
    <w:multiLevelType w:val="multilevel"/>
    <w:tmpl w:val="D252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46D00"/>
    <w:multiLevelType w:val="multilevel"/>
    <w:tmpl w:val="EB78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93F7B"/>
    <w:multiLevelType w:val="hybridMultilevel"/>
    <w:tmpl w:val="C68690B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49869E5"/>
    <w:multiLevelType w:val="multilevel"/>
    <w:tmpl w:val="A308EA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BD6B21"/>
    <w:multiLevelType w:val="multilevel"/>
    <w:tmpl w:val="3700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76AF3"/>
    <w:multiLevelType w:val="multilevel"/>
    <w:tmpl w:val="006CA0DA"/>
    <w:lvl w:ilvl="0">
      <w:start w:val="1"/>
      <w:numFmt w:val="decimal"/>
      <w:lvlText w:val="%1."/>
      <w:lvlJc w:val="left"/>
      <w:pPr>
        <w:ind w:left="644" w:hanging="360"/>
      </w:pPr>
      <w:rPr>
        <w:rFonts w:hint="default"/>
      </w:rPr>
    </w:lvl>
    <w:lvl w:ilvl="1">
      <w:start w:val="4"/>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7A1299"/>
    <w:multiLevelType w:val="hybridMultilevel"/>
    <w:tmpl w:val="892E420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9B31657"/>
    <w:multiLevelType w:val="hybridMultilevel"/>
    <w:tmpl w:val="32BA873A"/>
    <w:lvl w:ilvl="0" w:tplc="03F6606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CF04954"/>
    <w:multiLevelType w:val="multilevel"/>
    <w:tmpl w:val="C5FE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02C17"/>
    <w:multiLevelType w:val="hybridMultilevel"/>
    <w:tmpl w:val="0994F49E"/>
    <w:lvl w:ilvl="0" w:tplc="763420FE">
      <w:start w:val="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35771606">
    <w:abstractNumId w:val="11"/>
  </w:num>
  <w:num w:numId="2" w16cid:durableId="963851434">
    <w:abstractNumId w:val="7"/>
  </w:num>
  <w:num w:numId="3" w16cid:durableId="134883174">
    <w:abstractNumId w:val="6"/>
  </w:num>
  <w:num w:numId="4" w16cid:durableId="1643341714">
    <w:abstractNumId w:val="1"/>
  </w:num>
  <w:num w:numId="5" w16cid:durableId="1251237360">
    <w:abstractNumId w:val="12"/>
  </w:num>
  <w:num w:numId="6" w16cid:durableId="1993440604">
    <w:abstractNumId w:val="13"/>
  </w:num>
  <w:num w:numId="7" w16cid:durableId="251545991">
    <w:abstractNumId w:val="9"/>
  </w:num>
  <w:num w:numId="8" w16cid:durableId="656375255">
    <w:abstractNumId w:val="15"/>
  </w:num>
  <w:num w:numId="9" w16cid:durableId="684329691">
    <w:abstractNumId w:val="14"/>
  </w:num>
  <w:num w:numId="10" w16cid:durableId="1138112971">
    <w:abstractNumId w:val="4"/>
  </w:num>
  <w:num w:numId="11" w16cid:durableId="2058892484">
    <w:abstractNumId w:val="0"/>
  </w:num>
  <w:num w:numId="12" w16cid:durableId="1113211515">
    <w:abstractNumId w:val="10"/>
  </w:num>
  <w:num w:numId="13" w16cid:durableId="488638795">
    <w:abstractNumId w:val="2"/>
  </w:num>
  <w:num w:numId="14" w16cid:durableId="954671709">
    <w:abstractNumId w:val="5"/>
  </w:num>
  <w:num w:numId="15" w16cid:durableId="839732695">
    <w:abstractNumId w:val="8"/>
  </w:num>
  <w:num w:numId="16" w16cid:durableId="275141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1CD"/>
    <w:rsid w:val="00003FDD"/>
    <w:rsid w:val="0001124E"/>
    <w:rsid w:val="000233B2"/>
    <w:rsid w:val="000235CB"/>
    <w:rsid w:val="00027409"/>
    <w:rsid w:val="00044C48"/>
    <w:rsid w:val="000779A3"/>
    <w:rsid w:val="000974F7"/>
    <w:rsid w:val="000C4DDA"/>
    <w:rsid w:val="00110844"/>
    <w:rsid w:val="00114F45"/>
    <w:rsid w:val="00125005"/>
    <w:rsid w:val="00151286"/>
    <w:rsid w:val="001539F6"/>
    <w:rsid w:val="001722DF"/>
    <w:rsid w:val="00175A8F"/>
    <w:rsid w:val="001870E5"/>
    <w:rsid w:val="00191D3C"/>
    <w:rsid w:val="00195322"/>
    <w:rsid w:val="001A0F61"/>
    <w:rsid w:val="001B2FCC"/>
    <w:rsid w:val="001C7E8F"/>
    <w:rsid w:val="001D4FA0"/>
    <w:rsid w:val="001E4F4B"/>
    <w:rsid w:val="002101DF"/>
    <w:rsid w:val="00230893"/>
    <w:rsid w:val="002442E4"/>
    <w:rsid w:val="00292FE1"/>
    <w:rsid w:val="00293DD7"/>
    <w:rsid w:val="00297CC3"/>
    <w:rsid w:val="002E1C4B"/>
    <w:rsid w:val="003067B4"/>
    <w:rsid w:val="00317E46"/>
    <w:rsid w:val="00326AFD"/>
    <w:rsid w:val="003575AA"/>
    <w:rsid w:val="00391663"/>
    <w:rsid w:val="00394FCE"/>
    <w:rsid w:val="003A1341"/>
    <w:rsid w:val="003B4FD3"/>
    <w:rsid w:val="003C7A38"/>
    <w:rsid w:val="003D5174"/>
    <w:rsid w:val="003E3324"/>
    <w:rsid w:val="003F3480"/>
    <w:rsid w:val="004105EB"/>
    <w:rsid w:val="004138CF"/>
    <w:rsid w:val="00413E6F"/>
    <w:rsid w:val="004158AB"/>
    <w:rsid w:val="00447DFD"/>
    <w:rsid w:val="00456EE4"/>
    <w:rsid w:val="004579C9"/>
    <w:rsid w:val="00476320"/>
    <w:rsid w:val="0047768A"/>
    <w:rsid w:val="00487C3C"/>
    <w:rsid w:val="004C27E4"/>
    <w:rsid w:val="004C2D70"/>
    <w:rsid w:val="004D5F22"/>
    <w:rsid w:val="004E1A3D"/>
    <w:rsid w:val="004F1533"/>
    <w:rsid w:val="00504FD0"/>
    <w:rsid w:val="0050751D"/>
    <w:rsid w:val="00510B77"/>
    <w:rsid w:val="00524F68"/>
    <w:rsid w:val="0054157D"/>
    <w:rsid w:val="00547218"/>
    <w:rsid w:val="0056071F"/>
    <w:rsid w:val="005643B4"/>
    <w:rsid w:val="005874EF"/>
    <w:rsid w:val="005A0C9A"/>
    <w:rsid w:val="005A61AE"/>
    <w:rsid w:val="005A6763"/>
    <w:rsid w:val="005B22AF"/>
    <w:rsid w:val="005C6033"/>
    <w:rsid w:val="005C6895"/>
    <w:rsid w:val="005D6BDD"/>
    <w:rsid w:val="00602F63"/>
    <w:rsid w:val="0062442B"/>
    <w:rsid w:val="00633529"/>
    <w:rsid w:val="00651295"/>
    <w:rsid w:val="00680F62"/>
    <w:rsid w:val="006F42D1"/>
    <w:rsid w:val="006F483E"/>
    <w:rsid w:val="007214FF"/>
    <w:rsid w:val="00737F86"/>
    <w:rsid w:val="0076542C"/>
    <w:rsid w:val="00776CDB"/>
    <w:rsid w:val="007A1B0B"/>
    <w:rsid w:val="007B1ACB"/>
    <w:rsid w:val="007B70C9"/>
    <w:rsid w:val="007D2771"/>
    <w:rsid w:val="007F070C"/>
    <w:rsid w:val="008138C4"/>
    <w:rsid w:val="008446BF"/>
    <w:rsid w:val="008635BC"/>
    <w:rsid w:val="00864993"/>
    <w:rsid w:val="00893ACD"/>
    <w:rsid w:val="00897B25"/>
    <w:rsid w:val="008A46B5"/>
    <w:rsid w:val="008A62C3"/>
    <w:rsid w:val="008B0C23"/>
    <w:rsid w:val="008D69F8"/>
    <w:rsid w:val="008E26E3"/>
    <w:rsid w:val="008F254B"/>
    <w:rsid w:val="008F788E"/>
    <w:rsid w:val="00900B52"/>
    <w:rsid w:val="00904F64"/>
    <w:rsid w:val="009112AD"/>
    <w:rsid w:val="00914E22"/>
    <w:rsid w:val="00981EF9"/>
    <w:rsid w:val="009A443D"/>
    <w:rsid w:val="009A5A9F"/>
    <w:rsid w:val="009B259A"/>
    <w:rsid w:val="009C314F"/>
    <w:rsid w:val="009E33A3"/>
    <w:rsid w:val="009E5712"/>
    <w:rsid w:val="009E5981"/>
    <w:rsid w:val="00A23569"/>
    <w:rsid w:val="00A2630D"/>
    <w:rsid w:val="00A27B03"/>
    <w:rsid w:val="00A27E70"/>
    <w:rsid w:val="00A574D8"/>
    <w:rsid w:val="00A625E0"/>
    <w:rsid w:val="00A72170"/>
    <w:rsid w:val="00A75AA4"/>
    <w:rsid w:val="00A76F9D"/>
    <w:rsid w:val="00AA5D70"/>
    <w:rsid w:val="00AB33E2"/>
    <w:rsid w:val="00AD08CA"/>
    <w:rsid w:val="00AF41CD"/>
    <w:rsid w:val="00AF63D8"/>
    <w:rsid w:val="00B21ED3"/>
    <w:rsid w:val="00B24F4C"/>
    <w:rsid w:val="00B358C5"/>
    <w:rsid w:val="00B46820"/>
    <w:rsid w:val="00BA16EC"/>
    <w:rsid w:val="00BB2909"/>
    <w:rsid w:val="00BD40C4"/>
    <w:rsid w:val="00BE3F9A"/>
    <w:rsid w:val="00BF2642"/>
    <w:rsid w:val="00C0026B"/>
    <w:rsid w:val="00C03B19"/>
    <w:rsid w:val="00C101DB"/>
    <w:rsid w:val="00C1471E"/>
    <w:rsid w:val="00C32954"/>
    <w:rsid w:val="00C33DDA"/>
    <w:rsid w:val="00C81AB4"/>
    <w:rsid w:val="00C82840"/>
    <w:rsid w:val="00CA3BE4"/>
    <w:rsid w:val="00CB6704"/>
    <w:rsid w:val="00CC4BA6"/>
    <w:rsid w:val="00CD36DA"/>
    <w:rsid w:val="00CD67A1"/>
    <w:rsid w:val="00CE4EDB"/>
    <w:rsid w:val="00CF3BE8"/>
    <w:rsid w:val="00D03E20"/>
    <w:rsid w:val="00D21540"/>
    <w:rsid w:val="00D40B65"/>
    <w:rsid w:val="00D55AF2"/>
    <w:rsid w:val="00D577B1"/>
    <w:rsid w:val="00D6228C"/>
    <w:rsid w:val="00D76766"/>
    <w:rsid w:val="00D767DB"/>
    <w:rsid w:val="00DB7C06"/>
    <w:rsid w:val="00DC071A"/>
    <w:rsid w:val="00E018DE"/>
    <w:rsid w:val="00E23CA0"/>
    <w:rsid w:val="00E24129"/>
    <w:rsid w:val="00E306D7"/>
    <w:rsid w:val="00E3784E"/>
    <w:rsid w:val="00E40740"/>
    <w:rsid w:val="00E52A38"/>
    <w:rsid w:val="00E5623B"/>
    <w:rsid w:val="00E61525"/>
    <w:rsid w:val="00E72E54"/>
    <w:rsid w:val="00E7770F"/>
    <w:rsid w:val="00E84087"/>
    <w:rsid w:val="00E862EF"/>
    <w:rsid w:val="00E9247D"/>
    <w:rsid w:val="00EB63FA"/>
    <w:rsid w:val="00EE5E66"/>
    <w:rsid w:val="00EF7D56"/>
    <w:rsid w:val="00F1345E"/>
    <w:rsid w:val="00F22421"/>
    <w:rsid w:val="00F362E9"/>
    <w:rsid w:val="00F42FC1"/>
    <w:rsid w:val="00F65D83"/>
    <w:rsid w:val="00F72131"/>
    <w:rsid w:val="00F72F8F"/>
    <w:rsid w:val="00F73082"/>
    <w:rsid w:val="00F80C2E"/>
    <w:rsid w:val="00F83463"/>
    <w:rsid w:val="00FC7180"/>
    <w:rsid w:val="00FE1F0D"/>
    <w:rsid w:val="00FE2A5D"/>
    <w:rsid w:val="00FF251D"/>
    <w:rsid w:val="00FF5C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F3DC"/>
  <w15:docId w15:val="{DEAF618E-22C1-4178-83C3-9273A642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D1"/>
  </w:style>
  <w:style w:type="paragraph" w:styleId="Heading1">
    <w:name w:val="heading 1"/>
    <w:basedOn w:val="Normal"/>
    <w:next w:val="Normal"/>
    <w:link w:val="Heading1Char"/>
    <w:uiPriority w:val="9"/>
    <w:qFormat/>
    <w:rsid w:val="00AF4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1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1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1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CD"/>
    <w:rPr>
      <w:rFonts w:eastAsiaTheme="majorEastAsia" w:cstheme="majorBidi"/>
      <w:color w:val="272727" w:themeColor="text1" w:themeTint="D8"/>
    </w:rPr>
  </w:style>
  <w:style w:type="paragraph" w:styleId="Title">
    <w:name w:val="Title"/>
    <w:basedOn w:val="Normal"/>
    <w:next w:val="Normal"/>
    <w:link w:val="TitleChar"/>
    <w:uiPriority w:val="10"/>
    <w:qFormat/>
    <w:rsid w:val="00AF4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CD"/>
    <w:pPr>
      <w:spacing w:before="160"/>
      <w:jc w:val="center"/>
    </w:pPr>
    <w:rPr>
      <w:i/>
      <w:iCs/>
      <w:color w:val="404040" w:themeColor="text1" w:themeTint="BF"/>
    </w:rPr>
  </w:style>
  <w:style w:type="character" w:customStyle="1" w:styleId="QuoteChar">
    <w:name w:val="Quote Char"/>
    <w:basedOn w:val="DefaultParagraphFont"/>
    <w:link w:val="Quote"/>
    <w:uiPriority w:val="29"/>
    <w:rsid w:val="00AF41CD"/>
    <w:rPr>
      <w:i/>
      <w:iCs/>
      <w:color w:val="404040" w:themeColor="text1" w:themeTint="BF"/>
    </w:rPr>
  </w:style>
  <w:style w:type="paragraph" w:styleId="ListParagraph">
    <w:name w:val="List Paragraph"/>
    <w:basedOn w:val="Normal"/>
    <w:uiPriority w:val="34"/>
    <w:qFormat/>
    <w:rsid w:val="00AF41CD"/>
    <w:pPr>
      <w:ind w:left="720"/>
      <w:contextualSpacing/>
    </w:pPr>
  </w:style>
  <w:style w:type="character" w:styleId="IntenseEmphasis">
    <w:name w:val="Intense Emphasis"/>
    <w:basedOn w:val="DefaultParagraphFont"/>
    <w:uiPriority w:val="21"/>
    <w:qFormat/>
    <w:rsid w:val="00AF41CD"/>
    <w:rPr>
      <w:i/>
      <w:iCs/>
      <w:color w:val="2F5496" w:themeColor="accent1" w:themeShade="BF"/>
    </w:rPr>
  </w:style>
  <w:style w:type="paragraph" w:styleId="IntenseQuote">
    <w:name w:val="Intense Quote"/>
    <w:basedOn w:val="Normal"/>
    <w:next w:val="Normal"/>
    <w:link w:val="IntenseQuoteChar"/>
    <w:uiPriority w:val="30"/>
    <w:qFormat/>
    <w:rsid w:val="00AF4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1CD"/>
    <w:rPr>
      <w:i/>
      <w:iCs/>
      <w:color w:val="2F5496" w:themeColor="accent1" w:themeShade="BF"/>
    </w:rPr>
  </w:style>
  <w:style w:type="character" w:styleId="IntenseReference">
    <w:name w:val="Intense Reference"/>
    <w:basedOn w:val="DefaultParagraphFont"/>
    <w:uiPriority w:val="32"/>
    <w:qFormat/>
    <w:rsid w:val="00AF41CD"/>
    <w:rPr>
      <w:b/>
      <w:bCs/>
      <w:smallCaps/>
      <w:color w:val="2F5496" w:themeColor="accent1" w:themeShade="BF"/>
      <w:spacing w:val="5"/>
    </w:rPr>
  </w:style>
  <w:style w:type="character" w:styleId="Hyperlink">
    <w:name w:val="Hyperlink"/>
    <w:basedOn w:val="DefaultParagraphFont"/>
    <w:uiPriority w:val="99"/>
    <w:unhideWhenUsed/>
    <w:rsid w:val="00003FDD"/>
    <w:rPr>
      <w:color w:val="0563C1" w:themeColor="hyperlink"/>
      <w:u w:val="single"/>
    </w:rPr>
  </w:style>
  <w:style w:type="character" w:customStyle="1" w:styleId="UnresolvedMention1">
    <w:name w:val="Unresolved Mention1"/>
    <w:basedOn w:val="DefaultParagraphFont"/>
    <w:uiPriority w:val="99"/>
    <w:semiHidden/>
    <w:unhideWhenUsed/>
    <w:rsid w:val="00003FDD"/>
    <w:rPr>
      <w:color w:val="605E5C"/>
      <w:shd w:val="clear" w:color="auto" w:fill="E1DFDD"/>
    </w:rPr>
  </w:style>
  <w:style w:type="paragraph" w:styleId="NormalWeb">
    <w:name w:val="Normal (Web)"/>
    <w:basedOn w:val="Normal"/>
    <w:uiPriority w:val="99"/>
    <w:unhideWhenUsed/>
    <w:rsid w:val="00A2630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customStyle="1" w:styleId="GridTable2-Accent11">
    <w:name w:val="Grid Table 2 - Accent 11"/>
    <w:basedOn w:val="TableNormal"/>
    <w:uiPriority w:val="47"/>
    <w:rsid w:val="00E5623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FC7180"/>
    <w:pPr>
      <w:spacing w:after="0" w:line="240" w:lineRule="auto"/>
    </w:pPr>
    <w:rPr>
      <w:lang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5D83"/>
    <w:rPr>
      <w:b/>
      <w:bCs/>
    </w:rPr>
  </w:style>
  <w:style w:type="character" w:customStyle="1" w:styleId="whitespace-normal">
    <w:name w:val="whitespace-normal"/>
    <w:basedOn w:val="DefaultParagraphFont"/>
    <w:rsid w:val="00F65D83"/>
  </w:style>
  <w:style w:type="paragraph" w:styleId="z-TopofForm">
    <w:name w:val="HTML Top of Form"/>
    <w:basedOn w:val="Normal"/>
    <w:next w:val="Normal"/>
    <w:link w:val="z-TopofFormChar"/>
    <w:hidden/>
    <w:uiPriority w:val="99"/>
    <w:semiHidden/>
    <w:unhideWhenUsed/>
    <w:rsid w:val="00F65D83"/>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F65D83"/>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F65D8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z-BottomofForm">
    <w:name w:val="HTML Bottom of Form"/>
    <w:basedOn w:val="Normal"/>
    <w:next w:val="Normal"/>
    <w:link w:val="z-BottomofFormChar"/>
    <w:hidden/>
    <w:uiPriority w:val="99"/>
    <w:semiHidden/>
    <w:unhideWhenUsed/>
    <w:rsid w:val="00F65D83"/>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F65D83"/>
    <w:rPr>
      <w:rFonts w:ascii="Arial" w:eastAsia="Times New Roman" w:hAnsi="Arial" w:cs="Arial"/>
      <w:vanish/>
      <w:kern w:val="0"/>
      <w:sz w:val="16"/>
      <w:szCs w:val="16"/>
      <w:lang w:eastAsia="en-IN"/>
      <w14:ligatures w14:val="none"/>
    </w:rPr>
  </w:style>
  <w:style w:type="paragraph" w:styleId="BalloonText">
    <w:name w:val="Balloon Text"/>
    <w:basedOn w:val="Normal"/>
    <w:link w:val="BalloonTextChar"/>
    <w:uiPriority w:val="99"/>
    <w:semiHidden/>
    <w:unhideWhenUsed/>
    <w:rsid w:val="00A76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F9D"/>
    <w:rPr>
      <w:rFonts w:ascii="Tahoma" w:hAnsi="Tahoma" w:cs="Tahoma"/>
      <w:sz w:val="16"/>
      <w:szCs w:val="16"/>
    </w:rPr>
  </w:style>
  <w:style w:type="character" w:styleId="Emphasis">
    <w:name w:val="Emphasis"/>
    <w:basedOn w:val="DefaultParagraphFont"/>
    <w:uiPriority w:val="20"/>
    <w:qFormat/>
    <w:rsid w:val="00A27E70"/>
    <w:rPr>
      <w:i/>
      <w:iCs/>
    </w:rPr>
  </w:style>
  <w:style w:type="character" w:customStyle="1" w:styleId="katex-mathml">
    <w:name w:val="katex-mathml"/>
    <w:basedOn w:val="DefaultParagraphFont"/>
    <w:rsid w:val="00A27E70"/>
  </w:style>
  <w:style w:type="character" w:customStyle="1" w:styleId="mord">
    <w:name w:val="mord"/>
    <w:basedOn w:val="DefaultParagraphFont"/>
    <w:rsid w:val="00A27E70"/>
  </w:style>
  <w:style w:type="character" w:customStyle="1" w:styleId="vlist-s">
    <w:name w:val="vlist-s"/>
    <w:basedOn w:val="DefaultParagraphFont"/>
    <w:rsid w:val="00A27E70"/>
  </w:style>
  <w:style w:type="character" w:customStyle="1" w:styleId="mrel">
    <w:name w:val="mrel"/>
    <w:basedOn w:val="DefaultParagraphFont"/>
    <w:rsid w:val="00A27E70"/>
  </w:style>
  <w:style w:type="character" w:customStyle="1" w:styleId="mbin">
    <w:name w:val="mbin"/>
    <w:basedOn w:val="DefaultParagraphFont"/>
    <w:rsid w:val="00A27E70"/>
  </w:style>
  <w:style w:type="character" w:customStyle="1" w:styleId="minner">
    <w:name w:val="minner"/>
    <w:basedOn w:val="DefaultParagraphFont"/>
    <w:rsid w:val="00A27E70"/>
  </w:style>
  <w:style w:type="character" w:customStyle="1" w:styleId="mopen">
    <w:name w:val="mopen"/>
    <w:basedOn w:val="DefaultParagraphFont"/>
    <w:rsid w:val="004105EB"/>
  </w:style>
  <w:style w:type="character" w:customStyle="1" w:styleId="mclose">
    <w:name w:val="mclose"/>
    <w:basedOn w:val="DefaultParagraphFont"/>
    <w:rsid w:val="004105EB"/>
  </w:style>
  <w:style w:type="character" w:customStyle="1" w:styleId="mop">
    <w:name w:val="mop"/>
    <w:basedOn w:val="DefaultParagraphFont"/>
    <w:rsid w:val="004105EB"/>
  </w:style>
  <w:style w:type="character" w:customStyle="1" w:styleId="mpunct">
    <w:name w:val="mpunct"/>
    <w:basedOn w:val="DefaultParagraphFont"/>
    <w:rsid w:val="004105EB"/>
  </w:style>
  <w:style w:type="character" w:styleId="HTMLCode">
    <w:name w:val="HTML Code"/>
    <w:basedOn w:val="DefaultParagraphFont"/>
    <w:uiPriority w:val="99"/>
    <w:semiHidden/>
    <w:unhideWhenUsed/>
    <w:rsid w:val="00FF5CE6"/>
    <w:rPr>
      <w:rFonts w:ascii="Courier New" w:eastAsia="Times New Roman" w:hAnsi="Courier New" w:cs="Courier New"/>
      <w:sz w:val="20"/>
      <w:szCs w:val="20"/>
    </w:rPr>
  </w:style>
  <w:style w:type="paragraph" w:styleId="Header">
    <w:name w:val="header"/>
    <w:basedOn w:val="Normal"/>
    <w:link w:val="HeaderChar"/>
    <w:uiPriority w:val="99"/>
    <w:unhideWhenUsed/>
    <w:rsid w:val="001E4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F4B"/>
  </w:style>
  <w:style w:type="paragraph" w:styleId="Footer">
    <w:name w:val="footer"/>
    <w:basedOn w:val="Normal"/>
    <w:link w:val="FooterChar"/>
    <w:uiPriority w:val="99"/>
    <w:unhideWhenUsed/>
    <w:rsid w:val="001E4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F4B"/>
  </w:style>
  <w:style w:type="paragraph" w:styleId="NoSpacing">
    <w:name w:val="No Spacing"/>
    <w:uiPriority w:val="1"/>
    <w:qFormat/>
    <w:rsid w:val="00E72E54"/>
    <w:pPr>
      <w:spacing w:after="0" w:line="240" w:lineRule="auto"/>
    </w:pPr>
    <w:rPr>
      <w:kern w:val="0"/>
      <w:sz w:val="22"/>
      <w:szCs w:val="22"/>
      <w:lang w:val="en-GB"/>
      <w14:ligatures w14:val="none"/>
    </w:rPr>
  </w:style>
  <w:style w:type="character" w:styleId="PlaceholderText">
    <w:name w:val="Placeholder Text"/>
    <w:basedOn w:val="DefaultParagraphFont"/>
    <w:uiPriority w:val="99"/>
    <w:semiHidden/>
    <w:rsid w:val="004579C9"/>
    <w:rPr>
      <w:color w:val="666666"/>
    </w:rPr>
  </w:style>
  <w:style w:type="character" w:styleId="UnresolvedMention">
    <w:name w:val="Unresolved Mention"/>
    <w:basedOn w:val="DefaultParagraphFont"/>
    <w:uiPriority w:val="99"/>
    <w:semiHidden/>
    <w:unhideWhenUsed/>
    <w:rsid w:val="00CE4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7317">
      <w:bodyDiv w:val="1"/>
      <w:marLeft w:val="0"/>
      <w:marRight w:val="0"/>
      <w:marTop w:val="0"/>
      <w:marBottom w:val="0"/>
      <w:divBdr>
        <w:top w:val="none" w:sz="0" w:space="0" w:color="auto"/>
        <w:left w:val="none" w:sz="0" w:space="0" w:color="auto"/>
        <w:bottom w:val="none" w:sz="0" w:space="0" w:color="auto"/>
        <w:right w:val="none" w:sz="0" w:space="0" w:color="auto"/>
      </w:divBdr>
    </w:div>
    <w:div w:id="121582540">
      <w:bodyDiv w:val="1"/>
      <w:marLeft w:val="0"/>
      <w:marRight w:val="0"/>
      <w:marTop w:val="0"/>
      <w:marBottom w:val="0"/>
      <w:divBdr>
        <w:top w:val="none" w:sz="0" w:space="0" w:color="auto"/>
        <w:left w:val="none" w:sz="0" w:space="0" w:color="auto"/>
        <w:bottom w:val="none" w:sz="0" w:space="0" w:color="auto"/>
        <w:right w:val="none" w:sz="0" w:space="0" w:color="auto"/>
      </w:divBdr>
    </w:div>
    <w:div w:id="131482285">
      <w:bodyDiv w:val="1"/>
      <w:marLeft w:val="0"/>
      <w:marRight w:val="0"/>
      <w:marTop w:val="0"/>
      <w:marBottom w:val="0"/>
      <w:divBdr>
        <w:top w:val="none" w:sz="0" w:space="0" w:color="auto"/>
        <w:left w:val="none" w:sz="0" w:space="0" w:color="auto"/>
        <w:bottom w:val="none" w:sz="0" w:space="0" w:color="auto"/>
        <w:right w:val="none" w:sz="0" w:space="0" w:color="auto"/>
      </w:divBdr>
    </w:div>
    <w:div w:id="206527074">
      <w:bodyDiv w:val="1"/>
      <w:marLeft w:val="0"/>
      <w:marRight w:val="0"/>
      <w:marTop w:val="0"/>
      <w:marBottom w:val="0"/>
      <w:divBdr>
        <w:top w:val="none" w:sz="0" w:space="0" w:color="auto"/>
        <w:left w:val="none" w:sz="0" w:space="0" w:color="auto"/>
        <w:bottom w:val="none" w:sz="0" w:space="0" w:color="auto"/>
        <w:right w:val="none" w:sz="0" w:space="0" w:color="auto"/>
      </w:divBdr>
      <w:divsChild>
        <w:div w:id="536047806">
          <w:marLeft w:val="0"/>
          <w:marRight w:val="0"/>
          <w:marTop w:val="0"/>
          <w:marBottom w:val="0"/>
          <w:divBdr>
            <w:top w:val="none" w:sz="0" w:space="0" w:color="auto"/>
            <w:left w:val="none" w:sz="0" w:space="0" w:color="auto"/>
            <w:bottom w:val="none" w:sz="0" w:space="0" w:color="auto"/>
            <w:right w:val="none" w:sz="0" w:space="0" w:color="auto"/>
          </w:divBdr>
          <w:divsChild>
            <w:div w:id="36128470">
              <w:marLeft w:val="0"/>
              <w:marRight w:val="0"/>
              <w:marTop w:val="0"/>
              <w:marBottom w:val="0"/>
              <w:divBdr>
                <w:top w:val="none" w:sz="0" w:space="0" w:color="auto"/>
                <w:left w:val="none" w:sz="0" w:space="0" w:color="auto"/>
                <w:bottom w:val="none" w:sz="0" w:space="0" w:color="auto"/>
                <w:right w:val="none" w:sz="0" w:space="0" w:color="auto"/>
              </w:divBdr>
              <w:divsChild>
                <w:div w:id="1906799210">
                  <w:marLeft w:val="0"/>
                  <w:marRight w:val="0"/>
                  <w:marTop w:val="0"/>
                  <w:marBottom w:val="0"/>
                  <w:divBdr>
                    <w:top w:val="none" w:sz="0" w:space="0" w:color="auto"/>
                    <w:left w:val="none" w:sz="0" w:space="0" w:color="auto"/>
                    <w:bottom w:val="none" w:sz="0" w:space="0" w:color="auto"/>
                    <w:right w:val="none" w:sz="0" w:space="0" w:color="auto"/>
                  </w:divBdr>
                  <w:divsChild>
                    <w:div w:id="580062352">
                      <w:marLeft w:val="0"/>
                      <w:marRight w:val="0"/>
                      <w:marTop w:val="0"/>
                      <w:marBottom w:val="0"/>
                      <w:divBdr>
                        <w:top w:val="none" w:sz="0" w:space="0" w:color="auto"/>
                        <w:left w:val="none" w:sz="0" w:space="0" w:color="auto"/>
                        <w:bottom w:val="none" w:sz="0" w:space="0" w:color="auto"/>
                        <w:right w:val="none" w:sz="0" w:space="0" w:color="auto"/>
                      </w:divBdr>
                      <w:divsChild>
                        <w:div w:id="1103458256">
                          <w:marLeft w:val="0"/>
                          <w:marRight w:val="0"/>
                          <w:marTop w:val="0"/>
                          <w:marBottom w:val="0"/>
                          <w:divBdr>
                            <w:top w:val="none" w:sz="0" w:space="0" w:color="auto"/>
                            <w:left w:val="none" w:sz="0" w:space="0" w:color="auto"/>
                            <w:bottom w:val="none" w:sz="0" w:space="0" w:color="auto"/>
                            <w:right w:val="none" w:sz="0" w:space="0" w:color="auto"/>
                          </w:divBdr>
                          <w:divsChild>
                            <w:div w:id="573664369">
                              <w:marLeft w:val="0"/>
                              <w:marRight w:val="0"/>
                              <w:marTop w:val="0"/>
                              <w:marBottom w:val="0"/>
                              <w:divBdr>
                                <w:top w:val="none" w:sz="0" w:space="0" w:color="auto"/>
                                <w:left w:val="none" w:sz="0" w:space="0" w:color="auto"/>
                                <w:bottom w:val="none" w:sz="0" w:space="0" w:color="auto"/>
                                <w:right w:val="none" w:sz="0" w:space="0" w:color="auto"/>
                              </w:divBdr>
                              <w:divsChild>
                                <w:div w:id="1497844809">
                                  <w:marLeft w:val="0"/>
                                  <w:marRight w:val="0"/>
                                  <w:marTop w:val="0"/>
                                  <w:marBottom w:val="0"/>
                                  <w:divBdr>
                                    <w:top w:val="none" w:sz="0" w:space="0" w:color="auto"/>
                                    <w:left w:val="none" w:sz="0" w:space="0" w:color="auto"/>
                                    <w:bottom w:val="none" w:sz="0" w:space="0" w:color="auto"/>
                                    <w:right w:val="none" w:sz="0" w:space="0" w:color="auto"/>
                                  </w:divBdr>
                                  <w:divsChild>
                                    <w:div w:id="319576553">
                                      <w:marLeft w:val="0"/>
                                      <w:marRight w:val="0"/>
                                      <w:marTop w:val="0"/>
                                      <w:marBottom w:val="0"/>
                                      <w:divBdr>
                                        <w:top w:val="none" w:sz="0" w:space="0" w:color="auto"/>
                                        <w:left w:val="none" w:sz="0" w:space="0" w:color="auto"/>
                                        <w:bottom w:val="none" w:sz="0" w:space="0" w:color="auto"/>
                                        <w:right w:val="none" w:sz="0" w:space="0" w:color="auto"/>
                                      </w:divBdr>
                                      <w:divsChild>
                                        <w:div w:id="1998151277">
                                          <w:marLeft w:val="0"/>
                                          <w:marRight w:val="0"/>
                                          <w:marTop w:val="0"/>
                                          <w:marBottom w:val="0"/>
                                          <w:divBdr>
                                            <w:top w:val="none" w:sz="0" w:space="0" w:color="auto"/>
                                            <w:left w:val="none" w:sz="0" w:space="0" w:color="auto"/>
                                            <w:bottom w:val="none" w:sz="0" w:space="0" w:color="auto"/>
                                            <w:right w:val="none" w:sz="0" w:space="0" w:color="auto"/>
                                          </w:divBdr>
                                          <w:divsChild>
                                            <w:div w:id="4884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009382">
          <w:marLeft w:val="0"/>
          <w:marRight w:val="0"/>
          <w:marTop w:val="0"/>
          <w:marBottom w:val="0"/>
          <w:divBdr>
            <w:top w:val="none" w:sz="0" w:space="0" w:color="auto"/>
            <w:left w:val="none" w:sz="0" w:space="0" w:color="auto"/>
            <w:bottom w:val="none" w:sz="0" w:space="0" w:color="auto"/>
            <w:right w:val="none" w:sz="0" w:space="0" w:color="auto"/>
          </w:divBdr>
          <w:divsChild>
            <w:div w:id="185752197">
              <w:marLeft w:val="0"/>
              <w:marRight w:val="0"/>
              <w:marTop w:val="0"/>
              <w:marBottom w:val="0"/>
              <w:divBdr>
                <w:top w:val="none" w:sz="0" w:space="0" w:color="auto"/>
                <w:left w:val="none" w:sz="0" w:space="0" w:color="auto"/>
                <w:bottom w:val="none" w:sz="0" w:space="0" w:color="auto"/>
                <w:right w:val="none" w:sz="0" w:space="0" w:color="auto"/>
              </w:divBdr>
              <w:divsChild>
                <w:div w:id="1494176417">
                  <w:marLeft w:val="0"/>
                  <w:marRight w:val="0"/>
                  <w:marTop w:val="0"/>
                  <w:marBottom w:val="0"/>
                  <w:divBdr>
                    <w:top w:val="none" w:sz="0" w:space="0" w:color="auto"/>
                    <w:left w:val="none" w:sz="0" w:space="0" w:color="auto"/>
                    <w:bottom w:val="none" w:sz="0" w:space="0" w:color="auto"/>
                    <w:right w:val="none" w:sz="0" w:space="0" w:color="auto"/>
                  </w:divBdr>
                  <w:divsChild>
                    <w:div w:id="938753174">
                      <w:marLeft w:val="0"/>
                      <w:marRight w:val="0"/>
                      <w:marTop w:val="0"/>
                      <w:marBottom w:val="0"/>
                      <w:divBdr>
                        <w:top w:val="none" w:sz="0" w:space="0" w:color="auto"/>
                        <w:left w:val="none" w:sz="0" w:space="0" w:color="auto"/>
                        <w:bottom w:val="none" w:sz="0" w:space="0" w:color="auto"/>
                        <w:right w:val="none" w:sz="0" w:space="0" w:color="auto"/>
                      </w:divBdr>
                      <w:divsChild>
                        <w:div w:id="1717856635">
                          <w:marLeft w:val="0"/>
                          <w:marRight w:val="0"/>
                          <w:marTop w:val="0"/>
                          <w:marBottom w:val="0"/>
                          <w:divBdr>
                            <w:top w:val="none" w:sz="0" w:space="0" w:color="auto"/>
                            <w:left w:val="none" w:sz="0" w:space="0" w:color="auto"/>
                            <w:bottom w:val="none" w:sz="0" w:space="0" w:color="auto"/>
                            <w:right w:val="none" w:sz="0" w:space="0" w:color="auto"/>
                          </w:divBdr>
                          <w:divsChild>
                            <w:div w:id="1015418874">
                              <w:marLeft w:val="0"/>
                              <w:marRight w:val="0"/>
                              <w:marTop w:val="0"/>
                              <w:marBottom w:val="0"/>
                              <w:divBdr>
                                <w:top w:val="none" w:sz="0" w:space="0" w:color="auto"/>
                                <w:left w:val="none" w:sz="0" w:space="0" w:color="auto"/>
                                <w:bottom w:val="none" w:sz="0" w:space="0" w:color="auto"/>
                                <w:right w:val="none" w:sz="0" w:space="0" w:color="auto"/>
                              </w:divBdr>
                              <w:divsChild>
                                <w:div w:id="2100641688">
                                  <w:marLeft w:val="0"/>
                                  <w:marRight w:val="0"/>
                                  <w:marTop w:val="0"/>
                                  <w:marBottom w:val="0"/>
                                  <w:divBdr>
                                    <w:top w:val="none" w:sz="0" w:space="0" w:color="auto"/>
                                    <w:left w:val="none" w:sz="0" w:space="0" w:color="auto"/>
                                    <w:bottom w:val="none" w:sz="0" w:space="0" w:color="auto"/>
                                    <w:right w:val="none" w:sz="0" w:space="0" w:color="auto"/>
                                  </w:divBdr>
                                  <w:divsChild>
                                    <w:div w:id="1579484854">
                                      <w:marLeft w:val="0"/>
                                      <w:marRight w:val="0"/>
                                      <w:marTop w:val="0"/>
                                      <w:marBottom w:val="0"/>
                                      <w:divBdr>
                                        <w:top w:val="none" w:sz="0" w:space="0" w:color="auto"/>
                                        <w:left w:val="none" w:sz="0" w:space="0" w:color="auto"/>
                                        <w:bottom w:val="none" w:sz="0" w:space="0" w:color="auto"/>
                                        <w:right w:val="none" w:sz="0" w:space="0" w:color="auto"/>
                                      </w:divBdr>
                                      <w:divsChild>
                                        <w:div w:id="516504152">
                                          <w:marLeft w:val="0"/>
                                          <w:marRight w:val="0"/>
                                          <w:marTop w:val="0"/>
                                          <w:marBottom w:val="0"/>
                                          <w:divBdr>
                                            <w:top w:val="none" w:sz="0" w:space="0" w:color="auto"/>
                                            <w:left w:val="none" w:sz="0" w:space="0" w:color="auto"/>
                                            <w:bottom w:val="none" w:sz="0" w:space="0" w:color="auto"/>
                                            <w:right w:val="none" w:sz="0" w:space="0" w:color="auto"/>
                                          </w:divBdr>
                                          <w:divsChild>
                                            <w:div w:id="1031105514">
                                              <w:marLeft w:val="0"/>
                                              <w:marRight w:val="0"/>
                                              <w:marTop w:val="0"/>
                                              <w:marBottom w:val="0"/>
                                              <w:divBdr>
                                                <w:top w:val="none" w:sz="0" w:space="0" w:color="auto"/>
                                                <w:left w:val="none" w:sz="0" w:space="0" w:color="auto"/>
                                                <w:bottom w:val="none" w:sz="0" w:space="0" w:color="auto"/>
                                                <w:right w:val="none" w:sz="0" w:space="0" w:color="auto"/>
                                              </w:divBdr>
                                              <w:divsChild>
                                                <w:div w:id="1072049941">
                                                  <w:marLeft w:val="0"/>
                                                  <w:marRight w:val="0"/>
                                                  <w:marTop w:val="0"/>
                                                  <w:marBottom w:val="0"/>
                                                  <w:divBdr>
                                                    <w:top w:val="none" w:sz="0" w:space="0" w:color="auto"/>
                                                    <w:left w:val="none" w:sz="0" w:space="0" w:color="auto"/>
                                                    <w:bottom w:val="none" w:sz="0" w:space="0" w:color="auto"/>
                                                    <w:right w:val="none" w:sz="0" w:space="0" w:color="auto"/>
                                                  </w:divBdr>
                                                  <w:divsChild>
                                                    <w:div w:id="11071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843559">
      <w:bodyDiv w:val="1"/>
      <w:marLeft w:val="0"/>
      <w:marRight w:val="0"/>
      <w:marTop w:val="0"/>
      <w:marBottom w:val="0"/>
      <w:divBdr>
        <w:top w:val="none" w:sz="0" w:space="0" w:color="auto"/>
        <w:left w:val="none" w:sz="0" w:space="0" w:color="auto"/>
        <w:bottom w:val="none" w:sz="0" w:space="0" w:color="auto"/>
        <w:right w:val="none" w:sz="0" w:space="0" w:color="auto"/>
      </w:divBdr>
    </w:div>
    <w:div w:id="370501585">
      <w:bodyDiv w:val="1"/>
      <w:marLeft w:val="0"/>
      <w:marRight w:val="0"/>
      <w:marTop w:val="0"/>
      <w:marBottom w:val="0"/>
      <w:divBdr>
        <w:top w:val="none" w:sz="0" w:space="0" w:color="auto"/>
        <w:left w:val="none" w:sz="0" w:space="0" w:color="auto"/>
        <w:bottom w:val="none" w:sz="0" w:space="0" w:color="auto"/>
        <w:right w:val="none" w:sz="0" w:space="0" w:color="auto"/>
      </w:divBdr>
    </w:div>
    <w:div w:id="430473005">
      <w:bodyDiv w:val="1"/>
      <w:marLeft w:val="0"/>
      <w:marRight w:val="0"/>
      <w:marTop w:val="0"/>
      <w:marBottom w:val="0"/>
      <w:divBdr>
        <w:top w:val="none" w:sz="0" w:space="0" w:color="auto"/>
        <w:left w:val="none" w:sz="0" w:space="0" w:color="auto"/>
        <w:bottom w:val="none" w:sz="0" w:space="0" w:color="auto"/>
        <w:right w:val="none" w:sz="0" w:space="0" w:color="auto"/>
      </w:divBdr>
      <w:divsChild>
        <w:div w:id="1154420190">
          <w:marLeft w:val="0"/>
          <w:marRight w:val="0"/>
          <w:marTop w:val="0"/>
          <w:marBottom w:val="0"/>
          <w:divBdr>
            <w:top w:val="none" w:sz="0" w:space="0" w:color="auto"/>
            <w:left w:val="none" w:sz="0" w:space="0" w:color="auto"/>
            <w:bottom w:val="none" w:sz="0" w:space="0" w:color="auto"/>
            <w:right w:val="none" w:sz="0" w:space="0" w:color="auto"/>
          </w:divBdr>
          <w:divsChild>
            <w:div w:id="1776512877">
              <w:marLeft w:val="0"/>
              <w:marRight w:val="0"/>
              <w:marTop w:val="0"/>
              <w:marBottom w:val="0"/>
              <w:divBdr>
                <w:top w:val="none" w:sz="0" w:space="0" w:color="auto"/>
                <w:left w:val="none" w:sz="0" w:space="0" w:color="auto"/>
                <w:bottom w:val="none" w:sz="0" w:space="0" w:color="auto"/>
                <w:right w:val="none" w:sz="0" w:space="0" w:color="auto"/>
              </w:divBdr>
              <w:divsChild>
                <w:div w:id="610090962">
                  <w:marLeft w:val="0"/>
                  <w:marRight w:val="0"/>
                  <w:marTop w:val="0"/>
                  <w:marBottom w:val="0"/>
                  <w:divBdr>
                    <w:top w:val="none" w:sz="0" w:space="0" w:color="auto"/>
                    <w:left w:val="none" w:sz="0" w:space="0" w:color="auto"/>
                    <w:bottom w:val="none" w:sz="0" w:space="0" w:color="auto"/>
                    <w:right w:val="none" w:sz="0" w:space="0" w:color="auto"/>
                  </w:divBdr>
                  <w:divsChild>
                    <w:div w:id="849874389">
                      <w:marLeft w:val="0"/>
                      <w:marRight w:val="0"/>
                      <w:marTop w:val="0"/>
                      <w:marBottom w:val="0"/>
                      <w:divBdr>
                        <w:top w:val="none" w:sz="0" w:space="0" w:color="auto"/>
                        <w:left w:val="none" w:sz="0" w:space="0" w:color="auto"/>
                        <w:bottom w:val="none" w:sz="0" w:space="0" w:color="auto"/>
                        <w:right w:val="none" w:sz="0" w:space="0" w:color="auto"/>
                      </w:divBdr>
                      <w:divsChild>
                        <w:div w:id="380593577">
                          <w:marLeft w:val="0"/>
                          <w:marRight w:val="0"/>
                          <w:marTop w:val="0"/>
                          <w:marBottom w:val="0"/>
                          <w:divBdr>
                            <w:top w:val="none" w:sz="0" w:space="0" w:color="auto"/>
                            <w:left w:val="none" w:sz="0" w:space="0" w:color="auto"/>
                            <w:bottom w:val="none" w:sz="0" w:space="0" w:color="auto"/>
                            <w:right w:val="none" w:sz="0" w:space="0" w:color="auto"/>
                          </w:divBdr>
                          <w:divsChild>
                            <w:div w:id="1152797989">
                              <w:marLeft w:val="0"/>
                              <w:marRight w:val="0"/>
                              <w:marTop w:val="0"/>
                              <w:marBottom w:val="0"/>
                              <w:divBdr>
                                <w:top w:val="none" w:sz="0" w:space="0" w:color="auto"/>
                                <w:left w:val="none" w:sz="0" w:space="0" w:color="auto"/>
                                <w:bottom w:val="none" w:sz="0" w:space="0" w:color="auto"/>
                                <w:right w:val="none" w:sz="0" w:space="0" w:color="auto"/>
                              </w:divBdr>
                              <w:divsChild>
                                <w:div w:id="62609092">
                                  <w:marLeft w:val="0"/>
                                  <w:marRight w:val="0"/>
                                  <w:marTop w:val="0"/>
                                  <w:marBottom w:val="0"/>
                                  <w:divBdr>
                                    <w:top w:val="none" w:sz="0" w:space="0" w:color="auto"/>
                                    <w:left w:val="none" w:sz="0" w:space="0" w:color="auto"/>
                                    <w:bottom w:val="none" w:sz="0" w:space="0" w:color="auto"/>
                                    <w:right w:val="none" w:sz="0" w:space="0" w:color="auto"/>
                                  </w:divBdr>
                                  <w:divsChild>
                                    <w:div w:id="16921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259904">
      <w:bodyDiv w:val="1"/>
      <w:marLeft w:val="0"/>
      <w:marRight w:val="0"/>
      <w:marTop w:val="0"/>
      <w:marBottom w:val="0"/>
      <w:divBdr>
        <w:top w:val="none" w:sz="0" w:space="0" w:color="auto"/>
        <w:left w:val="none" w:sz="0" w:space="0" w:color="auto"/>
        <w:bottom w:val="none" w:sz="0" w:space="0" w:color="auto"/>
        <w:right w:val="none" w:sz="0" w:space="0" w:color="auto"/>
      </w:divBdr>
    </w:div>
    <w:div w:id="709964590">
      <w:bodyDiv w:val="1"/>
      <w:marLeft w:val="0"/>
      <w:marRight w:val="0"/>
      <w:marTop w:val="0"/>
      <w:marBottom w:val="0"/>
      <w:divBdr>
        <w:top w:val="none" w:sz="0" w:space="0" w:color="auto"/>
        <w:left w:val="none" w:sz="0" w:space="0" w:color="auto"/>
        <w:bottom w:val="none" w:sz="0" w:space="0" w:color="auto"/>
        <w:right w:val="none" w:sz="0" w:space="0" w:color="auto"/>
      </w:divBdr>
    </w:div>
    <w:div w:id="816266870">
      <w:bodyDiv w:val="1"/>
      <w:marLeft w:val="0"/>
      <w:marRight w:val="0"/>
      <w:marTop w:val="0"/>
      <w:marBottom w:val="0"/>
      <w:divBdr>
        <w:top w:val="none" w:sz="0" w:space="0" w:color="auto"/>
        <w:left w:val="none" w:sz="0" w:space="0" w:color="auto"/>
        <w:bottom w:val="none" w:sz="0" w:space="0" w:color="auto"/>
        <w:right w:val="none" w:sz="0" w:space="0" w:color="auto"/>
      </w:divBdr>
    </w:div>
    <w:div w:id="1027491170">
      <w:bodyDiv w:val="1"/>
      <w:marLeft w:val="0"/>
      <w:marRight w:val="0"/>
      <w:marTop w:val="0"/>
      <w:marBottom w:val="0"/>
      <w:divBdr>
        <w:top w:val="none" w:sz="0" w:space="0" w:color="auto"/>
        <w:left w:val="none" w:sz="0" w:space="0" w:color="auto"/>
        <w:bottom w:val="none" w:sz="0" w:space="0" w:color="auto"/>
        <w:right w:val="none" w:sz="0" w:space="0" w:color="auto"/>
      </w:divBdr>
    </w:div>
    <w:div w:id="1214463049">
      <w:bodyDiv w:val="1"/>
      <w:marLeft w:val="0"/>
      <w:marRight w:val="0"/>
      <w:marTop w:val="0"/>
      <w:marBottom w:val="0"/>
      <w:divBdr>
        <w:top w:val="none" w:sz="0" w:space="0" w:color="auto"/>
        <w:left w:val="none" w:sz="0" w:space="0" w:color="auto"/>
        <w:bottom w:val="none" w:sz="0" w:space="0" w:color="auto"/>
        <w:right w:val="none" w:sz="0" w:space="0" w:color="auto"/>
      </w:divBdr>
    </w:div>
    <w:div w:id="1674070711">
      <w:bodyDiv w:val="1"/>
      <w:marLeft w:val="0"/>
      <w:marRight w:val="0"/>
      <w:marTop w:val="0"/>
      <w:marBottom w:val="0"/>
      <w:divBdr>
        <w:top w:val="none" w:sz="0" w:space="0" w:color="auto"/>
        <w:left w:val="none" w:sz="0" w:space="0" w:color="auto"/>
        <w:bottom w:val="none" w:sz="0" w:space="0" w:color="auto"/>
        <w:right w:val="none" w:sz="0" w:space="0" w:color="auto"/>
      </w:divBdr>
    </w:div>
    <w:div w:id="1737976680">
      <w:bodyDiv w:val="1"/>
      <w:marLeft w:val="0"/>
      <w:marRight w:val="0"/>
      <w:marTop w:val="0"/>
      <w:marBottom w:val="0"/>
      <w:divBdr>
        <w:top w:val="none" w:sz="0" w:space="0" w:color="auto"/>
        <w:left w:val="none" w:sz="0" w:space="0" w:color="auto"/>
        <w:bottom w:val="none" w:sz="0" w:space="0" w:color="auto"/>
        <w:right w:val="none" w:sz="0" w:space="0" w:color="auto"/>
      </w:divBdr>
    </w:div>
    <w:div w:id="1885293342">
      <w:bodyDiv w:val="1"/>
      <w:marLeft w:val="0"/>
      <w:marRight w:val="0"/>
      <w:marTop w:val="0"/>
      <w:marBottom w:val="0"/>
      <w:divBdr>
        <w:top w:val="none" w:sz="0" w:space="0" w:color="auto"/>
        <w:left w:val="none" w:sz="0" w:space="0" w:color="auto"/>
        <w:bottom w:val="none" w:sz="0" w:space="0" w:color="auto"/>
        <w:right w:val="none" w:sz="0" w:space="0" w:color="auto"/>
      </w:divBdr>
    </w:div>
    <w:div w:id="1920089533">
      <w:bodyDiv w:val="1"/>
      <w:marLeft w:val="0"/>
      <w:marRight w:val="0"/>
      <w:marTop w:val="0"/>
      <w:marBottom w:val="0"/>
      <w:divBdr>
        <w:top w:val="none" w:sz="0" w:space="0" w:color="auto"/>
        <w:left w:val="none" w:sz="0" w:space="0" w:color="auto"/>
        <w:bottom w:val="none" w:sz="0" w:space="0" w:color="auto"/>
        <w:right w:val="none" w:sz="0" w:space="0" w:color="auto"/>
      </w:divBdr>
      <w:divsChild>
        <w:div w:id="901991138">
          <w:marLeft w:val="0"/>
          <w:marRight w:val="0"/>
          <w:marTop w:val="0"/>
          <w:marBottom w:val="0"/>
          <w:divBdr>
            <w:top w:val="none" w:sz="0" w:space="0" w:color="auto"/>
            <w:left w:val="none" w:sz="0" w:space="0" w:color="auto"/>
            <w:bottom w:val="none" w:sz="0" w:space="0" w:color="auto"/>
            <w:right w:val="none" w:sz="0" w:space="0" w:color="auto"/>
          </w:divBdr>
          <w:divsChild>
            <w:div w:id="127944857">
              <w:marLeft w:val="0"/>
              <w:marRight w:val="0"/>
              <w:marTop w:val="0"/>
              <w:marBottom w:val="0"/>
              <w:divBdr>
                <w:top w:val="none" w:sz="0" w:space="0" w:color="auto"/>
                <w:left w:val="none" w:sz="0" w:space="0" w:color="auto"/>
                <w:bottom w:val="none" w:sz="0" w:space="0" w:color="auto"/>
                <w:right w:val="none" w:sz="0" w:space="0" w:color="auto"/>
              </w:divBdr>
              <w:divsChild>
                <w:div w:id="2039310467">
                  <w:marLeft w:val="0"/>
                  <w:marRight w:val="0"/>
                  <w:marTop w:val="0"/>
                  <w:marBottom w:val="0"/>
                  <w:divBdr>
                    <w:top w:val="none" w:sz="0" w:space="0" w:color="auto"/>
                    <w:left w:val="none" w:sz="0" w:space="0" w:color="auto"/>
                    <w:bottom w:val="none" w:sz="0" w:space="0" w:color="auto"/>
                    <w:right w:val="none" w:sz="0" w:space="0" w:color="auto"/>
                  </w:divBdr>
                  <w:divsChild>
                    <w:div w:id="2033721800">
                      <w:marLeft w:val="0"/>
                      <w:marRight w:val="0"/>
                      <w:marTop w:val="0"/>
                      <w:marBottom w:val="0"/>
                      <w:divBdr>
                        <w:top w:val="none" w:sz="0" w:space="0" w:color="auto"/>
                        <w:left w:val="none" w:sz="0" w:space="0" w:color="auto"/>
                        <w:bottom w:val="none" w:sz="0" w:space="0" w:color="auto"/>
                        <w:right w:val="none" w:sz="0" w:space="0" w:color="auto"/>
                      </w:divBdr>
                      <w:divsChild>
                        <w:div w:id="808673183">
                          <w:marLeft w:val="0"/>
                          <w:marRight w:val="0"/>
                          <w:marTop w:val="0"/>
                          <w:marBottom w:val="0"/>
                          <w:divBdr>
                            <w:top w:val="none" w:sz="0" w:space="0" w:color="auto"/>
                            <w:left w:val="none" w:sz="0" w:space="0" w:color="auto"/>
                            <w:bottom w:val="none" w:sz="0" w:space="0" w:color="auto"/>
                            <w:right w:val="none" w:sz="0" w:space="0" w:color="auto"/>
                          </w:divBdr>
                          <w:divsChild>
                            <w:div w:id="925040818">
                              <w:marLeft w:val="0"/>
                              <w:marRight w:val="0"/>
                              <w:marTop w:val="0"/>
                              <w:marBottom w:val="0"/>
                              <w:divBdr>
                                <w:top w:val="none" w:sz="0" w:space="0" w:color="auto"/>
                                <w:left w:val="none" w:sz="0" w:space="0" w:color="auto"/>
                                <w:bottom w:val="none" w:sz="0" w:space="0" w:color="auto"/>
                                <w:right w:val="none" w:sz="0" w:space="0" w:color="auto"/>
                              </w:divBdr>
                              <w:divsChild>
                                <w:div w:id="1334989287">
                                  <w:marLeft w:val="0"/>
                                  <w:marRight w:val="0"/>
                                  <w:marTop w:val="0"/>
                                  <w:marBottom w:val="0"/>
                                  <w:divBdr>
                                    <w:top w:val="none" w:sz="0" w:space="0" w:color="auto"/>
                                    <w:left w:val="none" w:sz="0" w:space="0" w:color="auto"/>
                                    <w:bottom w:val="none" w:sz="0" w:space="0" w:color="auto"/>
                                    <w:right w:val="none" w:sz="0" w:space="0" w:color="auto"/>
                                  </w:divBdr>
                                  <w:divsChild>
                                    <w:div w:id="256596223">
                                      <w:marLeft w:val="0"/>
                                      <w:marRight w:val="0"/>
                                      <w:marTop w:val="0"/>
                                      <w:marBottom w:val="0"/>
                                      <w:divBdr>
                                        <w:top w:val="none" w:sz="0" w:space="0" w:color="auto"/>
                                        <w:left w:val="none" w:sz="0" w:space="0" w:color="auto"/>
                                        <w:bottom w:val="none" w:sz="0" w:space="0" w:color="auto"/>
                                        <w:right w:val="none" w:sz="0" w:space="0" w:color="auto"/>
                                      </w:divBdr>
                                      <w:divsChild>
                                        <w:div w:id="1976910786">
                                          <w:marLeft w:val="0"/>
                                          <w:marRight w:val="0"/>
                                          <w:marTop w:val="0"/>
                                          <w:marBottom w:val="0"/>
                                          <w:divBdr>
                                            <w:top w:val="none" w:sz="0" w:space="0" w:color="auto"/>
                                            <w:left w:val="none" w:sz="0" w:space="0" w:color="auto"/>
                                            <w:bottom w:val="none" w:sz="0" w:space="0" w:color="auto"/>
                                            <w:right w:val="none" w:sz="0" w:space="0" w:color="auto"/>
                                          </w:divBdr>
                                          <w:divsChild>
                                            <w:div w:id="10118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500401">
          <w:marLeft w:val="0"/>
          <w:marRight w:val="0"/>
          <w:marTop w:val="0"/>
          <w:marBottom w:val="0"/>
          <w:divBdr>
            <w:top w:val="none" w:sz="0" w:space="0" w:color="auto"/>
            <w:left w:val="none" w:sz="0" w:space="0" w:color="auto"/>
            <w:bottom w:val="none" w:sz="0" w:space="0" w:color="auto"/>
            <w:right w:val="none" w:sz="0" w:space="0" w:color="auto"/>
          </w:divBdr>
          <w:divsChild>
            <w:div w:id="1570918653">
              <w:marLeft w:val="0"/>
              <w:marRight w:val="0"/>
              <w:marTop w:val="0"/>
              <w:marBottom w:val="0"/>
              <w:divBdr>
                <w:top w:val="none" w:sz="0" w:space="0" w:color="auto"/>
                <w:left w:val="none" w:sz="0" w:space="0" w:color="auto"/>
                <w:bottom w:val="none" w:sz="0" w:space="0" w:color="auto"/>
                <w:right w:val="none" w:sz="0" w:space="0" w:color="auto"/>
              </w:divBdr>
              <w:divsChild>
                <w:div w:id="114100924">
                  <w:marLeft w:val="0"/>
                  <w:marRight w:val="0"/>
                  <w:marTop w:val="0"/>
                  <w:marBottom w:val="0"/>
                  <w:divBdr>
                    <w:top w:val="none" w:sz="0" w:space="0" w:color="auto"/>
                    <w:left w:val="none" w:sz="0" w:space="0" w:color="auto"/>
                    <w:bottom w:val="none" w:sz="0" w:space="0" w:color="auto"/>
                    <w:right w:val="none" w:sz="0" w:space="0" w:color="auto"/>
                  </w:divBdr>
                  <w:divsChild>
                    <w:div w:id="1721634830">
                      <w:marLeft w:val="0"/>
                      <w:marRight w:val="0"/>
                      <w:marTop w:val="0"/>
                      <w:marBottom w:val="0"/>
                      <w:divBdr>
                        <w:top w:val="none" w:sz="0" w:space="0" w:color="auto"/>
                        <w:left w:val="none" w:sz="0" w:space="0" w:color="auto"/>
                        <w:bottom w:val="none" w:sz="0" w:space="0" w:color="auto"/>
                        <w:right w:val="none" w:sz="0" w:space="0" w:color="auto"/>
                      </w:divBdr>
                      <w:divsChild>
                        <w:div w:id="836268326">
                          <w:marLeft w:val="0"/>
                          <w:marRight w:val="0"/>
                          <w:marTop w:val="0"/>
                          <w:marBottom w:val="0"/>
                          <w:divBdr>
                            <w:top w:val="none" w:sz="0" w:space="0" w:color="auto"/>
                            <w:left w:val="none" w:sz="0" w:space="0" w:color="auto"/>
                            <w:bottom w:val="none" w:sz="0" w:space="0" w:color="auto"/>
                            <w:right w:val="none" w:sz="0" w:space="0" w:color="auto"/>
                          </w:divBdr>
                          <w:divsChild>
                            <w:div w:id="922907527">
                              <w:marLeft w:val="0"/>
                              <w:marRight w:val="0"/>
                              <w:marTop w:val="0"/>
                              <w:marBottom w:val="0"/>
                              <w:divBdr>
                                <w:top w:val="none" w:sz="0" w:space="0" w:color="auto"/>
                                <w:left w:val="none" w:sz="0" w:space="0" w:color="auto"/>
                                <w:bottom w:val="none" w:sz="0" w:space="0" w:color="auto"/>
                                <w:right w:val="none" w:sz="0" w:space="0" w:color="auto"/>
                              </w:divBdr>
                              <w:divsChild>
                                <w:div w:id="1340690943">
                                  <w:marLeft w:val="0"/>
                                  <w:marRight w:val="0"/>
                                  <w:marTop w:val="0"/>
                                  <w:marBottom w:val="0"/>
                                  <w:divBdr>
                                    <w:top w:val="none" w:sz="0" w:space="0" w:color="auto"/>
                                    <w:left w:val="none" w:sz="0" w:space="0" w:color="auto"/>
                                    <w:bottom w:val="none" w:sz="0" w:space="0" w:color="auto"/>
                                    <w:right w:val="none" w:sz="0" w:space="0" w:color="auto"/>
                                  </w:divBdr>
                                  <w:divsChild>
                                    <w:div w:id="221216759">
                                      <w:marLeft w:val="0"/>
                                      <w:marRight w:val="0"/>
                                      <w:marTop w:val="0"/>
                                      <w:marBottom w:val="0"/>
                                      <w:divBdr>
                                        <w:top w:val="none" w:sz="0" w:space="0" w:color="auto"/>
                                        <w:left w:val="none" w:sz="0" w:space="0" w:color="auto"/>
                                        <w:bottom w:val="none" w:sz="0" w:space="0" w:color="auto"/>
                                        <w:right w:val="none" w:sz="0" w:space="0" w:color="auto"/>
                                      </w:divBdr>
                                      <w:divsChild>
                                        <w:div w:id="2128230621">
                                          <w:marLeft w:val="0"/>
                                          <w:marRight w:val="0"/>
                                          <w:marTop w:val="0"/>
                                          <w:marBottom w:val="0"/>
                                          <w:divBdr>
                                            <w:top w:val="none" w:sz="0" w:space="0" w:color="auto"/>
                                            <w:left w:val="none" w:sz="0" w:space="0" w:color="auto"/>
                                            <w:bottom w:val="none" w:sz="0" w:space="0" w:color="auto"/>
                                            <w:right w:val="none" w:sz="0" w:space="0" w:color="auto"/>
                                          </w:divBdr>
                                          <w:divsChild>
                                            <w:div w:id="133566371">
                                              <w:marLeft w:val="0"/>
                                              <w:marRight w:val="0"/>
                                              <w:marTop w:val="0"/>
                                              <w:marBottom w:val="0"/>
                                              <w:divBdr>
                                                <w:top w:val="none" w:sz="0" w:space="0" w:color="auto"/>
                                                <w:left w:val="none" w:sz="0" w:space="0" w:color="auto"/>
                                                <w:bottom w:val="none" w:sz="0" w:space="0" w:color="auto"/>
                                                <w:right w:val="none" w:sz="0" w:space="0" w:color="auto"/>
                                              </w:divBdr>
                                              <w:divsChild>
                                                <w:div w:id="879174518">
                                                  <w:marLeft w:val="0"/>
                                                  <w:marRight w:val="0"/>
                                                  <w:marTop w:val="0"/>
                                                  <w:marBottom w:val="0"/>
                                                  <w:divBdr>
                                                    <w:top w:val="none" w:sz="0" w:space="0" w:color="auto"/>
                                                    <w:left w:val="none" w:sz="0" w:space="0" w:color="auto"/>
                                                    <w:bottom w:val="none" w:sz="0" w:space="0" w:color="auto"/>
                                                    <w:right w:val="none" w:sz="0" w:space="0" w:color="auto"/>
                                                  </w:divBdr>
                                                  <w:divsChild>
                                                    <w:div w:id="1337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752088">
      <w:bodyDiv w:val="1"/>
      <w:marLeft w:val="0"/>
      <w:marRight w:val="0"/>
      <w:marTop w:val="0"/>
      <w:marBottom w:val="0"/>
      <w:divBdr>
        <w:top w:val="none" w:sz="0" w:space="0" w:color="auto"/>
        <w:left w:val="none" w:sz="0" w:space="0" w:color="auto"/>
        <w:bottom w:val="none" w:sz="0" w:space="0" w:color="auto"/>
        <w:right w:val="none" w:sz="0" w:space="0" w:color="auto"/>
      </w:divBdr>
    </w:div>
    <w:div w:id="1961180453">
      <w:bodyDiv w:val="1"/>
      <w:marLeft w:val="0"/>
      <w:marRight w:val="0"/>
      <w:marTop w:val="0"/>
      <w:marBottom w:val="0"/>
      <w:divBdr>
        <w:top w:val="none" w:sz="0" w:space="0" w:color="auto"/>
        <w:left w:val="none" w:sz="0" w:space="0" w:color="auto"/>
        <w:bottom w:val="none" w:sz="0" w:space="0" w:color="auto"/>
        <w:right w:val="none" w:sz="0" w:space="0" w:color="auto"/>
      </w:divBdr>
    </w:div>
    <w:div w:id="196897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epubs.icar.org.in/index.php/AERR/article/view/154838" TargetMode="Externa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yperlink" Target="https://doi.org/10.1016/j.scienta.2010.07.03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hesis\cashewnut\Models\Best%20Model\actual_pred_ARIMA+SV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'[actual_pred_ARIMA+SVR.xlsx]Sheet1'!$C$1</c:f>
              <c:strCache>
                <c:ptCount val="1"/>
                <c:pt idx="0">
                  <c:v>actual</c:v>
                </c:pt>
              </c:strCache>
            </c:strRef>
          </c:tx>
          <c:spPr>
            <a:ln w="15875" cap="rnd">
              <a:solidFill>
                <a:srgbClr val="0070C0"/>
              </a:solidFill>
              <a:round/>
            </a:ln>
            <a:effectLst/>
          </c:spPr>
          <c:marker>
            <c:symbol val="none"/>
          </c:marker>
          <c:cat>
            <c:multiLvlStrRef>
              <c:f>'[actual_pred_ARIMA+SVR.xlsx]Sheet1'!$A$2:$B$205</c:f>
              <c:multiLvlStrCache>
                <c:ptCount val="20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pt idx="70">
                    <c:v>November</c:v>
                  </c:pt>
                  <c:pt idx="71">
                    <c:v>December</c:v>
                  </c:pt>
                  <c:pt idx="72">
                    <c:v>January</c:v>
                  </c:pt>
                  <c:pt idx="73">
                    <c:v>February</c:v>
                  </c:pt>
                  <c:pt idx="74">
                    <c:v>March</c:v>
                  </c:pt>
                  <c:pt idx="75">
                    <c:v>April</c:v>
                  </c:pt>
                  <c:pt idx="76">
                    <c:v>May</c:v>
                  </c:pt>
                  <c:pt idx="77">
                    <c:v>June</c:v>
                  </c:pt>
                  <c:pt idx="78">
                    <c:v>July</c:v>
                  </c:pt>
                  <c:pt idx="79">
                    <c:v>August</c:v>
                  </c:pt>
                  <c:pt idx="80">
                    <c:v>September</c:v>
                  </c:pt>
                  <c:pt idx="81">
                    <c:v>October</c:v>
                  </c:pt>
                  <c:pt idx="82">
                    <c:v>November</c:v>
                  </c:pt>
                  <c:pt idx="83">
                    <c:v>December</c:v>
                  </c:pt>
                  <c:pt idx="84">
                    <c:v>January</c:v>
                  </c:pt>
                  <c:pt idx="85">
                    <c:v>February</c:v>
                  </c:pt>
                  <c:pt idx="86">
                    <c:v>March</c:v>
                  </c:pt>
                  <c:pt idx="87">
                    <c:v>April</c:v>
                  </c:pt>
                  <c:pt idx="88">
                    <c:v>May</c:v>
                  </c:pt>
                  <c:pt idx="89">
                    <c:v>June</c:v>
                  </c:pt>
                  <c:pt idx="90">
                    <c:v>July</c:v>
                  </c:pt>
                  <c:pt idx="91">
                    <c:v>August</c:v>
                  </c:pt>
                  <c:pt idx="92">
                    <c:v>September</c:v>
                  </c:pt>
                  <c:pt idx="93">
                    <c:v>October</c:v>
                  </c:pt>
                  <c:pt idx="94">
                    <c:v>November</c:v>
                  </c:pt>
                  <c:pt idx="95">
                    <c:v>December</c:v>
                  </c:pt>
                  <c:pt idx="96">
                    <c:v>January</c:v>
                  </c:pt>
                  <c:pt idx="97">
                    <c:v>February</c:v>
                  </c:pt>
                  <c:pt idx="98">
                    <c:v>March</c:v>
                  </c:pt>
                  <c:pt idx="99">
                    <c:v>April</c:v>
                  </c:pt>
                  <c:pt idx="100">
                    <c:v>May</c:v>
                  </c:pt>
                  <c:pt idx="101">
                    <c:v>June</c:v>
                  </c:pt>
                  <c:pt idx="102">
                    <c:v>July</c:v>
                  </c:pt>
                  <c:pt idx="103">
                    <c:v>August</c:v>
                  </c:pt>
                  <c:pt idx="104">
                    <c:v>September</c:v>
                  </c:pt>
                  <c:pt idx="105">
                    <c:v>October</c:v>
                  </c:pt>
                  <c:pt idx="106">
                    <c:v>November</c:v>
                  </c:pt>
                  <c:pt idx="107">
                    <c:v>December</c:v>
                  </c:pt>
                  <c:pt idx="108">
                    <c:v>January</c:v>
                  </c:pt>
                  <c:pt idx="109">
                    <c:v>February</c:v>
                  </c:pt>
                  <c:pt idx="110">
                    <c:v>March</c:v>
                  </c:pt>
                  <c:pt idx="111">
                    <c:v>April</c:v>
                  </c:pt>
                  <c:pt idx="112">
                    <c:v>May</c:v>
                  </c:pt>
                  <c:pt idx="113">
                    <c:v>June</c:v>
                  </c:pt>
                  <c:pt idx="114">
                    <c:v>July</c:v>
                  </c:pt>
                  <c:pt idx="115">
                    <c:v>August</c:v>
                  </c:pt>
                  <c:pt idx="116">
                    <c:v>September</c:v>
                  </c:pt>
                  <c:pt idx="117">
                    <c:v>October</c:v>
                  </c:pt>
                  <c:pt idx="118">
                    <c:v>November</c:v>
                  </c:pt>
                  <c:pt idx="119">
                    <c:v>December</c:v>
                  </c:pt>
                  <c:pt idx="120">
                    <c:v>January</c:v>
                  </c:pt>
                  <c:pt idx="121">
                    <c:v>February</c:v>
                  </c:pt>
                  <c:pt idx="122">
                    <c:v>March</c:v>
                  </c:pt>
                  <c:pt idx="123">
                    <c:v>April</c:v>
                  </c:pt>
                  <c:pt idx="124">
                    <c:v>May</c:v>
                  </c:pt>
                  <c:pt idx="125">
                    <c:v>June</c:v>
                  </c:pt>
                  <c:pt idx="126">
                    <c:v>July</c:v>
                  </c:pt>
                  <c:pt idx="127">
                    <c:v>August</c:v>
                  </c:pt>
                  <c:pt idx="128">
                    <c:v>September</c:v>
                  </c:pt>
                  <c:pt idx="129">
                    <c:v>October</c:v>
                  </c:pt>
                  <c:pt idx="130">
                    <c:v>November</c:v>
                  </c:pt>
                  <c:pt idx="131">
                    <c:v>December</c:v>
                  </c:pt>
                  <c:pt idx="132">
                    <c:v>January</c:v>
                  </c:pt>
                  <c:pt idx="133">
                    <c:v>February</c:v>
                  </c:pt>
                  <c:pt idx="134">
                    <c:v>March</c:v>
                  </c:pt>
                  <c:pt idx="135">
                    <c:v>April</c:v>
                  </c:pt>
                  <c:pt idx="136">
                    <c:v>May</c:v>
                  </c:pt>
                  <c:pt idx="137">
                    <c:v>June</c:v>
                  </c:pt>
                  <c:pt idx="138">
                    <c:v>July</c:v>
                  </c:pt>
                  <c:pt idx="139">
                    <c:v>August</c:v>
                  </c:pt>
                  <c:pt idx="140">
                    <c:v>September</c:v>
                  </c:pt>
                  <c:pt idx="141">
                    <c:v>October</c:v>
                  </c:pt>
                  <c:pt idx="142">
                    <c:v>November</c:v>
                  </c:pt>
                  <c:pt idx="143">
                    <c:v>December</c:v>
                  </c:pt>
                  <c:pt idx="144">
                    <c:v>January</c:v>
                  </c:pt>
                  <c:pt idx="145">
                    <c:v>February</c:v>
                  </c:pt>
                  <c:pt idx="146">
                    <c:v>March</c:v>
                  </c:pt>
                  <c:pt idx="147">
                    <c:v>April</c:v>
                  </c:pt>
                  <c:pt idx="148">
                    <c:v>May</c:v>
                  </c:pt>
                  <c:pt idx="149">
                    <c:v>June</c:v>
                  </c:pt>
                  <c:pt idx="150">
                    <c:v>July</c:v>
                  </c:pt>
                  <c:pt idx="151">
                    <c:v>August</c:v>
                  </c:pt>
                  <c:pt idx="152">
                    <c:v>September</c:v>
                  </c:pt>
                  <c:pt idx="153">
                    <c:v>October</c:v>
                  </c:pt>
                  <c:pt idx="154">
                    <c:v>November</c:v>
                  </c:pt>
                  <c:pt idx="155">
                    <c:v>December</c:v>
                  </c:pt>
                  <c:pt idx="156">
                    <c:v>January</c:v>
                  </c:pt>
                  <c:pt idx="157">
                    <c:v>February</c:v>
                  </c:pt>
                  <c:pt idx="158">
                    <c:v>March</c:v>
                  </c:pt>
                  <c:pt idx="159">
                    <c:v>April</c:v>
                  </c:pt>
                  <c:pt idx="160">
                    <c:v>May</c:v>
                  </c:pt>
                  <c:pt idx="161">
                    <c:v>June</c:v>
                  </c:pt>
                  <c:pt idx="162">
                    <c:v>July</c:v>
                  </c:pt>
                  <c:pt idx="163">
                    <c:v>August</c:v>
                  </c:pt>
                  <c:pt idx="164">
                    <c:v>September</c:v>
                  </c:pt>
                  <c:pt idx="165">
                    <c:v>October</c:v>
                  </c:pt>
                  <c:pt idx="166">
                    <c:v>November</c:v>
                  </c:pt>
                  <c:pt idx="167">
                    <c:v>December</c:v>
                  </c:pt>
                  <c:pt idx="168">
                    <c:v>January</c:v>
                  </c:pt>
                  <c:pt idx="169">
                    <c:v>February</c:v>
                  </c:pt>
                  <c:pt idx="170">
                    <c:v>March</c:v>
                  </c:pt>
                  <c:pt idx="171">
                    <c:v>April</c:v>
                  </c:pt>
                  <c:pt idx="172">
                    <c:v>May</c:v>
                  </c:pt>
                  <c:pt idx="173">
                    <c:v>June</c:v>
                  </c:pt>
                  <c:pt idx="174">
                    <c:v>July</c:v>
                  </c:pt>
                  <c:pt idx="175">
                    <c:v>August</c:v>
                  </c:pt>
                  <c:pt idx="176">
                    <c:v>September</c:v>
                  </c:pt>
                  <c:pt idx="177">
                    <c:v>October</c:v>
                  </c:pt>
                  <c:pt idx="178">
                    <c:v>November</c:v>
                  </c:pt>
                  <c:pt idx="179">
                    <c:v>December</c:v>
                  </c:pt>
                  <c:pt idx="180">
                    <c:v>January</c:v>
                  </c:pt>
                  <c:pt idx="181">
                    <c:v>February</c:v>
                  </c:pt>
                  <c:pt idx="182">
                    <c:v>March</c:v>
                  </c:pt>
                  <c:pt idx="183">
                    <c:v>April</c:v>
                  </c:pt>
                  <c:pt idx="184">
                    <c:v>May</c:v>
                  </c:pt>
                  <c:pt idx="185">
                    <c:v>June</c:v>
                  </c:pt>
                  <c:pt idx="186">
                    <c:v>July</c:v>
                  </c:pt>
                  <c:pt idx="187">
                    <c:v>August</c:v>
                  </c:pt>
                  <c:pt idx="188">
                    <c:v>September</c:v>
                  </c:pt>
                  <c:pt idx="189">
                    <c:v>October</c:v>
                  </c:pt>
                  <c:pt idx="190">
                    <c:v>November</c:v>
                  </c:pt>
                  <c:pt idx="191">
                    <c:v>December</c:v>
                  </c:pt>
                  <c:pt idx="192">
                    <c:v>January</c:v>
                  </c:pt>
                  <c:pt idx="193">
                    <c:v>February</c:v>
                  </c:pt>
                  <c:pt idx="194">
                    <c:v>March</c:v>
                  </c:pt>
                  <c:pt idx="195">
                    <c:v>April</c:v>
                  </c:pt>
                  <c:pt idx="196">
                    <c:v>May</c:v>
                  </c:pt>
                  <c:pt idx="197">
                    <c:v>June</c:v>
                  </c:pt>
                  <c:pt idx="198">
                    <c:v>July</c:v>
                  </c:pt>
                  <c:pt idx="199">
                    <c:v>August</c:v>
                  </c:pt>
                  <c:pt idx="200">
                    <c:v>September</c:v>
                  </c:pt>
                  <c:pt idx="201">
                    <c:v>October</c:v>
                  </c:pt>
                  <c:pt idx="202">
                    <c:v>November</c:v>
                  </c:pt>
                  <c:pt idx="203">
                    <c:v>December</c:v>
                  </c:pt>
                </c:lvl>
                <c:lvl>
                  <c:pt idx="0">
                    <c:v>2010</c:v>
                  </c:pt>
                  <c:pt idx="12">
                    <c:v>2011</c:v>
                  </c:pt>
                  <c:pt idx="24">
                    <c:v>2012</c:v>
                  </c:pt>
                  <c:pt idx="36">
                    <c:v>2013</c:v>
                  </c:pt>
                  <c:pt idx="48">
                    <c:v>2014</c:v>
                  </c:pt>
                  <c:pt idx="60">
                    <c:v>2015</c:v>
                  </c:pt>
                  <c:pt idx="72">
                    <c:v>2016</c:v>
                  </c:pt>
                  <c:pt idx="84">
                    <c:v>2017</c:v>
                  </c:pt>
                  <c:pt idx="96">
                    <c:v>2018</c:v>
                  </c:pt>
                  <c:pt idx="108">
                    <c:v>2019</c:v>
                  </c:pt>
                  <c:pt idx="120">
                    <c:v>2020</c:v>
                  </c:pt>
                  <c:pt idx="132">
                    <c:v>2021</c:v>
                  </c:pt>
                  <c:pt idx="144">
                    <c:v>2022</c:v>
                  </c:pt>
                  <c:pt idx="156">
                    <c:v>2023</c:v>
                  </c:pt>
                  <c:pt idx="168">
                    <c:v>2024</c:v>
                  </c:pt>
                  <c:pt idx="180">
                    <c:v>2025</c:v>
                  </c:pt>
                  <c:pt idx="192">
                    <c:v>2026</c:v>
                  </c:pt>
                </c:lvl>
              </c:multiLvlStrCache>
            </c:multiLvlStrRef>
          </c:cat>
          <c:val>
            <c:numRef>
              <c:f>'[actual_pred_ARIMA+SVR.xlsx]Sheet1'!$C$2:$C$205</c:f>
              <c:numCache>
                <c:formatCode>0</c:formatCode>
                <c:ptCount val="204"/>
                <c:pt idx="0">
                  <c:v>10810.46</c:v>
                </c:pt>
                <c:pt idx="1">
                  <c:v>10949.77</c:v>
                </c:pt>
                <c:pt idx="2">
                  <c:v>10312.5</c:v>
                </c:pt>
                <c:pt idx="3">
                  <c:v>9199.24</c:v>
                </c:pt>
                <c:pt idx="4">
                  <c:v>9565.9699999999993</c:v>
                </c:pt>
                <c:pt idx="5">
                  <c:v>9498.26</c:v>
                </c:pt>
                <c:pt idx="6">
                  <c:v>8834.82</c:v>
                </c:pt>
                <c:pt idx="7">
                  <c:v>9697.35</c:v>
                </c:pt>
                <c:pt idx="8">
                  <c:v>11384.33</c:v>
                </c:pt>
                <c:pt idx="9">
                  <c:v>11269.68</c:v>
                </c:pt>
                <c:pt idx="10">
                  <c:v>12024.44</c:v>
                </c:pt>
                <c:pt idx="11">
                  <c:v>9254.5300000000007</c:v>
                </c:pt>
                <c:pt idx="12">
                  <c:v>12196.2</c:v>
                </c:pt>
                <c:pt idx="13">
                  <c:v>12178.43</c:v>
                </c:pt>
                <c:pt idx="14">
                  <c:v>12215.33</c:v>
                </c:pt>
                <c:pt idx="15">
                  <c:v>12216.73</c:v>
                </c:pt>
                <c:pt idx="16">
                  <c:v>11308.28</c:v>
                </c:pt>
                <c:pt idx="17">
                  <c:v>11441.25</c:v>
                </c:pt>
                <c:pt idx="18">
                  <c:v>11221.92</c:v>
                </c:pt>
                <c:pt idx="19">
                  <c:v>11762.84</c:v>
                </c:pt>
                <c:pt idx="20">
                  <c:v>12475.45</c:v>
                </c:pt>
                <c:pt idx="21">
                  <c:v>12639.05</c:v>
                </c:pt>
                <c:pt idx="22">
                  <c:v>12446.41</c:v>
                </c:pt>
                <c:pt idx="23">
                  <c:v>12479.95</c:v>
                </c:pt>
                <c:pt idx="24">
                  <c:v>12573.2</c:v>
                </c:pt>
                <c:pt idx="25">
                  <c:v>12426.9</c:v>
                </c:pt>
                <c:pt idx="26">
                  <c:v>12154.36</c:v>
                </c:pt>
                <c:pt idx="27">
                  <c:v>10833.81</c:v>
                </c:pt>
                <c:pt idx="28">
                  <c:v>11609.89</c:v>
                </c:pt>
                <c:pt idx="29">
                  <c:v>12827.41</c:v>
                </c:pt>
                <c:pt idx="30">
                  <c:v>12862.1</c:v>
                </c:pt>
                <c:pt idx="31">
                  <c:v>13319.98</c:v>
                </c:pt>
                <c:pt idx="32">
                  <c:v>13620.19</c:v>
                </c:pt>
                <c:pt idx="33">
                  <c:v>13304.51</c:v>
                </c:pt>
                <c:pt idx="34">
                  <c:v>13327.08</c:v>
                </c:pt>
                <c:pt idx="35">
                  <c:v>13647.26</c:v>
                </c:pt>
                <c:pt idx="36">
                  <c:v>13738.2</c:v>
                </c:pt>
                <c:pt idx="37">
                  <c:v>13529.8</c:v>
                </c:pt>
                <c:pt idx="38">
                  <c:v>13692.2</c:v>
                </c:pt>
                <c:pt idx="39">
                  <c:v>12168.28</c:v>
                </c:pt>
                <c:pt idx="40">
                  <c:v>11920.07</c:v>
                </c:pt>
                <c:pt idx="41">
                  <c:v>12176.28</c:v>
                </c:pt>
                <c:pt idx="42">
                  <c:v>12565.83</c:v>
                </c:pt>
                <c:pt idx="43">
                  <c:v>13489.67</c:v>
                </c:pt>
                <c:pt idx="44">
                  <c:v>14286.53</c:v>
                </c:pt>
                <c:pt idx="45">
                  <c:v>17073.919999999998</c:v>
                </c:pt>
                <c:pt idx="46">
                  <c:v>15550.16</c:v>
                </c:pt>
                <c:pt idx="47">
                  <c:v>15356.93</c:v>
                </c:pt>
                <c:pt idx="48">
                  <c:v>16145.56</c:v>
                </c:pt>
                <c:pt idx="49">
                  <c:v>16240.71</c:v>
                </c:pt>
                <c:pt idx="50">
                  <c:v>15687.85</c:v>
                </c:pt>
                <c:pt idx="51">
                  <c:v>14402.96</c:v>
                </c:pt>
                <c:pt idx="52">
                  <c:v>12208.99</c:v>
                </c:pt>
                <c:pt idx="53">
                  <c:v>15271.41</c:v>
                </c:pt>
                <c:pt idx="54">
                  <c:v>13007.28</c:v>
                </c:pt>
                <c:pt idx="55">
                  <c:v>13959.52</c:v>
                </c:pt>
                <c:pt idx="56">
                  <c:v>14819.05</c:v>
                </c:pt>
                <c:pt idx="57">
                  <c:v>17742.849999999999</c:v>
                </c:pt>
                <c:pt idx="58">
                  <c:v>17234.87</c:v>
                </c:pt>
                <c:pt idx="59">
                  <c:v>17174.349999999999</c:v>
                </c:pt>
                <c:pt idx="60">
                  <c:v>15383.41</c:v>
                </c:pt>
                <c:pt idx="61">
                  <c:v>17604.79</c:v>
                </c:pt>
                <c:pt idx="62">
                  <c:v>18045.97</c:v>
                </c:pt>
                <c:pt idx="63">
                  <c:v>15011.18</c:v>
                </c:pt>
                <c:pt idx="64">
                  <c:v>15006.03</c:v>
                </c:pt>
                <c:pt idx="65">
                  <c:v>16464.13</c:v>
                </c:pt>
                <c:pt idx="66">
                  <c:v>16558.46</c:v>
                </c:pt>
                <c:pt idx="67">
                  <c:v>17772.89</c:v>
                </c:pt>
                <c:pt idx="68">
                  <c:v>17606.46</c:v>
                </c:pt>
                <c:pt idx="69">
                  <c:v>18463.5</c:v>
                </c:pt>
                <c:pt idx="70">
                  <c:v>17810.169999999998</c:v>
                </c:pt>
                <c:pt idx="71">
                  <c:v>17407.41</c:v>
                </c:pt>
                <c:pt idx="72">
                  <c:v>17764.830000000002</c:v>
                </c:pt>
                <c:pt idx="73">
                  <c:v>13610.23</c:v>
                </c:pt>
                <c:pt idx="74">
                  <c:v>9802.15</c:v>
                </c:pt>
                <c:pt idx="75">
                  <c:v>9712.35</c:v>
                </c:pt>
                <c:pt idx="76">
                  <c:v>9864.86</c:v>
                </c:pt>
                <c:pt idx="77">
                  <c:v>19501.87</c:v>
                </c:pt>
                <c:pt idx="78">
                  <c:v>19998.32</c:v>
                </c:pt>
                <c:pt idx="79">
                  <c:v>21234.11</c:v>
                </c:pt>
                <c:pt idx="80">
                  <c:v>21850.55</c:v>
                </c:pt>
                <c:pt idx="81">
                  <c:v>20519.599999999999</c:v>
                </c:pt>
                <c:pt idx="82">
                  <c:v>21144.68</c:v>
                </c:pt>
                <c:pt idx="83">
                  <c:v>20985.61</c:v>
                </c:pt>
                <c:pt idx="84">
                  <c:v>22940.6</c:v>
                </c:pt>
                <c:pt idx="85">
                  <c:v>23161.98</c:v>
                </c:pt>
                <c:pt idx="86">
                  <c:v>13654.57</c:v>
                </c:pt>
                <c:pt idx="87">
                  <c:v>11640.22</c:v>
                </c:pt>
                <c:pt idx="88">
                  <c:v>15553.04</c:v>
                </c:pt>
                <c:pt idx="89">
                  <c:v>18877.86</c:v>
                </c:pt>
                <c:pt idx="90">
                  <c:v>12343.4</c:v>
                </c:pt>
                <c:pt idx="91">
                  <c:v>25323.39</c:v>
                </c:pt>
                <c:pt idx="92">
                  <c:v>24010.89</c:v>
                </c:pt>
                <c:pt idx="93">
                  <c:v>24144.639999999999</c:v>
                </c:pt>
                <c:pt idx="94">
                  <c:v>25518.75</c:v>
                </c:pt>
                <c:pt idx="95">
                  <c:v>23651.51</c:v>
                </c:pt>
                <c:pt idx="96">
                  <c:v>13184.97</c:v>
                </c:pt>
                <c:pt idx="97">
                  <c:v>13027.98</c:v>
                </c:pt>
                <c:pt idx="98">
                  <c:v>12765.69</c:v>
                </c:pt>
                <c:pt idx="99">
                  <c:v>14375</c:v>
                </c:pt>
                <c:pt idx="100">
                  <c:v>12500</c:v>
                </c:pt>
                <c:pt idx="101">
                  <c:v>12500</c:v>
                </c:pt>
                <c:pt idx="102">
                  <c:v>12500</c:v>
                </c:pt>
                <c:pt idx="103">
                  <c:v>14000</c:v>
                </c:pt>
                <c:pt idx="104">
                  <c:v>13000</c:v>
                </c:pt>
                <c:pt idx="105">
                  <c:v>13000</c:v>
                </c:pt>
                <c:pt idx="106">
                  <c:v>11000</c:v>
                </c:pt>
                <c:pt idx="107">
                  <c:v>11000</c:v>
                </c:pt>
                <c:pt idx="108">
                  <c:v>11000</c:v>
                </c:pt>
                <c:pt idx="109">
                  <c:v>10560</c:v>
                </c:pt>
                <c:pt idx="110">
                  <c:v>10000</c:v>
                </c:pt>
                <c:pt idx="111">
                  <c:v>10000</c:v>
                </c:pt>
                <c:pt idx="112">
                  <c:v>12500</c:v>
                </c:pt>
                <c:pt idx="113">
                  <c:v>12500</c:v>
                </c:pt>
                <c:pt idx="114">
                  <c:v>12500</c:v>
                </c:pt>
                <c:pt idx="115">
                  <c:v>13125</c:v>
                </c:pt>
                <c:pt idx="116">
                  <c:v>13125</c:v>
                </c:pt>
                <c:pt idx="117">
                  <c:v>13125</c:v>
                </c:pt>
                <c:pt idx="118">
                  <c:v>12500</c:v>
                </c:pt>
                <c:pt idx="119">
                  <c:v>12500</c:v>
                </c:pt>
                <c:pt idx="120">
                  <c:v>13750</c:v>
                </c:pt>
                <c:pt idx="121">
                  <c:v>13750</c:v>
                </c:pt>
                <c:pt idx="122">
                  <c:v>13125</c:v>
                </c:pt>
                <c:pt idx="123">
                  <c:v>11820.454545454546</c:v>
                </c:pt>
                <c:pt idx="124">
                  <c:v>12300</c:v>
                </c:pt>
                <c:pt idx="125">
                  <c:v>11000</c:v>
                </c:pt>
                <c:pt idx="126">
                  <c:v>11000</c:v>
                </c:pt>
                <c:pt idx="127">
                  <c:v>11300</c:v>
                </c:pt>
                <c:pt idx="128">
                  <c:v>11000</c:v>
                </c:pt>
                <c:pt idx="129">
                  <c:v>11000</c:v>
                </c:pt>
                <c:pt idx="130">
                  <c:v>11800</c:v>
                </c:pt>
                <c:pt idx="131">
                  <c:v>10000</c:v>
                </c:pt>
                <c:pt idx="132">
                  <c:v>11000</c:v>
                </c:pt>
                <c:pt idx="133">
                  <c:v>10000</c:v>
                </c:pt>
                <c:pt idx="134">
                  <c:v>10500</c:v>
                </c:pt>
                <c:pt idx="135">
                  <c:v>10000</c:v>
                </c:pt>
                <c:pt idx="136">
                  <c:v>9500</c:v>
                </c:pt>
                <c:pt idx="137">
                  <c:v>9500</c:v>
                </c:pt>
                <c:pt idx="138">
                  <c:v>8700</c:v>
                </c:pt>
                <c:pt idx="139">
                  <c:v>8500</c:v>
                </c:pt>
                <c:pt idx="140">
                  <c:v>9000</c:v>
                </c:pt>
                <c:pt idx="141">
                  <c:v>11500</c:v>
                </c:pt>
                <c:pt idx="142">
                  <c:v>11500</c:v>
                </c:pt>
                <c:pt idx="143">
                  <c:v>11500</c:v>
                </c:pt>
                <c:pt idx="144">
                  <c:v>11000</c:v>
                </c:pt>
                <c:pt idx="145">
                  <c:v>10000</c:v>
                </c:pt>
                <c:pt idx="146">
                  <c:v>10000</c:v>
                </c:pt>
                <c:pt idx="147">
                  <c:v>10000</c:v>
                </c:pt>
                <c:pt idx="148">
                  <c:v>11500</c:v>
                </c:pt>
                <c:pt idx="149">
                  <c:v>10000</c:v>
                </c:pt>
                <c:pt idx="150">
                  <c:v>10000</c:v>
                </c:pt>
                <c:pt idx="151">
                  <c:v>9300</c:v>
                </c:pt>
                <c:pt idx="152">
                  <c:v>10000</c:v>
                </c:pt>
                <c:pt idx="153">
                  <c:v>10000</c:v>
                </c:pt>
                <c:pt idx="154">
                  <c:v>10000</c:v>
                </c:pt>
                <c:pt idx="155">
                  <c:v>9100</c:v>
                </c:pt>
                <c:pt idx="156">
                  <c:v>9000</c:v>
                </c:pt>
                <c:pt idx="157">
                  <c:v>9425</c:v>
                </c:pt>
                <c:pt idx="158">
                  <c:v>10040</c:v>
                </c:pt>
                <c:pt idx="159">
                  <c:v>11375</c:v>
                </c:pt>
                <c:pt idx="160">
                  <c:v>10463</c:v>
                </c:pt>
                <c:pt idx="161">
                  <c:v>9300</c:v>
                </c:pt>
                <c:pt idx="162">
                  <c:v>9050</c:v>
                </c:pt>
                <c:pt idx="163">
                  <c:v>9375</c:v>
                </c:pt>
                <c:pt idx="164">
                  <c:v>9460</c:v>
                </c:pt>
                <c:pt idx="165">
                  <c:v>9550</c:v>
                </c:pt>
                <c:pt idx="166">
                  <c:v>9788</c:v>
                </c:pt>
                <c:pt idx="167">
                  <c:v>9740</c:v>
                </c:pt>
                <c:pt idx="168">
                  <c:v>9000</c:v>
                </c:pt>
                <c:pt idx="169">
                  <c:v>8500</c:v>
                </c:pt>
                <c:pt idx="170">
                  <c:v>8960</c:v>
                </c:pt>
                <c:pt idx="171">
                  <c:v>10300</c:v>
                </c:pt>
                <c:pt idx="172">
                  <c:v>10860</c:v>
                </c:pt>
                <c:pt idx="173">
                  <c:v>10800</c:v>
                </c:pt>
                <c:pt idx="174">
                  <c:v>10916.67</c:v>
                </c:pt>
                <c:pt idx="175">
                  <c:v>11250</c:v>
                </c:pt>
                <c:pt idx="176">
                  <c:v>12333.33</c:v>
                </c:pt>
                <c:pt idx="177">
                  <c:v>12000</c:v>
                </c:pt>
                <c:pt idx="178">
                  <c:v>12000</c:v>
                </c:pt>
                <c:pt idx="179">
                  <c:v>11727.27</c:v>
                </c:pt>
                <c:pt idx="180">
                  <c:v>11750</c:v>
                </c:pt>
                <c:pt idx="181">
                  <c:v>10000</c:v>
                </c:pt>
                <c:pt idx="182">
                  <c:v>12200</c:v>
                </c:pt>
                <c:pt idx="183">
                  <c:v>14500</c:v>
                </c:pt>
                <c:pt idx="184">
                  <c:v>12500</c:v>
                </c:pt>
                <c:pt idx="185">
                  <c:v>12000</c:v>
                </c:pt>
                <c:pt idx="186">
                  <c:v>12350</c:v>
                </c:pt>
                <c:pt idx="187">
                  <c:v>14250</c:v>
                </c:pt>
                <c:pt idx="188">
                  <c:v>13000</c:v>
                </c:pt>
                <c:pt idx="189">
                  <c:v>15500</c:v>
                </c:pt>
                <c:pt idx="190">
                  <c:v>14250</c:v>
                </c:pt>
                <c:pt idx="191">
                  <c:v>12936.363636363636</c:v>
                </c:pt>
              </c:numCache>
            </c:numRef>
          </c:val>
          <c:smooth val="0"/>
          <c:extLst>
            <c:ext xmlns:c16="http://schemas.microsoft.com/office/drawing/2014/chart" uri="{C3380CC4-5D6E-409C-BE32-E72D297353CC}">
              <c16:uniqueId val="{00000000-D9EE-4C7B-84E5-7D0F30C743BF}"/>
            </c:ext>
          </c:extLst>
        </c:ser>
        <c:ser>
          <c:idx val="1"/>
          <c:order val="1"/>
          <c:tx>
            <c:strRef>
              <c:f>'[actual_pred_ARIMA+SVR.xlsx]Sheet1'!$D$1</c:f>
              <c:strCache>
                <c:ptCount val="1"/>
                <c:pt idx="0">
                  <c:v>pred</c:v>
                </c:pt>
              </c:strCache>
            </c:strRef>
          </c:tx>
          <c:spPr>
            <a:ln w="15875" cap="rnd">
              <a:solidFill>
                <a:srgbClr val="FF0000"/>
              </a:solidFill>
              <a:prstDash val="sysDash"/>
              <a:round/>
            </a:ln>
            <a:effectLst/>
          </c:spPr>
          <c:marker>
            <c:symbol val="none"/>
          </c:marker>
          <c:dPt>
            <c:idx val="199"/>
            <c:bubble3D val="0"/>
            <c:extLst>
              <c:ext xmlns:c16="http://schemas.microsoft.com/office/drawing/2014/chart" uri="{C3380CC4-5D6E-409C-BE32-E72D297353CC}">
                <c16:uniqueId val="{00000002-D9EE-4C7B-84E5-7D0F30C743BF}"/>
              </c:ext>
            </c:extLst>
          </c:dPt>
          <c:cat>
            <c:multiLvlStrRef>
              <c:f>'[actual_pred_ARIMA+SVR.xlsx]Sheet1'!$A$2:$B$205</c:f>
              <c:multiLvlStrCache>
                <c:ptCount val="20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pt idx="70">
                    <c:v>November</c:v>
                  </c:pt>
                  <c:pt idx="71">
                    <c:v>December</c:v>
                  </c:pt>
                  <c:pt idx="72">
                    <c:v>January</c:v>
                  </c:pt>
                  <c:pt idx="73">
                    <c:v>February</c:v>
                  </c:pt>
                  <c:pt idx="74">
                    <c:v>March</c:v>
                  </c:pt>
                  <c:pt idx="75">
                    <c:v>April</c:v>
                  </c:pt>
                  <c:pt idx="76">
                    <c:v>May</c:v>
                  </c:pt>
                  <c:pt idx="77">
                    <c:v>June</c:v>
                  </c:pt>
                  <c:pt idx="78">
                    <c:v>July</c:v>
                  </c:pt>
                  <c:pt idx="79">
                    <c:v>August</c:v>
                  </c:pt>
                  <c:pt idx="80">
                    <c:v>September</c:v>
                  </c:pt>
                  <c:pt idx="81">
                    <c:v>October</c:v>
                  </c:pt>
                  <c:pt idx="82">
                    <c:v>November</c:v>
                  </c:pt>
                  <c:pt idx="83">
                    <c:v>December</c:v>
                  </c:pt>
                  <c:pt idx="84">
                    <c:v>January</c:v>
                  </c:pt>
                  <c:pt idx="85">
                    <c:v>February</c:v>
                  </c:pt>
                  <c:pt idx="86">
                    <c:v>March</c:v>
                  </c:pt>
                  <c:pt idx="87">
                    <c:v>April</c:v>
                  </c:pt>
                  <c:pt idx="88">
                    <c:v>May</c:v>
                  </c:pt>
                  <c:pt idx="89">
                    <c:v>June</c:v>
                  </c:pt>
                  <c:pt idx="90">
                    <c:v>July</c:v>
                  </c:pt>
                  <c:pt idx="91">
                    <c:v>August</c:v>
                  </c:pt>
                  <c:pt idx="92">
                    <c:v>September</c:v>
                  </c:pt>
                  <c:pt idx="93">
                    <c:v>October</c:v>
                  </c:pt>
                  <c:pt idx="94">
                    <c:v>November</c:v>
                  </c:pt>
                  <c:pt idx="95">
                    <c:v>December</c:v>
                  </c:pt>
                  <c:pt idx="96">
                    <c:v>January</c:v>
                  </c:pt>
                  <c:pt idx="97">
                    <c:v>February</c:v>
                  </c:pt>
                  <c:pt idx="98">
                    <c:v>March</c:v>
                  </c:pt>
                  <c:pt idx="99">
                    <c:v>April</c:v>
                  </c:pt>
                  <c:pt idx="100">
                    <c:v>May</c:v>
                  </c:pt>
                  <c:pt idx="101">
                    <c:v>June</c:v>
                  </c:pt>
                  <c:pt idx="102">
                    <c:v>July</c:v>
                  </c:pt>
                  <c:pt idx="103">
                    <c:v>August</c:v>
                  </c:pt>
                  <c:pt idx="104">
                    <c:v>September</c:v>
                  </c:pt>
                  <c:pt idx="105">
                    <c:v>October</c:v>
                  </c:pt>
                  <c:pt idx="106">
                    <c:v>November</c:v>
                  </c:pt>
                  <c:pt idx="107">
                    <c:v>December</c:v>
                  </c:pt>
                  <c:pt idx="108">
                    <c:v>January</c:v>
                  </c:pt>
                  <c:pt idx="109">
                    <c:v>February</c:v>
                  </c:pt>
                  <c:pt idx="110">
                    <c:v>March</c:v>
                  </c:pt>
                  <c:pt idx="111">
                    <c:v>April</c:v>
                  </c:pt>
                  <c:pt idx="112">
                    <c:v>May</c:v>
                  </c:pt>
                  <c:pt idx="113">
                    <c:v>June</c:v>
                  </c:pt>
                  <c:pt idx="114">
                    <c:v>July</c:v>
                  </c:pt>
                  <c:pt idx="115">
                    <c:v>August</c:v>
                  </c:pt>
                  <c:pt idx="116">
                    <c:v>September</c:v>
                  </c:pt>
                  <c:pt idx="117">
                    <c:v>October</c:v>
                  </c:pt>
                  <c:pt idx="118">
                    <c:v>November</c:v>
                  </c:pt>
                  <c:pt idx="119">
                    <c:v>December</c:v>
                  </c:pt>
                  <c:pt idx="120">
                    <c:v>January</c:v>
                  </c:pt>
                  <c:pt idx="121">
                    <c:v>February</c:v>
                  </c:pt>
                  <c:pt idx="122">
                    <c:v>March</c:v>
                  </c:pt>
                  <c:pt idx="123">
                    <c:v>April</c:v>
                  </c:pt>
                  <c:pt idx="124">
                    <c:v>May</c:v>
                  </c:pt>
                  <c:pt idx="125">
                    <c:v>June</c:v>
                  </c:pt>
                  <c:pt idx="126">
                    <c:v>July</c:v>
                  </c:pt>
                  <c:pt idx="127">
                    <c:v>August</c:v>
                  </c:pt>
                  <c:pt idx="128">
                    <c:v>September</c:v>
                  </c:pt>
                  <c:pt idx="129">
                    <c:v>October</c:v>
                  </c:pt>
                  <c:pt idx="130">
                    <c:v>November</c:v>
                  </c:pt>
                  <c:pt idx="131">
                    <c:v>December</c:v>
                  </c:pt>
                  <c:pt idx="132">
                    <c:v>January</c:v>
                  </c:pt>
                  <c:pt idx="133">
                    <c:v>February</c:v>
                  </c:pt>
                  <c:pt idx="134">
                    <c:v>March</c:v>
                  </c:pt>
                  <c:pt idx="135">
                    <c:v>April</c:v>
                  </c:pt>
                  <c:pt idx="136">
                    <c:v>May</c:v>
                  </c:pt>
                  <c:pt idx="137">
                    <c:v>June</c:v>
                  </c:pt>
                  <c:pt idx="138">
                    <c:v>July</c:v>
                  </c:pt>
                  <c:pt idx="139">
                    <c:v>August</c:v>
                  </c:pt>
                  <c:pt idx="140">
                    <c:v>September</c:v>
                  </c:pt>
                  <c:pt idx="141">
                    <c:v>October</c:v>
                  </c:pt>
                  <c:pt idx="142">
                    <c:v>November</c:v>
                  </c:pt>
                  <c:pt idx="143">
                    <c:v>December</c:v>
                  </c:pt>
                  <c:pt idx="144">
                    <c:v>January</c:v>
                  </c:pt>
                  <c:pt idx="145">
                    <c:v>February</c:v>
                  </c:pt>
                  <c:pt idx="146">
                    <c:v>March</c:v>
                  </c:pt>
                  <c:pt idx="147">
                    <c:v>April</c:v>
                  </c:pt>
                  <c:pt idx="148">
                    <c:v>May</c:v>
                  </c:pt>
                  <c:pt idx="149">
                    <c:v>June</c:v>
                  </c:pt>
                  <c:pt idx="150">
                    <c:v>July</c:v>
                  </c:pt>
                  <c:pt idx="151">
                    <c:v>August</c:v>
                  </c:pt>
                  <c:pt idx="152">
                    <c:v>September</c:v>
                  </c:pt>
                  <c:pt idx="153">
                    <c:v>October</c:v>
                  </c:pt>
                  <c:pt idx="154">
                    <c:v>November</c:v>
                  </c:pt>
                  <c:pt idx="155">
                    <c:v>December</c:v>
                  </c:pt>
                  <c:pt idx="156">
                    <c:v>January</c:v>
                  </c:pt>
                  <c:pt idx="157">
                    <c:v>February</c:v>
                  </c:pt>
                  <c:pt idx="158">
                    <c:v>March</c:v>
                  </c:pt>
                  <c:pt idx="159">
                    <c:v>April</c:v>
                  </c:pt>
                  <c:pt idx="160">
                    <c:v>May</c:v>
                  </c:pt>
                  <c:pt idx="161">
                    <c:v>June</c:v>
                  </c:pt>
                  <c:pt idx="162">
                    <c:v>July</c:v>
                  </c:pt>
                  <c:pt idx="163">
                    <c:v>August</c:v>
                  </c:pt>
                  <c:pt idx="164">
                    <c:v>September</c:v>
                  </c:pt>
                  <c:pt idx="165">
                    <c:v>October</c:v>
                  </c:pt>
                  <c:pt idx="166">
                    <c:v>November</c:v>
                  </c:pt>
                  <c:pt idx="167">
                    <c:v>December</c:v>
                  </c:pt>
                  <c:pt idx="168">
                    <c:v>January</c:v>
                  </c:pt>
                  <c:pt idx="169">
                    <c:v>February</c:v>
                  </c:pt>
                  <c:pt idx="170">
                    <c:v>March</c:v>
                  </c:pt>
                  <c:pt idx="171">
                    <c:v>April</c:v>
                  </c:pt>
                  <c:pt idx="172">
                    <c:v>May</c:v>
                  </c:pt>
                  <c:pt idx="173">
                    <c:v>June</c:v>
                  </c:pt>
                  <c:pt idx="174">
                    <c:v>July</c:v>
                  </c:pt>
                  <c:pt idx="175">
                    <c:v>August</c:v>
                  </c:pt>
                  <c:pt idx="176">
                    <c:v>September</c:v>
                  </c:pt>
                  <c:pt idx="177">
                    <c:v>October</c:v>
                  </c:pt>
                  <c:pt idx="178">
                    <c:v>November</c:v>
                  </c:pt>
                  <c:pt idx="179">
                    <c:v>December</c:v>
                  </c:pt>
                  <c:pt idx="180">
                    <c:v>January</c:v>
                  </c:pt>
                  <c:pt idx="181">
                    <c:v>February</c:v>
                  </c:pt>
                  <c:pt idx="182">
                    <c:v>March</c:v>
                  </c:pt>
                  <c:pt idx="183">
                    <c:v>April</c:v>
                  </c:pt>
                  <c:pt idx="184">
                    <c:v>May</c:v>
                  </c:pt>
                  <c:pt idx="185">
                    <c:v>June</c:v>
                  </c:pt>
                  <c:pt idx="186">
                    <c:v>July</c:v>
                  </c:pt>
                  <c:pt idx="187">
                    <c:v>August</c:v>
                  </c:pt>
                  <c:pt idx="188">
                    <c:v>September</c:v>
                  </c:pt>
                  <c:pt idx="189">
                    <c:v>October</c:v>
                  </c:pt>
                  <c:pt idx="190">
                    <c:v>November</c:v>
                  </c:pt>
                  <c:pt idx="191">
                    <c:v>December</c:v>
                  </c:pt>
                  <c:pt idx="192">
                    <c:v>January</c:v>
                  </c:pt>
                  <c:pt idx="193">
                    <c:v>February</c:v>
                  </c:pt>
                  <c:pt idx="194">
                    <c:v>March</c:v>
                  </c:pt>
                  <c:pt idx="195">
                    <c:v>April</c:v>
                  </c:pt>
                  <c:pt idx="196">
                    <c:v>May</c:v>
                  </c:pt>
                  <c:pt idx="197">
                    <c:v>June</c:v>
                  </c:pt>
                  <c:pt idx="198">
                    <c:v>July</c:v>
                  </c:pt>
                  <c:pt idx="199">
                    <c:v>August</c:v>
                  </c:pt>
                  <c:pt idx="200">
                    <c:v>September</c:v>
                  </c:pt>
                  <c:pt idx="201">
                    <c:v>October</c:v>
                  </c:pt>
                  <c:pt idx="202">
                    <c:v>November</c:v>
                  </c:pt>
                  <c:pt idx="203">
                    <c:v>December</c:v>
                  </c:pt>
                </c:lvl>
                <c:lvl>
                  <c:pt idx="0">
                    <c:v>2010</c:v>
                  </c:pt>
                  <c:pt idx="12">
                    <c:v>2011</c:v>
                  </c:pt>
                  <c:pt idx="24">
                    <c:v>2012</c:v>
                  </c:pt>
                  <c:pt idx="36">
                    <c:v>2013</c:v>
                  </c:pt>
                  <c:pt idx="48">
                    <c:v>2014</c:v>
                  </c:pt>
                  <c:pt idx="60">
                    <c:v>2015</c:v>
                  </c:pt>
                  <c:pt idx="72">
                    <c:v>2016</c:v>
                  </c:pt>
                  <c:pt idx="84">
                    <c:v>2017</c:v>
                  </c:pt>
                  <c:pt idx="96">
                    <c:v>2018</c:v>
                  </c:pt>
                  <c:pt idx="108">
                    <c:v>2019</c:v>
                  </c:pt>
                  <c:pt idx="120">
                    <c:v>2020</c:v>
                  </c:pt>
                  <c:pt idx="132">
                    <c:v>2021</c:v>
                  </c:pt>
                  <c:pt idx="144">
                    <c:v>2022</c:v>
                  </c:pt>
                  <c:pt idx="156">
                    <c:v>2023</c:v>
                  </c:pt>
                  <c:pt idx="168">
                    <c:v>2024</c:v>
                  </c:pt>
                  <c:pt idx="180">
                    <c:v>2025</c:v>
                  </c:pt>
                  <c:pt idx="192">
                    <c:v>2026</c:v>
                  </c:pt>
                </c:lvl>
              </c:multiLvlStrCache>
            </c:multiLvlStrRef>
          </c:cat>
          <c:val>
            <c:numRef>
              <c:f>'[actual_pred_ARIMA+SVR.xlsx]Sheet1'!$D$2:$D$205</c:f>
              <c:numCache>
                <c:formatCode>General</c:formatCode>
                <c:ptCount val="204"/>
                <c:pt idx="0">
                  <c:v>10826.9640110534</c:v>
                </c:pt>
                <c:pt idx="1">
                  <c:v>10967.784992578599</c:v>
                </c:pt>
                <c:pt idx="2">
                  <c:v>10314.6846503078</c:v>
                </c:pt>
                <c:pt idx="3">
                  <c:v>9186.6862824249401</c:v>
                </c:pt>
                <c:pt idx="4">
                  <c:v>9584.3063855088494</c:v>
                </c:pt>
                <c:pt idx="5">
                  <c:v>9511.6287346898407</c:v>
                </c:pt>
                <c:pt idx="6">
                  <c:v>8832.8545141397008</c:v>
                </c:pt>
                <c:pt idx="7">
                  <c:v>9714.90485824606</c:v>
                </c:pt>
                <c:pt idx="8">
                  <c:v>11374.841513326999</c:v>
                </c:pt>
                <c:pt idx="9">
                  <c:v>11287.9036315759</c:v>
                </c:pt>
                <c:pt idx="10">
                  <c:v>12033.735704565401</c:v>
                </c:pt>
                <c:pt idx="11">
                  <c:v>9257.1165238975591</c:v>
                </c:pt>
                <c:pt idx="12">
                  <c:v>12211.582685412301</c:v>
                </c:pt>
                <c:pt idx="13">
                  <c:v>12195.476586012801</c:v>
                </c:pt>
                <c:pt idx="14">
                  <c:v>12234.2438039648</c:v>
                </c:pt>
                <c:pt idx="15">
                  <c:v>12235.325056683399</c:v>
                </c:pt>
                <c:pt idx="16">
                  <c:v>11294.5235855562</c:v>
                </c:pt>
                <c:pt idx="17">
                  <c:v>11455.402605298699</c:v>
                </c:pt>
                <c:pt idx="18">
                  <c:v>11237.670376508</c:v>
                </c:pt>
                <c:pt idx="19">
                  <c:v>11778.8770882957</c:v>
                </c:pt>
                <c:pt idx="20">
                  <c:v>12484.3737536553</c:v>
                </c:pt>
                <c:pt idx="21">
                  <c:v>12657.4402315116</c:v>
                </c:pt>
                <c:pt idx="22">
                  <c:v>12464.9180437498</c:v>
                </c:pt>
                <c:pt idx="23">
                  <c:v>12498.5788344956</c:v>
                </c:pt>
                <c:pt idx="24">
                  <c:v>12592.0222375101</c:v>
                </c:pt>
                <c:pt idx="25">
                  <c:v>12445.4937803841</c:v>
                </c:pt>
                <c:pt idx="26">
                  <c:v>12168.7605350705</c:v>
                </c:pt>
                <c:pt idx="27">
                  <c:v>10819.101948349</c:v>
                </c:pt>
                <c:pt idx="28">
                  <c:v>11625.9809710109</c:v>
                </c:pt>
                <c:pt idx="29">
                  <c:v>12823.161683398301</c:v>
                </c:pt>
                <c:pt idx="30">
                  <c:v>12881.0180655152</c:v>
                </c:pt>
                <c:pt idx="31">
                  <c:v>13336.269592430999</c:v>
                </c:pt>
                <c:pt idx="32">
                  <c:v>13639.149510848199</c:v>
                </c:pt>
                <c:pt idx="33">
                  <c:v>13322.102980269499</c:v>
                </c:pt>
                <c:pt idx="34">
                  <c:v>13345.423105722901</c:v>
                </c:pt>
                <c:pt idx="35">
                  <c:v>13664.586895822</c:v>
                </c:pt>
                <c:pt idx="36">
                  <c:v>13756.773823113201</c:v>
                </c:pt>
                <c:pt idx="37">
                  <c:v>13547.1400690623</c:v>
                </c:pt>
                <c:pt idx="38">
                  <c:v>13711.149792243999</c:v>
                </c:pt>
                <c:pt idx="39">
                  <c:v>12152.680071708401</c:v>
                </c:pt>
                <c:pt idx="40">
                  <c:v>11931.1115901707</c:v>
                </c:pt>
                <c:pt idx="41">
                  <c:v>12194.7478177139</c:v>
                </c:pt>
                <c:pt idx="42">
                  <c:v>12584.788688819201</c:v>
                </c:pt>
                <c:pt idx="43">
                  <c:v>13496.5162269145</c:v>
                </c:pt>
                <c:pt idx="44">
                  <c:v>14301.102150332301</c:v>
                </c:pt>
                <c:pt idx="45">
                  <c:v>17093.3047013496</c:v>
                </c:pt>
                <c:pt idx="46">
                  <c:v>15548.583260993</c:v>
                </c:pt>
                <c:pt idx="47">
                  <c:v>15375.847618010501</c:v>
                </c:pt>
                <c:pt idx="48">
                  <c:v>16139.868777293899</c:v>
                </c:pt>
                <c:pt idx="49">
                  <c:v>16255.780845625601</c:v>
                </c:pt>
                <c:pt idx="50">
                  <c:v>15706.2825962888</c:v>
                </c:pt>
                <c:pt idx="51">
                  <c:v>14389.8499676831</c:v>
                </c:pt>
                <c:pt idx="52">
                  <c:v>12193.7062252252</c:v>
                </c:pt>
                <c:pt idx="53">
                  <c:v>15290.0994198232</c:v>
                </c:pt>
                <c:pt idx="54">
                  <c:v>12988.064299731899</c:v>
                </c:pt>
                <c:pt idx="55">
                  <c:v>13971.2316644435</c:v>
                </c:pt>
                <c:pt idx="56">
                  <c:v>14835.674436347501</c:v>
                </c:pt>
                <c:pt idx="57">
                  <c:v>17750.590010586799</c:v>
                </c:pt>
                <c:pt idx="58">
                  <c:v>17249.3546438257</c:v>
                </c:pt>
                <c:pt idx="59">
                  <c:v>17191.629094247099</c:v>
                </c:pt>
                <c:pt idx="60">
                  <c:v>15369.0957575638</c:v>
                </c:pt>
                <c:pt idx="61">
                  <c:v>17599.408787652799</c:v>
                </c:pt>
                <c:pt idx="62">
                  <c:v>18036.1074240054</c:v>
                </c:pt>
                <c:pt idx="63">
                  <c:v>15004.606531117901</c:v>
                </c:pt>
                <c:pt idx="64">
                  <c:v>15020.596282648001</c:v>
                </c:pt>
                <c:pt idx="65">
                  <c:v>16465.309183952999</c:v>
                </c:pt>
                <c:pt idx="66">
                  <c:v>16572.060931343702</c:v>
                </c:pt>
                <c:pt idx="67">
                  <c:v>17755.976426923298</c:v>
                </c:pt>
                <c:pt idx="68">
                  <c:v>17617.928171896499</c:v>
                </c:pt>
                <c:pt idx="69">
                  <c:v>18463.807549061901</c:v>
                </c:pt>
                <c:pt idx="70">
                  <c:v>17826.618095554699</c:v>
                </c:pt>
                <c:pt idx="71">
                  <c:v>17424.130544865398</c:v>
                </c:pt>
                <c:pt idx="72">
                  <c:v>17775.4819012556</c:v>
                </c:pt>
                <c:pt idx="73">
                  <c:v>13607.3404599683</c:v>
                </c:pt>
                <c:pt idx="74">
                  <c:v>9782.1842575116698</c:v>
                </c:pt>
                <c:pt idx="75">
                  <c:v>9696.2129881171095</c:v>
                </c:pt>
                <c:pt idx="76">
                  <c:v>9857.34564799484</c:v>
                </c:pt>
                <c:pt idx="77">
                  <c:v>19483.136608390199</c:v>
                </c:pt>
                <c:pt idx="78">
                  <c:v>20014.546658020899</c:v>
                </c:pt>
                <c:pt idx="79">
                  <c:v>21227.590653302199</c:v>
                </c:pt>
                <c:pt idx="80">
                  <c:v>21842.204991289102</c:v>
                </c:pt>
                <c:pt idx="81">
                  <c:v>20525.494803205002</c:v>
                </c:pt>
                <c:pt idx="82">
                  <c:v>21163.963822366299</c:v>
                </c:pt>
                <c:pt idx="83">
                  <c:v>21000.188811468899</c:v>
                </c:pt>
                <c:pt idx="84">
                  <c:v>22957.520282272701</c:v>
                </c:pt>
                <c:pt idx="85">
                  <c:v>23152.172899544399</c:v>
                </c:pt>
                <c:pt idx="86">
                  <c:v>13702.830428176099</c:v>
                </c:pt>
                <c:pt idx="87">
                  <c:v>11632.9763394238</c:v>
                </c:pt>
                <c:pt idx="88">
                  <c:v>15569.1143573115</c:v>
                </c:pt>
                <c:pt idx="89">
                  <c:v>18843.4846412919</c:v>
                </c:pt>
                <c:pt idx="90">
                  <c:v>12362.279440541601</c:v>
                </c:pt>
                <c:pt idx="91">
                  <c:v>25304.695625406599</c:v>
                </c:pt>
                <c:pt idx="92">
                  <c:v>24021.9466285692</c:v>
                </c:pt>
                <c:pt idx="93">
                  <c:v>24125.6609618658</c:v>
                </c:pt>
                <c:pt idx="94">
                  <c:v>25537.6413312855</c:v>
                </c:pt>
                <c:pt idx="95">
                  <c:v>23631.5071534204</c:v>
                </c:pt>
                <c:pt idx="96">
                  <c:v>13166.3364493349</c:v>
                </c:pt>
                <c:pt idx="97">
                  <c:v>13008.957628304899</c:v>
                </c:pt>
                <c:pt idx="98">
                  <c:v>12754.592937798699</c:v>
                </c:pt>
                <c:pt idx="99">
                  <c:v>14376.3656335506</c:v>
                </c:pt>
                <c:pt idx="100">
                  <c:v>12516.456341725199</c:v>
                </c:pt>
                <c:pt idx="101">
                  <c:v>12496.5809897298</c:v>
                </c:pt>
                <c:pt idx="102">
                  <c:v>12486.4864380944</c:v>
                </c:pt>
                <c:pt idx="103">
                  <c:v>14017.8946245725</c:v>
                </c:pt>
                <c:pt idx="104">
                  <c:v>12985.360562882999</c:v>
                </c:pt>
                <c:pt idx="105">
                  <c:v>12986.9592503885</c:v>
                </c:pt>
                <c:pt idx="106">
                  <c:v>11019.387978980199</c:v>
                </c:pt>
                <c:pt idx="107">
                  <c:v>10988.994902967999</c:v>
                </c:pt>
                <c:pt idx="108">
                  <c:v>11000.3744007844</c:v>
                </c:pt>
                <c:pt idx="109">
                  <c:v>10542.7539193879</c:v>
                </c:pt>
                <c:pt idx="110">
                  <c:v>9980.9362021228808</c:v>
                </c:pt>
                <c:pt idx="111">
                  <c:v>9983.4436438551893</c:v>
                </c:pt>
                <c:pt idx="112">
                  <c:v>12483.805797355801</c:v>
                </c:pt>
                <c:pt idx="113">
                  <c:v>12511.1228070506</c:v>
                </c:pt>
                <c:pt idx="114">
                  <c:v>12507.990223833</c:v>
                </c:pt>
                <c:pt idx="115">
                  <c:v>13143.7049829482</c:v>
                </c:pt>
                <c:pt idx="116">
                  <c:v>13136.613347087599</c:v>
                </c:pt>
                <c:pt idx="117">
                  <c:v>13143.956446313699</c:v>
                </c:pt>
                <c:pt idx="118">
                  <c:v>12500.034543600201</c:v>
                </c:pt>
                <c:pt idx="119">
                  <c:v>12512.984219526201</c:v>
                </c:pt>
                <c:pt idx="120">
                  <c:v>13748.6165451302</c:v>
                </c:pt>
                <c:pt idx="121">
                  <c:v>13767.6836946612</c:v>
                </c:pt>
                <c:pt idx="122">
                  <c:v>13131.679596874799</c:v>
                </c:pt>
                <c:pt idx="123">
                  <c:v>11801.917810619099</c:v>
                </c:pt>
                <c:pt idx="124">
                  <c:v>12318.6248135229</c:v>
                </c:pt>
                <c:pt idx="125">
                  <c:v>10985.8489480428</c:v>
                </c:pt>
                <c:pt idx="126">
                  <c:v>11009.3978717727</c:v>
                </c:pt>
                <c:pt idx="127">
                  <c:v>11314.567218000901</c:v>
                </c:pt>
                <c:pt idx="128">
                  <c:v>10995.9405083534</c:v>
                </c:pt>
                <c:pt idx="129">
                  <c:v>11011.979660471799</c:v>
                </c:pt>
                <c:pt idx="130">
                  <c:v>11818.955682407201</c:v>
                </c:pt>
                <c:pt idx="131">
                  <c:v>9980.9986672910109</c:v>
                </c:pt>
                <c:pt idx="132">
                  <c:v>11016.870991182501</c:v>
                </c:pt>
                <c:pt idx="133">
                  <c:v>9983.1614112402003</c:v>
                </c:pt>
                <c:pt idx="134">
                  <c:v>10517.953368700701</c:v>
                </c:pt>
                <c:pt idx="135">
                  <c:v>10000.4782236068</c:v>
                </c:pt>
                <c:pt idx="136">
                  <c:v>9486.7257109707607</c:v>
                </c:pt>
                <c:pt idx="137">
                  <c:v>9511.7330506097096</c:v>
                </c:pt>
                <c:pt idx="138">
                  <c:v>8682.4517821835798</c:v>
                </c:pt>
                <c:pt idx="139">
                  <c:v>8501.8513671631008</c:v>
                </c:pt>
                <c:pt idx="140">
                  <c:v>9015.5339200978906</c:v>
                </c:pt>
                <c:pt idx="141">
                  <c:v>11481.3055820068</c:v>
                </c:pt>
                <c:pt idx="142">
                  <c:v>11518.205015293201</c:v>
                </c:pt>
                <c:pt idx="143">
                  <c:v>11514.796010836601</c:v>
                </c:pt>
                <c:pt idx="144">
                  <c:v>11005.8148306888</c:v>
                </c:pt>
                <c:pt idx="145">
                  <c:v>9991.6869332598508</c:v>
                </c:pt>
                <c:pt idx="146">
                  <c:v>10018.8244671507</c:v>
                </c:pt>
                <c:pt idx="147">
                  <c:v>10014.7464146742</c:v>
                </c:pt>
                <c:pt idx="148">
                  <c:v>11491.9414816807</c:v>
                </c:pt>
                <c:pt idx="149">
                  <c:v>9981.7166691036691</c:v>
                </c:pt>
                <c:pt idx="150">
                  <c:v>10010.049563676101</c:v>
                </c:pt>
                <c:pt idx="151">
                  <c:v>9297.2417760750104</c:v>
                </c:pt>
                <c:pt idx="152">
                  <c:v>10018.377330343899</c:v>
                </c:pt>
                <c:pt idx="153">
                  <c:v>10018.527104356001</c:v>
                </c:pt>
                <c:pt idx="154">
                  <c:v>10009.140276063699</c:v>
                </c:pt>
                <c:pt idx="155">
                  <c:v>9090.0082192930404</c:v>
                </c:pt>
                <c:pt idx="156">
                  <c:v>9005.7071581515593</c:v>
                </c:pt>
                <c:pt idx="157">
                  <c:v>9443.9491102750198</c:v>
                </c:pt>
                <c:pt idx="158">
                  <c:v>10057.5895031208</c:v>
                </c:pt>
                <c:pt idx="159">
                  <c:v>11370.568611074101</c:v>
                </c:pt>
                <c:pt idx="160">
                  <c:v>10457.3979232481</c:v>
                </c:pt>
                <c:pt idx="161">
                  <c:v>9285.7555290119308</c:v>
                </c:pt>
                <c:pt idx="162">
                  <c:v>9058.7366405960893</c:v>
                </c:pt>
                <c:pt idx="163">
                  <c:v>9393.7974035745192</c:v>
                </c:pt>
                <c:pt idx="164">
                  <c:v>9478.7090144969607</c:v>
                </c:pt>
                <c:pt idx="165">
                  <c:v>9563.3482828430206</c:v>
                </c:pt>
                <c:pt idx="166">
                  <c:v>9803.4264601938103</c:v>
                </c:pt>
                <c:pt idx="167">
                  <c:v>9754.0374627311194</c:v>
                </c:pt>
                <c:pt idx="168">
                  <c:v>8998.67685438222</c:v>
                </c:pt>
                <c:pt idx="169">
                  <c:v>8501.6494525622093</c:v>
                </c:pt>
                <c:pt idx="170">
                  <c:v>8978.5729925646301</c:v>
                </c:pt>
                <c:pt idx="171">
                  <c:v>10298.201443907201</c:v>
                </c:pt>
                <c:pt idx="172">
                  <c:v>10875.385910916501</c:v>
                </c:pt>
                <c:pt idx="173">
                  <c:v>10816.7230819987</c:v>
                </c:pt>
                <c:pt idx="174">
                  <c:v>10935.1524455256</c:v>
                </c:pt>
                <c:pt idx="175">
                  <c:v>11267.232810527201</c:v>
                </c:pt>
                <c:pt idx="176">
                  <c:v>12319.340828742501</c:v>
                </c:pt>
                <c:pt idx="177">
                  <c:v>12018.6198845616</c:v>
                </c:pt>
                <c:pt idx="178">
                  <c:v>12018.958627218601</c:v>
                </c:pt>
                <c:pt idx="179">
                  <c:v>11744.1923074964</c:v>
                </c:pt>
                <c:pt idx="180">
                  <c:v>11768.95356</c:v>
                </c:pt>
                <c:pt idx="181">
                  <c:v>9990.8197110000001</c:v>
                </c:pt>
                <c:pt idx="182">
                  <c:v>12195.22457</c:v>
                </c:pt>
                <c:pt idx="183">
                  <c:v>14424.00877</c:v>
                </c:pt>
                <c:pt idx="184">
                  <c:v>12483.040499999999</c:v>
                </c:pt>
                <c:pt idx="185">
                  <c:v>11999.52204</c:v>
                </c:pt>
                <c:pt idx="186">
                  <c:v>12336.863450000001</c:v>
                </c:pt>
                <c:pt idx="187">
                  <c:v>14236.544540000001</c:v>
                </c:pt>
                <c:pt idx="188">
                  <c:v>12985.14567</c:v>
                </c:pt>
                <c:pt idx="189">
                  <c:v>14619.821019999999</c:v>
                </c:pt>
                <c:pt idx="190">
                  <c:v>14236.544540000001</c:v>
                </c:pt>
                <c:pt idx="191">
                  <c:v>12919.7736</c:v>
                </c:pt>
                <c:pt idx="192">
                  <c:v>12902.80154</c:v>
                </c:pt>
                <c:pt idx="193">
                  <c:v>12885.46939</c:v>
                </c:pt>
                <c:pt idx="194">
                  <c:v>12867.80178</c:v>
                </c:pt>
                <c:pt idx="195">
                  <c:v>12849.825940000001</c:v>
                </c:pt>
                <c:pt idx="196">
                  <c:v>12831.57156</c:v>
                </c:pt>
                <c:pt idx="197">
                  <c:v>12813.070530000001</c:v>
                </c:pt>
                <c:pt idx="198">
                  <c:v>12794.356739999999</c:v>
                </c:pt>
                <c:pt idx="199">
                  <c:v>12775.465770000001</c:v>
                </c:pt>
                <c:pt idx="200">
                  <c:v>12756.43453</c:v>
                </c:pt>
                <c:pt idx="201">
                  <c:v>12737.30097</c:v>
                </c:pt>
                <c:pt idx="202">
                  <c:v>12718.10362</c:v>
                </c:pt>
                <c:pt idx="203">
                  <c:v>12698.881289999999</c:v>
                </c:pt>
              </c:numCache>
            </c:numRef>
          </c:val>
          <c:smooth val="0"/>
          <c:extLst>
            <c:ext xmlns:c16="http://schemas.microsoft.com/office/drawing/2014/chart" uri="{C3380CC4-5D6E-409C-BE32-E72D297353CC}">
              <c16:uniqueId val="{00000003-D9EE-4C7B-84E5-7D0F30C743BF}"/>
            </c:ext>
          </c:extLst>
        </c:ser>
        <c:dLbls>
          <c:showLegendKey val="0"/>
          <c:showVal val="0"/>
          <c:showCatName val="0"/>
          <c:showSerName val="0"/>
          <c:showPercent val="0"/>
          <c:showBubbleSize val="0"/>
        </c:dLbls>
        <c:smooth val="0"/>
        <c:axId val="212859520"/>
        <c:axId val="232850176"/>
      </c:lineChart>
      <c:catAx>
        <c:axId val="212859520"/>
        <c:scaling>
          <c:orientation val="minMax"/>
        </c:scaling>
        <c:delete val="0"/>
        <c:axPos val="b"/>
        <c:title>
          <c:tx>
            <c:rich>
              <a:bodyPr rot="0" vert="horz"/>
              <a:lstStyle/>
              <a:p>
                <a:pPr>
                  <a:defRPr/>
                </a:pPr>
                <a:r>
                  <a:rPr lang="en-US"/>
                  <a:t>Time (Years/Months)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32850176"/>
        <c:crosses val="autoZero"/>
        <c:auto val="1"/>
        <c:lblAlgn val="ctr"/>
        <c:lblOffset val="100"/>
        <c:noMultiLvlLbl val="0"/>
      </c:catAx>
      <c:valAx>
        <c:axId val="232850176"/>
        <c:scaling>
          <c:orientation val="minMax"/>
        </c:scaling>
        <c:delete val="0"/>
        <c:axPos val="l"/>
        <c:title>
          <c:tx>
            <c:rich>
              <a:bodyPr rot="-5400000" vert="horz"/>
              <a:lstStyle/>
              <a:p>
                <a:pPr>
                  <a:defRPr/>
                </a:pPr>
                <a:r>
                  <a:rPr lang="en-IN"/>
                  <a:t>Prices (Rs. /qtl)</a:t>
                </a:r>
              </a:p>
            </c:rich>
          </c:tx>
          <c:overlay val="0"/>
          <c:spPr>
            <a:noFill/>
            <a:ln>
              <a:noFill/>
            </a:ln>
            <a:effectLst/>
          </c:spPr>
        </c:title>
        <c:numFmt formatCode="0" sourceLinked="1"/>
        <c:majorTickMark val="none"/>
        <c:minorTickMark val="none"/>
        <c:tickLblPos val="nextTo"/>
        <c:spPr>
          <a:noFill/>
          <a:ln>
            <a:noFill/>
          </a:ln>
          <a:effectLst/>
        </c:spPr>
        <c:txPr>
          <a:bodyPr rot="-60000000" vert="horz"/>
          <a:lstStyle/>
          <a:p>
            <a:pPr>
              <a:defRPr/>
            </a:pPr>
            <a:endParaRPr lang="en-US"/>
          </a:p>
        </c:txPr>
        <c:crossAx val="212859520"/>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93418-B3FC-44AB-84B9-37D6BADE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15</Pages>
  <Words>4337</Words>
  <Characters>24724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Sowmya Chowduru</dc:creator>
  <cp:lastModifiedBy>Editor-1183</cp:lastModifiedBy>
  <cp:revision>104</cp:revision>
  <cp:lastPrinted>2026-05-13T12:16:00Z</cp:lastPrinted>
  <dcterms:created xsi:type="dcterms:W3CDTF">2026-05-11T11:11:00Z</dcterms:created>
  <dcterms:modified xsi:type="dcterms:W3CDTF">2026-05-26T08:12:00Z</dcterms:modified>
</cp:coreProperties>
</file>