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40287" w14:textId="14BF2A4E" w:rsidR="00296B46" w:rsidRDefault="005F7900" w:rsidP="009B7B5D">
      <w:pPr>
        <w:spacing w:after="0" w:line="240" w:lineRule="auto"/>
        <w:jc w:val="center"/>
        <w:rPr>
          <w:rFonts w:ascii="Times New Roman" w:eastAsia="Times New Roman" w:hAnsi="Times New Roman" w:cs="Times New Roman"/>
          <w:kern w:val="0"/>
          <w:sz w:val="24"/>
          <w:szCs w:val="24"/>
          <w:lang w:eastAsia="en-IN"/>
          <w14:ligatures w14:val="none"/>
        </w:rPr>
      </w:pPr>
      <w:r w:rsidRPr="005F7900">
        <w:rPr>
          <w:rFonts w:ascii="Times New Roman" w:eastAsia="Times New Roman" w:hAnsi="Times New Roman" w:cs="Times New Roman"/>
          <w:b/>
          <w:bCs/>
          <w:kern w:val="0"/>
          <w:sz w:val="28"/>
          <w:szCs w:val="28"/>
          <w:lang w:eastAsia="en-IN"/>
          <w14:ligatures w14:val="none"/>
        </w:rPr>
        <w:t>Advancing Agribusiness Value Chains through Farmer Producer Organizations: A Critical Review of Opportunities, Constraints and Policy Support</w:t>
      </w:r>
      <w:r w:rsidR="00E46CFC" w:rsidRPr="00E46CFC">
        <w:rPr>
          <w:rFonts w:ascii="Times New Roman" w:eastAsia="Times New Roman" w:hAnsi="Times New Roman" w:cs="Times New Roman"/>
          <w:kern w:val="0"/>
          <w:sz w:val="24"/>
          <w:szCs w:val="24"/>
          <w:lang w:eastAsia="en-IN"/>
          <w14:ligatures w14:val="none"/>
        </w:rPr>
        <w:br/>
      </w:r>
    </w:p>
    <w:p w14:paraId="49B54A55" w14:textId="77777777" w:rsidR="006A5124" w:rsidRDefault="006A5124" w:rsidP="00E46CFC">
      <w:pPr>
        <w:spacing w:after="0" w:line="240" w:lineRule="auto"/>
        <w:jc w:val="center"/>
        <w:rPr>
          <w:rFonts w:ascii="Times New Roman" w:eastAsia="Times New Roman" w:hAnsi="Times New Roman" w:cs="Times New Roman"/>
          <w:kern w:val="0"/>
          <w:sz w:val="24"/>
          <w:szCs w:val="24"/>
          <w:lang w:eastAsia="en-IN"/>
          <w14:ligatures w14:val="none"/>
        </w:rPr>
      </w:pPr>
    </w:p>
    <w:p w14:paraId="143DD110" w14:textId="77777777" w:rsidR="006A5124" w:rsidRPr="006A5124" w:rsidRDefault="006A5124" w:rsidP="006A5124">
      <w:pPr>
        <w:spacing w:after="0" w:line="240" w:lineRule="auto"/>
        <w:jc w:val="both"/>
        <w:rPr>
          <w:rFonts w:ascii="Times New Roman" w:eastAsia="Times New Roman" w:hAnsi="Symbol" w:cs="Times New Roman"/>
          <w:b/>
          <w:bCs/>
          <w:kern w:val="0"/>
          <w:sz w:val="24"/>
          <w:szCs w:val="24"/>
          <w:lang w:eastAsia="en-IN"/>
          <w14:ligatures w14:val="none"/>
        </w:rPr>
      </w:pPr>
      <w:r w:rsidRPr="006A5124">
        <w:rPr>
          <w:rFonts w:ascii="Times New Roman" w:eastAsia="Times New Roman" w:hAnsi="Symbol" w:cs="Times New Roman"/>
          <w:b/>
          <w:bCs/>
          <w:kern w:val="0"/>
          <w:sz w:val="28"/>
          <w:szCs w:val="28"/>
          <w:lang w:eastAsia="en-IN"/>
          <w14:ligatures w14:val="none"/>
        </w:rPr>
        <w:t>Abstract</w:t>
      </w:r>
    </w:p>
    <w:p w14:paraId="364C6CEE" w14:textId="77777777" w:rsidR="00331AA7" w:rsidRDefault="00331AA7" w:rsidP="00331AA7">
      <w:pPr>
        <w:spacing w:after="0" w:line="240" w:lineRule="auto"/>
        <w:jc w:val="both"/>
        <w:rPr>
          <w:rFonts w:ascii="Times New Roman" w:eastAsia="Times New Roman" w:hAnsi="Times New Roman" w:cs="Times New Roman"/>
          <w:kern w:val="0"/>
          <w:sz w:val="24"/>
          <w:szCs w:val="24"/>
          <w:lang w:eastAsia="en-IN"/>
          <w14:ligatures w14:val="none"/>
        </w:rPr>
      </w:pPr>
      <w:r w:rsidRPr="00331AA7">
        <w:rPr>
          <w:rFonts w:ascii="Times New Roman" w:eastAsia="Times New Roman" w:hAnsi="Times New Roman" w:cs="Times New Roman"/>
          <w:kern w:val="0"/>
          <w:sz w:val="24"/>
          <w:szCs w:val="24"/>
          <w:lang w:eastAsia="en-IN"/>
          <w14:ligatures w14:val="none"/>
        </w:rPr>
        <w:t>Farmer Producer Organizations (FPOs) have emerged as important institutional mechanisms for strengthening agribusiness value chains and improving the socio-economic conditions of small and marginal farmers in developing economies. This review critically examines the role of FPOs in enhancing market participation, collective bargaining, value addition, and sustainable agricultural development. The study is based on a comprehensive review of secondary literature, including academic journals, institutional reports, and policy documents related to agricultural commercialization, collective action, and rural development. The findings indicate that FPOs contribute significantly to reducing transaction costs, improving access to quality inputs, strengthening market linkages, and facilitating financial inclusion for farmers. FPOs also encourage value addition, rural entrepreneurship, women’s empowerment, and climate-resilient agricultural practices. However, the review identifies several challenges affecting their long-term sustainability, including weak governance, inadequate managerial capacity, limited infrastructure, insufficient institutional finance, and policy implementation gaps. Comparative evidence from India and other developing countries further highlights the importance of professional management, digital integration, and strong institutional support in ensuring successful FPO performance. The study concludes that well-supported and efficiently managed FPOs can play a transformative role in building inclusive, competitive, and sustainable agribusiness value chains.</w:t>
      </w:r>
    </w:p>
    <w:p w14:paraId="555DBC84" w14:textId="77777777" w:rsidR="001F3DEC" w:rsidRDefault="001F3DEC" w:rsidP="00331AA7">
      <w:pPr>
        <w:spacing w:after="0" w:line="240" w:lineRule="auto"/>
        <w:jc w:val="both"/>
        <w:rPr>
          <w:rFonts w:ascii="Times New Roman" w:eastAsia="Times New Roman" w:hAnsi="Times New Roman" w:cs="Times New Roman"/>
          <w:kern w:val="0"/>
          <w:sz w:val="24"/>
          <w:szCs w:val="24"/>
          <w:lang w:eastAsia="en-IN"/>
          <w14:ligatures w14:val="none"/>
        </w:rPr>
      </w:pPr>
    </w:p>
    <w:p w14:paraId="2F0401BF" w14:textId="0D3E9E52" w:rsidR="006A5124" w:rsidRDefault="006A5124" w:rsidP="006A5124">
      <w:pPr>
        <w:spacing w:after="0" w:line="240" w:lineRule="auto"/>
        <w:rPr>
          <w:rFonts w:ascii="Times New Roman" w:eastAsia="Times New Roman" w:hAnsi="Times New Roman" w:cs="Times New Roman"/>
          <w:kern w:val="0"/>
          <w:sz w:val="24"/>
          <w:szCs w:val="24"/>
          <w:lang w:eastAsia="en-IN"/>
          <w14:ligatures w14:val="none"/>
        </w:rPr>
      </w:pPr>
      <w:r w:rsidRPr="006A5124">
        <w:rPr>
          <w:rFonts w:ascii="Times New Roman" w:eastAsia="Times New Roman" w:hAnsi="Symbol" w:cs="Times New Roman"/>
          <w:b/>
          <w:bCs/>
          <w:kern w:val="0"/>
          <w:sz w:val="24"/>
          <w:szCs w:val="24"/>
          <w:lang w:eastAsia="en-IN"/>
          <w14:ligatures w14:val="none"/>
        </w:rPr>
        <w:t>Keywords:</w:t>
      </w:r>
      <w:r w:rsidRPr="006A5124">
        <w:rPr>
          <w:rFonts w:ascii="Times New Roman" w:eastAsia="Times New Roman" w:hAnsi="Times New Roman" w:cs="Times New Roman"/>
          <w:kern w:val="0"/>
          <w:sz w:val="24"/>
          <w:szCs w:val="24"/>
          <w:lang w:eastAsia="en-IN"/>
          <w14:ligatures w14:val="none"/>
        </w:rPr>
        <w:t xml:space="preserve"> Smallholder Farmers</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Agricultural Commercialization</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Market Linkages</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Rural Entrepreneurship</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Sustainable Agriculture</w:t>
      </w:r>
    </w:p>
    <w:p w14:paraId="42DD43F5" w14:textId="77777777" w:rsidR="001F3DEC" w:rsidRDefault="001F3DEC" w:rsidP="006A5124">
      <w:pPr>
        <w:spacing w:after="0" w:line="240" w:lineRule="auto"/>
        <w:rPr>
          <w:rFonts w:ascii="Times New Roman" w:eastAsia="Times New Roman" w:hAnsi="Times New Roman" w:cs="Times New Roman"/>
          <w:kern w:val="0"/>
          <w:sz w:val="24"/>
          <w:szCs w:val="24"/>
          <w:lang w:eastAsia="en-IN"/>
          <w14:ligatures w14:val="none"/>
        </w:rPr>
      </w:pPr>
    </w:p>
    <w:p w14:paraId="7EC99714" w14:textId="77777777" w:rsid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 Introduction</w:t>
      </w:r>
    </w:p>
    <w:p w14:paraId="4DDFE471" w14:textId="77777777" w:rsidR="001F3DEC" w:rsidRPr="004C4A5B" w:rsidRDefault="001F3DEC" w:rsidP="00296B46">
      <w:pPr>
        <w:spacing w:after="0" w:line="240" w:lineRule="auto"/>
        <w:jc w:val="both"/>
        <w:rPr>
          <w:rFonts w:ascii="Times New Roman" w:eastAsia="Times New Roman" w:hAnsi="Times New Roman" w:cs="Times New Roman"/>
          <w:b/>
          <w:bCs/>
          <w:kern w:val="0"/>
          <w:sz w:val="24"/>
          <w:szCs w:val="24"/>
          <w:lang w:eastAsia="en-IN"/>
          <w14:ligatures w14:val="none"/>
        </w:rPr>
      </w:pPr>
    </w:p>
    <w:p w14:paraId="16B5D1C7" w14:textId="77777777" w:rsidR="00296B46" w:rsidRPr="004C4A5B"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1.1 Background and Context</w:t>
      </w:r>
    </w:p>
    <w:p w14:paraId="583D8E57"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Agriculture continues to be the backbone of rural livelihoods in many developing countries, yet small and marginal farmers often remain disconnected from profitable markets and modern agribusiness systems. Fragmented landholdings, limited access to quality inputs, inadequate storage and transportation facilities, and weak bargaining power restrict farmers from participating effectively in value chains. Increasing commercialization and globalization of agriculture have further intensified the need for efficient agribusiness value chains that can ensure better market integration, reduced transaction costs, and improved income opportunities for producers. Studies have shown that market imperfections, poor institutional support, and lack of collective bargaining significantly constrain smallholder participation in modern supply chains (Barrett, 2008; Shiferaw et al., 2011).</w:t>
      </w:r>
    </w:p>
    <w:p w14:paraId="4C8A91A5"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In response to these challenges, collective action models such as cooperatives and Farmer Producer Organizations (FPOs) have emerged as important institutional mechanisms for strengthening farmers’ market participation. Collective institutions enable farmers to pool resources, reduce production and marketing risks, and improve access to information, credit, and technologies (Ostrom, 1990; Markelova et al., 2009). The growing emphasis on inclusive agribusiness development has therefore increased policy interest in FPO-led value chain integration.</w:t>
      </w:r>
    </w:p>
    <w:p w14:paraId="7B02524F" w14:textId="77777777" w:rsidR="00296B46" w:rsidRPr="004C4A5B"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1.2 Concept and Evolution of Farmer Producer Organizations</w:t>
      </w:r>
    </w:p>
    <w:p w14:paraId="231CAC11"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lastRenderedPageBreak/>
        <w:t>Farmer Producer Organizations are member-based institutions formed by primary producers with the objective of improving their economic and social welfare through collective action. FPOs generally operate as legally registered entities that aggregate produce, facilitate input procurement, provide extension services, and establish market linkages for member farmers. Unlike traditional informal farmer groups, FPOs are professionally managed and business-oriented institutions that combine cooperative values with entrepreneurial approaches (Trebbin &amp; Hassler, 2012).</w:t>
      </w:r>
    </w:p>
    <w:p w14:paraId="1E01DC53"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Historically, collective farming and producer associations have existed in different forms across the world. Early agricultural cooperatives primarily focused on mutual assistance and resource sharing. Over time, changing market dynamics and agribusiness expansion encouraged the evolution of more commercially driven producer organizations. The emergence of FPOs in countries such as India reflects efforts to modernize farmer collectives and align them with competitive market systems (Ghosh &amp; Maharjan, 2019).</w:t>
      </w:r>
    </w:p>
    <w:p w14:paraId="486E0EF4"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Although FPOs share similarities with cooperatives, important differences exist between the two models. Traditional cooperatives are often criticized for bureaucratic functioning, political interference, and weak accountability structures (Ortmann &amp; King, 2007). In contrast, FPOs are designed to function as farmer-owned business enterprises with greater managerial flexibility, professional governance, and market orientation. This distinction allows FPOs to respond more effectively to evolving agribusiness opportunities.</w:t>
      </w:r>
    </w:p>
    <w:p w14:paraId="41408653" w14:textId="77777777" w:rsidR="00296B46" w:rsidRPr="004C4A5B"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1.3 Importance of FPOs in Agribusiness Development</w:t>
      </w:r>
    </w:p>
    <w:p w14:paraId="636DF644"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FPOs play a critical role in strengthening agribusiness value chains by facilitating aggregation of produce and collective procurement of agricultural inputs. Through aggregation, smallholders can achieve economies of scale, reduce transportation and marketing costs, and negotiate better prices in the marketplace (Hellin et al., 2009). Collective procurement of seeds, fertilizers, and machinery also lowers production costs and improves access to quality inputs.</w:t>
      </w:r>
    </w:p>
    <w:p w14:paraId="0C8D7FEC"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Another significant contribution of FPOs is the enhancement of farmers’ bargaining power within agricultural markets. Individual smallholders often face exploitation from intermediaries due to weak negotiating capacity and inadequate market information. By organizing producers collectively, FPOs improve farmers’ access to organized retail markets, processors, exporters, and contract farming arrangements (Trebbin, 2014). Empirical studies indicate that participation in producer organizations positively influences productivity, technical efficiency, and household income (Abate et al., 2014; Ma et al., 2022).</w:t>
      </w:r>
    </w:p>
    <w:p w14:paraId="2B7145D2"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FPOs also promote entrepreneurship, rural employment, and inclusive development. They encourage value addition activities such as grading, processing, packaging, and branding, thereby creating employment opportunities in rural areas. Women’s participation in collective enterprises has additionally contributed to social empowerment and community development (Datta &amp; Gailey, 2012). Thus, FPOs are increasingly viewed as catalysts for sustainable agribusiness transformation.</w:t>
      </w:r>
    </w:p>
    <w:p w14:paraId="33904EE6" w14:textId="77777777" w:rsidR="00296B46" w:rsidRPr="004C4A5B"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1.4 Rationale of the Review</w:t>
      </w:r>
    </w:p>
    <w:p w14:paraId="422F9D94"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Despite the growing recognition of FPOs, their overall effectiveness in strengthening agribusiness value chains remains uneven across regions and commodities. Several studies highlight challenges related to inadequate managerial capacity, financial constraints, poor infrastructure, weak governance, and limited access to institutional credit (Pandey &amp; Singh, 2022). Furthermore, many FPOs struggle to establish sustainable market linkages and compete with private agribusiness firms. Existing literature often focuses either on cooperative performance or market participation, while comprehensive reviews examining FPOs within the broader context of value chain integration and policy support remain limited. Therefore, a critical review is necessary to evaluate the opportunities, constraints, and long-term sustainability of FPO-led agribusiness development.</w:t>
      </w:r>
    </w:p>
    <w:p w14:paraId="37BD104E" w14:textId="77777777" w:rsidR="00296B46" w:rsidRPr="004C4A5B"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1.5 Objectives of the Review</w:t>
      </w:r>
    </w:p>
    <w:p w14:paraId="6B275C7F" w14:textId="77777777" w:rsidR="00296B46" w:rsidRPr="004C4A5B"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lastRenderedPageBreak/>
        <w:t>This review aims to critically analyze the contribution of Farmer Producer Organizations in strengthening agribusiness value chains and improving smallholder market participation. It further seeks to identify the major opportunities and constraints influencing FPO performance, including institutional, financial, and governance-related challenges. Finally, the review examines policy implications and future strategies required for sustainable and inclusive development of FPOs in modern agriculture.</w:t>
      </w:r>
    </w:p>
    <w:p w14:paraId="60145E02" w14:textId="77777777" w:rsidR="00296B46" w:rsidRPr="00296B46" w:rsidRDefault="00296B46" w:rsidP="00296B46">
      <w:pPr>
        <w:spacing w:after="0" w:line="240" w:lineRule="auto"/>
        <w:jc w:val="both"/>
        <w:rPr>
          <w:rFonts w:ascii="Times New Roman" w:eastAsia="Times New Roman" w:hAnsi="Times New Roman" w:cs="Times New Roman"/>
          <w:vanish/>
          <w:kern w:val="0"/>
          <w:sz w:val="24"/>
          <w:szCs w:val="24"/>
          <w:lang w:eastAsia="en-IN"/>
          <w14:ligatures w14:val="none"/>
        </w:rPr>
      </w:pPr>
      <w:r w:rsidRPr="00296B46">
        <w:rPr>
          <w:rFonts w:ascii="Times New Roman" w:eastAsia="Times New Roman" w:hAnsi="Times New Roman" w:cs="Times New Roman"/>
          <w:vanish/>
          <w:kern w:val="0"/>
          <w:sz w:val="24"/>
          <w:szCs w:val="24"/>
          <w:lang w:eastAsia="en-IN"/>
          <w14:ligatures w14:val="none"/>
        </w:rPr>
        <w:t>Top of Form</w:t>
      </w:r>
    </w:p>
    <w:p w14:paraId="086765E5" w14:textId="77777777" w:rsidR="00296B46" w:rsidRPr="00296B46" w:rsidRDefault="00296B46" w:rsidP="00296B46">
      <w:pPr>
        <w:spacing w:after="0" w:line="240" w:lineRule="auto"/>
        <w:jc w:val="both"/>
        <w:rPr>
          <w:rFonts w:ascii="Times New Roman" w:eastAsia="Times New Roman" w:hAnsi="Times New Roman" w:cs="Times New Roman"/>
          <w:vanish/>
          <w:kern w:val="0"/>
          <w:sz w:val="24"/>
          <w:szCs w:val="24"/>
          <w:lang w:eastAsia="en-IN"/>
          <w14:ligatures w14:val="none"/>
        </w:rPr>
      </w:pPr>
      <w:r w:rsidRPr="00296B46">
        <w:rPr>
          <w:rFonts w:ascii="Times New Roman" w:eastAsia="Times New Roman" w:hAnsi="Times New Roman" w:cs="Times New Roman"/>
          <w:vanish/>
          <w:kern w:val="0"/>
          <w:sz w:val="24"/>
          <w:szCs w:val="24"/>
          <w:lang w:eastAsia="en-IN"/>
          <w14:ligatures w14:val="none"/>
        </w:rPr>
        <w:t>Bottom of Form</w:t>
      </w:r>
    </w:p>
    <w:p w14:paraId="340E617D"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2. Methodology</w:t>
      </w:r>
    </w:p>
    <w:p w14:paraId="26BEDA0B"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2.1 Nature of the Study</w:t>
      </w:r>
    </w:p>
    <w:p w14:paraId="02BFA57A"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This study adopts a review-based analytical approach to examine the contribution of Farmer Producer Organizations (FPOs) in strengthening agribusiness value chains. The analysis is primarily grounded in secondary literature drawn from academic studies, institutional reports, and policy documents related to farmer collectives, agricultural commercialization, and value-chain development. A review-oriented methodology was considered appropriate because FPOs have increasingly emerged as important institutional platforms for improving market participation, strengthening collective bargaining, and integrating small and marginal farmers into modern agribusiness systems (Agarwal, 2021; Nikam et al., 2021).</w:t>
      </w:r>
    </w:p>
    <w:p w14:paraId="0D3BE5C2"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study goes beyond descriptive narration by critically synthesizing findings from diverse empirical and conceptual studies conducted across different regions and agricultural systems. Literature on cooperatives, producer companies, farmer associations, and collective enterprises was also incorporated, as these institutional arrangements share common objectives of collective action and market coordination (Kumar et al., 2021; Dutta &amp; Fischer, 2023). This analytical perspective enabled the identification of recurring institutional patterns, operational challenges, and policy gaps affecting the performance of FPOs.</w:t>
      </w:r>
    </w:p>
    <w:p w14:paraId="4DE9EBF1"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Particular emphasis was placed on understanding how FPOs facilitate inclusive agricultural commercialization through improved access to quality inputs, credit, technology, extension services, processing facilities, and organized markets. Earlier studies have shown that collective institutions can enhance farmers’ income, reduce transaction costs, and encourage value addition and market integration (Chatterjee &amp; Gulati, 2019; Mishra et al., 2023; Pasupuleti et al., 2025). At the same time, the review also considered evidence highlighting governance weaknesses, financial constraints, low managerial capacity, and issues of member participation that often limit the long-term sustainability of FPOs (Ghosh &amp; Roy, 2021; Pandey &amp; Singh, 2022; Patil et al., 2025).</w:t>
      </w:r>
    </w:p>
    <w:p w14:paraId="72E8E4CF" w14:textId="6EDF4E80"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Accordingly, the methodology was designed to provide a balanced and evidence-based understanding of both the opportunities and limitations associated with FPO-led agribusiness value chains.</w:t>
      </w:r>
    </w:p>
    <w:p w14:paraId="6B9EBBCD"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2.2 Sources of Data</w:t>
      </w:r>
    </w:p>
    <w:p w14:paraId="4397A92C"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 xml:space="preserve">The study is entirely based on secondary data collected from a wide range of reliable academic and institutional sources. Peer-reviewed journal articles formed the primary source of information because they provided empirical evidence, theoretical interpretations, and policy perspectives on farmer organizations, collective marketing, agribusiness development, and rural institutions. Relevant studies published in journals such as </w:t>
      </w:r>
      <w:r w:rsidRPr="004C4A5B">
        <w:rPr>
          <w:rFonts w:ascii="Times New Roman" w:eastAsia="Times New Roman" w:hAnsi="Times New Roman" w:cs="Times New Roman"/>
          <w:i/>
          <w:iCs/>
          <w:kern w:val="0"/>
          <w:sz w:val="24"/>
          <w:szCs w:val="24"/>
          <w:lang w:eastAsia="en-IN"/>
          <w14:ligatures w14:val="none"/>
        </w:rPr>
        <w:t>Food Policy</w:t>
      </w:r>
      <w:r w:rsidRPr="004C4A5B">
        <w:rPr>
          <w:rFonts w:ascii="Times New Roman" w:eastAsia="Times New Roman" w:hAnsi="Times New Roman" w:cs="Times New Roman"/>
          <w:kern w:val="0"/>
          <w:sz w:val="24"/>
          <w:szCs w:val="24"/>
          <w:lang w:eastAsia="en-IN"/>
          <w14:ligatures w14:val="none"/>
        </w:rPr>
        <w:t xml:space="preserve">, </w:t>
      </w:r>
      <w:r w:rsidRPr="004C4A5B">
        <w:rPr>
          <w:rFonts w:ascii="Times New Roman" w:eastAsia="Times New Roman" w:hAnsi="Times New Roman" w:cs="Times New Roman"/>
          <w:i/>
          <w:iCs/>
          <w:kern w:val="0"/>
          <w:sz w:val="24"/>
          <w:szCs w:val="24"/>
          <w:lang w:eastAsia="en-IN"/>
          <w14:ligatures w14:val="none"/>
        </w:rPr>
        <w:t>World Development</w:t>
      </w:r>
      <w:r w:rsidRPr="004C4A5B">
        <w:rPr>
          <w:rFonts w:ascii="Times New Roman" w:eastAsia="Times New Roman" w:hAnsi="Times New Roman" w:cs="Times New Roman"/>
          <w:kern w:val="0"/>
          <w:sz w:val="24"/>
          <w:szCs w:val="24"/>
          <w:lang w:eastAsia="en-IN"/>
          <w14:ligatures w14:val="none"/>
        </w:rPr>
        <w:t xml:space="preserve">, </w:t>
      </w:r>
      <w:r w:rsidRPr="004C4A5B">
        <w:rPr>
          <w:rFonts w:ascii="Times New Roman" w:eastAsia="Times New Roman" w:hAnsi="Times New Roman" w:cs="Times New Roman"/>
          <w:i/>
          <w:iCs/>
          <w:kern w:val="0"/>
          <w:sz w:val="24"/>
          <w:szCs w:val="24"/>
          <w:lang w:eastAsia="en-IN"/>
          <w14:ligatures w14:val="none"/>
        </w:rPr>
        <w:t>Agribusiness</w:t>
      </w:r>
      <w:r w:rsidRPr="004C4A5B">
        <w:rPr>
          <w:rFonts w:ascii="Times New Roman" w:eastAsia="Times New Roman" w:hAnsi="Times New Roman" w:cs="Times New Roman"/>
          <w:kern w:val="0"/>
          <w:sz w:val="24"/>
          <w:szCs w:val="24"/>
          <w:lang w:eastAsia="en-IN"/>
          <w14:ligatures w14:val="none"/>
        </w:rPr>
        <w:t xml:space="preserve">, </w:t>
      </w:r>
      <w:r w:rsidRPr="004C4A5B">
        <w:rPr>
          <w:rFonts w:ascii="Times New Roman" w:eastAsia="Times New Roman" w:hAnsi="Times New Roman" w:cs="Times New Roman"/>
          <w:i/>
          <w:iCs/>
          <w:kern w:val="0"/>
          <w:sz w:val="24"/>
          <w:szCs w:val="24"/>
          <w:lang w:eastAsia="en-IN"/>
          <w14:ligatures w14:val="none"/>
        </w:rPr>
        <w:t>Journal of Rural Studies</w:t>
      </w:r>
      <w:r w:rsidRPr="004C4A5B">
        <w:rPr>
          <w:rFonts w:ascii="Times New Roman" w:eastAsia="Times New Roman" w:hAnsi="Times New Roman" w:cs="Times New Roman"/>
          <w:kern w:val="0"/>
          <w:sz w:val="24"/>
          <w:szCs w:val="24"/>
          <w:lang w:eastAsia="en-IN"/>
          <w14:ligatures w14:val="none"/>
        </w:rPr>
        <w:t xml:space="preserve">, </w:t>
      </w:r>
      <w:r w:rsidRPr="004C4A5B">
        <w:rPr>
          <w:rFonts w:ascii="Times New Roman" w:eastAsia="Times New Roman" w:hAnsi="Times New Roman" w:cs="Times New Roman"/>
          <w:i/>
          <w:iCs/>
          <w:kern w:val="0"/>
          <w:sz w:val="24"/>
          <w:szCs w:val="24"/>
          <w:lang w:eastAsia="en-IN"/>
          <w14:ligatures w14:val="none"/>
        </w:rPr>
        <w:t>Agricultural Economics</w:t>
      </w:r>
      <w:r w:rsidRPr="004C4A5B">
        <w:rPr>
          <w:rFonts w:ascii="Times New Roman" w:eastAsia="Times New Roman" w:hAnsi="Times New Roman" w:cs="Times New Roman"/>
          <w:kern w:val="0"/>
          <w:sz w:val="24"/>
          <w:szCs w:val="24"/>
          <w:lang w:eastAsia="en-IN"/>
          <w14:ligatures w14:val="none"/>
        </w:rPr>
        <w:t xml:space="preserve">, and </w:t>
      </w:r>
      <w:r w:rsidRPr="004C4A5B">
        <w:rPr>
          <w:rFonts w:ascii="Times New Roman" w:eastAsia="Times New Roman" w:hAnsi="Times New Roman" w:cs="Times New Roman"/>
          <w:i/>
          <w:iCs/>
          <w:kern w:val="0"/>
          <w:sz w:val="24"/>
          <w:szCs w:val="24"/>
          <w:lang w:eastAsia="en-IN"/>
          <w14:ligatures w14:val="none"/>
        </w:rPr>
        <w:t>Sustainability</w:t>
      </w:r>
      <w:r w:rsidRPr="004C4A5B">
        <w:rPr>
          <w:rFonts w:ascii="Times New Roman" w:eastAsia="Times New Roman" w:hAnsi="Times New Roman" w:cs="Times New Roman"/>
          <w:kern w:val="0"/>
          <w:sz w:val="24"/>
          <w:szCs w:val="24"/>
          <w:lang w:eastAsia="en-IN"/>
          <w14:ligatures w14:val="none"/>
        </w:rPr>
        <w:t xml:space="preserve"> were extensively reviewed to understand the evolving role of FPOs in agricultural transformation and value-chain integration.</w:t>
      </w:r>
    </w:p>
    <w:p w14:paraId="2C41E702"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 xml:space="preserve">In addition to academic literature, reports and policy papers published by national and international institutions were consulted to examine the policy ecosystem supporting FPO development. Publications from organizations such as NITI Aayog, the World Bank, FAO, and other agricultural development agencies provided insights into institutional reforms, market liberalization, rural entrepreneurship, and farmer collectivization strategies. These documents </w:t>
      </w:r>
      <w:r w:rsidRPr="004C4A5B">
        <w:rPr>
          <w:rFonts w:ascii="Times New Roman" w:eastAsia="Times New Roman" w:hAnsi="Times New Roman" w:cs="Times New Roman"/>
          <w:kern w:val="0"/>
          <w:sz w:val="24"/>
          <w:szCs w:val="24"/>
          <w:lang w:eastAsia="en-IN"/>
          <w14:ligatures w14:val="none"/>
        </w:rPr>
        <w:lastRenderedPageBreak/>
        <w:t>were particularly useful in understanding the policy measures aimed at strengthening agricultural marketing systems and improving farmers’ income.</w:t>
      </w:r>
    </w:p>
    <w:p w14:paraId="22F657ED" w14:textId="66E1DD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review also included working papers, development reports, and institutional case studies that documented practical experiences of farmer organizations in developing economies. Comparative evidence from Asia, Africa, and other regions helped contextualize the functioning of FPOs within broader processes of agrarian transition, commercialization, and sustainable rural development (Hellin &amp; Higman, 2022; Zhao &amp; Yang, 2022). The integration of academic and policy-oriented literature therefore ensured both conceptual depth and practical relevance in the study.</w:t>
      </w:r>
    </w:p>
    <w:p w14:paraId="5F97F198"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2.3 Literature Search Strategy</w:t>
      </w:r>
    </w:p>
    <w:p w14:paraId="631C2D88"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 systematic literature search strategy was adopted to identify relevant and high-quality studies related to Farmer Producer Organizations and agribusiness value chains. Literature was collected from multiple electronic databases and digital repositories, including Google Scholar, Scopus, Web of Science, JSTOR, ResearchGate, and institutional databases maintained by organizations such as FAO and the World Bank.</w:t>
      </w:r>
    </w:p>
    <w:p w14:paraId="4B0BA807"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To capture the multidimensional aspects of FPOs and collective action, several keywords and search combinations were used during the review process. Important search terms included “Farmer Producer Organizations,” “producer companies,” “agricultural cooperatives,” “collective marketing,” “agribusiness value chains,” “smallholder commercialization,” “contract farming,” “market integration,” “institutional innovations,” and “farmer collectives.” These keywords helped identify studies dealing with institutional performance, value-chain participation, rural livelihoods, governance mechanisms, and policy support systems.</w:t>
      </w:r>
    </w:p>
    <w:p w14:paraId="1939E46B"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inclusion criteria focused on studies that directly examined the role of farmer organizations in agricultural marketing, value addition, input-output linkages, market access, technology dissemination, and socio-economic empowerment of farmers. Both qualitative and quantitative studies were considered to obtain comprehensive insights into operational, institutional, and economic dimensions of FPOs. Preference was given to studies with strong empirical foundations, methodological clarity, and significant policy relevance.</w:t>
      </w:r>
    </w:p>
    <w:p w14:paraId="5CFCA879"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exclusion criteria involved removing duplicate publications, studies lacking methodological rigor, and literature not directly connected to agricultural collectivization or value-chain development. Research unrelated to farmer institutions or rural marketing systems was also excluded from the analysis. Most of the selected studies were published after 2000, reflecting the growing policy emphasis on agricultural commercialization, market reforms, and farmer collectivization during the last two decades. However, a few classical studies on collective action and institutional economics were also reviewed to provide theoretical grounding for the analysis.</w:t>
      </w:r>
    </w:p>
    <w:p w14:paraId="72ABC88B" w14:textId="436B84EB"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For analytical consistency, the selected literature was organized into major thematic categories, including opportunities created by FPOs, institutional and governance challenges, market integration, technology and extension services, policy interventions, sustainability concerns, and socio-economic impacts on farmers. This thematic classification facilitated comparative interpretation across different studies and geographical contexts.</w:t>
      </w:r>
    </w:p>
    <w:p w14:paraId="433976A1"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2.4 Analytical Framework</w:t>
      </w:r>
    </w:p>
    <w:p w14:paraId="0E88DB54"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analytical framework of the study is based on thematic and comparative analysis of the reviewed literature. The selected studies were systematically classified into four broad dimensions: opportunities associated with FPOs, constraints affecting their performance, institutional effectiveness, and policy implications for strengthening agribusiness value chains. This framework enabled a structured examination of similarities and differences in the functioning of farmer organizations across different agricultural systems and regions.</w:t>
      </w:r>
    </w:p>
    <w:p w14:paraId="3352DB04"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 xml:space="preserve">The first dimension focused on the opportunities generated through FPOs. This included their role in improving farmers’ bargaining power, reducing transaction costs, facilitating collective </w:t>
      </w:r>
      <w:r w:rsidRPr="004C4A5B">
        <w:rPr>
          <w:rFonts w:ascii="Times New Roman" w:eastAsia="Times New Roman" w:hAnsi="Times New Roman" w:cs="Times New Roman"/>
          <w:kern w:val="0"/>
          <w:sz w:val="24"/>
          <w:szCs w:val="24"/>
          <w:lang w:eastAsia="en-IN"/>
          <w14:ligatures w14:val="none"/>
        </w:rPr>
        <w:lastRenderedPageBreak/>
        <w:t>procurement and marketing, improving access to finance and inputs, promoting value addition, and strengthening linkages with organized retail markets and supply chains (Mukherjee et al., 2021; Kumar &amp; Kapoor, 2023; Roy &amp; Ghosh, 2023). Studies addressing income enhancement, rural entrepreneurship, and commercialization were also analyzed under this category.</w:t>
      </w:r>
    </w:p>
    <w:p w14:paraId="0CA8F675"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second dimension examined the major constraints limiting the effectiveness and sustainability of FPOs. Commonly reported challenges included weak governance systems, inadequate professional management, low member participation, insufficient infrastructure, poor access to working capital, and gaps in policy implementation (Pandey &amp; Singh, 2022; Yadav &amp; Rai, 2023; Saxena &amp; Kumar, 2025). These institutional and operational bottlenecks were critically assessed to understand their implications for long-term organizational sustainability.</w:t>
      </w:r>
    </w:p>
    <w:p w14:paraId="49039D5A"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third dimension assessed institutional performance and organizational effectiveness. Particular attention was given to leadership structures, collective decision-making, social capital formation, member participation, and organizational resilience. Studies emphasizing the role of institutional quality in enhancing market competitiveness, innovation adoption, and sustainability transitions were reviewed in this section (Jose &amp; Chathukulam, 2025; Singh &amp; Vatta, 2022).</w:t>
      </w:r>
    </w:p>
    <w:p w14:paraId="2AB85E0A" w14:textId="77777777" w:rsid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final dimension analyzed the policy environment supporting FPO development. This included government initiatives, extension services, digital agriculture, public-private partnerships, value-chain financing, and market-oriented reforms that influence the growth and performance of FPOs (Rao &amp; Sahu, 2022; Prasad &amp; Singh, 2022; Gupta &amp; Singh, 2023). The framework also considered emerging issues such as climate-smart agriculture, digital platforms, women’s participation, and agri-startup integration in strengthening future FPO-led agribusiness systems.</w:t>
      </w:r>
    </w:p>
    <w:p w14:paraId="66C8CF58"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374C392C"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0B8BA2DB"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401EF59E"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62CBE3D3"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0BE5ADE0" w14:textId="77777777" w:rsidR="000366F8"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5774DF96" w14:textId="77777777" w:rsidR="000366F8" w:rsidRPr="004C4A5B" w:rsidRDefault="000366F8" w:rsidP="004C4A5B">
      <w:pPr>
        <w:spacing w:after="0" w:line="240" w:lineRule="auto"/>
        <w:jc w:val="both"/>
        <w:rPr>
          <w:rFonts w:ascii="Times New Roman" w:eastAsia="Times New Roman" w:hAnsi="Times New Roman" w:cs="Times New Roman"/>
          <w:kern w:val="0"/>
          <w:sz w:val="24"/>
          <w:szCs w:val="24"/>
          <w:lang w:eastAsia="en-IN"/>
          <w14:ligatures w14:val="none"/>
        </w:rPr>
      </w:pPr>
    </w:p>
    <w:p w14:paraId="0F2BC8C7"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E290751" w14:textId="70B41D78" w:rsid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 xml:space="preserve">Table </w:t>
      </w:r>
      <w:r>
        <w:rPr>
          <w:rFonts w:ascii="Times New Roman" w:eastAsia="Times New Roman" w:hAnsi="Times New Roman" w:cs="Times New Roman"/>
          <w:b/>
          <w:bCs/>
          <w:kern w:val="0"/>
          <w:sz w:val="24"/>
          <w:szCs w:val="24"/>
          <w:lang w:eastAsia="en-IN"/>
          <w14:ligatures w14:val="none"/>
        </w:rPr>
        <w:t>1</w:t>
      </w:r>
      <w:r w:rsidRPr="00990C6F">
        <w:rPr>
          <w:rFonts w:ascii="Times New Roman" w:eastAsia="Times New Roman" w:hAnsi="Times New Roman" w:cs="Times New Roman"/>
          <w:b/>
          <w:bCs/>
          <w:kern w:val="0"/>
          <w:sz w:val="24"/>
          <w:szCs w:val="24"/>
          <w:lang w:eastAsia="en-IN"/>
          <w14:ligatures w14:val="none"/>
        </w:rPr>
        <w:t>: Case Studies on Government Policies Supporting Farmer Producer Organizations (FPOs) and Agribusiness Value Chains</w:t>
      </w:r>
    </w:p>
    <w:p w14:paraId="631706B5" w14:textId="77777777" w:rsidR="000366F8" w:rsidRDefault="000366F8" w:rsidP="00990C6F">
      <w:pPr>
        <w:spacing w:after="0" w:line="240" w:lineRule="auto"/>
        <w:jc w:val="both"/>
        <w:rPr>
          <w:rFonts w:ascii="Times New Roman" w:eastAsia="Times New Roman" w:hAnsi="Times New Roman" w:cs="Times New Roman"/>
          <w:b/>
          <w:bCs/>
          <w:kern w:val="0"/>
          <w:sz w:val="24"/>
          <w:szCs w:val="24"/>
          <w:lang w:eastAsia="en-IN"/>
          <w14:ligatures w14:val="none"/>
        </w:rPr>
      </w:pPr>
    </w:p>
    <w:tbl>
      <w:tblPr>
        <w:tblStyle w:val="TableGrid"/>
        <w:tblW w:w="0" w:type="auto"/>
        <w:tblLook w:val="04A0" w:firstRow="1" w:lastRow="0" w:firstColumn="1" w:lastColumn="0" w:noHBand="0" w:noVBand="1"/>
      </w:tblPr>
      <w:tblGrid>
        <w:gridCol w:w="1803"/>
        <w:gridCol w:w="1264"/>
        <w:gridCol w:w="1711"/>
        <w:gridCol w:w="1328"/>
        <w:gridCol w:w="1517"/>
        <w:gridCol w:w="1393"/>
      </w:tblGrid>
      <w:tr w:rsidR="00990C6F" w:rsidRPr="00990C6F" w14:paraId="4718CA08" w14:textId="77777777" w:rsidTr="000366F8">
        <w:tc>
          <w:tcPr>
            <w:tcW w:w="0" w:type="auto"/>
            <w:hideMark/>
          </w:tcPr>
          <w:p w14:paraId="2B7BD9D0"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Country/Policy Initiative</w:t>
            </w:r>
          </w:p>
        </w:tc>
        <w:tc>
          <w:tcPr>
            <w:tcW w:w="0" w:type="auto"/>
            <w:hideMark/>
          </w:tcPr>
          <w:p w14:paraId="495FD348"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Key Policy Features</w:t>
            </w:r>
          </w:p>
        </w:tc>
        <w:tc>
          <w:tcPr>
            <w:tcW w:w="0" w:type="auto"/>
            <w:hideMark/>
          </w:tcPr>
          <w:p w14:paraId="7C395F5F"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Outcomes and Opportunities</w:t>
            </w:r>
          </w:p>
        </w:tc>
        <w:tc>
          <w:tcPr>
            <w:tcW w:w="0" w:type="auto"/>
            <w:hideMark/>
          </w:tcPr>
          <w:p w14:paraId="400CC722"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Constraints and Critical Issues</w:t>
            </w:r>
          </w:p>
        </w:tc>
        <w:tc>
          <w:tcPr>
            <w:tcW w:w="0" w:type="auto"/>
            <w:hideMark/>
          </w:tcPr>
          <w:p w14:paraId="45403480"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Policy Implications</w:t>
            </w:r>
          </w:p>
        </w:tc>
        <w:tc>
          <w:tcPr>
            <w:tcW w:w="0" w:type="auto"/>
            <w:hideMark/>
          </w:tcPr>
          <w:p w14:paraId="4B2AE179"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Supporting References</w:t>
            </w:r>
          </w:p>
        </w:tc>
      </w:tr>
      <w:tr w:rsidR="00990C6F" w:rsidRPr="00990C6F" w14:paraId="5213A674" w14:textId="77777777" w:rsidTr="000366F8">
        <w:tc>
          <w:tcPr>
            <w:tcW w:w="0" w:type="auto"/>
            <w:hideMark/>
          </w:tcPr>
          <w:p w14:paraId="1D0B5E0A"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India – Formation and Promotion of 10,000 FPOs Scheme</w:t>
            </w:r>
          </w:p>
        </w:tc>
        <w:tc>
          <w:tcPr>
            <w:tcW w:w="0" w:type="auto"/>
            <w:hideMark/>
          </w:tcPr>
          <w:p w14:paraId="582363E6"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Government of India launched a nationwide initiative to establish and support 10,000 </w:t>
            </w:r>
            <w:r w:rsidRPr="00990C6F">
              <w:rPr>
                <w:rFonts w:ascii="Times New Roman" w:eastAsia="Times New Roman" w:hAnsi="Times New Roman" w:cs="Times New Roman"/>
                <w:kern w:val="0"/>
                <w:sz w:val="24"/>
                <w:szCs w:val="24"/>
                <w:lang w:eastAsia="en-IN"/>
                <w14:ligatures w14:val="none"/>
              </w:rPr>
              <w:lastRenderedPageBreak/>
              <w:t>FPOs through financial assistance, equity grants, credit guarantees, and market linkage support. The scheme emphasizes aggregation, collective marketing, and value-chain integration.</w:t>
            </w:r>
          </w:p>
        </w:tc>
        <w:tc>
          <w:tcPr>
            <w:tcW w:w="0" w:type="auto"/>
            <w:hideMark/>
          </w:tcPr>
          <w:p w14:paraId="60BC463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The policy improved farmers’ bargaining power, facilitated bulk input purchase, reduced transaction costs, and enhanced </w:t>
            </w:r>
            <w:r w:rsidRPr="00990C6F">
              <w:rPr>
                <w:rFonts w:ascii="Times New Roman" w:eastAsia="Times New Roman" w:hAnsi="Times New Roman" w:cs="Times New Roman"/>
                <w:kern w:val="0"/>
                <w:sz w:val="24"/>
                <w:szCs w:val="24"/>
                <w:lang w:eastAsia="en-IN"/>
                <w14:ligatures w14:val="none"/>
              </w:rPr>
              <w:lastRenderedPageBreak/>
              <w:t>market participation of smallholders. FPOs also created opportunities for collective processing and branding of agricultural produce.</w:t>
            </w:r>
          </w:p>
        </w:tc>
        <w:tc>
          <w:tcPr>
            <w:tcW w:w="0" w:type="auto"/>
            <w:hideMark/>
          </w:tcPr>
          <w:p w14:paraId="31DEC01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Many FPOs continue to face managerial weaknesses, inadequate professional support, limited </w:t>
            </w:r>
            <w:r w:rsidRPr="00990C6F">
              <w:rPr>
                <w:rFonts w:ascii="Times New Roman" w:eastAsia="Times New Roman" w:hAnsi="Times New Roman" w:cs="Times New Roman"/>
                <w:kern w:val="0"/>
                <w:sz w:val="24"/>
                <w:szCs w:val="24"/>
                <w:lang w:eastAsia="en-IN"/>
                <w14:ligatures w14:val="none"/>
              </w:rPr>
              <w:lastRenderedPageBreak/>
              <w:t>access to working capital, and dependence on external agencies. Several producer groups struggle with sustainability once government assistance ends.</w:t>
            </w:r>
          </w:p>
        </w:tc>
        <w:tc>
          <w:tcPr>
            <w:tcW w:w="0" w:type="auto"/>
            <w:hideMark/>
          </w:tcPr>
          <w:p w14:paraId="497CF65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Policies should move beyond numerical formation targets and focus on long-term institutional strengthening, leadership </w:t>
            </w:r>
            <w:r w:rsidRPr="00990C6F">
              <w:rPr>
                <w:rFonts w:ascii="Times New Roman" w:eastAsia="Times New Roman" w:hAnsi="Times New Roman" w:cs="Times New Roman"/>
                <w:kern w:val="0"/>
                <w:sz w:val="24"/>
                <w:szCs w:val="24"/>
                <w:lang w:eastAsia="en-IN"/>
                <w14:ligatures w14:val="none"/>
              </w:rPr>
              <w:lastRenderedPageBreak/>
              <w:t>development, digital infrastructure, and market-oriented capacity building. Strong convergence among extension agencies, banks, and agribusiness firms is essential for sustainability.</w:t>
            </w:r>
          </w:p>
        </w:tc>
        <w:tc>
          <w:tcPr>
            <w:tcW w:w="0" w:type="auto"/>
            <w:hideMark/>
          </w:tcPr>
          <w:p w14:paraId="5A0377B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Chand (2016); Ghosh &amp; Maharjan (2019); Pandey &amp; Singh (2022); Trebbin &amp; Hassler (2012); </w:t>
            </w:r>
            <w:r w:rsidRPr="00990C6F">
              <w:rPr>
                <w:rFonts w:ascii="Times New Roman" w:eastAsia="Times New Roman" w:hAnsi="Times New Roman" w:cs="Times New Roman"/>
                <w:kern w:val="0"/>
                <w:sz w:val="24"/>
                <w:szCs w:val="24"/>
                <w:lang w:eastAsia="en-IN"/>
                <w14:ligatures w14:val="none"/>
              </w:rPr>
              <w:lastRenderedPageBreak/>
              <w:t>Kumar et al. (2011)</w:t>
            </w:r>
          </w:p>
        </w:tc>
      </w:tr>
      <w:tr w:rsidR="00990C6F" w:rsidRPr="00990C6F" w14:paraId="3EAB02BF" w14:textId="77777777" w:rsidTr="000366F8">
        <w:tc>
          <w:tcPr>
            <w:tcW w:w="0" w:type="auto"/>
            <w:hideMark/>
          </w:tcPr>
          <w:p w14:paraId="56E5923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Ethiopia – Agricultural Cooperatives and Rural Market Reforms</w:t>
            </w:r>
          </w:p>
        </w:tc>
        <w:tc>
          <w:tcPr>
            <w:tcW w:w="0" w:type="auto"/>
            <w:hideMark/>
          </w:tcPr>
          <w:p w14:paraId="402765A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Ethiopia promoted agricultural cooperatives through state-backed institutional reforms, extension support, and collective marketing systems aimed at integrating smallholders into commercial agriculture.</w:t>
            </w:r>
          </w:p>
        </w:tc>
        <w:tc>
          <w:tcPr>
            <w:tcW w:w="0" w:type="auto"/>
            <w:hideMark/>
          </w:tcPr>
          <w:p w14:paraId="4272B1E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Cooperatives improved technical efficiency, enhanced access to fertilizers and improved seeds, and enabled better market access for coffee and dairy farmers. Membership contributed to higher household incomes and reduced information asymmetry.</w:t>
            </w:r>
          </w:p>
        </w:tc>
        <w:tc>
          <w:tcPr>
            <w:tcW w:w="0" w:type="auto"/>
            <w:hideMark/>
          </w:tcPr>
          <w:p w14:paraId="45207BC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Despite progress, elite capture, weak governance structures, poor financial transparency, and limited participation of marginalized farmers reduced effectiveness in some regions. Dependence on government supervision also </w:t>
            </w:r>
            <w:r w:rsidRPr="00990C6F">
              <w:rPr>
                <w:rFonts w:ascii="Times New Roman" w:eastAsia="Times New Roman" w:hAnsi="Times New Roman" w:cs="Times New Roman"/>
                <w:kern w:val="0"/>
                <w:sz w:val="24"/>
                <w:szCs w:val="24"/>
                <w:lang w:eastAsia="en-IN"/>
                <w14:ligatures w14:val="none"/>
              </w:rPr>
              <w:lastRenderedPageBreak/>
              <w:t>limited cooperative autonomy.</w:t>
            </w:r>
          </w:p>
        </w:tc>
        <w:tc>
          <w:tcPr>
            <w:tcW w:w="0" w:type="auto"/>
            <w:hideMark/>
          </w:tcPr>
          <w:p w14:paraId="0A3A7C3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Future policies should encourage democratic governance, financial accountability, and farmer-led decision-making. Strengthening institutional independence and improving rural financial services can enhance cooperative resilience and </w:t>
            </w:r>
            <w:r w:rsidRPr="00990C6F">
              <w:rPr>
                <w:rFonts w:ascii="Times New Roman" w:eastAsia="Times New Roman" w:hAnsi="Times New Roman" w:cs="Times New Roman"/>
                <w:kern w:val="0"/>
                <w:sz w:val="24"/>
                <w:szCs w:val="24"/>
                <w:lang w:eastAsia="en-IN"/>
                <w14:ligatures w14:val="none"/>
              </w:rPr>
              <w:lastRenderedPageBreak/>
              <w:t>competitiveness.</w:t>
            </w:r>
          </w:p>
        </w:tc>
        <w:tc>
          <w:tcPr>
            <w:tcW w:w="0" w:type="auto"/>
            <w:hideMark/>
          </w:tcPr>
          <w:p w14:paraId="00BBC617"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Abate et al. (2014); Bernard &amp; Spielman (2009); Chagwiza et al. (2016); Francesconi &amp; Heerink (2011); Mojo et al. (2017)</w:t>
            </w:r>
          </w:p>
        </w:tc>
      </w:tr>
      <w:tr w:rsidR="00990C6F" w:rsidRPr="00990C6F" w14:paraId="3BC262F8" w14:textId="77777777" w:rsidTr="000366F8">
        <w:tc>
          <w:tcPr>
            <w:tcW w:w="0" w:type="auto"/>
            <w:hideMark/>
          </w:tcPr>
          <w:p w14:paraId="4195418A"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Kenya – Supermarket Linkage and Collective Action Policies</w:t>
            </w:r>
          </w:p>
        </w:tc>
        <w:tc>
          <w:tcPr>
            <w:tcW w:w="0" w:type="auto"/>
            <w:hideMark/>
          </w:tcPr>
          <w:p w14:paraId="16001C8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Kenyan agricultural policies encouraged farmer groups and collective action models to integrate smallholders into high-value supermarket and export-oriented supply chains through training, certification, and extension services.</w:t>
            </w:r>
          </w:p>
        </w:tc>
        <w:tc>
          <w:tcPr>
            <w:tcW w:w="0" w:type="auto"/>
            <w:hideMark/>
          </w:tcPr>
          <w:p w14:paraId="1D5264B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Organized farmer groups gained better access to modern retail markets, improved product quality, and increased household income. Collective marketing also reduced marketing risks and strengthened value-chain participation.</w:t>
            </w:r>
          </w:p>
        </w:tc>
        <w:tc>
          <w:tcPr>
            <w:tcW w:w="0" w:type="auto"/>
            <w:hideMark/>
          </w:tcPr>
          <w:p w14:paraId="7CEFABBB"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Small farmers often struggled to comply with stringent quality standards, certification requirements, and regular supply commitments demanded by supermarkets. Unequal power relations between buyers and producers persisted.</w:t>
            </w:r>
          </w:p>
        </w:tc>
        <w:tc>
          <w:tcPr>
            <w:tcW w:w="0" w:type="auto"/>
            <w:hideMark/>
          </w:tcPr>
          <w:p w14:paraId="119C158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Policies should provide affordable certification support, cold-chain infrastructure, and continuous technical training. Inclusive value-chain governance mechanisms are required to protect smallholders from market exclusion.</w:t>
            </w:r>
          </w:p>
        </w:tc>
        <w:tc>
          <w:tcPr>
            <w:tcW w:w="0" w:type="auto"/>
            <w:hideMark/>
          </w:tcPr>
          <w:p w14:paraId="2BF39C5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Fischer &amp; Qaim (2012); Andersson et al. (2015); Rao &amp; Qaim (2011); Kaganzi et al. (2009); Shiferaw et al. (2011)</w:t>
            </w:r>
          </w:p>
        </w:tc>
      </w:tr>
      <w:tr w:rsidR="00990C6F" w:rsidRPr="00990C6F" w14:paraId="343D51E2" w14:textId="77777777" w:rsidTr="000366F8">
        <w:tc>
          <w:tcPr>
            <w:tcW w:w="0" w:type="auto"/>
            <w:hideMark/>
          </w:tcPr>
          <w:p w14:paraId="2B5B8D0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China – Cooperative Development and Rural Commercialization Policies</w:t>
            </w:r>
          </w:p>
        </w:tc>
        <w:tc>
          <w:tcPr>
            <w:tcW w:w="0" w:type="auto"/>
            <w:hideMark/>
          </w:tcPr>
          <w:p w14:paraId="723D08B9"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China introduced policies supporting farmer cooperatives through legal recognition, rural market reforms, digital agriculture initiatives, and access to rural credit and </w:t>
            </w:r>
            <w:r w:rsidRPr="00990C6F">
              <w:rPr>
                <w:rFonts w:ascii="Times New Roman" w:eastAsia="Times New Roman" w:hAnsi="Times New Roman" w:cs="Times New Roman"/>
                <w:kern w:val="0"/>
                <w:sz w:val="24"/>
                <w:szCs w:val="24"/>
                <w:lang w:eastAsia="en-IN"/>
                <w14:ligatures w14:val="none"/>
              </w:rPr>
              <w:lastRenderedPageBreak/>
              <w:t>e-commerce systems.</w:t>
            </w:r>
          </w:p>
        </w:tc>
        <w:tc>
          <w:tcPr>
            <w:tcW w:w="0" w:type="auto"/>
            <w:hideMark/>
          </w:tcPr>
          <w:p w14:paraId="2A84853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Cooperative participation increased farmer income, facilitated technology adoption, and strengthened integration into modern supply chains. Smartphone use and digital platforms further improved market information </w:t>
            </w:r>
            <w:r w:rsidRPr="00990C6F">
              <w:rPr>
                <w:rFonts w:ascii="Times New Roman" w:eastAsia="Times New Roman" w:hAnsi="Times New Roman" w:cs="Times New Roman"/>
                <w:kern w:val="0"/>
                <w:sz w:val="24"/>
                <w:szCs w:val="24"/>
                <w:lang w:eastAsia="en-IN"/>
                <w14:ligatures w14:val="none"/>
              </w:rPr>
              <w:lastRenderedPageBreak/>
              <w:t>access and commercialization.</w:t>
            </w:r>
          </w:p>
        </w:tc>
        <w:tc>
          <w:tcPr>
            <w:tcW w:w="0" w:type="auto"/>
            <w:hideMark/>
          </w:tcPr>
          <w:p w14:paraId="38F83B8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Income gains were not always evenly distributed, and larger farmers frequently benefited more than marginal producers. Some cooperatives functioned more as commercia</w:t>
            </w:r>
            <w:r w:rsidRPr="00990C6F">
              <w:rPr>
                <w:rFonts w:ascii="Times New Roman" w:eastAsia="Times New Roman" w:hAnsi="Times New Roman" w:cs="Times New Roman"/>
                <w:kern w:val="0"/>
                <w:sz w:val="24"/>
                <w:szCs w:val="24"/>
                <w:lang w:eastAsia="en-IN"/>
                <w14:ligatures w14:val="none"/>
              </w:rPr>
              <w:lastRenderedPageBreak/>
              <w:t>l enterprises than member-driven institutions.</w:t>
            </w:r>
          </w:p>
        </w:tc>
        <w:tc>
          <w:tcPr>
            <w:tcW w:w="0" w:type="auto"/>
            <w:hideMark/>
          </w:tcPr>
          <w:p w14:paraId="2610264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Policymakers should ensure equitable participation of smallholders, strengthen cooperative accountability, and promote inclusive digital infrastructure to avoid widening </w:t>
            </w:r>
            <w:r w:rsidRPr="00990C6F">
              <w:rPr>
                <w:rFonts w:ascii="Times New Roman" w:eastAsia="Times New Roman" w:hAnsi="Times New Roman" w:cs="Times New Roman"/>
                <w:kern w:val="0"/>
                <w:sz w:val="24"/>
                <w:szCs w:val="24"/>
                <w:lang w:eastAsia="en-IN"/>
                <w14:ligatures w14:val="none"/>
              </w:rPr>
              <w:lastRenderedPageBreak/>
              <w:t>rural inequalities.</w:t>
            </w:r>
          </w:p>
        </w:tc>
        <w:tc>
          <w:tcPr>
            <w:tcW w:w="0" w:type="auto"/>
            <w:hideMark/>
          </w:tcPr>
          <w:p w14:paraId="549A084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val="it-IT" w:eastAsia="en-IN"/>
                <w14:ligatures w14:val="none"/>
              </w:rPr>
              <w:lastRenderedPageBreak/>
              <w:t xml:space="preserve">Ito et al. (2012); Ma et al. (2018); Ma et al. (2022); Zhou et al. </w:t>
            </w:r>
            <w:r w:rsidRPr="00990C6F">
              <w:rPr>
                <w:rFonts w:ascii="Times New Roman" w:eastAsia="Times New Roman" w:hAnsi="Times New Roman" w:cs="Times New Roman"/>
                <w:kern w:val="0"/>
                <w:sz w:val="24"/>
                <w:szCs w:val="24"/>
                <w:lang w:eastAsia="en-IN"/>
                <w14:ligatures w14:val="none"/>
              </w:rPr>
              <w:t>(2021)</w:t>
            </w:r>
          </w:p>
        </w:tc>
      </w:tr>
      <w:tr w:rsidR="00990C6F" w:rsidRPr="00990C6F" w14:paraId="05524C65" w14:textId="77777777" w:rsidTr="000366F8">
        <w:tc>
          <w:tcPr>
            <w:tcW w:w="0" w:type="auto"/>
            <w:hideMark/>
          </w:tcPr>
          <w:p w14:paraId="2F7B11C3"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Uganda and Tanzania – Collective Marketing and Innovation Platform Policies</w:t>
            </w:r>
          </w:p>
        </w:tc>
        <w:tc>
          <w:tcPr>
            <w:tcW w:w="0" w:type="auto"/>
            <w:hideMark/>
          </w:tcPr>
          <w:p w14:paraId="1F65245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Governments and development agencies promoted innovation platforms, farmer associations, and collective marketing systems to connect producers with high-value markets and agribusiness actors.</w:t>
            </w:r>
          </w:p>
        </w:tc>
        <w:tc>
          <w:tcPr>
            <w:tcW w:w="0" w:type="auto"/>
            <w:hideMark/>
          </w:tcPr>
          <w:p w14:paraId="062F9717"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These initiatives improved market linkages, enhanced farmer negotiation capacity, and supported knowledge sharing among producers, traders, and extension agencies. Innovation platforms also encouraged collaborative problem-solving.</w:t>
            </w:r>
          </w:p>
        </w:tc>
        <w:tc>
          <w:tcPr>
            <w:tcW w:w="0" w:type="auto"/>
            <w:hideMark/>
          </w:tcPr>
          <w:p w14:paraId="6AC40866"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Weak infrastructure, side-selling practices, inadequate trust among members, and poor coordination often limited organizational efficiency and market stability.</w:t>
            </w:r>
          </w:p>
        </w:tc>
        <w:tc>
          <w:tcPr>
            <w:tcW w:w="0" w:type="auto"/>
            <w:hideMark/>
          </w:tcPr>
          <w:p w14:paraId="7D830FF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Policies should prioritize rural infrastructure development, transparent governance systems, and incentives that strengthen farmer loyalty and trust within collective enterprises.</w:t>
            </w:r>
          </w:p>
        </w:tc>
        <w:tc>
          <w:tcPr>
            <w:tcW w:w="0" w:type="auto"/>
            <w:hideMark/>
          </w:tcPr>
          <w:p w14:paraId="28093C1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Barham &amp; Chitemi (2009); Kilelu et al. (2013); Latynskiy &amp; Berger (2017); Mujawamariya et al. (2013)</w:t>
            </w:r>
          </w:p>
        </w:tc>
      </w:tr>
    </w:tbl>
    <w:p w14:paraId="71B67B5D"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p>
    <w:p w14:paraId="36FB9692" w14:textId="77777777" w:rsidR="000366F8" w:rsidRDefault="000366F8" w:rsidP="00990C6F">
      <w:pPr>
        <w:spacing w:after="0"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Government policies have played a critical role in strengthening Farmer Producer Organizations (FPOs) and improving agribusiness value chains across developing economies, particularly in India. Various policy interventions such as financial assistance, digital agriculture initiatives, collective marketing support, extension services, and institutional financing have enabled small and marginal farmers to participate more effectively in organized agricultural markets. Programs promoting Farmer Producer Companies (FPCs), public–private partnerships, and climate-smart agriculture have further enhanced rural livelihoods, market efficiency, and sustainability. Recent studies also highlight that inclusive policies supporting women participation, agri-startups, and digital platforms are transforming traditional agricultural systems into more resilient and market-oriented value chains. Overall, the literature suggests that strong policy ecosystems, institutional support, and coordinated governance mechanisms are essential for scaling FPOs and achieving inclusive agribusiness development.</w:t>
      </w:r>
    </w:p>
    <w:p w14:paraId="5C9F0A92" w14:textId="24D66213" w:rsidR="000366F8" w:rsidRDefault="00990C6F" w:rsidP="000366F8">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Table</w:t>
      </w:r>
      <w:r>
        <w:rPr>
          <w:rFonts w:ascii="Times New Roman" w:eastAsia="Times New Roman" w:hAnsi="Times New Roman" w:cs="Times New Roman"/>
          <w:b/>
          <w:bCs/>
          <w:kern w:val="0"/>
          <w:sz w:val="24"/>
          <w:szCs w:val="24"/>
          <w:lang w:eastAsia="en-IN"/>
          <w14:ligatures w14:val="none"/>
        </w:rPr>
        <w:t xml:space="preserve"> </w:t>
      </w:r>
      <w:r w:rsidR="000366F8">
        <w:rPr>
          <w:rFonts w:ascii="Times New Roman" w:eastAsia="Times New Roman" w:hAnsi="Times New Roman" w:cs="Times New Roman"/>
          <w:b/>
          <w:bCs/>
          <w:kern w:val="0"/>
          <w:sz w:val="24"/>
          <w:szCs w:val="24"/>
          <w:lang w:eastAsia="en-IN"/>
          <w14:ligatures w14:val="none"/>
        </w:rPr>
        <w:t>2</w:t>
      </w:r>
      <w:r w:rsidRPr="00990C6F">
        <w:rPr>
          <w:rFonts w:ascii="Times New Roman" w:eastAsia="Times New Roman" w:hAnsi="Times New Roman" w:cs="Times New Roman"/>
          <w:b/>
          <w:bCs/>
          <w:kern w:val="0"/>
          <w:sz w:val="24"/>
          <w:szCs w:val="24"/>
          <w:lang w:eastAsia="en-IN"/>
          <w14:ligatures w14:val="none"/>
        </w:rPr>
        <w:t>: Case Studies on Indian Government Policies Supporting FPOs in Agribusiness Value Chains</w:t>
      </w:r>
    </w:p>
    <w:p w14:paraId="2DF2808F" w14:textId="77777777" w:rsidR="000366F8" w:rsidRPr="000366F8" w:rsidRDefault="000366F8" w:rsidP="000366F8">
      <w:pPr>
        <w:spacing w:after="0" w:line="240" w:lineRule="auto"/>
        <w:jc w:val="both"/>
        <w:rPr>
          <w:rFonts w:ascii="Times New Roman" w:eastAsia="Times New Roman" w:hAnsi="Times New Roman" w:cs="Times New Roman"/>
          <w:b/>
          <w:bCs/>
          <w:kern w:val="0"/>
          <w:sz w:val="24"/>
          <w:szCs w:val="24"/>
          <w:lang w:eastAsia="en-IN"/>
          <w14:ligatures w14:val="none"/>
        </w:rPr>
      </w:pPr>
    </w:p>
    <w:tbl>
      <w:tblPr>
        <w:tblStyle w:val="TableGrid"/>
        <w:tblW w:w="0" w:type="auto"/>
        <w:tblLook w:val="04A0" w:firstRow="1" w:lastRow="0" w:firstColumn="1" w:lastColumn="0" w:noHBand="0" w:noVBand="1"/>
      </w:tblPr>
      <w:tblGrid>
        <w:gridCol w:w="1604"/>
        <w:gridCol w:w="1721"/>
        <w:gridCol w:w="2006"/>
        <w:gridCol w:w="2152"/>
        <w:gridCol w:w="1533"/>
      </w:tblGrid>
      <w:tr w:rsidR="000366F8" w:rsidRPr="000366F8" w14:paraId="6E5B4F39" w14:textId="77777777" w:rsidTr="000366F8">
        <w:tc>
          <w:tcPr>
            <w:tcW w:w="0" w:type="auto"/>
            <w:hideMark/>
          </w:tcPr>
          <w:p w14:paraId="064B6741" w14:textId="7777777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 xml:space="preserve">Government </w:t>
            </w:r>
          </w:p>
          <w:p w14:paraId="5C657754" w14:textId="5582643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Policy / Initiative</w:t>
            </w:r>
          </w:p>
        </w:tc>
        <w:tc>
          <w:tcPr>
            <w:tcW w:w="0" w:type="auto"/>
            <w:hideMark/>
          </w:tcPr>
          <w:p w14:paraId="3B9FA7C2" w14:textId="3F1CF13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Key Features and Policy Focus</w:t>
            </w:r>
          </w:p>
        </w:tc>
        <w:tc>
          <w:tcPr>
            <w:tcW w:w="0" w:type="auto"/>
            <w:hideMark/>
          </w:tcPr>
          <w:p w14:paraId="76F399EF" w14:textId="7777777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Contribution to Agribusiness Value Chains</w:t>
            </w:r>
          </w:p>
        </w:tc>
        <w:tc>
          <w:tcPr>
            <w:tcW w:w="0" w:type="auto"/>
            <w:hideMark/>
          </w:tcPr>
          <w:p w14:paraId="7A656B91" w14:textId="7777777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Major Outcomes / Case Evidence</w:t>
            </w:r>
          </w:p>
        </w:tc>
        <w:tc>
          <w:tcPr>
            <w:tcW w:w="0" w:type="auto"/>
            <w:hideMark/>
          </w:tcPr>
          <w:p w14:paraId="1FDCA2B9" w14:textId="77777777" w:rsidR="000366F8" w:rsidRPr="000366F8" w:rsidRDefault="000366F8" w:rsidP="000366F8">
            <w:pPr>
              <w:jc w:val="center"/>
              <w:rPr>
                <w:rFonts w:ascii="Times New Roman" w:eastAsia="Times New Roman" w:hAnsi="Times New Roman" w:cs="Times New Roman"/>
                <w:b/>
                <w:bCs/>
                <w:kern w:val="0"/>
                <w:sz w:val="24"/>
                <w:szCs w:val="24"/>
                <w:lang w:eastAsia="en-IN"/>
                <w14:ligatures w14:val="none"/>
              </w:rPr>
            </w:pPr>
            <w:r w:rsidRPr="000366F8">
              <w:rPr>
                <w:rFonts w:ascii="Times New Roman" w:eastAsia="Times New Roman" w:hAnsi="Times New Roman" w:cs="Times New Roman"/>
                <w:b/>
                <w:bCs/>
                <w:kern w:val="0"/>
                <w:sz w:val="24"/>
                <w:szCs w:val="24"/>
                <w:lang w:eastAsia="en-IN"/>
                <w14:ligatures w14:val="none"/>
              </w:rPr>
              <w:t>Key References</w:t>
            </w:r>
          </w:p>
        </w:tc>
      </w:tr>
      <w:tr w:rsidR="000366F8" w:rsidRPr="000366F8" w14:paraId="1853B0F2" w14:textId="77777777" w:rsidTr="000366F8">
        <w:tc>
          <w:tcPr>
            <w:tcW w:w="0" w:type="auto"/>
            <w:hideMark/>
          </w:tcPr>
          <w:p w14:paraId="3FFB2A81"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 xml:space="preserve">Central Sector Scheme for </w:t>
            </w:r>
            <w:r w:rsidRPr="000366F8">
              <w:rPr>
                <w:rFonts w:ascii="Times New Roman" w:eastAsia="Times New Roman" w:hAnsi="Times New Roman" w:cs="Times New Roman"/>
                <w:kern w:val="0"/>
                <w:sz w:val="24"/>
                <w:szCs w:val="24"/>
                <w:lang w:eastAsia="en-IN"/>
                <w14:ligatures w14:val="none"/>
              </w:rPr>
              <w:lastRenderedPageBreak/>
              <w:t>Formation and Promotion of 10,000 FPOs</w:t>
            </w:r>
          </w:p>
        </w:tc>
        <w:tc>
          <w:tcPr>
            <w:tcW w:w="0" w:type="auto"/>
            <w:hideMark/>
          </w:tcPr>
          <w:p w14:paraId="219A66D0" w14:textId="4DDD3E59"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 xml:space="preserve">Launched to strengthen </w:t>
            </w:r>
            <w:r w:rsidRPr="000366F8">
              <w:rPr>
                <w:rFonts w:ascii="Times New Roman" w:eastAsia="Times New Roman" w:hAnsi="Times New Roman" w:cs="Times New Roman"/>
                <w:kern w:val="0"/>
                <w:sz w:val="24"/>
                <w:szCs w:val="24"/>
                <w:lang w:eastAsia="en-IN"/>
                <w14:ligatures w14:val="none"/>
              </w:rPr>
              <w:lastRenderedPageBreak/>
              <w:t>collective farming, provide institutional support, credit access, and market linkages for smallholders through FPOs.</w:t>
            </w:r>
          </w:p>
        </w:tc>
        <w:tc>
          <w:tcPr>
            <w:tcW w:w="0" w:type="auto"/>
            <w:hideMark/>
          </w:tcPr>
          <w:p w14:paraId="3B670C22"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 xml:space="preserve">Improved aggregation, </w:t>
            </w:r>
            <w:r w:rsidRPr="000366F8">
              <w:rPr>
                <w:rFonts w:ascii="Times New Roman" w:eastAsia="Times New Roman" w:hAnsi="Times New Roman" w:cs="Times New Roman"/>
                <w:kern w:val="0"/>
                <w:sz w:val="24"/>
                <w:szCs w:val="24"/>
                <w:lang w:eastAsia="en-IN"/>
                <w14:ligatures w14:val="none"/>
              </w:rPr>
              <w:lastRenderedPageBreak/>
              <w:t>collective bargaining, input procurement, and direct market participation.</w:t>
            </w:r>
          </w:p>
        </w:tc>
        <w:tc>
          <w:tcPr>
            <w:tcW w:w="0" w:type="auto"/>
            <w:hideMark/>
          </w:tcPr>
          <w:p w14:paraId="7B4954A2"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 xml:space="preserve">Enhanced farmer participation in </w:t>
            </w:r>
            <w:r w:rsidRPr="000366F8">
              <w:rPr>
                <w:rFonts w:ascii="Times New Roman" w:eastAsia="Times New Roman" w:hAnsi="Times New Roman" w:cs="Times New Roman"/>
                <w:kern w:val="0"/>
                <w:sz w:val="24"/>
                <w:szCs w:val="24"/>
                <w:lang w:eastAsia="en-IN"/>
                <w14:ligatures w14:val="none"/>
              </w:rPr>
              <w:lastRenderedPageBreak/>
              <w:t>organized markets and increased income opportunities for small and marginal farmers.</w:t>
            </w:r>
          </w:p>
        </w:tc>
        <w:tc>
          <w:tcPr>
            <w:tcW w:w="0" w:type="auto"/>
            <w:hideMark/>
          </w:tcPr>
          <w:p w14:paraId="4740B45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 xml:space="preserve">Government of India; </w:t>
            </w:r>
            <w:r w:rsidRPr="000366F8">
              <w:rPr>
                <w:rFonts w:ascii="Times New Roman" w:eastAsia="Times New Roman" w:hAnsi="Times New Roman" w:cs="Times New Roman"/>
                <w:kern w:val="0"/>
                <w:sz w:val="24"/>
                <w:szCs w:val="24"/>
                <w:lang w:eastAsia="en-IN"/>
                <w14:ligatures w14:val="none"/>
              </w:rPr>
              <w:lastRenderedPageBreak/>
              <w:t>Arahant et al. (2025); Gupta &amp; Singh (2023); Pandey &amp; Singh (2022)</w:t>
            </w:r>
          </w:p>
        </w:tc>
      </w:tr>
      <w:tr w:rsidR="000366F8" w:rsidRPr="000366F8" w14:paraId="1E5C7BDB" w14:textId="77777777" w:rsidTr="000366F8">
        <w:tc>
          <w:tcPr>
            <w:tcW w:w="0" w:type="auto"/>
            <w:hideMark/>
          </w:tcPr>
          <w:p w14:paraId="5DB7FBFE"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SFAC Support Programme</w:t>
            </w:r>
          </w:p>
        </w:tc>
        <w:tc>
          <w:tcPr>
            <w:tcW w:w="0" w:type="auto"/>
            <w:hideMark/>
          </w:tcPr>
          <w:p w14:paraId="764B356F" w14:textId="13FB9319"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The Small Farmers’ Agribusiness Consortium provides equity grants, credit guarantees, and business support services to FPOs.</w:t>
            </w:r>
          </w:p>
        </w:tc>
        <w:tc>
          <w:tcPr>
            <w:tcW w:w="0" w:type="auto"/>
            <w:hideMark/>
          </w:tcPr>
          <w:p w14:paraId="3E4DCE52"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Facilitated access to finance and strengthened agribusiness entrepreneurship.</w:t>
            </w:r>
          </w:p>
        </w:tc>
        <w:tc>
          <w:tcPr>
            <w:tcW w:w="0" w:type="auto"/>
            <w:hideMark/>
          </w:tcPr>
          <w:p w14:paraId="49F10850"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Many FPOs achieved better financial sustainability and improved value chain integration.</w:t>
            </w:r>
          </w:p>
        </w:tc>
        <w:tc>
          <w:tcPr>
            <w:tcW w:w="0" w:type="auto"/>
            <w:hideMark/>
          </w:tcPr>
          <w:p w14:paraId="3ED8CDD0"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Mukherjee et al. (2021); Nikam et al. (2021); Saha &amp; Banerjee (2022)</w:t>
            </w:r>
          </w:p>
        </w:tc>
      </w:tr>
      <w:tr w:rsidR="000366F8" w:rsidRPr="000366F8" w14:paraId="30508B0E" w14:textId="77777777" w:rsidTr="000366F8">
        <w:tc>
          <w:tcPr>
            <w:tcW w:w="0" w:type="auto"/>
            <w:hideMark/>
          </w:tcPr>
          <w:p w14:paraId="5D084B7C"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NABARD Producer Organization Development Fund (PODF)</w:t>
            </w:r>
          </w:p>
        </w:tc>
        <w:tc>
          <w:tcPr>
            <w:tcW w:w="0" w:type="auto"/>
            <w:hideMark/>
          </w:tcPr>
          <w:p w14:paraId="2244C677" w14:textId="798DFAB2"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National Bank for Agriculture and Rural Development supports producer organizations through capacity building, training, and incubation.</w:t>
            </w:r>
          </w:p>
        </w:tc>
        <w:tc>
          <w:tcPr>
            <w:tcW w:w="0" w:type="auto"/>
            <w:hideMark/>
          </w:tcPr>
          <w:p w14:paraId="437E84B8"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Enhanced managerial efficiency, governance, and rural enterprise development.</w:t>
            </w:r>
          </w:p>
        </w:tc>
        <w:tc>
          <w:tcPr>
            <w:tcW w:w="0" w:type="auto"/>
            <w:hideMark/>
          </w:tcPr>
          <w:p w14:paraId="67B6573D"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Increased operational efficiency and improved market access for rural producer companies.</w:t>
            </w:r>
          </w:p>
        </w:tc>
        <w:tc>
          <w:tcPr>
            <w:tcW w:w="0" w:type="auto"/>
            <w:hideMark/>
          </w:tcPr>
          <w:p w14:paraId="593DBB8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Meena et al. (2021); Ghosh &amp; Roy (2021); Mahajan &amp; Tomar (2022)</w:t>
            </w:r>
          </w:p>
        </w:tc>
      </w:tr>
      <w:tr w:rsidR="000366F8" w:rsidRPr="000366F8" w14:paraId="596F1FF5" w14:textId="77777777" w:rsidTr="000366F8">
        <w:tc>
          <w:tcPr>
            <w:tcW w:w="0" w:type="auto"/>
            <w:hideMark/>
          </w:tcPr>
          <w:p w14:paraId="1CF35D79"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e-NAM Integration with FPOs</w:t>
            </w:r>
          </w:p>
        </w:tc>
        <w:tc>
          <w:tcPr>
            <w:tcW w:w="0" w:type="auto"/>
            <w:hideMark/>
          </w:tcPr>
          <w:p w14:paraId="3F55A613" w14:textId="24617A04"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Integration of FPOs with the electronic National Agriculture Market platform to promote digital trading and transparent pricing.</w:t>
            </w:r>
          </w:p>
        </w:tc>
        <w:tc>
          <w:tcPr>
            <w:tcW w:w="0" w:type="auto"/>
            <w:hideMark/>
          </w:tcPr>
          <w:p w14:paraId="53D10CCE"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Reduced intermediaries and improved price realization through digital market access.</w:t>
            </w:r>
          </w:p>
        </w:tc>
        <w:tc>
          <w:tcPr>
            <w:tcW w:w="0" w:type="auto"/>
            <w:hideMark/>
          </w:tcPr>
          <w:p w14:paraId="15E515E0"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Farmers gained wider market connectivity and more competitive prices for produce.</w:t>
            </w:r>
          </w:p>
        </w:tc>
        <w:tc>
          <w:tcPr>
            <w:tcW w:w="0" w:type="auto"/>
            <w:hideMark/>
          </w:tcPr>
          <w:p w14:paraId="10850074"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Rao &amp; Sahu (2022); Mittal &amp; Hariharan (2023); Vedasri &amp; Mishra (2022)</w:t>
            </w:r>
          </w:p>
        </w:tc>
      </w:tr>
      <w:tr w:rsidR="000366F8" w:rsidRPr="000366F8" w14:paraId="258219FE" w14:textId="77777777" w:rsidTr="000366F8">
        <w:tc>
          <w:tcPr>
            <w:tcW w:w="0" w:type="auto"/>
            <w:hideMark/>
          </w:tcPr>
          <w:p w14:paraId="1729CE3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Agricultural Infrastructure Fund (AIF)</w:t>
            </w:r>
          </w:p>
        </w:tc>
        <w:tc>
          <w:tcPr>
            <w:tcW w:w="0" w:type="auto"/>
            <w:hideMark/>
          </w:tcPr>
          <w:p w14:paraId="39D940D7" w14:textId="77B0ED91"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 xml:space="preserve">Financial assistance for warehouses, cold storage, grading, and primary </w:t>
            </w:r>
            <w:r w:rsidRPr="000366F8">
              <w:rPr>
                <w:rFonts w:ascii="Times New Roman" w:eastAsia="Times New Roman" w:hAnsi="Times New Roman" w:cs="Times New Roman"/>
                <w:kern w:val="0"/>
                <w:sz w:val="24"/>
                <w:szCs w:val="24"/>
                <w:lang w:eastAsia="en-IN"/>
                <w14:ligatures w14:val="none"/>
              </w:rPr>
              <w:lastRenderedPageBreak/>
              <w:t>processing facilities managed by FPOs.</w:t>
            </w:r>
          </w:p>
        </w:tc>
        <w:tc>
          <w:tcPr>
            <w:tcW w:w="0" w:type="auto"/>
            <w:hideMark/>
          </w:tcPr>
          <w:p w14:paraId="5E9953AB"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lastRenderedPageBreak/>
              <w:t>Strengthened post-harvest management and reduced value chain losses.</w:t>
            </w:r>
          </w:p>
        </w:tc>
        <w:tc>
          <w:tcPr>
            <w:tcW w:w="0" w:type="auto"/>
            <w:hideMark/>
          </w:tcPr>
          <w:p w14:paraId="3B2B9F9D"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Better storage and logistics enhanced product quality and supply chain efficiency.</w:t>
            </w:r>
          </w:p>
        </w:tc>
        <w:tc>
          <w:tcPr>
            <w:tcW w:w="0" w:type="auto"/>
            <w:hideMark/>
          </w:tcPr>
          <w:p w14:paraId="1397115F"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 xml:space="preserve">Prasad &amp; Singh (2022); Roy &amp; Ghosh (2023); Yadav &amp; </w:t>
            </w:r>
            <w:r w:rsidRPr="000366F8">
              <w:rPr>
                <w:rFonts w:ascii="Times New Roman" w:eastAsia="Times New Roman" w:hAnsi="Times New Roman" w:cs="Times New Roman"/>
                <w:kern w:val="0"/>
                <w:sz w:val="24"/>
                <w:szCs w:val="24"/>
                <w:lang w:eastAsia="en-IN"/>
                <w14:ligatures w14:val="none"/>
              </w:rPr>
              <w:lastRenderedPageBreak/>
              <w:t>Sharma (2024)</w:t>
            </w:r>
          </w:p>
        </w:tc>
      </w:tr>
      <w:tr w:rsidR="000366F8" w:rsidRPr="000366F8" w14:paraId="7D4B46A4" w14:textId="77777777" w:rsidTr="000366F8">
        <w:tc>
          <w:tcPr>
            <w:tcW w:w="0" w:type="auto"/>
            <w:hideMark/>
          </w:tcPr>
          <w:p w14:paraId="0B2BECC2"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Mission for Integrated Development of Horticulture (MIDH)</w:t>
            </w:r>
          </w:p>
        </w:tc>
        <w:tc>
          <w:tcPr>
            <w:tcW w:w="0" w:type="auto"/>
            <w:hideMark/>
          </w:tcPr>
          <w:p w14:paraId="2F268CE5" w14:textId="09C4167E"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Support for horticulture clusters, farmer collectives, and value addition activities.</w:t>
            </w:r>
          </w:p>
        </w:tc>
        <w:tc>
          <w:tcPr>
            <w:tcW w:w="0" w:type="auto"/>
            <w:hideMark/>
          </w:tcPr>
          <w:p w14:paraId="74F7EC6E"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Encouraged diversification into high-value crops and processing activities.</w:t>
            </w:r>
          </w:p>
        </w:tc>
        <w:tc>
          <w:tcPr>
            <w:tcW w:w="0" w:type="auto"/>
            <w:hideMark/>
          </w:tcPr>
          <w:p w14:paraId="66361D7D"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Increased participation of horticulture farmers in organized supply chains.</w:t>
            </w:r>
          </w:p>
        </w:tc>
        <w:tc>
          <w:tcPr>
            <w:tcW w:w="0" w:type="auto"/>
            <w:hideMark/>
          </w:tcPr>
          <w:p w14:paraId="4516230B"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val="it-IT" w:eastAsia="en-IN"/>
                <w14:ligatures w14:val="none"/>
              </w:rPr>
              <w:t xml:space="preserve">Sharma &amp; Rao (2021); Kumari et al. </w:t>
            </w:r>
            <w:r w:rsidRPr="000366F8">
              <w:rPr>
                <w:rFonts w:ascii="Times New Roman" w:eastAsia="Times New Roman" w:hAnsi="Times New Roman" w:cs="Times New Roman"/>
                <w:kern w:val="0"/>
                <w:sz w:val="24"/>
                <w:szCs w:val="24"/>
                <w:lang w:eastAsia="en-IN"/>
                <w14:ligatures w14:val="none"/>
              </w:rPr>
              <w:t>(2021); Thakur &amp; Chander (2023)</w:t>
            </w:r>
          </w:p>
        </w:tc>
      </w:tr>
      <w:tr w:rsidR="000366F8" w:rsidRPr="000366F8" w14:paraId="02A55AFA" w14:textId="77777777" w:rsidTr="000366F8">
        <w:tc>
          <w:tcPr>
            <w:tcW w:w="0" w:type="auto"/>
            <w:hideMark/>
          </w:tcPr>
          <w:p w14:paraId="4BE20620"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Digital Agriculture and Agri-Tech Support Policies</w:t>
            </w:r>
          </w:p>
        </w:tc>
        <w:tc>
          <w:tcPr>
            <w:tcW w:w="0" w:type="auto"/>
            <w:hideMark/>
          </w:tcPr>
          <w:p w14:paraId="3911DFE7" w14:textId="7F176D76"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Promotion of digital advisory services, agri-platforms, and smart agriculture through FPO networks.</w:t>
            </w:r>
          </w:p>
        </w:tc>
        <w:tc>
          <w:tcPr>
            <w:tcW w:w="0" w:type="auto"/>
            <w:hideMark/>
          </w:tcPr>
          <w:p w14:paraId="7DC7786E"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Improved information flow, traceability, and market intelligence within value chains.</w:t>
            </w:r>
          </w:p>
        </w:tc>
        <w:tc>
          <w:tcPr>
            <w:tcW w:w="0" w:type="auto"/>
            <w:hideMark/>
          </w:tcPr>
          <w:p w14:paraId="68641A28"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FPOs adopted digital tools for input supply, marketing, and extension services.</w:t>
            </w:r>
          </w:p>
        </w:tc>
        <w:tc>
          <w:tcPr>
            <w:tcW w:w="0" w:type="auto"/>
            <w:hideMark/>
          </w:tcPr>
          <w:p w14:paraId="634C56A8"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Rao &amp; Sahu (2022); Patel &amp; Choudhary (2024); Sontakki &amp; Bhat (2024)</w:t>
            </w:r>
          </w:p>
        </w:tc>
      </w:tr>
      <w:tr w:rsidR="000366F8" w:rsidRPr="000366F8" w14:paraId="7B348DD5" w14:textId="77777777" w:rsidTr="000366F8">
        <w:tc>
          <w:tcPr>
            <w:tcW w:w="0" w:type="auto"/>
            <w:hideMark/>
          </w:tcPr>
          <w:p w14:paraId="1C9FEA89"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Policies Promoting Women-led FPOs</w:t>
            </w:r>
          </w:p>
        </w:tc>
        <w:tc>
          <w:tcPr>
            <w:tcW w:w="0" w:type="auto"/>
            <w:hideMark/>
          </w:tcPr>
          <w:p w14:paraId="3DF548B6" w14:textId="6ABF0FB3"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Government initiatives encouraging women participation in producer companies and rural enterprises.</w:t>
            </w:r>
          </w:p>
        </w:tc>
        <w:tc>
          <w:tcPr>
            <w:tcW w:w="0" w:type="auto"/>
            <w:hideMark/>
          </w:tcPr>
          <w:p w14:paraId="05F34EC7"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Strengthened inclusive agribusiness development and social empowerment.</w:t>
            </w:r>
          </w:p>
        </w:tc>
        <w:tc>
          <w:tcPr>
            <w:tcW w:w="0" w:type="auto"/>
            <w:hideMark/>
          </w:tcPr>
          <w:p w14:paraId="6221E7E8"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Women members reported improved leadership roles, income access, and entrepreneurship opportunities.</w:t>
            </w:r>
          </w:p>
        </w:tc>
        <w:tc>
          <w:tcPr>
            <w:tcW w:w="0" w:type="auto"/>
            <w:hideMark/>
          </w:tcPr>
          <w:p w14:paraId="49CA914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Shukla &amp; Pattnaik (2023); Singh &amp; Pundir (2023); Agarwal (2021)</w:t>
            </w:r>
          </w:p>
        </w:tc>
      </w:tr>
      <w:tr w:rsidR="000366F8" w:rsidRPr="000366F8" w14:paraId="714C4D4D" w14:textId="77777777" w:rsidTr="000366F8">
        <w:tc>
          <w:tcPr>
            <w:tcW w:w="0" w:type="auto"/>
            <w:hideMark/>
          </w:tcPr>
          <w:p w14:paraId="2A322F4C"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Climate-Smart Agriculture Support through FPOs</w:t>
            </w:r>
          </w:p>
        </w:tc>
        <w:tc>
          <w:tcPr>
            <w:tcW w:w="0" w:type="auto"/>
            <w:hideMark/>
          </w:tcPr>
          <w:p w14:paraId="624D4775" w14:textId="70513E79"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Policy emphasis on sustainable farming, climate resilience, and resource-efficient agriculture.</w:t>
            </w:r>
          </w:p>
        </w:tc>
        <w:tc>
          <w:tcPr>
            <w:tcW w:w="0" w:type="auto"/>
            <w:hideMark/>
          </w:tcPr>
          <w:p w14:paraId="49BB2CF8"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Encouraged adoption of sustainable production practices and resilient supply chains.</w:t>
            </w:r>
          </w:p>
        </w:tc>
        <w:tc>
          <w:tcPr>
            <w:tcW w:w="0" w:type="auto"/>
            <w:hideMark/>
          </w:tcPr>
          <w:p w14:paraId="2CB8FB4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Improved adaptation to climate variability and sustainable agribusiness practices.</w:t>
            </w:r>
          </w:p>
        </w:tc>
        <w:tc>
          <w:tcPr>
            <w:tcW w:w="0" w:type="auto"/>
            <w:hideMark/>
          </w:tcPr>
          <w:p w14:paraId="4F8D0D83"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Verma &amp; Yadav (2025); Singh &amp; Vatta (2022); Zeweld et al. (2021)</w:t>
            </w:r>
          </w:p>
        </w:tc>
      </w:tr>
      <w:tr w:rsidR="000366F8" w:rsidRPr="000366F8" w14:paraId="382E6902" w14:textId="77777777" w:rsidTr="000366F8">
        <w:tc>
          <w:tcPr>
            <w:tcW w:w="0" w:type="auto"/>
            <w:hideMark/>
          </w:tcPr>
          <w:p w14:paraId="173E86B3"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Public–Private Partnership (PPP) Initiatives with FPOs</w:t>
            </w:r>
          </w:p>
        </w:tc>
        <w:tc>
          <w:tcPr>
            <w:tcW w:w="0" w:type="auto"/>
            <w:hideMark/>
          </w:tcPr>
          <w:p w14:paraId="54C24117" w14:textId="01A1D733"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Collaboration among government agencies, private firms, and FPOs for value chain development.</w:t>
            </w:r>
          </w:p>
        </w:tc>
        <w:tc>
          <w:tcPr>
            <w:tcW w:w="0" w:type="auto"/>
            <w:hideMark/>
          </w:tcPr>
          <w:p w14:paraId="3B47F4CF"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Expanded access to technology, processing facilities, and export-oriented markets.</w:t>
            </w:r>
          </w:p>
        </w:tc>
        <w:tc>
          <w:tcPr>
            <w:tcW w:w="0" w:type="auto"/>
            <w:hideMark/>
          </w:tcPr>
          <w:p w14:paraId="528780CA"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Stronger market integration and higher-value commercialization opportunities for farmers.</w:t>
            </w:r>
          </w:p>
        </w:tc>
        <w:tc>
          <w:tcPr>
            <w:tcW w:w="0" w:type="auto"/>
            <w:hideMark/>
          </w:tcPr>
          <w:p w14:paraId="3364AC2F" w14:textId="77777777" w:rsidR="000366F8" w:rsidRPr="000366F8" w:rsidRDefault="000366F8" w:rsidP="000366F8">
            <w:pPr>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Narrod et al. (2021); Chatterjee &amp; Gulati (2019); Kumar et al. (2021)</w:t>
            </w:r>
          </w:p>
        </w:tc>
      </w:tr>
    </w:tbl>
    <w:p w14:paraId="677F34B6" w14:textId="77777777" w:rsidR="000366F8" w:rsidRPr="000366F8" w:rsidRDefault="000366F8" w:rsidP="000366F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 xml:space="preserve">The Indian government has increasingly recognized Farmer Producer Organizations (FPOs) as important institutional mechanisms for strengthening agribusiness value chains and improving the socio-economic conditions of small and marginal farmers. Policies such as the Central Sector Scheme for 10,000 FPOs, support from Small Farmers’ Agribusiness Consortium and </w:t>
      </w:r>
      <w:r w:rsidRPr="000366F8">
        <w:rPr>
          <w:rFonts w:ascii="Times New Roman" w:eastAsia="Times New Roman" w:hAnsi="Times New Roman" w:cs="Times New Roman"/>
          <w:kern w:val="0"/>
          <w:sz w:val="24"/>
          <w:szCs w:val="24"/>
          <w:lang w:eastAsia="en-IN"/>
          <w14:ligatures w14:val="none"/>
        </w:rPr>
        <w:lastRenderedPageBreak/>
        <w:t>National Bank for Agriculture and Rural Development, digital agriculture initiatives, and infrastructure financing schemes have significantly enhanced farmers’ access to markets, finance, storage, technology, and extension services. These initiatives have promoted collective marketing, value addition, financial inclusion, and sustainable agricultural practices. Evidence from recent studies further indicates that policy-backed FPOs improve market efficiency, increase bargaining power, reduce transaction costs, and support inclusive rural transformation across Indian agribusiness systems.</w:t>
      </w:r>
    </w:p>
    <w:p w14:paraId="7C2F1F45" w14:textId="77777777" w:rsidR="000366F8" w:rsidRPr="00990C6F" w:rsidRDefault="000366F8" w:rsidP="00990C6F">
      <w:pPr>
        <w:spacing w:after="0" w:line="240" w:lineRule="auto"/>
        <w:jc w:val="both"/>
        <w:rPr>
          <w:rFonts w:ascii="Times New Roman" w:eastAsia="Times New Roman" w:hAnsi="Times New Roman" w:cs="Times New Roman"/>
          <w:b/>
          <w:bCs/>
          <w:kern w:val="0"/>
          <w:sz w:val="24"/>
          <w:szCs w:val="24"/>
          <w:lang w:eastAsia="en-IN"/>
          <w14:ligatures w14:val="none"/>
        </w:rPr>
      </w:pPr>
    </w:p>
    <w:p w14:paraId="5E768637" w14:textId="77777777" w:rsidR="00990C6F" w:rsidRPr="00990C6F" w:rsidRDefault="00990C6F" w:rsidP="00990C6F">
      <w:pPr>
        <w:spacing w:after="0" w:line="240" w:lineRule="auto"/>
        <w:jc w:val="both"/>
        <w:rPr>
          <w:rFonts w:ascii="Times New Roman" w:eastAsia="Times New Roman" w:hAnsi="Times New Roman" w:cs="Times New Roman"/>
          <w:vanish/>
          <w:kern w:val="0"/>
          <w:sz w:val="24"/>
          <w:szCs w:val="24"/>
          <w:lang w:eastAsia="en-IN"/>
          <w14:ligatures w14:val="none"/>
        </w:rPr>
      </w:pPr>
      <w:r w:rsidRPr="00990C6F">
        <w:rPr>
          <w:rFonts w:ascii="Times New Roman" w:eastAsia="Times New Roman" w:hAnsi="Times New Roman" w:cs="Times New Roman"/>
          <w:vanish/>
          <w:kern w:val="0"/>
          <w:sz w:val="24"/>
          <w:szCs w:val="24"/>
          <w:lang w:eastAsia="en-IN"/>
          <w14:ligatures w14:val="none"/>
        </w:rPr>
        <w:t>Top of Form</w:t>
      </w:r>
    </w:p>
    <w:p w14:paraId="0407D1AA" w14:textId="77777777" w:rsidR="00990C6F" w:rsidRPr="00990C6F" w:rsidRDefault="00990C6F" w:rsidP="00990C6F">
      <w:pPr>
        <w:spacing w:after="0" w:line="240" w:lineRule="auto"/>
        <w:jc w:val="both"/>
        <w:rPr>
          <w:rFonts w:ascii="Times New Roman" w:eastAsia="Times New Roman" w:hAnsi="Times New Roman" w:cs="Times New Roman"/>
          <w:vanish/>
          <w:kern w:val="0"/>
          <w:sz w:val="24"/>
          <w:szCs w:val="24"/>
          <w:lang w:eastAsia="en-IN"/>
          <w14:ligatures w14:val="none"/>
        </w:rPr>
      </w:pPr>
      <w:r w:rsidRPr="00990C6F">
        <w:rPr>
          <w:rFonts w:ascii="Times New Roman" w:eastAsia="Times New Roman" w:hAnsi="Times New Roman" w:cs="Times New Roman"/>
          <w:vanish/>
          <w:kern w:val="0"/>
          <w:sz w:val="24"/>
          <w:szCs w:val="24"/>
          <w:lang w:eastAsia="en-IN"/>
          <w14:ligatures w14:val="none"/>
        </w:rPr>
        <w:t>Bottom of Form</w:t>
      </w:r>
    </w:p>
    <w:p w14:paraId="5423FC93" w14:textId="042BFCB3"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 xml:space="preserve">3. Results </w:t>
      </w:r>
      <w:r w:rsidR="001F3DEC">
        <w:rPr>
          <w:rFonts w:ascii="Times New Roman" w:eastAsia="Times New Roman" w:hAnsi="Times New Roman" w:cs="Times New Roman"/>
          <w:b/>
          <w:bCs/>
          <w:kern w:val="0"/>
          <w:sz w:val="24"/>
          <w:szCs w:val="24"/>
          <w:lang w:eastAsia="en-IN"/>
          <w14:ligatures w14:val="none"/>
        </w:rPr>
        <w:t>and</w:t>
      </w:r>
      <w:r w:rsidRPr="004C4A5B">
        <w:rPr>
          <w:rFonts w:ascii="Times New Roman" w:eastAsia="Times New Roman" w:hAnsi="Times New Roman" w:cs="Times New Roman"/>
          <w:b/>
          <w:bCs/>
          <w:kern w:val="0"/>
          <w:sz w:val="24"/>
          <w:szCs w:val="24"/>
          <w:lang w:eastAsia="en-IN"/>
          <w14:ligatures w14:val="none"/>
        </w:rPr>
        <w:t xml:space="preserve"> Discussion</w:t>
      </w:r>
    </w:p>
    <w:p w14:paraId="039D75CA"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 Role of FPOs in Strengthening Agribusiness Value Chains</w:t>
      </w:r>
    </w:p>
    <w:p w14:paraId="4ABC6674"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Farmer Producer Organizations (FPOs) have become a key institutional framework for integrating small and marginal farmers into organized agribusiness value chains. In developing economies, fragmented landholdings, weak market participation, and limited bargaining capacity often prevent farmers from obtaining fair economic returns. FPOs help overcome these limitations by promoting collective action, improving economies of scale, and strengthening farmers’ participation in input and output markets. Recent studies have shown that farmer collectives enhance market integration, improve price realization, and support inclusive rural development (Chatterjee &amp; Gulati, 2019; Kumar et al., 2021; Yadav &amp; Sharma, 2024). FPOs are increasingly recognized not only as marketing institutions but also as drivers of socio-economic resilience, sustainability, and rural transformation (Arahant et al., 2025; Singh &amp; Pundir, 2023).</w:t>
      </w:r>
    </w:p>
    <w:p w14:paraId="38B34017"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3.1.1 Input Supply and Resource Management</w:t>
      </w:r>
    </w:p>
    <w:p w14:paraId="4FAE84ED"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One of the most significant functions of FPOs is the collective procurement and distribution of agricultural inputs such as seeds, fertilizers, pesticides, irrigation tools, and farm machinery. Through bulk purchasing, FPOs reduce transaction costs and improve access to quality inputs at affordable prices. This collective approach also minimizes farmers’ dependence on local traders and intermediaries who often charge higher prices or supply substandard materials. Evidence from various developing regions indicates that organized farmer groups improve the adoption of modern technologies, extension services, and efficient farming practices (Blekking et al., 2021; Abdallah &amp; Abdul-Rahaman, 2021).</w:t>
      </w:r>
    </w:p>
    <w:p w14:paraId="752E5861"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FPOs also encourage resource-sharing mechanisms such as custom hiring centers, shared irrigation systems, and collective machinery use, which are especially beneficial for smallholders with limited capital. Such practices enhance operational efficiency and contribute to sustainable resource management. Research by Verma and Aggarwal (2022) and Singh and Vatta (2022) emphasized that collective institutions promote climate-resilient agriculture and resource conservation through coordinated community action.</w:t>
      </w:r>
    </w:p>
    <w:p w14:paraId="0E016ABE"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3.1.2 Aggregation and Collective Marketing</w:t>
      </w:r>
    </w:p>
    <w:p w14:paraId="6768A4E8"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Aggregation of farm produce is another critical contribution of FPOs to agribusiness value chains. Small-scale farmers generally produce in low volumes and therefore face disadvantages in fragmented and competitive markets. By pooling produce from multiple members, FPOs improve farmers’ negotiating power and facilitate direct market participation. Studies have demonstrated that collective marketing significantly increases farmers’ income, reduces dependence on middlemen, and improves market efficiency (Venkatesh &amp; Sangeetha, 2021; Sharma &amp; Rao, 2021).</w:t>
      </w:r>
    </w:p>
    <w:p w14:paraId="348B46BA"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 xml:space="preserve">In India and other Asian countries, FPOs have enabled farmers to establish direct linkages with wholesalers, supermarkets, processors, and institutional buyers. This reduces marketing margins and transportation costs while ensuring better price realization (Mishra et al., 2023; Kumar &amp; Kapoor, 2023). Research by Chandrasekhar and Ghosh (2021) further highlighted that farmer collectives strengthen agricultural market integration and improve farmers’ access </w:t>
      </w:r>
      <w:r w:rsidRPr="004C4A5B">
        <w:rPr>
          <w:rFonts w:ascii="Times New Roman" w:eastAsia="Times New Roman" w:hAnsi="Times New Roman" w:cs="Times New Roman"/>
          <w:kern w:val="0"/>
          <w:sz w:val="24"/>
          <w:szCs w:val="24"/>
          <w:lang w:eastAsia="en-IN"/>
          <w14:ligatures w14:val="none"/>
        </w:rPr>
        <w:lastRenderedPageBreak/>
        <w:t>to organized supply chains. Digital marketplaces and electronic trading platforms are also expanding marketing opportunities for FPOs, making agricultural transactions more transparent and efficient (Mittal &amp; Hariharan, 2023).</w:t>
      </w:r>
    </w:p>
    <w:p w14:paraId="5E251D5E"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3.1.3 Value Addition and Processing</w:t>
      </w:r>
    </w:p>
    <w:p w14:paraId="50E48A25"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Many FPOs are gradually moving beyond primary production and entering value addition activities such as grading, sorting, packaging, branding, storage, and agro-processing. These interventions enable farmers to capture a larger share of consumer value and reduce post-harvest losses. Value addition also supports income diversification and strengthens the competitiveness of rural enterprises. Dey and Sarker (2022) observed that institutional innovations within FPOs significantly improve value-chain efficiency and rural economic participation.</w:t>
      </w:r>
    </w:p>
    <w:p w14:paraId="6A9495F7"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Processing activities undertaken by FPOs in sectors such as dairy, pulses, spices, fruits, and vegetables have generated employment opportunities and stimulated rural industrialization. Studies by Roy and Ghosh (2023) and Raut et al. (2021) demonstrated that collaborative innovation and sustainable supply-chain practices improve the long-term viability of farmer collectives. In several successful Indian cases, FPOs have established local brands and processing units, thereby strengthening regional agribusiness ecosystems.</w:t>
      </w:r>
    </w:p>
    <w:p w14:paraId="614A0D7A"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3.1.4 Market Linkages and Supply Chain Integration</w:t>
      </w:r>
    </w:p>
    <w:p w14:paraId="70F3FEF9"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The modernization of agricultural markets has increased the demand for quality assurance, traceability, standardized products, and timely delivery. FPOs play a crucial role in connecting farmers with processors, exporters, retailers, agribusiness firms, and digital platforms. Such linkages improve supply-chain coordination and reduce inefficiencies in agricultural marketing systems. Chatterjee and Gulati (2019) and Hellin and Higman (2022) emphasized that organized farmer institutions are better positioned to meet market standards and participate in inclusive value chains.</w:t>
      </w:r>
    </w:p>
    <w:p w14:paraId="5B8987BF"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Digital agriculture has further expanded the role of FPOs in market integration. ICT-based advisory services, mobile applications, e-commerce platforms, and digital payment systems provide farmers with real-time information related to prices, weather, demand trends, and logistics (Rao &amp; Sahu, 2022). Studies by Mittal and Hariharan (2023) found that digital platforms enhance transparency and reduce information asymmetry in agricultural markets. FPOs also facilitate contract farming arrangements and public–private partnerships, enabling farmers to access high-value and export-oriented markets (Narrod et al., 2021; Barika et al., 2025).</w:t>
      </w:r>
    </w:p>
    <w:p w14:paraId="46299CCD"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3.1.5 Financial Inclusion and Credit Access</w:t>
      </w:r>
    </w:p>
    <w:p w14:paraId="45714C53"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Limited access to institutional finance remains one of the major constraints faced by smallholder farmers. FPOs contribute to financial inclusion by improving collective creditworthiness and linking members with banks, cooperatives, insurance providers, and government support schemes. Group-based lending mechanisms reduce lending risks for financial institutions and improve access to working capital for farmers (Prasad &amp; Singh, 2022).</w:t>
      </w:r>
    </w:p>
    <w:p w14:paraId="11DEE33E" w14:textId="1724487E"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Government initiatives in India, particularly through agencies such as NABARD and SFAC, have supported FPO financing, capacity building, and infrastructure development. However, the effectiveness of such interventions largely depends on organizational governance, financial transparency, and managerial efficiency (Pandey &amp; Singh, 2022). Thomas and Satapathy (2024) reported that sustainable financial inclusion requires strong institutional systems and improved managerial capabilities within FPOs.</w:t>
      </w:r>
    </w:p>
    <w:p w14:paraId="2EC08915"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3.2 Opportunities Associated with FPOs</w:t>
      </w:r>
    </w:p>
    <w:p w14:paraId="2B57B004"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 xml:space="preserve">FPOs generate multiple economic and social opportunities for rural communities. By reducing transaction costs and improving collective bargaining strength, they contribute to higher farm incomes, livelihood diversification, and rural employment generation. Studies have </w:t>
      </w:r>
      <w:r w:rsidRPr="004C4A5B">
        <w:rPr>
          <w:rFonts w:ascii="Times New Roman" w:eastAsia="Times New Roman" w:hAnsi="Times New Roman" w:cs="Times New Roman"/>
          <w:kern w:val="0"/>
          <w:sz w:val="24"/>
          <w:szCs w:val="24"/>
          <w:lang w:eastAsia="en-IN"/>
          <w14:ligatures w14:val="none"/>
        </w:rPr>
        <w:lastRenderedPageBreak/>
        <w:t>consistently shown that participation in farmer collectives positively influences household income, market participation, and agricultural commercialization (Ma et al., 2022; Birthal et al., 2021).</w:t>
      </w:r>
    </w:p>
    <w:p w14:paraId="5E084492"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Another important opportunity associated with FPOs is the promotion of rural entrepreneurship. Agro-based enterprises such as processing units, seed distribution centers, custom hiring services, and storage facilities create new business opportunities in rural areas (Bairwa et al., 2022). Agribusiness incubation initiatives and FPO-led enterprises further strengthen innovation and local economic development (Kaur &amp; Singla, 2022).</w:t>
      </w:r>
    </w:p>
    <w:p w14:paraId="7E3B7AF0"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Women-led FPOs and producer collectives have also contributed significantly to social inclusion and gender empowerment. Research by Shukla and Pattnaik (2023) highlighted that women’s participation in FPOs enhances decision-making capacity, financial independence, and entrepreneurial engagement. Similarly, Dutta and Fischer (2023) emphasized the role of collective institutions in strengthening social capital and community resilience.</w:t>
      </w:r>
    </w:p>
    <w:p w14:paraId="4AE84A97"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Technological advancement offers additional opportunities for FPO growth. Digital advisory systems, mobile-based extension services, online marketplaces, and precision agriculture tools help farmers improve productivity and market access (Rao &amp; Sahu, 2022). Agri-startups and digital platforms are increasingly collaborating with FPOs to modernize supply chains and strengthen rural transformation processes (Sontakki &amp; Bhat, 2024).</w:t>
      </w:r>
    </w:p>
    <w:p w14:paraId="4C825101"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Export-oriented agriculture represents another emerging opportunity. FPOs can support farmers in meeting certification requirements, food safety standards, and traceability systems needed for international markets. Research on inclusive value chains in Asia suggests that organized farmer institutions improve farmers’ integration into global agribusiness systems (Zhao &amp; Yang, 2022).</w:t>
      </w:r>
    </w:p>
    <w:p w14:paraId="168437B1" w14:textId="51831B3C"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FPOs also contribute to sustainable agricultural development through climate-smart farming, collective natural resource management, and environmentally responsible production practices. Community-based institutions encourage farmers to adopt sustainable technologies and resilience-building strategies (Verma &amp; Yadav, 2025; Zeweld et al., 2021).</w:t>
      </w:r>
    </w:p>
    <w:p w14:paraId="69593B71"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3.3 Constraints and Challenges Faced by FPOs</w:t>
      </w:r>
    </w:p>
    <w:p w14:paraId="1F4A5C75"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Despite their growing importance, many FPOs continue to face institutional, financial, and operational challenges that limit their effectiveness. Weak governance structures, inadequate professional management, and poor accountability mechanisms often reduce organizational performance and member trust. Studies by Ghosh and Roy (2021) and Yadav and Rai (2023) revealed that ineffective leadership and weak governance systems are among the major reasons for the poor sustainability of several FPOs.</w:t>
      </w:r>
    </w:p>
    <w:p w14:paraId="02C9B865"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Financial limitations remain another major concern. Many FPOs lack adequate working capital, collateral security, and long-term credit support, which restricts investment in infrastructure, processing facilities, storage systems, and market expansion activities (Thomas &amp; Satapathy, 2024). Limited access to institutional finance often forces FPOs to rely on informal credit sources, increasing financial vulnerability.</w:t>
      </w:r>
    </w:p>
    <w:p w14:paraId="0FB39D89"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Infrastructure gaps such as poor rural roads, inadequate warehouses, insufficient cold-chain systems, and weak transportation networks further reduce supply-chain efficiency. These limitations contribute to significant post-harvest losses and reduce market competitiveness. Additionally, volatile agricultural markets and fluctuating commodity prices create uncertainty for farmer collectives operating in competitive agribusiness environments.</w:t>
      </w:r>
    </w:p>
    <w:p w14:paraId="78AF5601"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Another critical challenge is the lack of managerial and technical skills among FPO members. Many smallholder farmers have limited exposure to digital technologies, business planning, accounting systems, and value-chain management practices. Insufficient training and weak extension support reduce organizational efficiency and innovation capacity (Patel &amp; Choudhary, 2024).</w:t>
      </w:r>
    </w:p>
    <w:p w14:paraId="3D7725E0" w14:textId="1E455F41"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lastRenderedPageBreak/>
        <w:t>Policy and institutional bottlenecks also affect the growth of FPOs. Complex registration procedures, overlapping regulations, inconsistent policy implementation, and weak coordination among support agencies often create administrative difficulties (Gupta &amp; Singh, 2023). Saxena and Kumar (2025) further argued that scaling-up FPOs requires a more supportive policy ecosystem and region-specific institutional strategies.</w:t>
      </w:r>
    </w:p>
    <w:p w14:paraId="1EF4C523"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3.4 Comparative Analysis of Successful FPO Models</w:t>
      </w:r>
    </w:p>
    <w:p w14:paraId="2F3BA37C"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Successful FPO experiences from India and other developing countries reveal several common factors that contribute to organizational sustainability and market success. In India, dairy cooperatives based on the Anand model demonstrated how professional management, strong institutional support, and effective market linkages can transform rural livelihoods and strengthen farmer participation in value chains. Similar success has been observed in horticulture, dairy, and export-oriented commodity sectors.</w:t>
      </w:r>
    </w:p>
    <w:p w14:paraId="1DFBA8BC"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Studies from Asia and Africa suggest that high-performing farmer organizations generally maintain strong governance systems, transparent decision-making processes, efficient financial management, and active member participation (Kilelu et al., 2021). Export-linked producer organizations have been particularly successful where quality standards, traceability systems, and market-oriented operations are effectively maintained.</w:t>
      </w:r>
    </w:p>
    <w:p w14:paraId="3BB31AF3" w14:textId="24FC57FE"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Comparative evidence also indicates that social capital, trust, and collective commitment play a vital role in sustaining FPOs over time. Organizations with continuous capacity-building support and strong institutional partnerships tend to perform better in competitive agribusiness environments (Jose &amp; Chathukulam, 2025). These findings suggest that successful FPO models cannot simply be replicated through uniform policy interventions; instead, localized and context-specific strategies are necessary for long-term sustainability.</w:t>
      </w:r>
    </w:p>
    <w:p w14:paraId="611DB8BD" w14:textId="77777777" w:rsidR="004C4A5B" w:rsidRPr="004C4A5B" w:rsidRDefault="004C4A5B" w:rsidP="004C4A5B">
      <w:pPr>
        <w:spacing w:after="0" w:line="240" w:lineRule="auto"/>
        <w:jc w:val="both"/>
        <w:rPr>
          <w:rFonts w:ascii="Times New Roman" w:eastAsia="Times New Roman" w:hAnsi="Times New Roman" w:cs="Times New Roman"/>
          <w:b/>
          <w:bCs/>
          <w:kern w:val="0"/>
          <w:sz w:val="24"/>
          <w:szCs w:val="24"/>
          <w:lang w:eastAsia="en-IN"/>
          <w14:ligatures w14:val="none"/>
        </w:rPr>
      </w:pPr>
      <w:r w:rsidRPr="004C4A5B">
        <w:rPr>
          <w:rFonts w:ascii="Times New Roman" w:eastAsia="Times New Roman" w:hAnsi="Times New Roman" w:cs="Times New Roman"/>
          <w:b/>
          <w:bCs/>
          <w:kern w:val="0"/>
          <w:sz w:val="24"/>
          <w:szCs w:val="24"/>
          <w:lang w:eastAsia="en-IN"/>
          <w14:ligatures w14:val="none"/>
        </w:rPr>
        <w:t>3.5 Policy Implications and Strategic Interventions</w:t>
      </w:r>
    </w:p>
    <w:p w14:paraId="4C450A0B"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Strengthening FPOs requires integrated policy frameworks, institutional support, and long-term investment in rural agribusiness systems. Professional management practices, transparent governance mechanisms, and regular financial auditing should be prioritized to improve organizational accountability and operational efficiency. Capacity-building programs focusing on entrepreneurship, digital literacy, business management, and marketing skills are equally important for enhancing institutional performance.</w:t>
      </w:r>
    </w:p>
    <w:p w14:paraId="0F9F2A9B" w14:textId="77777777" w:rsid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Investment in rural infrastructure such as warehouses, cold-storage facilities, transportation networks, and agro-processing units is essential for improving supply-chain efficiency and reducing post-harvest losses. Financial institutions should expand access to affordable credit, crop insurance, and value-chain financing tailored to the needs of farmer collectives (Prasad &amp; Singh, 2022).</w:t>
      </w:r>
    </w:p>
    <w:p w14:paraId="73E744B0" w14:textId="77777777" w:rsid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lastRenderedPageBreak/>
        <w:drawing>
          <wp:inline distT="0" distB="0" distL="0" distR="0" wp14:anchorId="49576709" wp14:editId="3918A587">
            <wp:extent cx="5731510" cy="5426710"/>
            <wp:effectExtent l="0" t="0" r="2540" b="2540"/>
            <wp:docPr id="20085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727" name="Picture 200857727"/>
                    <pic:cNvPicPr/>
                  </pic:nvPicPr>
                  <pic:blipFill rotWithShape="1">
                    <a:blip r:embed="rId5">
                      <a:extLst>
                        <a:ext uri="{28A0092B-C50C-407E-A947-70E740481C1C}">
                          <a14:useLocalDpi xmlns:a14="http://schemas.microsoft.com/office/drawing/2010/main" val="0"/>
                        </a:ext>
                      </a:extLst>
                    </a:blip>
                    <a:srcRect t="5318"/>
                    <a:stretch>
                      <a:fillRect/>
                    </a:stretch>
                  </pic:blipFill>
                  <pic:spPr bwMode="auto">
                    <a:xfrm>
                      <a:off x="0" y="0"/>
                      <a:ext cx="5731510" cy="5426710"/>
                    </a:xfrm>
                    <a:prstGeom prst="rect">
                      <a:avLst/>
                    </a:prstGeom>
                    <a:ln>
                      <a:noFill/>
                    </a:ln>
                    <a:extLst>
                      <a:ext uri="{53640926-AAD7-44D8-BBD7-CCE9431645EC}">
                        <a14:shadowObscured xmlns:a14="http://schemas.microsoft.com/office/drawing/2010/main"/>
                      </a:ext>
                    </a:extLst>
                  </pic:spPr>
                </pic:pic>
              </a:graphicData>
            </a:graphic>
          </wp:inline>
        </w:drawing>
      </w:r>
    </w:p>
    <w:p w14:paraId="1B2BA1B4" w14:textId="089F58E1"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Figure</w:t>
      </w:r>
      <w:r w:rsidR="001F3DEC">
        <w:rPr>
          <w:rFonts w:ascii="Times New Roman" w:eastAsia="Times New Roman" w:hAnsi="Times New Roman" w:cs="Times New Roman"/>
          <w:b/>
          <w:bCs/>
          <w:kern w:val="0"/>
          <w:sz w:val="24"/>
          <w:szCs w:val="24"/>
          <w:lang w:eastAsia="en-IN"/>
          <w14:ligatures w14:val="none"/>
        </w:rPr>
        <w:t xml:space="preserve"> </w:t>
      </w:r>
      <w:r w:rsidRPr="003B3B44">
        <w:rPr>
          <w:rFonts w:ascii="Times New Roman" w:eastAsia="Times New Roman" w:hAnsi="Times New Roman" w:cs="Times New Roman"/>
          <w:b/>
          <w:bCs/>
          <w:kern w:val="0"/>
          <w:sz w:val="24"/>
          <w:szCs w:val="24"/>
          <w:lang w:eastAsia="en-IN"/>
          <w14:ligatures w14:val="none"/>
        </w:rPr>
        <w:t>1 Radar graph illustrating the multidimensional role, opportunities, challenges, and policy implications of Farmer Producer Organizations (FPOs) in strengthening agribusiness value chains.</w:t>
      </w:r>
    </w:p>
    <w:p w14:paraId="68323148"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Digital infrastructure development is another critical policy priority. Expansion of e-commerce platforms, electronic agricultural markets, and ICT-enabled advisory systems can improve market transparency and strengthen farmers’ access to real-time information (Mittal &amp; Hariharan, 2023). Digital integration can also reduce the role of intermediaries and improve price discovery mechanisms.</w:t>
      </w:r>
    </w:p>
    <w:p w14:paraId="6899811A" w14:textId="77777777" w:rsidR="004C4A5B" w:rsidRP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Collaborative approaches involving governments, NGOs, agribusiness firms, research institutions, extension agencies, and agri-startups are essential for strengthening FPO ecosystems. Public–private partnerships and innovation platforms can provide technical expertise, market access, and institutional support to farmer organizations (Narrod et al., 2021; Kilelu et al., 2021).</w:t>
      </w:r>
    </w:p>
    <w:p w14:paraId="63FABC80" w14:textId="77777777" w:rsidR="004C4A5B" w:rsidRDefault="004C4A5B" w:rsidP="004C4A5B">
      <w:pPr>
        <w:spacing w:after="0" w:line="240" w:lineRule="auto"/>
        <w:jc w:val="both"/>
        <w:rPr>
          <w:rFonts w:ascii="Times New Roman" w:eastAsia="Times New Roman" w:hAnsi="Times New Roman" w:cs="Times New Roman"/>
          <w:kern w:val="0"/>
          <w:sz w:val="24"/>
          <w:szCs w:val="24"/>
          <w:lang w:eastAsia="en-IN"/>
          <w14:ligatures w14:val="none"/>
        </w:rPr>
      </w:pPr>
      <w:r w:rsidRPr="004C4A5B">
        <w:rPr>
          <w:rFonts w:ascii="Times New Roman" w:eastAsia="Times New Roman" w:hAnsi="Times New Roman" w:cs="Times New Roman"/>
          <w:kern w:val="0"/>
          <w:sz w:val="24"/>
          <w:szCs w:val="24"/>
          <w:lang w:eastAsia="en-IN"/>
          <w14:ligatures w14:val="none"/>
        </w:rPr>
        <w:t>Finally, policy reforms should focus on simplifying registration procedures, improving institutional coordination, and creating a supportive regulatory environment for FPO growth. Although FPOs have demonstrated significant potential in strengthening agribusiness value chains and improving rural livelihoods, their long-term sustainability depends on strong governance, inclusive market integration, financial stability, and continuous institutional support.</w:t>
      </w:r>
    </w:p>
    <w:p w14:paraId="555A599E" w14:textId="492D2E57" w:rsidR="000366F8" w:rsidRPr="000366F8" w:rsidRDefault="00331AA7" w:rsidP="000366F8">
      <w:pPr>
        <w:spacing w:after="0"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4</w:t>
      </w:r>
      <w:r w:rsidR="000366F8" w:rsidRPr="000366F8">
        <w:rPr>
          <w:rFonts w:ascii="Times New Roman" w:eastAsia="Times New Roman" w:hAnsi="Times New Roman" w:cs="Times New Roman"/>
          <w:b/>
          <w:bCs/>
          <w:kern w:val="0"/>
          <w:sz w:val="24"/>
          <w:szCs w:val="24"/>
          <w:lang w:eastAsia="en-IN"/>
          <w14:ligatures w14:val="none"/>
        </w:rPr>
        <w:t>. Future Research Directions</w:t>
      </w:r>
    </w:p>
    <w:p w14:paraId="062CDABE" w14:textId="77777777" w:rsidR="000366F8" w:rsidRPr="000366F8" w:rsidRDefault="000366F8" w:rsidP="000366F8">
      <w:pPr>
        <w:spacing w:after="0"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Future studies on Farmer Producer Organizations (FPOs) should place greater emphasis on examining their long-term economic sustainability, institutional stability, and adaptability across diverse agro-climatic and socio-economic settings. Although existing research highlights the positive role of FPOs in improving market access, collective bargaining, and rural livelihoods, there remains limited evidence regarding their sustained financial performance and organizational resilience over time. Comparative investigations across commodity groups, regional contexts, and governance structures would help in understanding the factors that contribute to successful and scalable FPO models (Ghosh &amp; Roy, 2021; Pandey &amp; Singh, 2022; Patil et al., 2025).</w:t>
      </w:r>
    </w:p>
    <w:p w14:paraId="01D0646C" w14:textId="77777777" w:rsidR="000366F8" w:rsidRPr="000366F8" w:rsidRDefault="000366F8" w:rsidP="000366F8">
      <w:pPr>
        <w:spacing w:after="0"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Further research is also needed to assess how digital transformation is reshaping FPO-led agribusiness systems. Areas such as digital agriculture, e-commerce platforms, artificial intelligence-based advisory services, blockchain-enabled traceability, and data-driven market intelligence require deeper empirical exploration to determine their effectiveness in strengthening value chains and enhancing farmer incomes (Rao &amp; Sahu, 2022; Mittal &amp; Hariharan, 2023; Yadav &amp; Sharma, 2024). In addition, studies focusing on climate-smart agriculture and resilience-building strategies can provide important insights into how FPOs support sustainable agricultural transitions under increasing climate uncertainty (Verma &amp; Yadav, 2025; Singh &amp; Vatta, 2022).</w:t>
      </w:r>
    </w:p>
    <w:p w14:paraId="32A93BF5" w14:textId="77777777" w:rsidR="000366F8" w:rsidRPr="000366F8" w:rsidRDefault="000366F8" w:rsidP="000366F8">
      <w:pPr>
        <w:spacing w:after="0"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Another important direction for future inquiry involves governance quality, member participation, leadership effectiveness, and social capital formation within FPOs. Longitudinal and field-based studies could help identify the institutional and managerial conditions that influence organizational success, member trust, and long-term viability (Yadav &amp; Rai, 2023; Jose &amp; Chathukulam, 2025). Greater attention should also be given to the role of public–private partnerships, agribusiness incubation, and value chain financing mechanisms in enhancing competitiveness and rural entrepreneurship (Narrod et al., 2021; Kaur &amp; Singla, 2022; Prasad &amp; Singh, 2022).</w:t>
      </w:r>
    </w:p>
    <w:p w14:paraId="216DECBE" w14:textId="77777777" w:rsidR="000366F8" w:rsidRPr="000366F8" w:rsidRDefault="000366F8" w:rsidP="000366F8">
      <w:pPr>
        <w:spacing w:after="0" w:line="240" w:lineRule="auto"/>
        <w:jc w:val="both"/>
        <w:rPr>
          <w:rFonts w:ascii="Times New Roman" w:eastAsia="Times New Roman" w:hAnsi="Times New Roman" w:cs="Times New Roman"/>
          <w:kern w:val="0"/>
          <w:sz w:val="24"/>
          <w:szCs w:val="24"/>
          <w:lang w:eastAsia="en-IN"/>
          <w14:ligatures w14:val="none"/>
        </w:rPr>
      </w:pPr>
      <w:r w:rsidRPr="000366F8">
        <w:rPr>
          <w:rFonts w:ascii="Times New Roman" w:eastAsia="Times New Roman" w:hAnsi="Times New Roman" w:cs="Times New Roman"/>
          <w:kern w:val="0"/>
          <w:sz w:val="24"/>
          <w:szCs w:val="24"/>
          <w:lang w:eastAsia="en-IN"/>
          <w14:ligatures w14:val="none"/>
        </w:rPr>
        <w:t>Moreover, future policy-oriented research should prioritize inclusiveness and equity within collective agribusiness systems. Special attention is required to understand the participation of women farmers, marginal producers, and resource-poor rural communities in FPO activities and decision-making processes (Shukla &amp; Pattnaik, 2023; Zhao &amp; Yang, 2022). Research on inclusive institutional models and socially responsive policy frameworks can contribute significantly to ensuring that the benefits of agricultural commercialization and value chain modernization are distributed more equitably among smallholder farmers.</w:t>
      </w:r>
    </w:p>
    <w:p w14:paraId="6A768FBC" w14:textId="577EC229" w:rsidR="006A5124" w:rsidRPr="006A5124" w:rsidRDefault="00331AA7" w:rsidP="006A5124">
      <w:pPr>
        <w:spacing w:after="0"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5</w:t>
      </w:r>
      <w:r w:rsidR="006A5124" w:rsidRPr="006A5124">
        <w:rPr>
          <w:rFonts w:ascii="Times New Roman" w:eastAsia="Times New Roman" w:hAnsi="Times New Roman" w:cs="Times New Roman"/>
          <w:b/>
          <w:bCs/>
          <w:kern w:val="0"/>
          <w:sz w:val="24"/>
          <w:szCs w:val="24"/>
          <w:lang w:eastAsia="en-IN"/>
          <w14:ligatures w14:val="none"/>
        </w:rPr>
        <w:t>. Conclusion</w:t>
      </w:r>
    </w:p>
    <w:p w14:paraId="445D7178" w14:textId="77777777" w:rsidR="00331AA7" w:rsidRPr="00331AA7" w:rsidRDefault="00331AA7" w:rsidP="00331AA7">
      <w:pPr>
        <w:spacing w:after="0" w:line="240" w:lineRule="auto"/>
        <w:jc w:val="both"/>
        <w:rPr>
          <w:rFonts w:ascii="Times New Roman" w:eastAsia="Times New Roman" w:hAnsi="Times New Roman" w:cs="Times New Roman"/>
          <w:kern w:val="0"/>
          <w:sz w:val="24"/>
          <w:szCs w:val="24"/>
          <w:lang w:eastAsia="en-IN"/>
          <w14:ligatures w14:val="none"/>
        </w:rPr>
      </w:pPr>
      <w:r w:rsidRPr="00331AA7">
        <w:rPr>
          <w:rFonts w:ascii="Times New Roman" w:eastAsia="Times New Roman" w:hAnsi="Times New Roman" w:cs="Times New Roman"/>
          <w:kern w:val="0"/>
          <w:sz w:val="24"/>
          <w:szCs w:val="24"/>
          <w:lang w:eastAsia="en-IN"/>
          <w14:ligatures w14:val="none"/>
        </w:rPr>
        <w:t>Farmer Producer Organizations (FPOs) have emerged as significant institutional platforms for integrating small and marginal farmers into modern agribusiness value chains. The review demonstrates that FPOs play a crucial role in improving farmers’ bargaining power, facilitating collective procurement and marketing, reducing transaction costs, and enhancing access to credit, technology, extension services, and organized markets. By promoting aggregation, value addition, processing, and direct market linkages, FPOs contribute substantially to agricultural commercialization, income enhancement, and rural economic development. Their growing involvement in digital agriculture, climate-smart farming, and export-oriented supply chains further highlights their potential in transforming traditional agricultural systems into more resilient and market-driven enterprises.</w:t>
      </w:r>
    </w:p>
    <w:p w14:paraId="4FD6D6BE" w14:textId="77777777" w:rsidR="00331AA7" w:rsidRPr="00331AA7" w:rsidRDefault="00331AA7" w:rsidP="00331AA7">
      <w:pPr>
        <w:spacing w:after="0" w:line="240" w:lineRule="auto"/>
        <w:jc w:val="both"/>
        <w:rPr>
          <w:rFonts w:ascii="Times New Roman" w:eastAsia="Times New Roman" w:hAnsi="Times New Roman" w:cs="Times New Roman"/>
          <w:kern w:val="0"/>
          <w:sz w:val="24"/>
          <w:szCs w:val="24"/>
          <w:lang w:eastAsia="en-IN"/>
          <w14:ligatures w14:val="none"/>
        </w:rPr>
      </w:pPr>
      <w:r w:rsidRPr="00331AA7">
        <w:rPr>
          <w:rFonts w:ascii="Times New Roman" w:eastAsia="Times New Roman" w:hAnsi="Times New Roman" w:cs="Times New Roman"/>
          <w:kern w:val="0"/>
          <w:sz w:val="24"/>
          <w:szCs w:val="24"/>
          <w:lang w:eastAsia="en-IN"/>
          <w14:ligatures w14:val="none"/>
        </w:rPr>
        <w:t xml:space="preserve">The study also reveals that FPOs generate broader socio-economic benefits beyond agricultural marketing. They support rural entrepreneurship, create employment opportunities, encourage innovation, and strengthen social capital within farming communities. Women-led producer organizations have particularly contributed to inclusive development and local empowerment. However, despite these achievements, the performance and sustainability of many FPOs </w:t>
      </w:r>
      <w:r w:rsidRPr="00331AA7">
        <w:rPr>
          <w:rFonts w:ascii="Times New Roman" w:eastAsia="Times New Roman" w:hAnsi="Times New Roman" w:cs="Times New Roman"/>
          <w:kern w:val="0"/>
          <w:sz w:val="24"/>
          <w:szCs w:val="24"/>
          <w:lang w:eastAsia="en-IN"/>
          <w14:ligatures w14:val="none"/>
        </w:rPr>
        <w:lastRenderedPageBreak/>
        <w:t>remain constrained by weak governance structures, inadequate professional management, insufficient infrastructure, limited access to institutional finance, and low technical capacity among members. Administrative complexities, inconsistent policy implementation, and dependence on external agencies further limit their long-term effectiveness.</w:t>
      </w:r>
    </w:p>
    <w:p w14:paraId="7FF9222B" w14:textId="77777777" w:rsidR="00331AA7" w:rsidRPr="00331AA7" w:rsidRDefault="00331AA7" w:rsidP="00331AA7">
      <w:pPr>
        <w:spacing w:after="0" w:line="240" w:lineRule="auto"/>
        <w:jc w:val="both"/>
        <w:rPr>
          <w:rFonts w:ascii="Times New Roman" w:eastAsia="Times New Roman" w:hAnsi="Times New Roman" w:cs="Times New Roman"/>
          <w:kern w:val="0"/>
          <w:sz w:val="24"/>
          <w:szCs w:val="24"/>
          <w:lang w:eastAsia="en-IN"/>
          <w14:ligatures w14:val="none"/>
        </w:rPr>
      </w:pPr>
      <w:r w:rsidRPr="00331AA7">
        <w:rPr>
          <w:rFonts w:ascii="Times New Roman" w:eastAsia="Times New Roman" w:hAnsi="Times New Roman" w:cs="Times New Roman"/>
          <w:kern w:val="0"/>
          <w:sz w:val="24"/>
          <w:szCs w:val="24"/>
          <w:lang w:eastAsia="en-IN"/>
          <w14:ligatures w14:val="none"/>
        </w:rPr>
        <w:t>The comparative analysis of successful FPO models suggests that organizational sustainability depends heavily on transparent governance, active member participation, strong institutional partnerships, and continuous capacity-building support. Therefore, future policy interventions should focus not only on increasing the number of FPOs but also on strengthening their operational efficiency, financial stability, and market competitiveness. Investment in rural infrastructure, digital technologies, value-chain financing, and skill development is essential for enhancing FPO performance. Overall, the review concludes that FPOs can become powerful catalysts for inclusive agribusiness transformation and sustainable rural development when supported through integrated policies, institutional coordination, and long-term strategic planning.</w:t>
      </w:r>
    </w:p>
    <w:p w14:paraId="3AB72449"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vanish/>
          <w:kern w:val="0"/>
          <w:sz w:val="24"/>
          <w:szCs w:val="24"/>
          <w:lang w:eastAsia="en-IN"/>
          <w14:ligatures w14:val="none"/>
        </w:rPr>
        <w:t>Top of Form</w:t>
      </w:r>
    </w:p>
    <w:p w14:paraId="2BBCBDCD" w14:textId="77777777" w:rsidR="001F3DEC" w:rsidRDefault="001F3DEC"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4C2371D" w14:textId="77777777" w:rsidR="001F3DEC" w:rsidRDefault="001F3DEC" w:rsidP="001F3DEC">
      <w:pPr>
        <w:spacing w:after="0" w:line="240" w:lineRule="auto"/>
        <w:jc w:val="both"/>
        <w:rPr>
          <w:rFonts w:ascii="Times New Roman" w:eastAsia="Times New Roman" w:hAnsi="Times New Roman" w:cs="Times New Roman"/>
          <w:b/>
          <w:bCs/>
          <w:kern w:val="0"/>
          <w:sz w:val="24"/>
          <w:szCs w:val="24"/>
          <w:lang w:eastAsia="en-IN"/>
          <w14:ligatures w14:val="none"/>
        </w:rPr>
      </w:pPr>
      <w:r w:rsidRPr="001F3DEC">
        <w:rPr>
          <w:rFonts w:ascii="Times New Roman" w:eastAsia="Times New Roman" w:hAnsi="Times New Roman" w:cs="Times New Roman"/>
          <w:b/>
          <w:bCs/>
          <w:kern w:val="0"/>
          <w:sz w:val="24"/>
          <w:szCs w:val="24"/>
          <w:lang w:eastAsia="en-IN"/>
          <w14:ligatures w14:val="none"/>
        </w:rPr>
        <w:t>Disclaimer (Artificial intelligence)</w:t>
      </w:r>
    </w:p>
    <w:p w14:paraId="04C19671" w14:textId="77777777" w:rsidR="001F3DEC" w:rsidRPr="001F3DEC" w:rsidRDefault="001F3DEC" w:rsidP="001F3DEC">
      <w:pPr>
        <w:spacing w:after="0" w:line="240" w:lineRule="auto"/>
        <w:jc w:val="both"/>
        <w:rPr>
          <w:rFonts w:ascii="Times New Roman" w:eastAsia="Times New Roman" w:hAnsi="Times New Roman" w:cs="Times New Roman"/>
          <w:b/>
          <w:bCs/>
          <w:kern w:val="0"/>
          <w:sz w:val="24"/>
          <w:szCs w:val="24"/>
          <w:lang w:eastAsia="en-IN"/>
          <w14:ligatures w14:val="none"/>
        </w:rPr>
      </w:pPr>
    </w:p>
    <w:p w14:paraId="220A8C7B" w14:textId="756B92B8" w:rsidR="001F3DEC" w:rsidRPr="003B3B44" w:rsidRDefault="001F3DEC" w:rsidP="001F3DEC">
      <w:pPr>
        <w:spacing w:after="0" w:line="240" w:lineRule="auto"/>
        <w:jc w:val="both"/>
        <w:rPr>
          <w:rFonts w:ascii="Times New Roman" w:eastAsia="Times New Roman" w:hAnsi="Times New Roman" w:cs="Times New Roman"/>
          <w:vanish/>
          <w:kern w:val="0"/>
          <w:sz w:val="24"/>
          <w:szCs w:val="24"/>
          <w:lang w:eastAsia="en-IN"/>
          <w14:ligatures w14:val="none"/>
        </w:rPr>
      </w:pPr>
      <w:r w:rsidRPr="001F3DEC">
        <w:rPr>
          <w:rFonts w:ascii="Times New Roman" w:eastAsia="Times New Roman" w:hAnsi="Times New Roman" w:cs="Times New Roman"/>
          <w:kern w:val="0"/>
          <w:sz w:val="24"/>
          <w:szCs w:val="24"/>
          <w:lang w:eastAsia="en-IN"/>
          <w14:ligatures w14:val="none"/>
        </w:rPr>
        <w:t>Author(s) hereby declare that NO generative AI technologies such as Large Language Models (ChatGPT, COPILOT, etc.) and text-to-image generators have been used during the writing or editing of this manuscript.</w:t>
      </w:r>
    </w:p>
    <w:p w14:paraId="1EF7D2AC" w14:textId="77777777" w:rsidR="003B3B44" w:rsidRP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2459D545" w14:textId="77777777" w:rsidR="003B3B44" w:rsidRPr="003B3B44" w:rsidRDefault="003B3B44" w:rsidP="003B3B44">
      <w:pPr>
        <w:spacing w:after="0" w:line="240" w:lineRule="auto"/>
        <w:jc w:val="both"/>
        <w:rPr>
          <w:rFonts w:ascii="Times New Roman" w:eastAsia="Times New Roman" w:hAnsi="Times New Roman" w:cs="Times New Roman"/>
          <w:vanish/>
          <w:kern w:val="0"/>
          <w:sz w:val="24"/>
          <w:szCs w:val="24"/>
          <w:lang w:eastAsia="en-IN"/>
          <w14:ligatures w14:val="none"/>
        </w:rPr>
      </w:pPr>
      <w:r w:rsidRPr="003B3B44">
        <w:rPr>
          <w:rFonts w:ascii="Times New Roman" w:eastAsia="Times New Roman" w:hAnsi="Times New Roman" w:cs="Times New Roman"/>
          <w:vanish/>
          <w:kern w:val="0"/>
          <w:sz w:val="24"/>
          <w:szCs w:val="24"/>
          <w:lang w:eastAsia="en-IN"/>
          <w14:ligatures w14:val="none"/>
        </w:rPr>
        <w:t>Bottom of Form</w:t>
      </w:r>
    </w:p>
    <w:p w14:paraId="412E0C32" w14:textId="154CC37B" w:rsidR="00296B46" w:rsidRDefault="00E46CFC" w:rsidP="00296B46">
      <w:pPr>
        <w:spacing w:after="0" w:line="240" w:lineRule="auto"/>
        <w:jc w:val="both"/>
        <w:rPr>
          <w:rFonts w:ascii="Times New Roman" w:eastAsia="Times New Roman" w:hAnsi="Times New Roman" w:cs="Times New Roman"/>
          <w:kern w:val="0"/>
          <w:sz w:val="24"/>
          <w:szCs w:val="24"/>
          <w:lang w:eastAsia="en-IN"/>
          <w14:ligatures w14:val="none"/>
        </w:rPr>
      </w:pPr>
      <w:r w:rsidRPr="00E46CFC">
        <w:rPr>
          <w:rFonts w:ascii="Times New Roman" w:eastAsia="Times New Roman" w:hAnsi="Times New Roman" w:cs="Times New Roman"/>
          <w:kern w:val="0"/>
          <w:sz w:val="24"/>
          <w:szCs w:val="24"/>
          <w:lang w:eastAsia="en-IN"/>
          <w14:ligatures w14:val="none"/>
        </w:rPr>
        <w:br/>
      </w:r>
    </w:p>
    <w:p w14:paraId="02F629CE" w14:textId="01758A71" w:rsidR="00296B46" w:rsidRPr="00296B46" w:rsidRDefault="00296B46" w:rsidP="00296B46">
      <w:pPr>
        <w:spacing w:after="0" w:line="240" w:lineRule="auto"/>
        <w:jc w:val="both"/>
        <w:rPr>
          <w:rFonts w:ascii="Times New Roman" w:eastAsia="Times New Roman" w:hAnsi="Times New Roman" w:cs="Times New Roman"/>
          <w:b/>
          <w:bCs/>
          <w:kern w:val="0"/>
          <w:sz w:val="28"/>
          <w:szCs w:val="28"/>
          <w:lang w:eastAsia="en-IN"/>
          <w14:ligatures w14:val="none"/>
        </w:rPr>
      </w:pPr>
      <w:r w:rsidRPr="00296B46">
        <w:rPr>
          <w:rFonts w:ascii="Times New Roman" w:eastAsia="Times New Roman" w:hAnsi="Times New Roman" w:cs="Times New Roman"/>
          <w:b/>
          <w:bCs/>
          <w:kern w:val="0"/>
          <w:sz w:val="28"/>
          <w:szCs w:val="28"/>
          <w:lang w:eastAsia="en-IN"/>
          <w14:ligatures w14:val="none"/>
        </w:rPr>
        <w:t xml:space="preserve">REFERENCES: </w:t>
      </w:r>
    </w:p>
    <w:p w14:paraId="1780D9F3" w14:textId="77777777" w:rsidR="00F04DAC" w:rsidRDefault="00F04DAC" w:rsidP="00F04DAC">
      <w:pPr>
        <w:spacing w:after="0" w:line="240" w:lineRule="auto"/>
        <w:jc w:val="both"/>
      </w:pPr>
    </w:p>
    <w:p w14:paraId="086667D4" w14:textId="3DCDB40B" w:rsidR="00F04DAC" w:rsidRPr="00EB6148" w:rsidRDefault="00F04DAC" w:rsidP="00EB6148">
      <w:pPr>
        <w:pStyle w:val="ListParagraph"/>
        <w:numPr>
          <w:ilvl w:val="0"/>
          <w:numId w:val="2"/>
        </w:numPr>
        <w:spacing w:after="0" w:line="240" w:lineRule="auto"/>
        <w:jc w:val="both"/>
        <w:rPr>
          <w:rFonts w:ascii="Times New Roman" w:eastAsia="Times New Roman" w:hAnsi="Times New Roman" w:cs="Times New Roman"/>
          <w:kern w:val="0"/>
          <w:sz w:val="24"/>
          <w:szCs w:val="24"/>
          <w:lang w:eastAsia="en-IN"/>
          <w14:ligatures w14:val="none"/>
        </w:rPr>
      </w:pPr>
      <w:r w:rsidRPr="00EB6148">
        <w:rPr>
          <w:rFonts w:ascii="Times New Roman" w:hAnsi="Times New Roman" w:cs="Times New Roman"/>
          <w:sz w:val="24"/>
          <w:szCs w:val="24"/>
        </w:rPr>
        <w:t xml:space="preserve">Abdallah, A. H., &amp; Abdul-Rahaman, A. (2021). Farmer organizations and market participation in developing economies. </w:t>
      </w:r>
      <w:r w:rsidRPr="00EB6148">
        <w:rPr>
          <w:rFonts w:ascii="Times New Roman" w:hAnsi="Times New Roman" w:cs="Times New Roman"/>
          <w:i/>
          <w:iCs/>
          <w:sz w:val="24"/>
          <w:szCs w:val="24"/>
        </w:rPr>
        <w:t>African Development Review, 33</w:t>
      </w:r>
      <w:r w:rsidRPr="00EB6148">
        <w:rPr>
          <w:rFonts w:ascii="Times New Roman" w:hAnsi="Times New Roman" w:cs="Times New Roman"/>
          <w:sz w:val="24"/>
          <w:szCs w:val="24"/>
        </w:rPr>
        <w:t xml:space="preserve">(2), 216–227. </w:t>
      </w:r>
      <w:hyperlink r:id="rId6" w:history="1">
        <w:r w:rsidRPr="00EB6148">
          <w:rPr>
            <w:rStyle w:val="Hyperlink"/>
            <w:rFonts w:ascii="Times New Roman" w:hAnsi="Times New Roman" w:cs="Times New Roman"/>
            <w:sz w:val="24"/>
            <w:szCs w:val="24"/>
          </w:rPr>
          <w:t>https://doi.org/10.1111/1467-8268.1251</w:t>
        </w:r>
      </w:hyperlink>
    </w:p>
    <w:p w14:paraId="5BA9DB8C" w14:textId="3DFD5F6E" w:rsidR="00F04DAC" w:rsidRPr="00F04DAC" w:rsidRDefault="00F04DAC" w:rsidP="00EB6148">
      <w:pPr>
        <w:pStyle w:val="NormalWeb"/>
        <w:numPr>
          <w:ilvl w:val="0"/>
          <w:numId w:val="2"/>
        </w:numPr>
      </w:pPr>
      <w:r w:rsidRPr="00F04DAC">
        <w:t xml:space="preserve">Agarwal, B. (2021). Can farmer producer organizations improve rural livelihoods? </w:t>
      </w:r>
      <w:r w:rsidRPr="00F04DAC">
        <w:rPr>
          <w:i/>
          <w:iCs/>
        </w:rPr>
        <w:t>World Development, 139</w:t>
      </w:r>
      <w:r w:rsidRPr="00F04DAC">
        <w:t xml:space="preserve">, 105291. https://doi.org/10.1016/j.worlddev.2020.105291 </w:t>
      </w:r>
    </w:p>
    <w:p w14:paraId="1E587828" w14:textId="77777777" w:rsidR="00F04DAC" w:rsidRPr="00F04DAC" w:rsidRDefault="00F04DAC" w:rsidP="00EB6148">
      <w:pPr>
        <w:pStyle w:val="NormalWeb"/>
        <w:numPr>
          <w:ilvl w:val="0"/>
          <w:numId w:val="2"/>
        </w:numPr>
      </w:pPr>
      <w:r w:rsidRPr="00F04DAC">
        <w:rPr>
          <w:lang w:val="it-IT"/>
        </w:rPr>
        <w:t xml:space="preserve">Arahant, A., Nayak, D., Jindal, L., Batra, G., Dash, D. N., Kondasani, R. K. R., Hoor, A., &amp; Prasad, S. (2025). </w:t>
      </w:r>
      <w:r w:rsidRPr="00F04DAC">
        <w:t xml:space="preserve">Farmer Producer Organization: An ecosystem for building socio-economic resilience of farmers in India. </w:t>
      </w:r>
      <w:r w:rsidRPr="00F04DAC">
        <w:rPr>
          <w:i/>
          <w:iCs/>
        </w:rPr>
        <w:t>Current Agriculture Research Journal, 13</w:t>
      </w:r>
      <w:r w:rsidRPr="00F04DAC">
        <w:t xml:space="preserve">(1). </w:t>
      </w:r>
      <w:hyperlink r:id="rId7" w:history="1">
        <w:r w:rsidRPr="00F04DAC">
          <w:rPr>
            <w:rStyle w:val="Hyperlink"/>
          </w:rPr>
          <w:t>https://doi.org/10.12944/CARJ.13.1.26</w:t>
        </w:r>
      </w:hyperlink>
      <w:r w:rsidRPr="00F04DAC">
        <w:t xml:space="preserve">  </w:t>
      </w:r>
    </w:p>
    <w:p w14:paraId="43065865" w14:textId="3C42D3C8" w:rsidR="00F04DAC" w:rsidRPr="00F04DAC" w:rsidRDefault="00F04DAC" w:rsidP="00EB6148">
      <w:pPr>
        <w:pStyle w:val="NormalWeb"/>
        <w:numPr>
          <w:ilvl w:val="0"/>
          <w:numId w:val="2"/>
        </w:numPr>
      </w:pPr>
      <w:r w:rsidRPr="00F04DAC">
        <w:t xml:space="preserve">Bairwa, S. L., Lakra, K., Kushwaha, S., Meena, L. K., &amp; Kumar, P. (2022). Farmer producer organizations and rural entrepreneurship development. </w:t>
      </w:r>
      <w:r w:rsidRPr="00F04DAC">
        <w:rPr>
          <w:i/>
          <w:iCs/>
        </w:rPr>
        <w:t>Indian Research Journal of Extension Education, 22</w:t>
      </w:r>
      <w:r w:rsidRPr="00F04DAC">
        <w:t xml:space="preserve">(1), 10–17. https://doi.org/10.54986/irjee/2022/jan_mar/10-17 </w:t>
      </w:r>
    </w:p>
    <w:p w14:paraId="6579E791" w14:textId="6AC36ACF" w:rsidR="00F04DAC" w:rsidRPr="00F04DAC" w:rsidRDefault="00F04DAC" w:rsidP="00EB6148">
      <w:pPr>
        <w:pStyle w:val="NormalWeb"/>
        <w:numPr>
          <w:ilvl w:val="0"/>
          <w:numId w:val="2"/>
        </w:numPr>
      </w:pPr>
      <w:r w:rsidRPr="00F04DAC">
        <w:t xml:space="preserve">Barika, P., Bedamattaa, R., &amp; Vikraman, S. (2025). Smallholders in contract farming value chain: Challenges and opportunities, empirical evidence from West Bengal, India. </w:t>
      </w:r>
      <w:r w:rsidRPr="00F04DAC">
        <w:rPr>
          <w:i/>
          <w:iCs/>
        </w:rPr>
        <w:t>Journal of International Food &amp; Agribusiness Marketing, 37</w:t>
      </w:r>
      <w:r w:rsidRPr="00F04DAC">
        <w:t xml:space="preserve">(4), 604–636. </w:t>
      </w:r>
      <w:hyperlink r:id="rId8" w:history="1">
        <w:r w:rsidRPr="00F04DAC">
          <w:rPr>
            <w:rStyle w:val="Hyperlink"/>
          </w:rPr>
          <w:t>https://doi.org/10.1080/08974438.2024.2398741</w:t>
        </w:r>
      </w:hyperlink>
      <w:r w:rsidRPr="00F04DAC">
        <w:t xml:space="preserve">   </w:t>
      </w:r>
    </w:p>
    <w:p w14:paraId="10B58D74" w14:textId="77777777" w:rsidR="00F04DAC" w:rsidRPr="00F04DAC" w:rsidRDefault="00F04DAC" w:rsidP="00EB6148">
      <w:pPr>
        <w:pStyle w:val="NormalWeb"/>
        <w:numPr>
          <w:ilvl w:val="0"/>
          <w:numId w:val="2"/>
        </w:numPr>
      </w:pPr>
      <w:r w:rsidRPr="00F04DAC">
        <w:t xml:space="preserve">Birthal, P. S., Roy, D., &amp; Negi, D. S. (2021). Assessing the impact of farmer organizations on smallholder welfare. </w:t>
      </w:r>
      <w:r w:rsidRPr="00F04DAC">
        <w:rPr>
          <w:i/>
          <w:iCs/>
        </w:rPr>
        <w:t>Food Security, 13</w:t>
      </w:r>
      <w:r w:rsidRPr="00F04DAC">
        <w:t xml:space="preserve">(5), 1159–1173. https://doi.org/10.1007/s12571-021-01167-0 </w:t>
      </w:r>
    </w:p>
    <w:p w14:paraId="20006493" w14:textId="65E56828" w:rsidR="00F04DAC" w:rsidRPr="00F04DAC" w:rsidRDefault="00F04DAC" w:rsidP="00EB6148">
      <w:pPr>
        <w:pStyle w:val="NormalWeb"/>
        <w:numPr>
          <w:ilvl w:val="0"/>
          <w:numId w:val="2"/>
        </w:numPr>
      </w:pPr>
      <w:r w:rsidRPr="00F04DAC">
        <w:t xml:space="preserve">Blekking, J., Waldman, K., Tuholske, C., &amp; Evans, T. (2021). Formal agricultural extension services and household food security in Kenya. </w:t>
      </w:r>
      <w:r w:rsidRPr="00F04DAC">
        <w:rPr>
          <w:i/>
          <w:iCs/>
        </w:rPr>
        <w:t>Food Security, 13</w:t>
      </w:r>
      <w:r w:rsidRPr="00F04DAC">
        <w:t xml:space="preserve">(4), 1035–1053. </w:t>
      </w:r>
      <w:hyperlink r:id="rId9" w:tgtFrame="_new" w:history="1">
        <w:r w:rsidRPr="00F04DAC">
          <w:rPr>
            <w:rStyle w:val="Hyperlink"/>
          </w:rPr>
          <w:t>https://doi.org/10.1007/s12571-021-01162-7</w:t>
        </w:r>
      </w:hyperlink>
      <w:r w:rsidRPr="00F04DAC">
        <w:t xml:space="preserve"> </w:t>
      </w:r>
    </w:p>
    <w:p w14:paraId="4A1F0F2D" w14:textId="77777777" w:rsidR="00F04DAC" w:rsidRPr="00F04DAC" w:rsidRDefault="00F04DAC" w:rsidP="00EB6148">
      <w:pPr>
        <w:pStyle w:val="NormalWeb"/>
        <w:numPr>
          <w:ilvl w:val="0"/>
          <w:numId w:val="2"/>
        </w:numPr>
      </w:pPr>
      <w:r w:rsidRPr="00F04DAC">
        <w:t xml:space="preserve">Chandrasekhar, P., &amp; Ghosh, S. (2021). Farmer collectives and agricultural market integration in India. </w:t>
      </w:r>
      <w:r w:rsidRPr="00F04DAC">
        <w:rPr>
          <w:i/>
          <w:iCs/>
        </w:rPr>
        <w:t>Agricultural Economics Research Review, 34</w:t>
      </w:r>
      <w:r w:rsidRPr="00F04DAC">
        <w:t xml:space="preserve">(2), 187–201. </w:t>
      </w:r>
      <w:hyperlink r:id="rId10" w:history="1">
        <w:r w:rsidRPr="00F04DAC">
          <w:rPr>
            <w:rStyle w:val="Hyperlink"/>
          </w:rPr>
          <w:t>https://www.researchgate.net/profile/Narendra-</w:t>
        </w:r>
        <w:r w:rsidRPr="00F04DAC">
          <w:rPr>
            <w:rStyle w:val="Hyperlink"/>
          </w:rPr>
          <w:lastRenderedPageBreak/>
          <w:t>Khode/publication/354688545_Effects_of_dairy_farm_training_A_path_analysis/links/61472fa9a595d06017d81d84/Effects-of-dairy-farm-training-A-path-analysis.pdf</w:t>
        </w:r>
      </w:hyperlink>
      <w:r w:rsidRPr="00F04DAC">
        <w:t xml:space="preserve"> </w:t>
      </w:r>
    </w:p>
    <w:p w14:paraId="24961EE5" w14:textId="77777777" w:rsidR="00F04DAC" w:rsidRPr="00F04DAC" w:rsidRDefault="00F04DAC" w:rsidP="00EB6148">
      <w:pPr>
        <w:pStyle w:val="NormalWeb"/>
        <w:numPr>
          <w:ilvl w:val="0"/>
          <w:numId w:val="2"/>
        </w:numPr>
      </w:pPr>
      <w:r w:rsidRPr="00F04DAC">
        <w:t xml:space="preserve">Chatterjee, S., &amp; Gulati, A. (2019). Linking farmers to markets through producer organizations in India. </w:t>
      </w:r>
      <w:r w:rsidRPr="00F04DAC">
        <w:rPr>
          <w:i/>
          <w:iCs/>
        </w:rPr>
        <w:t>Food Policy, 108</w:t>
      </w:r>
      <w:r w:rsidRPr="00F04DAC">
        <w:t xml:space="preserve">, 102231. </w:t>
      </w:r>
      <w:hyperlink r:id="rId11" w:history="1">
        <w:r w:rsidRPr="00F04DAC">
          <w:rPr>
            <w:rStyle w:val="Hyperlink"/>
            <w:b/>
            <w:bCs/>
          </w:rPr>
          <w:t>https://hdl.handle.net/10419/203717</w:t>
        </w:r>
      </w:hyperlink>
      <w:r w:rsidRPr="00F04DAC">
        <w:rPr>
          <w:b/>
          <w:bCs/>
        </w:rPr>
        <w:t xml:space="preserve"> </w:t>
      </w:r>
    </w:p>
    <w:p w14:paraId="2E2C0019" w14:textId="2CD9A205" w:rsidR="00F04DAC" w:rsidRPr="00F04DAC" w:rsidRDefault="00F04DAC" w:rsidP="00EB6148">
      <w:pPr>
        <w:pStyle w:val="NormalWeb"/>
        <w:numPr>
          <w:ilvl w:val="0"/>
          <w:numId w:val="2"/>
        </w:numPr>
      </w:pPr>
      <w:r w:rsidRPr="00F04DAC">
        <w:t xml:space="preserve">Dev, S. M. (2022). Agricultural reforms and farmer producer organizations in India. </w:t>
      </w:r>
      <w:r w:rsidRPr="00F04DAC">
        <w:rPr>
          <w:i/>
          <w:iCs/>
        </w:rPr>
        <w:t>Economic and Political Weekly, 57</w:t>
      </w:r>
      <w:r w:rsidRPr="00F04DAC">
        <w:t xml:space="preserve">(14), 42–49. </w:t>
      </w:r>
      <w:hyperlink r:id="rId12" w:history="1">
        <w:r w:rsidR="009B7B5D" w:rsidRPr="00AD01FF">
          <w:rPr>
            <w:rStyle w:val="Hyperlink"/>
          </w:rPr>
          <w:t>https://doi.org/10.2307/48629672</w:t>
        </w:r>
      </w:hyperlink>
      <w:r w:rsidR="009B7B5D">
        <w:t xml:space="preserve"> </w:t>
      </w:r>
      <w:r w:rsidRPr="00F04DAC">
        <w:t xml:space="preserve"> </w:t>
      </w:r>
    </w:p>
    <w:p w14:paraId="690C8ECE" w14:textId="3B9C4261" w:rsidR="00F04DAC" w:rsidRPr="00F04DAC" w:rsidRDefault="00F04DAC" w:rsidP="00EB6148">
      <w:pPr>
        <w:pStyle w:val="NormalWeb"/>
        <w:numPr>
          <w:ilvl w:val="0"/>
          <w:numId w:val="2"/>
        </w:numPr>
      </w:pPr>
      <w:r w:rsidRPr="00F04DAC">
        <w:t xml:space="preserve">Dey, K., &amp; Sarker, A. (2022). Institutional innovations in agricultural value chains: Evidence from Indian FPOs. </w:t>
      </w:r>
      <w:r w:rsidRPr="00F04DAC">
        <w:rPr>
          <w:i/>
          <w:iCs/>
        </w:rPr>
        <w:t>Journal of Rural Studies, 91</w:t>
      </w:r>
      <w:r w:rsidRPr="00F04DAC">
        <w:t xml:space="preserve">, 152–163. </w:t>
      </w:r>
      <w:hyperlink r:id="rId13" w:history="1">
        <w:r w:rsidR="009B7B5D" w:rsidRPr="00AD01FF">
          <w:rPr>
            <w:rStyle w:val="Hyperlink"/>
          </w:rPr>
          <w:t>https://doi.org/10.1016/j.jrurstud.2022.03.011</w:t>
        </w:r>
      </w:hyperlink>
      <w:r w:rsidR="009B7B5D">
        <w:t xml:space="preserve"> </w:t>
      </w:r>
      <w:r w:rsidRPr="00F04DAC">
        <w:t xml:space="preserve"> </w:t>
      </w:r>
    </w:p>
    <w:p w14:paraId="21CF58DE" w14:textId="1B5FAE8C" w:rsidR="00F04DAC" w:rsidRPr="00F04DAC" w:rsidRDefault="00F04DAC" w:rsidP="00EB6148">
      <w:pPr>
        <w:pStyle w:val="NormalWeb"/>
        <w:numPr>
          <w:ilvl w:val="0"/>
          <w:numId w:val="2"/>
        </w:numPr>
      </w:pPr>
      <w:r w:rsidRPr="00F04DAC">
        <w:rPr>
          <w:lang w:val="it-IT"/>
        </w:rPr>
        <w:t xml:space="preserve">Dutta, S., &amp; Fischer, H. W. (2023). </w:t>
      </w:r>
      <w:r w:rsidRPr="00F04DAC">
        <w:t xml:space="preserve">Collective action and rural institutions in South Asia. </w:t>
      </w:r>
      <w:r w:rsidRPr="00F04DAC">
        <w:rPr>
          <w:i/>
          <w:iCs/>
        </w:rPr>
        <w:t>World Development Perspectives, 29</w:t>
      </w:r>
      <w:r w:rsidRPr="00F04DAC">
        <w:t xml:space="preserve">, 100481. </w:t>
      </w:r>
      <w:hyperlink r:id="rId14" w:history="1">
        <w:r w:rsidR="009B7B5D" w:rsidRPr="00AD01FF">
          <w:rPr>
            <w:rStyle w:val="Hyperlink"/>
          </w:rPr>
          <w:t>https://doi.org/10.1016/j.wdp.2023.100481</w:t>
        </w:r>
      </w:hyperlink>
      <w:r w:rsidR="009B7B5D">
        <w:t xml:space="preserve"> </w:t>
      </w:r>
      <w:r w:rsidRPr="00F04DAC">
        <w:t xml:space="preserve"> </w:t>
      </w:r>
    </w:p>
    <w:p w14:paraId="2A9102EF" w14:textId="0F8DD357" w:rsidR="00F04DAC" w:rsidRPr="00F04DAC" w:rsidRDefault="00F04DAC" w:rsidP="00EB6148">
      <w:pPr>
        <w:pStyle w:val="NormalWeb"/>
        <w:numPr>
          <w:ilvl w:val="0"/>
          <w:numId w:val="2"/>
        </w:numPr>
      </w:pPr>
      <w:r w:rsidRPr="00F04DAC">
        <w:t xml:space="preserve">Ghosh, P., &amp; Roy, M. (2021). Governance and sustainability of farmer producer companies in India. </w:t>
      </w:r>
      <w:r w:rsidRPr="00F04DAC">
        <w:rPr>
          <w:i/>
          <w:iCs/>
        </w:rPr>
        <w:t>Indian Journal of Agricultural Economics, 76</w:t>
      </w:r>
      <w:r w:rsidRPr="00F04DAC">
        <w:t xml:space="preserve">(3), 410–425. </w:t>
      </w:r>
      <w:hyperlink r:id="rId15" w:history="1">
        <w:r w:rsidR="009B7B5D" w:rsidRPr="00AD01FF">
          <w:rPr>
            <w:rStyle w:val="Hyperlink"/>
          </w:rPr>
          <w:t>https://doi.org/10.22004/ag.econ.315482</w:t>
        </w:r>
      </w:hyperlink>
      <w:r w:rsidR="009B7B5D">
        <w:t xml:space="preserve"> </w:t>
      </w:r>
      <w:r w:rsidRPr="00F04DAC">
        <w:t xml:space="preserve"> </w:t>
      </w:r>
    </w:p>
    <w:p w14:paraId="182A4CD7" w14:textId="3F46F62A" w:rsidR="00F04DAC" w:rsidRPr="00F04DAC" w:rsidRDefault="00F04DAC" w:rsidP="00EB6148">
      <w:pPr>
        <w:pStyle w:val="NormalWeb"/>
        <w:numPr>
          <w:ilvl w:val="0"/>
          <w:numId w:val="2"/>
        </w:numPr>
      </w:pPr>
      <w:r w:rsidRPr="00F04DAC">
        <w:t xml:space="preserve">Goyal, T. M., &amp; Netessine, S. (2021). Enhancing farmer incomes through agricultural collectives. </w:t>
      </w:r>
      <w:r w:rsidRPr="00F04DAC">
        <w:rPr>
          <w:i/>
          <w:iCs/>
        </w:rPr>
        <w:t>Management Science, 67</w:t>
      </w:r>
      <w:r w:rsidRPr="00F04DAC">
        <w:t xml:space="preserve">(8), 4735–4752. </w:t>
      </w:r>
      <w:hyperlink r:id="rId16" w:history="1">
        <w:r w:rsidR="009B7B5D" w:rsidRPr="00AD01FF">
          <w:rPr>
            <w:rStyle w:val="Hyperlink"/>
          </w:rPr>
          <w:t>https://doi.org/10.1287/mnsc.2020.3726</w:t>
        </w:r>
      </w:hyperlink>
      <w:r w:rsidR="009B7B5D">
        <w:t xml:space="preserve"> </w:t>
      </w:r>
      <w:r w:rsidRPr="00F04DAC">
        <w:t xml:space="preserve"> </w:t>
      </w:r>
    </w:p>
    <w:p w14:paraId="29D2888F" w14:textId="32AD22DA" w:rsidR="00F04DAC" w:rsidRPr="00F04DAC" w:rsidRDefault="00F04DAC" w:rsidP="00EB6148">
      <w:pPr>
        <w:pStyle w:val="NormalWeb"/>
        <w:numPr>
          <w:ilvl w:val="0"/>
          <w:numId w:val="2"/>
        </w:numPr>
      </w:pPr>
      <w:r w:rsidRPr="00F04DAC">
        <w:t xml:space="preserve">Gupta, S., &amp; Singh, R. (2023). Policy support for farmer producer organizations in India. </w:t>
      </w:r>
      <w:r w:rsidRPr="00F04DAC">
        <w:rPr>
          <w:i/>
          <w:iCs/>
        </w:rPr>
        <w:t>Journal of Public Affairs, 23</w:t>
      </w:r>
      <w:r w:rsidRPr="00F04DAC">
        <w:t xml:space="preserve">(4), e2891. </w:t>
      </w:r>
      <w:hyperlink r:id="rId17" w:history="1">
        <w:r w:rsidR="009B7B5D" w:rsidRPr="00AD01FF">
          <w:rPr>
            <w:rStyle w:val="Hyperlink"/>
          </w:rPr>
          <w:t>https://doi.org/10.1002/pa.2891</w:t>
        </w:r>
      </w:hyperlink>
      <w:r w:rsidR="009B7B5D">
        <w:t xml:space="preserve"> </w:t>
      </w:r>
      <w:r w:rsidRPr="00F04DAC">
        <w:t xml:space="preserve"> </w:t>
      </w:r>
    </w:p>
    <w:p w14:paraId="0CCD8F1F" w14:textId="4E01899C" w:rsidR="00F04DAC" w:rsidRPr="00F04DAC" w:rsidRDefault="00F04DAC" w:rsidP="00EB6148">
      <w:pPr>
        <w:pStyle w:val="NormalWeb"/>
        <w:numPr>
          <w:ilvl w:val="0"/>
          <w:numId w:val="2"/>
        </w:numPr>
      </w:pPr>
      <w:r w:rsidRPr="00F04DAC">
        <w:t xml:space="preserve">Hellin, J., &amp; Higman, S. (2022). Farmer organizations, markets and inclusive value chains. </w:t>
      </w:r>
      <w:r w:rsidRPr="00F04DAC">
        <w:rPr>
          <w:i/>
          <w:iCs/>
        </w:rPr>
        <w:t>Outlook on Agriculture, 51</w:t>
      </w:r>
      <w:r w:rsidRPr="00F04DAC">
        <w:t xml:space="preserve">(2), 141–150. </w:t>
      </w:r>
      <w:hyperlink r:id="rId18" w:history="1">
        <w:r w:rsidR="009B7B5D" w:rsidRPr="00AD01FF">
          <w:rPr>
            <w:rStyle w:val="Hyperlink"/>
          </w:rPr>
          <w:t>https://doi.org/10.1177/00307270221082433</w:t>
        </w:r>
      </w:hyperlink>
      <w:r w:rsidR="009B7B5D">
        <w:t xml:space="preserve"> </w:t>
      </w:r>
      <w:r w:rsidRPr="00F04DAC">
        <w:t xml:space="preserve"> </w:t>
      </w:r>
    </w:p>
    <w:p w14:paraId="44F86271" w14:textId="5863B331" w:rsidR="00F04DAC" w:rsidRPr="00F04DAC" w:rsidRDefault="00F04DAC" w:rsidP="00EB6148">
      <w:pPr>
        <w:pStyle w:val="NormalWeb"/>
        <w:numPr>
          <w:ilvl w:val="0"/>
          <w:numId w:val="2"/>
        </w:numPr>
      </w:pPr>
      <w:r w:rsidRPr="00F04DAC">
        <w:rPr>
          <w:lang w:val="it-IT"/>
        </w:rPr>
        <w:t xml:space="preserve">Jha, G. K., &amp; Gupta, S. (2021). </w:t>
      </w:r>
      <w:r w:rsidRPr="00F04DAC">
        <w:t xml:space="preserve">Farmer producer companies and access to agricultural markets. </w:t>
      </w:r>
      <w:r w:rsidRPr="00F04DAC">
        <w:rPr>
          <w:i/>
          <w:iCs/>
        </w:rPr>
        <w:t>Indian Journal of Economics and Development, 17</w:t>
      </w:r>
      <w:r w:rsidRPr="00F04DAC">
        <w:t xml:space="preserve">(1), 65–74. </w:t>
      </w:r>
      <w:hyperlink r:id="rId19" w:history="1">
        <w:r w:rsidR="009B7B5D" w:rsidRPr="00AD01FF">
          <w:rPr>
            <w:rStyle w:val="Hyperlink"/>
          </w:rPr>
          <w:t>https://doi.org/10.35716/IJED/21008</w:t>
        </w:r>
      </w:hyperlink>
      <w:r w:rsidR="009B7B5D">
        <w:t xml:space="preserve"> </w:t>
      </w:r>
      <w:r w:rsidRPr="00F04DAC">
        <w:t xml:space="preserve"> </w:t>
      </w:r>
    </w:p>
    <w:p w14:paraId="07E55C26" w14:textId="7E0C9910" w:rsidR="00F04DAC" w:rsidRPr="00F04DAC" w:rsidRDefault="00F04DAC" w:rsidP="00EB6148">
      <w:pPr>
        <w:pStyle w:val="NormalWeb"/>
        <w:numPr>
          <w:ilvl w:val="0"/>
          <w:numId w:val="2"/>
        </w:numPr>
      </w:pPr>
      <w:r w:rsidRPr="00F04DAC">
        <w:t xml:space="preserve">Jose, A. M., &amp; Chathukulam, J. (2025). Farmer Producer Organisations and institutional economics: Institutional economic thought for strengthening sustainable agriculture. </w:t>
      </w:r>
      <w:r w:rsidRPr="00F04DAC">
        <w:rPr>
          <w:i/>
          <w:iCs/>
        </w:rPr>
        <w:t>Indian Public Policy Review, 6</w:t>
      </w:r>
      <w:r w:rsidRPr="00F04DAC">
        <w:t xml:space="preserve">(3). </w:t>
      </w:r>
      <w:hyperlink r:id="rId20" w:history="1">
        <w:r w:rsidR="009B7B5D" w:rsidRPr="00AD01FF">
          <w:rPr>
            <w:rStyle w:val="Hyperlink"/>
          </w:rPr>
          <w:t>https://doi.org/10.55763/ippr.2025.06.03.002</w:t>
        </w:r>
      </w:hyperlink>
      <w:r w:rsidR="009B7B5D">
        <w:t xml:space="preserve"> </w:t>
      </w:r>
      <w:r w:rsidRPr="00F04DAC">
        <w:t xml:space="preserve"> </w:t>
      </w:r>
    </w:p>
    <w:p w14:paraId="050CE225" w14:textId="6B97C019" w:rsidR="00F04DAC" w:rsidRPr="00F04DAC" w:rsidRDefault="00F04DAC" w:rsidP="00EB6148">
      <w:pPr>
        <w:pStyle w:val="NormalWeb"/>
        <w:numPr>
          <w:ilvl w:val="0"/>
          <w:numId w:val="2"/>
        </w:numPr>
      </w:pPr>
      <w:r w:rsidRPr="00F04DAC">
        <w:t xml:space="preserve">Kaur, P., &amp; Singla, N. (2022). Agribusiness incubation and FPO-led entrepreneurship in India. </w:t>
      </w:r>
      <w:r w:rsidRPr="00F04DAC">
        <w:rPr>
          <w:i/>
          <w:iCs/>
        </w:rPr>
        <w:t>Journal of Agribusiness in Developing and Emerging Economies, 12</w:t>
      </w:r>
      <w:r w:rsidRPr="00F04DAC">
        <w:t xml:space="preserve">(5), 719–735. </w:t>
      </w:r>
      <w:hyperlink r:id="rId21" w:history="1">
        <w:r w:rsidR="009B7B5D" w:rsidRPr="00AD01FF">
          <w:rPr>
            <w:rStyle w:val="Hyperlink"/>
          </w:rPr>
          <w:t>https://doi.org/10.1108/JADEE-11-2020-0249</w:t>
        </w:r>
      </w:hyperlink>
      <w:r w:rsidR="009B7B5D">
        <w:t xml:space="preserve"> </w:t>
      </w:r>
      <w:r w:rsidRPr="00F04DAC">
        <w:t xml:space="preserve"> </w:t>
      </w:r>
    </w:p>
    <w:p w14:paraId="5A4C4BBA" w14:textId="19428C04" w:rsidR="00F04DAC" w:rsidRPr="00F04DAC" w:rsidRDefault="00F04DAC" w:rsidP="00EB6148">
      <w:pPr>
        <w:pStyle w:val="NormalWeb"/>
        <w:numPr>
          <w:ilvl w:val="0"/>
          <w:numId w:val="2"/>
        </w:numPr>
      </w:pPr>
      <w:r w:rsidRPr="00F04DAC">
        <w:t xml:space="preserve">Kilelu, C. W., Klerkx, L., &amp; Leeuwis, C. (2021). Supporting smallholder commercialization through farmer organizations. </w:t>
      </w:r>
      <w:r w:rsidRPr="00F04DAC">
        <w:rPr>
          <w:i/>
          <w:iCs/>
        </w:rPr>
        <w:t>International Journal of Agricultural Sustainability, 19</w:t>
      </w:r>
      <w:r w:rsidRPr="00F04DAC">
        <w:t xml:space="preserve">(3–4), 312–326. </w:t>
      </w:r>
      <w:hyperlink r:id="rId22" w:history="1">
        <w:r w:rsidR="009B7B5D" w:rsidRPr="00AD01FF">
          <w:rPr>
            <w:rStyle w:val="Hyperlink"/>
          </w:rPr>
          <w:t>https://doi.org/10.1080/14735903.2021.1880492</w:t>
        </w:r>
      </w:hyperlink>
      <w:r w:rsidR="009B7B5D">
        <w:t xml:space="preserve"> </w:t>
      </w:r>
      <w:r w:rsidRPr="00F04DAC">
        <w:t xml:space="preserve"> </w:t>
      </w:r>
    </w:p>
    <w:p w14:paraId="3C0217CE" w14:textId="0AD965A9" w:rsidR="00F04DAC" w:rsidRPr="00F04DAC" w:rsidRDefault="00F04DAC" w:rsidP="00EB6148">
      <w:pPr>
        <w:pStyle w:val="NormalWeb"/>
        <w:numPr>
          <w:ilvl w:val="0"/>
          <w:numId w:val="2"/>
        </w:numPr>
      </w:pPr>
      <w:r w:rsidRPr="00F04DAC">
        <w:rPr>
          <w:lang w:val="it-IT"/>
        </w:rPr>
        <w:t xml:space="preserve">Kumar, A., Singh, K. M., &amp; Parappurathu, S. (2021). </w:t>
      </w:r>
      <w:r w:rsidRPr="00F04DAC">
        <w:t xml:space="preserve">Collective action and agricultural value chain development in India. </w:t>
      </w:r>
      <w:r w:rsidRPr="00F04DAC">
        <w:rPr>
          <w:i/>
          <w:iCs/>
        </w:rPr>
        <w:t>Agricultural Economics Research Review, 34</w:t>
      </w:r>
      <w:r w:rsidRPr="00F04DAC">
        <w:t xml:space="preserve">(1), 77–90. </w:t>
      </w:r>
      <w:hyperlink r:id="rId23" w:history="1">
        <w:r w:rsidR="009B7B5D" w:rsidRPr="00AD01FF">
          <w:rPr>
            <w:rStyle w:val="Hyperlink"/>
          </w:rPr>
          <w:t>https://doi.org/10.5958/0974-0279.2021.00008.7</w:t>
        </w:r>
      </w:hyperlink>
      <w:r w:rsidR="009B7B5D">
        <w:t xml:space="preserve"> </w:t>
      </w:r>
      <w:r w:rsidRPr="00F04DAC">
        <w:t xml:space="preserve"> </w:t>
      </w:r>
    </w:p>
    <w:p w14:paraId="37580FA1" w14:textId="1C9B942F" w:rsidR="00F04DAC" w:rsidRPr="00F04DAC" w:rsidRDefault="00F04DAC" w:rsidP="00EB6148">
      <w:pPr>
        <w:pStyle w:val="NormalWeb"/>
        <w:numPr>
          <w:ilvl w:val="0"/>
          <w:numId w:val="2"/>
        </w:numPr>
      </w:pPr>
      <w:r w:rsidRPr="00F04DAC">
        <w:t xml:space="preserve">Kumar, N., &amp; Kapoor, S. (2023). Farmer Producer Organizations and market efficiency in developing economies. </w:t>
      </w:r>
      <w:r w:rsidRPr="00F04DAC">
        <w:rPr>
          <w:i/>
          <w:iCs/>
        </w:rPr>
        <w:t>Journal of Agribusiness in Developing and Emerging Economies, 13</w:t>
      </w:r>
      <w:r w:rsidRPr="00F04DAC">
        <w:t xml:space="preserve">(4), 567–582. </w:t>
      </w:r>
      <w:hyperlink r:id="rId24" w:history="1">
        <w:r w:rsidR="009B7B5D" w:rsidRPr="00AD01FF">
          <w:rPr>
            <w:rStyle w:val="Hyperlink"/>
          </w:rPr>
          <w:t>https://doi.org/10.1108/JADEE-08-2022-0187</w:t>
        </w:r>
      </w:hyperlink>
      <w:r w:rsidR="009B7B5D">
        <w:t xml:space="preserve"> </w:t>
      </w:r>
      <w:r w:rsidRPr="00F04DAC">
        <w:t xml:space="preserve"> </w:t>
      </w:r>
    </w:p>
    <w:p w14:paraId="485C6C81" w14:textId="244E215D" w:rsidR="00F04DAC" w:rsidRPr="00F04DAC" w:rsidRDefault="00F04DAC" w:rsidP="00EB6148">
      <w:pPr>
        <w:pStyle w:val="NormalWeb"/>
        <w:numPr>
          <w:ilvl w:val="0"/>
          <w:numId w:val="2"/>
        </w:numPr>
      </w:pPr>
      <w:r w:rsidRPr="00F04DAC">
        <w:t xml:space="preserve">Kumar, S., &amp; Roy, D. (2024). Collective farming institutions and value chain integration in India. </w:t>
      </w:r>
      <w:r w:rsidRPr="00F04DAC">
        <w:rPr>
          <w:i/>
          <w:iCs/>
        </w:rPr>
        <w:t>Agricultural Systems, 216</w:t>
      </w:r>
      <w:r w:rsidRPr="00F04DAC">
        <w:t xml:space="preserve">, 103904. </w:t>
      </w:r>
      <w:hyperlink r:id="rId25" w:history="1">
        <w:r w:rsidR="009B7B5D" w:rsidRPr="00AD01FF">
          <w:rPr>
            <w:rStyle w:val="Hyperlink"/>
          </w:rPr>
          <w:t>https://doi.org/10.1016/j.agsy.2024.103904</w:t>
        </w:r>
      </w:hyperlink>
      <w:r w:rsidR="009B7B5D">
        <w:t xml:space="preserve"> </w:t>
      </w:r>
      <w:r w:rsidRPr="00F04DAC">
        <w:t xml:space="preserve"> </w:t>
      </w:r>
    </w:p>
    <w:p w14:paraId="1CBB629D" w14:textId="33F415D7" w:rsidR="00F04DAC" w:rsidRPr="00F04DAC" w:rsidRDefault="00F04DAC" w:rsidP="00EB6148">
      <w:pPr>
        <w:pStyle w:val="NormalWeb"/>
        <w:numPr>
          <w:ilvl w:val="0"/>
          <w:numId w:val="2"/>
        </w:numPr>
      </w:pPr>
      <w:r w:rsidRPr="00F04DAC">
        <w:rPr>
          <w:lang w:val="it-IT"/>
        </w:rPr>
        <w:t xml:space="preserve">Kumari, S., Bharti, N., &amp; Tripathy, K. K. (2021). </w:t>
      </w:r>
      <w:r w:rsidRPr="00F04DAC">
        <w:t xml:space="preserve">Strengthening agriculture value chain through collectives: Comparative case analysis. </w:t>
      </w:r>
      <w:r w:rsidRPr="00F04DAC">
        <w:rPr>
          <w:i/>
          <w:iCs/>
        </w:rPr>
        <w:t>International Journal of Rural Management, 17</w:t>
      </w:r>
      <w:r w:rsidRPr="00F04DAC">
        <w:t xml:space="preserve">(1_suppl), 40S–68S. </w:t>
      </w:r>
      <w:hyperlink r:id="rId26" w:history="1">
        <w:r w:rsidR="009B7B5D" w:rsidRPr="00AD01FF">
          <w:rPr>
            <w:rStyle w:val="Hyperlink"/>
          </w:rPr>
          <w:t>https://doi.org/10.1177/0973005221991438</w:t>
        </w:r>
      </w:hyperlink>
      <w:r w:rsidR="009B7B5D">
        <w:t xml:space="preserve"> </w:t>
      </w:r>
      <w:r w:rsidRPr="00F04DAC">
        <w:t xml:space="preserve"> </w:t>
      </w:r>
    </w:p>
    <w:p w14:paraId="5BC2DB07" w14:textId="77777777" w:rsidR="00F04DAC" w:rsidRPr="00F04DAC" w:rsidRDefault="00F04DAC" w:rsidP="00EB6148">
      <w:pPr>
        <w:pStyle w:val="NormalWeb"/>
        <w:numPr>
          <w:ilvl w:val="0"/>
          <w:numId w:val="2"/>
        </w:numPr>
      </w:pPr>
      <w:r w:rsidRPr="00F04DAC">
        <w:rPr>
          <w:lang w:val="it-IT"/>
        </w:rPr>
        <w:t xml:space="preserve">Ma, W., Zhou, X., &amp; Renwick, A. (2022). </w:t>
      </w:r>
      <w:r w:rsidRPr="00F04DAC">
        <w:t xml:space="preserve">Impact of cooperative membership on vegetable farmers’ income. </w:t>
      </w:r>
      <w:r w:rsidRPr="00F04DAC">
        <w:rPr>
          <w:i/>
          <w:iCs/>
        </w:rPr>
        <w:t>Agribusiness, 38</w:t>
      </w:r>
      <w:r w:rsidRPr="00F04DAC">
        <w:t xml:space="preserve">(1), 142–161. </w:t>
      </w:r>
      <w:hyperlink r:id="rId27" w:tgtFrame="_new" w:history="1">
        <w:r w:rsidRPr="00F04DAC">
          <w:rPr>
            <w:rStyle w:val="Hyperlink"/>
          </w:rPr>
          <w:t>https://doi.org/10.1002/agr.21684</w:t>
        </w:r>
      </w:hyperlink>
    </w:p>
    <w:p w14:paraId="5D598C02" w14:textId="1DE0AB9B" w:rsidR="00F04DAC" w:rsidRPr="00F04DAC" w:rsidRDefault="00F04DAC" w:rsidP="00EB6148">
      <w:pPr>
        <w:pStyle w:val="NormalWeb"/>
        <w:numPr>
          <w:ilvl w:val="0"/>
          <w:numId w:val="2"/>
        </w:numPr>
      </w:pPr>
      <w:r w:rsidRPr="00F04DAC">
        <w:lastRenderedPageBreak/>
        <w:t xml:space="preserve">Mahajan, V., &amp; Tomar, S. (2022). Strengthening rural livelihoods through farmer collectives. </w:t>
      </w:r>
      <w:r w:rsidRPr="00F04DAC">
        <w:rPr>
          <w:i/>
          <w:iCs/>
        </w:rPr>
        <w:t>Journal of Rural Development, 41</w:t>
      </w:r>
      <w:r w:rsidRPr="00F04DAC">
        <w:t xml:space="preserve">(3), 325–344. </w:t>
      </w:r>
      <w:hyperlink r:id="rId28" w:history="1">
        <w:r w:rsidR="009B7B5D" w:rsidRPr="00AD01FF">
          <w:rPr>
            <w:rStyle w:val="Hyperlink"/>
          </w:rPr>
          <w:t>https://doi.org/10.25175/jrd/2022/v41/i3/167842</w:t>
        </w:r>
      </w:hyperlink>
      <w:r w:rsidR="009B7B5D">
        <w:t xml:space="preserve"> </w:t>
      </w:r>
      <w:r w:rsidRPr="00F04DAC">
        <w:t xml:space="preserve"> </w:t>
      </w:r>
    </w:p>
    <w:p w14:paraId="4F5D1B37" w14:textId="34296B57" w:rsidR="00F04DAC" w:rsidRPr="00F04DAC" w:rsidRDefault="00F04DAC" w:rsidP="00EB6148">
      <w:pPr>
        <w:pStyle w:val="NormalWeb"/>
        <w:numPr>
          <w:ilvl w:val="0"/>
          <w:numId w:val="2"/>
        </w:numPr>
      </w:pPr>
      <w:r w:rsidRPr="00F04DAC">
        <w:t xml:space="preserve">Meena, G. L., Burark, S. S., Pant, D. C., &amp; Singh, R. K. (2021). Performance analysis of farmer producer organizations in India. </w:t>
      </w:r>
      <w:r w:rsidRPr="00F04DAC">
        <w:rPr>
          <w:i/>
          <w:iCs/>
        </w:rPr>
        <w:t>Indian Journal of Extension Education, 57</w:t>
      </w:r>
      <w:r w:rsidRPr="00F04DAC">
        <w:t xml:space="preserve">(2), 72–78. </w:t>
      </w:r>
      <w:hyperlink r:id="rId29" w:history="1">
        <w:r w:rsidR="009B7B5D" w:rsidRPr="00AD01FF">
          <w:rPr>
            <w:rStyle w:val="Hyperlink"/>
          </w:rPr>
          <w:t>https://doi.org/10.48165/IJEE.2021.57215</w:t>
        </w:r>
      </w:hyperlink>
      <w:r w:rsidR="009B7B5D">
        <w:t xml:space="preserve"> </w:t>
      </w:r>
      <w:r w:rsidRPr="00F04DAC">
        <w:t xml:space="preserve"> </w:t>
      </w:r>
    </w:p>
    <w:p w14:paraId="41E9FBCD" w14:textId="240B3E58" w:rsidR="00F04DAC" w:rsidRPr="00F04DAC" w:rsidRDefault="00F04DAC" w:rsidP="00EB6148">
      <w:pPr>
        <w:pStyle w:val="NormalWeb"/>
        <w:numPr>
          <w:ilvl w:val="0"/>
          <w:numId w:val="2"/>
        </w:numPr>
      </w:pPr>
      <w:r w:rsidRPr="00F04DAC">
        <w:t xml:space="preserve">Mishra, A. K., Kumar, A., Joshi, P. K., &amp; D’Souza, A. (2023). Value chain positioning and market access: How farmer producer organizations transform rural economies. </w:t>
      </w:r>
      <w:r w:rsidRPr="00F04DAC">
        <w:rPr>
          <w:i/>
          <w:iCs/>
        </w:rPr>
        <w:t>Agricultural Economics, 54</w:t>
      </w:r>
      <w:r w:rsidRPr="00F04DAC">
        <w:t xml:space="preserve">(1), 67–82. </w:t>
      </w:r>
      <w:hyperlink r:id="rId30" w:history="1">
        <w:r w:rsidR="009B7B5D" w:rsidRPr="00AD01FF">
          <w:rPr>
            <w:rStyle w:val="Hyperlink"/>
          </w:rPr>
          <w:t>https://doi.org/10.1111/agec.12731</w:t>
        </w:r>
      </w:hyperlink>
      <w:r w:rsidR="009B7B5D">
        <w:t xml:space="preserve"> </w:t>
      </w:r>
      <w:r w:rsidRPr="00F04DAC">
        <w:t xml:space="preserve"> </w:t>
      </w:r>
    </w:p>
    <w:p w14:paraId="486DB3C0" w14:textId="3407B40F" w:rsidR="00F04DAC" w:rsidRPr="00F04DAC" w:rsidRDefault="00F04DAC" w:rsidP="00EB6148">
      <w:pPr>
        <w:pStyle w:val="NormalWeb"/>
        <w:numPr>
          <w:ilvl w:val="0"/>
          <w:numId w:val="2"/>
        </w:numPr>
      </w:pPr>
      <w:r w:rsidRPr="00F04DAC">
        <w:t xml:space="preserve">Mittal, S., &amp; Hariharan, V. (2023). Digital platforms and agricultural value chains in India. </w:t>
      </w:r>
      <w:r w:rsidRPr="00F04DAC">
        <w:rPr>
          <w:i/>
          <w:iCs/>
        </w:rPr>
        <w:t>Electronic Commerce Research, 23</w:t>
      </w:r>
      <w:r w:rsidRPr="00F04DAC">
        <w:t xml:space="preserve">(4), 1985–2004. </w:t>
      </w:r>
      <w:hyperlink r:id="rId31" w:history="1">
        <w:r w:rsidR="009B7B5D" w:rsidRPr="00AD01FF">
          <w:rPr>
            <w:rStyle w:val="Hyperlink"/>
          </w:rPr>
          <w:t>https://doi.org/10.1007/s10660-022-09572-0</w:t>
        </w:r>
      </w:hyperlink>
      <w:r w:rsidR="009B7B5D">
        <w:t xml:space="preserve"> </w:t>
      </w:r>
      <w:r w:rsidRPr="00F04DAC">
        <w:t xml:space="preserve"> </w:t>
      </w:r>
    </w:p>
    <w:p w14:paraId="3395A325" w14:textId="4C500645" w:rsidR="00F04DAC" w:rsidRPr="00F04DAC" w:rsidRDefault="00F04DAC" w:rsidP="00EB6148">
      <w:pPr>
        <w:pStyle w:val="NormalWeb"/>
        <w:numPr>
          <w:ilvl w:val="0"/>
          <w:numId w:val="2"/>
        </w:numPr>
      </w:pPr>
      <w:r w:rsidRPr="00F04DAC">
        <w:t xml:space="preserve">Mukherjee, A., Singh, P., Ray, M., Satyasai, K. J. S., &amp; Burman, R. R. (2021). Enhancing farmers’ income through farmer producer companies in India. </w:t>
      </w:r>
      <w:r w:rsidRPr="00F04DAC">
        <w:rPr>
          <w:i/>
          <w:iCs/>
        </w:rPr>
        <w:t>Indian Journal of Agricultural Sciences, 91</w:t>
      </w:r>
      <w:r w:rsidRPr="00F04DAC">
        <w:t xml:space="preserve">(8), 1151–1161. </w:t>
      </w:r>
      <w:hyperlink r:id="rId32" w:history="1">
        <w:r w:rsidR="009B7B5D" w:rsidRPr="00AD01FF">
          <w:rPr>
            <w:rStyle w:val="Hyperlink"/>
          </w:rPr>
          <w:t>https://doi.org/10.56093/ijas.v91i8.115465</w:t>
        </w:r>
      </w:hyperlink>
      <w:r w:rsidR="009B7B5D">
        <w:t xml:space="preserve"> </w:t>
      </w:r>
      <w:r w:rsidRPr="00F04DAC">
        <w:t xml:space="preserve"> </w:t>
      </w:r>
    </w:p>
    <w:p w14:paraId="0EA0867B" w14:textId="269379EB" w:rsidR="00F04DAC" w:rsidRPr="00F04DAC" w:rsidRDefault="00F04DAC" w:rsidP="00EB6148">
      <w:pPr>
        <w:pStyle w:val="NormalWeb"/>
        <w:numPr>
          <w:ilvl w:val="0"/>
          <w:numId w:val="2"/>
        </w:numPr>
      </w:pPr>
      <w:r w:rsidRPr="00F04DAC">
        <w:rPr>
          <w:lang w:val="it-IT"/>
        </w:rPr>
        <w:t xml:space="preserve">Nandi, R., Nedumaran, S., &amp; Ravula, P. (2021). </w:t>
      </w:r>
      <w:r w:rsidRPr="00F04DAC">
        <w:t xml:space="preserve">The interplay between food market reforms and value chain transformation in India. </w:t>
      </w:r>
      <w:r w:rsidRPr="00F04DAC">
        <w:rPr>
          <w:i/>
          <w:iCs/>
        </w:rPr>
        <w:t>Global Food Security, 28</w:t>
      </w:r>
      <w:r w:rsidRPr="00F04DAC">
        <w:t xml:space="preserve">, 100514. </w:t>
      </w:r>
      <w:hyperlink r:id="rId33" w:tgtFrame="_new" w:history="1">
        <w:r w:rsidRPr="00F04DAC">
          <w:rPr>
            <w:rStyle w:val="Hyperlink"/>
          </w:rPr>
          <w:t>https://doi.org/10.1016/j.gfs.2021.100514</w:t>
        </w:r>
      </w:hyperlink>
      <w:r w:rsidRPr="00F04DAC">
        <w:t xml:space="preserve"> </w:t>
      </w:r>
    </w:p>
    <w:p w14:paraId="3F53CD76" w14:textId="7E3F5F46" w:rsidR="00F04DAC" w:rsidRPr="00F04DAC" w:rsidRDefault="00F04DAC" w:rsidP="00EB6148">
      <w:pPr>
        <w:pStyle w:val="NormalWeb"/>
        <w:numPr>
          <w:ilvl w:val="0"/>
          <w:numId w:val="2"/>
        </w:numPr>
      </w:pPr>
      <w:r w:rsidRPr="00F04DAC">
        <w:t xml:space="preserve">Narrod, C., Roy, D., Okello, J., Avendaño, B., Rich, K., &amp; Thorat, A. (2021). Public–private partnerships and collective action in high-value agricultural markets. </w:t>
      </w:r>
      <w:r w:rsidRPr="00F04DAC">
        <w:rPr>
          <w:i/>
          <w:iCs/>
        </w:rPr>
        <w:t>Food Policy, 101</w:t>
      </w:r>
      <w:r w:rsidRPr="00F04DAC">
        <w:t xml:space="preserve">, 102062. </w:t>
      </w:r>
      <w:hyperlink r:id="rId34" w:history="1">
        <w:r w:rsidR="009B7B5D" w:rsidRPr="00AD01FF">
          <w:rPr>
            <w:rStyle w:val="Hyperlink"/>
          </w:rPr>
          <w:t>https://doi.org/10.1016/j.foodpol.2021.102062</w:t>
        </w:r>
      </w:hyperlink>
      <w:r w:rsidR="009B7B5D">
        <w:t xml:space="preserve"> </w:t>
      </w:r>
      <w:r w:rsidRPr="00F04DAC">
        <w:t xml:space="preserve"> </w:t>
      </w:r>
    </w:p>
    <w:p w14:paraId="0CFE0B3A" w14:textId="43D13F06" w:rsidR="00F04DAC" w:rsidRPr="00F04DAC" w:rsidRDefault="00F04DAC" w:rsidP="00EB6148">
      <w:pPr>
        <w:pStyle w:val="NormalWeb"/>
        <w:numPr>
          <w:ilvl w:val="0"/>
          <w:numId w:val="2"/>
        </w:numPr>
      </w:pPr>
      <w:r w:rsidRPr="00F04DAC">
        <w:t xml:space="preserve">Nikam, V., Singh, P., Ashok, A., &amp; Kumar, S. (2021). Farmer producer organisations: Innovative institutions for upliftment of small farmers. </w:t>
      </w:r>
      <w:r w:rsidRPr="00F04DAC">
        <w:rPr>
          <w:i/>
          <w:iCs/>
        </w:rPr>
        <w:t>Indian Journal of Agricultural Sciences, 91</w:t>
      </w:r>
      <w:r w:rsidRPr="00F04DAC">
        <w:t xml:space="preserve">(9), 1383–1392. </w:t>
      </w:r>
      <w:hyperlink r:id="rId35" w:history="1">
        <w:r w:rsidR="009B7B5D" w:rsidRPr="00AD01FF">
          <w:rPr>
            <w:rStyle w:val="Hyperlink"/>
          </w:rPr>
          <w:t>https://doi.org/10.56093/ijas.v91i9.116231</w:t>
        </w:r>
      </w:hyperlink>
      <w:r w:rsidR="009B7B5D">
        <w:t xml:space="preserve"> </w:t>
      </w:r>
      <w:r w:rsidRPr="00F04DAC">
        <w:t xml:space="preserve"> </w:t>
      </w:r>
    </w:p>
    <w:p w14:paraId="09015E01" w14:textId="77777777" w:rsidR="00F04DAC" w:rsidRPr="00F04DAC" w:rsidRDefault="00F04DAC" w:rsidP="00EB6148">
      <w:pPr>
        <w:pStyle w:val="NormalWeb"/>
        <w:numPr>
          <w:ilvl w:val="0"/>
          <w:numId w:val="2"/>
        </w:numPr>
      </w:pPr>
      <w:r w:rsidRPr="00F04DAC">
        <w:t xml:space="preserve">Pandey, N. K., &amp; Singh, R. (2022). Farmer producer organizations in India: Performance and policy issues. </w:t>
      </w:r>
      <w:r w:rsidRPr="00F04DAC">
        <w:rPr>
          <w:i/>
          <w:iCs/>
        </w:rPr>
        <w:t>Indian Journal of Agricultural Economics, 77</w:t>
      </w:r>
      <w:r w:rsidRPr="00F04DAC">
        <w:t xml:space="preserve">(2), 214–228. </w:t>
      </w:r>
      <w:hyperlink r:id="rId36" w:tgtFrame="_new" w:history="1">
        <w:r w:rsidRPr="00F04DAC">
          <w:rPr>
            <w:rStyle w:val="Hyperlink"/>
          </w:rPr>
          <w:t>https://doi.org/10.22004/ag.econ.325467</w:t>
        </w:r>
      </w:hyperlink>
      <w:r w:rsidRPr="00F04DAC">
        <w:t xml:space="preserve"> </w:t>
      </w:r>
    </w:p>
    <w:p w14:paraId="14800D1B" w14:textId="0355D5E7" w:rsidR="00F04DAC" w:rsidRPr="00F04DAC" w:rsidRDefault="00F04DAC" w:rsidP="00EB6148">
      <w:pPr>
        <w:pStyle w:val="NormalWeb"/>
        <w:numPr>
          <w:ilvl w:val="0"/>
          <w:numId w:val="2"/>
        </w:numPr>
      </w:pPr>
      <w:r w:rsidRPr="00F04DAC">
        <w:t xml:space="preserve">Pasupuleti, S., Nikam, V., Veesam, H., &amp; Praveen, K. V. (2025). Farmer Producer Organization–based value chain to leverage the income of small farmers: An empirical evidence from India. </w:t>
      </w:r>
      <w:r w:rsidRPr="00F04DAC">
        <w:rPr>
          <w:i/>
          <w:iCs/>
        </w:rPr>
        <w:t>Journal of Asian and African Studies</w:t>
      </w:r>
      <w:r w:rsidRPr="00F04DAC">
        <w:t xml:space="preserve">. </w:t>
      </w:r>
      <w:hyperlink r:id="rId37" w:history="1">
        <w:r w:rsidR="009B7B5D" w:rsidRPr="00AD01FF">
          <w:rPr>
            <w:rStyle w:val="Hyperlink"/>
          </w:rPr>
          <w:t>https://doi.org/10.1177/00219096251376665</w:t>
        </w:r>
      </w:hyperlink>
      <w:r w:rsidR="009B7B5D">
        <w:t xml:space="preserve"> </w:t>
      </w:r>
      <w:r w:rsidRPr="00F04DAC">
        <w:t xml:space="preserve"> </w:t>
      </w:r>
    </w:p>
    <w:p w14:paraId="0F8375E4" w14:textId="24714A88" w:rsidR="00F04DAC" w:rsidRPr="00F04DAC" w:rsidRDefault="00F04DAC" w:rsidP="00EB6148">
      <w:pPr>
        <w:pStyle w:val="NormalWeb"/>
        <w:numPr>
          <w:ilvl w:val="0"/>
          <w:numId w:val="2"/>
        </w:numPr>
      </w:pPr>
      <w:r w:rsidRPr="00F04DAC">
        <w:t xml:space="preserve">Patel, K., &amp; Choudhary, V. K. (2024). Market-led extension services and FPO competitiveness. </w:t>
      </w:r>
      <w:r w:rsidRPr="00F04DAC">
        <w:rPr>
          <w:i/>
          <w:iCs/>
        </w:rPr>
        <w:t>Extension Education Journal, 36</w:t>
      </w:r>
      <w:r w:rsidRPr="00F04DAC">
        <w:t xml:space="preserve">(1), 45–56. </w:t>
      </w:r>
      <w:hyperlink r:id="rId38" w:history="1">
        <w:r w:rsidR="009B7B5D" w:rsidRPr="00AD01FF">
          <w:rPr>
            <w:rStyle w:val="Hyperlink"/>
          </w:rPr>
          <w:t>https://doi.org/10.26725/EEJ.2024.1.5</w:t>
        </w:r>
      </w:hyperlink>
      <w:r w:rsidR="009B7B5D">
        <w:t xml:space="preserve"> </w:t>
      </w:r>
      <w:r w:rsidRPr="00F04DAC">
        <w:t xml:space="preserve"> </w:t>
      </w:r>
    </w:p>
    <w:p w14:paraId="414E5E54" w14:textId="6BBCF037" w:rsidR="00F04DAC" w:rsidRPr="00F04DAC" w:rsidRDefault="00F04DAC" w:rsidP="00EB6148">
      <w:pPr>
        <w:pStyle w:val="NormalWeb"/>
        <w:numPr>
          <w:ilvl w:val="0"/>
          <w:numId w:val="2"/>
        </w:numPr>
      </w:pPr>
      <w:r w:rsidRPr="00F04DAC">
        <w:rPr>
          <w:lang w:val="it-IT"/>
        </w:rPr>
        <w:t xml:space="preserve">Patil, S., Mehta, M., Pancholi, G., &amp; Saxena, A. (2025). </w:t>
      </w:r>
      <w:r w:rsidRPr="00F04DAC">
        <w:t xml:space="preserve">Unveiling the dynamics of farmer producer organizations in India: A systematic review of status, challenges, and future directions. </w:t>
      </w:r>
      <w:r w:rsidRPr="00F04DAC">
        <w:rPr>
          <w:i/>
          <w:iCs/>
        </w:rPr>
        <w:t>Humanities and Social Sciences Communications, 12</w:t>
      </w:r>
      <w:r w:rsidRPr="00F04DAC">
        <w:t xml:space="preserve">, 758. </w:t>
      </w:r>
      <w:hyperlink r:id="rId39" w:history="1">
        <w:r w:rsidR="009B7B5D" w:rsidRPr="00AD01FF">
          <w:rPr>
            <w:rStyle w:val="Hyperlink"/>
          </w:rPr>
          <w:t>https://doi.org/10.1057/s41599-025-05063-9</w:t>
        </w:r>
      </w:hyperlink>
      <w:r w:rsidR="009B7B5D">
        <w:t xml:space="preserve"> </w:t>
      </w:r>
      <w:r w:rsidRPr="00F04DAC">
        <w:t xml:space="preserve"> </w:t>
      </w:r>
    </w:p>
    <w:p w14:paraId="7685A6B0" w14:textId="02B8F761" w:rsidR="00F04DAC" w:rsidRPr="00F04DAC" w:rsidRDefault="00F04DAC" w:rsidP="00EB6148">
      <w:pPr>
        <w:pStyle w:val="NormalWeb"/>
        <w:numPr>
          <w:ilvl w:val="0"/>
          <w:numId w:val="2"/>
        </w:numPr>
      </w:pPr>
      <w:r w:rsidRPr="00F04DAC">
        <w:t xml:space="preserve">Prasad, C. S., &amp; Singh, S. (2022). Agricultural value chain financing through farmer producer organizations. </w:t>
      </w:r>
      <w:r w:rsidRPr="00F04DAC">
        <w:rPr>
          <w:i/>
          <w:iCs/>
        </w:rPr>
        <w:t>Agricultural Finance Review, 82</w:t>
      </w:r>
      <w:r w:rsidRPr="00F04DAC">
        <w:t xml:space="preserve">(5), 941–958. </w:t>
      </w:r>
      <w:hyperlink r:id="rId40" w:history="1">
        <w:r w:rsidR="009B7B5D" w:rsidRPr="00AD01FF">
          <w:rPr>
            <w:rStyle w:val="Hyperlink"/>
          </w:rPr>
          <w:t>https://doi.org/10.1108/AFR-11-2021-0153</w:t>
        </w:r>
      </w:hyperlink>
      <w:r w:rsidR="009B7B5D">
        <w:t xml:space="preserve"> </w:t>
      </w:r>
      <w:r w:rsidRPr="00F04DAC">
        <w:t xml:space="preserve"> </w:t>
      </w:r>
    </w:p>
    <w:p w14:paraId="0058968B" w14:textId="3E50D2DD" w:rsidR="00F04DAC" w:rsidRPr="00F04DAC" w:rsidRDefault="00F04DAC" w:rsidP="00EB6148">
      <w:pPr>
        <w:pStyle w:val="NormalWeb"/>
        <w:numPr>
          <w:ilvl w:val="0"/>
          <w:numId w:val="2"/>
        </w:numPr>
      </w:pPr>
      <w:r w:rsidRPr="00F04DAC">
        <w:t xml:space="preserve">Rao, P., &amp; Sahu, N. (2022). Digital agriculture and farmer producer organizations in India. </w:t>
      </w:r>
      <w:r w:rsidRPr="00F04DAC">
        <w:rPr>
          <w:i/>
          <w:iCs/>
        </w:rPr>
        <w:t>Information Development, 38</w:t>
      </w:r>
      <w:r w:rsidRPr="00F04DAC">
        <w:t xml:space="preserve">(4), 620–632. </w:t>
      </w:r>
      <w:hyperlink r:id="rId41" w:history="1">
        <w:r w:rsidR="009B7B5D" w:rsidRPr="00AD01FF">
          <w:rPr>
            <w:rStyle w:val="Hyperlink"/>
          </w:rPr>
          <w:t>https://doi.org/10.1177/02666669211035762</w:t>
        </w:r>
      </w:hyperlink>
      <w:r w:rsidR="009B7B5D">
        <w:t xml:space="preserve"> </w:t>
      </w:r>
      <w:r w:rsidRPr="00F04DAC">
        <w:t xml:space="preserve"> </w:t>
      </w:r>
    </w:p>
    <w:p w14:paraId="6193F57C" w14:textId="77777777" w:rsidR="00F04DAC" w:rsidRPr="00F04DAC" w:rsidRDefault="00F04DAC" w:rsidP="00EB6148">
      <w:pPr>
        <w:pStyle w:val="NormalWeb"/>
        <w:numPr>
          <w:ilvl w:val="0"/>
          <w:numId w:val="2"/>
        </w:numPr>
      </w:pPr>
      <w:r w:rsidRPr="00F04DAC">
        <w:t xml:space="preserve">Raut, R. D., Mangla, S. K., Narwane, V. S., Gardas, B. B., &amp; Narkhede, B. E. (2021). Collaborative innovation and sustainability in the food supply chain: Evidence from farmer producer organisations. </w:t>
      </w:r>
      <w:r w:rsidRPr="00F04DAC">
        <w:rPr>
          <w:i/>
          <w:iCs/>
        </w:rPr>
        <w:t>Resources, Conservation and Recycling, 168</w:t>
      </w:r>
      <w:r w:rsidRPr="00F04DAC">
        <w:t xml:space="preserve">, 105253. </w:t>
      </w:r>
      <w:hyperlink r:id="rId42" w:tgtFrame="_new" w:history="1">
        <w:r w:rsidRPr="00F04DAC">
          <w:rPr>
            <w:rStyle w:val="Hyperlink"/>
          </w:rPr>
          <w:t>https://doi.org/10.1016/j.resconrec.2020.105253</w:t>
        </w:r>
      </w:hyperlink>
      <w:r w:rsidRPr="00F04DAC">
        <w:t xml:space="preserve"> </w:t>
      </w:r>
    </w:p>
    <w:p w14:paraId="043D8F96" w14:textId="0CF6F0E6" w:rsidR="00F04DAC" w:rsidRPr="00F04DAC" w:rsidRDefault="00F04DAC" w:rsidP="00EB6148">
      <w:pPr>
        <w:pStyle w:val="NormalWeb"/>
        <w:numPr>
          <w:ilvl w:val="0"/>
          <w:numId w:val="2"/>
        </w:numPr>
      </w:pPr>
      <w:r w:rsidRPr="00F04DAC">
        <w:lastRenderedPageBreak/>
        <w:t xml:space="preserve">Reddy, A. A., &amp; Swain, M. (2021). Farmer institutions and inclusive agricultural growth in India. </w:t>
      </w:r>
      <w:r w:rsidRPr="00F04DAC">
        <w:rPr>
          <w:i/>
          <w:iCs/>
        </w:rPr>
        <w:t>Journal of Asian and African Studies, 56</w:t>
      </w:r>
      <w:r w:rsidRPr="00F04DAC">
        <w:t xml:space="preserve">(7), 1535–1551. </w:t>
      </w:r>
      <w:hyperlink r:id="rId43" w:history="1">
        <w:r w:rsidR="009B7B5D" w:rsidRPr="00AD01FF">
          <w:rPr>
            <w:rStyle w:val="Hyperlink"/>
          </w:rPr>
          <w:t>https://doi.org/10.1177/0021909620987654</w:t>
        </w:r>
      </w:hyperlink>
      <w:r w:rsidR="009B7B5D">
        <w:t xml:space="preserve"> </w:t>
      </w:r>
      <w:r w:rsidRPr="00F04DAC">
        <w:t xml:space="preserve"> </w:t>
      </w:r>
    </w:p>
    <w:p w14:paraId="48BA20D1" w14:textId="5591BE4C" w:rsidR="00F04DAC" w:rsidRPr="00F04DAC" w:rsidRDefault="00F04DAC" w:rsidP="00EB6148">
      <w:pPr>
        <w:pStyle w:val="NormalWeb"/>
        <w:numPr>
          <w:ilvl w:val="0"/>
          <w:numId w:val="2"/>
        </w:numPr>
      </w:pPr>
      <w:r w:rsidRPr="00F04DAC">
        <w:t xml:space="preserve">Roy, M., &amp; Ghosh, P. (2023). Farmer producer organizations and sustainable supply chains. </w:t>
      </w:r>
      <w:r w:rsidRPr="00F04DAC">
        <w:rPr>
          <w:i/>
          <w:iCs/>
        </w:rPr>
        <w:t>Sustainable Production and Consumption, 36</w:t>
      </w:r>
      <w:r w:rsidRPr="00F04DAC">
        <w:t xml:space="preserve">, 248–260. </w:t>
      </w:r>
      <w:hyperlink r:id="rId44" w:history="1">
        <w:r w:rsidR="009B7B5D" w:rsidRPr="00AD01FF">
          <w:rPr>
            <w:rStyle w:val="Hyperlink"/>
          </w:rPr>
          <w:t>https://doi.org/10.1016/j.spc.2023.01.019</w:t>
        </w:r>
      </w:hyperlink>
      <w:r w:rsidR="009B7B5D">
        <w:t xml:space="preserve"> </w:t>
      </w:r>
      <w:r w:rsidRPr="00F04DAC">
        <w:t xml:space="preserve"> </w:t>
      </w:r>
    </w:p>
    <w:p w14:paraId="2789DC07" w14:textId="776D740C" w:rsidR="00F04DAC" w:rsidRPr="00F04DAC" w:rsidRDefault="00F04DAC" w:rsidP="00EB6148">
      <w:pPr>
        <w:pStyle w:val="NormalWeb"/>
        <w:numPr>
          <w:ilvl w:val="0"/>
          <w:numId w:val="2"/>
        </w:numPr>
      </w:pPr>
      <w:r w:rsidRPr="00F04DAC">
        <w:t xml:space="preserve">Saha, A., &amp; Banerjee, P. (2022). Institutional support systems for farmer producer organizations. </w:t>
      </w:r>
      <w:r w:rsidRPr="00F04DAC">
        <w:rPr>
          <w:i/>
          <w:iCs/>
        </w:rPr>
        <w:t>Indian Journal of Agricultural Marketing, 36</w:t>
      </w:r>
      <w:r w:rsidRPr="00F04DAC">
        <w:t xml:space="preserve">(2), 27–39. </w:t>
      </w:r>
      <w:hyperlink r:id="rId45" w:history="1">
        <w:r w:rsidR="009B7B5D" w:rsidRPr="00AD01FF">
          <w:rPr>
            <w:rStyle w:val="Hyperlink"/>
          </w:rPr>
          <w:t>https://doi.org/10.22004/ag.econ.321774</w:t>
        </w:r>
      </w:hyperlink>
      <w:r w:rsidR="009B7B5D">
        <w:t xml:space="preserve"> </w:t>
      </w:r>
      <w:r w:rsidRPr="00F04DAC">
        <w:t xml:space="preserve"> </w:t>
      </w:r>
    </w:p>
    <w:p w14:paraId="6ECAB3CF" w14:textId="4B451EFB" w:rsidR="00F04DAC" w:rsidRPr="00F04DAC" w:rsidRDefault="00F04DAC" w:rsidP="00EB6148">
      <w:pPr>
        <w:pStyle w:val="NormalWeb"/>
        <w:numPr>
          <w:ilvl w:val="0"/>
          <w:numId w:val="2"/>
        </w:numPr>
      </w:pPr>
      <w:r w:rsidRPr="00F04DAC">
        <w:t xml:space="preserve">Saxena, R., &amp; Kumar, D. (2025). Policy ecosystem and scaling challenges of farmer producer organizations in India. </w:t>
      </w:r>
      <w:r w:rsidRPr="00F04DAC">
        <w:rPr>
          <w:i/>
          <w:iCs/>
        </w:rPr>
        <w:t>Development Policy Review, 43</w:t>
      </w:r>
      <w:r w:rsidRPr="00F04DAC">
        <w:t xml:space="preserve">(2), e12711. </w:t>
      </w:r>
      <w:hyperlink r:id="rId46" w:history="1">
        <w:r w:rsidR="009B7B5D" w:rsidRPr="00AD01FF">
          <w:rPr>
            <w:rStyle w:val="Hyperlink"/>
          </w:rPr>
          <w:t>https://doi.org/10.1111/dpr.12711</w:t>
        </w:r>
      </w:hyperlink>
      <w:r w:rsidR="009B7B5D">
        <w:t xml:space="preserve"> </w:t>
      </w:r>
      <w:r w:rsidRPr="00F04DAC">
        <w:t xml:space="preserve"> </w:t>
      </w:r>
    </w:p>
    <w:p w14:paraId="71610009" w14:textId="1C30BE6D" w:rsidR="00F04DAC" w:rsidRPr="00F04DAC" w:rsidRDefault="00F04DAC" w:rsidP="00EB6148">
      <w:pPr>
        <w:pStyle w:val="NormalWeb"/>
        <w:numPr>
          <w:ilvl w:val="0"/>
          <w:numId w:val="2"/>
        </w:numPr>
      </w:pPr>
      <w:r w:rsidRPr="00F04DAC">
        <w:rPr>
          <w:lang w:val="it-IT"/>
        </w:rPr>
        <w:t xml:space="preserve">Sharma, M., &amp; Rao, D. P. (2021). </w:t>
      </w:r>
      <w:r w:rsidRPr="00F04DAC">
        <w:t xml:space="preserve">Determinants of farmer participation in collective marketing initiatives: Evidence from horticulture farmers in South India. </w:t>
      </w:r>
      <w:r w:rsidRPr="00F04DAC">
        <w:rPr>
          <w:i/>
          <w:iCs/>
        </w:rPr>
        <w:t>Agricultural Economics Research Review, 34</w:t>
      </w:r>
      <w:r w:rsidRPr="00F04DAC">
        <w:t xml:space="preserve">(2), 251–264. </w:t>
      </w:r>
      <w:hyperlink r:id="rId47" w:history="1">
        <w:r w:rsidR="009B7B5D" w:rsidRPr="00AD01FF">
          <w:rPr>
            <w:rStyle w:val="Hyperlink"/>
          </w:rPr>
          <w:t>https://doi.org/10.5958/0974-0279.2021.00044.0</w:t>
        </w:r>
      </w:hyperlink>
      <w:r w:rsidR="009B7B5D">
        <w:t xml:space="preserve"> </w:t>
      </w:r>
      <w:r w:rsidRPr="00F04DAC">
        <w:t xml:space="preserve"> </w:t>
      </w:r>
    </w:p>
    <w:p w14:paraId="314B5294" w14:textId="6C3F8DF3" w:rsidR="00F04DAC" w:rsidRPr="00F04DAC" w:rsidRDefault="00F04DAC" w:rsidP="00EB6148">
      <w:pPr>
        <w:pStyle w:val="NormalWeb"/>
        <w:numPr>
          <w:ilvl w:val="0"/>
          <w:numId w:val="2"/>
        </w:numPr>
      </w:pPr>
      <w:r w:rsidRPr="00F04DAC">
        <w:t xml:space="preserve">Shukla, R., &amp; Pattnaik, I. (2023). Women participation in farmer producer organizations and agribusiness development. </w:t>
      </w:r>
      <w:r w:rsidRPr="00F04DAC">
        <w:rPr>
          <w:i/>
          <w:iCs/>
        </w:rPr>
        <w:t>Gender, Technology and Development, 27</w:t>
      </w:r>
      <w:r w:rsidRPr="00F04DAC">
        <w:t xml:space="preserve">(1), 85–103. </w:t>
      </w:r>
      <w:hyperlink r:id="rId48" w:history="1">
        <w:r w:rsidR="009B7B5D" w:rsidRPr="00AD01FF">
          <w:rPr>
            <w:rStyle w:val="Hyperlink"/>
          </w:rPr>
          <w:t>https://doi.org/10.1080/09718524.2023.2175412</w:t>
        </w:r>
      </w:hyperlink>
      <w:r w:rsidR="009B7B5D">
        <w:t xml:space="preserve"> </w:t>
      </w:r>
      <w:r w:rsidRPr="00F04DAC">
        <w:t xml:space="preserve"> </w:t>
      </w:r>
    </w:p>
    <w:p w14:paraId="31ABD49A" w14:textId="33A85AE8" w:rsidR="00F04DAC" w:rsidRPr="00F04DAC" w:rsidRDefault="00F04DAC" w:rsidP="00EB6148">
      <w:pPr>
        <w:pStyle w:val="NormalWeb"/>
        <w:numPr>
          <w:ilvl w:val="0"/>
          <w:numId w:val="2"/>
        </w:numPr>
      </w:pPr>
      <w:r w:rsidRPr="00F04DAC">
        <w:t xml:space="preserve">Singh, A., &amp; Singh, R. (2021). Institutional innovations in agribusiness value chains. </w:t>
      </w:r>
      <w:r w:rsidRPr="00F04DAC">
        <w:rPr>
          <w:i/>
          <w:iCs/>
        </w:rPr>
        <w:t>Journal of Agribusiness in Developing and Emerging Economies, 11</w:t>
      </w:r>
      <w:r w:rsidRPr="00F04DAC">
        <w:t xml:space="preserve">(5), 487–503. </w:t>
      </w:r>
      <w:hyperlink r:id="rId49" w:history="1">
        <w:r w:rsidR="009B7B5D" w:rsidRPr="00AD01FF">
          <w:rPr>
            <w:rStyle w:val="Hyperlink"/>
          </w:rPr>
          <w:t>https://doi.org/10.1108/JADEE-02-2020-0037</w:t>
        </w:r>
      </w:hyperlink>
      <w:r w:rsidR="009B7B5D">
        <w:t xml:space="preserve"> </w:t>
      </w:r>
      <w:r w:rsidRPr="00F04DAC">
        <w:t xml:space="preserve"> </w:t>
      </w:r>
    </w:p>
    <w:p w14:paraId="2807F3CF" w14:textId="6C6439EC" w:rsidR="00F04DAC" w:rsidRPr="00F04DAC" w:rsidRDefault="00F04DAC" w:rsidP="00EB6148">
      <w:pPr>
        <w:pStyle w:val="NormalWeb"/>
        <w:numPr>
          <w:ilvl w:val="0"/>
          <w:numId w:val="2"/>
        </w:numPr>
      </w:pPr>
      <w:r w:rsidRPr="00F04DAC">
        <w:t xml:space="preserve">Singh, K., &amp; Pundir, R. S. (2023). Farmer producer companies and inclusive rural transformation in India. </w:t>
      </w:r>
      <w:r w:rsidRPr="00F04DAC">
        <w:rPr>
          <w:i/>
          <w:iCs/>
        </w:rPr>
        <w:t>Journal of Enterprising Communities, 17</w:t>
      </w:r>
      <w:r w:rsidRPr="00F04DAC">
        <w:t xml:space="preserve">(3), 544–561. </w:t>
      </w:r>
      <w:hyperlink r:id="rId50" w:history="1">
        <w:r w:rsidR="009B7B5D" w:rsidRPr="00AD01FF">
          <w:rPr>
            <w:rStyle w:val="Hyperlink"/>
          </w:rPr>
          <w:t>https://doi.org/10.1108/JEC-12-2021-0179</w:t>
        </w:r>
      </w:hyperlink>
      <w:r w:rsidR="009B7B5D">
        <w:t xml:space="preserve"> </w:t>
      </w:r>
      <w:r w:rsidRPr="00F04DAC">
        <w:t xml:space="preserve"> </w:t>
      </w:r>
    </w:p>
    <w:p w14:paraId="54211A33" w14:textId="77777777" w:rsidR="00F04DAC" w:rsidRPr="00F04DAC" w:rsidRDefault="00F04DAC" w:rsidP="00EB6148">
      <w:pPr>
        <w:pStyle w:val="NormalWeb"/>
        <w:numPr>
          <w:ilvl w:val="0"/>
          <w:numId w:val="2"/>
        </w:numPr>
      </w:pPr>
      <w:r w:rsidRPr="00F04DAC">
        <w:t xml:space="preserve">Singh, S., &amp; Vatta, K. (2022). Farmer collectives and agricultural sustainability transitions in India. </w:t>
      </w:r>
      <w:r w:rsidRPr="00F04DAC">
        <w:rPr>
          <w:i/>
          <w:iCs/>
        </w:rPr>
        <w:t>Ecological Economics, 198</w:t>
      </w:r>
      <w:r w:rsidRPr="00F04DAC">
        <w:t xml:space="preserve">, 107458. </w:t>
      </w:r>
      <w:hyperlink r:id="rId51" w:tgtFrame="_new" w:history="1">
        <w:r w:rsidRPr="00F04DAC">
          <w:rPr>
            <w:rStyle w:val="Hyperlink"/>
          </w:rPr>
          <w:t>https://doi.org/10.1016/j.ecolecon.2022.107458</w:t>
        </w:r>
      </w:hyperlink>
      <w:r w:rsidRPr="00F04DAC">
        <w:t xml:space="preserve"> </w:t>
      </w:r>
    </w:p>
    <w:p w14:paraId="14F6F3BE" w14:textId="5967BA8B" w:rsidR="00F04DAC" w:rsidRPr="00F04DAC" w:rsidRDefault="00F04DAC" w:rsidP="00EB6148">
      <w:pPr>
        <w:pStyle w:val="NormalWeb"/>
        <w:numPr>
          <w:ilvl w:val="0"/>
          <w:numId w:val="2"/>
        </w:numPr>
      </w:pPr>
      <w:r w:rsidRPr="00F04DAC">
        <w:t xml:space="preserve">Sontakki, B. S., &amp; Bhat, A. R. S. (2024). Agri-startups and FPO integration for rural transformation. </w:t>
      </w:r>
      <w:r w:rsidRPr="00F04DAC">
        <w:rPr>
          <w:i/>
          <w:iCs/>
        </w:rPr>
        <w:t>Journal of Entrepreneurship in Emerging Economies, 16</w:t>
      </w:r>
      <w:r w:rsidRPr="00F04DAC">
        <w:t xml:space="preserve">(1), 144–161. </w:t>
      </w:r>
      <w:hyperlink r:id="rId52" w:history="1">
        <w:r w:rsidR="009B7B5D" w:rsidRPr="00AD01FF">
          <w:rPr>
            <w:rStyle w:val="Hyperlink"/>
          </w:rPr>
          <w:t>https://doi.org/10.1108/JEEE-09-2022-0265</w:t>
        </w:r>
      </w:hyperlink>
      <w:r w:rsidR="009B7B5D">
        <w:t xml:space="preserve"> </w:t>
      </w:r>
      <w:r w:rsidRPr="00F04DAC">
        <w:t xml:space="preserve"> </w:t>
      </w:r>
    </w:p>
    <w:p w14:paraId="60F17200" w14:textId="15EE928E" w:rsidR="00F04DAC" w:rsidRPr="00F04DAC" w:rsidRDefault="00F04DAC" w:rsidP="00EB6148">
      <w:pPr>
        <w:pStyle w:val="NormalWeb"/>
        <w:numPr>
          <w:ilvl w:val="0"/>
          <w:numId w:val="2"/>
        </w:numPr>
      </w:pPr>
      <w:r w:rsidRPr="00F04DAC">
        <w:rPr>
          <w:lang w:val="it-IT"/>
        </w:rPr>
        <w:t xml:space="preserve">Srivastava, S. K., &amp; Raju, S. S. (2021). </w:t>
      </w:r>
      <w:r w:rsidRPr="00F04DAC">
        <w:t xml:space="preserve">Farmer producer organizations and agricultural transformation in India. </w:t>
      </w:r>
      <w:r w:rsidRPr="00F04DAC">
        <w:rPr>
          <w:i/>
          <w:iCs/>
        </w:rPr>
        <w:t>Agricultural Economics Research Review, 34</w:t>
      </w:r>
      <w:r w:rsidRPr="00F04DAC">
        <w:t xml:space="preserve">(Conference Number), 1–12. </w:t>
      </w:r>
      <w:hyperlink r:id="rId53" w:history="1">
        <w:r w:rsidR="009B7B5D" w:rsidRPr="00AD01FF">
          <w:rPr>
            <w:rStyle w:val="Hyperlink"/>
          </w:rPr>
          <w:t>https://doi.org/10.5958/0974-0279.2021.00001.4</w:t>
        </w:r>
      </w:hyperlink>
      <w:r w:rsidR="009B7B5D">
        <w:t xml:space="preserve"> </w:t>
      </w:r>
      <w:r w:rsidRPr="00F04DAC">
        <w:t xml:space="preserve"> </w:t>
      </w:r>
    </w:p>
    <w:p w14:paraId="29AF49C3" w14:textId="788464EC" w:rsidR="00F04DAC" w:rsidRPr="00F04DAC" w:rsidRDefault="00F04DAC" w:rsidP="00EB6148">
      <w:pPr>
        <w:pStyle w:val="NormalWeb"/>
        <w:numPr>
          <w:ilvl w:val="0"/>
          <w:numId w:val="2"/>
        </w:numPr>
      </w:pPr>
      <w:r w:rsidRPr="00F04DAC">
        <w:rPr>
          <w:lang w:val="it-IT"/>
        </w:rPr>
        <w:t xml:space="preserve">Surendran-Padmaja, S., &amp; Ojha, J. K. (2025). </w:t>
      </w:r>
      <w:r w:rsidRPr="00F04DAC">
        <w:t xml:space="preserve">Beyond the number games: Understanding the farmer producer companies in India and the way forward. </w:t>
      </w:r>
      <w:r w:rsidRPr="00F04DAC">
        <w:rPr>
          <w:i/>
          <w:iCs/>
        </w:rPr>
        <w:t>Journal of Asian and African Studies, 60</w:t>
      </w:r>
      <w:r w:rsidRPr="00F04DAC">
        <w:t xml:space="preserve">(3). </w:t>
      </w:r>
      <w:hyperlink r:id="rId54" w:history="1">
        <w:r w:rsidR="009B7B5D" w:rsidRPr="00AD01FF">
          <w:rPr>
            <w:rStyle w:val="Hyperlink"/>
          </w:rPr>
          <w:t>https://doi.org/10.1177/00219096231192332</w:t>
        </w:r>
      </w:hyperlink>
      <w:r w:rsidR="009B7B5D">
        <w:t xml:space="preserve"> </w:t>
      </w:r>
      <w:r w:rsidRPr="00F04DAC">
        <w:t xml:space="preserve"> </w:t>
      </w:r>
    </w:p>
    <w:p w14:paraId="44AD7690" w14:textId="13BD3AF2" w:rsidR="00F04DAC" w:rsidRPr="00F04DAC" w:rsidRDefault="00F04DAC" w:rsidP="00EB6148">
      <w:pPr>
        <w:pStyle w:val="NormalWeb"/>
        <w:numPr>
          <w:ilvl w:val="0"/>
          <w:numId w:val="2"/>
        </w:numPr>
      </w:pPr>
      <w:r w:rsidRPr="00F04DAC">
        <w:t xml:space="preserve">Thakur, D. S., &amp; Chander, M. (2023). Collective enterprises and smallholder market integration. </w:t>
      </w:r>
      <w:r w:rsidRPr="00F04DAC">
        <w:rPr>
          <w:i/>
          <w:iCs/>
        </w:rPr>
        <w:t>Journal of Rural Studies, 98</w:t>
      </w:r>
      <w:r w:rsidRPr="00F04DAC">
        <w:t xml:space="preserve">, 85–97. </w:t>
      </w:r>
      <w:hyperlink r:id="rId55" w:history="1">
        <w:r w:rsidR="009B7B5D" w:rsidRPr="00AD01FF">
          <w:rPr>
            <w:rStyle w:val="Hyperlink"/>
          </w:rPr>
          <w:t>https://doi.org/10.1016/j.jrurstud.2023.01.006</w:t>
        </w:r>
      </w:hyperlink>
      <w:r w:rsidR="009B7B5D">
        <w:t xml:space="preserve"> </w:t>
      </w:r>
      <w:r w:rsidRPr="00F04DAC">
        <w:t xml:space="preserve"> </w:t>
      </w:r>
    </w:p>
    <w:p w14:paraId="4DAA390B" w14:textId="241061B6" w:rsidR="00F04DAC" w:rsidRPr="00F04DAC" w:rsidRDefault="00F04DAC" w:rsidP="00EB6148">
      <w:pPr>
        <w:pStyle w:val="NormalWeb"/>
        <w:numPr>
          <w:ilvl w:val="0"/>
          <w:numId w:val="2"/>
        </w:numPr>
      </w:pPr>
      <w:r w:rsidRPr="00F04DAC">
        <w:t xml:space="preserve">Thomas, A., &amp; Satapathy, C. (2024). Financial inclusion and FPO sustainability in rural India. </w:t>
      </w:r>
      <w:r w:rsidRPr="00F04DAC">
        <w:rPr>
          <w:i/>
          <w:iCs/>
        </w:rPr>
        <w:t>Enterprise Development and Microfinance, 35</w:t>
      </w:r>
      <w:r w:rsidRPr="00F04DAC">
        <w:t xml:space="preserve">(1), 54–69. </w:t>
      </w:r>
      <w:hyperlink r:id="rId56" w:history="1">
        <w:r w:rsidR="009B7B5D" w:rsidRPr="00AD01FF">
          <w:rPr>
            <w:rStyle w:val="Hyperlink"/>
          </w:rPr>
          <w:t>https://doi.org/10.3362/1755-1986.23-00018</w:t>
        </w:r>
      </w:hyperlink>
      <w:r w:rsidR="009B7B5D">
        <w:t xml:space="preserve"> </w:t>
      </w:r>
      <w:r w:rsidRPr="00F04DAC">
        <w:t xml:space="preserve"> </w:t>
      </w:r>
    </w:p>
    <w:p w14:paraId="165B46D2" w14:textId="77777777" w:rsidR="00F04DAC" w:rsidRPr="00F04DAC" w:rsidRDefault="00F04DAC" w:rsidP="00EB6148">
      <w:pPr>
        <w:pStyle w:val="NormalWeb"/>
        <w:numPr>
          <w:ilvl w:val="0"/>
          <w:numId w:val="2"/>
        </w:numPr>
      </w:pPr>
      <w:r w:rsidRPr="00F04DAC">
        <w:t xml:space="preserve">Tripathi, H., &amp; Singh, N. (2022). Role of FPOs in doubling farmers’ income in India. </w:t>
      </w:r>
      <w:r w:rsidRPr="00F04DAC">
        <w:rPr>
          <w:i/>
          <w:iCs/>
        </w:rPr>
        <w:t>Indian Journal of Economics and Development, 18</w:t>
      </w:r>
      <w:r w:rsidRPr="00F04DAC">
        <w:t xml:space="preserve">(1), 24–31. </w:t>
      </w:r>
      <w:hyperlink r:id="rId57" w:history="1">
        <w:r w:rsidRPr="00F04DAC">
          <w:rPr>
            <w:rStyle w:val="Hyperlink"/>
          </w:rPr>
          <w:t>https://doi.org/10.35716/IJED/22003</w:t>
        </w:r>
      </w:hyperlink>
    </w:p>
    <w:p w14:paraId="46B8A860" w14:textId="77777777" w:rsidR="00F04DAC" w:rsidRPr="00F04DAC" w:rsidRDefault="00F04DAC" w:rsidP="00EB6148">
      <w:pPr>
        <w:pStyle w:val="NormalWeb"/>
        <w:numPr>
          <w:ilvl w:val="0"/>
          <w:numId w:val="2"/>
        </w:numPr>
      </w:pPr>
      <w:r w:rsidRPr="00F04DAC">
        <w:t xml:space="preserve">Vedasri, R. &amp; Mishra, S.. (2022). Linking Farmer Producer Organizations with Other Markets – A Sustainable Change in Marketing of Farm Produce. International Journal of Environment and Climate Change. 1425-1437. </w:t>
      </w:r>
      <w:hyperlink r:id="rId58" w:tgtFrame="_blank" w:history="1">
        <w:r w:rsidRPr="00F04DAC">
          <w:rPr>
            <w:rStyle w:val="Hyperlink"/>
          </w:rPr>
          <w:t>10.9734/ijecc/2022/v12i121583</w:t>
        </w:r>
      </w:hyperlink>
    </w:p>
    <w:p w14:paraId="35204CA8" w14:textId="7DC29C4C" w:rsidR="00F04DAC" w:rsidRPr="00F04DAC" w:rsidRDefault="00F04DAC" w:rsidP="00EB6148">
      <w:pPr>
        <w:pStyle w:val="NormalWeb"/>
        <w:numPr>
          <w:ilvl w:val="0"/>
          <w:numId w:val="2"/>
        </w:numPr>
      </w:pPr>
      <w:r w:rsidRPr="00F04DAC">
        <w:lastRenderedPageBreak/>
        <w:t xml:space="preserve">Venkatesh, P., &amp; Sangeetha, V. (2021). Collective marketing through farmer producer organizations in Tamil Nadu. </w:t>
      </w:r>
      <w:r w:rsidRPr="00F04DAC">
        <w:rPr>
          <w:i/>
          <w:iCs/>
        </w:rPr>
        <w:t>Madras Agricultural Journal, 108</w:t>
      </w:r>
      <w:r w:rsidRPr="00F04DAC">
        <w:t xml:space="preserve">(1–3), 66–72. </w:t>
      </w:r>
      <w:hyperlink r:id="rId59" w:history="1">
        <w:r w:rsidR="009B7B5D" w:rsidRPr="00AD01FF">
          <w:rPr>
            <w:rStyle w:val="Hyperlink"/>
          </w:rPr>
          <w:t>https://doi.org/10.29321/MAJ.10.000500</w:t>
        </w:r>
      </w:hyperlink>
      <w:r w:rsidR="009B7B5D">
        <w:t xml:space="preserve"> </w:t>
      </w:r>
      <w:r w:rsidRPr="00F04DAC">
        <w:t xml:space="preserve"> </w:t>
      </w:r>
    </w:p>
    <w:p w14:paraId="3329A472" w14:textId="04061715" w:rsidR="00F04DAC" w:rsidRPr="00F04DAC" w:rsidRDefault="00F04DAC" w:rsidP="00EB6148">
      <w:pPr>
        <w:pStyle w:val="NormalWeb"/>
        <w:numPr>
          <w:ilvl w:val="0"/>
          <w:numId w:val="2"/>
        </w:numPr>
      </w:pPr>
      <w:r w:rsidRPr="00F04DAC">
        <w:t xml:space="preserve">Verma, H., &amp; Yadav, J. P. (2025). Climate-smart agriculture and farmer producer organizations in India. </w:t>
      </w:r>
      <w:r w:rsidRPr="00F04DAC">
        <w:rPr>
          <w:i/>
          <w:iCs/>
        </w:rPr>
        <w:t>Climate and Development, 17</w:t>
      </w:r>
      <w:r w:rsidRPr="00F04DAC">
        <w:t xml:space="preserve">(2), 145–158. </w:t>
      </w:r>
      <w:hyperlink r:id="rId60" w:history="1">
        <w:r w:rsidR="009B7B5D" w:rsidRPr="00AD01FF">
          <w:rPr>
            <w:rStyle w:val="Hyperlink"/>
          </w:rPr>
          <w:t>https://doi.org/10.1080/17565529.2024.2301185</w:t>
        </w:r>
      </w:hyperlink>
      <w:r w:rsidR="009B7B5D">
        <w:t xml:space="preserve"> </w:t>
      </w:r>
      <w:r w:rsidRPr="00F04DAC">
        <w:t xml:space="preserve"> </w:t>
      </w:r>
    </w:p>
    <w:p w14:paraId="5F9673F7" w14:textId="77777777" w:rsidR="00F04DAC" w:rsidRPr="00F04DAC" w:rsidRDefault="00F04DAC" w:rsidP="00EB6148">
      <w:pPr>
        <w:pStyle w:val="NormalWeb"/>
        <w:numPr>
          <w:ilvl w:val="0"/>
          <w:numId w:val="2"/>
        </w:numPr>
      </w:pPr>
      <w:r w:rsidRPr="00F04DAC">
        <w:t xml:space="preserve">Verma, S., &amp; Aggarwal, P. (2022). Role of producer organizations in sustainable agricultural marketing. </w:t>
      </w:r>
      <w:r w:rsidRPr="00F04DAC">
        <w:rPr>
          <w:i/>
          <w:iCs/>
        </w:rPr>
        <w:t>Sustainability, 14</w:t>
      </w:r>
      <w:r w:rsidRPr="00F04DAC">
        <w:t xml:space="preserve">(9), 5217. </w:t>
      </w:r>
      <w:hyperlink r:id="rId61" w:tgtFrame="_new" w:history="1">
        <w:r w:rsidRPr="00F04DAC">
          <w:rPr>
            <w:rStyle w:val="Hyperlink"/>
          </w:rPr>
          <w:t>https://doi.org/10.3390/su14095217</w:t>
        </w:r>
      </w:hyperlink>
      <w:r w:rsidRPr="00F04DAC">
        <w:t xml:space="preserve"> </w:t>
      </w:r>
    </w:p>
    <w:p w14:paraId="29EBC0AB" w14:textId="203B8AE3" w:rsidR="00F04DAC" w:rsidRPr="00F04DAC" w:rsidRDefault="00F04DAC" w:rsidP="00EB6148">
      <w:pPr>
        <w:pStyle w:val="NormalWeb"/>
        <w:numPr>
          <w:ilvl w:val="0"/>
          <w:numId w:val="2"/>
        </w:numPr>
      </w:pPr>
      <w:r w:rsidRPr="00F04DAC">
        <w:t xml:space="preserve">Yadav, M., &amp; Sharma, R. (2024). Farmer collectives and agri-value chain modernization in India. </w:t>
      </w:r>
      <w:r w:rsidRPr="00F04DAC">
        <w:rPr>
          <w:i/>
          <w:iCs/>
        </w:rPr>
        <w:t>International Food and Agribusiness Management Review, 27</w:t>
      </w:r>
      <w:r w:rsidRPr="00F04DAC">
        <w:t xml:space="preserve">(2), 189–205. </w:t>
      </w:r>
      <w:hyperlink r:id="rId62" w:history="1">
        <w:r w:rsidR="009B7B5D" w:rsidRPr="00AD01FF">
          <w:rPr>
            <w:rStyle w:val="Hyperlink"/>
          </w:rPr>
          <w:t>https://doi.org/10.22434/IFAMR2023.0098</w:t>
        </w:r>
      </w:hyperlink>
      <w:r w:rsidR="009B7B5D">
        <w:t xml:space="preserve"> </w:t>
      </w:r>
      <w:r w:rsidRPr="00F04DAC">
        <w:t xml:space="preserve"> </w:t>
      </w:r>
    </w:p>
    <w:p w14:paraId="544B3636" w14:textId="05254086" w:rsidR="00F04DAC" w:rsidRPr="00F04DAC" w:rsidRDefault="00F04DAC" w:rsidP="00EB6148">
      <w:pPr>
        <w:pStyle w:val="NormalWeb"/>
        <w:numPr>
          <w:ilvl w:val="0"/>
          <w:numId w:val="2"/>
        </w:numPr>
      </w:pPr>
      <w:r w:rsidRPr="00F04DAC">
        <w:rPr>
          <w:lang w:val="it-IT"/>
        </w:rPr>
        <w:t xml:space="preserve">Yadav, P., &amp; Rai, D. P. (2023). </w:t>
      </w:r>
      <w:r w:rsidRPr="00F04DAC">
        <w:t xml:space="preserve">Governance mechanisms and performance of farmer producer companies. </w:t>
      </w:r>
      <w:r w:rsidRPr="00F04DAC">
        <w:rPr>
          <w:i/>
          <w:iCs/>
        </w:rPr>
        <w:t>Journal of Co-operative Organization and Management, 11</w:t>
      </w:r>
      <w:r w:rsidRPr="00F04DAC">
        <w:t xml:space="preserve">(2), 100201. </w:t>
      </w:r>
      <w:hyperlink r:id="rId63" w:history="1">
        <w:r w:rsidRPr="00AD01FF">
          <w:rPr>
            <w:rStyle w:val="Hyperlink"/>
          </w:rPr>
          <w:t>https://doi.org/10.1016/j.jcom.2023.100201</w:t>
        </w:r>
      </w:hyperlink>
      <w:r>
        <w:t xml:space="preserve"> </w:t>
      </w:r>
      <w:r w:rsidRPr="00F04DAC">
        <w:t xml:space="preserve"> </w:t>
      </w:r>
    </w:p>
    <w:p w14:paraId="27FC0403" w14:textId="77777777" w:rsidR="00F04DAC" w:rsidRPr="00F04DAC" w:rsidRDefault="00F04DAC" w:rsidP="00EB6148">
      <w:pPr>
        <w:pStyle w:val="NormalWeb"/>
        <w:numPr>
          <w:ilvl w:val="0"/>
          <w:numId w:val="2"/>
        </w:numPr>
      </w:pPr>
      <w:r w:rsidRPr="00F04DAC">
        <w:t xml:space="preserve">Zeweld, W., Huylenbroeck, G. V., Tesfay, G., &amp; Azadi, H. (2021). Smallholder farmers’ behavioural intentions towards sustainable agricultural practices. </w:t>
      </w:r>
      <w:r w:rsidRPr="00F04DAC">
        <w:rPr>
          <w:i/>
          <w:iCs/>
        </w:rPr>
        <w:t>Journal of Environmental Management, 287</w:t>
      </w:r>
      <w:r w:rsidRPr="00F04DAC">
        <w:t xml:space="preserve">, 112330. </w:t>
      </w:r>
      <w:hyperlink r:id="rId64" w:tgtFrame="_blank" w:history="1">
        <w:r w:rsidRPr="00F04DAC">
          <w:rPr>
            <w:rStyle w:val="Hyperlink"/>
          </w:rPr>
          <w:t>10.1016/j.jenvman.2016.11.014</w:t>
        </w:r>
      </w:hyperlink>
    </w:p>
    <w:p w14:paraId="1178FE7E" w14:textId="0A209981" w:rsidR="00F04DAC" w:rsidRPr="00F04DAC" w:rsidRDefault="00F04DAC" w:rsidP="00EB6148">
      <w:pPr>
        <w:pStyle w:val="NormalWeb"/>
        <w:numPr>
          <w:ilvl w:val="0"/>
          <w:numId w:val="2"/>
        </w:numPr>
      </w:pPr>
      <w:r w:rsidRPr="00F04DAC">
        <w:t xml:space="preserve">Zeweld, W., Van Huylenbroeck, G., Tesfay, G., Speelman, S., &amp; Azadi, H. (2021). Sustainable agricultural practices and farmer institutions. </w:t>
      </w:r>
      <w:r w:rsidRPr="00F04DAC">
        <w:rPr>
          <w:i/>
          <w:iCs/>
        </w:rPr>
        <w:t>Journal of Environmental Management, 287</w:t>
      </w:r>
      <w:r w:rsidRPr="00F04DAC">
        <w:t xml:space="preserve">, 112330. </w:t>
      </w:r>
      <w:hyperlink r:id="rId65" w:tgtFrame="_blank" w:history="1">
        <w:r>
          <w:rPr>
            <w:rStyle w:val="Hyperlink"/>
            <w:rFonts w:ascii="Roboto" w:hAnsi="Roboto"/>
            <w:sz w:val="21"/>
            <w:szCs w:val="21"/>
            <w:bdr w:val="none" w:sz="0" w:space="0" w:color="auto" w:frame="1"/>
            <w:shd w:val="clear" w:color="auto" w:fill="FFFFFF"/>
          </w:rPr>
          <w:t>10.1007/978-3-030-57281-5_63</w:t>
        </w:r>
      </w:hyperlink>
      <w:r>
        <w:t xml:space="preserve"> </w:t>
      </w:r>
    </w:p>
    <w:p w14:paraId="69C7E344" w14:textId="1FADA416" w:rsidR="00F04DAC" w:rsidRPr="00F04DAC" w:rsidRDefault="00F04DAC" w:rsidP="00EB6148">
      <w:pPr>
        <w:pStyle w:val="NormalWeb"/>
        <w:numPr>
          <w:ilvl w:val="0"/>
          <w:numId w:val="2"/>
        </w:numPr>
      </w:pPr>
      <w:r w:rsidRPr="00F04DAC">
        <w:t xml:space="preserve">Zhao, Y., &amp; Yang, K. (2022). Inclusive agribusiness value chains and farmer organizations in Asia. </w:t>
      </w:r>
      <w:r w:rsidRPr="00F04DAC">
        <w:rPr>
          <w:i/>
          <w:iCs/>
        </w:rPr>
        <w:t>Asia Pacific Journal of Rural Development, 32</w:t>
      </w:r>
      <w:r w:rsidRPr="00F04DAC">
        <w:t xml:space="preserve">(2), 167–184. </w:t>
      </w:r>
      <w:hyperlink r:id="rId66" w:history="1">
        <w:r w:rsidRPr="00F04DAC">
          <w:rPr>
            <w:rStyle w:val="Hyperlink"/>
          </w:rPr>
          <w:t>https://doi.org/10.1177/10185291221084591</w:t>
        </w:r>
      </w:hyperlink>
    </w:p>
    <w:sectPr w:rsidR="00F04DAC" w:rsidRPr="00F04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47841"/>
    <w:multiLevelType w:val="multilevel"/>
    <w:tmpl w:val="455A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BD54FD"/>
    <w:multiLevelType w:val="hybridMultilevel"/>
    <w:tmpl w:val="83500A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835801785">
    <w:abstractNumId w:val="0"/>
  </w:num>
  <w:num w:numId="2" w16cid:durableId="1984894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CFC"/>
    <w:rsid w:val="000366F8"/>
    <w:rsid w:val="00053E1E"/>
    <w:rsid w:val="001F3DEC"/>
    <w:rsid w:val="00296B46"/>
    <w:rsid w:val="00331AA7"/>
    <w:rsid w:val="003B3B44"/>
    <w:rsid w:val="00414572"/>
    <w:rsid w:val="004C4A5B"/>
    <w:rsid w:val="005F7900"/>
    <w:rsid w:val="006A5124"/>
    <w:rsid w:val="006E5894"/>
    <w:rsid w:val="00755CCE"/>
    <w:rsid w:val="007F2AB0"/>
    <w:rsid w:val="0098736E"/>
    <w:rsid w:val="00990C6F"/>
    <w:rsid w:val="009B5ADB"/>
    <w:rsid w:val="009B7B5D"/>
    <w:rsid w:val="009D2074"/>
    <w:rsid w:val="00AF29E3"/>
    <w:rsid w:val="00B947CB"/>
    <w:rsid w:val="00C06231"/>
    <w:rsid w:val="00E46CFC"/>
    <w:rsid w:val="00EB6148"/>
    <w:rsid w:val="00F04DAC"/>
    <w:rsid w:val="00FB56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449E7"/>
  <w15:chartTrackingRefBased/>
  <w15:docId w15:val="{E7D578D8-E9CA-4004-9362-9EADA3D2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6C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46C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46C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46C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6C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6C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C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C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C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C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6C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6C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46C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6C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6C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C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C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CFC"/>
    <w:rPr>
      <w:rFonts w:eastAsiaTheme="majorEastAsia" w:cstheme="majorBidi"/>
      <w:color w:val="272727" w:themeColor="text1" w:themeTint="D8"/>
    </w:rPr>
  </w:style>
  <w:style w:type="paragraph" w:styleId="Title">
    <w:name w:val="Title"/>
    <w:basedOn w:val="Normal"/>
    <w:next w:val="Normal"/>
    <w:link w:val="TitleChar"/>
    <w:uiPriority w:val="10"/>
    <w:qFormat/>
    <w:rsid w:val="00E46C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C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C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C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CFC"/>
    <w:pPr>
      <w:spacing w:before="160"/>
      <w:jc w:val="center"/>
    </w:pPr>
    <w:rPr>
      <w:i/>
      <w:iCs/>
      <w:color w:val="404040" w:themeColor="text1" w:themeTint="BF"/>
    </w:rPr>
  </w:style>
  <w:style w:type="character" w:customStyle="1" w:styleId="QuoteChar">
    <w:name w:val="Quote Char"/>
    <w:basedOn w:val="DefaultParagraphFont"/>
    <w:link w:val="Quote"/>
    <w:uiPriority w:val="29"/>
    <w:rsid w:val="00E46CFC"/>
    <w:rPr>
      <w:i/>
      <w:iCs/>
      <w:color w:val="404040" w:themeColor="text1" w:themeTint="BF"/>
    </w:rPr>
  </w:style>
  <w:style w:type="paragraph" w:styleId="ListParagraph">
    <w:name w:val="List Paragraph"/>
    <w:basedOn w:val="Normal"/>
    <w:uiPriority w:val="34"/>
    <w:qFormat/>
    <w:rsid w:val="00E46CFC"/>
    <w:pPr>
      <w:ind w:left="720"/>
      <w:contextualSpacing/>
    </w:pPr>
  </w:style>
  <w:style w:type="character" w:styleId="IntenseEmphasis">
    <w:name w:val="Intense Emphasis"/>
    <w:basedOn w:val="DefaultParagraphFont"/>
    <w:uiPriority w:val="21"/>
    <w:qFormat/>
    <w:rsid w:val="00E46CFC"/>
    <w:rPr>
      <w:i/>
      <w:iCs/>
      <w:color w:val="2F5496" w:themeColor="accent1" w:themeShade="BF"/>
    </w:rPr>
  </w:style>
  <w:style w:type="paragraph" w:styleId="IntenseQuote">
    <w:name w:val="Intense Quote"/>
    <w:basedOn w:val="Normal"/>
    <w:next w:val="Normal"/>
    <w:link w:val="IntenseQuoteChar"/>
    <w:uiPriority w:val="30"/>
    <w:qFormat/>
    <w:rsid w:val="00E46C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6CFC"/>
    <w:rPr>
      <w:i/>
      <w:iCs/>
      <w:color w:val="2F5496" w:themeColor="accent1" w:themeShade="BF"/>
    </w:rPr>
  </w:style>
  <w:style w:type="character" w:styleId="IntenseReference">
    <w:name w:val="Intense Reference"/>
    <w:basedOn w:val="DefaultParagraphFont"/>
    <w:uiPriority w:val="32"/>
    <w:qFormat/>
    <w:rsid w:val="00E46CFC"/>
    <w:rPr>
      <w:b/>
      <w:bCs/>
      <w:smallCaps/>
      <w:color w:val="2F5496" w:themeColor="accent1" w:themeShade="BF"/>
      <w:spacing w:val="5"/>
    </w:rPr>
  </w:style>
  <w:style w:type="character" w:styleId="Hyperlink">
    <w:name w:val="Hyperlink"/>
    <w:basedOn w:val="DefaultParagraphFont"/>
    <w:uiPriority w:val="99"/>
    <w:unhideWhenUsed/>
    <w:rsid w:val="00E46CFC"/>
    <w:rPr>
      <w:color w:val="0563C1" w:themeColor="hyperlink"/>
      <w:u w:val="single"/>
    </w:rPr>
  </w:style>
  <w:style w:type="character" w:styleId="UnresolvedMention">
    <w:name w:val="Unresolved Mention"/>
    <w:basedOn w:val="DefaultParagraphFont"/>
    <w:uiPriority w:val="99"/>
    <w:semiHidden/>
    <w:unhideWhenUsed/>
    <w:rsid w:val="00E46CFC"/>
    <w:rPr>
      <w:color w:val="605E5C"/>
      <w:shd w:val="clear" w:color="auto" w:fill="E1DFDD"/>
    </w:rPr>
  </w:style>
  <w:style w:type="paragraph" w:styleId="NormalWeb">
    <w:name w:val="Normal (Web)"/>
    <w:basedOn w:val="Normal"/>
    <w:uiPriority w:val="99"/>
    <w:semiHidden/>
    <w:unhideWhenUsed/>
    <w:rsid w:val="00296B4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296B46"/>
    <w:rPr>
      <w:i/>
      <w:iCs/>
    </w:rPr>
  </w:style>
  <w:style w:type="character" w:styleId="Strong">
    <w:name w:val="Strong"/>
    <w:basedOn w:val="DefaultParagraphFont"/>
    <w:uiPriority w:val="22"/>
    <w:qFormat/>
    <w:rsid w:val="00990C6F"/>
    <w:rPr>
      <w:b/>
      <w:bCs/>
    </w:rPr>
  </w:style>
  <w:style w:type="table" w:styleId="TableGrid">
    <w:name w:val="Table Grid"/>
    <w:basedOn w:val="TableNormal"/>
    <w:uiPriority w:val="39"/>
    <w:rsid w:val="00990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973005221991438" TargetMode="External"/><Relationship Id="rId21" Type="http://schemas.openxmlformats.org/officeDocument/2006/relationships/hyperlink" Target="https://doi.org/10.1108/JADEE-11-2020-0249" TargetMode="External"/><Relationship Id="rId34" Type="http://schemas.openxmlformats.org/officeDocument/2006/relationships/hyperlink" Target="https://doi.org/10.1016/j.foodpol.2021.102062" TargetMode="External"/><Relationship Id="rId42" Type="http://schemas.openxmlformats.org/officeDocument/2006/relationships/hyperlink" Target="https://doi.org/10.1016/j.resconrec.2020.105253" TargetMode="External"/><Relationship Id="rId47" Type="http://schemas.openxmlformats.org/officeDocument/2006/relationships/hyperlink" Target="https://doi.org/10.5958/0974-0279.2021.00044.0" TargetMode="External"/><Relationship Id="rId50" Type="http://schemas.openxmlformats.org/officeDocument/2006/relationships/hyperlink" Target="https://doi.org/10.1108/JEC-12-2021-0179" TargetMode="External"/><Relationship Id="rId55" Type="http://schemas.openxmlformats.org/officeDocument/2006/relationships/hyperlink" Target="https://doi.org/10.1016/j.jrurstud.2023.01.006" TargetMode="External"/><Relationship Id="rId63" Type="http://schemas.openxmlformats.org/officeDocument/2006/relationships/hyperlink" Target="https://doi.org/10.1016/j.jcom.2023.100201" TargetMode="External"/><Relationship Id="rId68" Type="http://schemas.openxmlformats.org/officeDocument/2006/relationships/theme" Target="theme/theme1.xml"/><Relationship Id="rId7" Type="http://schemas.openxmlformats.org/officeDocument/2006/relationships/hyperlink" Target="https://doi.org/10.12944/CARJ.13.1.26" TargetMode="External"/><Relationship Id="rId2" Type="http://schemas.openxmlformats.org/officeDocument/2006/relationships/styles" Target="styles.xml"/><Relationship Id="rId16" Type="http://schemas.openxmlformats.org/officeDocument/2006/relationships/hyperlink" Target="https://doi.org/10.1287/mnsc.2020.3726" TargetMode="External"/><Relationship Id="rId29" Type="http://schemas.openxmlformats.org/officeDocument/2006/relationships/hyperlink" Target="https://doi.org/10.48165/IJEE.2021.57215" TargetMode="External"/><Relationship Id="rId11" Type="http://schemas.openxmlformats.org/officeDocument/2006/relationships/hyperlink" Target="https://hdl.handle.net/10419/203717" TargetMode="External"/><Relationship Id="rId24" Type="http://schemas.openxmlformats.org/officeDocument/2006/relationships/hyperlink" Target="https://doi.org/10.1108/JADEE-08-2022-0187" TargetMode="External"/><Relationship Id="rId32" Type="http://schemas.openxmlformats.org/officeDocument/2006/relationships/hyperlink" Target="https://doi.org/10.56093/ijas.v91i8.115465" TargetMode="External"/><Relationship Id="rId37" Type="http://schemas.openxmlformats.org/officeDocument/2006/relationships/hyperlink" Target="https://doi.org/10.1177/00219096251376665" TargetMode="External"/><Relationship Id="rId40" Type="http://schemas.openxmlformats.org/officeDocument/2006/relationships/hyperlink" Target="https://doi.org/10.1108/AFR-11-2021-0153" TargetMode="External"/><Relationship Id="rId45" Type="http://schemas.openxmlformats.org/officeDocument/2006/relationships/hyperlink" Target="https://doi.org/10.22004/ag.econ.321774" TargetMode="External"/><Relationship Id="rId53" Type="http://schemas.openxmlformats.org/officeDocument/2006/relationships/hyperlink" Target="https://doi.org/10.5958/0974-0279.2021.00001.4" TargetMode="External"/><Relationship Id="rId58" Type="http://schemas.openxmlformats.org/officeDocument/2006/relationships/hyperlink" Target="https://doi.org/10.9734/ijecc/2022/v12i121583" TargetMode="External"/><Relationship Id="rId66" Type="http://schemas.openxmlformats.org/officeDocument/2006/relationships/hyperlink" Target="https://doi.org/10.1177/10185291221084591" TargetMode="External"/><Relationship Id="rId5" Type="http://schemas.openxmlformats.org/officeDocument/2006/relationships/image" Target="media/image1.png"/><Relationship Id="rId61" Type="http://schemas.openxmlformats.org/officeDocument/2006/relationships/hyperlink" Target="https://doi.org/10.3390/su14095217" TargetMode="External"/><Relationship Id="rId19" Type="http://schemas.openxmlformats.org/officeDocument/2006/relationships/hyperlink" Target="https://doi.org/10.35716/IJED/21008" TargetMode="External"/><Relationship Id="rId14" Type="http://schemas.openxmlformats.org/officeDocument/2006/relationships/hyperlink" Target="https://doi.org/10.1016/j.wdp.2023.100481" TargetMode="External"/><Relationship Id="rId22" Type="http://schemas.openxmlformats.org/officeDocument/2006/relationships/hyperlink" Target="https://doi.org/10.1080/14735903.2021.1880492" TargetMode="External"/><Relationship Id="rId27" Type="http://schemas.openxmlformats.org/officeDocument/2006/relationships/hyperlink" Target="https://doi.org/10.1002/agr.21684" TargetMode="External"/><Relationship Id="rId30" Type="http://schemas.openxmlformats.org/officeDocument/2006/relationships/hyperlink" Target="https://doi.org/10.1111/agec.12731" TargetMode="External"/><Relationship Id="rId35" Type="http://schemas.openxmlformats.org/officeDocument/2006/relationships/hyperlink" Target="https://doi.org/10.56093/ijas.v91i9.116231" TargetMode="External"/><Relationship Id="rId43" Type="http://schemas.openxmlformats.org/officeDocument/2006/relationships/hyperlink" Target="https://doi.org/10.1177/0021909620987654" TargetMode="External"/><Relationship Id="rId48" Type="http://schemas.openxmlformats.org/officeDocument/2006/relationships/hyperlink" Target="https://doi.org/10.1080/09718524.2023.2175412" TargetMode="External"/><Relationship Id="rId56" Type="http://schemas.openxmlformats.org/officeDocument/2006/relationships/hyperlink" Target="https://doi.org/10.3362/1755-1986.23-00018" TargetMode="External"/><Relationship Id="rId64" Type="http://schemas.openxmlformats.org/officeDocument/2006/relationships/hyperlink" Target="https://doi.org/10.1016/j.jenvman.2016.11.014" TargetMode="External"/><Relationship Id="rId8" Type="http://schemas.openxmlformats.org/officeDocument/2006/relationships/hyperlink" Target="https://doi.org/10.1080/08974438.2024.2398741" TargetMode="External"/><Relationship Id="rId51" Type="http://schemas.openxmlformats.org/officeDocument/2006/relationships/hyperlink" Target="https://doi.org/10.1016/j.ecolecon.2022.107458" TargetMode="External"/><Relationship Id="rId3" Type="http://schemas.openxmlformats.org/officeDocument/2006/relationships/settings" Target="settings.xml"/><Relationship Id="rId12" Type="http://schemas.openxmlformats.org/officeDocument/2006/relationships/hyperlink" Target="https://doi.org/10.2307/48629672" TargetMode="External"/><Relationship Id="rId17" Type="http://schemas.openxmlformats.org/officeDocument/2006/relationships/hyperlink" Target="https://doi.org/10.1002/pa.2891" TargetMode="External"/><Relationship Id="rId25" Type="http://schemas.openxmlformats.org/officeDocument/2006/relationships/hyperlink" Target="https://doi.org/10.1016/j.agsy.2024.103904" TargetMode="External"/><Relationship Id="rId33" Type="http://schemas.openxmlformats.org/officeDocument/2006/relationships/hyperlink" Target="https://doi.org/10.1016/j.gfs.2021.100514" TargetMode="External"/><Relationship Id="rId38" Type="http://schemas.openxmlformats.org/officeDocument/2006/relationships/hyperlink" Target="https://doi.org/10.26725/EEJ.2024.1.5" TargetMode="External"/><Relationship Id="rId46" Type="http://schemas.openxmlformats.org/officeDocument/2006/relationships/hyperlink" Target="https://doi.org/10.1111/dpr.12711" TargetMode="External"/><Relationship Id="rId59" Type="http://schemas.openxmlformats.org/officeDocument/2006/relationships/hyperlink" Target="https://doi.org/10.29321/MAJ.10.000500" TargetMode="External"/><Relationship Id="rId67" Type="http://schemas.openxmlformats.org/officeDocument/2006/relationships/fontTable" Target="fontTable.xml"/><Relationship Id="rId20" Type="http://schemas.openxmlformats.org/officeDocument/2006/relationships/hyperlink" Target="https://doi.org/10.55763/ippr.2025.06.03.002" TargetMode="External"/><Relationship Id="rId41" Type="http://schemas.openxmlformats.org/officeDocument/2006/relationships/hyperlink" Target="https://doi.org/10.1177/02666669211035762" TargetMode="External"/><Relationship Id="rId54" Type="http://schemas.openxmlformats.org/officeDocument/2006/relationships/hyperlink" Target="https://doi.org/10.1177/00219096231192332" TargetMode="External"/><Relationship Id="rId62" Type="http://schemas.openxmlformats.org/officeDocument/2006/relationships/hyperlink" Target="https://doi.org/10.22434/IFAMR2023.0098" TargetMode="External"/><Relationship Id="rId1" Type="http://schemas.openxmlformats.org/officeDocument/2006/relationships/numbering" Target="numbering.xml"/><Relationship Id="rId6" Type="http://schemas.openxmlformats.org/officeDocument/2006/relationships/hyperlink" Target="https://doi.org/10.1111/1467-8268.1251" TargetMode="External"/><Relationship Id="rId15" Type="http://schemas.openxmlformats.org/officeDocument/2006/relationships/hyperlink" Target="https://doi.org/10.22004/ag.econ.315482" TargetMode="External"/><Relationship Id="rId23" Type="http://schemas.openxmlformats.org/officeDocument/2006/relationships/hyperlink" Target="https://doi.org/10.5958/0974-0279.2021.00008.7" TargetMode="External"/><Relationship Id="rId28" Type="http://schemas.openxmlformats.org/officeDocument/2006/relationships/hyperlink" Target="https://doi.org/10.25175/jrd/2022/v41/i3/167842" TargetMode="External"/><Relationship Id="rId36" Type="http://schemas.openxmlformats.org/officeDocument/2006/relationships/hyperlink" Target="https://doi.org/10.22004/ag.econ.325467" TargetMode="External"/><Relationship Id="rId49" Type="http://schemas.openxmlformats.org/officeDocument/2006/relationships/hyperlink" Target="https://doi.org/10.1108/JADEE-02-2020-0037" TargetMode="External"/><Relationship Id="rId57" Type="http://schemas.openxmlformats.org/officeDocument/2006/relationships/hyperlink" Target="https://doi.org/10.35716/IJED/22003" TargetMode="External"/><Relationship Id="rId10" Type="http://schemas.openxmlformats.org/officeDocument/2006/relationships/hyperlink" Target="https://www.researchgate.net/profile/Narendra-Khode/publication/354688545_Effects_of_dairy_farm_training_A_path_analysis/links/61472fa9a595d06017d81d84/Effects-of-dairy-farm-training-A-path-analysis.pdf" TargetMode="External"/><Relationship Id="rId31" Type="http://schemas.openxmlformats.org/officeDocument/2006/relationships/hyperlink" Target="https://doi.org/10.1007/s10660-022-09572-0" TargetMode="External"/><Relationship Id="rId44" Type="http://schemas.openxmlformats.org/officeDocument/2006/relationships/hyperlink" Target="https://doi.org/10.1016/j.spc.2023.01.019" TargetMode="External"/><Relationship Id="rId52" Type="http://schemas.openxmlformats.org/officeDocument/2006/relationships/hyperlink" Target="https://doi.org/10.1108/JEEE-09-2022-0265" TargetMode="External"/><Relationship Id="rId60" Type="http://schemas.openxmlformats.org/officeDocument/2006/relationships/hyperlink" Target="https://doi.org/10.1080/17565529.2024.2301185" TargetMode="External"/><Relationship Id="rId65" Type="http://schemas.openxmlformats.org/officeDocument/2006/relationships/hyperlink" Target="https://doi.org/10.1007/978-3-030-57281-5_63" TargetMode="External"/><Relationship Id="rId4" Type="http://schemas.openxmlformats.org/officeDocument/2006/relationships/webSettings" Target="webSettings.xml"/><Relationship Id="rId9" Type="http://schemas.openxmlformats.org/officeDocument/2006/relationships/hyperlink" Target="https://doi.org/10.1007/s12571-021-01162-7" TargetMode="External"/><Relationship Id="rId13" Type="http://schemas.openxmlformats.org/officeDocument/2006/relationships/hyperlink" Target="https://doi.org/10.1016/j.jrurstud.2022.03.011" TargetMode="External"/><Relationship Id="rId18" Type="http://schemas.openxmlformats.org/officeDocument/2006/relationships/hyperlink" Target="https://doi.org/10.1177/00307270221082433" TargetMode="External"/><Relationship Id="rId39" Type="http://schemas.openxmlformats.org/officeDocument/2006/relationships/hyperlink" Target="https://doi.org/10.1057/s41599-025-0506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10186</Words>
  <Characters>58062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Editor-1183</cp:lastModifiedBy>
  <cp:revision>7</cp:revision>
  <dcterms:created xsi:type="dcterms:W3CDTF">2026-05-21T06:25:00Z</dcterms:created>
  <dcterms:modified xsi:type="dcterms:W3CDTF">2026-05-22T08:46:00Z</dcterms:modified>
</cp:coreProperties>
</file>