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9979B" w14:textId="77777777" w:rsidR="007C5CAC" w:rsidRDefault="007C5CAC" w:rsidP="00441B6F">
      <w:pPr>
        <w:pStyle w:val="Title"/>
        <w:spacing w:after="0"/>
        <w:jc w:val="both"/>
        <w:rPr>
          <w:rFonts w:ascii="Arial" w:hAnsi="Arial" w:cs="Arial"/>
        </w:rPr>
      </w:pPr>
    </w:p>
    <w:p w14:paraId="69C9A168" w14:textId="77777777" w:rsidR="007C5CAC" w:rsidRDefault="007C5CAC" w:rsidP="00441B6F">
      <w:pPr>
        <w:pStyle w:val="Title"/>
        <w:spacing w:after="0"/>
        <w:jc w:val="both"/>
        <w:rPr>
          <w:rFonts w:ascii="Arial" w:hAnsi="Arial" w:cs="Arial"/>
        </w:rPr>
      </w:pPr>
    </w:p>
    <w:p w14:paraId="1C97A92B" w14:textId="7ABD4B61" w:rsidR="004421E8" w:rsidRDefault="00002159" w:rsidP="00002159">
      <w:pPr>
        <w:pStyle w:val="Author"/>
        <w:spacing w:line="240" w:lineRule="auto"/>
        <w:jc w:val="center"/>
        <w:rPr>
          <w:rFonts w:ascii="Arial" w:hAnsi="Arial" w:cs="Arial"/>
          <w:bCs/>
          <w:iCs/>
          <w:kern w:val="28"/>
          <w:sz w:val="36"/>
        </w:rPr>
      </w:pPr>
      <w:r w:rsidRPr="00002159">
        <w:rPr>
          <w:rFonts w:ascii="Arial" w:hAnsi="Arial" w:cs="Arial"/>
          <w:bCs/>
          <w:iCs/>
          <w:kern w:val="28"/>
          <w:sz w:val="36"/>
        </w:rPr>
        <w:t>Technical and Allocative Efficiency in Off-Season Cabbage Production</w:t>
      </w:r>
      <w:r w:rsidR="007F268F" w:rsidRPr="007F268F">
        <w:rPr>
          <w:rFonts w:ascii="Arial" w:hAnsi="Arial" w:cs="Arial"/>
          <w:bCs/>
          <w:iCs/>
          <w:kern w:val="28"/>
          <w:sz w:val="36"/>
        </w:rPr>
        <w:t xml:space="preserve">: </w:t>
      </w:r>
      <w:r w:rsidR="00362EEA">
        <w:rPr>
          <w:rFonts w:ascii="Arial" w:hAnsi="Arial" w:cs="Arial"/>
          <w:bCs/>
          <w:iCs/>
          <w:kern w:val="28"/>
          <w:sz w:val="36"/>
        </w:rPr>
        <w:t xml:space="preserve">A </w:t>
      </w:r>
      <w:r w:rsidR="00362EEA" w:rsidRPr="00362EEA">
        <w:rPr>
          <w:rFonts w:ascii="Arial" w:hAnsi="Arial" w:cs="Arial"/>
          <w:bCs/>
          <w:iCs/>
          <w:kern w:val="28"/>
          <w:sz w:val="36"/>
        </w:rPr>
        <w:t xml:space="preserve">Farm-Level </w:t>
      </w:r>
      <w:r w:rsidRPr="00362EEA">
        <w:rPr>
          <w:rFonts w:ascii="Arial" w:hAnsi="Arial" w:cs="Arial"/>
          <w:bCs/>
          <w:iCs/>
          <w:kern w:val="28"/>
          <w:sz w:val="36"/>
        </w:rPr>
        <w:t>Multi-</w:t>
      </w:r>
      <w:r>
        <w:rPr>
          <w:rFonts w:ascii="Arial" w:hAnsi="Arial" w:cs="Arial"/>
          <w:bCs/>
          <w:iCs/>
          <w:kern w:val="28"/>
          <w:sz w:val="36"/>
        </w:rPr>
        <w:t xml:space="preserve">Method </w:t>
      </w:r>
      <w:r w:rsidR="00362EEA" w:rsidRPr="00362EEA">
        <w:rPr>
          <w:rFonts w:ascii="Arial" w:hAnsi="Arial" w:cs="Arial"/>
          <w:bCs/>
          <w:iCs/>
          <w:kern w:val="28"/>
          <w:sz w:val="36"/>
        </w:rPr>
        <w:t>Assessment</w:t>
      </w:r>
    </w:p>
    <w:p w14:paraId="3933D7DA" w14:textId="77777777" w:rsidR="007F3EB3" w:rsidRPr="00EF7AC7" w:rsidRDefault="007F3EB3" w:rsidP="007F3EB3">
      <w:pPr>
        <w:pStyle w:val="Author"/>
        <w:spacing w:line="240" w:lineRule="auto"/>
        <w:rPr>
          <w:rFonts w:ascii="Arial" w:hAnsi="Arial" w:cs="Arial"/>
          <w:bCs/>
          <w:iCs/>
          <w:kern w:val="28"/>
          <w:sz w:val="36"/>
        </w:rPr>
      </w:pPr>
    </w:p>
    <w:p w14:paraId="0F589468" w14:textId="77777777" w:rsidR="00FF63FC" w:rsidRPr="00FB3A86" w:rsidRDefault="00FF63FC" w:rsidP="00FF63FC">
      <w:pPr>
        <w:pStyle w:val="Affiliation"/>
        <w:spacing w:after="0" w:line="240" w:lineRule="auto"/>
        <w:jc w:val="both"/>
        <w:rPr>
          <w:rFonts w:ascii="Arial" w:hAnsi="Arial" w:cs="Arial"/>
        </w:rPr>
      </w:pPr>
    </w:p>
    <w:p w14:paraId="74722E80" w14:textId="77777777" w:rsidR="002C57D2" w:rsidRPr="00FB3A86" w:rsidRDefault="002C57D2" w:rsidP="00441B6F">
      <w:pPr>
        <w:pStyle w:val="Affiliation"/>
        <w:spacing w:after="0" w:line="240" w:lineRule="auto"/>
        <w:jc w:val="both"/>
        <w:rPr>
          <w:rFonts w:ascii="Arial" w:hAnsi="Arial" w:cs="Arial"/>
        </w:rPr>
      </w:pPr>
    </w:p>
    <w:p w14:paraId="29183115" w14:textId="77777777" w:rsidR="00B01FCD" w:rsidRPr="00FB3A86" w:rsidRDefault="0026164B" w:rsidP="00441B6F">
      <w:pPr>
        <w:pStyle w:val="Copyright"/>
        <w:spacing w:after="0" w:line="240" w:lineRule="auto"/>
        <w:jc w:val="both"/>
        <w:rPr>
          <w:rFonts w:ascii="Arial" w:hAnsi="Arial" w:cs="Arial"/>
        </w:rPr>
        <w:sectPr w:rsidR="00B01FCD" w:rsidRPr="00FB3A86" w:rsidSect="00BB7C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01FB2C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A32848C" w14:textId="09F36CB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13B4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BB651CC" w14:textId="77777777" w:rsidTr="0039382B">
        <w:tc>
          <w:tcPr>
            <w:tcW w:w="9576" w:type="dxa"/>
            <w:shd w:val="clear" w:color="auto" w:fill="F2F2F2"/>
          </w:tcPr>
          <w:p w14:paraId="58B10F3C" w14:textId="77777777" w:rsidR="00330A4C" w:rsidRDefault="003F063D" w:rsidP="0039382B">
            <w:pPr>
              <w:pStyle w:val="Body"/>
              <w:spacing w:after="0"/>
              <w:rPr>
                <w:rFonts w:ascii="Arial" w:eastAsia="Calibri" w:hAnsi="Arial" w:cs="Arial"/>
                <w:szCs w:val="22"/>
              </w:rPr>
            </w:pPr>
            <w:r w:rsidRPr="003F063D">
              <w:rPr>
                <w:rFonts w:ascii="Arial" w:eastAsia="Calibri" w:hAnsi="Arial" w:cs="Arial"/>
                <w:b/>
                <w:bCs/>
                <w:szCs w:val="22"/>
                <w:lang w:val="en-IN"/>
              </w:rPr>
              <w:t>Background:</w:t>
            </w:r>
            <w:r w:rsidRPr="003F063D">
              <w:rPr>
                <w:rFonts w:ascii="Arial" w:eastAsia="Calibri" w:hAnsi="Arial" w:cs="Arial"/>
                <w:szCs w:val="22"/>
                <w:lang w:val="en-IN"/>
              </w:rPr>
              <w:t xml:space="preserve"> </w:t>
            </w:r>
            <w:r w:rsidR="00330A4C" w:rsidRPr="00330A4C">
              <w:rPr>
                <w:rFonts w:ascii="Arial" w:eastAsia="Calibri" w:hAnsi="Arial" w:cs="Arial"/>
                <w:szCs w:val="22"/>
              </w:rPr>
              <w:t>Efficient utilization of agricultural inputs is fundamental to improving farm productivity and economic performance in crop production systems. In input-intensive crops such as cabbage, the profitability of cultivation depends not only on the level of input use but also on their optimal allocation. Imbalances in the use of key inputs, particularly fertilizers and plant protection chemicals, can lead to diminishing returns and increased production costs, thereby reducing overall efficiency. Such inefficiencies are of particular concern in off-season vegetable production, where higher input intensity and market-driven incentives amplify the economic consequences of suboptimal resource use.</w:t>
            </w:r>
          </w:p>
          <w:p w14:paraId="7457BD38" w14:textId="535696B8" w:rsidR="003F063D" w:rsidRPr="003F063D" w:rsidRDefault="003F063D" w:rsidP="0039382B">
            <w:pPr>
              <w:pStyle w:val="Body"/>
              <w:spacing w:after="0"/>
              <w:rPr>
                <w:rFonts w:ascii="Arial" w:eastAsia="Calibri" w:hAnsi="Arial" w:cs="Arial"/>
                <w:szCs w:val="22"/>
                <w:lang w:val="en-IN"/>
              </w:rPr>
            </w:pPr>
            <w:r w:rsidRPr="003F063D">
              <w:rPr>
                <w:rFonts w:ascii="Arial" w:eastAsia="Calibri" w:hAnsi="Arial" w:cs="Arial"/>
                <w:b/>
                <w:bCs/>
                <w:szCs w:val="22"/>
                <w:lang w:val="en-IN"/>
              </w:rPr>
              <w:t>Aims</w:t>
            </w:r>
            <w:r w:rsidRPr="003F063D">
              <w:rPr>
                <w:rFonts w:ascii="Arial" w:eastAsia="Calibri" w:hAnsi="Arial" w:cs="Arial"/>
                <w:szCs w:val="22"/>
                <w:lang w:val="en-IN"/>
              </w:rPr>
              <w:t>: The study was undertaken to analy</w:t>
            </w:r>
            <w:r w:rsidR="0039382B">
              <w:rPr>
                <w:rFonts w:ascii="Arial" w:eastAsia="Calibri" w:hAnsi="Arial" w:cs="Arial"/>
                <w:szCs w:val="22"/>
                <w:lang w:val="en-IN"/>
              </w:rPr>
              <w:t>s</w:t>
            </w:r>
            <w:r w:rsidRPr="003F063D">
              <w:rPr>
                <w:rFonts w:ascii="Arial" w:eastAsia="Calibri" w:hAnsi="Arial" w:cs="Arial"/>
                <w:szCs w:val="22"/>
                <w:lang w:val="en-IN"/>
              </w:rPr>
              <w:t xml:space="preserve">e allocative and technical efficiency and their implications for resource use in </w:t>
            </w:r>
            <w:r w:rsidR="00FE6BD3">
              <w:rPr>
                <w:rFonts w:ascii="Arial" w:eastAsia="Calibri" w:hAnsi="Arial" w:cs="Arial"/>
                <w:szCs w:val="22"/>
                <w:lang w:val="en-IN"/>
              </w:rPr>
              <w:t xml:space="preserve">off-season </w:t>
            </w:r>
            <w:r w:rsidRPr="003F063D">
              <w:rPr>
                <w:rFonts w:ascii="Arial" w:eastAsia="Calibri" w:hAnsi="Arial" w:cs="Arial"/>
                <w:szCs w:val="22"/>
                <w:lang w:val="en-IN"/>
              </w:rPr>
              <w:t>cabbage farming.</w:t>
            </w:r>
          </w:p>
          <w:p w14:paraId="65030899" w14:textId="13749951" w:rsidR="003F063D" w:rsidRPr="003F063D" w:rsidRDefault="003F063D" w:rsidP="0039382B">
            <w:pPr>
              <w:pStyle w:val="Body"/>
              <w:spacing w:after="0"/>
              <w:rPr>
                <w:rFonts w:ascii="Arial" w:eastAsia="Calibri" w:hAnsi="Arial" w:cs="Arial"/>
                <w:szCs w:val="22"/>
                <w:lang w:val="en-IN"/>
              </w:rPr>
            </w:pPr>
            <w:r w:rsidRPr="003F063D">
              <w:rPr>
                <w:rFonts w:ascii="Arial" w:eastAsia="Calibri" w:hAnsi="Arial" w:cs="Arial"/>
                <w:b/>
                <w:bCs/>
                <w:szCs w:val="22"/>
                <w:lang w:val="en-IN"/>
              </w:rPr>
              <w:t>Study Design</w:t>
            </w:r>
            <w:r w:rsidRPr="003F063D">
              <w:rPr>
                <w:rFonts w:ascii="Arial" w:eastAsia="Calibri" w:hAnsi="Arial" w:cs="Arial"/>
                <w:szCs w:val="22"/>
                <w:lang w:val="en-IN"/>
              </w:rPr>
              <w:t>: A farm-level study based on primary data collected through simple random sampling</w:t>
            </w:r>
            <w:r w:rsidR="00BC0DCC">
              <w:rPr>
                <w:rFonts w:ascii="Arial" w:eastAsia="Calibri" w:hAnsi="Arial" w:cs="Arial"/>
                <w:szCs w:val="22"/>
                <w:lang w:val="en-IN"/>
              </w:rPr>
              <w:t xml:space="preserve"> with proportional allocation.</w:t>
            </w:r>
          </w:p>
          <w:p w14:paraId="406DCE24" w14:textId="2AC0CC61" w:rsidR="003F063D" w:rsidRPr="003F063D" w:rsidRDefault="003F063D" w:rsidP="0039382B">
            <w:pPr>
              <w:pStyle w:val="Body"/>
              <w:spacing w:after="0"/>
              <w:rPr>
                <w:rFonts w:ascii="Arial" w:eastAsia="Calibri" w:hAnsi="Arial" w:cs="Arial"/>
                <w:szCs w:val="22"/>
                <w:lang w:val="en-IN"/>
              </w:rPr>
            </w:pPr>
            <w:r w:rsidRPr="003F063D">
              <w:rPr>
                <w:rFonts w:ascii="Arial" w:eastAsia="Calibri" w:hAnsi="Arial" w:cs="Arial"/>
                <w:b/>
                <w:bCs/>
                <w:szCs w:val="22"/>
                <w:lang w:val="en-IN"/>
              </w:rPr>
              <w:t>Methodology:</w:t>
            </w:r>
            <w:r w:rsidRPr="003F063D">
              <w:rPr>
                <w:rFonts w:ascii="Arial" w:eastAsia="Calibri" w:hAnsi="Arial" w:cs="Arial"/>
                <w:szCs w:val="22"/>
                <w:lang w:val="en-IN"/>
              </w:rPr>
              <w:t xml:space="preserve"> The study was conducted using data from 80 </w:t>
            </w:r>
            <w:r w:rsidR="00BC0DCC">
              <w:rPr>
                <w:rFonts w:ascii="Arial" w:eastAsia="Calibri" w:hAnsi="Arial" w:cs="Arial"/>
                <w:szCs w:val="22"/>
                <w:lang w:val="en-IN"/>
              </w:rPr>
              <w:t xml:space="preserve">off-season </w:t>
            </w:r>
            <w:r w:rsidRPr="003F063D">
              <w:rPr>
                <w:rFonts w:ascii="Arial" w:eastAsia="Calibri" w:hAnsi="Arial" w:cs="Arial"/>
                <w:szCs w:val="22"/>
                <w:lang w:val="en-IN"/>
              </w:rPr>
              <w:t>cabbage farmers. Cobb–Douglas production function was employed to estimate allocative efficiency, while stochastic frontier analysis (SFA) was used to estimate technical efficiency. A Tobit regression model was applied to identify the influence of socio-economic factors on technical efficiency.</w:t>
            </w:r>
          </w:p>
          <w:p w14:paraId="48D9829D" w14:textId="41848B72" w:rsidR="00DE44FE" w:rsidRDefault="003F063D" w:rsidP="0039382B">
            <w:pPr>
              <w:pStyle w:val="Body"/>
              <w:spacing w:after="0"/>
              <w:rPr>
                <w:rFonts w:ascii="Arial" w:eastAsia="Calibri" w:hAnsi="Arial" w:cs="Arial"/>
                <w:szCs w:val="22"/>
              </w:rPr>
            </w:pPr>
            <w:r w:rsidRPr="003F063D">
              <w:rPr>
                <w:rFonts w:ascii="Arial" w:eastAsia="Calibri" w:hAnsi="Arial" w:cs="Arial"/>
                <w:b/>
                <w:bCs/>
                <w:szCs w:val="22"/>
                <w:lang w:val="en-IN"/>
              </w:rPr>
              <w:t>Results:</w:t>
            </w:r>
            <w:r w:rsidRPr="003F063D">
              <w:rPr>
                <w:rFonts w:ascii="Arial" w:eastAsia="Calibri" w:hAnsi="Arial" w:cs="Arial"/>
                <w:szCs w:val="22"/>
                <w:lang w:val="en-IN"/>
              </w:rPr>
              <w:t xml:space="preserve"> </w:t>
            </w:r>
            <w:r w:rsidR="00DE44FE" w:rsidRPr="00DE44FE">
              <w:rPr>
                <w:rFonts w:ascii="Arial" w:eastAsia="Calibri" w:hAnsi="Arial" w:cs="Arial"/>
                <w:szCs w:val="22"/>
              </w:rPr>
              <w:t>The results revealed significant allocative inefficiency across farm categories. Seed was underutilized (2.63), while labor was overutilized (-2.79)</w:t>
            </w:r>
            <w:r w:rsidR="00DE44FE">
              <w:rPr>
                <w:rFonts w:ascii="Arial" w:eastAsia="Calibri" w:hAnsi="Arial" w:cs="Arial"/>
                <w:szCs w:val="22"/>
              </w:rPr>
              <w:t xml:space="preserve"> while f</w:t>
            </w:r>
            <w:r w:rsidR="00DE44FE" w:rsidRPr="00DE44FE">
              <w:rPr>
                <w:rFonts w:ascii="Arial" w:eastAsia="Calibri" w:hAnsi="Arial" w:cs="Arial"/>
                <w:szCs w:val="22"/>
              </w:rPr>
              <w:t>ertilizer was underutilized in marginal farms (4.51)</w:t>
            </w:r>
            <w:r w:rsidR="00DE44FE">
              <w:rPr>
                <w:rFonts w:ascii="Arial" w:eastAsia="Calibri" w:hAnsi="Arial" w:cs="Arial"/>
                <w:szCs w:val="22"/>
              </w:rPr>
              <w:t>.</w:t>
            </w:r>
            <w:r w:rsidR="00DE44FE" w:rsidRPr="00DE44FE">
              <w:t xml:space="preserve"> </w:t>
            </w:r>
            <w:r w:rsidR="00DE44FE" w:rsidRPr="00DE44FE">
              <w:rPr>
                <w:rFonts w:ascii="Arial" w:eastAsia="Calibri" w:hAnsi="Arial" w:cs="Arial"/>
                <w:szCs w:val="22"/>
              </w:rPr>
              <w:t>In small farms, seed (</w:t>
            </w:r>
            <w:r w:rsidR="00DE44FE">
              <w:rPr>
                <w:rFonts w:ascii="Arial" w:eastAsia="Calibri" w:hAnsi="Arial" w:cs="Arial"/>
                <w:szCs w:val="22"/>
              </w:rPr>
              <w:t>-</w:t>
            </w:r>
            <w:r w:rsidR="00DE44FE" w:rsidRPr="00DE44FE">
              <w:rPr>
                <w:rFonts w:ascii="Arial" w:eastAsia="Calibri" w:hAnsi="Arial" w:cs="Arial"/>
                <w:szCs w:val="22"/>
              </w:rPr>
              <w:t>3.84) and labor (</w:t>
            </w:r>
            <w:r w:rsidR="004748F3">
              <w:rPr>
                <w:rFonts w:ascii="Arial" w:eastAsia="Calibri" w:hAnsi="Arial" w:cs="Arial"/>
                <w:szCs w:val="22"/>
              </w:rPr>
              <w:t>-</w:t>
            </w:r>
            <w:r w:rsidR="00DE44FE" w:rsidRPr="00DE44FE">
              <w:rPr>
                <w:rFonts w:ascii="Arial" w:eastAsia="Calibri" w:hAnsi="Arial" w:cs="Arial"/>
                <w:szCs w:val="22"/>
              </w:rPr>
              <w:t>4.07) were overutilized, w</w:t>
            </w:r>
            <w:r w:rsidR="00DE44FE">
              <w:rPr>
                <w:rFonts w:ascii="Arial" w:eastAsia="Calibri" w:hAnsi="Arial" w:cs="Arial"/>
                <w:szCs w:val="22"/>
              </w:rPr>
              <w:t>hereas</w:t>
            </w:r>
            <w:r w:rsidR="00DE44FE" w:rsidRPr="00DE44FE">
              <w:rPr>
                <w:rFonts w:ascii="Arial" w:eastAsia="Calibri" w:hAnsi="Arial" w:cs="Arial"/>
                <w:szCs w:val="22"/>
              </w:rPr>
              <w:t xml:space="preserve"> fertilizer (2.65) was underutilized.</w:t>
            </w:r>
          </w:p>
          <w:p w14:paraId="02801C43" w14:textId="74C016D6" w:rsidR="00DE44FE" w:rsidRDefault="00DE44FE" w:rsidP="0039382B">
            <w:pPr>
              <w:pStyle w:val="Body"/>
              <w:spacing w:after="0"/>
              <w:rPr>
                <w:rFonts w:ascii="Arial" w:eastAsia="Calibri" w:hAnsi="Arial" w:cs="Arial"/>
                <w:szCs w:val="22"/>
              </w:rPr>
            </w:pPr>
            <w:r w:rsidRPr="00DE44FE">
              <w:rPr>
                <w:rFonts w:ascii="Arial" w:eastAsia="Calibri" w:hAnsi="Arial" w:cs="Arial"/>
                <w:szCs w:val="22"/>
              </w:rPr>
              <w:t>In the stochastic frontier model, γ = 0.9988 indicated that the composite error variance was largely attributable to the inefficiency component relative to random noise, while σ² = 0.00123 reflected low overall dispersion in deviations from the frontier.</w:t>
            </w:r>
            <w:r>
              <w:rPr>
                <w:rFonts w:ascii="Arial" w:eastAsia="Calibri" w:hAnsi="Arial" w:cs="Arial"/>
                <w:szCs w:val="22"/>
              </w:rPr>
              <w:t xml:space="preserve"> </w:t>
            </w:r>
            <w:r w:rsidRPr="00DE44FE">
              <w:rPr>
                <w:rFonts w:ascii="Arial" w:eastAsia="Calibri" w:hAnsi="Arial" w:cs="Arial"/>
                <w:szCs w:val="22"/>
              </w:rPr>
              <w:t>The mean technical efficiency was 97.5 per cent, indicating that farms operated close to the production frontier with limited variation. Tobit results showed that age, farm size, and labor availability were statistically insignificant, implying a homogeneous efficiency structure across farms.</w:t>
            </w:r>
          </w:p>
          <w:p w14:paraId="58A421EC" w14:textId="2090F97E" w:rsidR="00505F06" w:rsidRPr="00BA1B01" w:rsidRDefault="003F063D" w:rsidP="0039382B">
            <w:pPr>
              <w:pStyle w:val="Body"/>
              <w:spacing w:after="0"/>
              <w:rPr>
                <w:rFonts w:ascii="Arial" w:eastAsia="Calibri" w:hAnsi="Arial" w:cs="Arial"/>
                <w:szCs w:val="22"/>
              </w:rPr>
            </w:pPr>
            <w:r w:rsidRPr="003F063D">
              <w:rPr>
                <w:rFonts w:ascii="Arial" w:eastAsia="Calibri" w:hAnsi="Arial" w:cs="Arial"/>
                <w:b/>
                <w:bCs/>
                <w:szCs w:val="22"/>
                <w:lang w:val="en-IN"/>
              </w:rPr>
              <w:t>Conclusion:</w:t>
            </w:r>
            <w:r w:rsidRPr="003F063D">
              <w:rPr>
                <w:rFonts w:ascii="Arial" w:eastAsia="Calibri" w:hAnsi="Arial" w:cs="Arial"/>
                <w:szCs w:val="22"/>
                <w:lang w:val="en-IN"/>
              </w:rPr>
              <w:t xml:space="preserve"> </w:t>
            </w:r>
            <w:r w:rsidR="0039382B" w:rsidRPr="0039382B">
              <w:rPr>
                <w:rFonts w:ascii="Arial" w:eastAsia="Calibri" w:hAnsi="Arial" w:cs="Arial"/>
                <w:szCs w:val="22"/>
              </w:rPr>
              <w:t>The results suggest that the primary scope for improving performance in off-season cabbage production lies in enhancing allocative efficiency through rationali</w:t>
            </w:r>
            <w:r w:rsidR="0039382B">
              <w:rPr>
                <w:rFonts w:ascii="Arial" w:eastAsia="Calibri" w:hAnsi="Arial" w:cs="Arial"/>
                <w:szCs w:val="22"/>
              </w:rPr>
              <w:t>z</w:t>
            </w:r>
            <w:r w:rsidR="0039382B" w:rsidRPr="0039382B">
              <w:rPr>
                <w:rFonts w:ascii="Arial" w:eastAsia="Calibri" w:hAnsi="Arial" w:cs="Arial"/>
                <w:szCs w:val="22"/>
              </w:rPr>
              <w:t>ation of fertilizer and plant protection chemical use, given the relatively high and homogeneous levels of technical efficiency across farms.</w:t>
            </w:r>
          </w:p>
        </w:tc>
      </w:tr>
    </w:tbl>
    <w:p w14:paraId="0C6CCAA4" w14:textId="77777777" w:rsidR="00636EB2" w:rsidRDefault="00636EB2" w:rsidP="00441B6F">
      <w:pPr>
        <w:pStyle w:val="Body"/>
        <w:spacing w:after="0"/>
        <w:rPr>
          <w:rFonts w:ascii="Arial" w:hAnsi="Arial" w:cs="Arial"/>
          <w:i/>
        </w:rPr>
      </w:pPr>
    </w:p>
    <w:p w14:paraId="44A6ACA7" w14:textId="581903F0" w:rsidR="00A24E7E" w:rsidRPr="00132929" w:rsidRDefault="00A24E7E" w:rsidP="00441B6F">
      <w:pPr>
        <w:pStyle w:val="Body"/>
        <w:spacing w:after="0"/>
        <w:rPr>
          <w:rFonts w:ascii="Arial" w:hAnsi="Arial" w:cs="Arial"/>
          <w:b/>
          <w:bCs/>
          <w:i/>
        </w:rPr>
      </w:pPr>
      <w:r w:rsidRPr="00132929">
        <w:rPr>
          <w:rFonts w:ascii="Arial" w:hAnsi="Arial" w:cs="Arial"/>
          <w:b/>
          <w:bCs/>
          <w:i/>
        </w:rPr>
        <w:t>Keywords:</w:t>
      </w:r>
      <w:r w:rsidR="00F53BB8" w:rsidRPr="00132929">
        <w:rPr>
          <w:rFonts w:ascii="Arial" w:hAnsi="Arial" w:cs="Arial"/>
          <w:b/>
          <w:bCs/>
          <w:i/>
        </w:rPr>
        <w:t xml:space="preserve"> Stochastic Frontier Analysis, Technical Efficiency, Cobb</w:t>
      </w:r>
      <w:r w:rsidR="00002159">
        <w:rPr>
          <w:rFonts w:ascii="Arial" w:hAnsi="Arial" w:cs="Arial"/>
          <w:b/>
          <w:bCs/>
          <w:i/>
        </w:rPr>
        <w:t>-</w:t>
      </w:r>
      <w:r w:rsidR="00F53BB8" w:rsidRPr="00132929">
        <w:rPr>
          <w:rFonts w:ascii="Arial" w:hAnsi="Arial" w:cs="Arial"/>
          <w:b/>
          <w:bCs/>
          <w:i/>
        </w:rPr>
        <w:t>Douglas Production Function, Vegetable Production, Farm Productivity</w:t>
      </w:r>
      <w:r w:rsidR="00002159">
        <w:rPr>
          <w:rFonts w:ascii="Arial" w:hAnsi="Arial" w:cs="Arial"/>
          <w:b/>
          <w:bCs/>
          <w:i/>
        </w:rPr>
        <w:t>.</w:t>
      </w:r>
    </w:p>
    <w:p w14:paraId="715156D6" w14:textId="45B89025" w:rsidR="00B52896" w:rsidRPr="00132929" w:rsidRDefault="00B52896" w:rsidP="00F53BB8">
      <w:pPr>
        <w:pStyle w:val="Body"/>
        <w:spacing w:after="0"/>
        <w:rPr>
          <w:rFonts w:ascii="Arial" w:hAnsi="Arial" w:cs="Arial"/>
          <w:b/>
          <w:bCs/>
          <w:i/>
        </w:rPr>
      </w:pPr>
    </w:p>
    <w:p w14:paraId="6D5D577C" w14:textId="049E2BD3" w:rsidR="004748F3" w:rsidRDefault="00B01FCD" w:rsidP="007676BD">
      <w:pPr>
        <w:pStyle w:val="AbstHead"/>
        <w:numPr>
          <w:ilvl w:val="0"/>
          <w:numId w:val="4"/>
        </w:numPr>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73248A8C" w14:textId="77777777" w:rsidR="004748F3" w:rsidRPr="004748F3" w:rsidRDefault="004748F3" w:rsidP="004748F3">
      <w:pPr>
        <w:pStyle w:val="AbstHead"/>
        <w:spacing w:after="0"/>
        <w:ind w:left="720"/>
        <w:jc w:val="both"/>
        <w:rPr>
          <w:rFonts w:ascii="Arial" w:hAnsi="Arial" w:cs="Arial"/>
        </w:rPr>
      </w:pPr>
    </w:p>
    <w:p w14:paraId="5332B9ED" w14:textId="77777777" w:rsidR="00040DD5" w:rsidRDefault="006576C1" w:rsidP="001679FF">
      <w:pPr>
        <w:pStyle w:val="Body"/>
        <w:spacing w:after="0"/>
        <w:rPr>
          <w:rFonts w:ascii="Arial" w:hAnsi="Arial" w:cs="Arial"/>
        </w:rPr>
      </w:pPr>
      <w:r w:rsidRPr="006576C1">
        <w:rPr>
          <w:rFonts w:ascii="Arial" w:hAnsi="Arial" w:cs="Arial"/>
          <w:lang w:val="en-IN"/>
        </w:rPr>
        <w:t xml:space="preserve">Horticulture is widely recognized as a high-value agricultural enterprise that contributes significantly to income generation, employment creation, and nutritional security in developing economies. Compared to cereal-based farming systems, horticultural production provides higher returns per unit area and is more labour intensive, making it a key driver of agricultural diversification and rural livelihood improvement </w:t>
      </w:r>
      <w:r w:rsidR="000968E4">
        <w:rPr>
          <w:rFonts w:ascii="Arial" w:hAnsi="Arial" w:cs="Arial"/>
          <w:lang w:val="en-IN"/>
        </w:rPr>
        <w:t xml:space="preserve">(Chadha </w:t>
      </w:r>
      <w:r w:rsidR="00DB3EC3">
        <w:rPr>
          <w:rFonts w:ascii="Arial" w:hAnsi="Arial" w:cs="Arial"/>
          <w:lang w:val="en-IN"/>
        </w:rPr>
        <w:t>&amp; Pareek,1993).</w:t>
      </w:r>
      <w:r w:rsidR="001679FF" w:rsidRPr="001679FF">
        <w:rPr>
          <w:rFonts w:ascii="Arial" w:hAnsi="Arial" w:cs="Arial"/>
          <w:lang w:val="en-IN"/>
        </w:rPr>
        <w:t xml:space="preserve"> </w:t>
      </w:r>
      <w:r w:rsidR="00040DD5">
        <w:rPr>
          <w:rFonts w:ascii="Arial" w:hAnsi="Arial" w:cs="Arial"/>
        </w:rPr>
        <w:t xml:space="preserve">It </w:t>
      </w:r>
      <w:r w:rsidR="00040DD5" w:rsidRPr="00040DD5">
        <w:rPr>
          <w:rFonts w:ascii="Arial" w:hAnsi="Arial" w:cs="Arial"/>
        </w:rPr>
        <w:t>has emerged as a dynamic component of Indian agriculture, contributing significantly to agricultural diversification, farm income, and nutritional security. The sector has witnessed substantial growth in output, often outpacing foodgrain production, despite relatively limited expansion in cultivated area, indicating increasing importance of productivity improvements (Government of India, 2024</w:t>
      </w:r>
      <w:r w:rsidR="00040DD5">
        <w:rPr>
          <w:rFonts w:ascii="Arial" w:hAnsi="Arial" w:cs="Arial"/>
        </w:rPr>
        <w:t>).</w:t>
      </w:r>
    </w:p>
    <w:p w14:paraId="62AC52DA" w14:textId="77777777" w:rsidR="00040DD5" w:rsidRDefault="00040DD5" w:rsidP="006576C1">
      <w:pPr>
        <w:pStyle w:val="Body"/>
        <w:spacing w:after="0"/>
        <w:rPr>
          <w:rFonts w:ascii="Arial" w:hAnsi="Arial" w:cs="Arial"/>
        </w:rPr>
      </w:pPr>
    </w:p>
    <w:p w14:paraId="3C0BE4D6" w14:textId="56A2EB76" w:rsidR="006576C1" w:rsidRDefault="006576C1" w:rsidP="006576C1">
      <w:pPr>
        <w:pStyle w:val="Body"/>
        <w:spacing w:after="0"/>
        <w:rPr>
          <w:rFonts w:ascii="Arial" w:hAnsi="Arial" w:cs="Arial"/>
          <w:lang w:val="en-IN"/>
        </w:rPr>
      </w:pPr>
      <w:r w:rsidRPr="006576C1">
        <w:rPr>
          <w:rFonts w:ascii="Arial" w:hAnsi="Arial" w:cs="Arial"/>
          <w:lang w:val="en-IN"/>
        </w:rPr>
        <w:t xml:space="preserve">In India, horticulture has expanded significantly, but regional disparities in productivity continue due to differences in technology adoption, infrastructure, and resource use efficiency. Official statistics indicate that horticultural development is uneven across states, and a significant portion of production potential remains underutilized despite favourable </w:t>
      </w:r>
      <w:proofErr w:type="spellStart"/>
      <w:r w:rsidRPr="006576C1">
        <w:rPr>
          <w:rFonts w:ascii="Arial" w:hAnsi="Arial" w:cs="Arial"/>
          <w:lang w:val="en-IN"/>
        </w:rPr>
        <w:t>agro</w:t>
      </w:r>
      <w:proofErr w:type="spellEnd"/>
      <w:r w:rsidRPr="006576C1">
        <w:rPr>
          <w:rFonts w:ascii="Arial" w:hAnsi="Arial" w:cs="Arial"/>
          <w:lang w:val="en-IN"/>
        </w:rPr>
        <w:t xml:space="preserve">-climatic conditions </w:t>
      </w:r>
      <w:r w:rsidR="001679FF">
        <w:rPr>
          <w:rFonts w:ascii="Arial" w:hAnsi="Arial" w:cs="Arial"/>
          <w:lang w:val="en-IN"/>
        </w:rPr>
        <w:t>(</w:t>
      </w:r>
      <w:r w:rsidR="001679FF" w:rsidRPr="006576C1">
        <w:rPr>
          <w:rFonts w:ascii="Arial" w:hAnsi="Arial" w:cs="Arial"/>
          <w:lang w:val="en-IN"/>
        </w:rPr>
        <w:t>Government of India</w:t>
      </w:r>
      <w:r w:rsidR="001679FF">
        <w:rPr>
          <w:rFonts w:ascii="Arial" w:hAnsi="Arial" w:cs="Arial"/>
          <w:lang w:val="en-IN"/>
        </w:rPr>
        <w:t xml:space="preserve">, </w:t>
      </w:r>
      <w:r w:rsidR="001679FF" w:rsidRPr="006576C1">
        <w:rPr>
          <w:rFonts w:ascii="Arial" w:hAnsi="Arial" w:cs="Arial"/>
          <w:lang w:val="en-IN"/>
        </w:rPr>
        <w:t>2023).</w:t>
      </w:r>
      <w:r w:rsidR="0039382B">
        <w:rPr>
          <w:rFonts w:ascii="Arial" w:hAnsi="Arial" w:cs="Arial"/>
          <w:lang w:val="en-IN"/>
        </w:rPr>
        <w:t xml:space="preserve"> </w:t>
      </w:r>
      <w:r w:rsidRPr="006576C1">
        <w:rPr>
          <w:rFonts w:ascii="Arial" w:hAnsi="Arial" w:cs="Arial"/>
          <w:lang w:val="en-IN"/>
        </w:rPr>
        <w:t xml:space="preserve">Manipur offers favourable conditions for horticultural development due to its diverse </w:t>
      </w:r>
      <w:proofErr w:type="spellStart"/>
      <w:r w:rsidRPr="006576C1">
        <w:rPr>
          <w:rFonts w:ascii="Arial" w:hAnsi="Arial" w:cs="Arial"/>
          <w:lang w:val="en-IN"/>
        </w:rPr>
        <w:t>agro</w:t>
      </w:r>
      <w:proofErr w:type="spellEnd"/>
      <w:r w:rsidRPr="006576C1">
        <w:rPr>
          <w:rFonts w:ascii="Arial" w:hAnsi="Arial" w:cs="Arial"/>
          <w:lang w:val="en-IN"/>
        </w:rPr>
        <w:t>-climatic zones, ranging from tropical to temperate environments, along with adequate rainfall and natural resource availability. However, the sector remains underdeveloped relative to its potential. Constraints such as fragmented landholdings, limited access to quality inputs, weak investment, and low technology adoption continue to restrict productivity growth in the state.</w:t>
      </w:r>
      <w:r w:rsidR="00131D54">
        <w:rPr>
          <w:rFonts w:ascii="Arial" w:hAnsi="Arial" w:cs="Arial"/>
          <w:lang w:val="en-IN"/>
        </w:rPr>
        <w:t xml:space="preserve"> </w:t>
      </w:r>
      <w:r w:rsidRPr="006576C1">
        <w:rPr>
          <w:rFonts w:ascii="Arial" w:hAnsi="Arial" w:cs="Arial"/>
          <w:lang w:val="en-IN"/>
        </w:rPr>
        <w:t>Vegetable cultivation forms a major component of horticulture in Manipur, yet productivity levels remain low due to traditional farming practices, inefficient input use, and pest and disease incidence. These factors contribute to persistent yield gaps across farms and regions.</w:t>
      </w:r>
      <w:r w:rsidR="00131D54">
        <w:rPr>
          <w:rFonts w:ascii="Arial" w:hAnsi="Arial" w:cs="Arial"/>
          <w:lang w:val="en-IN"/>
        </w:rPr>
        <w:t xml:space="preserve"> </w:t>
      </w:r>
      <w:r w:rsidRPr="006576C1">
        <w:rPr>
          <w:rFonts w:ascii="Arial" w:hAnsi="Arial" w:cs="Arial"/>
          <w:lang w:val="en-IN"/>
        </w:rPr>
        <w:t>Among vegetable crops, cabbage (</w:t>
      </w:r>
      <w:r w:rsidRPr="006576C1">
        <w:rPr>
          <w:rFonts w:ascii="Arial" w:hAnsi="Arial" w:cs="Arial"/>
          <w:i/>
          <w:iCs/>
          <w:lang w:val="en-IN"/>
        </w:rPr>
        <w:t>Brassica oleracea</w:t>
      </w:r>
      <w:r w:rsidRPr="006576C1">
        <w:rPr>
          <w:rFonts w:ascii="Arial" w:hAnsi="Arial" w:cs="Arial"/>
          <w:lang w:val="en-IN"/>
        </w:rPr>
        <w:t xml:space="preserve"> var. </w:t>
      </w:r>
      <w:r w:rsidRPr="006576C1">
        <w:rPr>
          <w:rFonts w:ascii="Arial" w:hAnsi="Arial" w:cs="Arial"/>
          <w:i/>
          <w:iCs/>
          <w:lang w:val="en-IN"/>
        </w:rPr>
        <w:t>capitata</w:t>
      </w:r>
      <w:r w:rsidRPr="006576C1">
        <w:rPr>
          <w:rFonts w:ascii="Arial" w:hAnsi="Arial" w:cs="Arial"/>
          <w:lang w:val="en-IN"/>
        </w:rPr>
        <w:t>) is widely cultivated due to its adaptability, nutritional value, and market demand. It is grown across all districts of Manipur and forms an important component of the vegetable economy of the state.</w:t>
      </w:r>
      <w:r w:rsidR="00442ED3">
        <w:rPr>
          <w:rFonts w:ascii="Arial" w:hAnsi="Arial" w:cs="Arial"/>
          <w:lang w:val="en-IN"/>
        </w:rPr>
        <w:t xml:space="preserve"> The statistical data of Manipur</w:t>
      </w:r>
      <w:r w:rsidR="004748F3">
        <w:rPr>
          <w:rFonts w:ascii="Arial" w:hAnsi="Arial" w:cs="Arial"/>
          <w:lang w:val="en-IN"/>
        </w:rPr>
        <w:t xml:space="preserve"> regarding area, production and </w:t>
      </w:r>
      <w:proofErr w:type="gramStart"/>
      <w:r w:rsidR="004748F3">
        <w:rPr>
          <w:rFonts w:ascii="Arial" w:hAnsi="Arial" w:cs="Arial"/>
          <w:lang w:val="en-IN"/>
        </w:rPr>
        <w:t xml:space="preserve">productivity </w:t>
      </w:r>
      <w:r w:rsidR="00442ED3">
        <w:rPr>
          <w:rFonts w:ascii="Arial" w:hAnsi="Arial" w:cs="Arial"/>
          <w:lang w:val="en-IN"/>
        </w:rPr>
        <w:t xml:space="preserve"> </w:t>
      </w:r>
      <w:r w:rsidR="004748F3">
        <w:rPr>
          <w:rFonts w:ascii="Arial" w:hAnsi="Arial" w:cs="Arial"/>
          <w:lang w:val="en-IN"/>
        </w:rPr>
        <w:t>were</w:t>
      </w:r>
      <w:proofErr w:type="gramEnd"/>
      <w:r w:rsidR="00442ED3">
        <w:rPr>
          <w:rFonts w:ascii="Arial" w:hAnsi="Arial" w:cs="Arial"/>
          <w:lang w:val="en-IN"/>
        </w:rPr>
        <w:t xml:space="preserve"> presented b</w:t>
      </w:r>
      <w:r w:rsidR="004748F3">
        <w:rPr>
          <w:rFonts w:ascii="Arial" w:hAnsi="Arial" w:cs="Arial"/>
          <w:lang w:val="en-IN"/>
        </w:rPr>
        <w:t>e</w:t>
      </w:r>
      <w:r w:rsidR="00442ED3">
        <w:rPr>
          <w:rFonts w:ascii="Arial" w:hAnsi="Arial" w:cs="Arial"/>
          <w:lang w:val="en-IN"/>
        </w:rPr>
        <w:t>low in table 1.</w:t>
      </w:r>
    </w:p>
    <w:p w14:paraId="3C69DFBA" w14:textId="77777777" w:rsidR="00442ED3" w:rsidRPr="00442ED3" w:rsidRDefault="00442ED3" w:rsidP="006576C1">
      <w:pPr>
        <w:pStyle w:val="Body"/>
        <w:spacing w:after="0"/>
        <w:rPr>
          <w:rFonts w:ascii="Arial" w:hAnsi="Arial" w:cs="Arial"/>
          <w:b/>
          <w:bCs/>
          <w:lang w:val="en-IN"/>
        </w:rPr>
      </w:pPr>
    </w:p>
    <w:p w14:paraId="4998BC83" w14:textId="63D1CE84" w:rsidR="00442ED3" w:rsidRDefault="00442ED3" w:rsidP="00442ED3">
      <w:pPr>
        <w:pStyle w:val="Body"/>
        <w:spacing w:after="0"/>
        <w:jc w:val="center"/>
        <w:rPr>
          <w:rFonts w:ascii="Arial" w:hAnsi="Arial" w:cs="Arial"/>
          <w:b/>
          <w:bCs/>
          <w:lang w:val="en-IN"/>
        </w:rPr>
      </w:pPr>
      <w:r w:rsidRPr="00442ED3">
        <w:rPr>
          <w:rFonts w:ascii="Arial" w:hAnsi="Arial" w:cs="Arial"/>
          <w:b/>
          <w:bCs/>
          <w:lang w:val="en-IN"/>
        </w:rPr>
        <w:t xml:space="preserve">Table1- Area, Production, Productivity </w:t>
      </w:r>
      <w:r>
        <w:rPr>
          <w:rFonts w:ascii="Arial" w:hAnsi="Arial" w:cs="Arial"/>
          <w:b/>
          <w:bCs/>
          <w:lang w:val="en-IN"/>
        </w:rPr>
        <w:t xml:space="preserve">statistics </w:t>
      </w:r>
      <w:r w:rsidRPr="00442ED3">
        <w:rPr>
          <w:rFonts w:ascii="Arial" w:hAnsi="Arial" w:cs="Arial"/>
          <w:b/>
          <w:bCs/>
          <w:lang w:val="en-IN"/>
        </w:rPr>
        <w:t xml:space="preserve">of </w:t>
      </w:r>
      <w:r w:rsidR="00E213DA">
        <w:rPr>
          <w:rFonts w:ascii="Arial" w:hAnsi="Arial" w:cs="Arial"/>
          <w:b/>
          <w:bCs/>
          <w:lang w:val="en-IN"/>
        </w:rPr>
        <w:t>C</w:t>
      </w:r>
      <w:r w:rsidRPr="00442ED3">
        <w:rPr>
          <w:rFonts w:ascii="Arial" w:hAnsi="Arial" w:cs="Arial"/>
          <w:b/>
          <w:bCs/>
          <w:lang w:val="en-IN"/>
        </w:rPr>
        <w:t>abbage in Manipur</w:t>
      </w:r>
    </w:p>
    <w:p w14:paraId="7A943D7C" w14:textId="77777777" w:rsidR="00E213DA" w:rsidRPr="00442ED3" w:rsidRDefault="00E213DA" w:rsidP="00442ED3">
      <w:pPr>
        <w:pStyle w:val="Body"/>
        <w:spacing w:after="0"/>
        <w:jc w:val="center"/>
        <w:rPr>
          <w:rFonts w:ascii="Arial" w:hAnsi="Arial" w:cs="Arial"/>
          <w:b/>
          <w:bCs/>
          <w:lang w:val="en-IN"/>
        </w:rPr>
      </w:pPr>
    </w:p>
    <w:tbl>
      <w:tblPr>
        <w:tblStyle w:val="TableGrid"/>
        <w:tblW w:w="0" w:type="auto"/>
        <w:tblLook w:val="04A0" w:firstRow="1" w:lastRow="0" w:firstColumn="1" w:lastColumn="0" w:noHBand="0" w:noVBand="1"/>
      </w:tblPr>
      <w:tblGrid>
        <w:gridCol w:w="2106"/>
        <w:gridCol w:w="2106"/>
        <w:gridCol w:w="2106"/>
        <w:gridCol w:w="2106"/>
      </w:tblGrid>
      <w:tr w:rsidR="00442ED3" w14:paraId="6AC3147C" w14:textId="77777777" w:rsidTr="00442ED3">
        <w:tc>
          <w:tcPr>
            <w:tcW w:w="2106" w:type="dxa"/>
          </w:tcPr>
          <w:p w14:paraId="3181F035" w14:textId="1EB0E801" w:rsidR="00442ED3" w:rsidRPr="00442ED3" w:rsidRDefault="00442ED3" w:rsidP="00442ED3">
            <w:pPr>
              <w:pStyle w:val="Body"/>
              <w:spacing w:after="0"/>
              <w:jc w:val="center"/>
              <w:rPr>
                <w:rFonts w:ascii="Arial" w:hAnsi="Arial" w:cs="Arial"/>
                <w:b/>
                <w:bCs/>
                <w:sz w:val="20"/>
                <w:szCs w:val="20"/>
                <w:lang w:val="en-IN"/>
              </w:rPr>
            </w:pPr>
            <w:r w:rsidRPr="00442ED3">
              <w:rPr>
                <w:rFonts w:ascii="Arial" w:hAnsi="Arial" w:cs="Arial"/>
                <w:b/>
                <w:bCs/>
                <w:sz w:val="20"/>
                <w:szCs w:val="20"/>
                <w:lang w:val="en-IN"/>
              </w:rPr>
              <w:t>Year</w:t>
            </w:r>
          </w:p>
        </w:tc>
        <w:tc>
          <w:tcPr>
            <w:tcW w:w="2106" w:type="dxa"/>
          </w:tcPr>
          <w:p w14:paraId="4840D512" w14:textId="77777777" w:rsidR="00442ED3" w:rsidRDefault="00442ED3" w:rsidP="00442ED3">
            <w:pPr>
              <w:pStyle w:val="Body"/>
              <w:spacing w:after="0"/>
              <w:jc w:val="center"/>
              <w:rPr>
                <w:rFonts w:ascii="Arial" w:hAnsi="Arial" w:cs="Arial"/>
                <w:b/>
                <w:bCs/>
                <w:sz w:val="20"/>
                <w:szCs w:val="20"/>
                <w:lang w:val="en-IN"/>
              </w:rPr>
            </w:pPr>
            <w:r w:rsidRPr="00442ED3">
              <w:rPr>
                <w:rFonts w:ascii="Arial" w:hAnsi="Arial" w:cs="Arial"/>
                <w:b/>
                <w:bCs/>
                <w:sz w:val="20"/>
                <w:szCs w:val="20"/>
                <w:lang w:val="en-IN"/>
              </w:rPr>
              <w:t xml:space="preserve">Area </w:t>
            </w:r>
          </w:p>
          <w:p w14:paraId="60E8FB9E" w14:textId="27D24229" w:rsidR="00442ED3" w:rsidRPr="00442ED3" w:rsidRDefault="00442ED3" w:rsidP="00442ED3">
            <w:pPr>
              <w:pStyle w:val="Body"/>
              <w:spacing w:after="0"/>
              <w:jc w:val="center"/>
              <w:rPr>
                <w:rFonts w:ascii="Arial" w:hAnsi="Arial" w:cs="Arial"/>
                <w:b/>
                <w:bCs/>
                <w:sz w:val="20"/>
                <w:szCs w:val="20"/>
                <w:lang w:val="en-IN"/>
              </w:rPr>
            </w:pPr>
            <w:r w:rsidRPr="00442ED3">
              <w:rPr>
                <w:rFonts w:ascii="Arial" w:hAnsi="Arial" w:cs="Arial"/>
                <w:b/>
                <w:bCs/>
                <w:sz w:val="20"/>
                <w:szCs w:val="20"/>
                <w:lang w:val="en-IN"/>
              </w:rPr>
              <w:t>(in</w:t>
            </w:r>
            <w:r>
              <w:rPr>
                <w:rFonts w:ascii="Arial" w:hAnsi="Arial" w:cs="Arial"/>
                <w:b/>
                <w:bCs/>
                <w:sz w:val="20"/>
                <w:szCs w:val="20"/>
                <w:lang w:val="en-IN"/>
              </w:rPr>
              <w:t xml:space="preserve"> ‘</w:t>
            </w:r>
            <w:r w:rsidRPr="00442ED3">
              <w:rPr>
                <w:rFonts w:ascii="Arial" w:hAnsi="Arial" w:cs="Arial"/>
                <w:b/>
                <w:bCs/>
                <w:sz w:val="20"/>
                <w:szCs w:val="20"/>
                <w:lang w:val="en-IN"/>
              </w:rPr>
              <w:t>000ha)</w:t>
            </w:r>
          </w:p>
        </w:tc>
        <w:tc>
          <w:tcPr>
            <w:tcW w:w="2106" w:type="dxa"/>
          </w:tcPr>
          <w:p w14:paraId="00ED39E2" w14:textId="77777777" w:rsidR="00442ED3" w:rsidRDefault="00442ED3" w:rsidP="00442ED3">
            <w:pPr>
              <w:pStyle w:val="Body"/>
              <w:spacing w:after="0"/>
              <w:jc w:val="center"/>
              <w:rPr>
                <w:rFonts w:ascii="Arial" w:hAnsi="Arial" w:cs="Arial"/>
                <w:b/>
                <w:bCs/>
                <w:sz w:val="20"/>
                <w:szCs w:val="20"/>
                <w:lang w:val="en-IN"/>
              </w:rPr>
            </w:pPr>
            <w:r w:rsidRPr="00442ED3">
              <w:rPr>
                <w:rFonts w:ascii="Arial" w:hAnsi="Arial" w:cs="Arial"/>
                <w:b/>
                <w:bCs/>
                <w:sz w:val="20"/>
                <w:szCs w:val="20"/>
                <w:lang w:val="en-IN"/>
              </w:rPr>
              <w:t>Production</w:t>
            </w:r>
          </w:p>
          <w:p w14:paraId="6509B87C" w14:textId="379F9A3F" w:rsidR="00442ED3" w:rsidRPr="00442ED3" w:rsidRDefault="00442ED3" w:rsidP="00442ED3">
            <w:pPr>
              <w:pStyle w:val="Body"/>
              <w:spacing w:after="0"/>
              <w:jc w:val="center"/>
              <w:rPr>
                <w:rFonts w:ascii="Arial" w:hAnsi="Arial" w:cs="Arial"/>
                <w:b/>
                <w:bCs/>
                <w:sz w:val="20"/>
                <w:szCs w:val="20"/>
                <w:lang w:val="en-IN"/>
              </w:rPr>
            </w:pPr>
            <w:r w:rsidRPr="00442ED3">
              <w:rPr>
                <w:rFonts w:ascii="Arial" w:hAnsi="Arial" w:cs="Arial"/>
                <w:b/>
                <w:bCs/>
                <w:sz w:val="20"/>
                <w:szCs w:val="20"/>
                <w:lang w:val="en-IN"/>
              </w:rPr>
              <w:t xml:space="preserve"> (‘000</w:t>
            </w:r>
            <w:r>
              <w:rPr>
                <w:rFonts w:ascii="Arial" w:hAnsi="Arial" w:cs="Arial"/>
                <w:b/>
                <w:bCs/>
                <w:sz w:val="20"/>
                <w:szCs w:val="20"/>
                <w:lang w:val="en-IN"/>
              </w:rPr>
              <w:t xml:space="preserve"> </w:t>
            </w:r>
            <w:r w:rsidRPr="00442ED3">
              <w:rPr>
                <w:rFonts w:ascii="Arial" w:hAnsi="Arial" w:cs="Arial"/>
                <w:b/>
                <w:bCs/>
                <w:sz w:val="20"/>
                <w:szCs w:val="20"/>
                <w:lang w:val="en-IN"/>
              </w:rPr>
              <w:t>MT)</w:t>
            </w:r>
          </w:p>
        </w:tc>
        <w:tc>
          <w:tcPr>
            <w:tcW w:w="2106" w:type="dxa"/>
          </w:tcPr>
          <w:p w14:paraId="40F74FF4" w14:textId="25D62EAE" w:rsidR="00442ED3" w:rsidRPr="00442ED3" w:rsidRDefault="00442ED3" w:rsidP="00442ED3">
            <w:pPr>
              <w:pStyle w:val="Body"/>
              <w:spacing w:after="0"/>
              <w:jc w:val="center"/>
              <w:rPr>
                <w:rFonts w:ascii="Arial" w:hAnsi="Arial" w:cs="Arial"/>
                <w:b/>
                <w:bCs/>
                <w:sz w:val="20"/>
                <w:szCs w:val="20"/>
                <w:lang w:val="en-IN"/>
              </w:rPr>
            </w:pPr>
            <w:r w:rsidRPr="00442ED3">
              <w:rPr>
                <w:rFonts w:ascii="Arial" w:hAnsi="Arial" w:cs="Arial"/>
                <w:b/>
                <w:bCs/>
                <w:sz w:val="20"/>
                <w:szCs w:val="20"/>
                <w:lang w:val="en-IN"/>
              </w:rPr>
              <w:t>Productivity (MT/ha)</w:t>
            </w:r>
          </w:p>
        </w:tc>
      </w:tr>
      <w:tr w:rsidR="00442ED3" w14:paraId="1CDB6C0A" w14:textId="77777777" w:rsidTr="00442ED3">
        <w:tc>
          <w:tcPr>
            <w:tcW w:w="2106" w:type="dxa"/>
          </w:tcPr>
          <w:p w14:paraId="57F474D7" w14:textId="7ACCEE01"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2015-16</w:t>
            </w:r>
          </w:p>
        </w:tc>
        <w:tc>
          <w:tcPr>
            <w:tcW w:w="2106" w:type="dxa"/>
          </w:tcPr>
          <w:p w14:paraId="58334E98" w14:textId="5189DB9D"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8.06</w:t>
            </w:r>
          </w:p>
        </w:tc>
        <w:tc>
          <w:tcPr>
            <w:tcW w:w="2106" w:type="dxa"/>
          </w:tcPr>
          <w:p w14:paraId="435B0C0A" w14:textId="73E381E3"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96.98</w:t>
            </w:r>
          </w:p>
        </w:tc>
        <w:tc>
          <w:tcPr>
            <w:tcW w:w="2106" w:type="dxa"/>
          </w:tcPr>
          <w:p w14:paraId="16E9A7EA" w14:textId="06DE775C"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12.03</w:t>
            </w:r>
          </w:p>
        </w:tc>
      </w:tr>
      <w:tr w:rsidR="00442ED3" w14:paraId="524F371A" w14:textId="77777777" w:rsidTr="00442ED3">
        <w:tc>
          <w:tcPr>
            <w:tcW w:w="2106" w:type="dxa"/>
          </w:tcPr>
          <w:p w14:paraId="58F5D8E0" w14:textId="1A36BB8F"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2016-17</w:t>
            </w:r>
          </w:p>
        </w:tc>
        <w:tc>
          <w:tcPr>
            <w:tcW w:w="2106" w:type="dxa"/>
          </w:tcPr>
          <w:p w14:paraId="6A8DDE91" w14:textId="622ED1E1"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8.29</w:t>
            </w:r>
          </w:p>
        </w:tc>
        <w:tc>
          <w:tcPr>
            <w:tcW w:w="2106" w:type="dxa"/>
          </w:tcPr>
          <w:p w14:paraId="5FA04EAB" w14:textId="2967E128"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99.32</w:t>
            </w:r>
          </w:p>
        </w:tc>
        <w:tc>
          <w:tcPr>
            <w:tcW w:w="2106" w:type="dxa"/>
          </w:tcPr>
          <w:p w14:paraId="23F6E8D7" w14:textId="6D2537B7"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11.98</w:t>
            </w:r>
          </w:p>
        </w:tc>
      </w:tr>
      <w:tr w:rsidR="00442ED3" w14:paraId="699C6AB2" w14:textId="77777777" w:rsidTr="00442ED3">
        <w:tc>
          <w:tcPr>
            <w:tcW w:w="2106" w:type="dxa"/>
          </w:tcPr>
          <w:p w14:paraId="4401C6B9" w14:textId="6A0EFE2A"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2017-18</w:t>
            </w:r>
          </w:p>
        </w:tc>
        <w:tc>
          <w:tcPr>
            <w:tcW w:w="2106" w:type="dxa"/>
          </w:tcPr>
          <w:p w14:paraId="13317EBA" w14:textId="30A93202"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8.29</w:t>
            </w:r>
          </w:p>
        </w:tc>
        <w:tc>
          <w:tcPr>
            <w:tcW w:w="2106" w:type="dxa"/>
          </w:tcPr>
          <w:p w14:paraId="6CD75F0A" w14:textId="68157890"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99.32</w:t>
            </w:r>
          </w:p>
        </w:tc>
        <w:tc>
          <w:tcPr>
            <w:tcW w:w="2106" w:type="dxa"/>
          </w:tcPr>
          <w:p w14:paraId="1D65E8B0" w14:textId="312B53C2"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11.98</w:t>
            </w:r>
          </w:p>
        </w:tc>
      </w:tr>
      <w:tr w:rsidR="00442ED3" w14:paraId="33C7BF21" w14:textId="77777777" w:rsidTr="00442ED3">
        <w:tc>
          <w:tcPr>
            <w:tcW w:w="2106" w:type="dxa"/>
          </w:tcPr>
          <w:p w14:paraId="30B628CC" w14:textId="41BD3D95"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2018-19</w:t>
            </w:r>
          </w:p>
        </w:tc>
        <w:tc>
          <w:tcPr>
            <w:tcW w:w="2106" w:type="dxa"/>
          </w:tcPr>
          <w:p w14:paraId="5747F6CB" w14:textId="44CBF503"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8.63</w:t>
            </w:r>
          </w:p>
        </w:tc>
        <w:tc>
          <w:tcPr>
            <w:tcW w:w="2106" w:type="dxa"/>
          </w:tcPr>
          <w:p w14:paraId="7ED3BE08" w14:textId="321BED12"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110.28</w:t>
            </w:r>
          </w:p>
        </w:tc>
        <w:tc>
          <w:tcPr>
            <w:tcW w:w="2106" w:type="dxa"/>
          </w:tcPr>
          <w:p w14:paraId="1C2E3584" w14:textId="790BDFEA"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12.78</w:t>
            </w:r>
          </w:p>
        </w:tc>
      </w:tr>
      <w:tr w:rsidR="00442ED3" w14:paraId="2ACB9779" w14:textId="77777777" w:rsidTr="00442ED3">
        <w:tc>
          <w:tcPr>
            <w:tcW w:w="2106" w:type="dxa"/>
          </w:tcPr>
          <w:p w14:paraId="10FC14FB" w14:textId="09BF15F8"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2019-20</w:t>
            </w:r>
          </w:p>
        </w:tc>
        <w:tc>
          <w:tcPr>
            <w:tcW w:w="2106" w:type="dxa"/>
          </w:tcPr>
          <w:p w14:paraId="31BD994E" w14:textId="50DC940D"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8.73</w:t>
            </w:r>
          </w:p>
        </w:tc>
        <w:tc>
          <w:tcPr>
            <w:tcW w:w="2106" w:type="dxa"/>
          </w:tcPr>
          <w:p w14:paraId="51AF210C" w14:textId="18818EF0"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107.97</w:t>
            </w:r>
          </w:p>
        </w:tc>
        <w:tc>
          <w:tcPr>
            <w:tcW w:w="2106" w:type="dxa"/>
          </w:tcPr>
          <w:p w14:paraId="4693AFC9" w14:textId="62AACC08"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12.37</w:t>
            </w:r>
          </w:p>
        </w:tc>
      </w:tr>
      <w:tr w:rsidR="00442ED3" w14:paraId="37F4822D" w14:textId="77777777" w:rsidTr="00442ED3">
        <w:tc>
          <w:tcPr>
            <w:tcW w:w="2106" w:type="dxa"/>
          </w:tcPr>
          <w:p w14:paraId="5F7ED48C" w14:textId="459093BE"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2020-21</w:t>
            </w:r>
          </w:p>
        </w:tc>
        <w:tc>
          <w:tcPr>
            <w:tcW w:w="2106" w:type="dxa"/>
          </w:tcPr>
          <w:p w14:paraId="1FACE5AA" w14:textId="1E3EE2CE"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7.11</w:t>
            </w:r>
          </w:p>
        </w:tc>
        <w:tc>
          <w:tcPr>
            <w:tcW w:w="2106" w:type="dxa"/>
          </w:tcPr>
          <w:p w14:paraId="46F36653" w14:textId="4E2F04AC"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110.89</w:t>
            </w:r>
          </w:p>
        </w:tc>
        <w:tc>
          <w:tcPr>
            <w:tcW w:w="2106" w:type="dxa"/>
          </w:tcPr>
          <w:p w14:paraId="02A96781" w14:textId="39F47198"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15.60</w:t>
            </w:r>
          </w:p>
        </w:tc>
      </w:tr>
      <w:tr w:rsidR="00442ED3" w14:paraId="3F712919" w14:textId="77777777" w:rsidTr="001D68D7">
        <w:tc>
          <w:tcPr>
            <w:tcW w:w="2106" w:type="dxa"/>
          </w:tcPr>
          <w:p w14:paraId="7922B3F6" w14:textId="577D31D9"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2021-22</w:t>
            </w:r>
          </w:p>
        </w:tc>
        <w:tc>
          <w:tcPr>
            <w:tcW w:w="2106" w:type="dxa"/>
          </w:tcPr>
          <w:p w14:paraId="435EE35F" w14:textId="5DDD77C4"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8.30</w:t>
            </w:r>
          </w:p>
        </w:tc>
        <w:tc>
          <w:tcPr>
            <w:tcW w:w="2106" w:type="dxa"/>
          </w:tcPr>
          <w:p w14:paraId="2A4588DB" w14:textId="79357499"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109.35</w:t>
            </w:r>
          </w:p>
        </w:tc>
        <w:tc>
          <w:tcPr>
            <w:tcW w:w="2106" w:type="dxa"/>
          </w:tcPr>
          <w:p w14:paraId="48A00F20" w14:textId="61A9D84B"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13.18</w:t>
            </w:r>
          </w:p>
        </w:tc>
      </w:tr>
      <w:tr w:rsidR="00442ED3" w14:paraId="438422C2" w14:textId="77777777" w:rsidTr="001D68D7">
        <w:tc>
          <w:tcPr>
            <w:tcW w:w="2106" w:type="dxa"/>
          </w:tcPr>
          <w:p w14:paraId="73384072" w14:textId="69995EB7"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2022-23</w:t>
            </w:r>
          </w:p>
        </w:tc>
        <w:tc>
          <w:tcPr>
            <w:tcW w:w="2106" w:type="dxa"/>
          </w:tcPr>
          <w:p w14:paraId="500D4A3A" w14:textId="2B224D8D"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8.30</w:t>
            </w:r>
          </w:p>
        </w:tc>
        <w:tc>
          <w:tcPr>
            <w:tcW w:w="2106" w:type="dxa"/>
          </w:tcPr>
          <w:p w14:paraId="28E573CE" w14:textId="0E7AF177"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109.35</w:t>
            </w:r>
          </w:p>
        </w:tc>
        <w:tc>
          <w:tcPr>
            <w:tcW w:w="2106" w:type="dxa"/>
          </w:tcPr>
          <w:p w14:paraId="05986C6C" w14:textId="34801614"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13.18</w:t>
            </w:r>
          </w:p>
        </w:tc>
      </w:tr>
      <w:tr w:rsidR="00442ED3" w14:paraId="3BE8EB8D" w14:textId="77777777" w:rsidTr="001D68D7">
        <w:tc>
          <w:tcPr>
            <w:tcW w:w="2106" w:type="dxa"/>
          </w:tcPr>
          <w:p w14:paraId="15116FEF" w14:textId="1849C327"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2023-24</w:t>
            </w:r>
          </w:p>
        </w:tc>
        <w:tc>
          <w:tcPr>
            <w:tcW w:w="2106" w:type="dxa"/>
          </w:tcPr>
          <w:p w14:paraId="58FFD893" w14:textId="7C6854E7"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7.55</w:t>
            </w:r>
          </w:p>
        </w:tc>
        <w:tc>
          <w:tcPr>
            <w:tcW w:w="2106" w:type="dxa"/>
          </w:tcPr>
          <w:p w14:paraId="6A245472" w14:textId="334A6DE2"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101.37</w:t>
            </w:r>
          </w:p>
        </w:tc>
        <w:tc>
          <w:tcPr>
            <w:tcW w:w="2106" w:type="dxa"/>
          </w:tcPr>
          <w:p w14:paraId="0EC8797A" w14:textId="76BA8AF5"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13.42</w:t>
            </w:r>
          </w:p>
        </w:tc>
      </w:tr>
      <w:tr w:rsidR="00442ED3" w14:paraId="367EBC29" w14:textId="77777777" w:rsidTr="00442ED3">
        <w:tc>
          <w:tcPr>
            <w:tcW w:w="2106" w:type="dxa"/>
          </w:tcPr>
          <w:p w14:paraId="55A3CB3E" w14:textId="53D3C930"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2024-25</w:t>
            </w:r>
          </w:p>
        </w:tc>
        <w:tc>
          <w:tcPr>
            <w:tcW w:w="2106" w:type="dxa"/>
          </w:tcPr>
          <w:p w14:paraId="07B8F20D" w14:textId="2BEC923F"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4.22</w:t>
            </w:r>
          </w:p>
        </w:tc>
        <w:tc>
          <w:tcPr>
            <w:tcW w:w="2106" w:type="dxa"/>
          </w:tcPr>
          <w:p w14:paraId="5D2A9F1C" w14:textId="623A28DB"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67.15</w:t>
            </w:r>
          </w:p>
        </w:tc>
        <w:tc>
          <w:tcPr>
            <w:tcW w:w="2106" w:type="dxa"/>
          </w:tcPr>
          <w:p w14:paraId="4726CC77" w14:textId="6ECCDCAE" w:rsidR="00442ED3" w:rsidRPr="00442ED3" w:rsidRDefault="00442ED3" w:rsidP="00442ED3">
            <w:pPr>
              <w:pStyle w:val="Body"/>
              <w:spacing w:after="0"/>
              <w:jc w:val="center"/>
              <w:rPr>
                <w:rFonts w:ascii="Arial" w:hAnsi="Arial" w:cs="Arial"/>
                <w:sz w:val="20"/>
                <w:szCs w:val="20"/>
                <w:lang w:val="en-IN"/>
              </w:rPr>
            </w:pPr>
            <w:r w:rsidRPr="00442ED3">
              <w:rPr>
                <w:rFonts w:ascii="Arial" w:hAnsi="Arial" w:cs="Arial"/>
                <w:sz w:val="20"/>
                <w:szCs w:val="20"/>
                <w:lang w:val="en-IN"/>
              </w:rPr>
              <w:t>15.93</w:t>
            </w:r>
          </w:p>
        </w:tc>
      </w:tr>
    </w:tbl>
    <w:p w14:paraId="618CDD5B" w14:textId="60303137" w:rsidR="00382154" w:rsidRDefault="00375469" w:rsidP="00040DD5">
      <w:pPr>
        <w:pStyle w:val="Body"/>
        <w:spacing w:after="0"/>
        <w:jc w:val="left"/>
        <w:rPr>
          <w:rFonts w:ascii="Arial" w:hAnsi="Arial" w:cs="Arial"/>
          <w:lang w:val="en-IN"/>
        </w:rPr>
      </w:pPr>
      <w:r>
        <w:rPr>
          <w:rFonts w:ascii="Arial" w:hAnsi="Arial" w:cs="Arial"/>
          <w:lang w:val="en-IN"/>
        </w:rPr>
        <w:t xml:space="preserve">Source: </w:t>
      </w:r>
      <w:r>
        <w:rPr>
          <w:rFonts w:ascii="Arial" w:hAnsi="Arial" w:cs="Arial"/>
        </w:rPr>
        <w:t>Government of India (2024)</w:t>
      </w:r>
    </w:p>
    <w:p w14:paraId="7414DB66" w14:textId="77777777" w:rsidR="00382154" w:rsidRPr="006576C1" w:rsidRDefault="00382154" w:rsidP="00382154">
      <w:pPr>
        <w:pStyle w:val="Body"/>
        <w:spacing w:after="0"/>
        <w:rPr>
          <w:rFonts w:ascii="Arial" w:hAnsi="Arial" w:cs="Arial"/>
          <w:lang w:val="en-IN"/>
        </w:rPr>
      </w:pPr>
    </w:p>
    <w:p w14:paraId="2CDE35DD" w14:textId="690A35A6" w:rsidR="006576C1" w:rsidRDefault="00382154" w:rsidP="006576C1">
      <w:pPr>
        <w:pStyle w:val="Body"/>
        <w:spacing w:after="0"/>
        <w:rPr>
          <w:rFonts w:ascii="Arial" w:hAnsi="Arial" w:cs="Arial"/>
          <w:lang w:val="en-IN"/>
        </w:rPr>
      </w:pPr>
      <w:r>
        <w:rPr>
          <w:rFonts w:ascii="Arial" w:hAnsi="Arial" w:cs="Arial"/>
          <w:lang w:val="en-IN"/>
        </w:rPr>
        <w:t xml:space="preserve"> </w:t>
      </w:r>
      <w:r w:rsidR="006576C1" w:rsidRPr="006576C1">
        <w:rPr>
          <w:rFonts w:ascii="Arial" w:hAnsi="Arial" w:cs="Arial"/>
          <w:lang w:val="en-IN"/>
        </w:rPr>
        <w:t>A major development in the region is the increasing adoption of off-season vegetable production systems, where vegetables are cultivated outside their normal seasonal cycle to benefit from higher market prices during periods of low supply. This system has gained importance in Manipur due to favourable climatic conditions and provides enhanced income opportunities for farmers</w:t>
      </w:r>
      <w:r w:rsidR="00131D54">
        <w:rPr>
          <w:rFonts w:ascii="Arial" w:hAnsi="Arial" w:cs="Arial"/>
          <w:lang w:val="en-IN"/>
        </w:rPr>
        <w:t xml:space="preserve">. </w:t>
      </w:r>
      <w:r w:rsidR="006576C1" w:rsidRPr="006576C1">
        <w:rPr>
          <w:rFonts w:ascii="Arial" w:hAnsi="Arial" w:cs="Arial"/>
          <w:lang w:val="en-IN"/>
        </w:rPr>
        <w:t xml:space="preserve">However, despite its advantages, off-season vegetable production faces several constraints including small and fragmented landholdings, limited access to </w:t>
      </w:r>
      <w:r w:rsidR="006576C1" w:rsidRPr="006576C1">
        <w:rPr>
          <w:rFonts w:ascii="Arial" w:hAnsi="Arial" w:cs="Arial"/>
          <w:lang w:val="en-IN"/>
        </w:rPr>
        <w:lastRenderedPageBreak/>
        <w:t>quality inputs, inadequate capital availability, and weak market infrastructure. In addition, production risks arising from climatic variability, pest incidence, and natural hazards further reduce productivity and profitability. These constraints indicate inefficiencies in resource utilization rather than mere resource scarcity.</w:t>
      </w:r>
    </w:p>
    <w:p w14:paraId="130352E4" w14:textId="77777777" w:rsidR="00040DD5" w:rsidRDefault="00040DD5" w:rsidP="006576C1">
      <w:pPr>
        <w:pStyle w:val="Body"/>
        <w:spacing w:after="0"/>
        <w:rPr>
          <w:rFonts w:ascii="Arial" w:hAnsi="Arial" w:cs="Arial"/>
          <w:lang w:val="en-IN"/>
        </w:rPr>
      </w:pPr>
    </w:p>
    <w:p w14:paraId="1D738F33" w14:textId="6B3FBC51" w:rsidR="00040DD5" w:rsidRDefault="00040DD5" w:rsidP="006576C1">
      <w:pPr>
        <w:pStyle w:val="Body"/>
        <w:spacing w:after="0"/>
        <w:rPr>
          <w:rFonts w:ascii="Arial" w:hAnsi="Arial" w:cs="Arial"/>
          <w:lang w:val="en-IN"/>
        </w:rPr>
      </w:pPr>
      <w:r w:rsidRPr="00040DD5">
        <w:rPr>
          <w:rFonts w:ascii="Arial" w:hAnsi="Arial" w:cs="Arial"/>
        </w:rPr>
        <w:t>The structural transformation of Indian agriculture has increasingly shifted towards high-value crops, with horticulture playing a central role in enhancing farm profitability and dietary diversification. The sector now contributes a substantial share to agricultural output and has shown greater resilience compared to traditional crops due to its higher value per unit of land. However, this transition has also led to increased dependence on purchased inputs and market-oriented production systems, exposing farmers to higher cost risks and price volatility (Government of India, 2024). In such a context, the efficiency with which inputs are utilized becomes a critical determinant of farm viability.</w:t>
      </w:r>
    </w:p>
    <w:p w14:paraId="39AB4FD6" w14:textId="77777777" w:rsidR="00375469" w:rsidRDefault="00375469" w:rsidP="006576C1">
      <w:pPr>
        <w:pStyle w:val="Body"/>
        <w:spacing w:after="0"/>
        <w:rPr>
          <w:rFonts w:ascii="Arial" w:hAnsi="Arial" w:cs="Arial"/>
          <w:lang w:val="en-IN"/>
        </w:rPr>
      </w:pPr>
    </w:p>
    <w:p w14:paraId="041C66D5" w14:textId="295E3951" w:rsidR="00131D54" w:rsidRDefault="00375469" w:rsidP="006576C1">
      <w:pPr>
        <w:pStyle w:val="Body"/>
        <w:spacing w:after="0"/>
      </w:pPr>
      <w:r w:rsidRPr="00375469">
        <w:rPr>
          <w:rFonts w:ascii="Arial" w:hAnsi="Arial" w:cs="Arial"/>
        </w:rPr>
        <w:t>Efficiency is particularly critical in Indian horticulture, which is characterized by high input use, perishability, and price volatility. Empirical studies on vegetable production in India consistently highlight significant scope for improving resource-use efficiency despite relatively high productivity levels, especially in crops such as vegetables and fruits (Mandla &amp; Vaidya, 2023; Palathingal &amp; Rajagopal, 2020). These findings underscore that gains in farm income are increasingly dependent on improving technical and allocative efficiency rather than expanding input use.</w:t>
      </w:r>
      <w:r w:rsidRPr="00375469">
        <w:t xml:space="preserve"> </w:t>
      </w:r>
      <w:r w:rsidR="00040DD5" w:rsidRPr="00375469">
        <w:rPr>
          <w:rFonts w:ascii="Arial" w:hAnsi="Arial" w:cs="Arial"/>
        </w:rPr>
        <w:t>Efficiency assumes critical importance in Indian horticulture, which has emerged as a key driver of agricultural growth, farm income, and nutritional security. The sector has experienced substantial expansion in output with relatively limited increase in cultivated area, indicating that growth has been largely productivity-driven (Kumar et al., 2026).</w:t>
      </w:r>
      <w:r w:rsidR="00040DD5" w:rsidRPr="00382154">
        <w:t xml:space="preserve"> However, empirical evidence suggests that despite this progress, significant inefficiencies persist in resource use and farm-level decision-making, particularly in high-value crops</w:t>
      </w:r>
      <w:r w:rsidR="00040DD5">
        <w:t xml:space="preserve"> </w:t>
      </w:r>
      <w:r w:rsidR="00040DD5" w:rsidRPr="00382154">
        <w:t>such as fruits and vegetables (Ashrit, 2023).</w:t>
      </w:r>
    </w:p>
    <w:p w14:paraId="2059372A" w14:textId="77777777" w:rsidR="00382154" w:rsidRPr="006576C1" w:rsidRDefault="00382154" w:rsidP="006576C1">
      <w:pPr>
        <w:pStyle w:val="Body"/>
        <w:spacing w:after="0"/>
        <w:rPr>
          <w:rFonts w:ascii="Arial" w:hAnsi="Arial" w:cs="Arial"/>
          <w:lang w:val="en-IN"/>
        </w:rPr>
      </w:pPr>
    </w:p>
    <w:p w14:paraId="72EED1A0" w14:textId="54545639" w:rsidR="00D51698" w:rsidRPr="00E03C09" w:rsidRDefault="006576C1" w:rsidP="00FD252A">
      <w:pPr>
        <w:pStyle w:val="Body"/>
        <w:spacing w:after="0"/>
        <w:rPr>
          <w:rFonts w:ascii="Arial" w:hAnsi="Arial" w:cs="Arial"/>
          <w:lang w:val="en-IN"/>
        </w:rPr>
      </w:pPr>
      <w:r w:rsidRPr="006576C1">
        <w:rPr>
          <w:rFonts w:ascii="Arial" w:hAnsi="Arial" w:cs="Arial"/>
          <w:lang w:val="en-IN"/>
        </w:rPr>
        <w:t>In this context, improving resource use efficiency is essential for enhancing productivity and ensuring sustainable income generation. Therefore,</w:t>
      </w:r>
      <w:r w:rsidR="00FC6488">
        <w:rPr>
          <w:rFonts w:ascii="Arial" w:hAnsi="Arial" w:cs="Arial"/>
          <w:lang w:val="en-IN"/>
        </w:rPr>
        <w:t xml:space="preserve"> </w:t>
      </w:r>
      <w:r w:rsidRPr="006576C1">
        <w:rPr>
          <w:rFonts w:ascii="Arial" w:hAnsi="Arial" w:cs="Arial"/>
          <w:lang w:val="en-IN"/>
        </w:rPr>
        <w:t>evaluating the technical efficiency of off-season cabbage production in Manipur and identifying factors influencing inefficiency, with the aim of providing empirical evidence for improving farm-level performance and supporting policy interventions in horticultural development</w:t>
      </w:r>
      <w:r w:rsidR="00FC6488">
        <w:rPr>
          <w:rFonts w:ascii="Arial" w:hAnsi="Arial" w:cs="Arial"/>
          <w:lang w:val="en-IN"/>
        </w:rPr>
        <w:t xml:space="preserve"> was done in study area.</w:t>
      </w:r>
    </w:p>
    <w:p w14:paraId="618F87F2" w14:textId="77777777" w:rsidR="00790ADA" w:rsidRPr="00FB3A86" w:rsidRDefault="00790ADA" w:rsidP="00441B6F">
      <w:pPr>
        <w:pStyle w:val="Body"/>
        <w:spacing w:after="0"/>
        <w:rPr>
          <w:rFonts w:ascii="Arial" w:hAnsi="Arial" w:cs="Arial"/>
        </w:rPr>
      </w:pPr>
    </w:p>
    <w:p w14:paraId="5A5F4719" w14:textId="6DFF583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07970E0" w14:textId="77777777" w:rsidR="008C707E" w:rsidRDefault="008C707E" w:rsidP="00441B6F">
      <w:pPr>
        <w:pStyle w:val="AbstHead"/>
        <w:spacing w:after="0"/>
        <w:jc w:val="both"/>
        <w:rPr>
          <w:rFonts w:ascii="Arial" w:hAnsi="Arial" w:cs="Arial"/>
        </w:rPr>
      </w:pPr>
    </w:p>
    <w:p w14:paraId="258025EC" w14:textId="40E171AD" w:rsidR="008C707E" w:rsidRPr="004A12C3" w:rsidRDefault="008C707E" w:rsidP="008C707E">
      <w:pPr>
        <w:jc w:val="both"/>
        <w:rPr>
          <w:rFonts w:ascii="Arial" w:eastAsia="Arial" w:hAnsi="Arial" w:cs="Arial"/>
          <w:b/>
          <w:bCs/>
          <w:i/>
          <w:iCs/>
          <w:color w:val="070000"/>
          <w:highlight w:val="white"/>
        </w:rPr>
      </w:pPr>
      <w:r w:rsidRPr="004A12C3">
        <w:rPr>
          <w:rFonts w:ascii="Arial" w:hAnsi="Arial" w:cs="Arial"/>
          <w:i/>
          <w:iCs/>
        </w:rPr>
        <w:t xml:space="preserve">2.1 </w:t>
      </w:r>
      <w:r w:rsidR="004A12C3">
        <w:rPr>
          <w:rFonts w:ascii="Arial" w:eastAsia="Arial" w:hAnsi="Arial" w:cs="Arial"/>
          <w:b/>
          <w:bCs/>
          <w:i/>
          <w:iCs/>
          <w:color w:val="070000"/>
          <w:highlight w:val="white"/>
        </w:rPr>
        <w:t>D</w:t>
      </w:r>
      <w:r w:rsidR="004A12C3" w:rsidRPr="004A12C3">
        <w:rPr>
          <w:rFonts w:ascii="Arial" w:eastAsia="Arial" w:hAnsi="Arial" w:cs="Arial"/>
          <w:b/>
          <w:bCs/>
          <w:i/>
          <w:iCs/>
          <w:color w:val="070000"/>
          <w:highlight w:val="white"/>
        </w:rPr>
        <w:t xml:space="preserve">escription of </w:t>
      </w:r>
      <w:r w:rsidR="004A12C3">
        <w:rPr>
          <w:rFonts w:ascii="Arial" w:eastAsia="Arial" w:hAnsi="Arial" w:cs="Arial"/>
          <w:b/>
          <w:bCs/>
          <w:i/>
          <w:iCs/>
          <w:color w:val="070000"/>
          <w:highlight w:val="white"/>
        </w:rPr>
        <w:t>S</w:t>
      </w:r>
      <w:r w:rsidR="004A12C3" w:rsidRPr="004A12C3">
        <w:rPr>
          <w:rFonts w:ascii="Arial" w:eastAsia="Arial" w:hAnsi="Arial" w:cs="Arial"/>
          <w:b/>
          <w:bCs/>
          <w:i/>
          <w:iCs/>
          <w:color w:val="070000"/>
          <w:highlight w:val="white"/>
        </w:rPr>
        <w:t>tudy area:</w:t>
      </w:r>
    </w:p>
    <w:p w14:paraId="14377169" w14:textId="403B9B03" w:rsidR="00790ADA" w:rsidRPr="00FB3A86" w:rsidRDefault="00790ADA" w:rsidP="00441B6F">
      <w:pPr>
        <w:pStyle w:val="AbstHead"/>
        <w:spacing w:after="0"/>
        <w:jc w:val="both"/>
        <w:rPr>
          <w:rFonts w:ascii="Arial" w:hAnsi="Arial" w:cs="Arial"/>
        </w:rPr>
      </w:pPr>
    </w:p>
    <w:p w14:paraId="6E2222F6" w14:textId="77777777" w:rsidR="007C1920" w:rsidRPr="004A12C3" w:rsidRDefault="00981C7F" w:rsidP="00441B6F">
      <w:pPr>
        <w:pStyle w:val="Body"/>
        <w:spacing w:after="0"/>
        <w:rPr>
          <w:rFonts w:ascii="Arial" w:hAnsi="Arial" w:cs="Arial"/>
        </w:rPr>
      </w:pPr>
      <w:r w:rsidRPr="004A12C3">
        <w:rPr>
          <w:rFonts w:ascii="Arial" w:hAnsi="Arial" w:cs="Arial"/>
        </w:rPr>
        <w:t xml:space="preserve">Manipur is a northeastern hilly state of India located between latitudes 23°49'45.530" N and 25°42'1.456" N, and longitudes 92°58'23.422" E and 94°43'35.553" E. The state covers an area of 22,327 sq. km, accounting for about 0.7% of India’s total geographical area. It consists of a central oval-shaped valley surrounded by hill ranges and shares an international border of 352 km with Myanmar. Internally, it is bordered by Nagaland, Assam, and Mizoram. The valley region occupies about 2,238 sq. km, nearly 10% of the total area. The state receives an average annual rainfall of 1137.1 mm (ICAR, </w:t>
      </w:r>
      <w:proofErr w:type="spellStart"/>
      <w:r w:rsidRPr="004A12C3">
        <w:rPr>
          <w:rFonts w:ascii="Arial" w:hAnsi="Arial" w:cs="Arial"/>
        </w:rPr>
        <w:t>Lamphelpat</w:t>
      </w:r>
      <w:proofErr w:type="spellEnd"/>
      <w:r w:rsidRPr="004A12C3">
        <w:rPr>
          <w:rFonts w:ascii="Arial" w:hAnsi="Arial" w:cs="Arial"/>
        </w:rPr>
        <w:t xml:space="preserve">, 2019). Major horticultural and agricultural crops include rice, maize, cabbage, cauliflower, peas, potato, beans, tomato, mustard, and a variety of fruits such as orange, lemon, banana, and passion fruit. Administratively, the state is divided into nine districts—four in the valley (Imphal East, Imphal West, </w:t>
      </w:r>
      <w:proofErr w:type="spellStart"/>
      <w:r w:rsidRPr="004A12C3">
        <w:rPr>
          <w:rFonts w:ascii="Arial" w:hAnsi="Arial" w:cs="Arial"/>
        </w:rPr>
        <w:t>Bishnupur</w:t>
      </w:r>
      <w:proofErr w:type="spellEnd"/>
      <w:r w:rsidRPr="004A12C3">
        <w:rPr>
          <w:rFonts w:ascii="Arial" w:hAnsi="Arial" w:cs="Arial"/>
        </w:rPr>
        <w:t xml:space="preserve">, and </w:t>
      </w:r>
      <w:proofErr w:type="spellStart"/>
      <w:r w:rsidRPr="004A12C3">
        <w:rPr>
          <w:rFonts w:ascii="Arial" w:hAnsi="Arial" w:cs="Arial"/>
        </w:rPr>
        <w:t>Thoubal</w:t>
      </w:r>
      <w:proofErr w:type="spellEnd"/>
      <w:r w:rsidRPr="004A12C3">
        <w:rPr>
          <w:rFonts w:ascii="Arial" w:hAnsi="Arial" w:cs="Arial"/>
        </w:rPr>
        <w:t xml:space="preserve">) and five in the hill region (Senapati, </w:t>
      </w:r>
      <w:proofErr w:type="spellStart"/>
      <w:r w:rsidRPr="004A12C3">
        <w:rPr>
          <w:rFonts w:ascii="Arial" w:hAnsi="Arial" w:cs="Arial"/>
        </w:rPr>
        <w:t>Tamenglong</w:t>
      </w:r>
      <w:proofErr w:type="spellEnd"/>
      <w:r w:rsidRPr="004A12C3">
        <w:rPr>
          <w:rFonts w:ascii="Arial" w:hAnsi="Arial" w:cs="Arial"/>
        </w:rPr>
        <w:t xml:space="preserve">, </w:t>
      </w:r>
      <w:proofErr w:type="spellStart"/>
      <w:r w:rsidRPr="004A12C3">
        <w:rPr>
          <w:rFonts w:ascii="Arial" w:hAnsi="Arial" w:cs="Arial"/>
        </w:rPr>
        <w:t>Churachandpur</w:t>
      </w:r>
      <w:proofErr w:type="spellEnd"/>
      <w:r w:rsidRPr="004A12C3">
        <w:rPr>
          <w:rFonts w:ascii="Arial" w:hAnsi="Arial" w:cs="Arial"/>
        </w:rPr>
        <w:t xml:space="preserve">, </w:t>
      </w:r>
      <w:proofErr w:type="spellStart"/>
      <w:r w:rsidRPr="004A12C3">
        <w:rPr>
          <w:rFonts w:ascii="Arial" w:hAnsi="Arial" w:cs="Arial"/>
        </w:rPr>
        <w:t>Chandel</w:t>
      </w:r>
      <w:proofErr w:type="spellEnd"/>
      <w:r w:rsidRPr="004A12C3">
        <w:rPr>
          <w:rFonts w:ascii="Arial" w:hAnsi="Arial" w:cs="Arial"/>
        </w:rPr>
        <w:t xml:space="preserve">, and </w:t>
      </w:r>
      <w:proofErr w:type="spellStart"/>
      <w:r w:rsidRPr="004A12C3">
        <w:rPr>
          <w:rFonts w:ascii="Arial" w:hAnsi="Arial" w:cs="Arial"/>
        </w:rPr>
        <w:t>Ukhrul</w:t>
      </w:r>
      <w:proofErr w:type="spellEnd"/>
      <w:r w:rsidRPr="004A12C3">
        <w:rPr>
          <w:rFonts w:ascii="Arial" w:hAnsi="Arial" w:cs="Arial"/>
        </w:rPr>
        <w:t xml:space="preserve">). </w:t>
      </w:r>
    </w:p>
    <w:p w14:paraId="43BDE00C" w14:textId="77777777" w:rsidR="001A6AD8" w:rsidRDefault="001A6AD8" w:rsidP="00441B6F">
      <w:pPr>
        <w:pStyle w:val="Body"/>
        <w:spacing w:after="0"/>
        <w:rPr>
          <w:rFonts w:ascii="Arial" w:hAnsi="Arial" w:cs="Arial"/>
        </w:rPr>
      </w:pPr>
    </w:p>
    <w:p w14:paraId="0D41EEDF" w14:textId="61A240EB" w:rsidR="008C707E" w:rsidRPr="004A12C3" w:rsidRDefault="008C707E" w:rsidP="008C707E">
      <w:pPr>
        <w:jc w:val="both"/>
        <w:rPr>
          <w:rFonts w:ascii="Arial" w:eastAsia="Arial" w:hAnsi="Arial" w:cs="Arial"/>
          <w:b/>
          <w:bCs/>
          <w:i/>
          <w:iCs/>
          <w:color w:val="070000"/>
          <w:highlight w:val="white"/>
        </w:rPr>
      </w:pPr>
      <w:r w:rsidRPr="004A12C3">
        <w:rPr>
          <w:rFonts w:ascii="Arial" w:hAnsi="Arial" w:cs="Arial"/>
          <w:i/>
          <w:iCs/>
        </w:rPr>
        <w:t xml:space="preserve">2.2 </w:t>
      </w:r>
      <w:r w:rsidR="004A12C3">
        <w:rPr>
          <w:rFonts w:ascii="Arial" w:eastAsia="Arial" w:hAnsi="Arial" w:cs="Arial"/>
          <w:b/>
          <w:bCs/>
          <w:i/>
          <w:iCs/>
          <w:color w:val="070000"/>
          <w:highlight w:val="white"/>
        </w:rPr>
        <w:t>S</w:t>
      </w:r>
      <w:r w:rsidR="004A12C3" w:rsidRPr="004A12C3">
        <w:rPr>
          <w:rFonts w:ascii="Arial" w:eastAsia="Arial" w:hAnsi="Arial" w:cs="Arial"/>
          <w:b/>
          <w:bCs/>
          <w:i/>
          <w:iCs/>
          <w:color w:val="070000"/>
          <w:highlight w:val="white"/>
        </w:rPr>
        <w:t>ampling</w:t>
      </w:r>
      <w:r w:rsidR="001A6AD8" w:rsidRPr="004A12C3">
        <w:rPr>
          <w:rFonts w:ascii="Arial" w:eastAsia="Arial" w:hAnsi="Arial" w:cs="Arial"/>
          <w:b/>
          <w:bCs/>
          <w:i/>
          <w:iCs/>
          <w:color w:val="070000"/>
          <w:highlight w:val="white"/>
        </w:rPr>
        <w:t xml:space="preserve"> </w:t>
      </w:r>
      <w:r w:rsidR="004A12C3">
        <w:rPr>
          <w:rFonts w:ascii="Arial" w:eastAsia="Arial" w:hAnsi="Arial" w:cs="Arial"/>
          <w:b/>
          <w:bCs/>
          <w:i/>
          <w:iCs/>
          <w:color w:val="070000"/>
          <w:highlight w:val="white"/>
        </w:rPr>
        <w:t>P</w:t>
      </w:r>
      <w:r w:rsidR="004A12C3" w:rsidRPr="004A12C3">
        <w:rPr>
          <w:rFonts w:ascii="Arial" w:eastAsia="Arial" w:hAnsi="Arial" w:cs="Arial"/>
          <w:b/>
          <w:bCs/>
          <w:i/>
          <w:iCs/>
          <w:color w:val="070000"/>
          <w:highlight w:val="white"/>
        </w:rPr>
        <w:t>rocedure</w:t>
      </w:r>
      <w:r w:rsidRPr="004A12C3">
        <w:rPr>
          <w:rFonts w:ascii="Arial" w:eastAsia="Arial" w:hAnsi="Arial" w:cs="Arial"/>
          <w:b/>
          <w:bCs/>
          <w:i/>
          <w:iCs/>
          <w:color w:val="070000"/>
          <w:highlight w:val="white"/>
        </w:rPr>
        <w:t>:</w:t>
      </w:r>
    </w:p>
    <w:p w14:paraId="7FF8462C" w14:textId="77777777" w:rsidR="001A6AD8" w:rsidRDefault="001A6AD8" w:rsidP="008C707E">
      <w:pPr>
        <w:jc w:val="both"/>
        <w:rPr>
          <w:rFonts w:ascii="Arial" w:eastAsia="Arial" w:hAnsi="Arial" w:cs="Arial"/>
          <w:b/>
          <w:bCs/>
          <w:color w:val="070000"/>
          <w:sz w:val="22"/>
          <w:szCs w:val="22"/>
          <w:highlight w:val="white"/>
        </w:rPr>
      </w:pPr>
    </w:p>
    <w:p w14:paraId="0BFC31E6" w14:textId="74390BA5" w:rsidR="00E06F4E" w:rsidRPr="00291CB7" w:rsidRDefault="00E06F4E" w:rsidP="008C707E">
      <w:pPr>
        <w:jc w:val="both"/>
        <w:rPr>
          <w:rFonts w:ascii="Arial" w:eastAsia="Arial" w:hAnsi="Arial" w:cs="Arial"/>
          <w:color w:val="070000"/>
          <w:highlight w:val="white"/>
        </w:rPr>
      </w:pPr>
      <w:r w:rsidRPr="004A12C3">
        <w:rPr>
          <w:rFonts w:ascii="Arial" w:eastAsia="Arial" w:hAnsi="Arial" w:cs="Arial"/>
          <w:color w:val="070000"/>
          <w:highlight w:val="white"/>
        </w:rPr>
        <w:lastRenderedPageBreak/>
        <w:t>For the present study, Senapati district was selected purposively due to the concentration of off-season cabbage cultivation. Within the district, Mao-</w:t>
      </w:r>
      <w:proofErr w:type="spellStart"/>
      <w:r w:rsidRPr="004A12C3">
        <w:rPr>
          <w:rFonts w:ascii="Arial" w:eastAsia="Arial" w:hAnsi="Arial" w:cs="Arial"/>
          <w:color w:val="070000"/>
          <w:highlight w:val="white"/>
        </w:rPr>
        <w:t>Maram</w:t>
      </w:r>
      <w:proofErr w:type="spellEnd"/>
      <w:r w:rsidRPr="004A12C3">
        <w:rPr>
          <w:rFonts w:ascii="Arial" w:eastAsia="Arial" w:hAnsi="Arial" w:cs="Arial"/>
          <w:color w:val="070000"/>
          <w:highlight w:val="white"/>
        </w:rPr>
        <w:t xml:space="preserve"> and </w:t>
      </w:r>
      <w:proofErr w:type="spellStart"/>
      <w:r w:rsidRPr="004A12C3">
        <w:rPr>
          <w:rFonts w:ascii="Arial" w:eastAsia="Arial" w:hAnsi="Arial" w:cs="Arial"/>
          <w:color w:val="070000"/>
          <w:highlight w:val="white"/>
        </w:rPr>
        <w:t>Paomata</w:t>
      </w:r>
      <w:proofErr w:type="spellEnd"/>
      <w:r w:rsidRPr="004A12C3">
        <w:rPr>
          <w:rFonts w:ascii="Arial" w:eastAsia="Arial" w:hAnsi="Arial" w:cs="Arial"/>
          <w:color w:val="070000"/>
          <w:highlight w:val="white"/>
        </w:rPr>
        <w:t xml:space="preserve"> blocks were chosen based on production intensity. From these blocks, four villages—</w:t>
      </w:r>
      <w:proofErr w:type="spellStart"/>
      <w:r w:rsidRPr="004A12C3">
        <w:rPr>
          <w:rFonts w:ascii="Arial" w:eastAsia="Arial" w:hAnsi="Arial" w:cs="Arial"/>
          <w:color w:val="070000"/>
          <w:highlight w:val="white"/>
        </w:rPr>
        <w:t>Makuilongdi</w:t>
      </w:r>
      <w:proofErr w:type="spellEnd"/>
      <w:r w:rsidRPr="004A12C3">
        <w:rPr>
          <w:rFonts w:ascii="Arial" w:eastAsia="Arial" w:hAnsi="Arial" w:cs="Arial"/>
          <w:color w:val="070000"/>
          <w:highlight w:val="white"/>
        </w:rPr>
        <w:t xml:space="preserve"> and </w:t>
      </w:r>
      <w:proofErr w:type="spellStart"/>
      <w:r w:rsidRPr="004A12C3">
        <w:rPr>
          <w:rFonts w:ascii="Arial" w:eastAsia="Arial" w:hAnsi="Arial" w:cs="Arial"/>
          <w:color w:val="070000"/>
          <w:highlight w:val="white"/>
        </w:rPr>
        <w:t>Punanamei</w:t>
      </w:r>
      <w:proofErr w:type="spellEnd"/>
      <w:r w:rsidRPr="004A12C3">
        <w:rPr>
          <w:rFonts w:ascii="Arial" w:eastAsia="Arial" w:hAnsi="Arial" w:cs="Arial"/>
          <w:color w:val="070000"/>
          <w:highlight w:val="white"/>
        </w:rPr>
        <w:t xml:space="preserve"> (Mao-</w:t>
      </w:r>
      <w:proofErr w:type="spellStart"/>
      <w:r w:rsidRPr="004A12C3">
        <w:rPr>
          <w:rFonts w:ascii="Arial" w:eastAsia="Arial" w:hAnsi="Arial" w:cs="Arial"/>
          <w:color w:val="070000"/>
          <w:highlight w:val="white"/>
        </w:rPr>
        <w:t>Maram</w:t>
      </w:r>
      <w:proofErr w:type="spellEnd"/>
      <w:r w:rsidRPr="004A12C3">
        <w:rPr>
          <w:rFonts w:ascii="Arial" w:eastAsia="Arial" w:hAnsi="Arial" w:cs="Arial"/>
          <w:color w:val="070000"/>
          <w:highlight w:val="white"/>
        </w:rPr>
        <w:t xml:space="preserve"> block), and </w:t>
      </w:r>
      <w:proofErr w:type="spellStart"/>
      <w:r w:rsidRPr="004A12C3">
        <w:rPr>
          <w:rFonts w:ascii="Arial" w:eastAsia="Arial" w:hAnsi="Arial" w:cs="Arial"/>
          <w:color w:val="070000"/>
          <w:highlight w:val="white"/>
        </w:rPr>
        <w:t>Laii</w:t>
      </w:r>
      <w:proofErr w:type="spellEnd"/>
      <w:r w:rsidRPr="004A12C3">
        <w:rPr>
          <w:rFonts w:ascii="Arial" w:eastAsia="Arial" w:hAnsi="Arial" w:cs="Arial"/>
          <w:color w:val="070000"/>
          <w:highlight w:val="white"/>
        </w:rPr>
        <w:t xml:space="preserve"> and </w:t>
      </w:r>
      <w:proofErr w:type="spellStart"/>
      <w:r w:rsidRPr="004A12C3">
        <w:rPr>
          <w:rFonts w:ascii="Arial" w:eastAsia="Arial" w:hAnsi="Arial" w:cs="Arial"/>
          <w:color w:val="070000"/>
          <w:highlight w:val="white"/>
        </w:rPr>
        <w:t>Tungjoy</w:t>
      </w:r>
      <w:proofErr w:type="spellEnd"/>
      <w:r w:rsidRPr="004A12C3">
        <w:rPr>
          <w:rFonts w:ascii="Arial" w:eastAsia="Arial" w:hAnsi="Arial" w:cs="Arial"/>
          <w:color w:val="070000"/>
          <w:highlight w:val="white"/>
        </w:rPr>
        <w:t xml:space="preserve"> (</w:t>
      </w:r>
      <w:proofErr w:type="spellStart"/>
      <w:r w:rsidRPr="004A12C3">
        <w:rPr>
          <w:rFonts w:ascii="Arial" w:eastAsia="Arial" w:hAnsi="Arial" w:cs="Arial"/>
          <w:color w:val="070000"/>
          <w:highlight w:val="white"/>
        </w:rPr>
        <w:t>Paomata</w:t>
      </w:r>
      <w:proofErr w:type="spellEnd"/>
      <w:r w:rsidRPr="004A12C3">
        <w:rPr>
          <w:rFonts w:ascii="Arial" w:eastAsia="Arial" w:hAnsi="Arial" w:cs="Arial"/>
          <w:color w:val="070000"/>
          <w:highlight w:val="white"/>
        </w:rPr>
        <w:t xml:space="preserve"> block)—were selected. A list of cabbage growers was obtained from Krishi Vigyan Kendra (KVK), </w:t>
      </w:r>
      <w:proofErr w:type="spellStart"/>
      <w:r w:rsidRPr="004A12C3">
        <w:rPr>
          <w:rFonts w:ascii="Arial" w:eastAsia="Arial" w:hAnsi="Arial" w:cs="Arial"/>
          <w:color w:val="070000"/>
          <w:highlight w:val="white"/>
        </w:rPr>
        <w:t>Hengbung</w:t>
      </w:r>
      <w:proofErr w:type="spellEnd"/>
      <w:r w:rsidRPr="004A12C3">
        <w:rPr>
          <w:rFonts w:ascii="Arial" w:eastAsia="Arial" w:hAnsi="Arial" w:cs="Arial"/>
          <w:color w:val="070000"/>
          <w:highlight w:val="white"/>
        </w:rPr>
        <w:t>, Senapati, and a total of 80 farmers were selected using proportional allocation under simple random sampling to ensure representativeness across villages.</w:t>
      </w:r>
    </w:p>
    <w:p w14:paraId="5C16F06E" w14:textId="09D2BA12" w:rsidR="00E06F4E" w:rsidRPr="00291CB7" w:rsidRDefault="00E06F4E" w:rsidP="008C707E">
      <w:pPr>
        <w:jc w:val="both"/>
        <w:rPr>
          <w:rFonts w:ascii="Arial" w:eastAsia="Arial" w:hAnsi="Arial" w:cs="Arial"/>
          <w:b/>
          <w:bCs/>
          <w:i/>
          <w:iCs/>
          <w:color w:val="070000"/>
          <w:highlight w:val="white"/>
        </w:rPr>
      </w:pPr>
      <w:r w:rsidRPr="004A12C3">
        <w:rPr>
          <w:rFonts w:ascii="Arial" w:hAnsi="Arial" w:cs="Arial"/>
          <w:i/>
          <w:iCs/>
        </w:rPr>
        <w:t xml:space="preserve">2.3 </w:t>
      </w:r>
      <w:r w:rsidR="004A12C3">
        <w:rPr>
          <w:rFonts w:ascii="Arial" w:eastAsia="Arial" w:hAnsi="Arial" w:cs="Arial"/>
          <w:b/>
          <w:bCs/>
          <w:i/>
          <w:iCs/>
          <w:color w:val="070000"/>
          <w:highlight w:val="white"/>
        </w:rPr>
        <w:t>N</w:t>
      </w:r>
      <w:r w:rsidR="004A12C3" w:rsidRPr="004A12C3">
        <w:rPr>
          <w:rFonts w:ascii="Arial" w:eastAsia="Arial" w:hAnsi="Arial" w:cs="Arial"/>
          <w:b/>
          <w:bCs/>
          <w:i/>
          <w:iCs/>
          <w:color w:val="070000"/>
          <w:highlight w:val="white"/>
        </w:rPr>
        <w:t>ature</w:t>
      </w:r>
      <w:r w:rsidRPr="004A12C3">
        <w:rPr>
          <w:rFonts w:ascii="Arial" w:eastAsia="Arial" w:hAnsi="Arial" w:cs="Arial"/>
          <w:b/>
          <w:bCs/>
          <w:i/>
          <w:iCs/>
          <w:color w:val="070000"/>
          <w:highlight w:val="white"/>
        </w:rPr>
        <w:t xml:space="preserve"> </w:t>
      </w:r>
      <w:r w:rsidR="004A12C3" w:rsidRPr="004A12C3">
        <w:rPr>
          <w:rFonts w:ascii="Arial" w:eastAsia="Arial" w:hAnsi="Arial" w:cs="Arial"/>
          <w:b/>
          <w:bCs/>
          <w:i/>
          <w:iCs/>
          <w:color w:val="070000"/>
          <w:highlight w:val="white"/>
        </w:rPr>
        <w:t>and</w:t>
      </w:r>
      <w:r w:rsidRPr="004A12C3">
        <w:rPr>
          <w:rFonts w:ascii="Arial" w:eastAsia="Arial" w:hAnsi="Arial" w:cs="Arial"/>
          <w:b/>
          <w:bCs/>
          <w:i/>
          <w:iCs/>
          <w:color w:val="070000"/>
          <w:highlight w:val="white"/>
        </w:rPr>
        <w:t xml:space="preserve"> </w:t>
      </w:r>
      <w:r w:rsidR="004A12C3">
        <w:rPr>
          <w:rFonts w:ascii="Arial" w:eastAsia="Arial" w:hAnsi="Arial" w:cs="Arial"/>
          <w:b/>
          <w:bCs/>
          <w:i/>
          <w:iCs/>
          <w:color w:val="070000"/>
          <w:highlight w:val="white"/>
        </w:rPr>
        <w:t>S</w:t>
      </w:r>
      <w:r w:rsidR="004A12C3" w:rsidRPr="004A12C3">
        <w:rPr>
          <w:rFonts w:ascii="Arial" w:eastAsia="Arial" w:hAnsi="Arial" w:cs="Arial"/>
          <w:b/>
          <w:bCs/>
          <w:i/>
          <w:iCs/>
          <w:color w:val="070000"/>
          <w:highlight w:val="white"/>
        </w:rPr>
        <w:t>ources</w:t>
      </w:r>
      <w:r w:rsidRPr="004A12C3">
        <w:rPr>
          <w:rFonts w:ascii="Arial" w:eastAsia="Arial" w:hAnsi="Arial" w:cs="Arial"/>
          <w:b/>
          <w:bCs/>
          <w:i/>
          <w:iCs/>
          <w:color w:val="070000"/>
          <w:highlight w:val="white"/>
        </w:rPr>
        <w:t xml:space="preserve"> </w:t>
      </w:r>
      <w:r w:rsidR="004A12C3" w:rsidRPr="004A12C3">
        <w:rPr>
          <w:rFonts w:ascii="Arial" w:eastAsia="Arial" w:hAnsi="Arial" w:cs="Arial"/>
          <w:b/>
          <w:bCs/>
          <w:i/>
          <w:iCs/>
          <w:color w:val="070000"/>
          <w:highlight w:val="white"/>
        </w:rPr>
        <w:t>of</w:t>
      </w:r>
      <w:r w:rsidRPr="004A12C3">
        <w:rPr>
          <w:rFonts w:ascii="Arial" w:eastAsia="Arial" w:hAnsi="Arial" w:cs="Arial"/>
          <w:b/>
          <w:bCs/>
          <w:i/>
          <w:iCs/>
          <w:color w:val="070000"/>
          <w:highlight w:val="white"/>
        </w:rPr>
        <w:t xml:space="preserve"> </w:t>
      </w:r>
      <w:r w:rsidR="004A12C3" w:rsidRPr="004A12C3">
        <w:rPr>
          <w:rFonts w:ascii="Arial" w:eastAsia="Arial" w:hAnsi="Arial" w:cs="Arial"/>
          <w:b/>
          <w:bCs/>
          <w:i/>
          <w:iCs/>
          <w:color w:val="070000"/>
          <w:highlight w:val="white"/>
        </w:rPr>
        <w:t>data</w:t>
      </w:r>
    </w:p>
    <w:p w14:paraId="1ACF3A6F" w14:textId="2CB3D3D7" w:rsidR="008C707E" w:rsidRDefault="000E6026" w:rsidP="00291CB7">
      <w:pPr>
        <w:jc w:val="both"/>
        <w:rPr>
          <w:rFonts w:ascii="Arial" w:eastAsia="Arial" w:hAnsi="Arial" w:cs="Arial"/>
          <w:color w:val="070000"/>
          <w:highlight w:val="white"/>
        </w:rPr>
      </w:pPr>
      <w:r w:rsidRPr="004A12C3">
        <w:rPr>
          <w:rFonts w:ascii="Arial" w:eastAsia="Arial" w:hAnsi="Arial" w:cs="Arial"/>
          <w:color w:val="070000"/>
          <w:highlight w:val="white"/>
        </w:rPr>
        <w:t>Primary data were collected through personal interviews using a pre-tested structured schedule. Information was gathered on socio-economic characteristics, landholding, input use, production levels, costs, and constraints faced in off-season cabbage cultivation. The data were used to assess resource use efficiency and to identify factors influencing productivity and input allocation behavior among farmers.</w:t>
      </w:r>
    </w:p>
    <w:p w14:paraId="19BCD0A5" w14:textId="5037291A" w:rsidR="00291CB7" w:rsidRPr="00291CB7" w:rsidRDefault="00291CB7" w:rsidP="00291CB7">
      <w:pPr>
        <w:jc w:val="both"/>
        <w:rPr>
          <w:rFonts w:ascii="Arial" w:eastAsia="Arial" w:hAnsi="Arial" w:cs="Arial"/>
          <w:color w:val="070000"/>
          <w:highlight w:val="white"/>
        </w:rPr>
      </w:pPr>
    </w:p>
    <w:p w14:paraId="3EFC8C0B" w14:textId="4CEFF5C1" w:rsidR="00D53B8E" w:rsidRPr="00291CB7" w:rsidRDefault="00054377" w:rsidP="009F44A6">
      <w:pPr>
        <w:pStyle w:val="Body"/>
        <w:spacing w:after="0"/>
        <w:rPr>
          <w:rFonts w:ascii="Arial" w:hAnsi="Arial" w:cs="Arial"/>
          <w:b/>
          <w:bCs/>
          <w:lang w:val="en-IN"/>
        </w:rPr>
      </w:pPr>
      <w:r w:rsidRPr="004A12C3">
        <w:rPr>
          <w:rFonts w:ascii="Arial" w:hAnsi="Arial" w:cs="Arial"/>
          <w:b/>
          <w:bCs/>
          <w:lang w:val="en-IN"/>
        </w:rPr>
        <w:t>2.4 ANALYTICAL</w:t>
      </w:r>
      <w:r w:rsidR="00B61CC4" w:rsidRPr="004A12C3">
        <w:rPr>
          <w:rFonts w:ascii="Arial" w:hAnsi="Arial" w:cs="Arial"/>
          <w:b/>
          <w:bCs/>
          <w:lang w:val="en-IN"/>
        </w:rPr>
        <w:t xml:space="preserve"> FRAMEWORK</w:t>
      </w:r>
    </w:p>
    <w:p w14:paraId="4D262F43" w14:textId="77777777" w:rsidR="00291CB7" w:rsidRDefault="00906FE4" w:rsidP="00906FE4">
      <w:pPr>
        <w:pStyle w:val="Body"/>
        <w:spacing w:after="0"/>
        <w:rPr>
          <w:rFonts w:ascii="Arial" w:hAnsi="Arial" w:cs="Arial"/>
        </w:rPr>
      </w:pPr>
      <w:r w:rsidRPr="00906FE4">
        <w:rPr>
          <w:rFonts w:ascii="Arial" w:hAnsi="Arial" w:cs="Arial"/>
          <w:lang w:val="en-IN"/>
        </w:rPr>
        <w:t>The present study adopts a structured analytical framework to analyse production behaviour, efficiency levels, and determinants of efficiency in cabbage cultivation. Agricultural production decisions are influenced by multiple input factors, and hence a sequential econometric approach is used. First, the Cobb</w:t>
      </w:r>
      <w:r>
        <w:rPr>
          <w:rFonts w:ascii="Arial" w:hAnsi="Arial" w:cs="Arial"/>
          <w:lang w:val="en-IN"/>
        </w:rPr>
        <w:t>-</w:t>
      </w:r>
      <w:r w:rsidRPr="00906FE4">
        <w:rPr>
          <w:rFonts w:ascii="Arial" w:hAnsi="Arial" w:cs="Arial"/>
          <w:lang w:val="en-IN"/>
        </w:rPr>
        <w:t>Douglas production function is applied to estimate the relationship between inputs and output. Second, the Stochastic Frontier Analysis (SFA) is used to measure technical efficiency by separating inefficiency from random shocks. Finally, the Tobit regression model is used to identify socio-economic factors affecting efficiency scores.</w:t>
      </w:r>
      <w:r w:rsidR="00291CB7">
        <w:rPr>
          <w:rFonts w:ascii="Arial" w:hAnsi="Arial" w:cs="Arial"/>
          <w:lang w:val="en-IN"/>
        </w:rPr>
        <w:t xml:space="preserve"> </w:t>
      </w:r>
      <w:r w:rsidR="00291CB7" w:rsidRPr="00291CB7">
        <w:rPr>
          <w:rFonts w:ascii="Arial" w:hAnsi="Arial" w:cs="Arial"/>
        </w:rPr>
        <w:t>The analytical framework adopted in this study is presented in Figure 1.</w:t>
      </w:r>
    </w:p>
    <w:p w14:paraId="41818F17" w14:textId="34CCC326" w:rsidR="00291CB7" w:rsidRDefault="00291CB7" w:rsidP="00906FE4">
      <w:pPr>
        <w:pStyle w:val="Body"/>
        <w:spacing w:after="0"/>
        <w:rPr>
          <w:rFonts w:ascii="Arial" w:hAnsi="Arial" w:cs="Arial"/>
          <w:lang w:val="en-IN"/>
        </w:rPr>
      </w:pPr>
      <w:r>
        <w:rPr>
          <w:noProof/>
        </w:rPr>
        <w:drawing>
          <wp:inline distT="0" distB="0" distL="0" distR="0" wp14:anchorId="768FDB87" wp14:editId="18BDE294">
            <wp:extent cx="5212080" cy="3980180"/>
            <wp:effectExtent l="0" t="0" r="0" b="0"/>
            <wp:docPr id="1035410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980180"/>
                    </a:xfrm>
                    <a:prstGeom prst="rect">
                      <a:avLst/>
                    </a:prstGeom>
                    <a:noFill/>
                    <a:ln>
                      <a:noFill/>
                    </a:ln>
                  </pic:spPr>
                </pic:pic>
              </a:graphicData>
            </a:graphic>
          </wp:inline>
        </w:drawing>
      </w:r>
    </w:p>
    <w:p w14:paraId="2A67FAC7" w14:textId="3854DD41" w:rsidR="00291CB7" w:rsidRPr="00291CB7" w:rsidRDefault="00291CB7" w:rsidP="00291CB7">
      <w:pPr>
        <w:pStyle w:val="Body"/>
        <w:spacing w:after="0"/>
        <w:jc w:val="center"/>
        <w:rPr>
          <w:rFonts w:ascii="Arial" w:hAnsi="Arial" w:cs="Arial"/>
          <w:b/>
          <w:bCs/>
          <w:lang w:val="en-IN"/>
        </w:rPr>
      </w:pPr>
      <w:r w:rsidRPr="00291CB7">
        <w:rPr>
          <w:rFonts w:ascii="Arial" w:hAnsi="Arial" w:cs="Arial"/>
          <w:b/>
          <w:bCs/>
        </w:rPr>
        <w:t>Figure1: Methodological Flowchart of the Study</w:t>
      </w:r>
    </w:p>
    <w:p w14:paraId="720F06FC" w14:textId="77777777" w:rsidR="00906FE4" w:rsidRPr="00906FE4" w:rsidRDefault="00906FE4" w:rsidP="00906FE4">
      <w:pPr>
        <w:pStyle w:val="Body"/>
        <w:spacing w:after="0"/>
        <w:rPr>
          <w:rFonts w:ascii="Arial" w:hAnsi="Arial" w:cs="Arial"/>
          <w:lang w:val="en-IN"/>
        </w:rPr>
      </w:pPr>
    </w:p>
    <w:p w14:paraId="20B69B5F" w14:textId="77777777" w:rsidR="00291CB7" w:rsidRDefault="00291CB7" w:rsidP="00906FE4">
      <w:pPr>
        <w:pStyle w:val="Body"/>
        <w:spacing w:after="0"/>
        <w:rPr>
          <w:rFonts w:ascii="Arial" w:hAnsi="Arial" w:cs="Arial"/>
          <w:b/>
          <w:bCs/>
          <w:lang w:val="en-IN"/>
        </w:rPr>
      </w:pPr>
    </w:p>
    <w:p w14:paraId="78FBB7E6" w14:textId="4B80A13E" w:rsidR="00906FE4" w:rsidRPr="00906FE4" w:rsidRDefault="00906FE4" w:rsidP="00906FE4">
      <w:pPr>
        <w:pStyle w:val="Body"/>
        <w:spacing w:after="0"/>
        <w:rPr>
          <w:rFonts w:ascii="Arial" w:hAnsi="Arial" w:cs="Arial"/>
          <w:b/>
          <w:bCs/>
          <w:lang w:val="en-IN"/>
        </w:rPr>
      </w:pPr>
      <w:r w:rsidRPr="00906FE4">
        <w:rPr>
          <w:rFonts w:ascii="Arial" w:hAnsi="Arial" w:cs="Arial"/>
          <w:b/>
          <w:bCs/>
          <w:lang w:val="en-IN"/>
        </w:rPr>
        <w:t>2.4.1 Cobb–Douglas Production Function</w:t>
      </w:r>
    </w:p>
    <w:p w14:paraId="6BCAFC45" w14:textId="77777777" w:rsidR="00906FE4" w:rsidRPr="00906FE4" w:rsidRDefault="00906FE4" w:rsidP="00906FE4">
      <w:pPr>
        <w:pStyle w:val="Body"/>
        <w:spacing w:after="0"/>
        <w:rPr>
          <w:rFonts w:ascii="Arial" w:hAnsi="Arial" w:cs="Arial"/>
          <w:lang w:val="en-IN"/>
        </w:rPr>
      </w:pPr>
      <w:r w:rsidRPr="00906FE4">
        <w:rPr>
          <w:rFonts w:ascii="Arial" w:hAnsi="Arial" w:cs="Arial"/>
          <w:lang w:val="en-IN"/>
        </w:rPr>
        <w:t xml:space="preserve">The Cobb–Douglas production function is a widely used functional form in agricultural economics to analyse how different inputs contribute to output. It is particularly useful because it provides </w:t>
      </w:r>
      <w:r w:rsidRPr="00906FE4">
        <w:rPr>
          <w:rFonts w:ascii="Arial" w:hAnsi="Arial" w:cs="Arial"/>
          <w:b/>
          <w:bCs/>
          <w:lang w:val="en-IN"/>
        </w:rPr>
        <w:t>direct elasticity estimates</w:t>
      </w:r>
      <w:r w:rsidRPr="00906FE4">
        <w:rPr>
          <w:rFonts w:ascii="Arial" w:hAnsi="Arial" w:cs="Arial"/>
          <w:lang w:val="en-IN"/>
        </w:rPr>
        <w:t>, which show the responsiveness of output to changes in inputs. In this study, it is used to quantify the contribution of seed, labour, fertilizers, and plant protection chemicals to cabbage production.</w:t>
      </w:r>
    </w:p>
    <w:p w14:paraId="653CDDDF" w14:textId="77777777" w:rsidR="00906FE4" w:rsidRPr="00906FE4" w:rsidRDefault="00906FE4" w:rsidP="00906FE4">
      <w:pPr>
        <w:pStyle w:val="Body"/>
        <w:spacing w:after="0"/>
        <w:rPr>
          <w:rFonts w:ascii="Arial" w:hAnsi="Arial" w:cs="Arial"/>
          <w:lang w:val="en-IN"/>
        </w:rPr>
      </w:pPr>
      <w:r w:rsidRPr="00906FE4">
        <w:rPr>
          <w:rFonts w:ascii="Arial" w:hAnsi="Arial" w:cs="Arial"/>
          <w:lang w:val="en-IN"/>
        </w:rPr>
        <w:t>The production process is assumed to follow a multiplicative relationship between output and inputs, which is expressed as:</w:t>
      </w:r>
    </w:p>
    <w:p w14:paraId="6B18A91F" w14:textId="6ACF31BB" w:rsidR="00906FE4" w:rsidRPr="00906FE4" w:rsidRDefault="0026164B" w:rsidP="00906FE4">
      <w:pPr>
        <w:pStyle w:val="Body"/>
        <w:rPr>
          <w:rFonts w:ascii="Arial" w:hAnsi="Arial" w:cs="Arial"/>
          <w:b/>
          <w:bCs/>
          <w:lang w:val="en-IN"/>
        </w:rPr>
      </w:pPr>
      <m:oMathPara>
        <m:oMath>
          <m:m>
            <m:mPr>
              <m:plcHide m:val="1"/>
              <m:mcs>
                <m:mc>
                  <m:mcPr>
                    <m:count m:val="4"/>
                    <m:mcJc m:val="center"/>
                  </m:mcPr>
                </m:mc>
              </m:mcs>
              <m:ctrlPr>
                <w:rPr>
                  <w:rFonts w:ascii="Cambria Math" w:hAnsi="Cambria Math" w:cs="Arial"/>
                  <w:b/>
                  <w:bCs/>
                  <w:lang w:val="en-IN"/>
                </w:rPr>
              </m:ctrlPr>
            </m:mPr>
            <m:mr>
              <m:e/>
              <m:e>
                <m:r>
                  <m:rPr>
                    <m:sty m:val="bi"/>
                  </m:rPr>
                  <w:rPr>
                    <w:rFonts w:ascii="Cambria Math" w:hAnsi="Cambria Math" w:cs="Arial"/>
                    <w:lang w:val="en-IN"/>
                  </w:rPr>
                  <m:t>Y=</m:t>
                </m:r>
                <m:sSub>
                  <m:sSubPr>
                    <m:ctrlPr>
                      <w:rPr>
                        <w:rFonts w:ascii="Cambria Math" w:hAnsi="Cambria Math" w:cs="Arial"/>
                        <w:b/>
                        <w:bCs/>
                        <w:lang w:val="en-IN"/>
                      </w:rPr>
                    </m:ctrlPr>
                  </m:sSubPr>
                  <m:e>
                    <m:r>
                      <m:rPr>
                        <m:sty m:val="bi"/>
                      </m:rPr>
                      <w:rPr>
                        <w:rFonts w:ascii="Cambria Math" w:hAnsi="Cambria Math" w:cs="Arial"/>
                        <w:lang w:val="en-IN"/>
                      </w:rPr>
                      <m:t>B</m:t>
                    </m:r>
                  </m:e>
                  <m:sub>
                    <m:r>
                      <m:rPr>
                        <m:sty m:val="bi"/>
                      </m:rPr>
                      <w:rPr>
                        <w:rFonts w:ascii="Cambria Math" w:hAnsi="Cambria Math" w:cs="Arial"/>
                        <w:lang w:val="en-IN"/>
                      </w:rPr>
                      <m:t>0</m:t>
                    </m:r>
                  </m:sub>
                </m:sSub>
                <m:sSubSup>
                  <m:sSubSupPr>
                    <m:ctrlPr>
                      <w:rPr>
                        <w:rFonts w:ascii="Cambria Math" w:hAnsi="Cambria Math" w:cs="Arial"/>
                        <w:b/>
                        <w:bCs/>
                        <w:lang w:val="en-IN"/>
                      </w:rPr>
                    </m:ctrlPr>
                  </m:sSubSupPr>
                  <m:e>
                    <m:r>
                      <m:rPr>
                        <m:sty m:val="bi"/>
                      </m:rPr>
                      <w:rPr>
                        <w:rFonts w:ascii="Cambria Math" w:hAnsi="Cambria Math" w:cs="Arial"/>
                        <w:lang w:val="en-IN"/>
                      </w:rPr>
                      <m:t>X</m:t>
                    </m:r>
                  </m:e>
                  <m:sub>
                    <m:r>
                      <m:rPr>
                        <m:sty m:val="bi"/>
                      </m:rPr>
                      <w:rPr>
                        <w:rFonts w:ascii="Cambria Math" w:hAnsi="Cambria Math" w:cs="Arial"/>
                        <w:lang w:val="en-IN"/>
                      </w:rPr>
                      <m:t>1</m:t>
                    </m:r>
                  </m:sub>
                  <m:sup>
                    <m:sSub>
                      <m:sSubPr>
                        <m:ctrlPr>
                          <w:rPr>
                            <w:rFonts w:ascii="Cambria Math" w:hAnsi="Cambria Math" w:cs="Arial"/>
                            <w:b/>
                            <w:bCs/>
                            <w:lang w:val="en-IN"/>
                          </w:rPr>
                        </m:ctrlPr>
                      </m:sSubPr>
                      <m:e>
                        <m:r>
                          <m:rPr>
                            <m:sty m:val="bi"/>
                          </m:rPr>
                          <w:rPr>
                            <w:rFonts w:ascii="Cambria Math" w:hAnsi="Cambria Math" w:cs="Arial"/>
                            <w:lang w:val="en-IN"/>
                          </w:rPr>
                          <m:t>b</m:t>
                        </m:r>
                      </m:e>
                      <m:sub>
                        <m:r>
                          <m:rPr>
                            <m:sty m:val="bi"/>
                          </m:rPr>
                          <w:rPr>
                            <w:rFonts w:ascii="Cambria Math" w:hAnsi="Cambria Math" w:cs="Arial"/>
                            <w:lang w:val="en-IN"/>
                          </w:rPr>
                          <m:t>1</m:t>
                        </m:r>
                      </m:sub>
                    </m:sSub>
                  </m:sup>
                </m:sSubSup>
                <m:sSubSup>
                  <m:sSubSupPr>
                    <m:ctrlPr>
                      <w:rPr>
                        <w:rFonts w:ascii="Cambria Math" w:hAnsi="Cambria Math" w:cs="Arial"/>
                        <w:b/>
                        <w:bCs/>
                        <w:lang w:val="en-IN"/>
                      </w:rPr>
                    </m:ctrlPr>
                  </m:sSubSupPr>
                  <m:e>
                    <m:r>
                      <m:rPr>
                        <m:sty m:val="bi"/>
                      </m:rPr>
                      <w:rPr>
                        <w:rFonts w:ascii="Cambria Math" w:hAnsi="Cambria Math" w:cs="Arial"/>
                        <w:lang w:val="en-IN"/>
                      </w:rPr>
                      <m:t>X</m:t>
                    </m:r>
                  </m:e>
                  <m:sub>
                    <m:r>
                      <m:rPr>
                        <m:sty m:val="bi"/>
                      </m:rPr>
                      <w:rPr>
                        <w:rFonts w:ascii="Cambria Math" w:hAnsi="Cambria Math" w:cs="Arial"/>
                        <w:lang w:val="en-IN"/>
                      </w:rPr>
                      <m:t>2</m:t>
                    </m:r>
                  </m:sub>
                  <m:sup>
                    <m:sSub>
                      <m:sSubPr>
                        <m:ctrlPr>
                          <w:rPr>
                            <w:rFonts w:ascii="Cambria Math" w:hAnsi="Cambria Math" w:cs="Arial"/>
                            <w:b/>
                            <w:bCs/>
                            <w:lang w:val="en-IN"/>
                          </w:rPr>
                        </m:ctrlPr>
                      </m:sSubPr>
                      <m:e>
                        <m:r>
                          <m:rPr>
                            <m:sty m:val="bi"/>
                          </m:rPr>
                          <w:rPr>
                            <w:rFonts w:ascii="Cambria Math" w:hAnsi="Cambria Math" w:cs="Arial"/>
                            <w:lang w:val="en-IN"/>
                          </w:rPr>
                          <m:t>b</m:t>
                        </m:r>
                      </m:e>
                      <m:sub>
                        <m:r>
                          <m:rPr>
                            <m:sty m:val="bi"/>
                          </m:rPr>
                          <w:rPr>
                            <w:rFonts w:ascii="Cambria Math" w:hAnsi="Cambria Math" w:cs="Arial"/>
                            <w:lang w:val="en-IN"/>
                          </w:rPr>
                          <m:t>2</m:t>
                        </m:r>
                      </m:sub>
                    </m:sSub>
                  </m:sup>
                </m:sSubSup>
                <m:sSubSup>
                  <m:sSubSupPr>
                    <m:ctrlPr>
                      <w:rPr>
                        <w:rFonts w:ascii="Cambria Math" w:hAnsi="Cambria Math" w:cs="Arial"/>
                        <w:b/>
                        <w:bCs/>
                        <w:lang w:val="en-IN"/>
                      </w:rPr>
                    </m:ctrlPr>
                  </m:sSubSupPr>
                  <m:e>
                    <m:r>
                      <m:rPr>
                        <m:sty m:val="bi"/>
                      </m:rPr>
                      <w:rPr>
                        <w:rFonts w:ascii="Cambria Math" w:hAnsi="Cambria Math" w:cs="Arial"/>
                        <w:lang w:val="en-IN"/>
                      </w:rPr>
                      <m:t>X</m:t>
                    </m:r>
                  </m:e>
                  <m:sub>
                    <m:r>
                      <m:rPr>
                        <m:sty m:val="bi"/>
                      </m:rPr>
                      <w:rPr>
                        <w:rFonts w:ascii="Cambria Math" w:hAnsi="Cambria Math" w:cs="Arial"/>
                        <w:lang w:val="en-IN"/>
                      </w:rPr>
                      <m:t>3</m:t>
                    </m:r>
                  </m:sub>
                  <m:sup>
                    <m:sSub>
                      <m:sSubPr>
                        <m:ctrlPr>
                          <w:rPr>
                            <w:rFonts w:ascii="Cambria Math" w:hAnsi="Cambria Math" w:cs="Arial"/>
                            <w:b/>
                            <w:bCs/>
                            <w:lang w:val="en-IN"/>
                          </w:rPr>
                        </m:ctrlPr>
                      </m:sSubPr>
                      <m:e>
                        <m:r>
                          <m:rPr>
                            <m:sty m:val="bi"/>
                          </m:rPr>
                          <w:rPr>
                            <w:rFonts w:ascii="Cambria Math" w:hAnsi="Cambria Math" w:cs="Arial"/>
                            <w:lang w:val="en-IN"/>
                          </w:rPr>
                          <m:t>b</m:t>
                        </m:r>
                      </m:e>
                      <m:sub>
                        <m:r>
                          <m:rPr>
                            <m:sty m:val="bi"/>
                          </m:rPr>
                          <w:rPr>
                            <w:rFonts w:ascii="Cambria Math" w:hAnsi="Cambria Math" w:cs="Arial"/>
                            <w:lang w:val="en-IN"/>
                          </w:rPr>
                          <m:t>3</m:t>
                        </m:r>
                      </m:sub>
                    </m:sSub>
                  </m:sup>
                </m:sSubSup>
                <m:sSubSup>
                  <m:sSubSupPr>
                    <m:ctrlPr>
                      <w:rPr>
                        <w:rFonts w:ascii="Cambria Math" w:hAnsi="Cambria Math" w:cs="Arial"/>
                        <w:b/>
                        <w:bCs/>
                        <w:lang w:val="en-IN"/>
                      </w:rPr>
                    </m:ctrlPr>
                  </m:sSubSupPr>
                  <m:e>
                    <m:r>
                      <m:rPr>
                        <m:sty m:val="bi"/>
                      </m:rPr>
                      <w:rPr>
                        <w:rFonts w:ascii="Cambria Math" w:hAnsi="Cambria Math" w:cs="Arial"/>
                        <w:lang w:val="en-IN"/>
                      </w:rPr>
                      <m:t>X</m:t>
                    </m:r>
                  </m:e>
                  <m:sub>
                    <m:r>
                      <m:rPr>
                        <m:sty m:val="bi"/>
                      </m:rPr>
                      <w:rPr>
                        <w:rFonts w:ascii="Cambria Math" w:hAnsi="Cambria Math" w:cs="Arial"/>
                        <w:lang w:val="en-IN"/>
                      </w:rPr>
                      <m:t>4</m:t>
                    </m:r>
                  </m:sub>
                  <m:sup>
                    <m:sSub>
                      <m:sSubPr>
                        <m:ctrlPr>
                          <w:rPr>
                            <w:rFonts w:ascii="Cambria Math" w:hAnsi="Cambria Math" w:cs="Arial"/>
                            <w:b/>
                            <w:bCs/>
                            <w:lang w:val="en-IN"/>
                          </w:rPr>
                        </m:ctrlPr>
                      </m:sSubPr>
                      <m:e>
                        <m:r>
                          <m:rPr>
                            <m:sty m:val="bi"/>
                          </m:rPr>
                          <w:rPr>
                            <w:rFonts w:ascii="Cambria Math" w:hAnsi="Cambria Math" w:cs="Arial"/>
                            <w:lang w:val="en-IN"/>
                          </w:rPr>
                          <m:t>b</m:t>
                        </m:r>
                      </m:e>
                      <m:sub>
                        <m:r>
                          <m:rPr>
                            <m:sty m:val="bi"/>
                          </m:rPr>
                          <w:rPr>
                            <w:rFonts w:ascii="Cambria Math" w:hAnsi="Cambria Math" w:cs="Arial"/>
                            <w:lang w:val="en-IN"/>
                          </w:rPr>
                          <m:t>4</m:t>
                        </m:r>
                      </m:sub>
                    </m:sSub>
                  </m:sup>
                </m:sSubSup>
                <m:sSup>
                  <m:sSupPr>
                    <m:ctrlPr>
                      <w:rPr>
                        <w:rFonts w:ascii="Cambria Math" w:hAnsi="Cambria Math" w:cs="Arial"/>
                        <w:b/>
                        <w:bCs/>
                        <w:lang w:val="en-IN"/>
                      </w:rPr>
                    </m:ctrlPr>
                  </m:sSupPr>
                  <m:e>
                    <m:r>
                      <m:rPr>
                        <m:sty m:val="bi"/>
                      </m:rPr>
                      <w:rPr>
                        <w:rFonts w:ascii="Cambria Math" w:hAnsi="Cambria Math" w:cs="Arial"/>
                        <w:lang w:val="en-IN"/>
                      </w:rPr>
                      <m:t>e</m:t>
                    </m:r>
                  </m:e>
                  <m:sup>
                    <m:r>
                      <m:rPr>
                        <m:sty m:val="bi"/>
                      </m:rPr>
                      <w:rPr>
                        <w:rFonts w:ascii="Cambria Math" w:hAnsi="Cambria Math" w:cs="Arial"/>
                        <w:lang w:val="en-IN"/>
                      </w:rPr>
                      <m:t>u</m:t>
                    </m:r>
                  </m:sup>
                </m:sSup>
              </m:e>
              <m:e/>
              <m:e>
                <m:r>
                  <m:rPr>
                    <m:nor/>
                  </m:rPr>
                  <w:rPr>
                    <w:rFonts w:ascii="Arial" w:hAnsi="Arial" w:cs="Arial"/>
                    <w:b/>
                    <w:bCs/>
                    <w:lang w:val="en-IN"/>
                  </w:rPr>
                  <m:t>(1)</m:t>
                </m:r>
              </m:e>
            </m:mr>
          </m:m>
          <m:r>
            <m:rPr>
              <m:sty m:val="p"/>
            </m:rPr>
            <w:rPr>
              <w:rFonts w:ascii="Arial" w:hAnsi="Arial" w:cs="Arial"/>
              <w:lang w:val="en-IN"/>
            </w:rPr>
            <w:br/>
          </m:r>
        </m:oMath>
      </m:oMathPara>
    </w:p>
    <w:p w14:paraId="2C1D06CB" w14:textId="45C9CF33" w:rsidR="00906FE4" w:rsidRPr="00906FE4" w:rsidRDefault="00906FE4" w:rsidP="00906FE4">
      <w:pPr>
        <w:pStyle w:val="Body"/>
        <w:spacing w:after="0"/>
        <w:jc w:val="left"/>
        <w:rPr>
          <w:rFonts w:ascii="Arial" w:hAnsi="Arial" w:cs="Arial"/>
          <w:lang w:val="en-IN"/>
        </w:rPr>
      </w:pPr>
      <w:r w:rsidRPr="00906FE4">
        <w:rPr>
          <w:rFonts w:ascii="Arial" w:hAnsi="Arial" w:cs="Arial"/>
          <w:lang w:val="en-IN"/>
        </w:rPr>
        <w:t>where:</w:t>
      </w:r>
      <w:r w:rsidRPr="00906FE4">
        <w:rPr>
          <w:rFonts w:ascii="Arial" w:hAnsi="Arial" w:cs="Arial"/>
          <w:lang w:val="en-IN"/>
        </w:rPr>
        <w:br/>
      </w:r>
      <m:oMath>
        <m:r>
          <w:rPr>
            <w:rFonts w:ascii="Cambria Math" w:hAnsi="Cambria Math" w:cs="Arial"/>
            <w:lang w:val="en-IN"/>
          </w:rPr>
          <m:t>Y</m:t>
        </m:r>
      </m:oMath>
      <w:r w:rsidRPr="00906FE4">
        <w:rPr>
          <w:rFonts w:ascii="Arial" w:hAnsi="Arial" w:cs="Arial"/>
          <w:lang w:val="en-IN"/>
        </w:rPr>
        <w:t>= total value of output from cabbage production (Rs.)</w:t>
      </w:r>
      <w:r w:rsidRPr="00906FE4">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1</m:t>
            </m:r>
          </m:sub>
        </m:sSub>
      </m:oMath>
      <w:r w:rsidRPr="00906FE4">
        <w:rPr>
          <w:rFonts w:ascii="Arial" w:hAnsi="Arial" w:cs="Arial"/>
          <w:lang w:val="en-IN"/>
        </w:rPr>
        <w:t>= expenditure on seed (Rs.)</w:t>
      </w:r>
      <w:r w:rsidRPr="00906FE4">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2</m:t>
            </m:r>
          </m:sub>
        </m:sSub>
      </m:oMath>
      <w:r w:rsidRPr="00906FE4">
        <w:rPr>
          <w:rFonts w:ascii="Arial" w:hAnsi="Arial" w:cs="Arial"/>
          <w:lang w:val="en-IN"/>
        </w:rPr>
        <w:t>= expenditure on human labour (Rs.)</w:t>
      </w:r>
      <w:r w:rsidRPr="00906FE4">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3</m:t>
            </m:r>
          </m:sub>
        </m:sSub>
      </m:oMath>
      <w:r w:rsidRPr="00906FE4">
        <w:rPr>
          <w:rFonts w:ascii="Arial" w:hAnsi="Arial" w:cs="Arial"/>
          <w:lang w:val="en-IN"/>
        </w:rPr>
        <w:t>= expenditure on chemical fertilizers and manure (Rs.)</w:t>
      </w:r>
      <w:r w:rsidRPr="00906FE4">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4</m:t>
            </m:r>
          </m:sub>
        </m:sSub>
      </m:oMath>
      <w:r w:rsidRPr="00906FE4">
        <w:rPr>
          <w:rFonts w:ascii="Arial" w:hAnsi="Arial" w:cs="Arial"/>
          <w:lang w:val="en-IN"/>
        </w:rPr>
        <w:t>= expenditure on plant protection chemicals (Rs.)</w:t>
      </w:r>
      <w:r w:rsidRPr="00906FE4">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B</m:t>
            </m:r>
          </m:e>
          <m:sub>
            <m:r>
              <w:rPr>
                <w:rFonts w:ascii="Cambria Math" w:hAnsi="Cambria Math" w:cs="Arial"/>
                <w:lang w:val="en-IN"/>
              </w:rPr>
              <m:t>0</m:t>
            </m:r>
          </m:sub>
        </m:sSub>
      </m:oMath>
      <w:r w:rsidRPr="00906FE4">
        <w:rPr>
          <w:rFonts w:ascii="Arial" w:hAnsi="Arial" w:cs="Arial"/>
          <w:lang w:val="en-IN"/>
        </w:rPr>
        <w:t>= efficiency or technology parameter representing baseline productivity</w:t>
      </w:r>
      <w:r w:rsidRPr="00906FE4">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b</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b</m:t>
            </m:r>
          </m:e>
          <m:sub>
            <m:r>
              <w:rPr>
                <w:rFonts w:ascii="Cambria Math" w:hAnsi="Cambria Math" w:cs="Arial"/>
                <w:lang w:val="en-IN"/>
              </w:rPr>
              <m:t>2</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b</m:t>
            </m:r>
          </m:e>
          <m:sub>
            <m:r>
              <w:rPr>
                <w:rFonts w:ascii="Cambria Math" w:hAnsi="Cambria Math" w:cs="Arial"/>
                <w:lang w:val="en-IN"/>
              </w:rPr>
              <m:t>3</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b</m:t>
            </m:r>
          </m:e>
          <m:sub>
            <m:r>
              <w:rPr>
                <w:rFonts w:ascii="Cambria Math" w:hAnsi="Cambria Math" w:cs="Arial"/>
                <w:lang w:val="en-IN"/>
              </w:rPr>
              <m:t>4</m:t>
            </m:r>
          </m:sub>
        </m:sSub>
      </m:oMath>
      <w:r w:rsidRPr="00906FE4">
        <w:rPr>
          <w:rFonts w:ascii="Arial" w:hAnsi="Arial" w:cs="Arial"/>
          <w:lang w:val="en-IN"/>
        </w:rPr>
        <w:t>= output elasticity coefficients of respective inputs</w:t>
      </w:r>
      <w:r w:rsidRPr="00906FE4">
        <w:rPr>
          <w:rFonts w:ascii="Arial" w:hAnsi="Arial" w:cs="Arial"/>
          <w:lang w:val="en-IN"/>
        </w:rPr>
        <w:br/>
      </w:r>
      <m:oMath>
        <m:r>
          <w:rPr>
            <w:rFonts w:ascii="Cambria Math" w:hAnsi="Cambria Math" w:cs="Arial"/>
            <w:lang w:val="en-IN"/>
          </w:rPr>
          <m:t>u</m:t>
        </m:r>
      </m:oMath>
      <w:r w:rsidRPr="00906FE4">
        <w:rPr>
          <w:rFonts w:ascii="Arial" w:hAnsi="Arial" w:cs="Arial"/>
          <w:lang w:val="en-IN"/>
        </w:rPr>
        <w:t>= stochastic error term capturing random shocks and unobserved factors</w:t>
      </w:r>
    </w:p>
    <w:p w14:paraId="709A6F63" w14:textId="77777777" w:rsidR="00906FE4" w:rsidRPr="00906FE4" w:rsidRDefault="00906FE4" w:rsidP="00906FE4">
      <w:pPr>
        <w:pStyle w:val="Body"/>
        <w:spacing w:after="0"/>
        <w:jc w:val="left"/>
        <w:rPr>
          <w:rFonts w:ascii="Arial" w:hAnsi="Arial" w:cs="Arial"/>
          <w:lang w:val="en-IN"/>
        </w:rPr>
      </w:pPr>
      <w:r w:rsidRPr="00906FE4">
        <w:rPr>
          <w:rFonts w:ascii="Arial" w:hAnsi="Arial" w:cs="Arial"/>
          <w:lang w:val="en-IN"/>
        </w:rPr>
        <w:t>This functional form is not directly estimable in its multiplicative form; therefore, it is converted into a log-linear form. This transformation is important because it linearizes the model and allows estimation using Ordinary Least Squares (OLS).</w:t>
      </w:r>
    </w:p>
    <w:p w14:paraId="6FB01A67" w14:textId="1FC63F68" w:rsidR="00906FE4" w:rsidRPr="00906FE4" w:rsidRDefault="0026164B" w:rsidP="00906FE4">
      <w:pPr>
        <w:pStyle w:val="Body"/>
        <w:rPr>
          <w:rFonts w:ascii="Arial" w:hAnsi="Arial" w:cs="Arial"/>
          <w:b/>
          <w:bCs/>
          <w:lang w:val="en-IN"/>
        </w:rPr>
      </w:pPr>
      <m:oMathPara>
        <m:oMath>
          <m:m>
            <m:mPr>
              <m:plcHide m:val="1"/>
              <m:mcs>
                <m:mc>
                  <m:mcPr>
                    <m:count m:val="4"/>
                    <m:mcJc m:val="center"/>
                  </m:mcPr>
                </m:mc>
              </m:mcs>
              <m:ctrlPr>
                <w:rPr>
                  <w:rFonts w:ascii="Cambria Math" w:hAnsi="Cambria Math" w:cs="Arial"/>
                  <w:b/>
                  <w:bCs/>
                  <w:lang w:val="en-IN"/>
                </w:rPr>
              </m:ctrlPr>
            </m:mPr>
            <m:mr>
              <m:e/>
              <m:e>
                <m:r>
                  <m:rPr>
                    <m:sty m:val="b"/>
                  </m:rPr>
                  <w:rPr>
                    <w:rFonts w:ascii="Cambria Math" w:hAnsi="Cambria Math" w:cs="Arial"/>
                    <w:lang w:val="en-IN"/>
                  </w:rPr>
                  <m:t>ln</m:t>
                </m:r>
                <m:r>
                  <m:rPr>
                    <m:sty m:val="bi"/>
                  </m:rPr>
                  <w:rPr>
                    <w:rFonts w:ascii="Cambria Math" w:hAnsi="Cambria Math" w:cs="Arial"/>
                    <w:lang w:val="en-IN"/>
                  </w:rPr>
                  <m:t>⁡Y=</m:t>
                </m:r>
                <m:r>
                  <m:rPr>
                    <m:sty m:val="b"/>
                  </m:rPr>
                  <w:rPr>
                    <w:rFonts w:ascii="Cambria Math" w:hAnsi="Cambria Math" w:cs="Arial"/>
                    <w:lang w:val="en-IN"/>
                  </w:rPr>
                  <m:t>ln</m:t>
                </m:r>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B</m:t>
                    </m:r>
                  </m:e>
                  <m:sub>
                    <m:r>
                      <m:rPr>
                        <m:sty m:val="bi"/>
                      </m:rPr>
                      <w:rPr>
                        <w:rFonts w:ascii="Cambria Math" w:hAnsi="Cambria Math" w:cs="Arial"/>
                        <w:lang w:val="en-IN"/>
                      </w:rPr>
                      <m:t>0</m:t>
                    </m:r>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b</m:t>
                    </m:r>
                  </m:e>
                  <m:sub>
                    <m:r>
                      <m:rPr>
                        <m:sty m:val="bi"/>
                      </m:rPr>
                      <w:rPr>
                        <w:rFonts w:ascii="Cambria Math" w:hAnsi="Cambria Math" w:cs="Arial"/>
                        <w:lang w:val="en-IN"/>
                      </w:rPr>
                      <m:t>1</m:t>
                    </m:r>
                  </m:sub>
                </m:sSub>
                <m:r>
                  <m:rPr>
                    <m:sty m:val="b"/>
                  </m:rPr>
                  <w:rPr>
                    <w:rFonts w:ascii="Cambria Math" w:hAnsi="Cambria Math" w:cs="Arial"/>
                    <w:lang w:val="en-IN"/>
                  </w:rPr>
                  <m:t>ln</m:t>
                </m:r>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1</m:t>
                    </m:r>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b</m:t>
                    </m:r>
                  </m:e>
                  <m:sub>
                    <m:r>
                      <m:rPr>
                        <m:sty m:val="bi"/>
                      </m:rPr>
                      <w:rPr>
                        <w:rFonts w:ascii="Cambria Math" w:hAnsi="Cambria Math" w:cs="Arial"/>
                        <w:lang w:val="en-IN"/>
                      </w:rPr>
                      <m:t>2</m:t>
                    </m:r>
                  </m:sub>
                </m:sSub>
                <m:r>
                  <m:rPr>
                    <m:sty m:val="b"/>
                  </m:rPr>
                  <w:rPr>
                    <w:rFonts w:ascii="Cambria Math" w:hAnsi="Cambria Math" w:cs="Arial"/>
                    <w:lang w:val="en-IN"/>
                  </w:rPr>
                  <m:t>ln</m:t>
                </m:r>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2</m:t>
                    </m:r>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b</m:t>
                    </m:r>
                  </m:e>
                  <m:sub>
                    <m:r>
                      <m:rPr>
                        <m:sty m:val="bi"/>
                      </m:rPr>
                      <w:rPr>
                        <w:rFonts w:ascii="Cambria Math" w:hAnsi="Cambria Math" w:cs="Arial"/>
                        <w:lang w:val="en-IN"/>
                      </w:rPr>
                      <m:t>3</m:t>
                    </m:r>
                  </m:sub>
                </m:sSub>
                <m:r>
                  <m:rPr>
                    <m:sty m:val="b"/>
                  </m:rPr>
                  <w:rPr>
                    <w:rFonts w:ascii="Cambria Math" w:hAnsi="Cambria Math" w:cs="Arial"/>
                    <w:lang w:val="en-IN"/>
                  </w:rPr>
                  <m:t>ln</m:t>
                </m:r>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3</m:t>
                    </m:r>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b</m:t>
                    </m:r>
                  </m:e>
                  <m:sub>
                    <m:r>
                      <m:rPr>
                        <m:sty m:val="bi"/>
                      </m:rPr>
                      <w:rPr>
                        <w:rFonts w:ascii="Cambria Math" w:hAnsi="Cambria Math" w:cs="Arial"/>
                        <w:lang w:val="en-IN"/>
                      </w:rPr>
                      <m:t>4</m:t>
                    </m:r>
                  </m:sub>
                </m:sSub>
                <m:r>
                  <m:rPr>
                    <m:sty m:val="b"/>
                  </m:rPr>
                  <w:rPr>
                    <w:rFonts w:ascii="Cambria Math" w:hAnsi="Cambria Math" w:cs="Arial"/>
                    <w:lang w:val="en-IN"/>
                  </w:rPr>
                  <m:t>ln</m:t>
                </m:r>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4</m:t>
                    </m:r>
                  </m:sub>
                </m:sSub>
                <m:r>
                  <m:rPr>
                    <m:sty m:val="bi"/>
                  </m:rPr>
                  <w:rPr>
                    <w:rFonts w:ascii="Cambria Math" w:hAnsi="Cambria Math" w:cs="Arial"/>
                    <w:lang w:val="en-IN"/>
                  </w:rPr>
                  <m:t>+u</m:t>
                </m:r>
              </m:e>
              <m:e/>
              <m:e>
                <m:r>
                  <m:rPr>
                    <m:nor/>
                  </m:rPr>
                  <w:rPr>
                    <w:rFonts w:ascii="Arial" w:hAnsi="Arial" w:cs="Arial"/>
                    <w:b/>
                    <w:bCs/>
                    <w:lang w:val="en-IN"/>
                  </w:rPr>
                  <m:t>(2)</m:t>
                </m:r>
              </m:e>
            </m:mr>
          </m:m>
          <m:r>
            <m:rPr>
              <m:sty m:val="p"/>
            </m:rPr>
            <w:rPr>
              <w:rFonts w:ascii="Arial" w:hAnsi="Arial" w:cs="Arial"/>
              <w:lang w:val="en-IN"/>
            </w:rPr>
            <w:br/>
          </m:r>
        </m:oMath>
      </m:oMathPara>
    </w:p>
    <w:p w14:paraId="51F1E1EB" w14:textId="38A6C09F" w:rsidR="00906FE4" w:rsidRDefault="00906FE4" w:rsidP="00906FE4">
      <w:pPr>
        <w:pStyle w:val="Body"/>
        <w:spacing w:after="0"/>
        <w:rPr>
          <w:rFonts w:ascii="Arial" w:hAnsi="Arial" w:cs="Arial"/>
          <w:lang w:val="en-IN"/>
        </w:rPr>
      </w:pPr>
      <w:r w:rsidRPr="00D47FFA">
        <w:rPr>
          <w:rFonts w:ascii="Arial" w:hAnsi="Arial" w:cs="Arial"/>
          <w:lang w:val="en-IN"/>
        </w:rPr>
        <w:t xml:space="preserve">In this specification, each coefficient </w:t>
      </w:r>
      <m:oMath>
        <m:sSub>
          <m:sSubPr>
            <m:ctrlPr>
              <w:rPr>
                <w:rFonts w:ascii="Cambria Math" w:hAnsi="Cambria Math" w:cs="Arial"/>
                <w:lang w:val="en-IN"/>
              </w:rPr>
            </m:ctrlPr>
          </m:sSubPr>
          <m:e>
            <m:r>
              <w:rPr>
                <w:rFonts w:ascii="Cambria Math" w:hAnsi="Cambria Math" w:cs="Arial"/>
                <w:lang w:val="en-IN"/>
              </w:rPr>
              <m:t>b</m:t>
            </m:r>
          </m:e>
          <m:sub>
            <m:r>
              <w:rPr>
                <w:rFonts w:ascii="Cambria Math" w:hAnsi="Cambria Math" w:cs="Arial"/>
                <w:lang w:val="en-IN"/>
              </w:rPr>
              <m:t>i</m:t>
            </m:r>
          </m:sub>
        </m:sSub>
        <m:r>
          <w:rPr>
            <w:rFonts w:ascii="Cambria Math" w:hAnsi="Cambria Math" w:cs="Arial"/>
            <w:lang w:val="en-IN"/>
          </w:rPr>
          <m:t xml:space="preserve"> </m:t>
        </m:r>
      </m:oMath>
      <w:r w:rsidRPr="00D47FFA">
        <w:rPr>
          <w:rFonts w:ascii="Arial" w:hAnsi="Arial" w:cs="Arial"/>
          <w:lang w:val="en-IN"/>
        </w:rPr>
        <w:t xml:space="preserve">represents </w:t>
      </w:r>
      <w:r w:rsidRPr="00D47FFA">
        <w:rPr>
          <w:rFonts w:ascii="Arial" w:hAnsi="Arial" w:cs="Arial"/>
          <w:b/>
          <w:bCs/>
          <w:lang w:val="en-IN"/>
        </w:rPr>
        <w:t>output elasticity</w:t>
      </w:r>
      <w:r w:rsidRPr="00D47FFA">
        <w:rPr>
          <w:rFonts w:ascii="Arial" w:hAnsi="Arial" w:cs="Arial"/>
          <w:lang w:val="en-IN"/>
        </w:rPr>
        <w:t>, meaning the percentage change in output resulting from a 1% change in the respective input, holding other inputs constant.</w:t>
      </w:r>
    </w:p>
    <w:p w14:paraId="7B8233EB" w14:textId="77777777" w:rsidR="00906FE4" w:rsidRPr="00906FE4" w:rsidRDefault="00906FE4" w:rsidP="00906FE4">
      <w:pPr>
        <w:pStyle w:val="Body"/>
        <w:spacing w:after="0"/>
        <w:rPr>
          <w:rFonts w:ascii="Arial" w:hAnsi="Arial" w:cs="Arial"/>
          <w:lang w:val="en-IN"/>
        </w:rPr>
      </w:pPr>
    </w:p>
    <w:p w14:paraId="6A0E9D25" w14:textId="77777777" w:rsidR="00906FE4" w:rsidRPr="00906FE4" w:rsidRDefault="00906FE4" w:rsidP="00906FE4">
      <w:pPr>
        <w:pStyle w:val="Body"/>
        <w:spacing w:after="0"/>
        <w:rPr>
          <w:rFonts w:ascii="Arial" w:hAnsi="Arial" w:cs="Arial"/>
          <w:b/>
          <w:bCs/>
          <w:lang w:val="en-IN"/>
        </w:rPr>
      </w:pPr>
      <w:r w:rsidRPr="00906FE4">
        <w:rPr>
          <w:rFonts w:ascii="Arial" w:hAnsi="Arial" w:cs="Arial"/>
          <w:b/>
          <w:bCs/>
          <w:lang w:val="en-IN"/>
        </w:rPr>
        <w:t>2.4.2 Multicollinearity Diagnosis</w:t>
      </w:r>
    </w:p>
    <w:p w14:paraId="4DAF8668" w14:textId="77777777" w:rsidR="00906FE4" w:rsidRPr="00906FE4" w:rsidRDefault="00906FE4" w:rsidP="00906FE4">
      <w:pPr>
        <w:pStyle w:val="Body"/>
        <w:spacing w:after="0"/>
        <w:rPr>
          <w:rFonts w:ascii="Arial" w:hAnsi="Arial" w:cs="Arial"/>
          <w:lang w:val="en-IN"/>
        </w:rPr>
      </w:pPr>
      <w:r w:rsidRPr="00906FE4">
        <w:rPr>
          <w:rFonts w:ascii="Arial" w:hAnsi="Arial" w:cs="Arial"/>
          <w:lang w:val="en-IN"/>
        </w:rPr>
        <w:t>In multiple regression analysis, multicollinearity refers to the presence of high correlation among explanatory variables, which can lead to unstable coefficient estimates and inflated standard errors. To ensure reliability of the Cobb–Douglas estimates, multicollinearity is tested using the Variance Inflation Factor (VIF).</w:t>
      </w:r>
    </w:p>
    <w:p w14:paraId="61C4282F" w14:textId="77777777" w:rsidR="00906FE4" w:rsidRPr="00906FE4" w:rsidRDefault="00906FE4" w:rsidP="00906FE4">
      <w:pPr>
        <w:pStyle w:val="Body"/>
        <w:spacing w:after="0"/>
        <w:rPr>
          <w:rFonts w:ascii="Arial" w:hAnsi="Arial" w:cs="Arial"/>
          <w:lang w:val="en-IN"/>
        </w:rPr>
      </w:pPr>
      <w:r w:rsidRPr="00906FE4">
        <w:rPr>
          <w:rFonts w:ascii="Arial" w:hAnsi="Arial" w:cs="Arial"/>
          <w:lang w:val="en-IN"/>
        </w:rPr>
        <w:t>The VIF measures how much the variance of an estimated coefficient is increased due to multicollinearity and is defined as:</w:t>
      </w:r>
    </w:p>
    <w:p w14:paraId="3D467C33" w14:textId="44E520F3" w:rsidR="00906FE4" w:rsidRPr="00906FE4" w:rsidRDefault="0026164B" w:rsidP="00906FE4">
      <w:pPr>
        <w:pStyle w:val="Body"/>
        <w:rPr>
          <w:rFonts w:ascii="Arial" w:hAnsi="Arial" w:cs="Arial"/>
          <w:lang w:val="en-IN"/>
        </w:rPr>
      </w:pPr>
      <m:oMathPara>
        <m:oMath>
          <m:m>
            <m:mPr>
              <m:plcHide m:val="1"/>
              <m:mcs>
                <m:mc>
                  <m:mcPr>
                    <m:count m:val="4"/>
                    <m:mcJc m:val="center"/>
                  </m:mcPr>
                </m:mc>
              </m:mcs>
              <m:ctrlPr>
                <w:rPr>
                  <w:rFonts w:ascii="Cambria Math" w:hAnsi="Cambria Math" w:cs="Arial"/>
                  <w:b/>
                  <w:bCs/>
                  <w:lang w:val="en-IN"/>
                </w:rPr>
              </m:ctrlPr>
            </m:mPr>
            <m:mr>
              <m:e/>
              <m:e>
                <m:r>
                  <m:rPr>
                    <m:sty m:val="bi"/>
                  </m:rPr>
                  <w:rPr>
                    <w:rFonts w:ascii="Cambria Math" w:hAnsi="Cambria Math" w:cs="Arial"/>
                    <w:lang w:val="en-IN"/>
                  </w:rPr>
                  <m:t>VI</m:t>
                </m:r>
                <m:sSub>
                  <m:sSubPr>
                    <m:ctrlPr>
                      <w:rPr>
                        <w:rFonts w:ascii="Cambria Math" w:hAnsi="Cambria Math" w:cs="Arial"/>
                        <w:b/>
                        <w:bCs/>
                        <w:lang w:val="en-IN"/>
                      </w:rPr>
                    </m:ctrlPr>
                  </m:sSubPr>
                  <m:e>
                    <m:r>
                      <m:rPr>
                        <m:sty m:val="bi"/>
                      </m:rPr>
                      <w:rPr>
                        <w:rFonts w:ascii="Cambria Math" w:hAnsi="Cambria Math" w:cs="Arial"/>
                        <w:lang w:val="en-IN"/>
                      </w:rPr>
                      <m:t>F</m:t>
                    </m:r>
                  </m:e>
                  <m:sub>
                    <m:r>
                      <m:rPr>
                        <m:sty m:val="bi"/>
                      </m:rPr>
                      <w:rPr>
                        <w:rFonts w:ascii="Cambria Math" w:hAnsi="Cambria Math" w:cs="Arial"/>
                        <w:lang w:val="en-IN"/>
                      </w:rPr>
                      <m:t>i</m:t>
                    </m:r>
                  </m:sub>
                </m:sSub>
                <m:r>
                  <m:rPr>
                    <m:sty m:val="bi"/>
                  </m:rPr>
                  <w:rPr>
                    <w:rFonts w:ascii="Cambria Math" w:hAnsi="Cambria Math" w:cs="Arial"/>
                    <w:lang w:val="en-IN"/>
                  </w:rPr>
                  <m:t>=</m:t>
                </m:r>
                <m:f>
                  <m:fPr>
                    <m:ctrlPr>
                      <w:rPr>
                        <w:rFonts w:ascii="Cambria Math" w:hAnsi="Cambria Math" w:cs="Arial"/>
                        <w:b/>
                        <w:bCs/>
                        <w:lang w:val="en-IN"/>
                      </w:rPr>
                    </m:ctrlPr>
                  </m:fPr>
                  <m:num>
                    <m:r>
                      <m:rPr>
                        <m:sty m:val="bi"/>
                      </m:rPr>
                      <w:rPr>
                        <w:rFonts w:ascii="Cambria Math" w:hAnsi="Cambria Math" w:cs="Arial"/>
                        <w:lang w:val="en-IN"/>
                      </w:rPr>
                      <m:t>1</m:t>
                    </m:r>
                  </m:num>
                  <m:den>
                    <m:r>
                      <m:rPr>
                        <m:sty m:val="bi"/>
                      </m:rPr>
                      <w:rPr>
                        <w:rFonts w:ascii="Cambria Math" w:hAnsi="Cambria Math" w:cs="Arial"/>
                        <w:lang w:val="en-IN"/>
                      </w:rPr>
                      <m:t>1-</m:t>
                    </m:r>
                    <m:sSubSup>
                      <m:sSubSupPr>
                        <m:ctrlPr>
                          <w:rPr>
                            <w:rFonts w:ascii="Cambria Math" w:hAnsi="Cambria Math" w:cs="Arial"/>
                            <w:b/>
                            <w:bCs/>
                            <w:lang w:val="en-IN"/>
                          </w:rPr>
                        </m:ctrlPr>
                      </m:sSubSupPr>
                      <m:e>
                        <m:r>
                          <m:rPr>
                            <m:sty m:val="bi"/>
                          </m:rPr>
                          <w:rPr>
                            <w:rFonts w:ascii="Cambria Math" w:hAnsi="Cambria Math" w:cs="Arial"/>
                            <w:lang w:val="en-IN"/>
                          </w:rPr>
                          <m:t>R</m:t>
                        </m:r>
                      </m:e>
                      <m:sub>
                        <m:r>
                          <m:rPr>
                            <m:sty m:val="bi"/>
                          </m:rPr>
                          <w:rPr>
                            <w:rFonts w:ascii="Cambria Math" w:hAnsi="Cambria Math" w:cs="Arial"/>
                            <w:lang w:val="en-IN"/>
                          </w:rPr>
                          <m:t>i</m:t>
                        </m:r>
                      </m:sub>
                      <m:sup>
                        <m:r>
                          <m:rPr>
                            <m:sty m:val="bi"/>
                          </m:rPr>
                          <w:rPr>
                            <w:rFonts w:ascii="Cambria Math" w:hAnsi="Cambria Math" w:cs="Arial"/>
                            <w:lang w:val="en-IN"/>
                          </w:rPr>
                          <m:t>2</m:t>
                        </m:r>
                      </m:sup>
                    </m:sSubSup>
                  </m:den>
                </m:f>
              </m:e>
              <m:e/>
              <m:e>
                <m:r>
                  <m:rPr>
                    <m:nor/>
                  </m:rPr>
                  <w:rPr>
                    <w:rFonts w:ascii="Arial" w:hAnsi="Arial" w:cs="Arial"/>
                    <w:b/>
                    <w:bCs/>
                    <w:lang w:val="en-IN"/>
                  </w:rPr>
                  <m:t>(3)</m:t>
                </m:r>
              </m:e>
            </m:mr>
          </m:m>
          <m:r>
            <m:rPr>
              <m:sty m:val="p"/>
            </m:rPr>
            <w:rPr>
              <w:rFonts w:ascii="Arial" w:hAnsi="Arial" w:cs="Arial"/>
              <w:lang w:val="en-IN"/>
            </w:rPr>
            <w:br/>
          </m:r>
        </m:oMath>
      </m:oMathPara>
    </w:p>
    <w:p w14:paraId="253B344C" w14:textId="39C8DD49" w:rsidR="00906FE4" w:rsidRPr="00906FE4" w:rsidRDefault="00906FE4" w:rsidP="002908D3">
      <w:pPr>
        <w:pStyle w:val="Body"/>
        <w:spacing w:after="0"/>
        <w:rPr>
          <w:rFonts w:ascii="Arial" w:hAnsi="Arial" w:cs="Arial"/>
          <w:lang w:val="en-IN"/>
        </w:rPr>
      </w:pPr>
      <w:r w:rsidRPr="00906FE4">
        <w:rPr>
          <w:rFonts w:ascii="Arial" w:hAnsi="Arial" w:cs="Arial"/>
          <w:lang w:val="en-IN"/>
        </w:rPr>
        <w:t xml:space="preserve">where </w:t>
      </w:r>
      <m:oMath>
        <m:sSubSup>
          <m:sSubSupPr>
            <m:ctrlPr>
              <w:rPr>
                <w:rFonts w:ascii="Cambria Math" w:hAnsi="Cambria Math" w:cs="Arial"/>
                <w:lang w:val="en-IN"/>
              </w:rPr>
            </m:ctrlPr>
          </m:sSubSupPr>
          <m:e>
            <m:r>
              <w:rPr>
                <w:rFonts w:ascii="Cambria Math" w:hAnsi="Cambria Math" w:cs="Arial"/>
                <w:lang w:val="en-IN"/>
              </w:rPr>
              <m:t>R</m:t>
            </m:r>
          </m:e>
          <m:sub>
            <m:r>
              <w:rPr>
                <w:rFonts w:ascii="Cambria Math" w:hAnsi="Cambria Math" w:cs="Arial"/>
                <w:lang w:val="en-IN"/>
              </w:rPr>
              <m:t>i</m:t>
            </m:r>
          </m:sub>
          <m:sup>
            <m:r>
              <w:rPr>
                <w:rFonts w:ascii="Cambria Math" w:hAnsi="Cambria Math" w:cs="Arial"/>
                <w:lang w:val="en-IN"/>
              </w:rPr>
              <m:t>2</m:t>
            </m:r>
          </m:sup>
        </m:sSubSup>
      </m:oMath>
      <w:r w:rsidRPr="00906FE4">
        <w:rPr>
          <w:rFonts w:ascii="Arial" w:hAnsi="Arial" w:cs="Arial"/>
          <w:lang w:val="en-IN"/>
        </w:rPr>
        <w:t xml:space="preserve">is obtained by regressing the </w:t>
      </w:r>
      <m:oMath>
        <m:sSup>
          <m:sSupPr>
            <m:ctrlPr>
              <w:rPr>
                <w:rFonts w:ascii="Cambria Math" w:hAnsi="Cambria Math" w:cs="Arial"/>
                <w:lang w:val="en-IN"/>
              </w:rPr>
            </m:ctrlPr>
          </m:sSupPr>
          <m:e>
            <m:r>
              <w:rPr>
                <w:rFonts w:ascii="Cambria Math" w:hAnsi="Cambria Math" w:cs="Arial"/>
                <w:lang w:val="en-IN"/>
              </w:rPr>
              <m:t>i</m:t>
            </m:r>
          </m:e>
          <m:sup>
            <m:r>
              <w:rPr>
                <w:rFonts w:ascii="Cambria Math" w:hAnsi="Cambria Math" w:cs="Arial"/>
                <w:lang w:val="en-IN"/>
              </w:rPr>
              <m:t>th</m:t>
            </m:r>
          </m:sup>
        </m:sSup>
      </m:oMath>
      <w:r w:rsidRPr="00906FE4">
        <w:rPr>
          <w:rFonts w:ascii="Arial" w:hAnsi="Arial" w:cs="Arial"/>
          <w:lang w:val="en-IN"/>
        </w:rPr>
        <w:t>explanatory variable on all other explanatory variables in the model. A VIF value below 10 indicates that multicollinearity is not a serious concern, ensuring reliable coefficient estimation.</w:t>
      </w:r>
    </w:p>
    <w:p w14:paraId="6B521588" w14:textId="77777777" w:rsidR="00906FE4" w:rsidRPr="00906FE4" w:rsidRDefault="00906FE4" w:rsidP="00906FE4">
      <w:pPr>
        <w:pStyle w:val="Body"/>
        <w:spacing w:after="0"/>
        <w:rPr>
          <w:rFonts w:ascii="Arial" w:hAnsi="Arial" w:cs="Arial"/>
          <w:b/>
          <w:bCs/>
          <w:lang w:val="en-IN"/>
        </w:rPr>
      </w:pPr>
      <w:r w:rsidRPr="00906FE4">
        <w:rPr>
          <w:rFonts w:ascii="Arial" w:hAnsi="Arial" w:cs="Arial"/>
          <w:b/>
          <w:bCs/>
          <w:lang w:val="en-IN"/>
        </w:rPr>
        <w:t>2.4.3 Statistical Evaluation of the Model</w:t>
      </w:r>
    </w:p>
    <w:p w14:paraId="7213F2A0" w14:textId="6EBA2BDE" w:rsidR="00906FE4" w:rsidRDefault="00906FE4" w:rsidP="00906FE4">
      <w:pPr>
        <w:pStyle w:val="Body"/>
        <w:spacing w:after="0"/>
        <w:rPr>
          <w:rFonts w:ascii="Arial" w:hAnsi="Arial" w:cs="Arial"/>
          <w:lang w:val="en-IN"/>
        </w:rPr>
      </w:pPr>
      <w:r w:rsidRPr="00906FE4">
        <w:rPr>
          <w:rFonts w:ascii="Arial" w:hAnsi="Arial" w:cs="Arial"/>
          <w:lang w:val="en-IN"/>
        </w:rPr>
        <w:t>After estimating the production function, both individual and overall significance of the model are tested to ensure statistical validity.</w:t>
      </w:r>
    </w:p>
    <w:p w14:paraId="4CF3F6EA" w14:textId="77777777" w:rsidR="00906FE4" w:rsidRPr="00906FE4" w:rsidRDefault="00906FE4" w:rsidP="00906FE4">
      <w:pPr>
        <w:pStyle w:val="Body"/>
        <w:spacing w:after="0"/>
        <w:rPr>
          <w:rFonts w:ascii="Arial" w:hAnsi="Arial" w:cs="Arial"/>
          <w:lang w:val="en-IN"/>
        </w:rPr>
      </w:pPr>
    </w:p>
    <w:p w14:paraId="024FCA7B" w14:textId="77777777" w:rsidR="00906FE4" w:rsidRPr="00906FE4" w:rsidRDefault="00906FE4" w:rsidP="00906FE4">
      <w:pPr>
        <w:pStyle w:val="Body"/>
        <w:spacing w:after="0"/>
        <w:rPr>
          <w:rFonts w:ascii="Arial" w:hAnsi="Arial" w:cs="Arial"/>
          <w:b/>
          <w:bCs/>
          <w:lang w:val="en-IN"/>
        </w:rPr>
      </w:pPr>
      <w:r w:rsidRPr="00906FE4">
        <w:rPr>
          <w:rFonts w:ascii="Arial" w:hAnsi="Arial" w:cs="Arial"/>
          <w:b/>
          <w:bCs/>
          <w:lang w:val="en-IN"/>
        </w:rPr>
        <w:t>(a) t-test (Individual significance)</w:t>
      </w:r>
    </w:p>
    <w:p w14:paraId="4A1788F4" w14:textId="77777777" w:rsidR="00906FE4" w:rsidRPr="00906FE4" w:rsidRDefault="00906FE4" w:rsidP="00906FE4">
      <w:pPr>
        <w:pStyle w:val="Body"/>
        <w:spacing w:after="0"/>
        <w:rPr>
          <w:rFonts w:ascii="Arial" w:hAnsi="Arial" w:cs="Arial"/>
          <w:lang w:val="en-IN"/>
        </w:rPr>
      </w:pPr>
      <w:r w:rsidRPr="00906FE4">
        <w:rPr>
          <w:rFonts w:ascii="Arial" w:hAnsi="Arial" w:cs="Arial"/>
          <w:lang w:val="en-IN"/>
        </w:rPr>
        <w:t>The t-test is used to determine whether each input significantly influences output. It tests whether the estimated coefficient is statistically different from zero.</w:t>
      </w:r>
    </w:p>
    <w:p w14:paraId="03EDE24C" w14:textId="357B8346" w:rsidR="00906FE4" w:rsidRPr="00906FE4" w:rsidRDefault="0026164B" w:rsidP="00906FE4">
      <w:pPr>
        <w:pStyle w:val="Body"/>
        <w:rPr>
          <w:rFonts w:ascii="Arial" w:hAnsi="Arial" w:cs="Arial"/>
          <w:b/>
          <w:bCs/>
          <w:lang w:val="en-IN"/>
        </w:rPr>
      </w:pPr>
      <m:oMathPara>
        <m:oMath>
          <m:m>
            <m:mPr>
              <m:plcHide m:val="1"/>
              <m:mcs>
                <m:mc>
                  <m:mcPr>
                    <m:count m:val="4"/>
                    <m:mcJc m:val="center"/>
                  </m:mcPr>
                </m:mc>
              </m:mcs>
              <m:ctrlPr>
                <w:rPr>
                  <w:rFonts w:ascii="Cambria Math" w:hAnsi="Cambria Math" w:cs="Arial"/>
                  <w:b/>
                  <w:bCs/>
                  <w:lang w:val="en-IN"/>
                </w:rPr>
              </m:ctrlPr>
            </m:mPr>
            <m:mr>
              <m:e/>
              <m:e>
                <m:r>
                  <m:rPr>
                    <m:sty m:val="bi"/>
                  </m:rPr>
                  <w:rPr>
                    <w:rFonts w:ascii="Cambria Math" w:hAnsi="Cambria Math" w:cs="Arial"/>
                    <w:lang w:val="en-IN"/>
                  </w:rPr>
                  <m:t>t=</m:t>
                </m:r>
                <m:f>
                  <m:fPr>
                    <m:ctrlPr>
                      <w:rPr>
                        <w:rFonts w:ascii="Cambria Math" w:hAnsi="Cambria Math" w:cs="Arial"/>
                        <w:b/>
                        <w:bCs/>
                        <w:lang w:val="en-IN"/>
                      </w:rPr>
                    </m:ctrlPr>
                  </m:fPr>
                  <m:num>
                    <m:sSub>
                      <m:sSubPr>
                        <m:ctrlPr>
                          <w:rPr>
                            <w:rFonts w:ascii="Cambria Math" w:hAnsi="Cambria Math" w:cs="Arial"/>
                            <w:b/>
                            <w:bCs/>
                            <w:lang w:val="en-IN"/>
                          </w:rPr>
                        </m:ctrlPr>
                      </m:sSubPr>
                      <m:e>
                        <m:r>
                          <m:rPr>
                            <m:sty m:val="bi"/>
                          </m:rPr>
                          <w:rPr>
                            <w:rFonts w:ascii="Cambria Math" w:hAnsi="Cambria Math" w:cs="Arial"/>
                            <w:lang w:val="en-IN"/>
                          </w:rPr>
                          <m:t>b</m:t>
                        </m:r>
                      </m:e>
                      <m:sub>
                        <m:r>
                          <m:rPr>
                            <m:sty m:val="bi"/>
                          </m:rPr>
                          <w:rPr>
                            <w:rFonts w:ascii="Cambria Math" w:hAnsi="Cambria Math" w:cs="Arial"/>
                            <w:lang w:val="en-IN"/>
                          </w:rPr>
                          <m:t>i</m:t>
                        </m:r>
                      </m:sub>
                    </m:sSub>
                  </m:num>
                  <m:den>
                    <m:r>
                      <m:rPr>
                        <m:sty m:val="bi"/>
                      </m:rPr>
                      <w:rPr>
                        <w:rFonts w:ascii="Cambria Math" w:hAnsi="Cambria Math" w:cs="Arial"/>
                        <w:lang w:val="en-IN"/>
                      </w:rPr>
                      <m:t>SE(</m:t>
                    </m:r>
                    <m:sSub>
                      <m:sSubPr>
                        <m:ctrlPr>
                          <w:rPr>
                            <w:rFonts w:ascii="Cambria Math" w:hAnsi="Cambria Math" w:cs="Arial"/>
                            <w:b/>
                            <w:bCs/>
                            <w:lang w:val="en-IN"/>
                          </w:rPr>
                        </m:ctrlPr>
                      </m:sSubPr>
                      <m:e>
                        <m:r>
                          <m:rPr>
                            <m:sty m:val="bi"/>
                          </m:rPr>
                          <w:rPr>
                            <w:rFonts w:ascii="Cambria Math" w:hAnsi="Cambria Math" w:cs="Arial"/>
                            <w:lang w:val="en-IN"/>
                          </w:rPr>
                          <m:t>b</m:t>
                        </m:r>
                      </m:e>
                      <m:sub>
                        <m:r>
                          <m:rPr>
                            <m:sty m:val="bi"/>
                          </m:rPr>
                          <w:rPr>
                            <w:rFonts w:ascii="Cambria Math" w:hAnsi="Cambria Math" w:cs="Arial"/>
                            <w:lang w:val="en-IN"/>
                          </w:rPr>
                          <m:t>i</m:t>
                        </m:r>
                      </m:sub>
                    </m:sSub>
                    <m:r>
                      <m:rPr>
                        <m:sty m:val="bi"/>
                      </m:rPr>
                      <w:rPr>
                        <w:rFonts w:ascii="Cambria Math" w:hAnsi="Cambria Math" w:cs="Arial"/>
                        <w:lang w:val="en-IN"/>
                      </w:rPr>
                      <m:t>)</m:t>
                    </m:r>
                  </m:den>
                </m:f>
              </m:e>
              <m:e/>
              <m:e>
                <m:r>
                  <m:rPr>
                    <m:nor/>
                  </m:rPr>
                  <w:rPr>
                    <w:rFonts w:ascii="Arial" w:hAnsi="Arial" w:cs="Arial"/>
                    <w:b/>
                    <w:bCs/>
                    <w:lang w:val="en-IN"/>
                  </w:rPr>
                  <m:t>(4)</m:t>
                </m:r>
              </m:e>
            </m:mr>
          </m:m>
          <m:r>
            <m:rPr>
              <m:sty m:val="p"/>
            </m:rPr>
            <w:rPr>
              <w:rFonts w:ascii="Arial" w:hAnsi="Arial" w:cs="Arial"/>
              <w:lang w:val="en-IN"/>
            </w:rPr>
            <w:br/>
          </m:r>
        </m:oMath>
      </m:oMathPara>
    </w:p>
    <w:p w14:paraId="580F2612" w14:textId="30BF4B17" w:rsidR="00906FE4" w:rsidRPr="00906FE4" w:rsidRDefault="00906FE4" w:rsidP="00906FE4">
      <w:pPr>
        <w:pStyle w:val="Body"/>
        <w:spacing w:after="0"/>
        <w:jc w:val="left"/>
        <w:rPr>
          <w:rFonts w:ascii="Arial" w:hAnsi="Arial" w:cs="Arial"/>
          <w:lang w:val="en-IN"/>
        </w:rPr>
      </w:pPr>
      <w:r w:rsidRPr="00906FE4">
        <w:rPr>
          <w:rFonts w:ascii="Arial" w:hAnsi="Arial" w:cs="Arial"/>
          <w:lang w:val="en-IN"/>
        </w:rPr>
        <w:t>where:</w:t>
      </w:r>
      <w:r w:rsidRPr="00906FE4">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b</m:t>
            </m:r>
          </m:e>
          <m:sub>
            <m:r>
              <w:rPr>
                <w:rFonts w:ascii="Cambria Math" w:hAnsi="Cambria Math" w:cs="Arial"/>
                <w:lang w:val="en-IN"/>
              </w:rPr>
              <m:t>i</m:t>
            </m:r>
          </m:sub>
        </m:sSub>
      </m:oMath>
      <w:r w:rsidRPr="00906FE4">
        <w:rPr>
          <w:rFonts w:ascii="Arial" w:hAnsi="Arial" w:cs="Arial"/>
          <w:lang w:val="en-IN"/>
        </w:rPr>
        <w:t xml:space="preserve">= estimated regression coefficient of input </w:t>
      </w:r>
      <m:oMath>
        <m:r>
          <w:rPr>
            <w:rFonts w:ascii="Cambria Math" w:hAnsi="Cambria Math" w:cs="Arial"/>
            <w:lang w:val="en-IN"/>
          </w:rPr>
          <m:t>i</m:t>
        </m:r>
      </m:oMath>
      <w:r w:rsidRPr="00906FE4">
        <w:rPr>
          <w:rFonts w:ascii="Arial" w:hAnsi="Arial" w:cs="Arial"/>
          <w:lang w:val="en-IN"/>
        </w:rPr>
        <w:br/>
      </w:r>
      <m:oMath>
        <m:r>
          <w:rPr>
            <w:rFonts w:ascii="Cambria Math" w:hAnsi="Cambria Math" w:cs="Arial"/>
            <w:lang w:val="en-IN"/>
          </w:rPr>
          <m:t>SE(</m:t>
        </m:r>
        <m:sSub>
          <m:sSubPr>
            <m:ctrlPr>
              <w:rPr>
                <w:rFonts w:ascii="Cambria Math" w:hAnsi="Cambria Math" w:cs="Arial"/>
                <w:lang w:val="en-IN"/>
              </w:rPr>
            </m:ctrlPr>
          </m:sSubPr>
          <m:e>
            <m:r>
              <w:rPr>
                <w:rFonts w:ascii="Cambria Math" w:hAnsi="Cambria Math" w:cs="Arial"/>
                <w:lang w:val="en-IN"/>
              </w:rPr>
              <m:t>b</m:t>
            </m:r>
          </m:e>
          <m:sub>
            <m:r>
              <w:rPr>
                <w:rFonts w:ascii="Cambria Math" w:hAnsi="Cambria Math" w:cs="Arial"/>
                <w:lang w:val="en-IN"/>
              </w:rPr>
              <m:t>i</m:t>
            </m:r>
          </m:sub>
        </m:sSub>
        <m:r>
          <w:rPr>
            <w:rFonts w:ascii="Cambria Math" w:hAnsi="Cambria Math" w:cs="Arial"/>
            <w:lang w:val="en-IN"/>
          </w:rPr>
          <m:t>)</m:t>
        </m:r>
      </m:oMath>
      <w:r w:rsidRPr="00906FE4">
        <w:rPr>
          <w:rFonts w:ascii="Arial" w:hAnsi="Arial" w:cs="Arial"/>
          <w:lang w:val="en-IN"/>
        </w:rPr>
        <w:t>= standard error of the coefficient</w:t>
      </w:r>
    </w:p>
    <w:p w14:paraId="58345DAC" w14:textId="77777777" w:rsidR="00906FE4" w:rsidRPr="00906FE4" w:rsidRDefault="00906FE4" w:rsidP="00906FE4">
      <w:pPr>
        <w:pStyle w:val="Body"/>
        <w:spacing w:after="0"/>
        <w:rPr>
          <w:rFonts w:ascii="Arial" w:hAnsi="Arial" w:cs="Arial"/>
          <w:lang w:val="en-IN"/>
        </w:rPr>
      </w:pPr>
      <w:r w:rsidRPr="00906FE4">
        <w:rPr>
          <w:rFonts w:ascii="Arial" w:hAnsi="Arial" w:cs="Arial"/>
          <w:lang w:val="en-IN"/>
        </w:rPr>
        <w:t>A statistically significant t-value indicates that the input has a meaningful effect on output.</w:t>
      </w:r>
    </w:p>
    <w:p w14:paraId="1061FD50" w14:textId="77777777" w:rsidR="00906FE4" w:rsidRDefault="00906FE4" w:rsidP="00906FE4">
      <w:pPr>
        <w:pStyle w:val="Body"/>
        <w:spacing w:after="0"/>
        <w:rPr>
          <w:rFonts w:ascii="Arial" w:hAnsi="Arial" w:cs="Arial"/>
          <w:lang w:val="en-IN"/>
        </w:rPr>
      </w:pPr>
    </w:p>
    <w:p w14:paraId="0522533A" w14:textId="493BA627" w:rsidR="00906FE4" w:rsidRPr="00906FE4" w:rsidRDefault="00906FE4" w:rsidP="00906FE4">
      <w:pPr>
        <w:pStyle w:val="Body"/>
        <w:spacing w:after="0"/>
        <w:rPr>
          <w:rFonts w:ascii="Arial" w:hAnsi="Arial" w:cs="Arial"/>
          <w:b/>
          <w:bCs/>
          <w:lang w:val="en-IN"/>
        </w:rPr>
      </w:pPr>
      <w:r w:rsidRPr="00906FE4">
        <w:rPr>
          <w:rFonts w:ascii="Arial" w:hAnsi="Arial" w:cs="Arial"/>
          <w:b/>
          <w:bCs/>
          <w:lang w:val="en-IN"/>
        </w:rPr>
        <w:t>(b) F-test (Overall model significance)</w:t>
      </w:r>
    </w:p>
    <w:p w14:paraId="10DF907F" w14:textId="77777777" w:rsidR="00906FE4" w:rsidRPr="00906FE4" w:rsidRDefault="00906FE4" w:rsidP="00906FE4">
      <w:pPr>
        <w:pStyle w:val="Body"/>
        <w:spacing w:after="0"/>
        <w:rPr>
          <w:rFonts w:ascii="Arial" w:hAnsi="Arial" w:cs="Arial"/>
          <w:lang w:val="en-IN"/>
        </w:rPr>
      </w:pPr>
      <w:r w:rsidRPr="00906FE4">
        <w:rPr>
          <w:rFonts w:ascii="Arial" w:hAnsi="Arial" w:cs="Arial"/>
          <w:lang w:val="en-IN"/>
        </w:rPr>
        <w:t>The F-test is used to evaluate whether all explanatory variables jointly have a significant effect on output. It tests the overall explanatory power of the model.</w:t>
      </w:r>
    </w:p>
    <w:p w14:paraId="6BB702FE" w14:textId="7F465BC6" w:rsidR="00906FE4" w:rsidRPr="00906FE4" w:rsidRDefault="0026164B" w:rsidP="00906FE4">
      <w:pPr>
        <w:pStyle w:val="Body"/>
        <w:rPr>
          <w:rFonts w:ascii="Arial" w:hAnsi="Arial" w:cs="Arial"/>
          <w:b/>
          <w:bCs/>
          <w:lang w:val="en-IN"/>
        </w:rPr>
      </w:pPr>
      <m:oMathPara>
        <m:oMath>
          <m:m>
            <m:mPr>
              <m:plcHide m:val="1"/>
              <m:mcs>
                <m:mc>
                  <m:mcPr>
                    <m:count m:val="4"/>
                    <m:mcJc m:val="center"/>
                  </m:mcPr>
                </m:mc>
              </m:mcs>
              <m:ctrlPr>
                <w:rPr>
                  <w:rFonts w:ascii="Cambria Math" w:hAnsi="Cambria Math" w:cs="Arial"/>
                  <w:b/>
                  <w:bCs/>
                  <w:lang w:val="en-IN"/>
                </w:rPr>
              </m:ctrlPr>
            </m:mPr>
            <m:mr>
              <m:e/>
              <m:e>
                <m:r>
                  <m:rPr>
                    <m:sty m:val="bi"/>
                  </m:rPr>
                  <w:rPr>
                    <w:rFonts w:ascii="Cambria Math" w:hAnsi="Cambria Math" w:cs="Arial"/>
                    <w:lang w:val="en-IN"/>
                  </w:rPr>
                  <m:t>F=</m:t>
                </m:r>
                <m:f>
                  <m:fPr>
                    <m:ctrlPr>
                      <w:rPr>
                        <w:rFonts w:ascii="Cambria Math" w:hAnsi="Cambria Math" w:cs="Arial"/>
                        <w:b/>
                        <w:bCs/>
                        <w:lang w:val="en-IN"/>
                      </w:rPr>
                    </m:ctrlPr>
                  </m:fPr>
                  <m:num>
                    <m:sSup>
                      <m:sSupPr>
                        <m:ctrlPr>
                          <w:rPr>
                            <w:rFonts w:ascii="Cambria Math" w:hAnsi="Cambria Math" w:cs="Arial"/>
                            <w:b/>
                            <w:bCs/>
                            <w:lang w:val="en-IN"/>
                          </w:rPr>
                        </m:ctrlPr>
                      </m:sSupPr>
                      <m:e>
                        <m:r>
                          <m:rPr>
                            <m:sty m:val="bi"/>
                          </m:rPr>
                          <w:rPr>
                            <w:rFonts w:ascii="Cambria Math" w:hAnsi="Cambria Math" w:cs="Arial"/>
                            <w:lang w:val="en-IN"/>
                          </w:rPr>
                          <m:t>R</m:t>
                        </m:r>
                      </m:e>
                      <m:sup>
                        <m:r>
                          <m:rPr>
                            <m:sty m:val="bi"/>
                          </m:rPr>
                          <w:rPr>
                            <w:rFonts w:ascii="Cambria Math" w:hAnsi="Cambria Math" w:cs="Arial"/>
                            <w:lang w:val="en-IN"/>
                          </w:rPr>
                          <m:t>2</m:t>
                        </m:r>
                      </m:sup>
                    </m:sSup>
                    <m:r>
                      <m:rPr>
                        <m:sty m:val="bi"/>
                      </m:rPr>
                      <w:rPr>
                        <w:rFonts w:ascii="Cambria Math" w:hAnsi="Cambria Math" w:cs="Arial"/>
                        <w:lang w:val="en-IN"/>
                      </w:rPr>
                      <m:t>(n-k)</m:t>
                    </m:r>
                  </m:num>
                  <m:den>
                    <m:d>
                      <m:dPr>
                        <m:ctrlPr>
                          <w:rPr>
                            <w:rFonts w:ascii="Cambria Math" w:hAnsi="Cambria Math" w:cs="Arial"/>
                            <w:b/>
                            <w:bCs/>
                            <w:lang w:val="en-IN"/>
                          </w:rPr>
                        </m:ctrlPr>
                      </m:dPr>
                      <m:e>
                        <m:r>
                          <m:rPr>
                            <m:sty m:val="bi"/>
                          </m:rPr>
                          <w:rPr>
                            <w:rFonts w:ascii="Cambria Math" w:hAnsi="Cambria Math" w:cs="Arial"/>
                            <w:lang w:val="en-IN"/>
                          </w:rPr>
                          <m:t>1-</m:t>
                        </m:r>
                        <m:sSup>
                          <m:sSupPr>
                            <m:ctrlPr>
                              <w:rPr>
                                <w:rFonts w:ascii="Cambria Math" w:hAnsi="Cambria Math" w:cs="Arial"/>
                                <w:b/>
                                <w:bCs/>
                                <w:lang w:val="en-IN"/>
                              </w:rPr>
                            </m:ctrlPr>
                          </m:sSupPr>
                          <m:e>
                            <m:r>
                              <m:rPr>
                                <m:sty m:val="bi"/>
                              </m:rPr>
                              <w:rPr>
                                <w:rFonts w:ascii="Cambria Math" w:hAnsi="Cambria Math" w:cs="Arial"/>
                                <w:lang w:val="en-IN"/>
                              </w:rPr>
                              <m:t>R</m:t>
                            </m:r>
                          </m:e>
                          <m:sup>
                            <m:r>
                              <m:rPr>
                                <m:sty m:val="bi"/>
                              </m:rPr>
                              <w:rPr>
                                <w:rFonts w:ascii="Cambria Math" w:hAnsi="Cambria Math" w:cs="Arial"/>
                                <w:lang w:val="en-IN"/>
                              </w:rPr>
                              <m:t>2</m:t>
                            </m:r>
                          </m:sup>
                        </m:sSup>
                        <m:r>
                          <m:rPr>
                            <m:sty m:val="bi"/>
                          </m:rPr>
                          <w:rPr>
                            <w:rFonts w:ascii="Cambria Math" w:hAnsi="Cambria Math" w:cs="Arial"/>
                            <w:lang w:val="en-IN"/>
                          </w:rPr>
                          <m:t>)(k-1</m:t>
                        </m:r>
                      </m:e>
                    </m:d>
                  </m:den>
                </m:f>
              </m:e>
              <m:e/>
              <m:e>
                <m:r>
                  <m:rPr>
                    <m:nor/>
                  </m:rPr>
                  <w:rPr>
                    <w:rFonts w:ascii="Arial" w:hAnsi="Arial" w:cs="Arial"/>
                    <w:b/>
                    <w:bCs/>
                    <w:lang w:val="en-IN"/>
                  </w:rPr>
                  <m:t>(5)</m:t>
                </m:r>
              </m:e>
            </m:mr>
          </m:m>
          <m:r>
            <m:rPr>
              <m:sty m:val="p"/>
            </m:rPr>
            <w:rPr>
              <w:rFonts w:ascii="Arial" w:hAnsi="Arial" w:cs="Arial"/>
              <w:lang w:val="en-IN"/>
            </w:rPr>
            <w:br/>
          </m:r>
        </m:oMath>
      </m:oMathPara>
    </w:p>
    <w:p w14:paraId="66FAC694" w14:textId="047BEA7A" w:rsidR="00906FE4" w:rsidRPr="00906FE4" w:rsidRDefault="00906FE4" w:rsidP="00906FE4">
      <w:pPr>
        <w:pStyle w:val="Body"/>
        <w:spacing w:after="0"/>
        <w:jc w:val="left"/>
        <w:rPr>
          <w:rFonts w:ascii="Arial" w:hAnsi="Arial" w:cs="Arial"/>
          <w:lang w:val="en-IN"/>
        </w:rPr>
      </w:pPr>
      <w:r w:rsidRPr="00906FE4">
        <w:rPr>
          <w:rFonts w:ascii="Arial" w:hAnsi="Arial" w:cs="Arial"/>
          <w:lang w:val="en-IN"/>
        </w:rPr>
        <w:t>where:</w:t>
      </w:r>
      <w:r w:rsidRPr="00906FE4">
        <w:rPr>
          <w:rFonts w:ascii="Arial" w:hAnsi="Arial" w:cs="Arial"/>
          <w:lang w:val="en-IN"/>
        </w:rPr>
        <w:br/>
      </w:r>
      <m:oMath>
        <m:sSup>
          <m:sSupPr>
            <m:ctrlPr>
              <w:rPr>
                <w:rFonts w:ascii="Cambria Math" w:hAnsi="Cambria Math" w:cs="Arial"/>
                <w:lang w:val="en-IN"/>
              </w:rPr>
            </m:ctrlPr>
          </m:sSupPr>
          <m:e>
            <m:r>
              <w:rPr>
                <w:rFonts w:ascii="Cambria Math" w:hAnsi="Cambria Math" w:cs="Arial"/>
                <w:lang w:val="en-IN"/>
              </w:rPr>
              <m:t>R</m:t>
            </m:r>
          </m:e>
          <m:sup>
            <m:r>
              <w:rPr>
                <w:rFonts w:ascii="Cambria Math" w:hAnsi="Cambria Math" w:cs="Arial"/>
                <w:lang w:val="en-IN"/>
              </w:rPr>
              <m:t>2</m:t>
            </m:r>
          </m:sup>
        </m:sSup>
      </m:oMath>
      <w:r w:rsidRPr="00906FE4">
        <w:rPr>
          <w:rFonts w:ascii="Arial" w:hAnsi="Arial" w:cs="Arial"/>
          <w:lang w:val="en-IN"/>
        </w:rPr>
        <w:t>= coefficient of determination</w:t>
      </w:r>
      <w:r w:rsidRPr="00906FE4">
        <w:rPr>
          <w:rFonts w:ascii="Arial" w:hAnsi="Arial" w:cs="Arial"/>
          <w:lang w:val="en-IN"/>
        </w:rPr>
        <w:br/>
      </w:r>
      <m:oMath>
        <m:r>
          <w:rPr>
            <w:rFonts w:ascii="Cambria Math" w:hAnsi="Cambria Math" w:cs="Arial"/>
            <w:lang w:val="en-IN"/>
          </w:rPr>
          <m:t>n</m:t>
        </m:r>
      </m:oMath>
      <w:r w:rsidRPr="00906FE4">
        <w:rPr>
          <w:rFonts w:ascii="Arial" w:hAnsi="Arial" w:cs="Arial"/>
          <w:lang w:val="en-IN"/>
        </w:rPr>
        <w:t>= number of observations</w:t>
      </w:r>
      <w:r w:rsidRPr="00906FE4">
        <w:rPr>
          <w:rFonts w:ascii="Arial" w:hAnsi="Arial" w:cs="Arial"/>
          <w:lang w:val="en-IN"/>
        </w:rPr>
        <w:br/>
      </w:r>
      <m:oMath>
        <m:r>
          <w:rPr>
            <w:rFonts w:ascii="Cambria Math" w:hAnsi="Cambria Math" w:cs="Arial"/>
            <w:lang w:val="en-IN"/>
          </w:rPr>
          <m:t>k</m:t>
        </m:r>
      </m:oMath>
      <w:r w:rsidRPr="00906FE4">
        <w:rPr>
          <w:rFonts w:ascii="Arial" w:hAnsi="Arial" w:cs="Arial"/>
          <w:lang w:val="en-IN"/>
        </w:rPr>
        <w:t>= number of parameters in the model</w:t>
      </w:r>
    </w:p>
    <w:p w14:paraId="64F4F638" w14:textId="165F2462" w:rsidR="00906FE4" w:rsidRDefault="00906FE4" w:rsidP="00906FE4">
      <w:pPr>
        <w:pStyle w:val="Body"/>
        <w:spacing w:after="0"/>
        <w:rPr>
          <w:rFonts w:ascii="Arial" w:hAnsi="Arial" w:cs="Arial"/>
          <w:lang w:val="en-IN"/>
        </w:rPr>
      </w:pPr>
      <w:r w:rsidRPr="00906FE4">
        <w:rPr>
          <w:rFonts w:ascii="Arial" w:hAnsi="Arial" w:cs="Arial"/>
          <w:lang w:val="en-IN"/>
        </w:rPr>
        <w:t>A significant F-value indicates that the model as a whole is statistically valid.</w:t>
      </w:r>
    </w:p>
    <w:p w14:paraId="30F8D50C" w14:textId="77777777" w:rsidR="00906FE4" w:rsidRPr="00906FE4" w:rsidRDefault="00906FE4" w:rsidP="00906FE4">
      <w:pPr>
        <w:pStyle w:val="Body"/>
        <w:spacing w:after="0"/>
        <w:rPr>
          <w:rFonts w:ascii="Arial" w:hAnsi="Arial" w:cs="Arial"/>
          <w:lang w:val="en-IN"/>
        </w:rPr>
      </w:pPr>
    </w:p>
    <w:p w14:paraId="24969F55" w14:textId="77777777" w:rsidR="00906FE4" w:rsidRPr="00906FE4" w:rsidRDefault="00906FE4" w:rsidP="00906FE4">
      <w:pPr>
        <w:pStyle w:val="Body"/>
        <w:spacing w:after="0"/>
        <w:rPr>
          <w:rFonts w:ascii="Arial" w:hAnsi="Arial" w:cs="Arial"/>
          <w:b/>
          <w:bCs/>
          <w:lang w:val="en-IN"/>
        </w:rPr>
      </w:pPr>
      <w:r w:rsidRPr="00906FE4">
        <w:rPr>
          <w:rFonts w:ascii="Arial" w:hAnsi="Arial" w:cs="Arial"/>
          <w:b/>
          <w:bCs/>
          <w:lang w:val="en-IN"/>
        </w:rPr>
        <w:t>(c) Coefficient of determination</w:t>
      </w:r>
    </w:p>
    <w:p w14:paraId="416B4351" w14:textId="77777777" w:rsidR="00906FE4" w:rsidRPr="00906FE4" w:rsidRDefault="00906FE4" w:rsidP="00906FE4">
      <w:pPr>
        <w:pStyle w:val="Body"/>
        <w:spacing w:after="0"/>
        <w:rPr>
          <w:rFonts w:ascii="Arial" w:hAnsi="Arial" w:cs="Arial"/>
          <w:lang w:val="en-IN"/>
        </w:rPr>
      </w:pPr>
      <w:r w:rsidRPr="00906FE4">
        <w:rPr>
          <w:rFonts w:ascii="Arial" w:hAnsi="Arial" w:cs="Arial"/>
          <w:lang w:val="en-IN"/>
        </w:rPr>
        <w:t>The goodness of fit of the model is measured using:</w:t>
      </w:r>
    </w:p>
    <w:p w14:paraId="4B02402F" w14:textId="2A79BE66" w:rsidR="00906FE4" w:rsidRPr="00906FE4" w:rsidRDefault="0026164B" w:rsidP="00906FE4">
      <w:pPr>
        <w:pStyle w:val="Body"/>
        <w:rPr>
          <w:rFonts w:ascii="Arial" w:hAnsi="Arial" w:cs="Arial"/>
          <w:b/>
          <w:bCs/>
          <w:lang w:val="en-IN"/>
        </w:rPr>
      </w:pPr>
      <m:oMathPara>
        <m:oMath>
          <m:m>
            <m:mPr>
              <m:plcHide m:val="1"/>
              <m:mcs>
                <m:mc>
                  <m:mcPr>
                    <m:count m:val="4"/>
                    <m:mcJc m:val="center"/>
                  </m:mcPr>
                </m:mc>
              </m:mcs>
              <m:ctrlPr>
                <w:rPr>
                  <w:rFonts w:ascii="Cambria Math" w:hAnsi="Cambria Math" w:cs="Arial"/>
                  <w:b/>
                  <w:bCs/>
                  <w:lang w:val="en-IN"/>
                </w:rPr>
              </m:ctrlPr>
            </m:mPr>
            <m:mr>
              <m:e/>
              <m:e>
                <m:sSup>
                  <m:sSupPr>
                    <m:ctrlPr>
                      <w:rPr>
                        <w:rFonts w:ascii="Cambria Math" w:hAnsi="Cambria Math" w:cs="Arial"/>
                        <w:b/>
                        <w:bCs/>
                        <w:lang w:val="en-IN"/>
                      </w:rPr>
                    </m:ctrlPr>
                  </m:sSupPr>
                  <m:e>
                    <m:r>
                      <m:rPr>
                        <m:sty m:val="bi"/>
                      </m:rPr>
                      <w:rPr>
                        <w:rFonts w:ascii="Cambria Math" w:hAnsi="Cambria Math" w:cs="Arial"/>
                        <w:lang w:val="en-IN"/>
                      </w:rPr>
                      <m:t>R</m:t>
                    </m:r>
                  </m:e>
                  <m:sup>
                    <m:r>
                      <m:rPr>
                        <m:sty m:val="bi"/>
                      </m:rPr>
                      <w:rPr>
                        <w:rFonts w:ascii="Cambria Math" w:hAnsi="Cambria Math" w:cs="Arial"/>
                        <w:lang w:val="en-IN"/>
                      </w:rPr>
                      <m:t>2</m:t>
                    </m:r>
                  </m:sup>
                </m:sSup>
                <m:r>
                  <m:rPr>
                    <m:sty m:val="bi"/>
                  </m:rPr>
                  <w:rPr>
                    <w:rFonts w:ascii="Cambria Math" w:hAnsi="Cambria Math" w:cs="Arial"/>
                    <w:lang w:val="en-IN"/>
                  </w:rPr>
                  <m:t>=</m:t>
                </m:r>
                <m:f>
                  <m:fPr>
                    <m:ctrlPr>
                      <w:rPr>
                        <w:rFonts w:ascii="Cambria Math" w:hAnsi="Cambria Math" w:cs="Arial"/>
                        <w:b/>
                        <w:bCs/>
                        <w:lang w:val="en-IN"/>
                      </w:rPr>
                    </m:ctrlPr>
                  </m:fPr>
                  <m:num>
                    <m:r>
                      <m:rPr>
                        <m:sty m:val="bi"/>
                      </m:rPr>
                      <w:rPr>
                        <w:rFonts w:ascii="Cambria Math" w:hAnsi="Cambria Math" w:cs="Arial"/>
                        <w:lang w:val="en-IN"/>
                      </w:rPr>
                      <m:t>RSS</m:t>
                    </m:r>
                  </m:num>
                  <m:den>
                    <m:r>
                      <m:rPr>
                        <m:sty m:val="bi"/>
                      </m:rPr>
                      <w:rPr>
                        <w:rFonts w:ascii="Cambria Math" w:hAnsi="Cambria Math" w:cs="Arial"/>
                        <w:lang w:val="en-IN"/>
                      </w:rPr>
                      <m:t>TSS</m:t>
                    </m:r>
                  </m:den>
                </m:f>
              </m:e>
              <m:e/>
              <m:e>
                <m:r>
                  <m:rPr>
                    <m:nor/>
                  </m:rPr>
                  <w:rPr>
                    <w:rFonts w:ascii="Arial" w:hAnsi="Arial" w:cs="Arial"/>
                    <w:b/>
                    <w:bCs/>
                    <w:lang w:val="en-IN"/>
                  </w:rPr>
                  <m:t>(6)</m:t>
                </m:r>
              </m:e>
            </m:mr>
          </m:m>
          <m:r>
            <m:rPr>
              <m:sty m:val="p"/>
            </m:rPr>
            <w:rPr>
              <w:rFonts w:ascii="Arial" w:hAnsi="Arial" w:cs="Arial"/>
              <w:lang w:val="en-IN"/>
            </w:rPr>
            <w:br/>
          </m:r>
        </m:oMath>
      </m:oMathPara>
    </w:p>
    <w:p w14:paraId="30652909" w14:textId="77777777" w:rsidR="00906FE4" w:rsidRPr="00906FE4" w:rsidRDefault="00906FE4" w:rsidP="00906FE4">
      <w:pPr>
        <w:pStyle w:val="Body"/>
        <w:spacing w:after="0"/>
        <w:rPr>
          <w:rFonts w:ascii="Arial" w:hAnsi="Arial" w:cs="Arial"/>
          <w:lang w:val="en-IN"/>
        </w:rPr>
      </w:pPr>
      <w:r w:rsidRPr="00906FE4">
        <w:rPr>
          <w:rFonts w:ascii="Arial" w:hAnsi="Arial" w:cs="Arial"/>
          <w:lang w:val="en-IN"/>
        </w:rPr>
        <w:t>where RSS is regression sum of squares and TSS is total sum of squares.</w:t>
      </w:r>
    </w:p>
    <w:p w14:paraId="33E40F91" w14:textId="05E81D46" w:rsidR="00906FE4" w:rsidRPr="00906FE4" w:rsidRDefault="00906FE4" w:rsidP="00906FE4">
      <w:pPr>
        <w:pStyle w:val="Body"/>
        <w:spacing w:after="0"/>
        <w:rPr>
          <w:rFonts w:ascii="Arial" w:hAnsi="Arial" w:cs="Arial"/>
          <w:lang w:val="en-IN"/>
        </w:rPr>
      </w:pPr>
      <w:r w:rsidRPr="00906FE4">
        <w:rPr>
          <w:rFonts w:ascii="Arial" w:hAnsi="Arial" w:cs="Arial"/>
          <w:lang w:val="en-IN"/>
        </w:rPr>
        <w:t xml:space="preserve">Adjusted </w:t>
      </w:r>
      <m:oMath>
        <m:sSup>
          <m:sSupPr>
            <m:ctrlPr>
              <w:rPr>
                <w:rFonts w:ascii="Cambria Math" w:hAnsi="Cambria Math" w:cs="Arial"/>
                <w:lang w:val="en-IN"/>
              </w:rPr>
            </m:ctrlPr>
          </m:sSupPr>
          <m:e>
            <m:r>
              <w:rPr>
                <w:rFonts w:ascii="Cambria Math" w:hAnsi="Cambria Math" w:cs="Arial"/>
                <w:lang w:val="en-IN"/>
              </w:rPr>
              <m:t>R</m:t>
            </m:r>
          </m:e>
          <m:sup>
            <m:r>
              <w:rPr>
                <w:rFonts w:ascii="Cambria Math" w:hAnsi="Cambria Math" w:cs="Arial"/>
                <w:lang w:val="en-IN"/>
              </w:rPr>
              <m:t>2</m:t>
            </m:r>
          </m:sup>
        </m:sSup>
      </m:oMath>
      <w:r w:rsidRPr="00906FE4">
        <w:rPr>
          <w:rFonts w:ascii="Arial" w:hAnsi="Arial" w:cs="Arial"/>
          <w:lang w:val="en-IN"/>
        </w:rPr>
        <w:t>, which accounts for the number of explanatory variables, is given by:</w:t>
      </w:r>
    </w:p>
    <w:p w14:paraId="6740FF52" w14:textId="514E453D" w:rsidR="00906FE4" w:rsidRPr="00906FE4" w:rsidRDefault="0026164B" w:rsidP="00906FE4">
      <w:pPr>
        <w:pStyle w:val="Body"/>
        <w:rPr>
          <w:rFonts w:ascii="Arial" w:hAnsi="Arial" w:cs="Arial"/>
          <w:b/>
          <w:bCs/>
          <w:lang w:val="en-IN"/>
        </w:rPr>
      </w:pPr>
      <m:oMathPara>
        <m:oMath>
          <m:m>
            <m:mPr>
              <m:plcHide m:val="1"/>
              <m:mcs>
                <m:mc>
                  <m:mcPr>
                    <m:count m:val="4"/>
                    <m:mcJc m:val="center"/>
                  </m:mcPr>
                </m:mc>
              </m:mcs>
              <m:ctrlPr>
                <w:rPr>
                  <w:rFonts w:ascii="Cambria Math" w:hAnsi="Cambria Math" w:cs="Arial"/>
                  <w:b/>
                  <w:bCs/>
                  <w:lang w:val="en-IN"/>
                </w:rPr>
              </m:ctrlPr>
            </m:mPr>
            <m:mr>
              <m:e/>
              <m:e>
                <m:sSup>
                  <m:sSupPr>
                    <m:ctrlPr>
                      <w:rPr>
                        <w:rFonts w:ascii="Cambria Math" w:hAnsi="Cambria Math" w:cs="Arial"/>
                        <w:b/>
                        <w:bCs/>
                        <w:lang w:val="en-IN"/>
                      </w:rPr>
                    </m:ctrlPr>
                  </m:sSupPr>
                  <m:e>
                    <m:acc>
                      <m:accPr>
                        <m:chr m:val="ˉ"/>
                        <m:ctrlPr>
                          <w:rPr>
                            <w:rFonts w:ascii="Cambria Math" w:hAnsi="Cambria Math" w:cs="Arial"/>
                            <w:b/>
                            <w:bCs/>
                            <w:lang w:val="en-IN"/>
                          </w:rPr>
                        </m:ctrlPr>
                      </m:accPr>
                      <m:e>
                        <m:r>
                          <m:rPr>
                            <m:sty m:val="bi"/>
                          </m:rPr>
                          <w:rPr>
                            <w:rFonts w:ascii="Cambria Math" w:hAnsi="Cambria Math" w:cs="Arial"/>
                            <w:lang w:val="en-IN"/>
                          </w:rPr>
                          <m:t>R</m:t>
                        </m:r>
                      </m:e>
                    </m:acc>
                  </m:e>
                  <m:sup>
                    <m:r>
                      <m:rPr>
                        <m:sty m:val="bi"/>
                      </m:rPr>
                      <w:rPr>
                        <w:rFonts w:ascii="Cambria Math" w:hAnsi="Cambria Math" w:cs="Arial"/>
                        <w:lang w:val="en-IN"/>
                      </w:rPr>
                      <m:t>2</m:t>
                    </m:r>
                  </m:sup>
                </m:sSup>
                <m:r>
                  <m:rPr>
                    <m:sty m:val="bi"/>
                  </m:rPr>
                  <w:rPr>
                    <w:rFonts w:ascii="Cambria Math" w:hAnsi="Cambria Math" w:cs="Arial"/>
                    <w:lang w:val="en-IN"/>
                  </w:rPr>
                  <m:t>=1-(1-</m:t>
                </m:r>
                <m:sSup>
                  <m:sSupPr>
                    <m:ctrlPr>
                      <w:rPr>
                        <w:rFonts w:ascii="Cambria Math" w:hAnsi="Cambria Math" w:cs="Arial"/>
                        <w:b/>
                        <w:bCs/>
                        <w:lang w:val="en-IN"/>
                      </w:rPr>
                    </m:ctrlPr>
                  </m:sSupPr>
                  <m:e>
                    <m:r>
                      <m:rPr>
                        <m:sty m:val="bi"/>
                      </m:rPr>
                      <w:rPr>
                        <w:rFonts w:ascii="Cambria Math" w:hAnsi="Cambria Math" w:cs="Arial"/>
                        <w:lang w:val="en-IN"/>
                      </w:rPr>
                      <m:t>R</m:t>
                    </m:r>
                  </m:e>
                  <m:sup>
                    <m:r>
                      <m:rPr>
                        <m:sty m:val="bi"/>
                      </m:rPr>
                      <w:rPr>
                        <w:rFonts w:ascii="Cambria Math" w:hAnsi="Cambria Math" w:cs="Arial"/>
                        <w:lang w:val="en-IN"/>
                      </w:rPr>
                      <m:t>2</m:t>
                    </m:r>
                  </m:sup>
                </m:sSup>
                <m:r>
                  <m:rPr>
                    <m:sty m:val="bi"/>
                  </m:rPr>
                  <w:rPr>
                    <w:rFonts w:ascii="Cambria Math" w:hAnsi="Cambria Math" w:cs="Arial"/>
                    <w:lang w:val="en-IN"/>
                  </w:rPr>
                  <m:t>)</m:t>
                </m:r>
                <m:f>
                  <m:fPr>
                    <m:ctrlPr>
                      <w:rPr>
                        <w:rFonts w:ascii="Cambria Math" w:hAnsi="Cambria Math" w:cs="Arial"/>
                        <w:b/>
                        <w:bCs/>
                        <w:lang w:val="en-IN"/>
                      </w:rPr>
                    </m:ctrlPr>
                  </m:fPr>
                  <m:num>
                    <m:d>
                      <m:dPr>
                        <m:sepChr m:val="−"/>
                        <m:ctrlPr>
                          <w:rPr>
                            <w:rFonts w:ascii="Cambria Math" w:hAnsi="Cambria Math" w:cs="Arial"/>
                            <w:b/>
                            <w:bCs/>
                            <w:lang w:val="en-IN"/>
                          </w:rPr>
                        </m:ctrlPr>
                      </m:dPr>
                      <m:e>
                        <m:r>
                          <m:rPr>
                            <m:sty m:val="bi"/>
                          </m:rPr>
                          <w:rPr>
                            <w:rFonts w:ascii="Cambria Math" w:hAnsi="Cambria Math" w:cs="Arial"/>
                            <w:lang w:val="en-IN"/>
                          </w:rPr>
                          <m:t>n</m:t>
                        </m:r>
                      </m:e>
                      <m:e>
                        <m:r>
                          <m:rPr>
                            <m:sty m:val="bi"/>
                          </m:rPr>
                          <w:rPr>
                            <w:rFonts w:ascii="Cambria Math" w:hAnsi="Cambria Math" w:cs="Arial"/>
                            <w:lang w:val="en-IN"/>
                          </w:rPr>
                          <m:t>1</m:t>
                        </m:r>
                      </m:e>
                    </m:d>
                  </m:num>
                  <m:den>
                    <m:d>
                      <m:dPr>
                        <m:sepChr m:val="−"/>
                        <m:ctrlPr>
                          <w:rPr>
                            <w:rFonts w:ascii="Cambria Math" w:hAnsi="Cambria Math" w:cs="Arial"/>
                            <w:b/>
                            <w:bCs/>
                            <w:lang w:val="en-IN"/>
                          </w:rPr>
                        </m:ctrlPr>
                      </m:dPr>
                      <m:e>
                        <m:r>
                          <m:rPr>
                            <m:sty m:val="bi"/>
                          </m:rPr>
                          <w:rPr>
                            <w:rFonts w:ascii="Cambria Math" w:hAnsi="Cambria Math" w:cs="Arial"/>
                            <w:lang w:val="en-IN"/>
                          </w:rPr>
                          <m:t>n</m:t>
                        </m:r>
                      </m:e>
                      <m:e>
                        <m:r>
                          <m:rPr>
                            <m:sty m:val="bi"/>
                          </m:rPr>
                          <w:rPr>
                            <w:rFonts w:ascii="Cambria Math" w:hAnsi="Cambria Math" w:cs="Arial"/>
                            <w:lang w:val="en-IN"/>
                          </w:rPr>
                          <m:t>k</m:t>
                        </m:r>
                      </m:e>
                    </m:d>
                  </m:den>
                </m:f>
              </m:e>
              <m:e/>
              <m:e>
                <m:r>
                  <m:rPr>
                    <m:nor/>
                  </m:rPr>
                  <w:rPr>
                    <w:rFonts w:ascii="Arial" w:hAnsi="Arial" w:cs="Arial"/>
                    <w:b/>
                    <w:bCs/>
                    <w:lang w:val="en-IN"/>
                  </w:rPr>
                  <m:t>(7)</m:t>
                </m:r>
              </m:e>
            </m:mr>
          </m:m>
        </m:oMath>
      </m:oMathPara>
    </w:p>
    <w:p w14:paraId="438FDD08" w14:textId="77777777" w:rsidR="00906FE4" w:rsidRPr="00906FE4" w:rsidRDefault="00906FE4" w:rsidP="00906FE4">
      <w:pPr>
        <w:pStyle w:val="Body"/>
        <w:spacing w:after="0"/>
        <w:rPr>
          <w:rFonts w:ascii="Arial" w:hAnsi="Arial" w:cs="Arial"/>
          <w:b/>
          <w:bCs/>
          <w:lang w:val="en-IN"/>
        </w:rPr>
      </w:pPr>
      <w:r w:rsidRPr="00906FE4">
        <w:rPr>
          <w:rFonts w:ascii="Arial" w:hAnsi="Arial" w:cs="Arial"/>
          <w:b/>
          <w:bCs/>
          <w:lang w:val="en-IN"/>
        </w:rPr>
        <w:t>2.4.4 Resource Use Efficiency</w:t>
      </w:r>
    </w:p>
    <w:p w14:paraId="011F597F" w14:textId="77777777" w:rsidR="00906FE4" w:rsidRPr="00906FE4" w:rsidRDefault="00906FE4" w:rsidP="00906FE4">
      <w:pPr>
        <w:pStyle w:val="Body"/>
        <w:spacing w:after="0"/>
        <w:rPr>
          <w:rFonts w:ascii="Arial" w:hAnsi="Arial" w:cs="Arial"/>
          <w:lang w:val="en-IN"/>
        </w:rPr>
      </w:pPr>
      <w:r w:rsidRPr="00906FE4">
        <w:rPr>
          <w:rFonts w:ascii="Arial" w:hAnsi="Arial" w:cs="Arial"/>
          <w:lang w:val="en-IN"/>
        </w:rPr>
        <w:t>Resource use efficiency analysis is used to examine whether farmers are using inputs optimally. It compares the value generated by an additional unit of input with its cost.</w:t>
      </w:r>
    </w:p>
    <w:p w14:paraId="2AB90B98" w14:textId="77777777" w:rsidR="00906FE4" w:rsidRPr="00906FE4" w:rsidRDefault="00906FE4" w:rsidP="00906FE4">
      <w:pPr>
        <w:pStyle w:val="Body"/>
        <w:spacing w:after="0"/>
        <w:rPr>
          <w:rFonts w:ascii="Arial" w:hAnsi="Arial" w:cs="Arial"/>
          <w:lang w:val="en-IN"/>
        </w:rPr>
      </w:pPr>
      <w:r w:rsidRPr="00906FE4">
        <w:rPr>
          <w:rFonts w:ascii="Arial" w:hAnsi="Arial" w:cs="Arial"/>
          <w:lang w:val="en-IN"/>
        </w:rPr>
        <w:t>Allocative efficiency is defined as:</w:t>
      </w:r>
    </w:p>
    <w:p w14:paraId="17FE9160" w14:textId="515B3594" w:rsidR="00906FE4" w:rsidRPr="00906FE4" w:rsidRDefault="0026164B" w:rsidP="00906FE4">
      <w:pPr>
        <w:pStyle w:val="Body"/>
        <w:rPr>
          <w:rFonts w:ascii="Arial" w:hAnsi="Arial" w:cs="Arial"/>
          <w:b/>
          <w:bCs/>
          <w:lang w:val="en-IN"/>
        </w:rPr>
      </w:pPr>
      <m:oMathPara>
        <m:oMath>
          <m:m>
            <m:mPr>
              <m:plcHide m:val="1"/>
              <m:mcs>
                <m:mc>
                  <m:mcPr>
                    <m:count m:val="4"/>
                    <m:mcJc m:val="center"/>
                  </m:mcPr>
                </m:mc>
              </m:mcs>
              <m:ctrlPr>
                <w:rPr>
                  <w:rFonts w:ascii="Cambria Math" w:hAnsi="Cambria Math" w:cs="Arial"/>
                  <w:b/>
                  <w:bCs/>
                  <w:lang w:val="en-IN"/>
                </w:rPr>
              </m:ctrlPr>
            </m:mPr>
            <m:mr>
              <m:e/>
              <m:e>
                <m:r>
                  <m:rPr>
                    <m:sty m:val="bi"/>
                  </m:rPr>
                  <w:rPr>
                    <w:rFonts w:ascii="Cambria Math" w:hAnsi="Cambria Math" w:cs="Arial"/>
                    <w:lang w:val="en-IN"/>
                  </w:rPr>
                  <m:t>A</m:t>
                </m:r>
                <m:sSub>
                  <m:sSubPr>
                    <m:ctrlPr>
                      <w:rPr>
                        <w:rFonts w:ascii="Cambria Math" w:hAnsi="Cambria Math" w:cs="Arial"/>
                        <w:b/>
                        <w:bCs/>
                        <w:lang w:val="en-IN"/>
                      </w:rPr>
                    </m:ctrlPr>
                  </m:sSubPr>
                  <m:e>
                    <m:r>
                      <m:rPr>
                        <m:sty m:val="bi"/>
                      </m:rPr>
                      <w:rPr>
                        <w:rFonts w:ascii="Cambria Math" w:hAnsi="Cambria Math" w:cs="Arial"/>
                        <w:lang w:val="en-IN"/>
                      </w:rPr>
                      <m:t>E</m:t>
                    </m:r>
                  </m:e>
                  <m:sub>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i</m:t>
                        </m:r>
                      </m:sub>
                    </m:sSub>
                  </m:sub>
                </m:sSub>
                <m:r>
                  <m:rPr>
                    <m:sty m:val="bi"/>
                  </m:rPr>
                  <w:rPr>
                    <w:rFonts w:ascii="Cambria Math" w:hAnsi="Cambria Math" w:cs="Arial"/>
                    <w:lang w:val="en-IN"/>
                  </w:rPr>
                  <m:t>=</m:t>
                </m:r>
                <m:f>
                  <m:fPr>
                    <m:ctrlPr>
                      <w:rPr>
                        <w:rFonts w:ascii="Cambria Math" w:hAnsi="Cambria Math" w:cs="Arial"/>
                        <w:b/>
                        <w:bCs/>
                        <w:lang w:val="en-IN"/>
                      </w:rPr>
                    </m:ctrlPr>
                  </m:fPr>
                  <m:num>
                    <m:r>
                      <m:rPr>
                        <m:sty m:val="bi"/>
                      </m:rPr>
                      <w:rPr>
                        <w:rFonts w:ascii="Cambria Math" w:hAnsi="Cambria Math" w:cs="Arial"/>
                        <w:lang w:val="en-IN"/>
                      </w:rPr>
                      <m:t>MV</m:t>
                    </m:r>
                    <m:sSub>
                      <m:sSubPr>
                        <m:ctrlPr>
                          <w:rPr>
                            <w:rFonts w:ascii="Cambria Math" w:hAnsi="Cambria Math" w:cs="Arial"/>
                            <w:b/>
                            <w:bCs/>
                            <w:lang w:val="en-IN"/>
                          </w:rPr>
                        </m:ctrlPr>
                      </m:sSubPr>
                      <m:e>
                        <m:r>
                          <m:rPr>
                            <m:sty m:val="bi"/>
                          </m:rPr>
                          <w:rPr>
                            <w:rFonts w:ascii="Cambria Math" w:hAnsi="Cambria Math" w:cs="Arial"/>
                            <w:lang w:val="en-IN"/>
                          </w:rPr>
                          <m:t>P</m:t>
                        </m:r>
                      </m:e>
                      <m:sub>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i</m:t>
                            </m:r>
                          </m:sub>
                        </m:sSub>
                      </m:sub>
                    </m:sSub>
                  </m:num>
                  <m:den>
                    <m:r>
                      <m:rPr>
                        <m:sty m:val="bi"/>
                      </m:rPr>
                      <w:rPr>
                        <w:rFonts w:ascii="Cambria Math" w:hAnsi="Cambria Math" w:cs="Arial"/>
                        <w:lang w:val="en-IN"/>
                      </w:rPr>
                      <m:t>MF</m:t>
                    </m:r>
                    <m:sSub>
                      <m:sSubPr>
                        <m:ctrlPr>
                          <w:rPr>
                            <w:rFonts w:ascii="Cambria Math" w:hAnsi="Cambria Math" w:cs="Arial"/>
                            <w:b/>
                            <w:bCs/>
                            <w:lang w:val="en-IN"/>
                          </w:rPr>
                        </m:ctrlPr>
                      </m:sSubPr>
                      <m:e>
                        <m:r>
                          <m:rPr>
                            <m:sty m:val="bi"/>
                          </m:rPr>
                          <w:rPr>
                            <w:rFonts w:ascii="Cambria Math" w:hAnsi="Cambria Math" w:cs="Arial"/>
                            <w:lang w:val="en-IN"/>
                          </w:rPr>
                          <m:t>C</m:t>
                        </m:r>
                      </m:e>
                      <m:sub>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i</m:t>
                            </m:r>
                          </m:sub>
                        </m:sSub>
                      </m:sub>
                    </m:sSub>
                  </m:den>
                </m:f>
              </m:e>
              <m:e/>
              <m:e>
                <m:r>
                  <m:rPr>
                    <m:nor/>
                  </m:rPr>
                  <w:rPr>
                    <w:rFonts w:ascii="Arial" w:hAnsi="Arial" w:cs="Arial"/>
                    <w:b/>
                    <w:bCs/>
                    <w:lang w:val="en-IN"/>
                  </w:rPr>
                  <m:t>(8)</m:t>
                </m:r>
              </m:e>
            </m:mr>
          </m:m>
          <m:r>
            <m:rPr>
              <m:sty m:val="p"/>
            </m:rPr>
            <w:rPr>
              <w:rFonts w:ascii="Arial" w:hAnsi="Arial" w:cs="Arial"/>
              <w:lang w:val="en-IN"/>
            </w:rPr>
            <w:br/>
          </m:r>
        </m:oMath>
      </m:oMathPara>
    </w:p>
    <w:p w14:paraId="1C1BD5F9" w14:textId="4002FA71" w:rsidR="00906FE4" w:rsidRPr="00906FE4" w:rsidRDefault="00906FE4" w:rsidP="00906FE4">
      <w:pPr>
        <w:pStyle w:val="Body"/>
        <w:spacing w:after="0"/>
        <w:jc w:val="left"/>
        <w:rPr>
          <w:rFonts w:ascii="Arial" w:hAnsi="Arial" w:cs="Arial"/>
          <w:lang w:val="en-IN"/>
        </w:rPr>
      </w:pPr>
      <w:r w:rsidRPr="00906FE4">
        <w:rPr>
          <w:rFonts w:ascii="Arial" w:hAnsi="Arial" w:cs="Arial"/>
          <w:lang w:val="en-IN"/>
        </w:rPr>
        <w:t>where:</w:t>
      </w:r>
      <w:r w:rsidRPr="00906FE4">
        <w:rPr>
          <w:rFonts w:ascii="Arial" w:hAnsi="Arial" w:cs="Arial"/>
          <w:lang w:val="en-IN"/>
        </w:rPr>
        <w:br/>
      </w:r>
      <m:oMath>
        <m:r>
          <w:rPr>
            <w:rFonts w:ascii="Cambria Math" w:hAnsi="Cambria Math" w:cs="Arial"/>
            <w:lang w:val="en-IN"/>
          </w:rPr>
          <m:t>A</m:t>
        </m:r>
        <m:sSub>
          <m:sSubPr>
            <m:ctrlPr>
              <w:rPr>
                <w:rFonts w:ascii="Cambria Math" w:hAnsi="Cambria Math" w:cs="Arial"/>
                <w:lang w:val="en-IN"/>
              </w:rPr>
            </m:ctrlPr>
          </m:sSubPr>
          <m:e>
            <m:r>
              <w:rPr>
                <w:rFonts w:ascii="Cambria Math" w:hAnsi="Cambria Math" w:cs="Arial"/>
                <w:lang w:val="en-IN"/>
              </w:rPr>
              <m:t>E</m:t>
            </m:r>
          </m:e>
          <m:sub>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m:t>
                </m:r>
              </m:sub>
            </m:sSub>
          </m:sub>
        </m:sSub>
      </m:oMath>
      <w:r w:rsidRPr="00906FE4">
        <w:rPr>
          <w:rFonts w:ascii="Arial" w:hAnsi="Arial" w:cs="Arial"/>
          <w:lang w:val="en-IN"/>
        </w:rPr>
        <w:t xml:space="preserve">= allocative efficiency of input </w:t>
      </w:r>
      <m:oMath>
        <m:r>
          <w:rPr>
            <w:rFonts w:ascii="Cambria Math" w:hAnsi="Cambria Math" w:cs="Arial"/>
            <w:lang w:val="en-IN"/>
          </w:rPr>
          <m:t>i</m:t>
        </m:r>
      </m:oMath>
      <w:r w:rsidRPr="00906FE4">
        <w:rPr>
          <w:rFonts w:ascii="Arial" w:hAnsi="Arial" w:cs="Arial"/>
          <w:lang w:val="en-IN"/>
        </w:rPr>
        <w:br/>
      </w:r>
      <m:oMath>
        <m:r>
          <w:rPr>
            <w:rFonts w:ascii="Cambria Math" w:hAnsi="Cambria Math" w:cs="Arial"/>
            <w:lang w:val="en-IN"/>
          </w:rPr>
          <m:t>MV</m:t>
        </m:r>
        <m:sSub>
          <m:sSubPr>
            <m:ctrlPr>
              <w:rPr>
                <w:rFonts w:ascii="Cambria Math" w:hAnsi="Cambria Math" w:cs="Arial"/>
                <w:lang w:val="en-IN"/>
              </w:rPr>
            </m:ctrlPr>
          </m:sSubPr>
          <m:e>
            <m:r>
              <w:rPr>
                <w:rFonts w:ascii="Cambria Math" w:hAnsi="Cambria Math" w:cs="Arial"/>
                <w:lang w:val="en-IN"/>
              </w:rPr>
              <m:t>P</m:t>
            </m:r>
          </m:e>
          <m:sub>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m:t>
                </m:r>
              </m:sub>
            </m:sSub>
          </m:sub>
        </m:sSub>
      </m:oMath>
      <w:r w:rsidRPr="00906FE4">
        <w:rPr>
          <w:rFonts w:ascii="Arial" w:hAnsi="Arial" w:cs="Arial"/>
          <w:lang w:val="en-IN"/>
        </w:rPr>
        <w:t xml:space="preserve">= marginal value product of input </w:t>
      </w:r>
      <m:oMath>
        <m:r>
          <w:rPr>
            <w:rFonts w:ascii="Cambria Math" w:hAnsi="Cambria Math" w:cs="Arial"/>
            <w:lang w:val="en-IN"/>
          </w:rPr>
          <m:t>i</m:t>
        </m:r>
      </m:oMath>
      <w:r w:rsidRPr="00906FE4">
        <w:rPr>
          <w:rFonts w:ascii="Arial" w:hAnsi="Arial" w:cs="Arial"/>
          <w:lang w:val="en-IN"/>
        </w:rPr>
        <w:br/>
      </w:r>
      <m:oMath>
        <m:r>
          <w:rPr>
            <w:rFonts w:ascii="Cambria Math" w:hAnsi="Cambria Math" w:cs="Arial"/>
            <w:lang w:val="en-IN"/>
          </w:rPr>
          <m:t>MF</m:t>
        </m:r>
        <m:sSub>
          <m:sSubPr>
            <m:ctrlPr>
              <w:rPr>
                <w:rFonts w:ascii="Cambria Math" w:hAnsi="Cambria Math" w:cs="Arial"/>
                <w:lang w:val="en-IN"/>
              </w:rPr>
            </m:ctrlPr>
          </m:sSubPr>
          <m:e>
            <m:r>
              <w:rPr>
                <w:rFonts w:ascii="Cambria Math" w:hAnsi="Cambria Math" w:cs="Arial"/>
                <w:lang w:val="en-IN"/>
              </w:rPr>
              <m:t>C</m:t>
            </m:r>
          </m:e>
          <m:sub>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m:t>
                </m:r>
              </m:sub>
            </m:sSub>
          </m:sub>
        </m:sSub>
      </m:oMath>
      <w:r w:rsidRPr="00906FE4">
        <w:rPr>
          <w:rFonts w:ascii="Arial" w:hAnsi="Arial" w:cs="Arial"/>
          <w:lang w:val="en-IN"/>
        </w:rPr>
        <w:t xml:space="preserve">= marginal factor cost of input </w:t>
      </w:r>
      <m:oMath>
        <m:r>
          <w:rPr>
            <w:rFonts w:ascii="Cambria Math" w:hAnsi="Cambria Math" w:cs="Arial"/>
            <w:lang w:val="en-IN"/>
          </w:rPr>
          <m:t>i</m:t>
        </m:r>
      </m:oMath>
    </w:p>
    <w:p w14:paraId="72EC753A" w14:textId="33236228" w:rsidR="00906FE4" w:rsidRPr="00906FE4" w:rsidRDefault="00906FE4" w:rsidP="00906FE4">
      <w:pPr>
        <w:pStyle w:val="Body"/>
        <w:rPr>
          <w:rFonts w:ascii="Arial" w:hAnsi="Arial" w:cs="Arial"/>
          <w:lang w:val="en-IN"/>
        </w:rPr>
      </w:pPr>
    </w:p>
    <w:p w14:paraId="745A2A5D" w14:textId="77777777" w:rsidR="00906FE4" w:rsidRPr="00906FE4" w:rsidRDefault="00906FE4" w:rsidP="00906FE4">
      <w:pPr>
        <w:pStyle w:val="Body"/>
        <w:spacing w:after="0"/>
        <w:rPr>
          <w:rFonts w:ascii="Arial" w:hAnsi="Arial" w:cs="Arial"/>
          <w:lang w:val="en-IN"/>
        </w:rPr>
      </w:pPr>
      <w:r w:rsidRPr="00906FE4">
        <w:rPr>
          <w:rFonts w:ascii="Arial" w:hAnsi="Arial" w:cs="Arial"/>
          <w:lang w:val="en-IN"/>
        </w:rPr>
        <w:t>The marginal value product (MVP) measures the additional value generated by an additional unit of input and is computed as:</w:t>
      </w:r>
    </w:p>
    <w:p w14:paraId="421836C8" w14:textId="255AD6A9" w:rsidR="00906FE4" w:rsidRPr="00906FE4" w:rsidRDefault="0026164B" w:rsidP="00906FE4">
      <w:pPr>
        <w:pStyle w:val="Body"/>
        <w:rPr>
          <w:rFonts w:ascii="Arial" w:hAnsi="Arial" w:cs="Arial"/>
          <w:b/>
          <w:bCs/>
          <w:lang w:val="en-IN"/>
        </w:rPr>
      </w:pPr>
      <m:oMathPara>
        <m:oMath>
          <m:m>
            <m:mPr>
              <m:plcHide m:val="1"/>
              <m:mcs>
                <m:mc>
                  <m:mcPr>
                    <m:count m:val="4"/>
                    <m:mcJc m:val="center"/>
                  </m:mcPr>
                </m:mc>
              </m:mcs>
              <m:ctrlPr>
                <w:rPr>
                  <w:rFonts w:ascii="Cambria Math" w:hAnsi="Cambria Math" w:cs="Arial"/>
                  <w:b/>
                  <w:bCs/>
                  <w:lang w:val="en-IN"/>
                </w:rPr>
              </m:ctrlPr>
            </m:mPr>
            <m:mr>
              <m:e/>
              <m:e>
                <m:r>
                  <m:rPr>
                    <m:sty m:val="bi"/>
                  </m:rPr>
                  <w:rPr>
                    <w:rFonts w:ascii="Cambria Math" w:hAnsi="Cambria Math" w:cs="Arial"/>
                    <w:lang w:val="en-IN"/>
                  </w:rPr>
                  <m:t>MV</m:t>
                </m:r>
                <m:sSub>
                  <m:sSubPr>
                    <m:ctrlPr>
                      <w:rPr>
                        <w:rFonts w:ascii="Cambria Math" w:hAnsi="Cambria Math" w:cs="Arial"/>
                        <w:b/>
                        <w:bCs/>
                        <w:lang w:val="en-IN"/>
                      </w:rPr>
                    </m:ctrlPr>
                  </m:sSubPr>
                  <m:e>
                    <m:r>
                      <m:rPr>
                        <m:sty m:val="bi"/>
                      </m:rPr>
                      <w:rPr>
                        <w:rFonts w:ascii="Cambria Math" w:hAnsi="Cambria Math" w:cs="Arial"/>
                        <w:lang w:val="en-IN"/>
                      </w:rPr>
                      <m:t>P</m:t>
                    </m:r>
                  </m:e>
                  <m:sub>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i</m:t>
                        </m:r>
                      </m:sub>
                    </m:sSub>
                  </m:sub>
                </m:sSub>
                <m:r>
                  <m:rPr>
                    <m:sty m:val="bi"/>
                  </m:rPr>
                  <w:rPr>
                    <w:rFonts w:ascii="Cambria Math" w:hAnsi="Cambria Math" w:cs="Arial"/>
                    <w:lang w:val="en-IN"/>
                  </w:rPr>
                  <m:t>=MP</m:t>
                </m:r>
                <m:sSub>
                  <m:sSubPr>
                    <m:ctrlPr>
                      <w:rPr>
                        <w:rFonts w:ascii="Cambria Math" w:hAnsi="Cambria Math" w:cs="Arial"/>
                        <w:b/>
                        <w:bCs/>
                        <w:lang w:val="en-IN"/>
                      </w:rPr>
                    </m:ctrlPr>
                  </m:sSubPr>
                  <m:e>
                    <m:r>
                      <m:rPr>
                        <m:sty m:val="bi"/>
                      </m:rPr>
                      <w:rPr>
                        <w:rFonts w:ascii="Cambria Math" w:hAnsi="Cambria Math" w:cs="Arial"/>
                        <w:lang w:val="en-IN"/>
                      </w:rPr>
                      <m:t>P</m:t>
                    </m:r>
                  </m:e>
                  <m:sub>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i</m:t>
                        </m:r>
                      </m:sub>
                    </m:sSub>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P</m:t>
                    </m:r>
                  </m:e>
                  <m:sub>
                    <m:r>
                      <m:rPr>
                        <m:sty m:val="bi"/>
                      </m:rPr>
                      <w:rPr>
                        <w:rFonts w:ascii="Cambria Math" w:hAnsi="Cambria Math" w:cs="Arial"/>
                        <w:lang w:val="en-IN"/>
                      </w:rPr>
                      <m:t>y</m:t>
                    </m:r>
                  </m:sub>
                </m:sSub>
              </m:e>
              <m:e/>
              <m:e>
                <m:r>
                  <m:rPr>
                    <m:nor/>
                  </m:rPr>
                  <w:rPr>
                    <w:rFonts w:ascii="Arial" w:hAnsi="Arial" w:cs="Arial"/>
                    <w:b/>
                    <w:bCs/>
                    <w:lang w:val="en-IN"/>
                  </w:rPr>
                  <m:t>(9)</m:t>
                </m:r>
              </m:e>
            </m:mr>
          </m:m>
          <m:r>
            <m:rPr>
              <m:sty m:val="p"/>
            </m:rPr>
            <w:rPr>
              <w:rFonts w:ascii="Arial" w:hAnsi="Arial" w:cs="Arial"/>
              <w:lang w:val="en-IN"/>
            </w:rPr>
            <w:br/>
          </m:r>
        </m:oMath>
        <m:oMath>
          <m:m>
            <m:mPr>
              <m:plcHide m:val="1"/>
              <m:mcs>
                <m:mc>
                  <m:mcPr>
                    <m:count m:val="4"/>
                    <m:mcJc m:val="center"/>
                  </m:mcPr>
                </m:mc>
              </m:mcs>
              <m:ctrlPr>
                <w:rPr>
                  <w:rFonts w:ascii="Cambria Math" w:hAnsi="Cambria Math" w:cs="Arial"/>
                  <w:b/>
                  <w:bCs/>
                  <w:lang w:val="en-IN"/>
                </w:rPr>
              </m:ctrlPr>
            </m:mPr>
            <m:mr>
              <m:e/>
              <m:e>
                <m:r>
                  <m:rPr>
                    <m:sty m:val="bi"/>
                  </m:rPr>
                  <w:rPr>
                    <w:rFonts w:ascii="Cambria Math" w:hAnsi="Cambria Math" w:cs="Arial"/>
                    <w:lang w:val="en-IN"/>
                  </w:rPr>
                  <m:t>MV</m:t>
                </m:r>
                <m:sSub>
                  <m:sSubPr>
                    <m:ctrlPr>
                      <w:rPr>
                        <w:rFonts w:ascii="Cambria Math" w:hAnsi="Cambria Math" w:cs="Arial"/>
                        <w:b/>
                        <w:bCs/>
                        <w:lang w:val="en-IN"/>
                      </w:rPr>
                    </m:ctrlPr>
                  </m:sSubPr>
                  <m:e>
                    <m:r>
                      <m:rPr>
                        <m:sty m:val="bi"/>
                      </m:rPr>
                      <w:rPr>
                        <w:rFonts w:ascii="Cambria Math" w:hAnsi="Cambria Math" w:cs="Arial"/>
                        <w:lang w:val="en-IN"/>
                      </w:rPr>
                      <m:t>P</m:t>
                    </m:r>
                  </m:e>
                  <m:sub>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i</m:t>
                        </m:r>
                      </m:sub>
                    </m:sSub>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b</m:t>
                    </m:r>
                  </m:e>
                  <m:sub>
                    <m:r>
                      <m:rPr>
                        <m:sty m:val="bi"/>
                      </m:rPr>
                      <w:rPr>
                        <w:rFonts w:ascii="Cambria Math" w:hAnsi="Cambria Math" w:cs="Arial"/>
                        <w:lang w:val="en-IN"/>
                      </w:rPr>
                      <m:t>i</m:t>
                    </m:r>
                  </m:sub>
                </m:sSub>
                <m:d>
                  <m:dPr>
                    <m:ctrlPr>
                      <w:rPr>
                        <w:rFonts w:ascii="Cambria Math" w:hAnsi="Cambria Math" w:cs="Arial"/>
                        <w:b/>
                        <w:bCs/>
                        <w:lang w:val="en-IN"/>
                      </w:rPr>
                    </m:ctrlPr>
                  </m:dPr>
                  <m:e>
                    <m:f>
                      <m:fPr>
                        <m:ctrlPr>
                          <w:rPr>
                            <w:rFonts w:ascii="Cambria Math" w:hAnsi="Cambria Math" w:cs="Arial"/>
                            <w:b/>
                            <w:bCs/>
                            <w:lang w:val="en-IN"/>
                          </w:rPr>
                        </m:ctrlPr>
                      </m:fPr>
                      <m:num>
                        <m:acc>
                          <m:accPr>
                            <m:chr m:val="ˉ"/>
                            <m:ctrlPr>
                              <w:rPr>
                                <w:rFonts w:ascii="Cambria Math" w:hAnsi="Cambria Math" w:cs="Arial"/>
                                <w:b/>
                                <w:bCs/>
                                <w:lang w:val="en-IN"/>
                              </w:rPr>
                            </m:ctrlPr>
                          </m:accPr>
                          <m:e>
                            <m:r>
                              <m:rPr>
                                <m:sty m:val="bi"/>
                              </m:rPr>
                              <w:rPr>
                                <w:rFonts w:ascii="Cambria Math" w:hAnsi="Cambria Math" w:cs="Arial"/>
                                <w:lang w:val="en-IN"/>
                              </w:rPr>
                              <m:t>Y</m:t>
                            </m:r>
                          </m:e>
                        </m:acc>
                      </m:num>
                      <m:den>
                        <m:acc>
                          <m:accPr>
                            <m:chr m:val="ˉ"/>
                            <m:ctrlPr>
                              <w:rPr>
                                <w:rFonts w:ascii="Cambria Math" w:hAnsi="Cambria Math" w:cs="Arial"/>
                                <w:b/>
                                <w:bCs/>
                                <w:lang w:val="en-IN"/>
                              </w:rPr>
                            </m:ctrlPr>
                          </m:accPr>
                          <m:e>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i</m:t>
                                </m:r>
                              </m:sub>
                            </m:sSub>
                          </m:e>
                        </m:acc>
                      </m:den>
                    </m:f>
                  </m:e>
                </m:d>
                <m:sSub>
                  <m:sSubPr>
                    <m:ctrlPr>
                      <w:rPr>
                        <w:rFonts w:ascii="Cambria Math" w:hAnsi="Cambria Math" w:cs="Arial"/>
                        <w:b/>
                        <w:bCs/>
                        <w:lang w:val="en-IN"/>
                      </w:rPr>
                    </m:ctrlPr>
                  </m:sSubPr>
                  <m:e>
                    <m:r>
                      <m:rPr>
                        <m:sty m:val="bi"/>
                      </m:rPr>
                      <w:rPr>
                        <w:rFonts w:ascii="Cambria Math" w:hAnsi="Cambria Math" w:cs="Arial"/>
                        <w:lang w:val="en-IN"/>
                      </w:rPr>
                      <m:t>P</m:t>
                    </m:r>
                  </m:e>
                  <m:sub>
                    <m:r>
                      <m:rPr>
                        <m:sty m:val="bi"/>
                      </m:rPr>
                      <w:rPr>
                        <w:rFonts w:ascii="Cambria Math" w:hAnsi="Cambria Math" w:cs="Arial"/>
                        <w:lang w:val="en-IN"/>
                      </w:rPr>
                      <m:t>y</m:t>
                    </m:r>
                  </m:sub>
                </m:sSub>
              </m:e>
              <m:e/>
              <m:e>
                <m:r>
                  <m:rPr>
                    <m:nor/>
                  </m:rPr>
                  <w:rPr>
                    <w:rFonts w:ascii="Arial" w:hAnsi="Arial" w:cs="Arial"/>
                    <w:b/>
                    <w:bCs/>
                    <w:lang w:val="en-IN"/>
                  </w:rPr>
                  <m:t>(10)</m:t>
                </m:r>
              </m:e>
            </m:mr>
          </m:m>
          <m:r>
            <m:rPr>
              <m:sty m:val="p"/>
            </m:rPr>
            <w:rPr>
              <w:rFonts w:ascii="Arial" w:hAnsi="Arial" w:cs="Arial"/>
              <w:lang w:val="en-IN"/>
            </w:rPr>
            <w:br/>
          </m:r>
        </m:oMath>
      </m:oMathPara>
    </w:p>
    <w:p w14:paraId="35FA8062" w14:textId="146B6140" w:rsidR="00906FE4" w:rsidRPr="00906FE4" w:rsidRDefault="00906FE4" w:rsidP="00906FE4">
      <w:pPr>
        <w:pStyle w:val="Body"/>
        <w:spacing w:after="0"/>
        <w:jc w:val="left"/>
        <w:rPr>
          <w:rFonts w:ascii="Arial" w:hAnsi="Arial" w:cs="Arial"/>
          <w:lang w:val="en-IN"/>
        </w:rPr>
      </w:pPr>
      <w:r w:rsidRPr="00906FE4">
        <w:rPr>
          <w:rFonts w:ascii="Arial" w:hAnsi="Arial" w:cs="Arial"/>
          <w:lang w:val="en-IN"/>
        </w:rPr>
        <w:t>where:</w:t>
      </w:r>
      <w:r w:rsidRPr="00906FE4">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y</m:t>
            </m:r>
          </m:sub>
        </m:sSub>
      </m:oMath>
      <w:r w:rsidRPr="00906FE4">
        <w:rPr>
          <w:rFonts w:ascii="Arial" w:hAnsi="Arial" w:cs="Arial"/>
          <w:lang w:val="en-IN"/>
        </w:rPr>
        <w:t>= price of output</w:t>
      </w:r>
      <w:r w:rsidRPr="00906FE4">
        <w:rPr>
          <w:rFonts w:ascii="Arial" w:hAnsi="Arial" w:cs="Arial"/>
          <w:lang w:val="en-IN"/>
        </w:rPr>
        <w:br/>
      </w:r>
      <m:oMath>
        <m:acc>
          <m:accPr>
            <m:chr m:val="ˉ"/>
            <m:ctrlPr>
              <w:rPr>
                <w:rFonts w:ascii="Cambria Math" w:hAnsi="Cambria Math" w:cs="Arial"/>
                <w:lang w:val="en-IN"/>
              </w:rPr>
            </m:ctrlPr>
          </m:accPr>
          <m:e>
            <m:r>
              <w:rPr>
                <w:rFonts w:ascii="Cambria Math" w:hAnsi="Cambria Math" w:cs="Arial"/>
                <w:lang w:val="en-IN"/>
              </w:rPr>
              <m:t>Y</m:t>
            </m:r>
          </m:e>
        </m:acc>
      </m:oMath>
      <w:r w:rsidRPr="00906FE4">
        <w:rPr>
          <w:rFonts w:ascii="Arial" w:hAnsi="Arial" w:cs="Arial"/>
          <w:lang w:val="en-IN"/>
        </w:rPr>
        <w:t>= geometric mean of output</w:t>
      </w:r>
      <w:r w:rsidRPr="00906FE4">
        <w:rPr>
          <w:rFonts w:ascii="Arial" w:hAnsi="Arial" w:cs="Arial"/>
          <w:lang w:val="en-IN"/>
        </w:rPr>
        <w:br/>
      </w:r>
      <m:oMath>
        <m:acc>
          <m:accPr>
            <m:chr m:val="ˉ"/>
            <m:ctrlPr>
              <w:rPr>
                <w:rFonts w:ascii="Cambria Math" w:hAnsi="Cambria Math" w:cs="Arial"/>
                <w:lang w:val="en-IN"/>
              </w:rPr>
            </m:ctrlPr>
          </m:accPr>
          <m:e>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m:t>
                </m:r>
              </m:sub>
            </m:sSub>
          </m:e>
        </m:acc>
      </m:oMath>
      <w:r w:rsidRPr="00906FE4">
        <w:rPr>
          <w:rFonts w:ascii="Arial" w:hAnsi="Arial" w:cs="Arial"/>
          <w:lang w:val="en-IN"/>
        </w:rPr>
        <w:t xml:space="preserve">= geometric mean of input </w:t>
      </w:r>
      <m:oMath>
        <m:r>
          <w:rPr>
            <w:rFonts w:ascii="Cambria Math" w:hAnsi="Cambria Math" w:cs="Arial"/>
            <w:lang w:val="en-IN"/>
          </w:rPr>
          <m:t>i</m:t>
        </m:r>
      </m:oMath>
    </w:p>
    <w:p w14:paraId="661BEE64" w14:textId="77777777" w:rsidR="00906FE4" w:rsidRPr="00906FE4" w:rsidRDefault="00906FE4" w:rsidP="00906FE4">
      <w:pPr>
        <w:pStyle w:val="Body"/>
        <w:spacing w:after="0"/>
        <w:rPr>
          <w:rFonts w:ascii="Arial" w:hAnsi="Arial" w:cs="Arial"/>
          <w:lang w:val="en-IN"/>
        </w:rPr>
      </w:pPr>
      <w:r w:rsidRPr="00906FE4">
        <w:rPr>
          <w:rFonts w:ascii="Arial" w:hAnsi="Arial" w:cs="Arial"/>
          <w:lang w:val="en-IN"/>
        </w:rPr>
        <w:t>The marginal factor cost (MFC) represents the cost of using an additional unit of input:</w:t>
      </w:r>
    </w:p>
    <w:p w14:paraId="58955468" w14:textId="2088E753" w:rsidR="00906FE4" w:rsidRPr="00906FE4" w:rsidRDefault="0026164B" w:rsidP="00906FE4">
      <w:pPr>
        <w:pStyle w:val="Body"/>
        <w:rPr>
          <w:rFonts w:ascii="Arial" w:hAnsi="Arial" w:cs="Arial"/>
          <w:b/>
          <w:bCs/>
          <w:lang w:val="en-IN"/>
        </w:rPr>
      </w:pPr>
      <m:oMathPara>
        <m:oMath>
          <m:m>
            <m:mPr>
              <m:plcHide m:val="1"/>
              <m:mcs>
                <m:mc>
                  <m:mcPr>
                    <m:count m:val="4"/>
                    <m:mcJc m:val="center"/>
                  </m:mcPr>
                </m:mc>
              </m:mcs>
              <m:ctrlPr>
                <w:rPr>
                  <w:rFonts w:ascii="Cambria Math" w:hAnsi="Cambria Math" w:cs="Arial"/>
                  <w:b/>
                  <w:bCs/>
                  <w:lang w:val="en-IN"/>
                </w:rPr>
              </m:ctrlPr>
            </m:mPr>
            <m:mr>
              <m:e/>
              <m:e>
                <m:r>
                  <m:rPr>
                    <m:sty m:val="bi"/>
                  </m:rPr>
                  <w:rPr>
                    <w:rFonts w:ascii="Cambria Math" w:hAnsi="Cambria Math" w:cs="Arial"/>
                    <w:lang w:val="en-IN"/>
                  </w:rPr>
                  <m:t>MF</m:t>
                </m:r>
                <m:sSub>
                  <m:sSubPr>
                    <m:ctrlPr>
                      <w:rPr>
                        <w:rFonts w:ascii="Cambria Math" w:hAnsi="Cambria Math" w:cs="Arial"/>
                        <w:b/>
                        <w:bCs/>
                        <w:lang w:val="en-IN"/>
                      </w:rPr>
                    </m:ctrlPr>
                  </m:sSubPr>
                  <m:e>
                    <m:r>
                      <m:rPr>
                        <m:sty m:val="bi"/>
                      </m:rPr>
                      <w:rPr>
                        <w:rFonts w:ascii="Cambria Math" w:hAnsi="Cambria Math" w:cs="Arial"/>
                        <w:lang w:val="en-IN"/>
                      </w:rPr>
                      <m:t>C</m:t>
                    </m:r>
                  </m:e>
                  <m:sub>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i</m:t>
                        </m:r>
                      </m:sub>
                    </m:sSub>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P</m:t>
                    </m:r>
                  </m:e>
                  <m:sub>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i</m:t>
                        </m:r>
                      </m:sub>
                    </m:sSub>
                  </m:sub>
                </m:sSub>
              </m:e>
              <m:e/>
              <m:e>
                <m:r>
                  <m:rPr>
                    <m:nor/>
                  </m:rPr>
                  <w:rPr>
                    <w:rFonts w:ascii="Arial" w:hAnsi="Arial" w:cs="Arial"/>
                    <w:b/>
                    <w:bCs/>
                    <w:lang w:val="en-IN"/>
                  </w:rPr>
                  <m:t>(11)</m:t>
                </m:r>
              </m:e>
            </m:mr>
          </m:m>
          <m:r>
            <m:rPr>
              <m:sty m:val="p"/>
            </m:rPr>
            <w:rPr>
              <w:rFonts w:ascii="Arial" w:hAnsi="Arial" w:cs="Arial"/>
              <w:lang w:val="en-IN"/>
            </w:rPr>
            <w:br/>
          </m:r>
        </m:oMath>
      </m:oMathPara>
    </w:p>
    <w:p w14:paraId="73D41110" w14:textId="77777777" w:rsidR="00906FE4" w:rsidRPr="00906FE4" w:rsidRDefault="00906FE4" w:rsidP="00906FE4">
      <w:pPr>
        <w:pStyle w:val="Body"/>
        <w:spacing w:after="0"/>
        <w:rPr>
          <w:rFonts w:ascii="Arial" w:hAnsi="Arial" w:cs="Arial"/>
          <w:lang w:val="en-IN"/>
        </w:rPr>
      </w:pPr>
      <w:r w:rsidRPr="00906FE4">
        <w:rPr>
          <w:rFonts w:ascii="Arial" w:hAnsi="Arial" w:cs="Arial"/>
          <w:lang w:val="en-IN"/>
        </w:rPr>
        <w:t>The decision rule for resource use efficiency is:</w:t>
      </w:r>
    </w:p>
    <w:p w14:paraId="299F999C" w14:textId="1E6E8C20" w:rsidR="00906FE4" w:rsidRPr="00906FE4" w:rsidRDefault="00906FE4" w:rsidP="007676BD">
      <w:pPr>
        <w:pStyle w:val="Body"/>
        <w:numPr>
          <w:ilvl w:val="0"/>
          <w:numId w:val="3"/>
        </w:numPr>
        <w:spacing w:after="0"/>
        <w:rPr>
          <w:rFonts w:ascii="Arial" w:hAnsi="Arial" w:cs="Arial"/>
          <w:lang w:val="en-IN"/>
        </w:rPr>
      </w:pPr>
      <m:oMath>
        <m:r>
          <w:rPr>
            <w:rFonts w:ascii="Cambria Math" w:hAnsi="Cambria Math" w:cs="Arial"/>
            <w:lang w:val="en-IN"/>
          </w:rPr>
          <m:t>MVP</m:t>
        </m:r>
        <m:r>
          <m:rPr>
            <m:sty m:val="p"/>
          </m:rPr>
          <w:rPr>
            <w:rFonts w:ascii="Cambria Math" w:hAnsi="Cambria Math" w:cs="Arial"/>
            <w:lang w:val="en-IN"/>
          </w:rPr>
          <m:t>/</m:t>
        </m:r>
        <m:r>
          <w:rPr>
            <w:rFonts w:ascii="Cambria Math" w:hAnsi="Cambria Math" w:cs="Arial"/>
            <w:lang w:val="en-IN"/>
          </w:rPr>
          <m:t>MFC&gt;1</m:t>
        </m:r>
      </m:oMath>
      <w:r w:rsidRPr="00906FE4">
        <w:rPr>
          <w:rFonts w:ascii="Arial" w:hAnsi="Arial" w:cs="Arial"/>
          <w:lang w:val="en-IN"/>
        </w:rPr>
        <w:t xml:space="preserve">: input is underutilized </w:t>
      </w:r>
    </w:p>
    <w:p w14:paraId="6AD4C6D1" w14:textId="4120B69B" w:rsidR="00906FE4" w:rsidRPr="00906FE4" w:rsidRDefault="00906FE4" w:rsidP="007676BD">
      <w:pPr>
        <w:pStyle w:val="Body"/>
        <w:numPr>
          <w:ilvl w:val="0"/>
          <w:numId w:val="3"/>
        </w:numPr>
        <w:spacing w:after="0"/>
        <w:rPr>
          <w:rFonts w:ascii="Arial" w:hAnsi="Arial" w:cs="Arial"/>
          <w:lang w:val="en-IN"/>
        </w:rPr>
      </w:pPr>
      <m:oMath>
        <m:r>
          <w:rPr>
            <w:rFonts w:ascii="Cambria Math" w:hAnsi="Cambria Math" w:cs="Arial"/>
            <w:lang w:val="en-IN"/>
          </w:rPr>
          <m:t>MVP</m:t>
        </m:r>
        <m:r>
          <m:rPr>
            <m:sty m:val="p"/>
          </m:rPr>
          <w:rPr>
            <w:rFonts w:ascii="Cambria Math" w:hAnsi="Cambria Math" w:cs="Arial"/>
            <w:lang w:val="en-IN"/>
          </w:rPr>
          <m:t>/</m:t>
        </m:r>
        <m:r>
          <w:rPr>
            <w:rFonts w:ascii="Cambria Math" w:hAnsi="Cambria Math" w:cs="Arial"/>
            <w:lang w:val="en-IN"/>
          </w:rPr>
          <m:t>MFC&lt;1</m:t>
        </m:r>
      </m:oMath>
      <w:r w:rsidRPr="00906FE4">
        <w:rPr>
          <w:rFonts w:ascii="Arial" w:hAnsi="Arial" w:cs="Arial"/>
          <w:lang w:val="en-IN"/>
        </w:rPr>
        <w:t xml:space="preserve">: input is overutilized </w:t>
      </w:r>
    </w:p>
    <w:p w14:paraId="3DF43690" w14:textId="0ECC92A5" w:rsidR="00906FE4" w:rsidRDefault="00906FE4" w:rsidP="007676BD">
      <w:pPr>
        <w:pStyle w:val="Body"/>
        <w:numPr>
          <w:ilvl w:val="0"/>
          <w:numId w:val="3"/>
        </w:numPr>
        <w:spacing w:after="0"/>
        <w:rPr>
          <w:rFonts w:ascii="Arial" w:hAnsi="Arial" w:cs="Arial"/>
          <w:lang w:val="en-IN"/>
        </w:rPr>
      </w:pPr>
      <m:oMath>
        <m:r>
          <w:rPr>
            <w:rFonts w:ascii="Cambria Math" w:hAnsi="Cambria Math" w:cs="Arial"/>
            <w:lang w:val="en-IN"/>
          </w:rPr>
          <m:t>MVP</m:t>
        </m:r>
        <m:r>
          <m:rPr>
            <m:sty m:val="p"/>
          </m:rPr>
          <w:rPr>
            <w:rFonts w:ascii="Cambria Math" w:hAnsi="Cambria Math" w:cs="Arial"/>
            <w:lang w:val="en-IN"/>
          </w:rPr>
          <m:t>/</m:t>
        </m:r>
        <m:r>
          <w:rPr>
            <w:rFonts w:ascii="Cambria Math" w:hAnsi="Cambria Math" w:cs="Arial"/>
            <w:lang w:val="en-IN"/>
          </w:rPr>
          <m:t>MFC=1</m:t>
        </m:r>
      </m:oMath>
      <w:r w:rsidRPr="00906FE4">
        <w:rPr>
          <w:rFonts w:ascii="Arial" w:hAnsi="Arial" w:cs="Arial"/>
          <w:lang w:val="en-IN"/>
        </w:rPr>
        <w:t xml:space="preserve">: optimal use of input </w:t>
      </w:r>
    </w:p>
    <w:p w14:paraId="1C4BBE87" w14:textId="77777777" w:rsidR="008F582F" w:rsidRPr="008F582F" w:rsidRDefault="008F582F" w:rsidP="008F582F">
      <w:pPr>
        <w:pStyle w:val="Body"/>
        <w:spacing w:after="0"/>
        <w:ind w:left="720"/>
        <w:rPr>
          <w:rFonts w:ascii="Arial" w:hAnsi="Arial" w:cs="Arial"/>
          <w:lang w:val="en-IN"/>
        </w:rPr>
      </w:pPr>
    </w:p>
    <w:p w14:paraId="5CDE0974" w14:textId="77777777" w:rsidR="00906FE4" w:rsidRPr="00906FE4" w:rsidRDefault="00906FE4" w:rsidP="00906FE4">
      <w:pPr>
        <w:pStyle w:val="Body"/>
        <w:spacing w:after="0"/>
        <w:rPr>
          <w:rFonts w:ascii="Arial" w:hAnsi="Arial" w:cs="Arial"/>
          <w:b/>
          <w:bCs/>
          <w:lang w:val="en-IN"/>
        </w:rPr>
      </w:pPr>
      <w:r w:rsidRPr="00906FE4">
        <w:rPr>
          <w:rFonts w:ascii="Arial" w:hAnsi="Arial" w:cs="Arial"/>
          <w:b/>
          <w:bCs/>
          <w:lang w:val="en-IN"/>
        </w:rPr>
        <w:t>2.4.5 Stochastic Frontier Analysis (SFA)</w:t>
      </w:r>
    </w:p>
    <w:p w14:paraId="76149E19" w14:textId="77777777" w:rsidR="008F582F" w:rsidRPr="008F582F" w:rsidRDefault="008F582F" w:rsidP="008F582F">
      <w:pPr>
        <w:pStyle w:val="Body"/>
        <w:spacing w:after="0"/>
        <w:rPr>
          <w:rFonts w:ascii="Arial" w:hAnsi="Arial" w:cs="Arial"/>
          <w:lang w:val="en-IN"/>
        </w:rPr>
      </w:pPr>
      <w:r w:rsidRPr="008F582F">
        <w:rPr>
          <w:rFonts w:ascii="Arial" w:hAnsi="Arial" w:cs="Arial"/>
          <w:lang w:val="en-IN"/>
        </w:rPr>
        <w:t>To account for differences in production efficiency across farms, the Stochastic Frontier Analysis (SFA) is employed. This approach is widely used in agricultural economics because it allows the decomposition of deviations from the production frontier into two components: (</w:t>
      </w:r>
      <w:proofErr w:type="spellStart"/>
      <w:r w:rsidRPr="008F582F">
        <w:rPr>
          <w:rFonts w:ascii="Arial" w:hAnsi="Arial" w:cs="Arial"/>
          <w:lang w:val="en-IN"/>
        </w:rPr>
        <w:t>i</w:t>
      </w:r>
      <w:proofErr w:type="spellEnd"/>
      <w:r w:rsidRPr="008F582F">
        <w:rPr>
          <w:rFonts w:ascii="Arial" w:hAnsi="Arial" w:cs="Arial"/>
          <w:lang w:val="en-IN"/>
        </w:rPr>
        <w:t>) random shocks beyond the control of farmers, such as weather variations, pest attacks, and measurement errors, and (ii) technical inefficiency arising from managerial and farm-specific factors.</w:t>
      </w:r>
    </w:p>
    <w:p w14:paraId="100210AF" w14:textId="77777777" w:rsidR="008F582F" w:rsidRPr="008F582F" w:rsidRDefault="008F582F" w:rsidP="008F582F">
      <w:pPr>
        <w:pStyle w:val="Body"/>
        <w:spacing w:after="0"/>
        <w:rPr>
          <w:rFonts w:ascii="Arial" w:hAnsi="Arial" w:cs="Arial"/>
          <w:lang w:val="en-IN"/>
        </w:rPr>
      </w:pPr>
      <w:r w:rsidRPr="008F582F">
        <w:rPr>
          <w:rFonts w:ascii="Arial" w:hAnsi="Arial" w:cs="Arial"/>
          <w:lang w:val="en-IN"/>
        </w:rPr>
        <w:t>In contrast to traditional production functions, which assume that all deviations from the estimated relationship are purely random, SFA explicitly separates inefficiency effects, thereby providing a more realistic measure of farm performance.</w:t>
      </w:r>
    </w:p>
    <w:p w14:paraId="3A46B6C2" w14:textId="77777777" w:rsidR="008F582F" w:rsidRPr="008F582F" w:rsidRDefault="008F582F" w:rsidP="008F582F">
      <w:pPr>
        <w:pStyle w:val="Body"/>
        <w:spacing w:after="0"/>
        <w:rPr>
          <w:rFonts w:ascii="Arial" w:hAnsi="Arial" w:cs="Arial"/>
          <w:lang w:val="en-IN"/>
        </w:rPr>
      </w:pPr>
      <w:r w:rsidRPr="008F582F">
        <w:rPr>
          <w:rFonts w:ascii="Arial" w:hAnsi="Arial" w:cs="Arial"/>
          <w:lang w:val="en-IN"/>
        </w:rPr>
        <w:t>The stochastic production frontier model used in this study is specified as:</w:t>
      </w:r>
    </w:p>
    <w:p w14:paraId="45DDF842" w14:textId="041DCB72" w:rsidR="008F582F" w:rsidRPr="008F582F" w:rsidRDefault="0026164B" w:rsidP="008F582F">
      <w:pPr>
        <w:pStyle w:val="Body"/>
        <w:rPr>
          <w:rFonts w:ascii="Arial" w:hAnsi="Arial" w:cs="Arial"/>
          <w:b/>
          <w:bCs/>
          <w:lang w:val="en-IN"/>
        </w:rPr>
      </w:pPr>
      <m:oMathPara>
        <m:oMath>
          <m:m>
            <m:mPr>
              <m:plcHide m:val="1"/>
              <m:mcs>
                <m:mc>
                  <m:mcPr>
                    <m:count m:val="4"/>
                    <m:mcJc m:val="center"/>
                  </m:mcPr>
                </m:mc>
              </m:mcs>
              <m:ctrlPr>
                <w:rPr>
                  <w:rFonts w:ascii="Cambria Math" w:hAnsi="Cambria Math" w:cs="Arial"/>
                  <w:b/>
                  <w:bCs/>
                  <w:lang w:val="en-IN"/>
                </w:rPr>
              </m:ctrlPr>
            </m:mPr>
            <m:mr>
              <m:e/>
              <m:e>
                <m:r>
                  <m:rPr>
                    <m:sty m:val="b"/>
                  </m:rPr>
                  <w:rPr>
                    <w:rFonts w:ascii="Cambria Math" w:hAnsi="Cambria Math" w:cs="Arial"/>
                    <w:lang w:val="en-IN"/>
                  </w:rPr>
                  <m:t>ln</m:t>
                </m:r>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Y</m:t>
                    </m:r>
                  </m:e>
                  <m:sub>
                    <m:r>
                      <m:rPr>
                        <m:sty m:val="bi"/>
                      </m:rPr>
                      <w:rPr>
                        <w:rFonts w:ascii="Cambria Math" w:hAnsi="Cambria Math" w:cs="Arial"/>
                        <w:lang w:val="en-IN"/>
                      </w:rPr>
                      <m:t>i</m:t>
                    </m:r>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β</m:t>
                    </m:r>
                  </m:e>
                  <m:sub>
                    <m:r>
                      <m:rPr>
                        <m:sty m:val="bi"/>
                      </m:rPr>
                      <w:rPr>
                        <w:rFonts w:ascii="Cambria Math" w:hAnsi="Cambria Math" w:cs="Arial"/>
                        <w:lang w:val="en-IN"/>
                      </w:rPr>
                      <m:t>0</m:t>
                    </m:r>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β</m:t>
                    </m:r>
                  </m:e>
                  <m:sub>
                    <m:r>
                      <m:rPr>
                        <m:sty m:val="bi"/>
                      </m:rPr>
                      <w:rPr>
                        <w:rFonts w:ascii="Cambria Math" w:hAnsi="Cambria Math" w:cs="Arial"/>
                        <w:lang w:val="en-IN"/>
                      </w:rPr>
                      <m:t>1</m:t>
                    </m:r>
                  </m:sub>
                </m:sSub>
                <m:r>
                  <m:rPr>
                    <m:sty m:val="b"/>
                  </m:rPr>
                  <w:rPr>
                    <w:rFonts w:ascii="Cambria Math" w:hAnsi="Cambria Math" w:cs="Arial"/>
                    <w:lang w:val="en-IN"/>
                  </w:rPr>
                  <m:t>ln</m:t>
                </m:r>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1</m:t>
                    </m:r>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β</m:t>
                    </m:r>
                  </m:e>
                  <m:sub>
                    <m:r>
                      <m:rPr>
                        <m:sty m:val="bi"/>
                      </m:rPr>
                      <w:rPr>
                        <w:rFonts w:ascii="Cambria Math" w:hAnsi="Cambria Math" w:cs="Arial"/>
                        <w:lang w:val="en-IN"/>
                      </w:rPr>
                      <m:t>2</m:t>
                    </m:r>
                  </m:sub>
                </m:sSub>
                <m:r>
                  <m:rPr>
                    <m:sty m:val="b"/>
                  </m:rPr>
                  <w:rPr>
                    <w:rFonts w:ascii="Cambria Math" w:hAnsi="Cambria Math" w:cs="Arial"/>
                    <w:lang w:val="en-IN"/>
                  </w:rPr>
                  <m:t>ln</m:t>
                </m:r>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2</m:t>
                    </m:r>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β</m:t>
                    </m:r>
                  </m:e>
                  <m:sub>
                    <m:r>
                      <m:rPr>
                        <m:sty m:val="bi"/>
                      </m:rPr>
                      <w:rPr>
                        <w:rFonts w:ascii="Cambria Math" w:hAnsi="Cambria Math" w:cs="Arial"/>
                        <w:lang w:val="en-IN"/>
                      </w:rPr>
                      <m:t>3</m:t>
                    </m:r>
                  </m:sub>
                </m:sSub>
                <m:r>
                  <m:rPr>
                    <m:sty m:val="b"/>
                  </m:rPr>
                  <w:rPr>
                    <w:rFonts w:ascii="Cambria Math" w:hAnsi="Cambria Math" w:cs="Arial"/>
                    <w:lang w:val="en-IN"/>
                  </w:rPr>
                  <m:t>ln</m:t>
                </m:r>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3</m:t>
                    </m:r>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β</m:t>
                    </m:r>
                  </m:e>
                  <m:sub>
                    <m:r>
                      <m:rPr>
                        <m:sty m:val="bi"/>
                      </m:rPr>
                      <w:rPr>
                        <w:rFonts w:ascii="Cambria Math" w:hAnsi="Cambria Math" w:cs="Arial"/>
                        <w:lang w:val="en-IN"/>
                      </w:rPr>
                      <m:t>4</m:t>
                    </m:r>
                  </m:sub>
                </m:sSub>
                <m:r>
                  <m:rPr>
                    <m:sty m:val="b"/>
                  </m:rPr>
                  <w:rPr>
                    <w:rFonts w:ascii="Cambria Math" w:hAnsi="Cambria Math" w:cs="Arial"/>
                    <w:lang w:val="en-IN"/>
                  </w:rPr>
                  <m:t>ln</m:t>
                </m:r>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X</m:t>
                    </m:r>
                  </m:e>
                  <m:sub>
                    <m:r>
                      <m:rPr>
                        <m:sty m:val="bi"/>
                      </m:rPr>
                      <w:rPr>
                        <w:rFonts w:ascii="Cambria Math" w:hAnsi="Cambria Math" w:cs="Arial"/>
                        <w:lang w:val="en-IN"/>
                      </w:rPr>
                      <m:t>4</m:t>
                    </m:r>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V</m:t>
                    </m:r>
                  </m:e>
                  <m:sub>
                    <m:r>
                      <m:rPr>
                        <m:sty m:val="bi"/>
                      </m:rPr>
                      <w:rPr>
                        <w:rFonts w:ascii="Cambria Math" w:hAnsi="Cambria Math" w:cs="Arial"/>
                        <w:lang w:val="en-IN"/>
                      </w:rPr>
                      <m:t>i</m:t>
                    </m:r>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U</m:t>
                    </m:r>
                  </m:e>
                  <m:sub>
                    <m:r>
                      <m:rPr>
                        <m:sty m:val="bi"/>
                      </m:rPr>
                      <w:rPr>
                        <w:rFonts w:ascii="Cambria Math" w:hAnsi="Cambria Math" w:cs="Arial"/>
                        <w:lang w:val="en-IN"/>
                      </w:rPr>
                      <m:t>i</m:t>
                    </m:r>
                  </m:sub>
                </m:sSub>
              </m:e>
              <m:e/>
              <m:e>
                <m:r>
                  <m:rPr>
                    <m:nor/>
                  </m:rPr>
                  <w:rPr>
                    <w:rFonts w:ascii="Arial" w:hAnsi="Arial" w:cs="Arial"/>
                    <w:b/>
                    <w:bCs/>
                    <w:lang w:val="en-IN"/>
                  </w:rPr>
                  <m:t>(12)</m:t>
                </m:r>
              </m:e>
            </m:mr>
          </m:m>
        </m:oMath>
      </m:oMathPara>
    </w:p>
    <w:p w14:paraId="6F89D643" w14:textId="7A9FC63B" w:rsidR="008F582F" w:rsidRPr="008F582F" w:rsidRDefault="008F582F" w:rsidP="008F582F">
      <w:pPr>
        <w:pStyle w:val="Body"/>
        <w:spacing w:after="0"/>
        <w:jc w:val="left"/>
        <w:rPr>
          <w:rFonts w:ascii="Arial" w:hAnsi="Arial" w:cs="Arial"/>
          <w:lang w:val="en-IN"/>
        </w:rPr>
      </w:pPr>
      <w:r w:rsidRPr="008F582F">
        <w:rPr>
          <w:rFonts w:ascii="Arial" w:hAnsi="Arial" w:cs="Arial"/>
          <w:lang w:val="en-IN"/>
        </w:rPr>
        <w:t>where:</w:t>
      </w:r>
      <w:r w:rsidRPr="008F582F">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Y</m:t>
            </m:r>
          </m:e>
          <m:sub>
            <m:r>
              <w:rPr>
                <w:rFonts w:ascii="Cambria Math" w:hAnsi="Cambria Math" w:cs="Arial"/>
                <w:lang w:val="en-IN"/>
              </w:rPr>
              <m:t>i</m:t>
            </m:r>
          </m:sub>
        </m:sSub>
      </m:oMath>
      <w:r w:rsidRPr="008F582F">
        <w:rPr>
          <w:rFonts w:ascii="Arial" w:hAnsi="Arial" w:cs="Arial"/>
          <w:lang w:val="en-IN"/>
        </w:rPr>
        <w:t xml:space="preserve">= output of the </w:t>
      </w:r>
      <m:oMath>
        <m:sSup>
          <m:sSupPr>
            <m:ctrlPr>
              <w:rPr>
                <w:rFonts w:ascii="Cambria Math" w:hAnsi="Cambria Math" w:cs="Arial"/>
                <w:lang w:val="en-IN"/>
              </w:rPr>
            </m:ctrlPr>
          </m:sSupPr>
          <m:e>
            <m:r>
              <w:rPr>
                <w:rFonts w:ascii="Cambria Math" w:hAnsi="Cambria Math" w:cs="Arial"/>
                <w:lang w:val="en-IN"/>
              </w:rPr>
              <m:t>i</m:t>
            </m:r>
          </m:e>
          <m:sup>
            <m:r>
              <w:rPr>
                <w:rFonts w:ascii="Cambria Math" w:hAnsi="Cambria Math" w:cs="Arial"/>
                <w:lang w:val="en-IN"/>
              </w:rPr>
              <m:t>th</m:t>
            </m:r>
          </m:sup>
        </m:sSup>
      </m:oMath>
      <w:r w:rsidRPr="008F582F">
        <w:rPr>
          <w:rFonts w:ascii="Arial" w:hAnsi="Arial" w:cs="Arial"/>
          <w:lang w:val="en-IN"/>
        </w:rPr>
        <w:t>farm (Rs.)</w:t>
      </w:r>
      <w:r w:rsidRPr="008F582F">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2</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3</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4</m:t>
            </m:r>
          </m:sub>
        </m:sSub>
      </m:oMath>
      <w:r w:rsidRPr="008F582F">
        <w:rPr>
          <w:rFonts w:ascii="Arial" w:hAnsi="Arial" w:cs="Arial"/>
          <w:lang w:val="en-IN"/>
        </w:rPr>
        <w:t>= input variables (seed, labour, fertilizers, plant protection chemicals respectively)</w:t>
      </w:r>
      <w:r w:rsidRPr="008F582F">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0</m:t>
            </m:r>
          </m:sub>
        </m:sSub>
      </m:oMath>
      <w:r w:rsidRPr="008F582F">
        <w:rPr>
          <w:rFonts w:ascii="Arial" w:hAnsi="Arial" w:cs="Arial"/>
          <w:lang w:val="en-IN"/>
        </w:rPr>
        <w:t>= intercept term representing baseline production level</w:t>
      </w:r>
      <w:r w:rsidRPr="008F582F">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oMath>
      <w:r w:rsidRPr="008F582F">
        <w:rPr>
          <w:rFonts w:ascii="Arial" w:hAnsi="Arial" w:cs="Arial"/>
          <w:lang w:val="en-IN"/>
        </w:rPr>
        <w:t>= input elasticities to be estimated</w:t>
      </w:r>
      <w:r w:rsidRPr="008F582F">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V</m:t>
            </m:r>
          </m:e>
          <m:sub>
            <m:r>
              <w:rPr>
                <w:rFonts w:ascii="Cambria Math" w:hAnsi="Cambria Math" w:cs="Arial"/>
                <w:lang w:val="en-IN"/>
              </w:rPr>
              <m:t>i</m:t>
            </m:r>
          </m:sub>
        </m:sSub>
      </m:oMath>
      <w:r w:rsidRPr="008F582F">
        <w:rPr>
          <w:rFonts w:ascii="Arial" w:hAnsi="Arial" w:cs="Arial"/>
          <w:lang w:val="en-IN"/>
        </w:rPr>
        <w:t>= symmetric random error term capturing statistical noise such as weather shocks, measurement errors, and other random factors</w:t>
      </w:r>
      <w:r w:rsidRPr="008F582F">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U</m:t>
            </m:r>
          </m:e>
          <m:sub>
            <m:r>
              <w:rPr>
                <w:rFonts w:ascii="Cambria Math" w:hAnsi="Cambria Math" w:cs="Arial"/>
                <w:lang w:val="en-IN"/>
              </w:rPr>
              <m:t>i</m:t>
            </m:r>
          </m:sub>
        </m:sSub>
      </m:oMath>
      <w:r w:rsidRPr="008F582F">
        <w:rPr>
          <w:rFonts w:ascii="Arial" w:hAnsi="Arial" w:cs="Arial"/>
          <w:lang w:val="en-IN"/>
        </w:rPr>
        <w:t>= non-negative one-sided error term representing technical inefficiency in production</w:t>
      </w:r>
    </w:p>
    <w:p w14:paraId="15EDC3D3" w14:textId="48002B69" w:rsidR="008F582F" w:rsidRPr="008F582F" w:rsidRDefault="008F582F" w:rsidP="008F582F">
      <w:pPr>
        <w:pStyle w:val="Body"/>
        <w:spacing w:after="0"/>
        <w:jc w:val="left"/>
        <w:rPr>
          <w:rFonts w:ascii="Arial" w:hAnsi="Arial" w:cs="Arial"/>
          <w:lang w:val="en-IN"/>
        </w:rPr>
      </w:pPr>
      <w:r w:rsidRPr="008F582F">
        <w:rPr>
          <w:rFonts w:ascii="Arial" w:hAnsi="Arial" w:cs="Arial"/>
          <w:lang w:val="en-IN"/>
        </w:rPr>
        <w:t xml:space="preserve">The error structure assumes that production deviations arise from two distinct sources, where </w:t>
      </w:r>
      <m:oMath>
        <m:sSub>
          <m:sSubPr>
            <m:ctrlPr>
              <w:rPr>
                <w:rFonts w:ascii="Cambria Math" w:hAnsi="Cambria Math" w:cs="Arial"/>
                <w:lang w:val="en-IN"/>
              </w:rPr>
            </m:ctrlPr>
          </m:sSubPr>
          <m:e>
            <m:r>
              <w:rPr>
                <w:rFonts w:ascii="Cambria Math" w:hAnsi="Cambria Math" w:cs="Arial"/>
                <w:lang w:val="en-IN"/>
              </w:rPr>
              <m:t>V</m:t>
            </m:r>
          </m:e>
          <m:sub>
            <m:r>
              <w:rPr>
                <w:rFonts w:ascii="Cambria Math" w:hAnsi="Cambria Math" w:cs="Arial"/>
                <w:lang w:val="en-IN"/>
              </w:rPr>
              <m:t>i</m:t>
            </m:r>
          </m:sub>
        </m:sSub>
      </m:oMath>
      <w:r w:rsidRPr="008F582F">
        <w:rPr>
          <w:rFonts w:ascii="Arial" w:hAnsi="Arial" w:cs="Arial"/>
          <w:lang w:val="en-IN"/>
        </w:rPr>
        <w:t xml:space="preserve">captures uncontrollable randomness and </w:t>
      </w:r>
      <m:oMath>
        <m:sSub>
          <m:sSubPr>
            <m:ctrlPr>
              <w:rPr>
                <w:rFonts w:ascii="Cambria Math" w:hAnsi="Cambria Math" w:cs="Arial"/>
                <w:lang w:val="en-IN"/>
              </w:rPr>
            </m:ctrlPr>
          </m:sSubPr>
          <m:e>
            <m:r>
              <w:rPr>
                <w:rFonts w:ascii="Cambria Math" w:hAnsi="Cambria Math" w:cs="Arial"/>
                <w:lang w:val="en-IN"/>
              </w:rPr>
              <m:t>U</m:t>
            </m:r>
          </m:e>
          <m:sub>
            <m:r>
              <w:rPr>
                <w:rFonts w:ascii="Cambria Math" w:hAnsi="Cambria Math" w:cs="Arial"/>
                <w:lang w:val="en-IN"/>
              </w:rPr>
              <m:t>i</m:t>
            </m:r>
          </m:sub>
        </m:sSub>
      </m:oMath>
      <w:r w:rsidRPr="008F582F">
        <w:rPr>
          <w:rFonts w:ascii="Arial" w:hAnsi="Arial" w:cs="Arial"/>
          <w:lang w:val="en-IN"/>
        </w:rPr>
        <w:t>captures inefficiency arising from farm-specific management practices.</w:t>
      </w:r>
    </w:p>
    <w:p w14:paraId="5D7E3650" w14:textId="77777777" w:rsidR="008F582F" w:rsidRPr="008F582F" w:rsidRDefault="008F582F" w:rsidP="008F582F">
      <w:pPr>
        <w:pStyle w:val="Body"/>
        <w:spacing w:after="0"/>
        <w:jc w:val="left"/>
        <w:rPr>
          <w:rFonts w:ascii="Arial" w:hAnsi="Arial" w:cs="Arial"/>
          <w:lang w:val="en-IN"/>
        </w:rPr>
      </w:pPr>
      <w:r w:rsidRPr="008F582F">
        <w:rPr>
          <w:rFonts w:ascii="Arial" w:hAnsi="Arial" w:cs="Arial"/>
          <w:lang w:val="en-IN"/>
        </w:rPr>
        <w:t>The distributional assumptions of the model are:</w:t>
      </w:r>
    </w:p>
    <w:p w14:paraId="4DF691E6" w14:textId="06127F47" w:rsidR="008F582F" w:rsidRPr="008F582F" w:rsidRDefault="0026164B" w:rsidP="008F582F">
      <w:pPr>
        <w:pStyle w:val="Body"/>
        <w:jc w:val="left"/>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V</m:t>
              </m:r>
            </m:e>
            <m:sub>
              <m:r>
                <w:rPr>
                  <w:rFonts w:ascii="Cambria Math" w:hAnsi="Cambria Math" w:cs="Arial"/>
                  <w:lang w:val="en-IN"/>
                </w:rPr>
                <m:t>i</m:t>
              </m:r>
            </m:sub>
          </m:sSub>
          <m:r>
            <w:rPr>
              <w:rFonts w:ascii="Cambria Math" w:hAnsi="Cambria Math" w:cs="Arial"/>
              <w:lang w:val="en-IN"/>
            </w:rPr>
            <m:t>∼N(0,</m:t>
          </m:r>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v</m:t>
              </m:r>
            </m:sub>
            <m:sup>
              <m:r>
                <w:rPr>
                  <w:rFonts w:ascii="Cambria Math" w:hAnsi="Cambria Math" w:cs="Arial"/>
                  <w:lang w:val="en-IN"/>
                </w:rPr>
                <m:t>2</m:t>
              </m:r>
            </m:sup>
          </m:sSubSup>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U</m:t>
              </m:r>
            </m:e>
            <m:sub>
              <m:r>
                <w:rPr>
                  <w:rFonts w:ascii="Cambria Math" w:hAnsi="Cambria Math" w:cs="Arial"/>
                  <w:lang w:val="en-IN"/>
                </w:rPr>
                <m:t>i</m:t>
              </m:r>
            </m:sub>
          </m:sSub>
          <m:r>
            <w:rPr>
              <w:rFonts w:ascii="Cambria Math" w:hAnsi="Cambria Math" w:cs="Arial"/>
              <w:lang w:val="en-IN"/>
            </w:rPr>
            <m:t>∼</m:t>
          </m:r>
          <m:sSup>
            <m:sSupPr>
              <m:ctrlPr>
                <w:rPr>
                  <w:rFonts w:ascii="Cambria Math" w:hAnsi="Cambria Math" w:cs="Arial"/>
                  <w:lang w:val="en-IN"/>
                </w:rPr>
              </m:ctrlPr>
            </m:sSupPr>
            <m:e>
              <m:r>
                <w:rPr>
                  <w:rFonts w:ascii="Cambria Math" w:hAnsi="Cambria Math" w:cs="Arial"/>
                  <w:lang w:val="en-IN"/>
                </w:rPr>
                <m:t>N</m:t>
              </m:r>
            </m:e>
            <m:sup>
              <m:r>
                <w:rPr>
                  <w:rFonts w:ascii="Cambria Math" w:hAnsi="Cambria Math" w:cs="Arial"/>
                  <w:lang w:val="en-IN"/>
                </w:rPr>
                <m:t>+</m:t>
              </m:r>
            </m:sup>
          </m:sSup>
          <m:r>
            <w:rPr>
              <w:rFonts w:ascii="Cambria Math" w:hAnsi="Cambria Math" w:cs="Arial"/>
              <w:lang w:val="en-IN"/>
            </w:rPr>
            <m:t>(0,</m:t>
          </m:r>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u</m:t>
              </m:r>
            </m:sub>
            <m:sup>
              <m:r>
                <w:rPr>
                  <w:rFonts w:ascii="Cambria Math" w:hAnsi="Cambria Math" w:cs="Arial"/>
                  <w:lang w:val="en-IN"/>
                </w:rPr>
                <m:t>2</m:t>
              </m:r>
            </m:sup>
          </m:sSubSup>
          <m:r>
            <w:rPr>
              <w:rFonts w:ascii="Cambria Math" w:hAnsi="Cambria Math" w:cs="Arial"/>
              <w:lang w:val="en-IN"/>
            </w:rPr>
            <m:t>)</m:t>
          </m:r>
        </m:oMath>
      </m:oMathPara>
    </w:p>
    <w:p w14:paraId="0748018B" w14:textId="7FC300E0" w:rsidR="008F582F" w:rsidRPr="008F582F" w:rsidRDefault="008F582F" w:rsidP="008F582F">
      <w:pPr>
        <w:pStyle w:val="Body"/>
        <w:spacing w:after="0"/>
        <w:jc w:val="left"/>
        <w:rPr>
          <w:rFonts w:ascii="Arial" w:hAnsi="Arial" w:cs="Arial"/>
          <w:lang w:val="en-IN"/>
        </w:rPr>
      </w:pPr>
      <w:r w:rsidRPr="008F582F">
        <w:rPr>
          <w:rFonts w:ascii="Arial" w:hAnsi="Arial" w:cs="Arial"/>
          <w:lang w:val="en-IN"/>
        </w:rPr>
        <w:t xml:space="preserve">where </w:t>
      </w:r>
      <m:oMath>
        <m:sSup>
          <m:sSupPr>
            <m:ctrlPr>
              <w:rPr>
                <w:rFonts w:ascii="Cambria Math" w:hAnsi="Cambria Math" w:cs="Arial"/>
                <w:lang w:val="en-IN"/>
              </w:rPr>
            </m:ctrlPr>
          </m:sSupPr>
          <m:e>
            <m:r>
              <w:rPr>
                <w:rFonts w:ascii="Cambria Math" w:hAnsi="Cambria Math" w:cs="Arial"/>
                <w:lang w:val="en-IN"/>
              </w:rPr>
              <m:t>N</m:t>
            </m:r>
          </m:e>
          <m:sup>
            <m:r>
              <w:rPr>
                <w:rFonts w:ascii="Cambria Math" w:hAnsi="Cambria Math" w:cs="Arial"/>
                <w:lang w:val="en-IN"/>
              </w:rPr>
              <m:t>+</m:t>
            </m:r>
          </m:sup>
        </m:sSup>
      </m:oMath>
      <w:r w:rsidRPr="008F582F">
        <w:rPr>
          <w:rFonts w:ascii="Arial" w:hAnsi="Arial" w:cs="Arial"/>
          <w:lang w:val="en-IN"/>
        </w:rPr>
        <w:t>denotes a truncated normal distribution, ensuring that inefficiency values are non-negative.</w:t>
      </w:r>
    </w:p>
    <w:p w14:paraId="706FF4EE" w14:textId="77777777" w:rsidR="008F582F" w:rsidRPr="008F582F" w:rsidRDefault="008F582F" w:rsidP="008F582F">
      <w:pPr>
        <w:pStyle w:val="Body"/>
        <w:spacing w:after="0"/>
        <w:jc w:val="left"/>
        <w:rPr>
          <w:rFonts w:ascii="Arial" w:hAnsi="Arial" w:cs="Arial"/>
          <w:lang w:val="en-IN"/>
        </w:rPr>
      </w:pPr>
      <w:r w:rsidRPr="008F582F">
        <w:rPr>
          <w:rFonts w:ascii="Arial" w:hAnsi="Arial" w:cs="Arial"/>
          <w:lang w:val="en-IN"/>
        </w:rPr>
        <w:t>Once the stochastic frontier is estimated, technical efficiency for each farm is derived as:</w:t>
      </w:r>
    </w:p>
    <w:p w14:paraId="12143A96" w14:textId="3FB69D7A" w:rsidR="008F582F" w:rsidRPr="008F582F" w:rsidRDefault="0026164B" w:rsidP="008F582F">
      <w:pPr>
        <w:pStyle w:val="Body"/>
        <w:jc w:val="left"/>
        <w:rPr>
          <w:rFonts w:ascii="Arial" w:hAnsi="Arial" w:cs="Arial"/>
          <w:b/>
          <w:bCs/>
          <w:lang w:val="en-IN"/>
        </w:rPr>
      </w:pPr>
      <m:oMathPara>
        <m:oMath>
          <m:m>
            <m:mPr>
              <m:plcHide m:val="1"/>
              <m:mcs>
                <m:mc>
                  <m:mcPr>
                    <m:count m:val="4"/>
                    <m:mcJc m:val="center"/>
                  </m:mcPr>
                </m:mc>
              </m:mcs>
              <m:ctrlPr>
                <w:rPr>
                  <w:rFonts w:ascii="Cambria Math" w:hAnsi="Cambria Math" w:cs="Arial"/>
                  <w:b/>
                  <w:bCs/>
                  <w:lang w:val="en-IN"/>
                </w:rPr>
              </m:ctrlPr>
            </m:mPr>
            <m:mr>
              <m:e/>
              <m:e>
                <m:r>
                  <m:rPr>
                    <m:sty m:val="bi"/>
                  </m:rPr>
                  <w:rPr>
                    <w:rFonts w:ascii="Cambria Math" w:hAnsi="Cambria Math" w:cs="Arial"/>
                    <w:lang w:val="en-IN"/>
                  </w:rPr>
                  <m:t>T</m:t>
                </m:r>
                <m:sSub>
                  <m:sSubPr>
                    <m:ctrlPr>
                      <w:rPr>
                        <w:rFonts w:ascii="Cambria Math" w:hAnsi="Cambria Math" w:cs="Arial"/>
                        <w:b/>
                        <w:bCs/>
                        <w:lang w:val="en-IN"/>
                      </w:rPr>
                    </m:ctrlPr>
                  </m:sSubPr>
                  <m:e>
                    <m:r>
                      <m:rPr>
                        <m:sty m:val="bi"/>
                      </m:rPr>
                      <w:rPr>
                        <w:rFonts w:ascii="Cambria Math" w:hAnsi="Cambria Math" w:cs="Arial"/>
                        <w:lang w:val="en-IN"/>
                      </w:rPr>
                      <m:t>E</m:t>
                    </m:r>
                  </m:e>
                  <m:sub>
                    <m:r>
                      <m:rPr>
                        <m:sty m:val="bi"/>
                      </m:rPr>
                      <w:rPr>
                        <w:rFonts w:ascii="Cambria Math" w:hAnsi="Cambria Math" w:cs="Arial"/>
                        <w:lang w:val="en-IN"/>
                      </w:rPr>
                      <m:t>i</m:t>
                    </m:r>
                  </m:sub>
                </m:sSub>
                <m:r>
                  <m:rPr>
                    <m:sty m:val="bi"/>
                  </m:rPr>
                  <w:rPr>
                    <w:rFonts w:ascii="Cambria Math" w:hAnsi="Cambria Math" w:cs="Arial"/>
                    <w:lang w:val="en-IN"/>
                  </w:rPr>
                  <m:t>=</m:t>
                </m:r>
                <m:r>
                  <m:rPr>
                    <m:sty m:val="b"/>
                  </m:rPr>
                  <w:rPr>
                    <w:rFonts w:ascii="Cambria Math" w:hAnsi="Cambria Math" w:cs="Arial"/>
                    <w:lang w:val="en-IN"/>
                  </w:rPr>
                  <m:t>exp</m:t>
                </m:r>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U</m:t>
                    </m:r>
                  </m:e>
                  <m:sub>
                    <m:r>
                      <m:rPr>
                        <m:sty m:val="bi"/>
                      </m:rPr>
                      <w:rPr>
                        <w:rFonts w:ascii="Cambria Math" w:hAnsi="Cambria Math" w:cs="Arial"/>
                        <w:lang w:val="en-IN"/>
                      </w:rPr>
                      <m:t>i</m:t>
                    </m:r>
                  </m:sub>
                </m:sSub>
                <m:r>
                  <m:rPr>
                    <m:sty m:val="bi"/>
                  </m:rPr>
                  <w:rPr>
                    <w:rFonts w:ascii="Cambria Math" w:hAnsi="Cambria Math" w:cs="Arial"/>
                    <w:lang w:val="en-IN"/>
                  </w:rPr>
                  <m:t>)</m:t>
                </m:r>
              </m:e>
              <m:e/>
              <m:e>
                <m:r>
                  <m:rPr>
                    <m:nor/>
                  </m:rPr>
                  <w:rPr>
                    <w:rFonts w:ascii="Arial" w:hAnsi="Arial" w:cs="Arial"/>
                    <w:b/>
                    <w:bCs/>
                    <w:lang w:val="en-IN"/>
                  </w:rPr>
                  <m:t>(13)</m:t>
                </m:r>
              </m:e>
            </m:mr>
          </m:m>
          <m:r>
            <m:rPr>
              <m:sty m:val="p"/>
            </m:rPr>
            <w:rPr>
              <w:rFonts w:ascii="Arial" w:hAnsi="Arial" w:cs="Arial"/>
              <w:lang w:val="en-IN"/>
            </w:rPr>
            <w:br/>
          </m:r>
        </m:oMath>
      </m:oMathPara>
    </w:p>
    <w:p w14:paraId="2D18442A" w14:textId="77777777" w:rsidR="008F582F" w:rsidRPr="008F582F" w:rsidRDefault="008F582F" w:rsidP="008F582F">
      <w:pPr>
        <w:pStyle w:val="Body"/>
        <w:spacing w:after="0"/>
        <w:rPr>
          <w:rFonts w:ascii="Arial" w:hAnsi="Arial" w:cs="Arial"/>
          <w:lang w:val="en-IN"/>
        </w:rPr>
      </w:pPr>
      <w:r w:rsidRPr="008F582F">
        <w:rPr>
          <w:rFonts w:ascii="Arial" w:hAnsi="Arial" w:cs="Arial"/>
          <w:lang w:val="en-IN"/>
        </w:rPr>
        <w:lastRenderedPageBreak/>
        <w:t>Technical efficiency (TE) measures the extent to which a farm operates relative to the best-practice frontier. Its value ranges between 0 and 1, where a value closer to 1 indicates higher efficiency, meaning the farm is producing near the optimal frontier, while lower values indicate greater inefficiency and scope for improvement.</w:t>
      </w:r>
    </w:p>
    <w:p w14:paraId="16FBD787" w14:textId="77777777" w:rsidR="008F582F" w:rsidRPr="008F582F" w:rsidRDefault="008F582F" w:rsidP="008F582F">
      <w:pPr>
        <w:pStyle w:val="Body"/>
        <w:spacing w:after="0"/>
        <w:rPr>
          <w:rFonts w:ascii="Arial" w:hAnsi="Arial" w:cs="Arial"/>
          <w:lang w:val="en-IN"/>
        </w:rPr>
      </w:pPr>
      <w:r w:rsidRPr="008F582F">
        <w:rPr>
          <w:rFonts w:ascii="Arial" w:hAnsi="Arial" w:cs="Arial"/>
          <w:lang w:val="en-IN"/>
        </w:rPr>
        <w:t>To further understand the relative contribution of inefficiency in total variation, the variance decomposition parameter is estimated as:</w:t>
      </w:r>
    </w:p>
    <w:p w14:paraId="56880878" w14:textId="16F84F4D" w:rsidR="008F582F" w:rsidRPr="008F582F" w:rsidRDefault="0026164B" w:rsidP="008F582F">
      <w:pPr>
        <w:pStyle w:val="Body"/>
        <w:rPr>
          <w:rFonts w:ascii="Arial" w:hAnsi="Arial" w:cs="Arial"/>
          <w:b/>
          <w:bCs/>
          <w:lang w:val="en-IN"/>
        </w:rPr>
      </w:pPr>
      <m:oMathPara>
        <m:oMath>
          <m:m>
            <m:mPr>
              <m:plcHide m:val="1"/>
              <m:mcs>
                <m:mc>
                  <m:mcPr>
                    <m:count m:val="4"/>
                    <m:mcJc m:val="center"/>
                  </m:mcPr>
                </m:mc>
              </m:mcs>
              <m:ctrlPr>
                <w:rPr>
                  <w:rFonts w:ascii="Cambria Math" w:hAnsi="Cambria Math" w:cs="Arial"/>
                  <w:b/>
                  <w:bCs/>
                  <w:lang w:val="en-IN"/>
                </w:rPr>
              </m:ctrlPr>
            </m:mPr>
            <m:mr>
              <m:e/>
              <m:e>
                <m:r>
                  <m:rPr>
                    <m:sty m:val="bi"/>
                  </m:rPr>
                  <w:rPr>
                    <w:rFonts w:ascii="Cambria Math" w:hAnsi="Cambria Math" w:cs="Arial"/>
                    <w:lang w:val="en-IN"/>
                  </w:rPr>
                  <m:t>γ=</m:t>
                </m:r>
                <m:f>
                  <m:fPr>
                    <m:ctrlPr>
                      <w:rPr>
                        <w:rFonts w:ascii="Cambria Math" w:hAnsi="Cambria Math" w:cs="Arial"/>
                        <w:b/>
                        <w:bCs/>
                        <w:lang w:val="en-IN"/>
                      </w:rPr>
                    </m:ctrlPr>
                  </m:fPr>
                  <m:num>
                    <m:sSubSup>
                      <m:sSubSupPr>
                        <m:ctrlPr>
                          <w:rPr>
                            <w:rFonts w:ascii="Cambria Math" w:hAnsi="Cambria Math" w:cs="Arial"/>
                            <w:b/>
                            <w:bCs/>
                            <w:lang w:val="en-IN"/>
                          </w:rPr>
                        </m:ctrlPr>
                      </m:sSubSupPr>
                      <m:e>
                        <m:r>
                          <m:rPr>
                            <m:sty m:val="bi"/>
                          </m:rPr>
                          <w:rPr>
                            <w:rFonts w:ascii="Cambria Math" w:hAnsi="Cambria Math" w:cs="Arial"/>
                            <w:lang w:val="en-IN"/>
                          </w:rPr>
                          <m:t>σ</m:t>
                        </m:r>
                      </m:e>
                      <m:sub>
                        <m:r>
                          <m:rPr>
                            <m:sty m:val="bi"/>
                          </m:rPr>
                          <w:rPr>
                            <w:rFonts w:ascii="Cambria Math" w:hAnsi="Cambria Math" w:cs="Arial"/>
                            <w:lang w:val="en-IN"/>
                          </w:rPr>
                          <m:t>u</m:t>
                        </m:r>
                      </m:sub>
                      <m:sup>
                        <m:r>
                          <m:rPr>
                            <m:sty m:val="bi"/>
                          </m:rPr>
                          <w:rPr>
                            <w:rFonts w:ascii="Cambria Math" w:hAnsi="Cambria Math" w:cs="Arial"/>
                            <w:lang w:val="en-IN"/>
                          </w:rPr>
                          <m:t>2</m:t>
                        </m:r>
                      </m:sup>
                    </m:sSubSup>
                  </m:num>
                  <m:den>
                    <m:sSubSup>
                      <m:sSubSupPr>
                        <m:ctrlPr>
                          <w:rPr>
                            <w:rFonts w:ascii="Cambria Math" w:hAnsi="Cambria Math" w:cs="Arial"/>
                            <w:b/>
                            <w:bCs/>
                            <w:lang w:val="en-IN"/>
                          </w:rPr>
                        </m:ctrlPr>
                      </m:sSubSupPr>
                      <m:e>
                        <m:r>
                          <m:rPr>
                            <m:sty m:val="bi"/>
                          </m:rPr>
                          <w:rPr>
                            <w:rFonts w:ascii="Cambria Math" w:hAnsi="Cambria Math" w:cs="Arial"/>
                            <w:lang w:val="en-IN"/>
                          </w:rPr>
                          <m:t>σ</m:t>
                        </m:r>
                      </m:e>
                      <m:sub>
                        <m:r>
                          <m:rPr>
                            <m:sty m:val="bi"/>
                          </m:rPr>
                          <w:rPr>
                            <w:rFonts w:ascii="Cambria Math" w:hAnsi="Cambria Math" w:cs="Arial"/>
                            <w:lang w:val="en-IN"/>
                          </w:rPr>
                          <m:t>u</m:t>
                        </m:r>
                      </m:sub>
                      <m:sup>
                        <m:r>
                          <m:rPr>
                            <m:sty m:val="bi"/>
                          </m:rPr>
                          <w:rPr>
                            <w:rFonts w:ascii="Cambria Math" w:hAnsi="Cambria Math" w:cs="Arial"/>
                            <w:lang w:val="en-IN"/>
                          </w:rPr>
                          <m:t>2</m:t>
                        </m:r>
                      </m:sup>
                    </m:sSubSup>
                    <m:r>
                      <m:rPr>
                        <m:sty m:val="bi"/>
                      </m:rPr>
                      <w:rPr>
                        <w:rFonts w:ascii="Cambria Math" w:hAnsi="Cambria Math" w:cs="Arial"/>
                        <w:lang w:val="en-IN"/>
                      </w:rPr>
                      <m:t>+</m:t>
                    </m:r>
                    <m:sSubSup>
                      <m:sSubSupPr>
                        <m:ctrlPr>
                          <w:rPr>
                            <w:rFonts w:ascii="Cambria Math" w:hAnsi="Cambria Math" w:cs="Arial"/>
                            <w:b/>
                            <w:bCs/>
                            <w:lang w:val="en-IN"/>
                          </w:rPr>
                        </m:ctrlPr>
                      </m:sSubSupPr>
                      <m:e>
                        <m:r>
                          <m:rPr>
                            <m:sty m:val="bi"/>
                          </m:rPr>
                          <w:rPr>
                            <w:rFonts w:ascii="Cambria Math" w:hAnsi="Cambria Math" w:cs="Arial"/>
                            <w:lang w:val="en-IN"/>
                          </w:rPr>
                          <m:t>σ</m:t>
                        </m:r>
                      </m:e>
                      <m:sub>
                        <m:r>
                          <m:rPr>
                            <m:sty m:val="bi"/>
                          </m:rPr>
                          <w:rPr>
                            <w:rFonts w:ascii="Cambria Math" w:hAnsi="Cambria Math" w:cs="Arial"/>
                            <w:lang w:val="en-IN"/>
                          </w:rPr>
                          <m:t>v</m:t>
                        </m:r>
                      </m:sub>
                      <m:sup>
                        <m:r>
                          <m:rPr>
                            <m:sty m:val="bi"/>
                          </m:rPr>
                          <w:rPr>
                            <w:rFonts w:ascii="Cambria Math" w:hAnsi="Cambria Math" w:cs="Arial"/>
                            <w:lang w:val="en-IN"/>
                          </w:rPr>
                          <m:t>2</m:t>
                        </m:r>
                      </m:sup>
                    </m:sSubSup>
                  </m:den>
                </m:f>
              </m:e>
              <m:e/>
              <m:e>
                <m:r>
                  <m:rPr>
                    <m:nor/>
                  </m:rPr>
                  <w:rPr>
                    <w:rFonts w:ascii="Arial" w:hAnsi="Arial" w:cs="Arial"/>
                    <w:b/>
                    <w:bCs/>
                    <w:lang w:val="en-IN"/>
                  </w:rPr>
                  <m:t>(14)</m:t>
                </m:r>
              </m:e>
            </m:mr>
          </m:m>
          <m:r>
            <m:rPr>
              <m:sty m:val="p"/>
            </m:rPr>
            <w:rPr>
              <w:rFonts w:ascii="Arial" w:hAnsi="Arial" w:cs="Arial"/>
              <w:lang w:val="en-IN"/>
            </w:rPr>
            <w:br/>
          </m:r>
        </m:oMath>
      </m:oMathPara>
    </w:p>
    <w:p w14:paraId="4385FE9E" w14:textId="69DE1A40" w:rsidR="00906FE4" w:rsidRPr="00906FE4" w:rsidRDefault="008F582F" w:rsidP="002908D3">
      <w:pPr>
        <w:pStyle w:val="Body"/>
        <w:spacing w:after="0"/>
        <w:rPr>
          <w:rFonts w:ascii="Arial" w:hAnsi="Arial" w:cs="Arial"/>
          <w:lang w:val="en-IN"/>
        </w:rPr>
      </w:pPr>
      <w:r w:rsidRPr="008F582F">
        <w:rPr>
          <w:rFonts w:ascii="Arial" w:hAnsi="Arial" w:cs="Arial"/>
          <w:lang w:val="en-IN"/>
        </w:rPr>
        <w:t xml:space="preserve">The parameter </w:t>
      </w:r>
      <m:oMath>
        <m:r>
          <w:rPr>
            <w:rFonts w:ascii="Cambria Math" w:hAnsi="Cambria Math" w:cs="Arial"/>
            <w:lang w:val="en-IN"/>
          </w:rPr>
          <m:t>γ</m:t>
        </m:r>
      </m:oMath>
      <w:r w:rsidRPr="008F582F">
        <w:rPr>
          <w:rFonts w:ascii="Arial" w:hAnsi="Arial" w:cs="Arial"/>
          <w:lang w:val="en-IN"/>
        </w:rPr>
        <w:t xml:space="preserve">lies between 0 and 1 and indicates the proportion of total variation in output that is attributed to technical inefficiency. A higher value of </w:t>
      </w:r>
      <m:oMath>
        <m:r>
          <w:rPr>
            <w:rFonts w:ascii="Cambria Math" w:hAnsi="Cambria Math" w:cs="Arial"/>
            <w:lang w:val="en-IN"/>
          </w:rPr>
          <m:t>γ</m:t>
        </m:r>
      </m:oMath>
      <w:r w:rsidRPr="008F582F">
        <w:rPr>
          <w:rFonts w:ascii="Arial" w:hAnsi="Arial" w:cs="Arial"/>
          <w:lang w:val="en-IN"/>
        </w:rPr>
        <w:t>suggests that inefficiency effects dominate over random noise, while a lower value indicates that random shocks play a more significant role in explaining output variation.</w:t>
      </w:r>
    </w:p>
    <w:p w14:paraId="0685DE66" w14:textId="77777777" w:rsidR="00906FE4" w:rsidRPr="00906FE4" w:rsidRDefault="00906FE4" w:rsidP="00906FE4">
      <w:pPr>
        <w:pStyle w:val="Body"/>
        <w:spacing w:after="0"/>
        <w:rPr>
          <w:rFonts w:ascii="Arial" w:hAnsi="Arial" w:cs="Arial"/>
          <w:b/>
          <w:bCs/>
          <w:lang w:val="en-IN"/>
        </w:rPr>
      </w:pPr>
      <w:r w:rsidRPr="00906FE4">
        <w:rPr>
          <w:rFonts w:ascii="Arial" w:hAnsi="Arial" w:cs="Arial"/>
          <w:b/>
          <w:bCs/>
          <w:lang w:val="en-IN"/>
        </w:rPr>
        <w:t>2.4.6 Tobit Regression Model</w:t>
      </w:r>
    </w:p>
    <w:p w14:paraId="6E77A32E" w14:textId="77777777" w:rsidR="00F10837" w:rsidRPr="00F10837" w:rsidRDefault="00F10837" w:rsidP="00F10837">
      <w:pPr>
        <w:pStyle w:val="Body"/>
        <w:spacing w:after="0"/>
        <w:rPr>
          <w:rFonts w:ascii="Arial" w:hAnsi="Arial" w:cs="Arial"/>
          <w:lang w:val="en-IN"/>
        </w:rPr>
      </w:pPr>
      <w:r w:rsidRPr="00F10837">
        <w:rPr>
          <w:rFonts w:ascii="Arial" w:hAnsi="Arial" w:cs="Arial"/>
          <w:lang w:val="en-IN"/>
        </w:rPr>
        <w:t>Since technical efficiency scores obtained from SFA are bounded between 0 and 1, a Tobit regression model is used to identify the determinants of efficiency. This model is appropriate for censored dependent variables and avoids the bias associated with Ordinary Least Squares estimation.</w:t>
      </w:r>
    </w:p>
    <w:p w14:paraId="7EBC128B" w14:textId="77777777" w:rsidR="00F10837" w:rsidRPr="00F10837" w:rsidRDefault="00F10837" w:rsidP="00F10837">
      <w:pPr>
        <w:pStyle w:val="Body"/>
        <w:spacing w:after="0"/>
        <w:rPr>
          <w:rFonts w:ascii="Arial" w:hAnsi="Arial" w:cs="Arial"/>
          <w:lang w:val="en-IN"/>
        </w:rPr>
      </w:pPr>
      <w:r w:rsidRPr="00F10837">
        <w:rPr>
          <w:rFonts w:ascii="Arial" w:hAnsi="Arial" w:cs="Arial"/>
          <w:lang w:val="en-IN"/>
        </w:rPr>
        <w:t>The Tobit model is specified as:</w:t>
      </w:r>
    </w:p>
    <w:p w14:paraId="10206200" w14:textId="60E53766" w:rsidR="00F10837" w:rsidRPr="00F10837" w:rsidRDefault="0026164B" w:rsidP="00F10837">
      <w:pPr>
        <w:pStyle w:val="Body"/>
        <w:rPr>
          <w:rFonts w:ascii="Arial" w:hAnsi="Arial" w:cs="Arial"/>
          <w:b/>
          <w:bCs/>
          <w:lang w:val="en-IN"/>
        </w:rPr>
      </w:pPr>
      <m:oMathPara>
        <m:oMath>
          <m:m>
            <m:mPr>
              <m:plcHide m:val="1"/>
              <m:mcs>
                <m:mc>
                  <m:mcPr>
                    <m:count m:val="4"/>
                    <m:mcJc m:val="center"/>
                  </m:mcPr>
                </m:mc>
              </m:mcs>
              <m:ctrlPr>
                <w:rPr>
                  <w:rFonts w:ascii="Cambria Math" w:hAnsi="Cambria Math" w:cs="Arial"/>
                  <w:b/>
                  <w:bCs/>
                  <w:lang w:val="en-IN"/>
                </w:rPr>
              </m:ctrlPr>
            </m:mPr>
            <m:mr>
              <m:e/>
              <m:e>
                <m:r>
                  <m:rPr>
                    <m:sty m:val="bi"/>
                  </m:rPr>
                  <w:rPr>
                    <w:rFonts w:ascii="Cambria Math" w:hAnsi="Cambria Math" w:cs="Arial"/>
                    <w:lang w:val="en-IN"/>
                  </w:rPr>
                  <m:t>T</m:t>
                </m:r>
                <m:sSub>
                  <m:sSubPr>
                    <m:ctrlPr>
                      <w:rPr>
                        <w:rFonts w:ascii="Cambria Math" w:hAnsi="Cambria Math" w:cs="Arial"/>
                        <w:b/>
                        <w:bCs/>
                        <w:lang w:val="en-IN"/>
                      </w:rPr>
                    </m:ctrlPr>
                  </m:sSubPr>
                  <m:e>
                    <m:r>
                      <m:rPr>
                        <m:sty m:val="bi"/>
                      </m:rPr>
                      <w:rPr>
                        <w:rFonts w:ascii="Cambria Math" w:hAnsi="Cambria Math" w:cs="Arial"/>
                        <w:lang w:val="en-IN"/>
                      </w:rPr>
                      <m:t>E</m:t>
                    </m:r>
                  </m:e>
                  <m:sub>
                    <m:r>
                      <m:rPr>
                        <m:sty m:val="bi"/>
                      </m:rPr>
                      <w:rPr>
                        <w:rFonts w:ascii="Cambria Math" w:hAnsi="Cambria Math" w:cs="Arial"/>
                        <w:lang w:val="en-IN"/>
                      </w:rPr>
                      <m:t>i</m:t>
                    </m:r>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β</m:t>
                    </m:r>
                  </m:e>
                  <m:sub>
                    <m:r>
                      <m:rPr>
                        <m:sty m:val="bi"/>
                      </m:rPr>
                      <w:rPr>
                        <w:rFonts w:ascii="Cambria Math" w:hAnsi="Cambria Math" w:cs="Arial"/>
                        <w:lang w:val="en-IN"/>
                      </w:rPr>
                      <m:t>0</m:t>
                    </m:r>
                  </m:sub>
                </m:sSub>
                <m:r>
                  <m:rPr>
                    <m:sty m:val="bi"/>
                  </m:rPr>
                  <w:rPr>
                    <w:rFonts w:ascii="Cambria Math" w:hAnsi="Cambria Math" w:cs="Arial"/>
                    <w:lang w:val="en-IN"/>
                  </w:rPr>
                  <m:t>+</m:t>
                </m:r>
                <m:nary>
                  <m:naryPr>
                    <m:chr m:val="∑"/>
                    <m:limLoc m:val="undOvr"/>
                    <m:grow m:val="1"/>
                    <m:ctrlPr>
                      <w:rPr>
                        <w:rFonts w:ascii="Cambria Math" w:hAnsi="Cambria Math" w:cs="Arial"/>
                        <w:b/>
                        <w:bCs/>
                        <w:lang w:val="en-IN"/>
                      </w:rPr>
                    </m:ctrlPr>
                  </m:naryPr>
                  <m:sub>
                    <m:r>
                      <m:rPr>
                        <m:sty m:val="bi"/>
                      </m:rPr>
                      <w:rPr>
                        <w:rFonts w:ascii="Cambria Math" w:hAnsi="Cambria Math" w:cs="Arial"/>
                        <w:lang w:val="en-IN"/>
                      </w:rPr>
                      <m:t>j=1</m:t>
                    </m:r>
                  </m:sub>
                  <m:sup>
                    <m:r>
                      <m:rPr>
                        <m:sty m:val="bi"/>
                      </m:rPr>
                      <w:rPr>
                        <w:rFonts w:ascii="Cambria Math" w:hAnsi="Cambria Math" w:cs="Arial"/>
                        <w:lang w:val="en-IN"/>
                      </w:rPr>
                      <m:t>m</m:t>
                    </m:r>
                  </m:sup>
                  <m:e>
                    <m:sSub>
                      <m:sSubPr>
                        <m:ctrlPr>
                          <w:rPr>
                            <w:rFonts w:ascii="Cambria Math" w:hAnsi="Cambria Math" w:cs="Arial"/>
                            <w:b/>
                            <w:bCs/>
                            <w:lang w:val="en-IN"/>
                          </w:rPr>
                        </m:ctrlPr>
                      </m:sSubPr>
                      <m:e>
                        <m:r>
                          <m:rPr>
                            <m:sty m:val="bi"/>
                          </m:rPr>
                          <w:rPr>
                            <w:rFonts w:ascii="Cambria Math" w:hAnsi="Cambria Math" w:cs="Arial"/>
                            <w:lang w:val="en-IN"/>
                          </w:rPr>
                          <m:t>β</m:t>
                        </m:r>
                      </m:e>
                      <m:sub>
                        <m:r>
                          <m:rPr>
                            <m:sty m:val="bi"/>
                          </m:rPr>
                          <w:rPr>
                            <w:rFonts w:ascii="Cambria Math" w:hAnsi="Cambria Math" w:cs="Arial"/>
                            <w:lang w:val="en-IN"/>
                          </w:rPr>
                          <m:t>j</m:t>
                        </m:r>
                      </m:sub>
                    </m:sSub>
                  </m:e>
                </m:nary>
                <m:sSub>
                  <m:sSubPr>
                    <m:ctrlPr>
                      <w:rPr>
                        <w:rFonts w:ascii="Cambria Math" w:hAnsi="Cambria Math" w:cs="Arial"/>
                        <w:b/>
                        <w:bCs/>
                        <w:lang w:val="en-IN"/>
                      </w:rPr>
                    </m:ctrlPr>
                  </m:sSubPr>
                  <m:e>
                    <m:r>
                      <m:rPr>
                        <m:sty m:val="bi"/>
                      </m:rPr>
                      <w:rPr>
                        <w:rFonts w:ascii="Cambria Math" w:hAnsi="Cambria Math" w:cs="Arial"/>
                        <w:lang w:val="en-IN"/>
                      </w:rPr>
                      <m:t>Z</m:t>
                    </m:r>
                  </m:e>
                  <m:sub>
                    <m:r>
                      <m:rPr>
                        <m:sty m:val="bi"/>
                      </m:rPr>
                      <w:rPr>
                        <w:rFonts w:ascii="Cambria Math" w:hAnsi="Cambria Math" w:cs="Arial"/>
                        <w:lang w:val="en-IN"/>
                      </w:rPr>
                      <m:t>ji</m:t>
                    </m:r>
                  </m:sub>
                </m:sSub>
                <m:r>
                  <m:rPr>
                    <m:sty m:val="bi"/>
                  </m:rPr>
                  <w:rPr>
                    <w:rFonts w:ascii="Cambria Math" w:hAnsi="Cambria Math" w:cs="Arial"/>
                    <w:lang w:val="en-IN"/>
                  </w:rPr>
                  <m:t>+</m:t>
                </m:r>
                <m:sSub>
                  <m:sSubPr>
                    <m:ctrlPr>
                      <w:rPr>
                        <w:rFonts w:ascii="Cambria Math" w:hAnsi="Cambria Math" w:cs="Arial"/>
                        <w:b/>
                        <w:bCs/>
                        <w:lang w:val="en-IN"/>
                      </w:rPr>
                    </m:ctrlPr>
                  </m:sSubPr>
                  <m:e>
                    <m:r>
                      <m:rPr>
                        <m:sty m:val="bi"/>
                      </m:rPr>
                      <w:rPr>
                        <w:rFonts w:ascii="Cambria Math" w:hAnsi="Cambria Math" w:cs="Arial"/>
                        <w:lang w:val="en-IN"/>
                      </w:rPr>
                      <m:t>ε</m:t>
                    </m:r>
                  </m:e>
                  <m:sub>
                    <m:r>
                      <m:rPr>
                        <m:sty m:val="bi"/>
                      </m:rPr>
                      <w:rPr>
                        <w:rFonts w:ascii="Cambria Math" w:hAnsi="Cambria Math" w:cs="Arial"/>
                        <w:lang w:val="en-IN"/>
                      </w:rPr>
                      <m:t>i</m:t>
                    </m:r>
                  </m:sub>
                </m:sSub>
              </m:e>
              <m:e/>
              <m:e>
                <m:r>
                  <m:rPr>
                    <m:nor/>
                  </m:rPr>
                  <w:rPr>
                    <w:rFonts w:ascii="Arial" w:hAnsi="Arial" w:cs="Arial"/>
                    <w:b/>
                    <w:bCs/>
                    <w:lang w:val="en-IN"/>
                  </w:rPr>
                  <m:t>(15)</m:t>
                </m:r>
              </m:e>
            </m:mr>
          </m:m>
          <m:r>
            <m:rPr>
              <m:sty m:val="p"/>
            </m:rPr>
            <w:rPr>
              <w:rFonts w:ascii="Arial" w:hAnsi="Arial" w:cs="Arial"/>
              <w:lang w:val="en-IN"/>
            </w:rPr>
            <w:br/>
          </m:r>
        </m:oMath>
      </m:oMathPara>
    </w:p>
    <w:p w14:paraId="098A3384" w14:textId="77777777" w:rsidR="00F10837" w:rsidRDefault="00F10837" w:rsidP="00F10837">
      <w:pPr>
        <w:pStyle w:val="Body"/>
        <w:spacing w:after="0"/>
        <w:jc w:val="left"/>
        <w:rPr>
          <w:rFonts w:ascii="Arial" w:hAnsi="Arial" w:cs="Arial"/>
          <w:lang w:val="en-IN"/>
        </w:rPr>
      </w:pPr>
      <w:r w:rsidRPr="00F10837">
        <w:rPr>
          <w:rFonts w:ascii="Arial" w:hAnsi="Arial" w:cs="Arial"/>
          <w:lang w:val="en-IN"/>
        </w:rPr>
        <w:t>Where</w:t>
      </w:r>
      <w:r>
        <w:rPr>
          <w:rFonts w:ascii="Arial" w:hAnsi="Arial" w:cs="Arial"/>
          <w:lang w:val="en-IN"/>
        </w:rPr>
        <w:t>:</w:t>
      </w:r>
    </w:p>
    <w:p w14:paraId="594F7EE7" w14:textId="157E5A06" w:rsidR="00F10837" w:rsidRDefault="00F10837" w:rsidP="00F10837">
      <w:pPr>
        <w:pStyle w:val="Body"/>
        <w:spacing w:after="0"/>
        <w:jc w:val="left"/>
        <w:rPr>
          <w:rFonts w:ascii="Arial" w:hAnsi="Arial" w:cs="Arial"/>
          <w:lang w:val="en-IN"/>
        </w:rPr>
      </w:pPr>
      <m:oMath>
        <m:r>
          <w:rPr>
            <w:rFonts w:ascii="Cambria Math" w:hAnsi="Cambria Math" w:cs="Arial"/>
            <w:lang w:val="en-IN"/>
          </w:rPr>
          <m:t>T</m:t>
        </m:r>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oMath>
      <w:r w:rsidRPr="00F10837">
        <w:rPr>
          <w:rFonts w:ascii="Arial" w:hAnsi="Arial" w:cs="Arial"/>
          <w:lang w:val="en-IN"/>
        </w:rPr>
        <w:t xml:space="preserve">is the technical efficiency score of the </w:t>
      </w:r>
      <m:oMath>
        <m:sSup>
          <m:sSupPr>
            <m:ctrlPr>
              <w:rPr>
                <w:rFonts w:ascii="Cambria Math" w:hAnsi="Cambria Math" w:cs="Arial"/>
                <w:lang w:val="en-IN"/>
              </w:rPr>
            </m:ctrlPr>
          </m:sSupPr>
          <m:e>
            <m:r>
              <w:rPr>
                <w:rFonts w:ascii="Cambria Math" w:hAnsi="Cambria Math" w:cs="Arial"/>
                <w:lang w:val="en-IN"/>
              </w:rPr>
              <m:t>i</m:t>
            </m:r>
          </m:e>
          <m:sup>
            <m:r>
              <w:rPr>
                <w:rFonts w:ascii="Cambria Math" w:hAnsi="Cambria Math" w:cs="Arial"/>
                <w:lang w:val="en-IN"/>
              </w:rPr>
              <m:t>th</m:t>
            </m:r>
          </m:sup>
        </m:sSup>
      </m:oMath>
      <w:r w:rsidRPr="00F10837">
        <w:rPr>
          <w:rFonts w:ascii="Arial" w:hAnsi="Arial" w:cs="Arial"/>
          <w:lang w:val="en-IN"/>
        </w:rPr>
        <w:t>farm,</w:t>
      </w:r>
    </w:p>
    <w:p w14:paraId="27BBA51D" w14:textId="7038789D" w:rsidR="00F10837" w:rsidRDefault="0026164B" w:rsidP="00F10837">
      <w:pPr>
        <w:pStyle w:val="Body"/>
        <w:spacing w:after="0"/>
        <w:jc w:val="left"/>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ji</m:t>
            </m:r>
          </m:sub>
        </m:sSub>
      </m:oMath>
      <w:r w:rsidR="00D47FFA">
        <w:rPr>
          <w:rFonts w:ascii="Arial" w:hAnsi="Arial" w:cs="Arial"/>
          <w:lang w:val="en-IN"/>
        </w:rPr>
        <w:t xml:space="preserve"> </w:t>
      </w:r>
      <w:r w:rsidR="00F10837" w:rsidRPr="00F10837">
        <w:rPr>
          <w:rFonts w:ascii="Arial" w:hAnsi="Arial" w:cs="Arial"/>
          <w:lang w:val="en-IN"/>
        </w:rPr>
        <w:t>represents socio-economic variables such as age, education, farm size, farming experience,</w:t>
      </w:r>
    </w:p>
    <w:p w14:paraId="55BA3AEC" w14:textId="412E6C51" w:rsidR="00F10837" w:rsidRDefault="0026164B" w:rsidP="00F10837">
      <w:pPr>
        <w:pStyle w:val="Body"/>
        <w:spacing w:after="0"/>
        <w:jc w:val="left"/>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j</m:t>
            </m:r>
          </m:sub>
        </m:sSub>
      </m:oMath>
      <w:r w:rsidR="00F10837" w:rsidRPr="00F10837">
        <w:rPr>
          <w:rFonts w:ascii="Arial" w:hAnsi="Arial" w:cs="Arial"/>
          <w:lang w:val="en-IN"/>
        </w:rPr>
        <w:t>are parameters to be estimated</w:t>
      </w:r>
    </w:p>
    <w:p w14:paraId="455C4515" w14:textId="2CFE3E23" w:rsidR="00F10837" w:rsidRPr="00F10837" w:rsidRDefault="0026164B" w:rsidP="00F10837">
      <w:pPr>
        <w:pStyle w:val="Body"/>
        <w:spacing w:after="0"/>
        <w:jc w:val="left"/>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ε</m:t>
            </m:r>
          </m:e>
          <m:sub>
            <m:r>
              <w:rPr>
                <w:rFonts w:ascii="Cambria Math" w:hAnsi="Cambria Math" w:cs="Arial"/>
                <w:lang w:val="en-IN"/>
              </w:rPr>
              <m:t>i</m:t>
            </m:r>
          </m:sub>
        </m:sSub>
      </m:oMath>
      <w:r w:rsidR="00F10837" w:rsidRPr="00F10837">
        <w:rPr>
          <w:rFonts w:ascii="Arial" w:hAnsi="Arial" w:cs="Arial"/>
          <w:lang w:val="en-IN"/>
        </w:rPr>
        <w:t>is the error term.</w:t>
      </w:r>
    </w:p>
    <w:p w14:paraId="7FD32179" w14:textId="77777777" w:rsidR="00F10837" w:rsidRPr="00F10837" w:rsidRDefault="00F10837" w:rsidP="00F10837">
      <w:pPr>
        <w:pStyle w:val="Body"/>
        <w:spacing w:after="0"/>
        <w:rPr>
          <w:rFonts w:ascii="Arial" w:hAnsi="Arial" w:cs="Arial"/>
          <w:lang w:val="en-IN"/>
        </w:rPr>
      </w:pPr>
      <w:r w:rsidRPr="00F10837">
        <w:rPr>
          <w:rFonts w:ascii="Arial" w:hAnsi="Arial" w:cs="Arial"/>
          <w:lang w:val="en-IN"/>
        </w:rPr>
        <w:t>The model is estimated using Maximum Likelihood Estimation (MLE), which accounts for the censored nature of the dependent variable and provides consistent parameter estimates.</w:t>
      </w:r>
    </w:p>
    <w:p w14:paraId="4F3F424A" w14:textId="77777777" w:rsidR="00790ADA" w:rsidRPr="00FB3A86" w:rsidRDefault="00790ADA" w:rsidP="00441B6F">
      <w:pPr>
        <w:pStyle w:val="Body"/>
        <w:spacing w:after="0"/>
        <w:rPr>
          <w:rFonts w:ascii="Arial" w:hAnsi="Arial" w:cs="Arial"/>
        </w:rPr>
      </w:pPr>
    </w:p>
    <w:p w14:paraId="0CEA03E4" w14:textId="60513B3D" w:rsidR="00A47A53" w:rsidRPr="00BC5DA7" w:rsidRDefault="00000F8F" w:rsidP="00BC5DA7">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52DACC" w14:textId="2FC0D9B8" w:rsidR="00C03219" w:rsidRPr="00A47A53" w:rsidRDefault="00986B89" w:rsidP="00A47A53">
      <w:pPr>
        <w:pStyle w:val="Body"/>
        <w:spacing w:after="0"/>
        <w:rPr>
          <w:rFonts w:ascii="Arial" w:hAnsi="Arial" w:cs="Arial"/>
          <w:b/>
          <w:bCs/>
          <w:sz w:val="22"/>
          <w:szCs w:val="22"/>
          <w:lang w:val="en-IN"/>
        </w:rPr>
      </w:pPr>
      <w:r w:rsidRPr="00A47A53">
        <w:rPr>
          <w:rFonts w:ascii="Arial" w:hAnsi="Arial" w:cs="Arial"/>
          <w:b/>
          <w:bCs/>
          <w:sz w:val="22"/>
          <w:szCs w:val="22"/>
          <w:lang w:val="en-IN"/>
        </w:rPr>
        <w:t>3.1 PRODUCTION BEHAVIOUR AND RESOURCE USE EFFICIENCY</w:t>
      </w:r>
    </w:p>
    <w:p w14:paraId="7AFC7835" w14:textId="146D444F" w:rsidR="00C03219" w:rsidRPr="00A47A53" w:rsidRDefault="00A47A53" w:rsidP="00A47A53">
      <w:pPr>
        <w:pStyle w:val="Body"/>
        <w:spacing w:after="0"/>
        <w:rPr>
          <w:rFonts w:ascii="Arial" w:hAnsi="Arial" w:cs="Arial"/>
          <w:b/>
          <w:bCs/>
          <w:i/>
          <w:iCs/>
          <w:lang w:val="en-IN"/>
        </w:rPr>
      </w:pPr>
      <w:r w:rsidRPr="00A47A53">
        <w:rPr>
          <w:rFonts w:ascii="Arial" w:hAnsi="Arial" w:cs="Arial"/>
          <w:b/>
          <w:bCs/>
          <w:i/>
          <w:iCs/>
          <w:lang w:val="en-IN"/>
        </w:rPr>
        <w:t>3.1.1 Estimated Production Function</w:t>
      </w:r>
    </w:p>
    <w:p w14:paraId="77D74F4B" w14:textId="77777777" w:rsidR="00BC5DA7" w:rsidRPr="00BC5DA7" w:rsidRDefault="00BC5DA7" w:rsidP="00BC5DA7">
      <w:pPr>
        <w:pStyle w:val="Body"/>
        <w:spacing w:after="0"/>
        <w:rPr>
          <w:rFonts w:ascii="Arial" w:hAnsi="Arial" w:cs="Arial"/>
          <w:lang w:val="en-IN"/>
        </w:rPr>
      </w:pPr>
      <w:r w:rsidRPr="00BC5DA7">
        <w:rPr>
          <w:rFonts w:ascii="Arial" w:hAnsi="Arial" w:cs="Arial"/>
          <w:lang w:val="en-IN"/>
        </w:rPr>
        <w:t>The estimated Cobb–Douglas production function provided elasticity coefficients that were interpreted in percentage terms, along with goodness-of-fit measured through adjusted R² expressed as a percentage. The model exhibited strong explanatory power, with adjusted R² values of 85 per cent for marginal farms, 89 per cent for small farms, and 82 per cent for overall farms, indicating that the included inputs explained a substantial proportion of the variation in output across all farm categories.</w:t>
      </w:r>
    </w:p>
    <w:p w14:paraId="1A09DC4C" w14:textId="77777777" w:rsidR="00BC5DA7" w:rsidRPr="00BC5DA7" w:rsidRDefault="00BC5DA7" w:rsidP="00BC5DA7">
      <w:pPr>
        <w:pStyle w:val="Body"/>
        <w:spacing w:after="0"/>
        <w:rPr>
          <w:rFonts w:ascii="Arial" w:hAnsi="Arial" w:cs="Arial"/>
          <w:lang w:val="en-IN"/>
        </w:rPr>
      </w:pPr>
      <w:r w:rsidRPr="00BC5DA7">
        <w:rPr>
          <w:rFonts w:ascii="Arial" w:hAnsi="Arial" w:cs="Arial"/>
          <w:lang w:val="en-IN"/>
        </w:rPr>
        <w:t xml:space="preserve">In the case of marginal farms, seed emerged as a key determinant of output, with an elasticity of 0.21, implying that a 1 per cent increase in seed use increased output by 0.21 per cent, and this effect was statistically significant. Fertilizer showed an even stronger positive influence, with an elasticity of 0.36, indicating that a 1 per cent increase in fertilizer application led to a 0.36 per cent increase in output, also highly significant. In contrast, human labour, with an elasticity of 0.006, suggested that a 1 per cent increase in labour increased output by only 0.006 per cent, and this effect was not statistically significant, pointing towards negligible marginal productivity. Notably, plant protection chemicals exhibited a negative elasticity of -0.58, indicating that a 1 per cent increase in their use led to </w:t>
      </w:r>
      <w:r w:rsidRPr="00BC5DA7">
        <w:rPr>
          <w:rFonts w:ascii="Arial" w:hAnsi="Arial" w:cs="Arial"/>
          <w:lang w:val="en-IN"/>
        </w:rPr>
        <w:lastRenderedPageBreak/>
        <w:t>a 0.58 per cent decrease in output, and this effect was statistically significant, suggesting misuse or excessive application among marginal farmers.</w:t>
      </w:r>
    </w:p>
    <w:p w14:paraId="2DEA02B9" w14:textId="77777777" w:rsidR="00BC5DA7" w:rsidRPr="00BC5DA7" w:rsidRDefault="00BC5DA7" w:rsidP="00BC5DA7">
      <w:pPr>
        <w:pStyle w:val="Body"/>
        <w:spacing w:after="0"/>
        <w:rPr>
          <w:rFonts w:ascii="Arial" w:hAnsi="Arial" w:cs="Arial"/>
          <w:lang w:val="en-IN"/>
        </w:rPr>
      </w:pPr>
    </w:p>
    <w:p w14:paraId="07550064" w14:textId="77777777" w:rsidR="00BC5DA7" w:rsidRPr="00BC5DA7" w:rsidRDefault="00BC5DA7" w:rsidP="00BC5DA7">
      <w:pPr>
        <w:pStyle w:val="Body"/>
        <w:spacing w:after="0"/>
        <w:rPr>
          <w:rFonts w:ascii="Arial" w:hAnsi="Arial" w:cs="Arial"/>
          <w:lang w:val="en-IN"/>
        </w:rPr>
      </w:pPr>
      <w:r w:rsidRPr="00BC5DA7">
        <w:rPr>
          <w:rFonts w:ascii="Arial" w:hAnsi="Arial" w:cs="Arial"/>
          <w:lang w:val="en-IN"/>
        </w:rPr>
        <w:t>For small farms, the elasticity of seed was -0.06, implying that a 1 per cent increase in seed use resulted in a 0.06 per cent decrease in output, although this effect was statistically insignificant and hence not reliable for inference. Human labour continued to show a negligible and insignificant impact, with an elasticity of 0.001, indicating almost no responsiveness of output to labour changes. Fertilizer maintained a positive and significant elasticity of 0.06, meaning that a 1 per cent increase in fertilizer use raised output by 0.06 per cent, confirming its productivity-enhancing role. Similarly, plant protection chemicals exhibited a positive and significant elasticity of 0.17, suggesting that a 1 per cent increase in their use increased output by 0.17 per cent, reflecting more efficient usage compared to marginal farms.</w:t>
      </w:r>
    </w:p>
    <w:p w14:paraId="4A5573BE" w14:textId="77777777" w:rsidR="00BC5DA7" w:rsidRPr="00BC5DA7" w:rsidRDefault="00BC5DA7" w:rsidP="00BC5DA7">
      <w:pPr>
        <w:pStyle w:val="Body"/>
        <w:spacing w:after="0"/>
        <w:rPr>
          <w:rFonts w:ascii="Arial" w:hAnsi="Arial" w:cs="Arial"/>
          <w:lang w:val="en-IN"/>
        </w:rPr>
      </w:pPr>
    </w:p>
    <w:p w14:paraId="2B7F4860" w14:textId="492BCC18" w:rsidR="00BC5DA7" w:rsidRDefault="00BC5DA7" w:rsidP="00A47A53">
      <w:pPr>
        <w:pStyle w:val="Body"/>
        <w:spacing w:after="0"/>
        <w:rPr>
          <w:rFonts w:ascii="Arial" w:hAnsi="Arial" w:cs="Arial"/>
          <w:lang w:val="en-IN"/>
        </w:rPr>
      </w:pPr>
      <w:r w:rsidRPr="00BC5DA7">
        <w:rPr>
          <w:rFonts w:ascii="Arial" w:hAnsi="Arial" w:cs="Arial"/>
          <w:lang w:val="en-IN"/>
        </w:rPr>
        <w:t>At the overall level, seed retained its importance with an elasticity of 0.20, indicating that a 1 per cent increase in seed use increased output by 0.20 per cent, and this effect was statistically significant. Human labour showed a positive and significant elasticity of 0.013, implying that a 1 per cent increase in labour contributed to a 0.013 per cent increase in output, although the magnitude remained relatively small. Fertilizer, however, exhibited a negative elasticity of -0.07, indicating that a 1 per cent increase in fertilizer use reduced output by 0.07 per cent, and this effect was statistically significant, suggesting overuse or imbalance in application at the aggregate level. Plant protection chemicals demonstrated a strong positive and significant elasticity of 0.40, meaning that a 1 per cent increase in their use led to a 0.40 per cent increase in output, highlighting their importance when applied appropriately.</w:t>
      </w:r>
    </w:p>
    <w:p w14:paraId="77CAC785" w14:textId="30419DD8" w:rsidR="00F10837" w:rsidRDefault="002B1CC1" w:rsidP="002B1CC1">
      <w:pPr>
        <w:rPr>
          <w:rFonts w:ascii="Arial" w:hAnsi="Arial" w:cs="Arial"/>
          <w:b/>
          <w:bCs/>
        </w:rPr>
      </w:pPr>
      <w:r w:rsidRPr="003346CE">
        <w:rPr>
          <w:rFonts w:ascii="Arial" w:hAnsi="Arial" w:cs="Arial"/>
          <w:b/>
          <w:bCs/>
        </w:rPr>
        <w:t>Table</w:t>
      </w:r>
      <w:r w:rsidR="00E213DA">
        <w:rPr>
          <w:rFonts w:ascii="Arial" w:hAnsi="Arial" w:cs="Arial"/>
          <w:b/>
          <w:bCs/>
        </w:rPr>
        <w:t xml:space="preserve"> 2:</w:t>
      </w:r>
      <w:r w:rsidRPr="003346CE">
        <w:rPr>
          <w:rFonts w:ascii="Arial" w:hAnsi="Arial" w:cs="Arial"/>
          <w:b/>
          <w:bCs/>
        </w:rPr>
        <w:t xml:space="preserve"> </w:t>
      </w:r>
      <w:r w:rsidR="00E213DA" w:rsidRPr="00E213DA">
        <w:rPr>
          <w:rFonts w:ascii="Arial" w:hAnsi="Arial" w:cs="Arial"/>
          <w:b/>
          <w:bCs/>
        </w:rPr>
        <w:t>Cobb</w:t>
      </w:r>
      <w:r w:rsidR="003C08C1">
        <w:rPr>
          <w:rFonts w:ascii="Arial" w:hAnsi="Arial" w:cs="Arial"/>
          <w:b/>
          <w:bCs/>
        </w:rPr>
        <w:t>-</w:t>
      </w:r>
      <w:r w:rsidR="00E213DA" w:rsidRPr="00E213DA">
        <w:rPr>
          <w:rFonts w:ascii="Arial" w:hAnsi="Arial" w:cs="Arial"/>
          <w:b/>
          <w:bCs/>
        </w:rPr>
        <w:t xml:space="preserve">Douglas Production Function Estimates (Elasticities and t-values) across Farm Categories </w:t>
      </w:r>
    </w:p>
    <w:tbl>
      <w:tblPr>
        <w:tblStyle w:val="TableGrid"/>
        <w:tblW w:w="0" w:type="auto"/>
        <w:tblLook w:val="04A0" w:firstRow="1" w:lastRow="0" w:firstColumn="1" w:lastColumn="0" w:noHBand="0" w:noVBand="1"/>
      </w:tblPr>
      <w:tblGrid>
        <w:gridCol w:w="1250"/>
        <w:gridCol w:w="1195"/>
        <w:gridCol w:w="1195"/>
        <w:gridCol w:w="1194"/>
        <w:gridCol w:w="1196"/>
        <w:gridCol w:w="1197"/>
        <w:gridCol w:w="1197"/>
      </w:tblGrid>
      <w:tr w:rsidR="00F10837" w:rsidRPr="00F10837" w14:paraId="47BB3B1E" w14:textId="77777777" w:rsidTr="003C08C1">
        <w:trPr>
          <w:trHeight w:val="317"/>
        </w:trPr>
        <w:tc>
          <w:tcPr>
            <w:tcW w:w="1250" w:type="dxa"/>
          </w:tcPr>
          <w:p w14:paraId="220C59F1" w14:textId="15B14B8D" w:rsidR="00F10837" w:rsidRPr="00FC79C9" w:rsidRDefault="00FC79C9" w:rsidP="00F10837">
            <w:pPr>
              <w:jc w:val="center"/>
              <w:rPr>
                <w:rFonts w:ascii="Arial" w:hAnsi="Arial" w:cs="Arial"/>
                <w:b/>
                <w:bCs/>
                <w:sz w:val="20"/>
                <w:szCs w:val="20"/>
              </w:rPr>
            </w:pPr>
            <w:r w:rsidRPr="00FC79C9">
              <w:rPr>
                <w:rFonts w:ascii="Arial" w:hAnsi="Arial" w:cs="Arial"/>
                <w:b/>
                <w:bCs/>
                <w:sz w:val="20"/>
                <w:szCs w:val="20"/>
              </w:rPr>
              <w:t>Particulars</w:t>
            </w:r>
          </w:p>
        </w:tc>
        <w:tc>
          <w:tcPr>
            <w:tcW w:w="2390" w:type="dxa"/>
            <w:gridSpan w:val="2"/>
          </w:tcPr>
          <w:p w14:paraId="7AEBEF93" w14:textId="6C40BCDA" w:rsidR="00F10837" w:rsidRPr="00F10837" w:rsidRDefault="00F10837" w:rsidP="00F10837">
            <w:pPr>
              <w:jc w:val="center"/>
              <w:rPr>
                <w:rFonts w:ascii="Arial" w:hAnsi="Arial" w:cs="Arial"/>
                <w:b/>
                <w:bCs/>
                <w:sz w:val="20"/>
                <w:szCs w:val="20"/>
              </w:rPr>
            </w:pPr>
            <w:r w:rsidRPr="00F10837">
              <w:rPr>
                <w:rFonts w:ascii="Arial" w:hAnsi="Arial" w:cs="Arial"/>
                <w:b/>
                <w:bCs/>
                <w:sz w:val="20"/>
                <w:szCs w:val="20"/>
              </w:rPr>
              <w:t>Marginal Farms</w:t>
            </w:r>
          </w:p>
        </w:tc>
        <w:tc>
          <w:tcPr>
            <w:tcW w:w="2390" w:type="dxa"/>
            <w:gridSpan w:val="2"/>
          </w:tcPr>
          <w:p w14:paraId="2C574C8B" w14:textId="05901E94" w:rsidR="00F10837" w:rsidRPr="00F10837" w:rsidRDefault="00F10837" w:rsidP="00F10837">
            <w:pPr>
              <w:jc w:val="center"/>
              <w:rPr>
                <w:rFonts w:ascii="Arial" w:hAnsi="Arial" w:cs="Arial"/>
                <w:b/>
                <w:bCs/>
                <w:sz w:val="20"/>
                <w:szCs w:val="20"/>
              </w:rPr>
            </w:pPr>
            <w:r w:rsidRPr="00F10837">
              <w:rPr>
                <w:rFonts w:ascii="Arial" w:hAnsi="Arial" w:cs="Arial"/>
                <w:b/>
                <w:bCs/>
                <w:sz w:val="20"/>
                <w:szCs w:val="20"/>
              </w:rPr>
              <w:t>Small Farms</w:t>
            </w:r>
          </w:p>
        </w:tc>
        <w:tc>
          <w:tcPr>
            <w:tcW w:w="2394" w:type="dxa"/>
            <w:gridSpan w:val="2"/>
          </w:tcPr>
          <w:p w14:paraId="6938EBCE" w14:textId="2E564BE1" w:rsidR="00F10837" w:rsidRPr="00F10837" w:rsidRDefault="00F10837" w:rsidP="00F10837">
            <w:pPr>
              <w:jc w:val="center"/>
              <w:rPr>
                <w:rFonts w:ascii="Arial" w:hAnsi="Arial" w:cs="Arial"/>
                <w:b/>
                <w:bCs/>
                <w:sz w:val="20"/>
                <w:szCs w:val="20"/>
              </w:rPr>
            </w:pPr>
            <w:r w:rsidRPr="00F10837">
              <w:rPr>
                <w:rFonts w:ascii="Arial" w:hAnsi="Arial" w:cs="Arial"/>
                <w:b/>
                <w:bCs/>
                <w:sz w:val="20"/>
                <w:szCs w:val="20"/>
              </w:rPr>
              <w:t>Overall Farms</w:t>
            </w:r>
          </w:p>
        </w:tc>
      </w:tr>
      <w:tr w:rsidR="00F10837" w:rsidRPr="00F10837" w14:paraId="4D3A8C09" w14:textId="77777777" w:rsidTr="003C08C1">
        <w:tc>
          <w:tcPr>
            <w:tcW w:w="1250" w:type="dxa"/>
          </w:tcPr>
          <w:p w14:paraId="5CAF122B" w14:textId="77777777" w:rsidR="00F10837" w:rsidRDefault="00F10837" w:rsidP="00F10837">
            <w:pPr>
              <w:jc w:val="center"/>
              <w:rPr>
                <w:rFonts w:ascii="Arial" w:hAnsi="Arial" w:cs="Arial"/>
                <w:b/>
                <w:bCs/>
                <w:sz w:val="20"/>
                <w:szCs w:val="20"/>
              </w:rPr>
            </w:pPr>
            <w:r w:rsidRPr="00F10837">
              <w:rPr>
                <w:rFonts w:ascii="Arial" w:hAnsi="Arial" w:cs="Arial"/>
                <w:b/>
                <w:bCs/>
                <w:sz w:val="20"/>
                <w:szCs w:val="20"/>
              </w:rPr>
              <w:t>Variables</w:t>
            </w:r>
          </w:p>
          <w:p w14:paraId="767A57DC" w14:textId="77777777" w:rsidR="00E213DA" w:rsidRPr="00F10837" w:rsidRDefault="00E213DA" w:rsidP="00F10837">
            <w:pPr>
              <w:jc w:val="center"/>
              <w:rPr>
                <w:rFonts w:ascii="Arial" w:hAnsi="Arial" w:cs="Arial"/>
                <w:b/>
                <w:bCs/>
                <w:sz w:val="20"/>
                <w:szCs w:val="20"/>
              </w:rPr>
            </w:pPr>
          </w:p>
        </w:tc>
        <w:tc>
          <w:tcPr>
            <w:tcW w:w="1195" w:type="dxa"/>
          </w:tcPr>
          <w:p w14:paraId="4E898E41" w14:textId="0CC016ED" w:rsidR="00F10837" w:rsidRPr="00F10837" w:rsidRDefault="00F10837" w:rsidP="00F10837">
            <w:pPr>
              <w:jc w:val="center"/>
              <w:rPr>
                <w:rFonts w:ascii="Arial" w:hAnsi="Arial" w:cs="Arial"/>
                <w:b/>
                <w:bCs/>
                <w:sz w:val="20"/>
                <w:szCs w:val="20"/>
              </w:rPr>
            </w:pPr>
            <w:r w:rsidRPr="00F10837">
              <w:rPr>
                <w:rFonts w:ascii="Arial" w:hAnsi="Arial" w:cs="Arial"/>
                <w:b/>
                <w:bCs/>
                <w:sz w:val="20"/>
                <w:szCs w:val="20"/>
              </w:rPr>
              <w:t>β</w:t>
            </w:r>
          </w:p>
        </w:tc>
        <w:tc>
          <w:tcPr>
            <w:tcW w:w="1195" w:type="dxa"/>
          </w:tcPr>
          <w:p w14:paraId="0E232CDB" w14:textId="4E6CA457" w:rsidR="00F10837" w:rsidRPr="00F10837" w:rsidRDefault="00C36069" w:rsidP="00F10837">
            <w:pPr>
              <w:jc w:val="center"/>
              <w:rPr>
                <w:rFonts w:ascii="Arial" w:hAnsi="Arial" w:cs="Arial"/>
                <w:b/>
                <w:bCs/>
                <w:sz w:val="20"/>
                <w:szCs w:val="20"/>
              </w:rPr>
            </w:pPr>
            <w:r>
              <w:rPr>
                <w:rFonts w:ascii="Arial" w:hAnsi="Arial" w:cs="Arial"/>
                <w:b/>
                <w:bCs/>
                <w:sz w:val="20"/>
                <w:szCs w:val="20"/>
              </w:rPr>
              <w:t>(</w:t>
            </w:r>
            <w:r w:rsidR="00F10837" w:rsidRPr="00F10837">
              <w:rPr>
                <w:rFonts w:ascii="Arial" w:hAnsi="Arial" w:cs="Arial"/>
                <w:b/>
                <w:bCs/>
                <w:sz w:val="20"/>
                <w:szCs w:val="20"/>
              </w:rPr>
              <w:t>t-value</w:t>
            </w:r>
            <w:r>
              <w:rPr>
                <w:rFonts w:ascii="Arial" w:hAnsi="Arial" w:cs="Arial"/>
                <w:b/>
                <w:bCs/>
                <w:sz w:val="20"/>
                <w:szCs w:val="20"/>
              </w:rPr>
              <w:t>)</w:t>
            </w:r>
          </w:p>
        </w:tc>
        <w:tc>
          <w:tcPr>
            <w:tcW w:w="1194" w:type="dxa"/>
          </w:tcPr>
          <w:p w14:paraId="767C8DD8" w14:textId="331D4C9F" w:rsidR="00F10837" w:rsidRPr="00F10837" w:rsidRDefault="00F10837" w:rsidP="00F10837">
            <w:pPr>
              <w:jc w:val="center"/>
              <w:rPr>
                <w:rFonts w:ascii="Arial" w:hAnsi="Arial" w:cs="Arial"/>
                <w:b/>
                <w:bCs/>
                <w:sz w:val="20"/>
                <w:szCs w:val="20"/>
              </w:rPr>
            </w:pPr>
            <w:r w:rsidRPr="00F10837">
              <w:rPr>
                <w:rFonts w:ascii="Arial" w:hAnsi="Arial" w:cs="Arial"/>
                <w:b/>
                <w:bCs/>
                <w:sz w:val="20"/>
                <w:szCs w:val="20"/>
              </w:rPr>
              <w:t>β</w:t>
            </w:r>
          </w:p>
        </w:tc>
        <w:tc>
          <w:tcPr>
            <w:tcW w:w="1196" w:type="dxa"/>
          </w:tcPr>
          <w:p w14:paraId="235A91D4" w14:textId="6DDD7600" w:rsidR="00F10837" w:rsidRPr="00F10837" w:rsidRDefault="00C36069" w:rsidP="00F10837">
            <w:pPr>
              <w:jc w:val="center"/>
              <w:rPr>
                <w:rFonts w:ascii="Arial" w:hAnsi="Arial" w:cs="Arial"/>
                <w:b/>
                <w:bCs/>
                <w:sz w:val="20"/>
                <w:szCs w:val="20"/>
              </w:rPr>
            </w:pPr>
            <w:r>
              <w:rPr>
                <w:rFonts w:ascii="Arial" w:hAnsi="Arial" w:cs="Arial"/>
                <w:b/>
                <w:bCs/>
                <w:sz w:val="20"/>
                <w:szCs w:val="20"/>
              </w:rPr>
              <w:t>(</w:t>
            </w:r>
            <w:r w:rsidR="00F10837" w:rsidRPr="00F10837">
              <w:rPr>
                <w:rFonts w:ascii="Arial" w:hAnsi="Arial" w:cs="Arial"/>
                <w:b/>
                <w:bCs/>
                <w:sz w:val="20"/>
                <w:szCs w:val="20"/>
              </w:rPr>
              <w:t>t-value</w:t>
            </w:r>
            <w:r>
              <w:rPr>
                <w:rFonts w:ascii="Arial" w:hAnsi="Arial" w:cs="Arial"/>
                <w:b/>
                <w:bCs/>
                <w:sz w:val="20"/>
                <w:szCs w:val="20"/>
              </w:rPr>
              <w:t>)</w:t>
            </w:r>
          </w:p>
        </w:tc>
        <w:tc>
          <w:tcPr>
            <w:tcW w:w="1197" w:type="dxa"/>
          </w:tcPr>
          <w:p w14:paraId="64993D51" w14:textId="3F301E2B" w:rsidR="00F10837" w:rsidRPr="00F10837" w:rsidRDefault="00F10837" w:rsidP="00F10837">
            <w:pPr>
              <w:jc w:val="center"/>
              <w:rPr>
                <w:rFonts w:ascii="Arial" w:hAnsi="Arial" w:cs="Arial"/>
                <w:b/>
                <w:bCs/>
                <w:sz w:val="20"/>
                <w:szCs w:val="20"/>
              </w:rPr>
            </w:pPr>
            <w:r w:rsidRPr="00F10837">
              <w:rPr>
                <w:rFonts w:ascii="Arial" w:hAnsi="Arial" w:cs="Arial"/>
                <w:b/>
                <w:bCs/>
                <w:sz w:val="20"/>
                <w:szCs w:val="20"/>
              </w:rPr>
              <w:t>β</w:t>
            </w:r>
          </w:p>
        </w:tc>
        <w:tc>
          <w:tcPr>
            <w:tcW w:w="1197" w:type="dxa"/>
          </w:tcPr>
          <w:p w14:paraId="65D23B51" w14:textId="271B61AD" w:rsidR="00F10837" w:rsidRPr="00F10837" w:rsidRDefault="00C36069" w:rsidP="00F10837">
            <w:pPr>
              <w:jc w:val="center"/>
              <w:rPr>
                <w:rFonts w:ascii="Arial" w:hAnsi="Arial" w:cs="Arial"/>
                <w:b/>
                <w:bCs/>
                <w:sz w:val="20"/>
                <w:szCs w:val="20"/>
              </w:rPr>
            </w:pPr>
            <w:r>
              <w:rPr>
                <w:rFonts w:ascii="Arial" w:hAnsi="Arial" w:cs="Arial"/>
                <w:b/>
                <w:bCs/>
                <w:sz w:val="20"/>
                <w:szCs w:val="20"/>
              </w:rPr>
              <w:t>(</w:t>
            </w:r>
            <w:r w:rsidR="00F10837" w:rsidRPr="00F10837">
              <w:rPr>
                <w:rFonts w:ascii="Arial" w:hAnsi="Arial" w:cs="Arial"/>
                <w:b/>
                <w:bCs/>
                <w:sz w:val="20"/>
                <w:szCs w:val="20"/>
              </w:rPr>
              <w:t>t-value</w:t>
            </w:r>
            <w:r>
              <w:rPr>
                <w:rFonts w:ascii="Arial" w:hAnsi="Arial" w:cs="Arial"/>
                <w:b/>
                <w:bCs/>
                <w:sz w:val="20"/>
                <w:szCs w:val="20"/>
              </w:rPr>
              <w:t>)</w:t>
            </w:r>
          </w:p>
        </w:tc>
      </w:tr>
      <w:tr w:rsidR="00F10837" w:rsidRPr="00F10837" w14:paraId="04A2D579" w14:textId="77777777" w:rsidTr="003C08C1">
        <w:tc>
          <w:tcPr>
            <w:tcW w:w="1250" w:type="dxa"/>
          </w:tcPr>
          <w:p w14:paraId="076CDC6B" w14:textId="77777777" w:rsidR="00E213DA" w:rsidRDefault="00F10837" w:rsidP="00F10837">
            <w:pPr>
              <w:jc w:val="center"/>
              <w:rPr>
                <w:rFonts w:ascii="Arial" w:hAnsi="Arial" w:cs="Arial"/>
                <w:b/>
                <w:bCs/>
                <w:sz w:val="20"/>
                <w:szCs w:val="20"/>
              </w:rPr>
            </w:pPr>
            <w:r w:rsidRPr="00F10837">
              <w:rPr>
                <w:rFonts w:ascii="Arial" w:hAnsi="Arial" w:cs="Arial"/>
                <w:b/>
                <w:bCs/>
                <w:sz w:val="20"/>
                <w:szCs w:val="20"/>
              </w:rPr>
              <w:t xml:space="preserve">Seed </w:t>
            </w:r>
          </w:p>
          <w:p w14:paraId="5A1B078A" w14:textId="740BE569" w:rsidR="00F10837" w:rsidRPr="00F10837" w:rsidRDefault="00F10837" w:rsidP="00F10837">
            <w:pPr>
              <w:jc w:val="center"/>
              <w:rPr>
                <w:rFonts w:ascii="Arial" w:hAnsi="Arial" w:cs="Arial"/>
                <w:b/>
                <w:bCs/>
                <w:sz w:val="20"/>
                <w:szCs w:val="20"/>
              </w:rPr>
            </w:pPr>
            <w:r w:rsidRPr="00F10837">
              <w:rPr>
                <w:rFonts w:ascii="Arial" w:hAnsi="Arial" w:cs="Arial"/>
                <w:b/>
                <w:bCs/>
                <w:sz w:val="20"/>
                <w:szCs w:val="20"/>
              </w:rPr>
              <w:t>(X1)</w:t>
            </w:r>
          </w:p>
        </w:tc>
        <w:tc>
          <w:tcPr>
            <w:tcW w:w="1195" w:type="dxa"/>
          </w:tcPr>
          <w:p w14:paraId="59FD23E8" w14:textId="465309EA" w:rsidR="00F10837" w:rsidRPr="00F10837" w:rsidRDefault="00F10837" w:rsidP="00F10837">
            <w:pPr>
              <w:jc w:val="center"/>
              <w:rPr>
                <w:rFonts w:ascii="Arial" w:hAnsi="Arial" w:cs="Arial"/>
                <w:sz w:val="20"/>
                <w:szCs w:val="20"/>
              </w:rPr>
            </w:pPr>
            <w:r w:rsidRPr="00F10837">
              <w:rPr>
                <w:rFonts w:ascii="Arial" w:hAnsi="Arial" w:cs="Arial"/>
                <w:sz w:val="20"/>
                <w:szCs w:val="20"/>
              </w:rPr>
              <w:t>0.21*</w:t>
            </w:r>
            <w:r w:rsidR="00C36069">
              <w:rPr>
                <w:rFonts w:ascii="Arial" w:hAnsi="Arial" w:cs="Arial"/>
                <w:sz w:val="20"/>
                <w:szCs w:val="20"/>
              </w:rPr>
              <w:t>*</w:t>
            </w:r>
            <w:r w:rsidR="003C08C1">
              <w:rPr>
                <w:rFonts w:ascii="Arial" w:hAnsi="Arial" w:cs="Arial"/>
                <w:sz w:val="20"/>
                <w:szCs w:val="20"/>
              </w:rPr>
              <w:t>*</w:t>
            </w:r>
          </w:p>
        </w:tc>
        <w:tc>
          <w:tcPr>
            <w:tcW w:w="1195" w:type="dxa"/>
          </w:tcPr>
          <w:p w14:paraId="5F574EE6" w14:textId="4AB70ACB" w:rsidR="00F10837" w:rsidRPr="00F10837" w:rsidRDefault="00C36069" w:rsidP="00F10837">
            <w:pPr>
              <w:jc w:val="center"/>
              <w:rPr>
                <w:rFonts w:ascii="Arial" w:hAnsi="Arial" w:cs="Arial"/>
                <w:sz w:val="20"/>
                <w:szCs w:val="20"/>
              </w:rPr>
            </w:pPr>
            <w:r>
              <w:rPr>
                <w:rFonts w:ascii="Arial" w:hAnsi="Arial" w:cs="Arial"/>
                <w:sz w:val="20"/>
                <w:szCs w:val="20"/>
              </w:rPr>
              <w:t>(</w:t>
            </w:r>
            <w:r w:rsidR="00F10837" w:rsidRPr="00F10837">
              <w:rPr>
                <w:rFonts w:ascii="Arial" w:hAnsi="Arial" w:cs="Arial"/>
                <w:sz w:val="20"/>
                <w:szCs w:val="20"/>
              </w:rPr>
              <w:t>3.74</w:t>
            </w:r>
            <w:r>
              <w:rPr>
                <w:rFonts w:ascii="Arial" w:hAnsi="Arial" w:cs="Arial"/>
                <w:sz w:val="20"/>
                <w:szCs w:val="20"/>
              </w:rPr>
              <w:t>)</w:t>
            </w:r>
          </w:p>
        </w:tc>
        <w:tc>
          <w:tcPr>
            <w:tcW w:w="1194" w:type="dxa"/>
          </w:tcPr>
          <w:p w14:paraId="337AC2AB" w14:textId="531C1159" w:rsidR="00F10837" w:rsidRPr="00F10837" w:rsidRDefault="00E213DA" w:rsidP="00F10837">
            <w:pPr>
              <w:jc w:val="center"/>
              <w:rPr>
                <w:rFonts w:ascii="Arial" w:hAnsi="Arial" w:cs="Arial"/>
                <w:sz w:val="20"/>
                <w:szCs w:val="20"/>
              </w:rPr>
            </w:pPr>
            <w:r>
              <w:rPr>
                <w:rFonts w:ascii="Arial" w:hAnsi="Arial" w:cs="Arial"/>
                <w:sz w:val="20"/>
                <w:szCs w:val="20"/>
              </w:rPr>
              <w:t>-</w:t>
            </w:r>
            <w:r w:rsidR="00F10837" w:rsidRPr="00F10837">
              <w:rPr>
                <w:rFonts w:ascii="Arial" w:hAnsi="Arial" w:cs="Arial"/>
                <w:sz w:val="20"/>
                <w:szCs w:val="20"/>
              </w:rPr>
              <w:t>0.06</w:t>
            </w:r>
          </w:p>
        </w:tc>
        <w:tc>
          <w:tcPr>
            <w:tcW w:w="1196" w:type="dxa"/>
          </w:tcPr>
          <w:p w14:paraId="078AF04B" w14:textId="2704F86E" w:rsidR="00F10837" w:rsidRPr="00F10837" w:rsidRDefault="00C36069" w:rsidP="00F10837">
            <w:pPr>
              <w:jc w:val="center"/>
              <w:rPr>
                <w:rFonts w:ascii="Arial" w:hAnsi="Arial" w:cs="Arial"/>
                <w:sz w:val="20"/>
                <w:szCs w:val="20"/>
              </w:rPr>
            </w:pPr>
            <w:r>
              <w:rPr>
                <w:rFonts w:ascii="Arial" w:hAnsi="Arial" w:cs="Arial"/>
                <w:sz w:val="20"/>
                <w:szCs w:val="20"/>
              </w:rPr>
              <w:t>(</w:t>
            </w:r>
            <w:r w:rsidR="00F10837" w:rsidRPr="00F10837">
              <w:rPr>
                <w:rFonts w:ascii="Arial" w:hAnsi="Arial" w:cs="Arial"/>
                <w:sz w:val="20"/>
                <w:szCs w:val="20"/>
              </w:rPr>
              <w:t>1.52</w:t>
            </w:r>
            <w:r>
              <w:rPr>
                <w:rFonts w:ascii="Arial" w:hAnsi="Arial" w:cs="Arial"/>
                <w:sz w:val="20"/>
                <w:szCs w:val="20"/>
              </w:rPr>
              <w:t>)</w:t>
            </w:r>
          </w:p>
        </w:tc>
        <w:tc>
          <w:tcPr>
            <w:tcW w:w="1197" w:type="dxa"/>
          </w:tcPr>
          <w:p w14:paraId="78311C5F" w14:textId="7AB04280" w:rsidR="00F10837" w:rsidRPr="00F10837" w:rsidRDefault="00F10837" w:rsidP="00F10837">
            <w:pPr>
              <w:jc w:val="center"/>
              <w:rPr>
                <w:rFonts w:ascii="Arial" w:hAnsi="Arial" w:cs="Arial"/>
                <w:sz w:val="20"/>
                <w:szCs w:val="20"/>
              </w:rPr>
            </w:pPr>
            <w:r w:rsidRPr="00F10837">
              <w:rPr>
                <w:rFonts w:ascii="Arial" w:hAnsi="Arial" w:cs="Arial"/>
                <w:sz w:val="20"/>
                <w:szCs w:val="20"/>
              </w:rPr>
              <w:t>0.20*</w:t>
            </w:r>
            <w:r w:rsidR="00C36069">
              <w:rPr>
                <w:rFonts w:ascii="Arial" w:hAnsi="Arial" w:cs="Arial"/>
                <w:sz w:val="20"/>
                <w:szCs w:val="20"/>
              </w:rPr>
              <w:t>*</w:t>
            </w:r>
            <w:r w:rsidR="003C08C1">
              <w:rPr>
                <w:rFonts w:ascii="Arial" w:hAnsi="Arial" w:cs="Arial"/>
                <w:sz w:val="20"/>
                <w:szCs w:val="20"/>
              </w:rPr>
              <w:t>*</w:t>
            </w:r>
          </w:p>
        </w:tc>
        <w:tc>
          <w:tcPr>
            <w:tcW w:w="1197" w:type="dxa"/>
          </w:tcPr>
          <w:p w14:paraId="0F1A7262" w14:textId="74B68F2B" w:rsidR="00F10837" w:rsidRPr="00F10837" w:rsidRDefault="00C36069" w:rsidP="00F10837">
            <w:pPr>
              <w:jc w:val="center"/>
              <w:rPr>
                <w:rFonts w:ascii="Arial" w:hAnsi="Arial" w:cs="Arial"/>
                <w:sz w:val="20"/>
                <w:szCs w:val="20"/>
              </w:rPr>
            </w:pPr>
            <w:r>
              <w:rPr>
                <w:rFonts w:ascii="Arial" w:hAnsi="Arial" w:cs="Arial"/>
                <w:sz w:val="20"/>
                <w:szCs w:val="20"/>
              </w:rPr>
              <w:t>(</w:t>
            </w:r>
            <w:r w:rsidR="00F10837" w:rsidRPr="00F10837">
              <w:rPr>
                <w:rFonts w:ascii="Arial" w:hAnsi="Arial" w:cs="Arial"/>
                <w:sz w:val="20"/>
                <w:szCs w:val="20"/>
              </w:rPr>
              <w:t>4.63</w:t>
            </w:r>
            <w:r>
              <w:rPr>
                <w:rFonts w:ascii="Arial" w:hAnsi="Arial" w:cs="Arial"/>
                <w:sz w:val="20"/>
                <w:szCs w:val="20"/>
              </w:rPr>
              <w:t>)</w:t>
            </w:r>
          </w:p>
        </w:tc>
      </w:tr>
      <w:tr w:rsidR="00F10837" w:rsidRPr="00F10837" w14:paraId="5E756A44" w14:textId="77777777" w:rsidTr="003C08C1">
        <w:tc>
          <w:tcPr>
            <w:tcW w:w="1250" w:type="dxa"/>
          </w:tcPr>
          <w:p w14:paraId="78F1EC87" w14:textId="77777777" w:rsidR="00E213DA" w:rsidRDefault="00F10837" w:rsidP="00F10837">
            <w:pPr>
              <w:jc w:val="center"/>
              <w:rPr>
                <w:rFonts w:ascii="Arial" w:hAnsi="Arial" w:cs="Arial"/>
                <w:b/>
                <w:bCs/>
                <w:sz w:val="20"/>
                <w:szCs w:val="20"/>
              </w:rPr>
            </w:pPr>
            <w:r w:rsidRPr="00F10837">
              <w:rPr>
                <w:rFonts w:ascii="Arial" w:hAnsi="Arial" w:cs="Arial"/>
                <w:b/>
                <w:bCs/>
                <w:sz w:val="20"/>
                <w:szCs w:val="20"/>
              </w:rPr>
              <w:t>Human labor</w:t>
            </w:r>
          </w:p>
          <w:p w14:paraId="75E43B73" w14:textId="35CC47F9" w:rsidR="00F10837" w:rsidRPr="00F10837" w:rsidRDefault="00F10837" w:rsidP="00F10837">
            <w:pPr>
              <w:jc w:val="center"/>
              <w:rPr>
                <w:rFonts w:ascii="Arial" w:hAnsi="Arial" w:cs="Arial"/>
                <w:b/>
                <w:bCs/>
                <w:sz w:val="20"/>
                <w:szCs w:val="20"/>
              </w:rPr>
            </w:pPr>
            <w:r w:rsidRPr="00F10837">
              <w:rPr>
                <w:rFonts w:ascii="Arial" w:hAnsi="Arial" w:cs="Arial"/>
                <w:b/>
                <w:bCs/>
                <w:sz w:val="20"/>
                <w:szCs w:val="20"/>
              </w:rPr>
              <w:t xml:space="preserve"> (X2)</w:t>
            </w:r>
          </w:p>
        </w:tc>
        <w:tc>
          <w:tcPr>
            <w:tcW w:w="1195" w:type="dxa"/>
          </w:tcPr>
          <w:p w14:paraId="4FC9A955" w14:textId="35B3BA1C" w:rsidR="00F10837" w:rsidRPr="00F10837" w:rsidRDefault="00F10837" w:rsidP="00F10837">
            <w:pPr>
              <w:jc w:val="center"/>
              <w:rPr>
                <w:rFonts w:ascii="Arial" w:hAnsi="Arial" w:cs="Arial"/>
                <w:sz w:val="20"/>
                <w:szCs w:val="20"/>
              </w:rPr>
            </w:pPr>
            <w:r w:rsidRPr="00F10837">
              <w:rPr>
                <w:rFonts w:ascii="Arial" w:hAnsi="Arial" w:cs="Arial"/>
                <w:sz w:val="20"/>
                <w:szCs w:val="20"/>
              </w:rPr>
              <w:t>0.006</w:t>
            </w:r>
          </w:p>
        </w:tc>
        <w:tc>
          <w:tcPr>
            <w:tcW w:w="1195" w:type="dxa"/>
          </w:tcPr>
          <w:p w14:paraId="0671F3C8" w14:textId="194B166F" w:rsidR="00F10837" w:rsidRPr="00F10837" w:rsidRDefault="00C36069" w:rsidP="00F10837">
            <w:pPr>
              <w:jc w:val="center"/>
              <w:rPr>
                <w:rFonts w:ascii="Arial" w:hAnsi="Arial" w:cs="Arial"/>
                <w:sz w:val="20"/>
                <w:szCs w:val="20"/>
              </w:rPr>
            </w:pPr>
            <w:r>
              <w:rPr>
                <w:rFonts w:ascii="Arial" w:hAnsi="Arial" w:cs="Arial"/>
                <w:sz w:val="20"/>
                <w:szCs w:val="20"/>
              </w:rPr>
              <w:t>(</w:t>
            </w:r>
            <w:r w:rsidR="00F10837" w:rsidRPr="00F10837">
              <w:rPr>
                <w:rFonts w:ascii="Arial" w:hAnsi="Arial" w:cs="Arial"/>
                <w:sz w:val="20"/>
                <w:szCs w:val="20"/>
              </w:rPr>
              <w:t>1.57</w:t>
            </w:r>
            <w:r>
              <w:rPr>
                <w:rFonts w:ascii="Arial" w:hAnsi="Arial" w:cs="Arial"/>
                <w:sz w:val="20"/>
                <w:szCs w:val="20"/>
              </w:rPr>
              <w:t>)</w:t>
            </w:r>
          </w:p>
        </w:tc>
        <w:tc>
          <w:tcPr>
            <w:tcW w:w="1194" w:type="dxa"/>
          </w:tcPr>
          <w:p w14:paraId="5CA1E139" w14:textId="77777777" w:rsidR="00F10837" w:rsidRPr="00F10837" w:rsidRDefault="00F10837" w:rsidP="00F10837">
            <w:pPr>
              <w:jc w:val="center"/>
              <w:rPr>
                <w:rFonts w:ascii="Arial" w:hAnsi="Arial" w:cs="Arial"/>
                <w:sz w:val="20"/>
                <w:szCs w:val="20"/>
              </w:rPr>
            </w:pPr>
            <w:r w:rsidRPr="00F10837">
              <w:rPr>
                <w:rFonts w:ascii="Arial" w:hAnsi="Arial" w:cs="Arial"/>
                <w:sz w:val="20"/>
                <w:szCs w:val="20"/>
              </w:rPr>
              <w:t>0.001</w:t>
            </w:r>
          </w:p>
        </w:tc>
        <w:tc>
          <w:tcPr>
            <w:tcW w:w="1196" w:type="dxa"/>
          </w:tcPr>
          <w:p w14:paraId="494A2FEF" w14:textId="239018BE" w:rsidR="00F10837" w:rsidRPr="00F10837" w:rsidRDefault="00C36069" w:rsidP="00F10837">
            <w:pPr>
              <w:jc w:val="center"/>
              <w:rPr>
                <w:rFonts w:ascii="Arial" w:hAnsi="Arial" w:cs="Arial"/>
                <w:sz w:val="20"/>
                <w:szCs w:val="20"/>
              </w:rPr>
            </w:pPr>
            <w:r>
              <w:rPr>
                <w:rFonts w:ascii="Arial" w:hAnsi="Arial" w:cs="Arial"/>
                <w:sz w:val="20"/>
                <w:szCs w:val="20"/>
              </w:rPr>
              <w:t>(</w:t>
            </w:r>
            <w:r w:rsidR="00F10837" w:rsidRPr="00F10837">
              <w:rPr>
                <w:rFonts w:ascii="Arial" w:hAnsi="Arial" w:cs="Arial"/>
                <w:sz w:val="20"/>
                <w:szCs w:val="20"/>
              </w:rPr>
              <w:t>0.60</w:t>
            </w:r>
            <w:r>
              <w:rPr>
                <w:rFonts w:ascii="Arial" w:hAnsi="Arial" w:cs="Arial"/>
                <w:sz w:val="20"/>
                <w:szCs w:val="20"/>
              </w:rPr>
              <w:t>)</w:t>
            </w:r>
          </w:p>
        </w:tc>
        <w:tc>
          <w:tcPr>
            <w:tcW w:w="1197" w:type="dxa"/>
          </w:tcPr>
          <w:p w14:paraId="3E1DB0B3" w14:textId="56F4294D" w:rsidR="00F10837" w:rsidRPr="00F10837" w:rsidRDefault="00F10837" w:rsidP="00F10837">
            <w:pPr>
              <w:jc w:val="center"/>
              <w:rPr>
                <w:rFonts w:ascii="Arial" w:hAnsi="Arial" w:cs="Arial"/>
                <w:sz w:val="20"/>
                <w:szCs w:val="20"/>
              </w:rPr>
            </w:pPr>
            <w:r w:rsidRPr="00F10837">
              <w:rPr>
                <w:rFonts w:ascii="Arial" w:hAnsi="Arial" w:cs="Arial"/>
                <w:sz w:val="20"/>
                <w:szCs w:val="20"/>
              </w:rPr>
              <w:t>0.013*</w:t>
            </w:r>
            <w:r w:rsidR="00C36069">
              <w:rPr>
                <w:rFonts w:ascii="Arial" w:hAnsi="Arial" w:cs="Arial"/>
                <w:sz w:val="20"/>
                <w:szCs w:val="20"/>
              </w:rPr>
              <w:t>*</w:t>
            </w:r>
            <w:r w:rsidR="003C08C1">
              <w:rPr>
                <w:rFonts w:ascii="Arial" w:hAnsi="Arial" w:cs="Arial"/>
                <w:sz w:val="20"/>
                <w:szCs w:val="20"/>
              </w:rPr>
              <w:t>*</w:t>
            </w:r>
          </w:p>
        </w:tc>
        <w:tc>
          <w:tcPr>
            <w:tcW w:w="1197" w:type="dxa"/>
          </w:tcPr>
          <w:p w14:paraId="1410AACE" w14:textId="42DA5D6A" w:rsidR="00F10837" w:rsidRPr="00F10837" w:rsidRDefault="00C36069" w:rsidP="00F10837">
            <w:pPr>
              <w:jc w:val="center"/>
              <w:rPr>
                <w:rFonts w:ascii="Arial" w:hAnsi="Arial" w:cs="Arial"/>
                <w:sz w:val="20"/>
                <w:szCs w:val="20"/>
              </w:rPr>
            </w:pPr>
            <w:r>
              <w:rPr>
                <w:rFonts w:ascii="Arial" w:hAnsi="Arial" w:cs="Arial"/>
                <w:sz w:val="20"/>
                <w:szCs w:val="20"/>
              </w:rPr>
              <w:t>(</w:t>
            </w:r>
            <w:r w:rsidR="00F10837" w:rsidRPr="00F10837">
              <w:rPr>
                <w:rFonts w:ascii="Arial" w:hAnsi="Arial" w:cs="Arial"/>
                <w:sz w:val="20"/>
                <w:szCs w:val="20"/>
              </w:rPr>
              <w:t>4.68</w:t>
            </w:r>
            <w:r>
              <w:rPr>
                <w:rFonts w:ascii="Arial" w:hAnsi="Arial" w:cs="Arial"/>
                <w:sz w:val="20"/>
                <w:szCs w:val="20"/>
              </w:rPr>
              <w:t>)</w:t>
            </w:r>
          </w:p>
        </w:tc>
      </w:tr>
      <w:tr w:rsidR="00F10837" w:rsidRPr="00F10837" w14:paraId="37210D3E" w14:textId="77777777" w:rsidTr="003C08C1">
        <w:tc>
          <w:tcPr>
            <w:tcW w:w="1250" w:type="dxa"/>
          </w:tcPr>
          <w:p w14:paraId="597A8CD7" w14:textId="77777777" w:rsidR="00F10837" w:rsidRPr="00F10837" w:rsidRDefault="00F10837" w:rsidP="00F10837">
            <w:pPr>
              <w:jc w:val="center"/>
              <w:rPr>
                <w:rFonts w:ascii="Arial" w:hAnsi="Arial" w:cs="Arial"/>
                <w:b/>
                <w:bCs/>
                <w:sz w:val="20"/>
                <w:szCs w:val="20"/>
              </w:rPr>
            </w:pPr>
            <w:r w:rsidRPr="00F10837">
              <w:rPr>
                <w:rFonts w:ascii="Arial" w:hAnsi="Arial" w:cs="Arial"/>
                <w:b/>
                <w:bCs/>
                <w:sz w:val="20"/>
                <w:szCs w:val="20"/>
              </w:rPr>
              <w:t>Fertilizer (X3)</w:t>
            </w:r>
          </w:p>
        </w:tc>
        <w:tc>
          <w:tcPr>
            <w:tcW w:w="1195" w:type="dxa"/>
          </w:tcPr>
          <w:p w14:paraId="4D7A01A6" w14:textId="32179533" w:rsidR="00F10837" w:rsidRPr="00F10837" w:rsidRDefault="00F10837" w:rsidP="00F10837">
            <w:pPr>
              <w:jc w:val="center"/>
              <w:rPr>
                <w:rFonts w:ascii="Arial" w:hAnsi="Arial" w:cs="Arial"/>
                <w:sz w:val="20"/>
                <w:szCs w:val="20"/>
              </w:rPr>
            </w:pPr>
            <w:r w:rsidRPr="00F10837">
              <w:rPr>
                <w:rFonts w:ascii="Arial" w:hAnsi="Arial" w:cs="Arial"/>
                <w:sz w:val="20"/>
                <w:szCs w:val="20"/>
              </w:rPr>
              <w:t>0.36*</w:t>
            </w:r>
            <w:r w:rsidR="00C36069">
              <w:rPr>
                <w:rFonts w:ascii="Arial" w:hAnsi="Arial" w:cs="Arial"/>
                <w:sz w:val="20"/>
                <w:szCs w:val="20"/>
              </w:rPr>
              <w:t>*</w:t>
            </w:r>
            <w:r w:rsidR="003C08C1">
              <w:rPr>
                <w:rFonts w:ascii="Arial" w:hAnsi="Arial" w:cs="Arial"/>
                <w:sz w:val="20"/>
                <w:szCs w:val="20"/>
              </w:rPr>
              <w:t>*</w:t>
            </w:r>
          </w:p>
        </w:tc>
        <w:tc>
          <w:tcPr>
            <w:tcW w:w="1195" w:type="dxa"/>
          </w:tcPr>
          <w:p w14:paraId="5C9E2C92" w14:textId="06BEC5A6" w:rsidR="00F10837" w:rsidRPr="00F10837" w:rsidRDefault="00C36069" w:rsidP="00F10837">
            <w:pPr>
              <w:jc w:val="center"/>
              <w:rPr>
                <w:rFonts w:ascii="Arial" w:hAnsi="Arial" w:cs="Arial"/>
                <w:sz w:val="20"/>
                <w:szCs w:val="20"/>
              </w:rPr>
            </w:pPr>
            <w:r>
              <w:rPr>
                <w:rFonts w:ascii="Arial" w:hAnsi="Arial" w:cs="Arial"/>
                <w:sz w:val="20"/>
                <w:szCs w:val="20"/>
              </w:rPr>
              <w:t>(</w:t>
            </w:r>
            <w:r w:rsidR="00F10837" w:rsidRPr="00F10837">
              <w:rPr>
                <w:rFonts w:ascii="Arial" w:hAnsi="Arial" w:cs="Arial"/>
                <w:sz w:val="20"/>
                <w:szCs w:val="20"/>
              </w:rPr>
              <w:t>4.48</w:t>
            </w:r>
            <w:r>
              <w:rPr>
                <w:rFonts w:ascii="Arial" w:hAnsi="Arial" w:cs="Arial"/>
                <w:sz w:val="20"/>
                <w:szCs w:val="20"/>
              </w:rPr>
              <w:t>)</w:t>
            </w:r>
          </w:p>
        </w:tc>
        <w:tc>
          <w:tcPr>
            <w:tcW w:w="1194" w:type="dxa"/>
          </w:tcPr>
          <w:p w14:paraId="3B20D320" w14:textId="6FE1521A" w:rsidR="00F10837" w:rsidRPr="00F10837" w:rsidRDefault="00F10837" w:rsidP="00F10837">
            <w:pPr>
              <w:jc w:val="center"/>
              <w:rPr>
                <w:rFonts w:ascii="Arial" w:hAnsi="Arial" w:cs="Arial"/>
                <w:sz w:val="20"/>
                <w:szCs w:val="20"/>
              </w:rPr>
            </w:pPr>
            <w:r w:rsidRPr="00F10837">
              <w:rPr>
                <w:rFonts w:ascii="Arial" w:hAnsi="Arial" w:cs="Arial"/>
                <w:sz w:val="20"/>
                <w:szCs w:val="20"/>
              </w:rPr>
              <w:t>0.06*</w:t>
            </w:r>
            <w:r w:rsidR="00C36069">
              <w:rPr>
                <w:rFonts w:ascii="Arial" w:hAnsi="Arial" w:cs="Arial"/>
                <w:sz w:val="20"/>
                <w:szCs w:val="20"/>
              </w:rPr>
              <w:t>*</w:t>
            </w:r>
            <w:r w:rsidR="003C08C1">
              <w:rPr>
                <w:rFonts w:ascii="Arial" w:hAnsi="Arial" w:cs="Arial"/>
                <w:sz w:val="20"/>
                <w:szCs w:val="20"/>
              </w:rPr>
              <w:t>*</w:t>
            </w:r>
          </w:p>
        </w:tc>
        <w:tc>
          <w:tcPr>
            <w:tcW w:w="1196" w:type="dxa"/>
          </w:tcPr>
          <w:p w14:paraId="755056A7" w14:textId="6BB9EF70" w:rsidR="00F10837" w:rsidRPr="00F10837" w:rsidRDefault="00C36069" w:rsidP="00F10837">
            <w:pPr>
              <w:jc w:val="center"/>
              <w:rPr>
                <w:rFonts w:ascii="Arial" w:hAnsi="Arial" w:cs="Arial"/>
                <w:sz w:val="20"/>
                <w:szCs w:val="20"/>
              </w:rPr>
            </w:pPr>
            <w:r>
              <w:rPr>
                <w:rFonts w:ascii="Arial" w:hAnsi="Arial" w:cs="Arial"/>
                <w:sz w:val="20"/>
                <w:szCs w:val="20"/>
              </w:rPr>
              <w:t>(</w:t>
            </w:r>
            <w:r w:rsidR="00F10837" w:rsidRPr="00F10837">
              <w:rPr>
                <w:rFonts w:ascii="Arial" w:hAnsi="Arial" w:cs="Arial"/>
                <w:sz w:val="20"/>
                <w:szCs w:val="20"/>
              </w:rPr>
              <w:t>7.09</w:t>
            </w:r>
            <w:r>
              <w:rPr>
                <w:rFonts w:ascii="Arial" w:hAnsi="Arial" w:cs="Arial"/>
                <w:sz w:val="20"/>
                <w:szCs w:val="20"/>
              </w:rPr>
              <w:t>)</w:t>
            </w:r>
          </w:p>
        </w:tc>
        <w:tc>
          <w:tcPr>
            <w:tcW w:w="1197" w:type="dxa"/>
          </w:tcPr>
          <w:p w14:paraId="26193151" w14:textId="1FC1D68B" w:rsidR="00F10837" w:rsidRPr="00F10837" w:rsidRDefault="00F10837" w:rsidP="00F10837">
            <w:pPr>
              <w:jc w:val="center"/>
              <w:rPr>
                <w:rFonts w:ascii="Arial" w:hAnsi="Arial" w:cs="Arial"/>
                <w:sz w:val="20"/>
                <w:szCs w:val="20"/>
              </w:rPr>
            </w:pPr>
            <w:r w:rsidRPr="00F10837">
              <w:rPr>
                <w:rFonts w:ascii="Arial" w:hAnsi="Arial" w:cs="Arial"/>
                <w:sz w:val="20"/>
                <w:szCs w:val="20"/>
              </w:rPr>
              <w:t>-0.07</w:t>
            </w:r>
            <w:r w:rsidR="00E87120">
              <w:rPr>
                <w:rFonts w:ascii="Arial" w:hAnsi="Arial" w:cs="Arial"/>
                <w:sz w:val="20"/>
                <w:szCs w:val="20"/>
              </w:rPr>
              <w:t>***</w:t>
            </w:r>
          </w:p>
        </w:tc>
        <w:tc>
          <w:tcPr>
            <w:tcW w:w="1197" w:type="dxa"/>
          </w:tcPr>
          <w:p w14:paraId="2F85B297" w14:textId="4D3893E7" w:rsidR="00F10837" w:rsidRPr="00F10837" w:rsidRDefault="00C36069" w:rsidP="00F10837">
            <w:pPr>
              <w:jc w:val="center"/>
              <w:rPr>
                <w:rFonts w:ascii="Arial" w:hAnsi="Arial" w:cs="Arial"/>
                <w:sz w:val="20"/>
                <w:szCs w:val="20"/>
              </w:rPr>
            </w:pPr>
            <w:r>
              <w:rPr>
                <w:rFonts w:ascii="Arial" w:hAnsi="Arial" w:cs="Arial"/>
                <w:sz w:val="20"/>
                <w:szCs w:val="20"/>
              </w:rPr>
              <w:t>(</w:t>
            </w:r>
            <w:r w:rsidR="00F10837" w:rsidRPr="00F10837">
              <w:rPr>
                <w:rFonts w:ascii="Arial" w:hAnsi="Arial" w:cs="Arial"/>
                <w:sz w:val="20"/>
                <w:szCs w:val="20"/>
              </w:rPr>
              <w:t>3.28</w:t>
            </w:r>
            <w:r>
              <w:rPr>
                <w:rFonts w:ascii="Arial" w:hAnsi="Arial" w:cs="Arial"/>
                <w:sz w:val="20"/>
                <w:szCs w:val="20"/>
              </w:rPr>
              <w:t>)</w:t>
            </w:r>
          </w:p>
        </w:tc>
      </w:tr>
      <w:tr w:rsidR="00F10837" w:rsidRPr="00F10837" w14:paraId="056C7B8B" w14:textId="77777777" w:rsidTr="003C08C1">
        <w:tc>
          <w:tcPr>
            <w:tcW w:w="1250" w:type="dxa"/>
          </w:tcPr>
          <w:p w14:paraId="0DD60156" w14:textId="00BF632F" w:rsidR="00E213DA" w:rsidRDefault="00F10837" w:rsidP="00F10837">
            <w:pPr>
              <w:jc w:val="center"/>
              <w:rPr>
                <w:rFonts w:ascii="Arial" w:hAnsi="Arial" w:cs="Arial"/>
                <w:b/>
                <w:bCs/>
                <w:sz w:val="20"/>
                <w:szCs w:val="20"/>
              </w:rPr>
            </w:pPr>
            <w:r w:rsidRPr="00F10837">
              <w:rPr>
                <w:rFonts w:ascii="Arial" w:hAnsi="Arial" w:cs="Arial"/>
                <w:b/>
                <w:bCs/>
                <w:sz w:val="20"/>
                <w:szCs w:val="20"/>
              </w:rPr>
              <w:t>P</w:t>
            </w:r>
            <w:r w:rsidR="003C08C1">
              <w:rPr>
                <w:rFonts w:ascii="Arial" w:hAnsi="Arial" w:cs="Arial"/>
                <w:b/>
                <w:bCs/>
                <w:sz w:val="20"/>
                <w:szCs w:val="20"/>
              </w:rPr>
              <w:t xml:space="preserve">lant </w:t>
            </w:r>
            <w:r w:rsidRPr="00F10837">
              <w:rPr>
                <w:rFonts w:ascii="Arial" w:hAnsi="Arial" w:cs="Arial"/>
                <w:b/>
                <w:bCs/>
                <w:sz w:val="20"/>
                <w:szCs w:val="20"/>
              </w:rPr>
              <w:t>P</w:t>
            </w:r>
            <w:r w:rsidR="003C08C1">
              <w:rPr>
                <w:rFonts w:ascii="Arial" w:hAnsi="Arial" w:cs="Arial"/>
                <w:b/>
                <w:bCs/>
                <w:sz w:val="20"/>
                <w:szCs w:val="20"/>
              </w:rPr>
              <w:t xml:space="preserve">rotection </w:t>
            </w:r>
            <w:r w:rsidRPr="00F10837">
              <w:rPr>
                <w:rFonts w:ascii="Arial" w:hAnsi="Arial" w:cs="Arial"/>
                <w:b/>
                <w:bCs/>
                <w:sz w:val="20"/>
                <w:szCs w:val="20"/>
              </w:rPr>
              <w:t>C</w:t>
            </w:r>
            <w:r w:rsidR="003C08C1">
              <w:rPr>
                <w:rFonts w:ascii="Arial" w:hAnsi="Arial" w:cs="Arial"/>
                <w:b/>
                <w:bCs/>
                <w:sz w:val="20"/>
                <w:szCs w:val="20"/>
              </w:rPr>
              <w:t>hemicals</w:t>
            </w:r>
            <w:r w:rsidRPr="00F10837">
              <w:rPr>
                <w:rFonts w:ascii="Arial" w:hAnsi="Arial" w:cs="Arial"/>
                <w:b/>
                <w:bCs/>
                <w:sz w:val="20"/>
                <w:szCs w:val="20"/>
              </w:rPr>
              <w:t xml:space="preserve"> </w:t>
            </w:r>
          </w:p>
          <w:p w14:paraId="0A05DAD2" w14:textId="76509E4E" w:rsidR="00F10837" w:rsidRPr="00F10837" w:rsidRDefault="00F10837" w:rsidP="00F10837">
            <w:pPr>
              <w:jc w:val="center"/>
              <w:rPr>
                <w:rFonts w:ascii="Arial" w:hAnsi="Arial" w:cs="Arial"/>
                <w:b/>
                <w:bCs/>
                <w:sz w:val="20"/>
                <w:szCs w:val="20"/>
              </w:rPr>
            </w:pPr>
            <w:r w:rsidRPr="00F10837">
              <w:rPr>
                <w:rFonts w:ascii="Arial" w:hAnsi="Arial" w:cs="Arial"/>
                <w:b/>
                <w:bCs/>
                <w:sz w:val="20"/>
                <w:szCs w:val="20"/>
              </w:rPr>
              <w:t>(X4)</w:t>
            </w:r>
          </w:p>
        </w:tc>
        <w:tc>
          <w:tcPr>
            <w:tcW w:w="1195" w:type="dxa"/>
          </w:tcPr>
          <w:p w14:paraId="1DA84EDB" w14:textId="71709ACA" w:rsidR="00F10837" w:rsidRPr="00F10837" w:rsidRDefault="00F10837" w:rsidP="00F10837">
            <w:pPr>
              <w:jc w:val="center"/>
              <w:rPr>
                <w:rFonts w:ascii="Arial" w:hAnsi="Arial" w:cs="Arial"/>
                <w:sz w:val="20"/>
                <w:szCs w:val="20"/>
              </w:rPr>
            </w:pPr>
            <w:r w:rsidRPr="00F10837">
              <w:rPr>
                <w:rFonts w:ascii="Arial" w:hAnsi="Arial" w:cs="Arial"/>
                <w:sz w:val="20"/>
                <w:szCs w:val="20"/>
              </w:rPr>
              <w:t>-0.58</w:t>
            </w:r>
            <w:r w:rsidR="00E87120">
              <w:rPr>
                <w:rFonts w:ascii="Arial" w:hAnsi="Arial" w:cs="Arial"/>
                <w:sz w:val="20"/>
                <w:szCs w:val="20"/>
              </w:rPr>
              <w:t>***</w:t>
            </w:r>
          </w:p>
        </w:tc>
        <w:tc>
          <w:tcPr>
            <w:tcW w:w="1195" w:type="dxa"/>
          </w:tcPr>
          <w:p w14:paraId="5CE5F39C" w14:textId="2CCB1C93" w:rsidR="00F10837" w:rsidRPr="00F10837" w:rsidRDefault="00C36069" w:rsidP="00F10837">
            <w:pPr>
              <w:jc w:val="center"/>
              <w:rPr>
                <w:rFonts w:ascii="Arial" w:hAnsi="Arial" w:cs="Arial"/>
                <w:sz w:val="20"/>
                <w:szCs w:val="20"/>
              </w:rPr>
            </w:pPr>
            <w:r>
              <w:rPr>
                <w:rFonts w:ascii="Arial" w:hAnsi="Arial" w:cs="Arial"/>
                <w:sz w:val="20"/>
                <w:szCs w:val="20"/>
              </w:rPr>
              <w:t>(</w:t>
            </w:r>
            <w:r w:rsidR="00F10837" w:rsidRPr="00F10837">
              <w:rPr>
                <w:rFonts w:ascii="Arial" w:hAnsi="Arial" w:cs="Arial"/>
                <w:sz w:val="20"/>
                <w:szCs w:val="20"/>
              </w:rPr>
              <w:t>3.02</w:t>
            </w:r>
            <w:r>
              <w:rPr>
                <w:rFonts w:ascii="Arial" w:hAnsi="Arial" w:cs="Arial"/>
                <w:sz w:val="20"/>
                <w:szCs w:val="20"/>
              </w:rPr>
              <w:t>)</w:t>
            </w:r>
          </w:p>
        </w:tc>
        <w:tc>
          <w:tcPr>
            <w:tcW w:w="1194" w:type="dxa"/>
          </w:tcPr>
          <w:p w14:paraId="7CBF8F85" w14:textId="3001960C" w:rsidR="00F10837" w:rsidRPr="00F10837" w:rsidRDefault="00F10837" w:rsidP="00F10837">
            <w:pPr>
              <w:jc w:val="center"/>
              <w:rPr>
                <w:rFonts w:ascii="Arial" w:hAnsi="Arial" w:cs="Arial"/>
                <w:sz w:val="20"/>
                <w:szCs w:val="20"/>
              </w:rPr>
            </w:pPr>
            <w:r w:rsidRPr="00F10837">
              <w:rPr>
                <w:rFonts w:ascii="Arial" w:hAnsi="Arial" w:cs="Arial"/>
                <w:sz w:val="20"/>
                <w:szCs w:val="20"/>
              </w:rPr>
              <w:t>0.17*</w:t>
            </w:r>
            <w:r w:rsidR="00C36069">
              <w:rPr>
                <w:rFonts w:ascii="Arial" w:hAnsi="Arial" w:cs="Arial"/>
                <w:sz w:val="20"/>
                <w:szCs w:val="20"/>
              </w:rPr>
              <w:t>*</w:t>
            </w:r>
            <w:r w:rsidR="003C08C1">
              <w:rPr>
                <w:rFonts w:ascii="Arial" w:hAnsi="Arial" w:cs="Arial"/>
                <w:sz w:val="20"/>
                <w:szCs w:val="20"/>
              </w:rPr>
              <w:t>*</w:t>
            </w:r>
          </w:p>
        </w:tc>
        <w:tc>
          <w:tcPr>
            <w:tcW w:w="1196" w:type="dxa"/>
          </w:tcPr>
          <w:p w14:paraId="5BF1D814" w14:textId="587B83EF" w:rsidR="00F10837" w:rsidRPr="00F10837" w:rsidRDefault="00C36069" w:rsidP="00F10837">
            <w:pPr>
              <w:jc w:val="center"/>
              <w:rPr>
                <w:rFonts w:ascii="Arial" w:hAnsi="Arial" w:cs="Arial"/>
                <w:sz w:val="20"/>
                <w:szCs w:val="20"/>
              </w:rPr>
            </w:pPr>
            <w:r>
              <w:rPr>
                <w:rFonts w:ascii="Arial" w:hAnsi="Arial" w:cs="Arial"/>
                <w:sz w:val="20"/>
                <w:szCs w:val="20"/>
              </w:rPr>
              <w:t>(</w:t>
            </w:r>
            <w:r w:rsidR="00F10837" w:rsidRPr="00F10837">
              <w:rPr>
                <w:rFonts w:ascii="Arial" w:hAnsi="Arial" w:cs="Arial"/>
                <w:sz w:val="20"/>
                <w:szCs w:val="20"/>
              </w:rPr>
              <w:t>5.95</w:t>
            </w:r>
            <w:r>
              <w:rPr>
                <w:rFonts w:ascii="Arial" w:hAnsi="Arial" w:cs="Arial"/>
                <w:sz w:val="20"/>
                <w:szCs w:val="20"/>
              </w:rPr>
              <w:t>)</w:t>
            </w:r>
          </w:p>
        </w:tc>
        <w:tc>
          <w:tcPr>
            <w:tcW w:w="1197" w:type="dxa"/>
          </w:tcPr>
          <w:p w14:paraId="67FB4D5B" w14:textId="47E6265F" w:rsidR="00F10837" w:rsidRPr="00F10837" w:rsidRDefault="00F10837" w:rsidP="00F10837">
            <w:pPr>
              <w:jc w:val="center"/>
              <w:rPr>
                <w:rFonts w:ascii="Arial" w:hAnsi="Arial" w:cs="Arial"/>
                <w:sz w:val="20"/>
                <w:szCs w:val="20"/>
              </w:rPr>
            </w:pPr>
            <w:r w:rsidRPr="00F10837">
              <w:rPr>
                <w:rFonts w:ascii="Arial" w:hAnsi="Arial" w:cs="Arial"/>
                <w:sz w:val="20"/>
                <w:szCs w:val="20"/>
              </w:rPr>
              <w:t>0.40*</w:t>
            </w:r>
            <w:r w:rsidR="00C36069">
              <w:rPr>
                <w:rFonts w:ascii="Arial" w:hAnsi="Arial" w:cs="Arial"/>
                <w:sz w:val="20"/>
                <w:szCs w:val="20"/>
              </w:rPr>
              <w:t>*</w:t>
            </w:r>
            <w:r w:rsidR="003C08C1">
              <w:rPr>
                <w:rFonts w:ascii="Arial" w:hAnsi="Arial" w:cs="Arial"/>
                <w:sz w:val="20"/>
                <w:szCs w:val="20"/>
              </w:rPr>
              <w:t>*</w:t>
            </w:r>
          </w:p>
        </w:tc>
        <w:tc>
          <w:tcPr>
            <w:tcW w:w="1197" w:type="dxa"/>
          </w:tcPr>
          <w:p w14:paraId="2ED390F3" w14:textId="75F6FE9B" w:rsidR="00F10837" w:rsidRPr="00F10837" w:rsidRDefault="00C36069" w:rsidP="00F10837">
            <w:pPr>
              <w:jc w:val="center"/>
              <w:rPr>
                <w:rFonts w:ascii="Arial" w:hAnsi="Arial" w:cs="Arial"/>
                <w:sz w:val="20"/>
                <w:szCs w:val="20"/>
              </w:rPr>
            </w:pPr>
            <w:r>
              <w:rPr>
                <w:rFonts w:ascii="Arial" w:hAnsi="Arial" w:cs="Arial"/>
                <w:sz w:val="20"/>
                <w:szCs w:val="20"/>
              </w:rPr>
              <w:t>(</w:t>
            </w:r>
            <w:r w:rsidR="00F10837" w:rsidRPr="00F10837">
              <w:rPr>
                <w:rFonts w:ascii="Arial" w:hAnsi="Arial" w:cs="Arial"/>
                <w:sz w:val="20"/>
                <w:szCs w:val="20"/>
              </w:rPr>
              <w:t>13.98</w:t>
            </w:r>
            <w:r>
              <w:rPr>
                <w:rFonts w:ascii="Arial" w:hAnsi="Arial" w:cs="Arial"/>
                <w:sz w:val="20"/>
                <w:szCs w:val="20"/>
              </w:rPr>
              <w:t>)</w:t>
            </w:r>
          </w:p>
        </w:tc>
      </w:tr>
      <w:tr w:rsidR="00FC79C9" w:rsidRPr="00F10837" w14:paraId="4AF31CAF" w14:textId="77777777" w:rsidTr="003C08C1">
        <w:tc>
          <w:tcPr>
            <w:tcW w:w="1250" w:type="dxa"/>
          </w:tcPr>
          <w:p w14:paraId="084AEA35" w14:textId="2993DAD6" w:rsidR="00FC79C9" w:rsidRDefault="00C36069" w:rsidP="00FC79C9">
            <w:pPr>
              <w:jc w:val="center"/>
              <w:rPr>
                <w:rFonts w:ascii="Arial" w:hAnsi="Arial" w:cs="Arial"/>
                <w:b/>
                <w:bCs/>
                <w:sz w:val="20"/>
                <w:szCs w:val="20"/>
              </w:rPr>
            </w:pPr>
            <w:r>
              <w:rPr>
                <w:rFonts w:ascii="Arial" w:hAnsi="Arial" w:cs="Arial"/>
                <w:b/>
                <w:bCs/>
                <w:sz w:val="20"/>
                <w:szCs w:val="20"/>
              </w:rPr>
              <w:t>Returns to scale (</w:t>
            </w:r>
            <w:r w:rsidR="00FC79C9" w:rsidRPr="00FC79C9">
              <w:rPr>
                <w:rFonts w:ascii="Arial" w:hAnsi="Arial" w:cs="Arial"/>
                <w:b/>
                <w:bCs/>
                <w:sz w:val="20"/>
                <w:szCs w:val="20"/>
              </w:rPr>
              <w:t>Σβ</w:t>
            </w:r>
            <w:r>
              <w:rPr>
                <w:rFonts w:ascii="Arial" w:hAnsi="Arial" w:cs="Arial"/>
                <w:b/>
                <w:bCs/>
                <w:sz w:val="20"/>
                <w:szCs w:val="20"/>
              </w:rPr>
              <w:t>)</w:t>
            </w:r>
          </w:p>
          <w:p w14:paraId="688CEA75" w14:textId="4AAD1092" w:rsidR="00FC79C9" w:rsidRPr="00F10837" w:rsidRDefault="00FC79C9" w:rsidP="00FC79C9">
            <w:pPr>
              <w:jc w:val="center"/>
              <w:rPr>
                <w:rFonts w:ascii="Arial" w:hAnsi="Arial" w:cs="Arial"/>
                <w:b/>
                <w:bCs/>
              </w:rPr>
            </w:pPr>
          </w:p>
        </w:tc>
        <w:tc>
          <w:tcPr>
            <w:tcW w:w="2390" w:type="dxa"/>
            <w:gridSpan w:val="2"/>
          </w:tcPr>
          <w:p w14:paraId="316DC398" w14:textId="7D3E5324" w:rsidR="00FC79C9" w:rsidRPr="00F10837" w:rsidRDefault="00FC79C9" w:rsidP="00FC79C9">
            <w:pPr>
              <w:jc w:val="center"/>
              <w:rPr>
                <w:rFonts w:ascii="Arial" w:hAnsi="Arial" w:cs="Arial"/>
              </w:rPr>
            </w:pPr>
            <w:r w:rsidRPr="008C428B">
              <w:rPr>
                <w:rFonts w:ascii="Arial" w:hAnsi="Arial" w:cs="Arial"/>
                <w:sz w:val="20"/>
                <w:szCs w:val="20"/>
              </w:rPr>
              <w:t>0.016</w:t>
            </w:r>
          </w:p>
        </w:tc>
        <w:tc>
          <w:tcPr>
            <w:tcW w:w="2390" w:type="dxa"/>
            <w:gridSpan w:val="2"/>
          </w:tcPr>
          <w:p w14:paraId="12B03B4B" w14:textId="7BA89770" w:rsidR="00FC79C9" w:rsidRPr="00F10837" w:rsidRDefault="00FC79C9" w:rsidP="00FC79C9">
            <w:pPr>
              <w:jc w:val="center"/>
              <w:rPr>
                <w:rFonts w:ascii="Arial" w:hAnsi="Arial" w:cs="Arial"/>
              </w:rPr>
            </w:pPr>
            <w:r w:rsidRPr="008C428B">
              <w:rPr>
                <w:rFonts w:ascii="Arial" w:hAnsi="Arial" w:cs="Arial"/>
                <w:sz w:val="20"/>
                <w:szCs w:val="20"/>
              </w:rPr>
              <w:t>0.174</w:t>
            </w:r>
          </w:p>
        </w:tc>
        <w:tc>
          <w:tcPr>
            <w:tcW w:w="2394" w:type="dxa"/>
            <w:gridSpan w:val="2"/>
          </w:tcPr>
          <w:p w14:paraId="50398D6B" w14:textId="669DF596" w:rsidR="00FC79C9" w:rsidRPr="00F10837" w:rsidRDefault="00FC79C9" w:rsidP="00FC79C9">
            <w:pPr>
              <w:jc w:val="center"/>
              <w:rPr>
                <w:rFonts w:ascii="Arial" w:hAnsi="Arial" w:cs="Arial"/>
              </w:rPr>
            </w:pPr>
            <w:r w:rsidRPr="008C428B">
              <w:rPr>
                <w:rFonts w:ascii="Arial" w:hAnsi="Arial" w:cs="Arial"/>
                <w:sz w:val="20"/>
                <w:szCs w:val="20"/>
              </w:rPr>
              <w:t>0.551</w:t>
            </w:r>
          </w:p>
        </w:tc>
      </w:tr>
      <w:tr w:rsidR="00FC79C9" w:rsidRPr="00F10837" w14:paraId="4A9A79B7" w14:textId="77777777" w:rsidTr="003C08C1">
        <w:tc>
          <w:tcPr>
            <w:tcW w:w="1250" w:type="dxa"/>
          </w:tcPr>
          <w:p w14:paraId="6057EE02" w14:textId="296E1F73" w:rsidR="00FC79C9" w:rsidRPr="00F10837" w:rsidRDefault="00FC79C9" w:rsidP="00FC79C9">
            <w:pPr>
              <w:jc w:val="center"/>
              <w:rPr>
                <w:rFonts w:ascii="Arial" w:hAnsi="Arial" w:cs="Arial"/>
                <w:b/>
                <w:bCs/>
              </w:rPr>
            </w:pPr>
            <w:r w:rsidRPr="008C428B">
              <w:rPr>
                <w:rFonts w:ascii="Arial" w:hAnsi="Arial" w:cs="Arial"/>
                <w:b/>
                <w:bCs/>
                <w:sz w:val="20"/>
                <w:szCs w:val="20"/>
              </w:rPr>
              <w:t>Adj</w:t>
            </w:r>
            <w:r w:rsidR="003C08C1">
              <w:rPr>
                <w:rFonts w:ascii="Arial" w:hAnsi="Arial" w:cs="Arial"/>
                <w:b/>
                <w:bCs/>
                <w:sz w:val="20"/>
                <w:szCs w:val="20"/>
              </w:rPr>
              <w:t xml:space="preserve">usted </w:t>
            </w:r>
            <w:r w:rsidRPr="008C428B">
              <w:rPr>
                <w:rFonts w:ascii="Arial" w:hAnsi="Arial" w:cs="Arial"/>
                <w:b/>
                <w:bCs/>
                <w:sz w:val="20"/>
                <w:szCs w:val="20"/>
              </w:rPr>
              <w:t>R</w:t>
            </w:r>
            <w:r w:rsidRPr="008C428B">
              <w:rPr>
                <w:rFonts w:ascii="Arial" w:hAnsi="Arial" w:cs="Arial"/>
                <w:b/>
                <w:bCs/>
                <w:sz w:val="20"/>
                <w:szCs w:val="20"/>
                <w:vertAlign w:val="superscript"/>
              </w:rPr>
              <w:t xml:space="preserve">2 </w:t>
            </w:r>
          </w:p>
        </w:tc>
        <w:tc>
          <w:tcPr>
            <w:tcW w:w="2390" w:type="dxa"/>
            <w:gridSpan w:val="2"/>
          </w:tcPr>
          <w:p w14:paraId="05E3F617" w14:textId="5AF7DE6F" w:rsidR="00FC79C9" w:rsidRPr="00F10837" w:rsidRDefault="00FC79C9" w:rsidP="00FC79C9">
            <w:pPr>
              <w:jc w:val="center"/>
              <w:rPr>
                <w:rFonts w:ascii="Arial" w:hAnsi="Arial" w:cs="Arial"/>
              </w:rPr>
            </w:pPr>
            <w:r w:rsidRPr="008C428B">
              <w:rPr>
                <w:rFonts w:ascii="Arial" w:hAnsi="Arial" w:cs="Arial"/>
                <w:b/>
                <w:bCs/>
                <w:sz w:val="20"/>
                <w:szCs w:val="20"/>
              </w:rPr>
              <w:t>0.85</w:t>
            </w:r>
          </w:p>
        </w:tc>
        <w:tc>
          <w:tcPr>
            <w:tcW w:w="2390" w:type="dxa"/>
            <w:gridSpan w:val="2"/>
          </w:tcPr>
          <w:p w14:paraId="4B701C12" w14:textId="5371E028" w:rsidR="00FC79C9" w:rsidRPr="00F10837" w:rsidRDefault="00FC79C9" w:rsidP="00FC79C9">
            <w:pPr>
              <w:jc w:val="center"/>
              <w:rPr>
                <w:rFonts w:ascii="Arial" w:hAnsi="Arial" w:cs="Arial"/>
              </w:rPr>
            </w:pPr>
            <w:r w:rsidRPr="008C428B">
              <w:rPr>
                <w:rFonts w:ascii="Arial" w:hAnsi="Arial" w:cs="Arial"/>
                <w:b/>
                <w:bCs/>
                <w:sz w:val="20"/>
                <w:szCs w:val="20"/>
              </w:rPr>
              <w:t>0.89</w:t>
            </w:r>
          </w:p>
        </w:tc>
        <w:tc>
          <w:tcPr>
            <w:tcW w:w="2394" w:type="dxa"/>
            <w:gridSpan w:val="2"/>
          </w:tcPr>
          <w:p w14:paraId="2035CA31" w14:textId="2A5E3423" w:rsidR="00FC79C9" w:rsidRPr="00F10837" w:rsidRDefault="00FC79C9" w:rsidP="00FC79C9">
            <w:pPr>
              <w:jc w:val="center"/>
              <w:rPr>
                <w:rFonts w:ascii="Arial" w:hAnsi="Arial" w:cs="Arial"/>
              </w:rPr>
            </w:pPr>
            <w:r w:rsidRPr="008C428B">
              <w:rPr>
                <w:rFonts w:ascii="Arial" w:hAnsi="Arial" w:cs="Arial"/>
                <w:b/>
                <w:bCs/>
                <w:sz w:val="20"/>
                <w:szCs w:val="20"/>
              </w:rPr>
              <w:t>0.82</w:t>
            </w:r>
          </w:p>
        </w:tc>
      </w:tr>
    </w:tbl>
    <w:p w14:paraId="70C52D92" w14:textId="5A099888" w:rsidR="003C08C1" w:rsidRPr="003C08C1" w:rsidRDefault="003C08C1" w:rsidP="003C08C1">
      <w:pPr>
        <w:rPr>
          <w:rFonts w:ascii="Arial" w:hAnsi="Arial" w:cs="Arial"/>
          <w:b/>
          <w:bCs/>
          <w:lang w:val="en-IN"/>
        </w:rPr>
      </w:pPr>
      <w:r w:rsidRPr="003C08C1">
        <w:rPr>
          <w:rFonts w:ascii="Arial" w:hAnsi="Arial" w:cs="Arial"/>
          <w:b/>
          <w:bCs/>
          <w:lang w:val="en-IN"/>
        </w:rPr>
        <w:t xml:space="preserve"> Figures in parentheses indicate t-values </w:t>
      </w:r>
    </w:p>
    <w:p w14:paraId="385BA2D8" w14:textId="18065762" w:rsidR="00F10837" w:rsidRDefault="003C08C1" w:rsidP="003C08C1">
      <w:pPr>
        <w:rPr>
          <w:rFonts w:ascii="Arial" w:hAnsi="Arial" w:cs="Arial"/>
          <w:b/>
          <w:bCs/>
          <w:lang w:val="en-IN"/>
        </w:rPr>
      </w:pPr>
      <w:r w:rsidRPr="003C08C1">
        <w:rPr>
          <w:rFonts w:ascii="Arial" w:hAnsi="Arial" w:cs="Arial"/>
          <w:b/>
          <w:bCs/>
          <w:lang w:val="en-IN"/>
        </w:rPr>
        <w:t xml:space="preserve"> ***, ** and * indicate significance at 1%, 5% and 10% levels, respectively</w:t>
      </w:r>
    </w:p>
    <w:p w14:paraId="4C6828DF" w14:textId="77777777" w:rsidR="00BC5DA7" w:rsidRDefault="00BC5DA7" w:rsidP="00BC5DA7">
      <w:pPr>
        <w:pStyle w:val="Body"/>
        <w:spacing w:after="0"/>
        <w:rPr>
          <w:rFonts w:ascii="Arial" w:hAnsi="Arial" w:cs="Arial"/>
          <w:lang w:val="en-IN"/>
        </w:rPr>
      </w:pPr>
    </w:p>
    <w:p w14:paraId="2446B607" w14:textId="7A1D2D84" w:rsidR="00BC5DA7" w:rsidRPr="00BC5DA7" w:rsidRDefault="00BC5DA7" w:rsidP="00BC5DA7">
      <w:pPr>
        <w:pStyle w:val="Body"/>
        <w:spacing w:after="0"/>
        <w:rPr>
          <w:rFonts w:ascii="Arial" w:hAnsi="Arial" w:cs="Arial"/>
          <w:lang w:val="en-IN"/>
        </w:rPr>
      </w:pPr>
      <w:r w:rsidRPr="00BC5DA7">
        <w:rPr>
          <w:rFonts w:ascii="Arial" w:hAnsi="Arial" w:cs="Arial"/>
          <w:lang w:val="en-IN"/>
        </w:rPr>
        <w:t xml:space="preserve">Overall, the elasticity estimates revealed that while certain inputs such as seed and fertilizer positively influenced output in specific farm categories, their effects were not uniform across all groups. The presence of negative elasticities, particularly for plant protection chemicals in </w:t>
      </w:r>
      <w:r w:rsidRPr="00BC5DA7">
        <w:rPr>
          <w:rFonts w:ascii="Arial" w:hAnsi="Arial" w:cs="Arial"/>
          <w:lang w:val="en-IN"/>
        </w:rPr>
        <w:lastRenderedPageBreak/>
        <w:t>marginal farms and fertilizer at the overall level, indicated inefficiencies in input use. Combined with the high explanatory power of the models, these results suggested that improving productivity required not merely increasing input use, but ensuring their optimal and balanced application across different farm sizes.</w:t>
      </w:r>
    </w:p>
    <w:p w14:paraId="63D521FF" w14:textId="77777777" w:rsidR="00E213DA" w:rsidRDefault="00E213DA" w:rsidP="00A47A53">
      <w:pPr>
        <w:pStyle w:val="Body"/>
        <w:spacing w:after="0"/>
        <w:rPr>
          <w:rFonts w:ascii="Arial" w:hAnsi="Arial" w:cs="Arial"/>
          <w:b/>
          <w:bCs/>
          <w:i/>
          <w:iCs/>
          <w:lang w:val="en-IN"/>
        </w:rPr>
      </w:pPr>
    </w:p>
    <w:p w14:paraId="399CFEDF" w14:textId="641A6658" w:rsidR="00A47A53" w:rsidRPr="00C03219" w:rsidRDefault="00A47A53" w:rsidP="00A47A53">
      <w:pPr>
        <w:pStyle w:val="Body"/>
        <w:spacing w:after="0"/>
        <w:rPr>
          <w:rFonts w:ascii="Arial" w:hAnsi="Arial" w:cs="Arial"/>
          <w:b/>
          <w:bCs/>
          <w:i/>
          <w:iCs/>
          <w:lang w:val="en-IN"/>
        </w:rPr>
      </w:pPr>
      <w:r w:rsidRPr="00A47A53">
        <w:rPr>
          <w:rFonts w:ascii="Arial" w:hAnsi="Arial" w:cs="Arial"/>
          <w:b/>
          <w:bCs/>
          <w:i/>
          <w:iCs/>
          <w:lang w:val="en-IN"/>
        </w:rPr>
        <w:t>3.1.3 Resource Use Efficiency</w:t>
      </w:r>
    </w:p>
    <w:p w14:paraId="3F1F57ED" w14:textId="77777777" w:rsidR="00C03219" w:rsidRPr="00A47A53" w:rsidRDefault="00C03219" w:rsidP="00A47A53">
      <w:pPr>
        <w:pStyle w:val="Body"/>
        <w:spacing w:after="0"/>
        <w:rPr>
          <w:rFonts w:ascii="Arial" w:hAnsi="Arial" w:cs="Arial"/>
          <w:b/>
          <w:bCs/>
          <w:lang w:val="en-IN"/>
        </w:rPr>
      </w:pPr>
    </w:p>
    <w:p w14:paraId="28F820E9" w14:textId="77777777" w:rsidR="00BC5DA7" w:rsidRPr="005B77F3" w:rsidRDefault="00BC5DA7" w:rsidP="00BC5DA7">
      <w:pPr>
        <w:pStyle w:val="Body"/>
        <w:spacing w:after="0"/>
        <w:rPr>
          <w:rFonts w:ascii="Arial" w:hAnsi="Arial" w:cs="Arial"/>
          <w:lang w:val="en-IN"/>
        </w:rPr>
      </w:pPr>
      <w:r w:rsidRPr="005B77F3">
        <w:rPr>
          <w:rFonts w:ascii="Arial" w:hAnsi="Arial" w:cs="Arial"/>
          <w:lang w:val="en-IN"/>
        </w:rPr>
        <w:t>Resource use efficiency was evaluated using the ratio of marginal value product to marginal factor cost (MVP/MFC), where a ratio greater than unity indicated underutilization of inputs, less than unity indicated overutilization, and unity represented optimal allocation. The estimated ratios revealed substantial variation in input-use efficiency across farm categories, highlighting widespread allocative inefficiencies in off-season cabbage production.</w:t>
      </w:r>
    </w:p>
    <w:p w14:paraId="2051C97C" w14:textId="77777777" w:rsidR="00BC5DA7" w:rsidRPr="005B77F3" w:rsidRDefault="00BC5DA7" w:rsidP="00BC5DA7">
      <w:pPr>
        <w:pStyle w:val="Body"/>
        <w:spacing w:after="0"/>
        <w:rPr>
          <w:rFonts w:ascii="Arial" w:hAnsi="Arial" w:cs="Arial"/>
          <w:lang w:val="en-IN"/>
        </w:rPr>
      </w:pPr>
    </w:p>
    <w:p w14:paraId="52135B7E" w14:textId="1B02E143" w:rsidR="00BC5DA7" w:rsidRPr="005B77F3" w:rsidRDefault="00BC5DA7" w:rsidP="00BC5DA7">
      <w:pPr>
        <w:pStyle w:val="Body"/>
        <w:spacing w:after="0"/>
        <w:rPr>
          <w:rFonts w:ascii="Arial" w:hAnsi="Arial" w:cs="Arial"/>
          <w:lang w:val="en-IN"/>
        </w:rPr>
      </w:pPr>
      <w:r w:rsidRPr="005B77F3">
        <w:rPr>
          <w:rFonts w:ascii="Arial" w:hAnsi="Arial" w:cs="Arial"/>
          <w:lang w:val="en-IN"/>
        </w:rPr>
        <w:t>In marginal farms, seed and fertilizer exhibited MVP</w:t>
      </w:r>
      <w:r w:rsidR="00985D05">
        <w:rPr>
          <w:rFonts w:ascii="Arial" w:hAnsi="Arial" w:cs="Arial"/>
          <w:lang w:val="en-IN"/>
        </w:rPr>
        <w:t>-</w:t>
      </w:r>
      <w:r w:rsidRPr="005B77F3">
        <w:rPr>
          <w:rFonts w:ascii="Arial" w:hAnsi="Arial" w:cs="Arial"/>
          <w:lang w:val="en-IN"/>
        </w:rPr>
        <w:t xml:space="preserve">MFC ratios of 2.63 and 4.51, respectively, indicating that these inputs were underutilized and that increasing their use could enhance output and profitability. In contrast, labour and plant protection chemicals recorded negative ratios of </w:t>
      </w:r>
      <w:r w:rsidR="005B77F3" w:rsidRPr="005B77F3">
        <w:rPr>
          <w:rFonts w:ascii="Arial" w:hAnsi="Arial" w:cs="Arial"/>
          <w:lang w:val="en-IN"/>
        </w:rPr>
        <w:t>-</w:t>
      </w:r>
      <w:r w:rsidRPr="005B77F3">
        <w:rPr>
          <w:rFonts w:ascii="Arial" w:hAnsi="Arial" w:cs="Arial"/>
          <w:lang w:val="en-IN"/>
        </w:rPr>
        <w:t xml:space="preserve">2.79 and </w:t>
      </w:r>
      <w:r w:rsidR="005B77F3" w:rsidRPr="005B77F3">
        <w:rPr>
          <w:rFonts w:ascii="Arial" w:hAnsi="Arial" w:cs="Arial"/>
          <w:lang w:val="en-IN"/>
        </w:rPr>
        <w:t>-</w:t>
      </w:r>
      <w:r w:rsidRPr="005B77F3">
        <w:rPr>
          <w:rFonts w:ascii="Arial" w:hAnsi="Arial" w:cs="Arial"/>
          <w:lang w:val="en-IN"/>
        </w:rPr>
        <w:t>768.97, respectively, reflecting overutilization. The negative values implied that the marginal cost of these inputs exceeded their marginal returns, suggesting economically inefficient input use.</w:t>
      </w:r>
    </w:p>
    <w:p w14:paraId="094CCC74" w14:textId="77777777" w:rsidR="00BC5DA7" w:rsidRPr="005B77F3" w:rsidRDefault="00BC5DA7" w:rsidP="00BC5DA7">
      <w:pPr>
        <w:pStyle w:val="Body"/>
        <w:spacing w:after="0"/>
        <w:rPr>
          <w:rFonts w:ascii="Arial" w:hAnsi="Arial" w:cs="Arial"/>
          <w:lang w:val="en-IN"/>
        </w:rPr>
      </w:pPr>
    </w:p>
    <w:p w14:paraId="4BA9CA3D" w14:textId="52A71144" w:rsidR="00BC5DA7" w:rsidRPr="005B77F3" w:rsidRDefault="00BC5DA7" w:rsidP="00BC5DA7">
      <w:pPr>
        <w:pStyle w:val="Body"/>
        <w:spacing w:after="0"/>
        <w:rPr>
          <w:rFonts w:ascii="Arial" w:hAnsi="Arial" w:cs="Arial"/>
          <w:lang w:val="en-IN"/>
        </w:rPr>
      </w:pPr>
      <w:r w:rsidRPr="005B77F3">
        <w:rPr>
          <w:rFonts w:ascii="Arial" w:hAnsi="Arial" w:cs="Arial"/>
          <w:lang w:val="en-IN"/>
        </w:rPr>
        <w:t xml:space="preserve">In small farms, a mixed pattern of inefficiency was observed. Fertilizer and plant protection chemicals, with ratios of 2.65 and 5.24, respectively, were underutilized, indicating scope for increased application. Conversely, seed and labour exhibited negative ratios of </w:t>
      </w:r>
      <w:r w:rsidR="005B77F3" w:rsidRPr="005B77F3">
        <w:rPr>
          <w:rFonts w:ascii="Arial" w:hAnsi="Arial" w:cs="Arial"/>
          <w:lang w:val="en-IN"/>
        </w:rPr>
        <w:t>-</w:t>
      </w:r>
      <w:r w:rsidRPr="005B77F3">
        <w:rPr>
          <w:rFonts w:ascii="Arial" w:hAnsi="Arial" w:cs="Arial"/>
          <w:lang w:val="en-IN"/>
        </w:rPr>
        <w:t xml:space="preserve">3.84 and </w:t>
      </w:r>
      <w:r w:rsidR="005B77F3" w:rsidRPr="005B77F3">
        <w:rPr>
          <w:rFonts w:ascii="Arial" w:hAnsi="Arial" w:cs="Arial"/>
          <w:lang w:val="en-IN"/>
        </w:rPr>
        <w:t>-</w:t>
      </w:r>
      <w:r w:rsidRPr="005B77F3">
        <w:rPr>
          <w:rFonts w:ascii="Arial" w:hAnsi="Arial" w:cs="Arial"/>
          <w:lang w:val="en-IN"/>
        </w:rPr>
        <w:t>4.07, suggesting overutilization. This pattern indicated inconsistent input allocation behaviour and lack of optimal input combination across enterprises.</w:t>
      </w:r>
    </w:p>
    <w:p w14:paraId="579DE7BE" w14:textId="77777777" w:rsidR="00BC5DA7" w:rsidRPr="005B77F3" w:rsidRDefault="00BC5DA7" w:rsidP="00BC5DA7">
      <w:pPr>
        <w:pStyle w:val="Body"/>
        <w:spacing w:after="0"/>
        <w:rPr>
          <w:rFonts w:ascii="Arial" w:hAnsi="Arial" w:cs="Arial"/>
          <w:lang w:val="en-IN"/>
        </w:rPr>
      </w:pPr>
    </w:p>
    <w:p w14:paraId="4BC05B5A" w14:textId="19F40649" w:rsidR="00BC5DA7" w:rsidRDefault="00BC5DA7" w:rsidP="00BC5DA7">
      <w:pPr>
        <w:pStyle w:val="Body"/>
        <w:spacing w:after="0"/>
        <w:rPr>
          <w:rFonts w:ascii="Arial" w:hAnsi="Arial" w:cs="Arial"/>
          <w:lang w:val="en-IN"/>
        </w:rPr>
      </w:pPr>
      <w:r w:rsidRPr="005B77F3">
        <w:rPr>
          <w:rFonts w:ascii="Arial" w:hAnsi="Arial" w:cs="Arial"/>
          <w:lang w:val="en-IN"/>
        </w:rPr>
        <w:t xml:space="preserve">At the overall level, seed and plant protection chemicals recorded ratios of 2.57 and 6.22, respectively, indicating underutilization, while labour and fertilizer showed negative ratios of </w:t>
      </w:r>
      <w:r w:rsidR="005B77F3" w:rsidRPr="005B77F3">
        <w:rPr>
          <w:rFonts w:ascii="Arial" w:hAnsi="Arial" w:cs="Arial"/>
          <w:lang w:val="en-IN"/>
        </w:rPr>
        <w:t>-</w:t>
      </w:r>
      <w:r w:rsidRPr="005B77F3">
        <w:rPr>
          <w:rFonts w:ascii="Arial" w:hAnsi="Arial" w:cs="Arial"/>
          <w:lang w:val="en-IN"/>
        </w:rPr>
        <w:t xml:space="preserve">1.95 and </w:t>
      </w:r>
      <w:r w:rsidR="005B77F3" w:rsidRPr="005B77F3">
        <w:rPr>
          <w:rFonts w:ascii="Arial" w:hAnsi="Arial" w:cs="Arial"/>
          <w:lang w:val="en-IN"/>
        </w:rPr>
        <w:t>-</w:t>
      </w:r>
      <w:r w:rsidRPr="005B77F3">
        <w:rPr>
          <w:rFonts w:ascii="Arial" w:hAnsi="Arial" w:cs="Arial"/>
          <w:lang w:val="en-IN"/>
        </w:rPr>
        <w:t>17.44, reflecting overutilization. These results suggested that inefficiencies persisted even after aggregation, indicating structural issues in input management across farm categories.</w:t>
      </w:r>
      <w:r w:rsidR="00985D05">
        <w:rPr>
          <w:rFonts w:ascii="Arial" w:hAnsi="Arial" w:cs="Arial"/>
          <w:lang w:val="en-IN"/>
        </w:rPr>
        <w:t xml:space="preserve"> The results were visualised in a pictorial representation using a heatmap in figure 1 below.</w:t>
      </w:r>
    </w:p>
    <w:p w14:paraId="2FC64D44" w14:textId="304935F8" w:rsidR="00985D05" w:rsidRPr="005B77F3" w:rsidRDefault="00985D05" w:rsidP="00BC5DA7">
      <w:pPr>
        <w:pStyle w:val="Body"/>
        <w:spacing w:after="0"/>
        <w:rPr>
          <w:rFonts w:ascii="Arial" w:hAnsi="Arial" w:cs="Arial"/>
          <w:lang w:val="en-IN"/>
        </w:rPr>
      </w:pPr>
      <w:r>
        <w:rPr>
          <w:noProof/>
        </w:rPr>
        <w:lastRenderedPageBreak/>
        <w:drawing>
          <wp:inline distT="0" distB="0" distL="0" distR="0" wp14:anchorId="573D1942" wp14:editId="4E6F33E6">
            <wp:extent cx="5212080" cy="3980180"/>
            <wp:effectExtent l="0" t="0" r="0" b="0"/>
            <wp:docPr id="151705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3980180"/>
                    </a:xfrm>
                    <a:prstGeom prst="rect">
                      <a:avLst/>
                    </a:prstGeom>
                    <a:noFill/>
                    <a:ln>
                      <a:noFill/>
                    </a:ln>
                  </pic:spPr>
                </pic:pic>
              </a:graphicData>
            </a:graphic>
          </wp:inline>
        </w:drawing>
      </w:r>
    </w:p>
    <w:p w14:paraId="51B72668" w14:textId="67E0010B" w:rsidR="00BC5DA7" w:rsidRDefault="00985D05" w:rsidP="00BC5DA7">
      <w:pPr>
        <w:pStyle w:val="Body"/>
        <w:spacing w:after="0"/>
        <w:rPr>
          <w:rFonts w:ascii="Arial" w:hAnsi="Arial" w:cs="Arial"/>
          <w:b/>
          <w:bCs/>
        </w:rPr>
      </w:pPr>
      <w:r w:rsidRPr="00985D05">
        <w:rPr>
          <w:rFonts w:ascii="Arial" w:hAnsi="Arial" w:cs="Arial"/>
          <w:b/>
          <w:bCs/>
          <w:lang w:val="en-IN"/>
        </w:rPr>
        <w:t xml:space="preserve">Figure </w:t>
      </w:r>
      <w:r w:rsidR="00291CB7">
        <w:rPr>
          <w:rFonts w:ascii="Arial" w:hAnsi="Arial" w:cs="Arial"/>
          <w:b/>
          <w:bCs/>
          <w:lang w:val="en-IN"/>
        </w:rPr>
        <w:t>2</w:t>
      </w:r>
      <w:r w:rsidRPr="00985D05">
        <w:rPr>
          <w:rFonts w:ascii="Arial" w:hAnsi="Arial" w:cs="Arial"/>
          <w:b/>
          <w:bCs/>
          <w:lang w:val="en-IN"/>
        </w:rPr>
        <w:t xml:space="preserve">: </w:t>
      </w:r>
      <w:r w:rsidRPr="00985D05">
        <w:rPr>
          <w:rFonts w:ascii="Arial" w:hAnsi="Arial" w:cs="Arial"/>
          <w:b/>
          <w:bCs/>
        </w:rPr>
        <w:t>Heat Map Representation of Farm-level Resource Use Efficiency Using MVP</w:t>
      </w:r>
      <w:r>
        <w:rPr>
          <w:rFonts w:ascii="Arial" w:hAnsi="Arial" w:cs="Arial"/>
          <w:b/>
          <w:bCs/>
        </w:rPr>
        <w:t>-</w:t>
      </w:r>
      <w:r w:rsidRPr="00985D05">
        <w:rPr>
          <w:rFonts w:ascii="Arial" w:hAnsi="Arial" w:cs="Arial"/>
          <w:b/>
          <w:bCs/>
        </w:rPr>
        <w:t>MFC Ratios</w:t>
      </w:r>
    </w:p>
    <w:p w14:paraId="778C1A9C" w14:textId="77777777" w:rsidR="00985D05" w:rsidRPr="00985D05" w:rsidRDefault="00985D05" w:rsidP="00BC5DA7">
      <w:pPr>
        <w:pStyle w:val="Body"/>
        <w:spacing w:after="0"/>
        <w:rPr>
          <w:rFonts w:ascii="Arial" w:hAnsi="Arial" w:cs="Arial"/>
          <w:b/>
          <w:bCs/>
          <w:lang w:val="en-IN"/>
        </w:rPr>
      </w:pPr>
    </w:p>
    <w:p w14:paraId="2D7D79B1" w14:textId="200F7737" w:rsidR="00BC5DA7" w:rsidRDefault="00BC5DA7" w:rsidP="00BC5DA7">
      <w:pPr>
        <w:pStyle w:val="Body"/>
        <w:spacing w:after="0"/>
        <w:rPr>
          <w:rFonts w:ascii="Arial" w:hAnsi="Arial" w:cs="Arial"/>
          <w:lang w:val="en-IN"/>
        </w:rPr>
      </w:pPr>
      <w:r w:rsidRPr="005B77F3">
        <w:rPr>
          <w:rFonts w:ascii="Arial" w:hAnsi="Arial" w:cs="Arial"/>
          <w:lang w:val="en-IN"/>
        </w:rPr>
        <w:t>A particularly notable result was the extremely large negative MVP</w:t>
      </w:r>
      <w:r w:rsidR="005B77F3" w:rsidRPr="005B77F3">
        <w:rPr>
          <w:rFonts w:ascii="Arial" w:hAnsi="Arial" w:cs="Arial"/>
          <w:lang w:val="en-IN"/>
        </w:rPr>
        <w:t>-</w:t>
      </w:r>
      <w:r w:rsidRPr="005B77F3">
        <w:rPr>
          <w:rFonts w:ascii="Arial" w:hAnsi="Arial" w:cs="Arial"/>
          <w:lang w:val="en-IN"/>
        </w:rPr>
        <w:t>MFC ratio for plant protection chemicals (</w:t>
      </w:r>
      <w:r w:rsidR="005B77F3" w:rsidRPr="005B77F3">
        <w:rPr>
          <w:rFonts w:ascii="Arial" w:hAnsi="Arial" w:cs="Arial"/>
          <w:lang w:val="en-IN"/>
        </w:rPr>
        <w:t>-</w:t>
      </w:r>
      <w:r w:rsidRPr="005B77F3">
        <w:rPr>
          <w:rFonts w:ascii="Arial" w:hAnsi="Arial" w:cs="Arial"/>
          <w:lang w:val="en-IN"/>
        </w:rPr>
        <w:t>768.97) in marginal farms. This outcome was driven by the negative elasticity coefficient (</w:t>
      </w:r>
      <w:r w:rsidR="005B77F3" w:rsidRPr="005B77F3">
        <w:rPr>
          <w:rFonts w:ascii="Arial" w:hAnsi="Arial" w:cs="Arial"/>
          <w:lang w:val="en-IN"/>
        </w:rPr>
        <w:t>-</w:t>
      </w:r>
      <w:r w:rsidRPr="005B77F3">
        <w:rPr>
          <w:rFonts w:ascii="Arial" w:hAnsi="Arial" w:cs="Arial"/>
          <w:lang w:val="en-IN"/>
        </w:rPr>
        <w:t>0.58) observed in the production function, indicating that increased application of plant protection chemicals reduced output. This reflects excessive reliance on chemical control measures, particularly under severe pest pressure conditions. In the study area, pest incidence</w:t>
      </w:r>
      <w:r w:rsidR="005B77F3" w:rsidRPr="005B77F3">
        <w:rPr>
          <w:rFonts w:ascii="Arial" w:hAnsi="Arial" w:cs="Arial"/>
          <w:lang w:val="en-IN"/>
        </w:rPr>
        <w:t>-</w:t>
      </w:r>
      <w:r w:rsidRPr="005B77F3">
        <w:rPr>
          <w:rFonts w:ascii="Arial" w:hAnsi="Arial" w:cs="Arial"/>
          <w:lang w:val="en-IN"/>
        </w:rPr>
        <w:t>especially of the Diamondback moth (</w:t>
      </w:r>
      <w:proofErr w:type="spellStart"/>
      <w:r w:rsidRPr="005B77F3">
        <w:rPr>
          <w:rFonts w:ascii="Arial" w:hAnsi="Arial" w:cs="Arial"/>
          <w:i/>
          <w:iCs/>
          <w:lang w:val="en-IN"/>
        </w:rPr>
        <w:t>Plutella</w:t>
      </w:r>
      <w:proofErr w:type="spellEnd"/>
      <w:r w:rsidRPr="005B77F3">
        <w:rPr>
          <w:rFonts w:ascii="Arial" w:hAnsi="Arial" w:cs="Arial"/>
          <w:i/>
          <w:iCs/>
          <w:lang w:val="en-IN"/>
        </w:rPr>
        <w:t xml:space="preserve"> </w:t>
      </w:r>
      <w:proofErr w:type="spellStart"/>
      <w:r w:rsidRPr="005B77F3">
        <w:rPr>
          <w:rFonts w:ascii="Arial" w:hAnsi="Arial" w:cs="Arial"/>
          <w:i/>
          <w:iCs/>
          <w:lang w:val="en-IN"/>
        </w:rPr>
        <w:t>xylostella</w:t>
      </w:r>
      <w:proofErr w:type="spellEnd"/>
      <w:r w:rsidRPr="005B77F3">
        <w:rPr>
          <w:rFonts w:ascii="Arial" w:hAnsi="Arial" w:cs="Arial"/>
          <w:lang w:val="en-IN"/>
        </w:rPr>
        <w:t>)</w:t>
      </w:r>
      <w:r w:rsidR="008B201A">
        <w:rPr>
          <w:rFonts w:ascii="Arial" w:hAnsi="Arial" w:cs="Arial"/>
          <w:lang w:val="en-IN"/>
        </w:rPr>
        <w:t xml:space="preserve"> </w:t>
      </w:r>
      <w:r w:rsidRPr="005B77F3">
        <w:rPr>
          <w:rFonts w:ascii="Arial" w:hAnsi="Arial" w:cs="Arial"/>
          <w:lang w:val="en-IN"/>
        </w:rPr>
        <w:t>was likely influenced by favourable climatic conditions and continuous cropping, prompting farmers to intensively apply pesticides as an immediate control strategy. Such indiscriminate use may have led to phytotoxic effects, resistance development, or ecological imbalance, thereby negatively affecting productivity. However, the magnitude of this ratio should be interpreted with caution, as it may also reflect sensitivity of the MVP estimation to extreme coefficient values and variability in input use.</w:t>
      </w:r>
    </w:p>
    <w:p w14:paraId="487C4F44" w14:textId="77777777" w:rsidR="005B77F3" w:rsidRDefault="005B77F3" w:rsidP="00BC5DA7">
      <w:pPr>
        <w:pStyle w:val="Body"/>
        <w:spacing w:after="0"/>
        <w:rPr>
          <w:rFonts w:ascii="Arial" w:hAnsi="Arial" w:cs="Arial"/>
          <w:lang w:val="en-IN"/>
        </w:rPr>
      </w:pPr>
    </w:p>
    <w:p w14:paraId="3B5F7C85" w14:textId="20555DBA" w:rsidR="002908D3" w:rsidRDefault="002908D3" w:rsidP="002908D3">
      <w:pPr>
        <w:pStyle w:val="Body"/>
        <w:spacing w:after="0"/>
        <w:rPr>
          <w:rFonts w:ascii="Arial" w:hAnsi="Arial" w:cs="Arial"/>
          <w:lang w:val="en-IN"/>
        </w:rPr>
      </w:pPr>
      <w:r w:rsidRPr="006A1703">
        <w:rPr>
          <w:rFonts w:ascii="Arial" w:hAnsi="Arial" w:cs="Arial"/>
          <w:lang w:val="en-IN"/>
        </w:rPr>
        <w:t>The negative and statistically insignificant coefficient of fertilizer observed in the present analysis indicate</w:t>
      </w:r>
      <w:r w:rsidR="00D47FFA">
        <w:rPr>
          <w:rFonts w:ascii="Arial" w:hAnsi="Arial" w:cs="Arial"/>
          <w:lang w:val="en-IN"/>
        </w:rPr>
        <w:t>d</w:t>
      </w:r>
      <w:r w:rsidRPr="006A1703">
        <w:rPr>
          <w:rFonts w:ascii="Arial" w:hAnsi="Arial" w:cs="Arial"/>
          <w:lang w:val="en-IN"/>
        </w:rPr>
        <w:t xml:space="preserve"> that fertilizer application has exceeded its economically optimal level, thereby reducing its marginal productivity. This outcome </w:t>
      </w:r>
      <w:r w:rsidR="00D47FFA">
        <w:rPr>
          <w:rFonts w:ascii="Arial" w:hAnsi="Arial" w:cs="Arial"/>
          <w:lang w:val="en-IN"/>
        </w:rPr>
        <w:t>was</w:t>
      </w:r>
      <w:r w:rsidRPr="006A1703">
        <w:rPr>
          <w:rFonts w:ascii="Arial" w:hAnsi="Arial" w:cs="Arial"/>
          <w:lang w:val="en-IN"/>
        </w:rPr>
        <w:t xml:space="preserve"> consistent with the theoretical expectation of diminishing marginal returns, wherein excessive application of a variable input leads to a decline in its contribution to output. Empirical evidence from recent efficiency studies support</w:t>
      </w:r>
      <w:r>
        <w:rPr>
          <w:rFonts w:ascii="Arial" w:hAnsi="Arial" w:cs="Arial"/>
          <w:lang w:val="en-IN"/>
        </w:rPr>
        <w:t>ed</w:t>
      </w:r>
      <w:r w:rsidRPr="006A1703">
        <w:rPr>
          <w:rFonts w:ascii="Arial" w:hAnsi="Arial" w:cs="Arial"/>
          <w:lang w:val="en-IN"/>
        </w:rPr>
        <w:t xml:space="preserve"> this finding. Sultana, Shamima et al. (2023) reported that overuse of chemical fertilizers in potato cultivation resulted in insignificant or negative yield responses due to nutrient imbalance and soil degradation effects. Similarly, Tadesse, Tesfaye et al. (2020) found that imbalanced fertilizer </w:t>
      </w:r>
      <w:proofErr w:type="gramStart"/>
      <w:r w:rsidRPr="006A1703">
        <w:rPr>
          <w:rFonts w:ascii="Arial" w:hAnsi="Arial" w:cs="Arial"/>
          <w:lang w:val="en-IN"/>
        </w:rPr>
        <w:t>use</w:t>
      </w:r>
      <w:proofErr w:type="gramEnd"/>
      <w:r w:rsidRPr="006A1703">
        <w:rPr>
          <w:rFonts w:ascii="Arial" w:hAnsi="Arial" w:cs="Arial"/>
          <w:lang w:val="en-IN"/>
        </w:rPr>
        <w:t xml:space="preserve"> in maize production reduced productivity and contributed to allocative inefficiency, emphasizing that optimal input combination rather than </w:t>
      </w:r>
      <w:r w:rsidRPr="006A1703">
        <w:rPr>
          <w:rFonts w:ascii="Arial" w:hAnsi="Arial" w:cs="Arial"/>
          <w:lang w:val="en-IN"/>
        </w:rPr>
        <w:lastRenderedPageBreak/>
        <w:t>quantity alone determines output response. These findings validate</w:t>
      </w:r>
      <w:r w:rsidR="00D47FFA">
        <w:rPr>
          <w:rFonts w:ascii="Arial" w:hAnsi="Arial" w:cs="Arial"/>
          <w:lang w:val="en-IN"/>
        </w:rPr>
        <w:t>d</w:t>
      </w:r>
      <w:r w:rsidRPr="006A1703">
        <w:rPr>
          <w:rFonts w:ascii="Arial" w:hAnsi="Arial" w:cs="Arial"/>
          <w:lang w:val="en-IN"/>
        </w:rPr>
        <w:t xml:space="preserve"> the present result that fertilizer inefficiency </w:t>
      </w:r>
      <w:r w:rsidR="00D47FFA">
        <w:rPr>
          <w:rFonts w:ascii="Arial" w:hAnsi="Arial" w:cs="Arial"/>
          <w:lang w:val="en-IN"/>
        </w:rPr>
        <w:t>was</w:t>
      </w:r>
      <w:r w:rsidRPr="006A1703">
        <w:rPr>
          <w:rFonts w:ascii="Arial" w:hAnsi="Arial" w:cs="Arial"/>
          <w:lang w:val="en-IN"/>
        </w:rPr>
        <w:t xml:space="preserve"> primarily a consequence of misallocation rather than inadequate use.</w:t>
      </w:r>
    </w:p>
    <w:p w14:paraId="671C1506" w14:textId="77777777" w:rsidR="002908D3" w:rsidRPr="005B77F3" w:rsidRDefault="002908D3" w:rsidP="00BC5DA7">
      <w:pPr>
        <w:pStyle w:val="Body"/>
        <w:spacing w:after="0"/>
        <w:rPr>
          <w:rFonts w:ascii="Arial" w:hAnsi="Arial" w:cs="Arial"/>
          <w:lang w:val="en-IN"/>
        </w:rPr>
      </w:pPr>
    </w:p>
    <w:p w14:paraId="2FA289D6" w14:textId="102ADC9F" w:rsidR="00472511" w:rsidRPr="005B77F3" w:rsidRDefault="00BC5DA7" w:rsidP="00472511">
      <w:pPr>
        <w:pStyle w:val="Body"/>
        <w:spacing w:after="0"/>
        <w:rPr>
          <w:rFonts w:ascii="Arial" w:hAnsi="Arial" w:cs="Arial"/>
          <w:lang w:val="en-IN"/>
        </w:rPr>
      </w:pPr>
      <w:r w:rsidRPr="005B77F3">
        <w:rPr>
          <w:rFonts w:ascii="Arial" w:hAnsi="Arial" w:cs="Arial"/>
          <w:lang w:val="en-IN"/>
        </w:rPr>
        <w:t>The results further indicated that the productivity response to plant protection chemicals varied across farm categories. While the input showed a strong positive contribution in small and overall farms, its negative effect in marginal farms suggested heterogeneity in pest management practices, timing of application, and technical knowledge. In several instances, increased chemical use did not translate into proportionate output gains, possibly due to suboptimal dosage, improper application timing, or diminishing marginal returns under low-input conditions.</w:t>
      </w:r>
      <w:r w:rsidR="00472511" w:rsidRPr="00472511">
        <w:rPr>
          <w:rFonts w:ascii="Arial" w:hAnsi="Arial" w:cs="Arial"/>
        </w:rPr>
        <w:t xml:space="preserve"> In high-value horticultural systems, farms often operate near the production frontier, yet inefficiencies persist in input allocation and cost management, highlighting that improvements in farm income depend not only on technical efficiency but also on optimal resource use (</w:t>
      </w:r>
      <w:proofErr w:type="spellStart"/>
      <w:r w:rsidR="00472511" w:rsidRPr="00472511">
        <w:rPr>
          <w:rFonts w:ascii="Arial" w:hAnsi="Arial" w:cs="Arial"/>
        </w:rPr>
        <w:t>Mithiya</w:t>
      </w:r>
      <w:proofErr w:type="spellEnd"/>
      <w:r w:rsidR="00472511" w:rsidRPr="00472511">
        <w:rPr>
          <w:rFonts w:ascii="Arial" w:hAnsi="Arial" w:cs="Arial"/>
        </w:rPr>
        <w:t xml:space="preserve"> et al., 2019</w:t>
      </w:r>
      <w:r w:rsidR="00472511">
        <w:rPr>
          <w:rFonts w:ascii="Arial" w:hAnsi="Arial" w:cs="Arial"/>
        </w:rPr>
        <w:t>).</w:t>
      </w:r>
    </w:p>
    <w:p w14:paraId="41B247A7" w14:textId="098EB2C2" w:rsidR="00BC5DA7" w:rsidRPr="005B77F3" w:rsidRDefault="00BC5DA7" w:rsidP="00BC5DA7">
      <w:pPr>
        <w:pStyle w:val="Body"/>
        <w:spacing w:after="0"/>
        <w:rPr>
          <w:rFonts w:ascii="Arial" w:hAnsi="Arial" w:cs="Arial"/>
          <w:lang w:val="en-IN"/>
        </w:rPr>
      </w:pPr>
    </w:p>
    <w:p w14:paraId="16349204" w14:textId="77777777" w:rsidR="002479CC" w:rsidRPr="002479CC" w:rsidRDefault="002479CC" w:rsidP="00A47A53">
      <w:pPr>
        <w:pStyle w:val="Body"/>
        <w:spacing w:after="0"/>
        <w:rPr>
          <w:rFonts w:ascii="Arial" w:hAnsi="Arial" w:cs="Arial"/>
          <w:lang w:val="en-IN"/>
        </w:rPr>
      </w:pPr>
    </w:p>
    <w:p w14:paraId="0359E033" w14:textId="510E66A1" w:rsidR="00A47A53" w:rsidRDefault="002479CC" w:rsidP="00BC5DA7">
      <w:pPr>
        <w:pStyle w:val="Body"/>
        <w:spacing w:after="0"/>
        <w:rPr>
          <w:rFonts w:ascii="Arial" w:hAnsi="Arial" w:cs="Arial"/>
          <w:lang w:val="en-IN"/>
        </w:rPr>
      </w:pPr>
      <w:r w:rsidRPr="008C428B">
        <w:rPr>
          <w:rFonts w:ascii="Arial" w:hAnsi="Arial" w:cs="Arial"/>
          <w:b/>
          <w:bCs/>
          <w:lang w:val="en-IN"/>
        </w:rPr>
        <w:t xml:space="preserve">Table </w:t>
      </w:r>
      <w:r w:rsidR="00BC5DA7">
        <w:rPr>
          <w:rFonts w:ascii="Arial" w:hAnsi="Arial" w:cs="Arial"/>
          <w:b/>
          <w:bCs/>
          <w:lang w:val="en-IN"/>
        </w:rPr>
        <w:t>3</w:t>
      </w:r>
      <w:r w:rsidRPr="008C428B">
        <w:rPr>
          <w:rFonts w:ascii="Arial" w:hAnsi="Arial" w:cs="Arial"/>
          <w:b/>
          <w:bCs/>
          <w:lang w:val="en-IN"/>
        </w:rPr>
        <w:t xml:space="preserve"> -</w:t>
      </w:r>
      <w:r w:rsidR="00BC5DA7">
        <w:rPr>
          <w:rFonts w:ascii="Arial" w:hAnsi="Arial" w:cs="Arial"/>
          <w:b/>
          <w:bCs/>
          <w:lang w:val="en-IN"/>
        </w:rPr>
        <w:t xml:space="preserve"> </w:t>
      </w:r>
      <w:r w:rsidR="00BC5DA7" w:rsidRPr="00BC5DA7">
        <w:rPr>
          <w:rFonts w:ascii="Arial" w:hAnsi="Arial" w:cs="Arial"/>
          <w:b/>
          <w:bCs/>
        </w:rPr>
        <w:t>Marginal Value Product to Marginal Factor Cost Ratios across Farm Categories</w:t>
      </w:r>
      <w:r w:rsidR="00BC5DA7">
        <w:rPr>
          <w:rFonts w:ascii="Arial" w:hAnsi="Arial" w:cs="Arial"/>
          <w:b/>
          <w:bCs/>
        </w:rPr>
        <w:t xml:space="preserve"> </w:t>
      </w:r>
    </w:p>
    <w:p w14:paraId="2AF34511" w14:textId="77777777" w:rsidR="00BC5DA7" w:rsidRPr="00BC5DA7" w:rsidRDefault="00BC5DA7" w:rsidP="00BC5DA7">
      <w:pPr>
        <w:pStyle w:val="Body"/>
        <w:spacing w:after="0"/>
        <w:rPr>
          <w:rFonts w:ascii="Arial" w:hAnsi="Arial" w:cs="Arial"/>
          <w:lang w:val="en-IN"/>
        </w:rPr>
      </w:pPr>
    </w:p>
    <w:tbl>
      <w:tblPr>
        <w:tblStyle w:val="TableGrid"/>
        <w:tblW w:w="0" w:type="auto"/>
        <w:tblLook w:val="04A0" w:firstRow="1" w:lastRow="0" w:firstColumn="1" w:lastColumn="0" w:noHBand="0" w:noVBand="1"/>
      </w:tblPr>
      <w:tblGrid>
        <w:gridCol w:w="2106"/>
        <w:gridCol w:w="2106"/>
        <w:gridCol w:w="2106"/>
        <w:gridCol w:w="2106"/>
      </w:tblGrid>
      <w:tr w:rsidR="00BC5DA7" w:rsidRPr="00BC5DA7" w14:paraId="1A26A2C4" w14:textId="77777777">
        <w:tc>
          <w:tcPr>
            <w:tcW w:w="2106" w:type="dxa"/>
          </w:tcPr>
          <w:p w14:paraId="354F0550" w14:textId="77777777" w:rsidR="00BC5DA7" w:rsidRPr="00BC5DA7" w:rsidRDefault="00BC5DA7" w:rsidP="00BC5DA7">
            <w:pPr>
              <w:pStyle w:val="Body"/>
              <w:jc w:val="center"/>
              <w:rPr>
                <w:rFonts w:ascii="Arial" w:hAnsi="Arial" w:cs="Arial"/>
                <w:b/>
                <w:bCs/>
                <w:sz w:val="20"/>
                <w:szCs w:val="20"/>
                <w:lang w:val="en-IN"/>
              </w:rPr>
            </w:pPr>
            <w:r w:rsidRPr="00BC5DA7">
              <w:rPr>
                <w:rFonts w:ascii="Arial" w:hAnsi="Arial" w:cs="Arial"/>
                <w:b/>
                <w:bCs/>
                <w:sz w:val="20"/>
                <w:szCs w:val="20"/>
                <w:lang w:val="en-IN"/>
              </w:rPr>
              <w:t>Input</w:t>
            </w:r>
          </w:p>
        </w:tc>
        <w:tc>
          <w:tcPr>
            <w:tcW w:w="2106" w:type="dxa"/>
          </w:tcPr>
          <w:p w14:paraId="338B98FE" w14:textId="77777777" w:rsidR="00BC5DA7" w:rsidRPr="00BC5DA7" w:rsidRDefault="00BC5DA7" w:rsidP="00BC5DA7">
            <w:pPr>
              <w:pStyle w:val="Body"/>
              <w:jc w:val="center"/>
              <w:rPr>
                <w:rFonts w:ascii="Arial" w:hAnsi="Arial" w:cs="Arial"/>
                <w:b/>
                <w:bCs/>
                <w:sz w:val="20"/>
                <w:szCs w:val="20"/>
                <w:lang w:val="en-IN"/>
              </w:rPr>
            </w:pPr>
            <w:r w:rsidRPr="00BC5DA7">
              <w:rPr>
                <w:rFonts w:ascii="Arial" w:hAnsi="Arial" w:cs="Arial"/>
                <w:b/>
                <w:bCs/>
                <w:sz w:val="20"/>
                <w:szCs w:val="20"/>
                <w:lang w:val="en-IN"/>
              </w:rPr>
              <w:t>Marginal Farms (MVP/MFC)</w:t>
            </w:r>
          </w:p>
        </w:tc>
        <w:tc>
          <w:tcPr>
            <w:tcW w:w="2106" w:type="dxa"/>
          </w:tcPr>
          <w:p w14:paraId="0D791454" w14:textId="77777777" w:rsidR="00BC5DA7" w:rsidRPr="00BC5DA7" w:rsidRDefault="00BC5DA7" w:rsidP="00BC5DA7">
            <w:pPr>
              <w:pStyle w:val="Body"/>
              <w:jc w:val="center"/>
              <w:rPr>
                <w:rFonts w:ascii="Arial" w:hAnsi="Arial" w:cs="Arial"/>
                <w:b/>
                <w:bCs/>
                <w:sz w:val="20"/>
                <w:szCs w:val="20"/>
                <w:lang w:val="en-IN"/>
              </w:rPr>
            </w:pPr>
            <w:r w:rsidRPr="00BC5DA7">
              <w:rPr>
                <w:rFonts w:ascii="Arial" w:hAnsi="Arial" w:cs="Arial"/>
                <w:b/>
                <w:bCs/>
                <w:sz w:val="20"/>
                <w:szCs w:val="20"/>
                <w:lang w:val="en-IN"/>
              </w:rPr>
              <w:t>Small Farms (MVP/MFC)</w:t>
            </w:r>
          </w:p>
        </w:tc>
        <w:tc>
          <w:tcPr>
            <w:tcW w:w="2106" w:type="dxa"/>
          </w:tcPr>
          <w:p w14:paraId="790D9C00" w14:textId="77777777" w:rsidR="00BC5DA7" w:rsidRPr="00BC5DA7" w:rsidRDefault="00BC5DA7" w:rsidP="00BC5DA7">
            <w:pPr>
              <w:pStyle w:val="Body"/>
              <w:jc w:val="center"/>
              <w:rPr>
                <w:rFonts w:ascii="Arial" w:hAnsi="Arial" w:cs="Arial"/>
                <w:b/>
                <w:bCs/>
                <w:sz w:val="20"/>
                <w:szCs w:val="20"/>
                <w:lang w:val="en-IN"/>
              </w:rPr>
            </w:pPr>
            <w:r w:rsidRPr="00BC5DA7">
              <w:rPr>
                <w:rFonts w:ascii="Arial" w:hAnsi="Arial" w:cs="Arial"/>
                <w:b/>
                <w:bCs/>
                <w:sz w:val="20"/>
                <w:szCs w:val="20"/>
                <w:lang w:val="en-IN"/>
              </w:rPr>
              <w:t>Overall Farms (MVP/MFC)</w:t>
            </w:r>
          </w:p>
        </w:tc>
      </w:tr>
      <w:tr w:rsidR="00BC5DA7" w:rsidRPr="00BC5DA7" w14:paraId="1D437A4E" w14:textId="77777777">
        <w:tc>
          <w:tcPr>
            <w:tcW w:w="2106" w:type="dxa"/>
          </w:tcPr>
          <w:p w14:paraId="573EE8EE" w14:textId="77777777" w:rsidR="00BC5DA7" w:rsidRPr="00BC5DA7" w:rsidRDefault="00BC5DA7" w:rsidP="00BC5DA7">
            <w:pPr>
              <w:pStyle w:val="Body"/>
              <w:jc w:val="center"/>
              <w:rPr>
                <w:rFonts w:ascii="Arial" w:hAnsi="Arial" w:cs="Arial"/>
                <w:b/>
                <w:bCs/>
                <w:sz w:val="20"/>
                <w:szCs w:val="20"/>
                <w:lang w:val="en-IN"/>
              </w:rPr>
            </w:pPr>
            <w:r w:rsidRPr="00BC5DA7">
              <w:rPr>
                <w:rFonts w:ascii="Arial" w:hAnsi="Arial" w:cs="Arial"/>
                <w:b/>
                <w:bCs/>
                <w:sz w:val="20"/>
                <w:szCs w:val="20"/>
                <w:lang w:val="en-IN"/>
              </w:rPr>
              <w:t>Seed (X1)</w:t>
            </w:r>
          </w:p>
        </w:tc>
        <w:tc>
          <w:tcPr>
            <w:tcW w:w="2106" w:type="dxa"/>
          </w:tcPr>
          <w:p w14:paraId="237AE75A" w14:textId="77777777" w:rsidR="00BC5DA7" w:rsidRPr="00BC5DA7" w:rsidRDefault="00BC5DA7" w:rsidP="00BC5DA7">
            <w:pPr>
              <w:pStyle w:val="Body"/>
              <w:jc w:val="center"/>
              <w:rPr>
                <w:rFonts w:ascii="Arial" w:hAnsi="Arial" w:cs="Arial"/>
                <w:sz w:val="20"/>
                <w:szCs w:val="20"/>
                <w:lang w:val="en-IN"/>
              </w:rPr>
            </w:pPr>
            <w:r w:rsidRPr="00BC5DA7">
              <w:rPr>
                <w:rFonts w:ascii="Arial" w:hAnsi="Arial" w:cs="Arial"/>
                <w:sz w:val="20"/>
                <w:szCs w:val="20"/>
                <w:lang w:val="en-IN"/>
              </w:rPr>
              <w:t>2.63</w:t>
            </w:r>
          </w:p>
        </w:tc>
        <w:tc>
          <w:tcPr>
            <w:tcW w:w="2106" w:type="dxa"/>
          </w:tcPr>
          <w:p w14:paraId="3D0A28F5" w14:textId="77777777" w:rsidR="00BC5DA7" w:rsidRPr="00BC5DA7" w:rsidRDefault="00BC5DA7" w:rsidP="00BC5DA7">
            <w:pPr>
              <w:pStyle w:val="Body"/>
              <w:jc w:val="center"/>
              <w:rPr>
                <w:rFonts w:ascii="Arial" w:hAnsi="Arial" w:cs="Arial"/>
                <w:sz w:val="20"/>
                <w:szCs w:val="20"/>
                <w:lang w:val="en-IN"/>
              </w:rPr>
            </w:pPr>
            <w:r w:rsidRPr="00BC5DA7">
              <w:rPr>
                <w:rFonts w:ascii="Arial" w:hAnsi="Arial" w:cs="Arial"/>
                <w:sz w:val="20"/>
                <w:szCs w:val="20"/>
                <w:lang w:val="en-IN"/>
              </w:rPr>
              <w:t>-3.84</w:t>
            </w:r>
          </w:p>
        </w:tc>
        <w:tc>
          <w:tcPr>
            <w:tcW w:w="2106" w:type="dxa"/>
          </w:tcPr>
          <w:p w14:paraId="49D220DC" w14:textId="77777777" w:rsidR="00BC5DA7" w:rsidRPr="00BC5DA7" w:rsidRDefault="00BC5DA7" w:rsidP="00BC5DA7">
            <w:pPr>
              <w:pStyle w:val="Body"/>
              <w:jc w:val="center"/>
              <w:rPr>
                <w:rFonts w:ascii="Arial" w:hAnsi="Arial" w:cs="Arial"/>
                <w:sz w:val="20"/>
                <w:szCs w:val="20"/>
                <w:lang w:val="en-IN"/>
              </w:rPr>
            </w:pPr>
            <w:r w:rsidRPr="00BC5DA7">
              <w:rPr>
                <w:rFonts w:ascii="Arial" w:hAnsi="Arial" w:cs="Arial"/>
                <w:sz w:val="20"/>
                <w:szCs w:val="20"/>
                <w:lang w:val="en-IN"/>
              </w:rPr>
              <w:t>2.57</w:t>
            </w:r>
          </w:p>
        </w:tc>
      </w:tr>
      <w:tr w:rsidR="00BC5DA7" w:rsidRPr="00BC5DA7" w14:paraId="0F6B45F2" w14:textId="77777777">
        <w:tc>
          <w:tcPr>
            <w:tcW w:w="2106" w:type="dxa"/>
          </w:tcPr>
          <w:p w14:paraId="40B7C8C5" w14:textId="77777777" w:rsidR="00BC5DA7" w:rsidRPr="00BC5DA7" w:rsidRDefault="00BC5DA7" w:rsidP="00BC5DA7">
            <w:pPr>
              <w:pStyle w:val="Body"/>
              <w:jc w:val="center"/>
              <w:rPr>
                <w:rFonts w:ascii="Arial" w:hAnsi="Arial" w:cs="Arial"/>
                <w:b/>
                <w:bCs/>
                <w:sz w:val="20"/>
                <w:szCs w:val="20"/>
                <w:lang w:val="en-IN"/>
              </w:rPr>
            </w:pPr>
            <w:r w:rsidRPr="00BC5DA7">
              <w:rPr>
                <w:rFonts w:ascii="Arial" w:hAnsi="Arial" w:cs="Arial"/>
                <w:b/>
                <w:bCs/>
                <w:sz w:val="20"/>
                <w:szCs w:val="20"/>
                <w:lang w:val="en-IN"/>
              </w:rPr>
              <w:t>Labour (X2)</w:t>
            </w:r>
          </w:p>
        </w:tc>
        <w:tc>
          <w:tcPr>
            <w:tcW w:w="2106" w:type="dxa"/>
          </w:tcPr>
          <w:p w14:paraId="659DFD83" w14:textId="77777777" w:rsidR="00BC5DA7" w:rsidRPr="00BC5DA7" w:rsidRDefault="00BC5DA7" w:rsidP="00BC5DA7">
            <w:pPr>
              <w:pStyle w:val="Body"/>
              <w:jc w:val="center"/>
              <w:rPr>
                <w:rFonts w:ascii="Arial" w:hAnsi="Arial" w:cs="Arial"/>
                <w:sz w:val="20"/>
                <w:szCs w:val="20"/>
                <w:lang w:val="en-IN"/>
              </w:rPr>
            </w:pPr>
            <w:r w:rsidRPr="00BC5DA7">
              <w:rPr>
                <w:rFonts w:ascii="Arial" w:hAnsi="Arial" w:cs="Arial"/>
                <w:sz w:val="20"/>
                <w:szCs w:val="20"/>
                <w:lang w:val="en-IN"/>
              </w:rPr>
              <w:t>-2.79</w:t>
            </w:r>
          </w:p>
        </w:tc>
        <w:tc>
          <w:tcPr>
            <w:tcW w:w="2106" w:type="dxa"/>
          </w:tcPr>
          <w:p w14:paraId="79138385" w14:textId="77777777" w:rsidR="00BC5DA7" w:rsidRPr="00BC5DA7" w:rsidRDefault="00BC5DA7" w:rsidP="00BC5DA7">
            <w:pPr>
              <w:pStyle w:val="Body"/>
              <w:jc w:val="center"/>
              <w:rPr>
                <w:rFonts w:ascii="Arial" w:hAnsi="Arial" w:cs="Arial"/>
                <w:sz w:val="20"/>
                <w:szCs w:val="20"/>
                <w:lang w:val="en-IN"/>
              </w:rPr>
            </w:pPr>
            <w:r w:rsidRPr="00BC5DA7">
              <w:rPr>
                <w:rFonts w:ascii="Arial" w:hAnsi="Arial" w:cs="Arial"/>
                <w:sz w:val="20"/>
                <w:szCs w:val="20"/>
                <w:lang w:val="en-IN"/>
              </w:rPr>
              <w:t>-4.07</w:t>
            </w:r>
          </w:p>
        </w:tc>
        <w:tc>
          <w:tcPr>
            <w:tcW w:w="2106" w:type="dxa"/>
          </w:tcPr>
          <w:p w14:paraId="7CA98BF6" w14:textId="77777777" w:rsidR="00BC5DA7" w:rsidRPr="00BC5DA7" w:rsidRDefault="00BC5DA7" w:rsidP="00BC5DA7">
            <w:pPr>
              <w:pStyle w:val="Body"/>
              <w:jc w:val="center"/>
              <w:rPr>
                <w:rFonts w:ascii="Arial" w:hAnsi="Arial" w:cs="Arial"/>
                <w:sz w:val="20"/>
                <w:szCs w:val="20"/>
                <w:lang w:val="en-IN"/>
              </w:rPr>
            </w:pPr>
            <w:r w:rsidRPr="00BC5DA7">
              <w:rPr>
                <w:rFonts w:ascii="Arial" w:hAnsi="Arial" w:cs="Arial"/>
                <w:sz w:val="20"/>
                <w:szCs w:val="20"/>
                <w:lang w:val="en-IN"/>
              </w:rPr>
              <w:t>-1.95</w:t>
            </w:r>
          </w:p>
        </w:tc>
      </w:tr>
      <w:tr w:rsidR="00BC5DA7" w:rsidRPr="00BC5DA7" w14:paraId="16F5C9CC" w14:textId="77777777">
        <w:tc>
          <w:tcPr>
            <w:tcW w:w="2106" w:type="dxa"/>
          </w:tcPr>
          <w:p w14:paraId="216705D8" w14:textId="77777777" w:rsidR="00BC5DA7" w:rsidRPr="00BC5DA7" w:rsidRDefault="00BC5DA7" w:rsidP="00BC5DA7">
            <w:pPr>
              <w:pStyle w:val="Body"/>
              <w:jc w:val="center"/>
              <w:rPr>
                <w:rFonts w:ascii="Arial" w:hAnsi="Arial" w:cs="Arial"/>
                <w:b/>
                <w:bCs/>
                <w:sz w:val="20"/>
                <w:szCs w:val="20"/>
                <w:lang w:val="en-IN"/>
              </w:rPr>
            </w:pPr>
            <w:r w:rsidRPr="00BC5DA7">
              <w:rPr>
                <w:rFonts w:ascii="Arial" w:hAnsi="Arial" w:cs="Arial"/>
                <w:b/>
                <w:bCs/>
                <w:sz w:val="20"/>
                <w:szCs w:val="20"/>
                <w:lang w:val="en-IN"/>
              </w:rPr>
              <w:t>Fertilizer (X3)</w:t>
            </w:r>
          </w:p>
        </w:tc>
        <w:tc>
          <w:tcPr>
            <w:tcW w:w="2106" w:type="dxa"/>
          </w:tcPr>
          <w:p w14:paraId="0857FA67" w14:textId="77777777" w:rsidR="00BC5DA7" w:rsidRPr="00BC5DA7" w:rsidRDefault="00BC5DA7" w:rsidP="00BC5DA7">
            <w:pPr>
              <w:pStyle w:val="Body"/>
              <w:jc w:val="center"/>
              <w:rPr>
                <w:rFonts w:ascii="Arial" w:hAnsi="Arial" w:cs="Arial"/>
                <w:sz w:val="20"/>
                <w:szCs w:val="20"/>
                <w:lang w:val="en-IN"/>
              </w:rPr>
            </w:pPr>
            <w:r w:rsidRPr="00BC5DA7">
              <w:rPr>
                <w:rFonts w:ascii="Arial" w:hAnsi="Arial" w:cs="Arial"/>
                <w:sz w:val="20"/>
                <w:szCs w:val="20"/>
                <w:lang w:val="en-IN"/>
              </w:rPr>
              <w:t>4.51</w:t>
            </w:r>
          </w:p>
        </w:tc>
        <w:tc>
          <w:tcPr>
            <w:tcW w:w="2106" w:type="dxa"/>
          </w:tcPr>
          <w:p w14:paraId="322DE71C" w14:textId="77777777" w:rsidR="00BC5DA7" w:rsidRPr="00BC5DA7" w:rsidRDefault="00BC5DA7" w:rsidP="00BC5DA7">
            <w:pPr>
              <w:pStyle w:val="Body"/>
              <w:jc w:val="center"/>
              <w:rPr>
                <w:rFonts w:ascii="Arial" w:hAnsi="Arial" w:cs="Arial"/>
                <w:sz w:val="20"/>
                <w:szCs w:val="20"/>
                <w:lang w:val="en-IN"/>
              </w:rPr>
            </w:pPr>
            <w:r w:rsidRPr="00BC5DA7">
              <w:rPr>
                <w:rFonts w:ascii="Arial" w:hAnsi="Arial" w:cs="Arial"/>
                <w:sz w:val="20"/>
                <w:szCs w:val="20"/>
                <w:lang w:val="en-IN"/>
              </w:rPr>
              <w:t>2.65</w:t>
            </w:r>
          </w:p>
        </w:tc>
        <w:tc>
          <w:tcPr>
            <w:tcW w:w="2106" w:type="dxa"/>
          </w:tcPr>
          <w:p w14:paraId="2607DEA9" w14:textId="77777777" w:rsidR="00BC5DA7" w:rsidRPr="00BC5DA7" w:rsidRDefault="00BC5DA7" w:rsidP="00BC5DA7">
            <w:pPr>
              <w:pStyle w:val="Body"/>
              <w:jc w:val="center"/>
              <w:rPr>
                <w:rFonts w:ascii="Arial" w:hAnsi="Arial" w:cs="Arial"/>
                <w:sz w:val="20"/>
                <w:szCs w:val="20"/>
                <w:lang w:val="en-IN"/>
              </w:rPr>
            </w:pPr>
            <w:r w:rsidRPr="00BC5DA7">
              <w:rPr>
                <w:rFonts w:ascii="Arial" w:hAnsi="Arial" w:cs="Arial"/>
                <w:sz w:val="20"/>
                <w:szCs w:val="20"/>
                <w:lang w:val="en-IN"/>
              </w:rPr>
              <w:t>-17.44</w:t>
            </w:r>
          </w:p>
        </w:tc>
      </w:tr>
      <w:tr w:rsidR="00BC5DA7" w:rsidRPr="00BC5DA7" w14:paraId="40CA0F3B" w14:textId="77777777">
        <w:tc>
          <w:tcPr>
            <w:tcW w:w="2106" w:type="dxa"/>
          </w:tcPr>
          <w:p w14:paraId="6E4B46C3" w14:textId="2E09D405" w:rsidR="00BC5DA7" w:rsidRPr="00BC5DA7" w:rsidRDefault="00BC5DA7" w:rsidP="00BC5DA7">
            <w:pPr>
              <w:pStyle w:val="Body"/>
              <w:jc w:val="center"/>
              <w:rPr>
                <w:rFonts w:ascii="Arial" w:hAnsi="Arial" w:cs="Arial"/>
                <w:b/>
                <w:bCs/>
                <w:sz w:val="20"/>
                <w:szCs w:val="20"/>
                <w:lang w:val="en-IN"/>
              </w:rPr>
            </w:pPr>
            <w:r w:rsidRPr="00BC5DA7">
              <w:rPr>
                <w:rFonts w:ascii="Arial" w:hAnsi="Arial" w:cs="Arial"/>
                <w:b/>
                <w:bCs/>
                <w:sz w:val="20"/>
                <w:szCs w:val="20"/>
                <w:lang w:val="en-IN"/>
              </w:rPr>
              <w:t>P</w:t>
            </w:r>
            <w:r>
              <w:rPr>
                <w:rFonts w:ascii="Arial" w:hAnsi="Arial" w:cs="Arial"/>
                <w:b/>
                <w:bCs/>
                <w:sz w:val="20"/>
                <w:szCs w:val="20"/>
                <w:lang w:val="en-IN"/>
              </w:rPr>
              <w:t xml:space="preserve">lant </w:t>
            </w:r>
            <w:r w:rsidRPr="00BC5DA7">
              <w:rPr>
                <w:rFonts w:ascii="Arial" w:hAnsi="Arial" w:cs="Arial"/>
                <w:b/>
                <w:bCs/>
                <w:sz w:val="20"/>
                <w:szCs w:val="20"/>
                <w:lang w:val="en-IN"/>
              </w:rPr>
              <w:t>P</w:t>
            </w:r>
            <w:r>
              <w:rPr>
                <w:rFonts w:ascii="Arial" w:hAnsi="Arial" w:cs="Arial"/>
                <w:b/>
                <w:bCs/>
                <w:sz w:val="20"/>
                <w:szCs w:val="20"/>
                <w:lang w:val="en-IN"/>
              </w:rPr>
              <w:t xml:space="preserve">rotection </w:t>
            </w:r>
            <w:r w:rsidRPr="00BC5DA7">
              <w:rPr>
                <w:rFonts w:ascii="Arial" w:hAnsi="Arial" w:cs="Arial"/>
                <w:b/>
                <w:bCs/>
                <w:sz w:val="20"/>
                <w:szCs w:val="20"/>
                <w:lang w:val="en-IN"/>
              </w:rPr>
              <w:t>C</w:t>
            </w:r>
            <w:r>
              <w:rPr>
                <w:rFonts w:ascii="Arial" w:hAnsi="Arial" w:cs="Arial"/>
                <w:b/>
                <w:bCs/>
                <w:sz w:val="20"/>
                <w:szCs w:val="20"/>
                <w:lang w:val="en-IN"/>
              </w:rPr>
              <w:t>hemicals</w:t>
            </w:r>
            <w:r w:rsidRPr="00BC5DA7">
              <w:rPr>
                <w:rFonts w:ascii="Arial" w:hAnsi="Arial" w:cs="Arial"/>
                <w:b/>
                <w:bCs/>
                <w:sz w:val="20"/>
                <w:szCs w:val="20"/>
                <w:lang w:val="en-IN"/>
              </w:rPr>
              <w:t xml:space="preserve"> (X4)</w:t>
            </w:r>
          </w:p>
        </w:tc>
        <w:tc>
          <w:tcPr>
            <w:tcW w:w="2106" w:type="dxa"/>
          </w:tcPr>
          <w:p w14:paraId="58E694C2" w14:textId="77777777" w:rsidR="00BC5DA7" w:rsidRPr="00BC5DA7" w:rsidRDefault="00BC5DA7" w:rsidP="00BC5DA7">
            <w:pPr>
              <w:pStyle w:val="Body"/>
              <w:jc w:val="center"/>
              <w:rPr>
                <w:rFonts w:ascii="Arial" w:hAnsi="Arial" w:cs="Arial"/>
                <w:sz w:val="20"/>
                <w:szCs w:val="20"/>
                <w:lang w:val="en-IN"/>
              </w:rPr>
            </w:pPr>
            <w:r w:rsidRPr="00BC5DA7">
              <w:rPr>
                <w:rFonts w:ascii="Arial" w:hAnsi="Arial" w:cs="Arial"/>
                <w:sz w:val="20"/>
                <w:szCs w:val="20"/>
                <w:lang w:val="en-IN"/>
              </w:rPr>
              <w:t>-768.97</w:t>
            </w:r>
          </w:p>
        </w:tc>
        <w:tc>
          <w:tcPr>
            <w:tcW w:w="2106" w:type="dxa"/>
          </w:tcPr>
          <w:p w14:paraId="20E5C24D" w14:textId="77777777" w:rsidR="00BC5DA7" w:rsidRPr="00BC5DA7" w:rsidRDefault="00BC5DA7" w:rsidP="00BC5DA7">
            <w:pPr>
              <w:pStyle w:val="Body"/>
              <w:jc w:val="center"/>
              <w:rPr>
                <w:rFonts w:ascii="Arial" w:hAnsi="Arial" w:cs="Arial"/>
                <w:sz w:val="20"/>
                <w:szCs w:val="20"/>
                <w:lang w:val="en-IN"/>
              </w:rPr>
            </w:pPr>
            <w:r w:rsidRPr="00BC5DA7">
              <w:rPr>
                <w:rFonts w:ascii="Arial" w:hAnsi="Arial" w:cs="Arial"/>
                <w:sz w:val="20"/>
                <w:szCs w:val="20"/>
                <w:lang w:val="en-IN"/>
              </w:rPr>
              <w:t>5.24</w:t>
            </w:r>
          </w:p>
        </w:tc>
        <w:tc>
          <w:tcPr>
            <w:tcW w:w="2106" w:type="dxa"/>
          </w:tcPr>
          <w:p w14:paraId="295BC610" w14:textId="77777777" w:rsidR="00BC5DA7" w:rsidRPr="00BC5DA7" w:rsidRDefault="00BC5DA7" w:rsidP="00BC5DA7">
            <w:pPr>
              <w:pStyle w:val="Body"/>
              <w:jc w:val="center"/>
              <w:rPr>
                <w:rFonts w:ascii="Arial" w:hAnsi="Arial" w:cs="Arial"/>
                <w:sz w:val="20"/>
                <w:szCs w:val="20"/>
                <w:lang w:val="en-IN"/>
              </w:rPr>
            </w:pPr>
            <w:r w:rsidRPr="00BC5DA7">
              <w:rPr>
                <w:rFonts w:ascii="Arial" w:hAnsi="Arial" w:cs="Arial"/>
                <w:sz w:val="20"/>
                <w:szCs w:val="20"/>
                <w:lang w:val="en-IN"/>
              </w:rPr>
              <w:t>6.22</w:t>
            </w:r>
          </w:p>
        </w:tc>
      </w:tr>
    </w:tbl>
    <w:p w14:paraId="27845D3E" w14:textId="77777777" w:rsidR="00F26641" w:rsidRDefault="00F26641" w:rsidP="00A47A53">
      <w:pPr>
        <w:pStyle w:val="Body"/>
        <w:rPr>
          <w:rFonts w:ascii="Arial" w:hAnsi="Arial" w:cs="Arial"/>
          <w:sz w:val="22"/>
          <w:szCs w:val="22"/>
          <w:lang w:val="en-IN"/>
        </w:rPr>
      </w:pPr>
    </w:p>
    <w:p w14:paraId="6C340960" w14:textId="5B6A95A1" w:rsidR="005B77F3" w:rsidRPr="005B77F3" w:rsidRDefault="005B77F3" w:rsidP="005B77F3">
      <w:pPr>
        <w:pStyle w:val="Body"/>
        <w:spacing w:after="0"/>
        <w:rPr>
          <w:rFonts w:ascii="Arial" w:hAnsi="Arial" w:cs="Arial"/>
          <w:lang w:val="en-IN"/>
        </w:rPr>
      </w:pPr>
      <w:r w:rsidRPr="005B77F3">
        <w:rPr>
          <w:rFonts w:ascii="Arial" w:hAnsi="Arial" w:cs="Arial"/>
          <w:lang w:val="en-IN"/>
        </w:rPr>
        <w:t>Overall, the MVP</w:t>
      </w:r>
      <w:r w:rsidR="00985D05">
        <w:rPr>
          <w:rFonts w:ascii="Arial" w:hAnsi="Arial" w:cs="Arial"/>
          <w:lang w:val="en-IN"/>
        </w:rPr>
        <w:t>-</w:t>
      </w:r>
      <w:r w:rsidRPr="005B77F3">
        <w:rPr>
          <w:rFonts w:ascii="Arial" w:hAnsi="Arial" w:cs="Arial"/>
          <w:lang w:val="en-IN"/>
        </w:rPr>
        <w:t>MFC analysis revealed the simultaneous presence of underutilization and overutilization of inputs across all farm categories, indicating suboptimal resource allocation and lack of allocative efficiency. These findings, when viewed alongside the decreasing returns to scale observed in the production function estimates, suggested that improving productivity requires not merely increasing input use, but ensuring optimal and balanced allocation of resources based on economic efficiency criteria.</w:t>
      </w:r>
    </w:p>
    <w:p w14:paraId="235890DA" w14:textId="77777777" w:rsidR="005B77F3" w:rsidRPr="005B77F3" w:rsidRDefault="005B77F3" w:rsidP="005B77F3">
      <w:pPr>
        <w:pStyle w:val="Body"/>
        <w:spacing w:after="0"/>
        <w:rPr>
          <w:rFonts w:ascii="Arial" w:hAnsi="Arial" w:cs="Arial"/>
          <w:lang w:val="en-IN"/>
        </w:rPr>
      </w:pPr>
    </w:p>
    <w:p w14:paraId="5A03B1F3" w14:textId="4A63197A" w:rsidR="005B77F3" w:rsidRPr="005B77F3" w:rsidRDefault="005B77F3" w:rsidP="005B77F3">
      <w:pPr>
        <w:pStyle w:val="Body"/>
        <w:rPr>
          <w:rFonts w:ascii="Arial" w:hAnsi="Arial" w:cs="Arial"/>
        </w:rPr>
      </w:pPr>
      <w:r w:rsidRPr="005B77F3">
        <w:rPr>
          <w:rFonts w:ascii="Arial" w:hAnsi="Arial" w:cs="Arial"/>
        </w:rPr>
        <w:t xml:space="preserve">The estimated sum of elasticities (Σβ) was less than unity across all farm categories, indicating the presence of decreasing returns to scale. This implies that a proportional increase in all inputs resulted in a less than proportional increase in output, reflecting diminishing marginal productivity of resources. Such a production structure suggests that farmers were operating beyond the optimal scale of input use, leading to inefficiencies in resource allocation. The evidence of decreasing returns to scale </w:t>
      </w:r>
      <w:r w:rsidR="00D47FFA">
        <w:rPr>
          <w:rFonts w:ascii="Arial" w:hAnsi="Arial" w:cs="Arial"/>
        </w:rPr>
        <w:t>was</w:t>
      </w:r>
      <w:r w:rsidRPr="005B77F3">
        <w:rPr>
          <w:rFonts w:ascii="Arial" w:hAnsi="Arial" w:cs="Arial"/>
        </w:rPr>
        <w:t xml:space="preserve"> consistent with the MVP</w:t>
      </w:r>
      <w:r w:rsidR="00985D05">
        <w:rPr>
          <w:rFonts w:ascii="Arial" w:hAnsi="Arial" w:cs="Arial"/>
        </w:rPr>
        <w:t>-</w:t>
      </w:r>
      <w:r w:rsidRPr="005B77F3">
        <w:rPr>
          <w:rFonts w:ascii="Arial" w:hAnsi="Arial" w:cs="Arial"/>
        </w:rPr>
        <w:t>MFC results, which revealed simultaneous overutilization and underutilization of inputs across farm categories. This indicate</w:t>
      </w:r>
      <w:r w:rsidR="00D47FFA">
        <w:rPr>
          <w:rFonts w:ascii="Arial" w:hAnsi="Arial" w:cs="Arial"/>
        </w:rPr>
        <w:t>d</w:t>
      </w:r>
      <w:r w:rsidRPr="005B77F3">
        <w:rPr>
          <w:rFonts w:ascii="Arial" w:hAnsi="Arial" w:cs="Arial"/>
        </w:rPr>
        <w:t xml:space="preserve"> that the existing input combinations were not economically optimal, and further increases in input use without proper adjustment would not yield proportionate gains in output.</w:t>
      </w:r>
    </w:p>
    <w:p w14:paraId="6429FB7C" w14:textId="7DE31A7C" w:rsidR="005B77F3" w:rsidRPr="005B77F3" w:rsidRDefault="002908D3" w:rsidP="005B77F3">
      <w:pPr>
        <w:pStyle w:val="Body"/>
        <w:spacing w:after="0"/>
        <w:rPr>
          <w:rFonts w:ascii="Arial" w:hAnsi="Arial" w:cs="Arial"/>
          <w:b/>
          <w:bCs/>
        </w:rPr>
      </w:pPr>
      <w:r>
        <w:rPr>
          <w:rFonts w:ascii="Arial" w:hAnsi="Arial" w:cs="Arial"/>
          <w:b/>
          <w:bCs/>
        </w:rPr>
        <w:t xml:space="preserve">3.1.4 </w:t>
      </w:r>
      <w:r w:rsidR="005B77F3" w:rsidRPr="005B77F3">
        <w:rPr>
          <w:rFonts w:ascii="Arial" w:hAnsi="Arial" w:cs="Arial"/>
          <w:b/>
          <w:bCs/>
        </w:rPr>
        <w:t>Assessment of Multicollinearity using Variance Inflation Factor (VIF)</w:t>
      </w:r>
    </w:p>
    <w:p w14:paraId="0904B5B3" w14:textId="77777777" w:rsidR="005B77F3" w:rsidRDefault="005B77F3" w:rsidP="005B77F3">
      <w:pPr>
        <w:pStyle w:val="Body"/>
        <w:spacing w:after="0"/>
        <w:rPr>
          <w:rFonts w:ascii="Arial" w:hAnsi="Arial" w:cs="Arial"/>
          <w:lang w:val="en-IN"/>
        </w:rPr>
      </w:pPr>
    </w:p>
    <w:p w14:paraId="24574ED7" w14:textId="0AC63A66" w:rsidR="005B77F3" w:rsidRDefault="005B77F3" w:rsidP="005B77F3">
      <w:pPr>
        <w:pStyle w:val="Body"/>
        <w:spacing w:after="0"/>
        <w:rPr>
          <w:rFonts w:ascii="Arial" w:hAnsi="Arial" w:cs="Arial"/>
          <w:lang w:val="en-IN"/>
        </w:rPr>
      </w:pPr>
      <w:r w:rsidRPr="005B77F3">
        <w:rPr>
          <w:rFonts w:ascii="Arial" w:hAnsi="Arial" w:cs="Arial"/>
          <w:lang w:val="en-IN"/>
        </w:rPr>
        <w:lastRenderedPageBreak/>
        <w:t>Multicollinearity among the explanatory variables was examined using the Variance Inflation Factor (VIF), which measure</w:t>
      </w:r>
      <w:r w:rsidR="002908D3">
        <w:rPr>
          <w:rFonts w:ascii="Arial" w:hAnsi="Arial" w:cs="Arial"/>
          <w:lang w:val="en-IN"/>
        </w:rPr>
        <w:t>d</w:t>
      </w:r>
      <w:r w:rsidRPr="005B77F3">
        <w:rPr>
          <w:rFonts w:ascii="Arial" w:hAnsi="Arial" w:cs="Arial"/>
          <w:lang w:val="en-IN"/>
        </w:rPr>
        <w:t xml:space="preserve"> the extent to which the variance of estimated coefficients </w:t>
      </w:r>
      <w:r w:rsidR="00D47FFA">
        <w:rPr>
          <w:rFonts w:ascii="Arial" w:hAnsi="Arial" w:cs="Arial"/>
          <w:lang w:val="en-IN"/>
        </w:rPr>
        <w:t xml:space="preserve">was </w:t>
      </w:r>
      <w:r w:rsidRPr="005B77F3">
        <w:rPr>
          <w:rFonts w:ascii="Arial" w:hAnsi="Arial" w:cs="Arial"/>
          <w:lang w:val="en-IN"/>
        </w:rPr>
        <w:t>inflated due to linear dependence among regressors. The estimated VIF values were 2.14 for seed, 1.47 for labour, 1.52 for fertilizer, and 1.18 for plant protection chemicals, all of which were substantially below the commonly accepted critical threshold of 10. This indicated the absence of serious multicollinearity in the model and confirmed that the estimated coefficients were not adversely affected by linear interdependence among the explanatory variables.</w:t>
      </w:r>
    </w:p>
    <w:p w14:paraId="3D7B328E" w14:textId="77777777" w:rsidR="005B77F3" w:rsidRDefault="005B77F3" w:rsidP="005B77F3">
      <w:pPr>
        <w:pStyle w:val="Body"/>
        <w:spacing w:after="0"/>
        <w:rPr>
          <w:rFonts w:ascii="Arial" w:hAnsi="Arial" w:cs="Arial"/>
          <w:lang w:val="en-IN"/>
        </w:rPr>
      </w:pPr>
    </w:p>
    <w:p w14:paraId="37685BCA" w14:textId="77777777" w:rsidR="002908D3" w:rsidRDefault="002908D3" w:rsidP="005B77F3">
      <w:pPr>
        <w:pStyle w:val="Body"/>
        <w:spacing w:after="0"/>
        <w:rPr>
          <w:rFonts w:ascii="Arial" w:hAnsi="Arial" w:cs="Arial"/>
          <w:lang w:val="en-IN"/>
        </w:rPr>
      </w:pPr>
    </w:p>
    <w:p w14:paraId="2A8CD592" w14:textId="77777777" w:rsidR="002908D3" w:rsidRDefault="002908D3" w:rsidP="005B77F3">
      <w:pPr>
        <w:pStyle w:val="Body"/>
        <w:spacing w:after="0"/>
        <w:rPr>
          <w:rFonts w:ascii="Arial" w:hAnsi="Arial" w:cs="Arial"/>
          <w:lang w:val="en-IN"/>
        </w:rPr>
      </w:pPr>
    </w:p>
    <w:p w14:paraId="09FEE050" w14:textId="229ADFEA" w:rsidR="005B77F3" w:rsidRPr="002908D3" w:rsidRDefault="002908D3" w:rsidP="005B77F3">
      <w:pPr>
        <w:pStyle w:val="Body"/>
        <w:spacing w:after="0"/>
        <w:rPr>
          <w:rFonts w:ascii="Arial" w:hAnsi="Arial" w:cs="Arial"/>
          <w:b/>
          <w:bCs/>
        </w:rPr>
      </w:pPr>
      <w:r w:rsidRPr="002908D3">
        <w:rPr>
          <w:rFonts w:ascii="Arial" w:hAnsi="Arial" w:cs="Arial"/>
          <w:b/>
          <w:bCs/>
        </w:rPr>
        <w:t xml:space="preserve">Table </w:t>
      </w:r>
      <w:proofErr w:type="gramStart"/>
      <w:r w:rsidRPr="002908D3">
        <w:rPr>
          <w:rFonts w:ascii="Arial" w:hAnsi="Arial" w:cs="Arial"/>
          <w:b/>
          <w:bCs/>
        </w:rPr>
        <w:t>4 :</w:t>
      </w:r>
      <w:proofErr w:type="gramEnd"/>
      <w:r w:rsidRPr="002908D3">
        <w:rPr>
          <w:rFonts w:ascii="Arial" w:hAnsi="Arial" w:cs="Arial"/>
          <w:b/>
          <w:bCs/>
        </w:rPr>
        <w:t xml:space="preserve"> Multicollinearity Diagnostics using Variance Inflation Factor (VIF)</w:t>
      </w:r>
    </w:p>
    <w:p w14:paraId="4ACCA079" w14:textId="77777777" w:rsidR="002908D3" w:rsidRDefault="002908D3" w:rsidP="005B77F3">
      <w:pPr>
        <w:pStyle w:val="Body"/>
        <w:spacing w:after="0"/>
        <w:rPr>
          <w:rFonts w:ascii="Arial" w:hAnsi="Arial" w:cs="Arial"/>
          <w:lang w:val="en-IN"/>
        </w:rPr>
      </w:pPr>
    </w:p>
    <w:tbl>
      <w:tblPr>
        <w:tblStyle w:val="TableGrid"/>
        <w:tblW w:w="0" w:type="auto"/>
        <w:tblInd w:w="1294" w:type="dxa"/>
        <w:tblLook w:val="04A0" w:firstRow="1" w:lastRow="0" w:firstColumn="1" w:lastColumn="0" w:noHBand="0" w:noVBand="1"/>
      </w:tblPr>
      <w:tblGrid>
        <w:gridCol w:w="2808"/>
        <w:gridCol w:w="2808"/>
      </w:tblGrid>
      <w:tr w:rsidR="002908D3" w:rsidRPr="005B77F3" w14:paraId="70296813" w14:textId="77777777" w:rsidTr="002D3C41">
        <w:tc>
          <w:tcPr>
            <w:tcW w:w="2808" w:type="dxa"/>
          </w:tcPr>
          <w:p w14:paraId="49AE954A" w14:textId="77777777" w:rsidR="002908D3" w:rsidRPr="005B77F3" w:rsidRDefault="002908D3" w:rsidP="001D68D7">
            <w:pPr>
              <w:pStyle w:val="Body"/>
              <w:jc w:val="center"/>
              <w:rPr>
                <w:rFonts w:ascii="Arial" w:hAnsi="Arial" w:cs="Arial"/>
                <w:b/>
                <w:bCs/>
                <w:sz w:val="20"/>
                <w:szCs w:val="20"/>
                <w:lang w:val="en-IN"/>
              </w:rPr>
            </w:pPr>
            <w:r w:rsidRPr="005B77F3">
              <w:rPr>
                <w:rFonts w:ascii="Arial" w:hAnsi="Arial" w:cs="Arial"/>
                <w:b/>
                <w:bCs/>
                <w:sz w:val="20"/>
                <w:szCs w:val="20"/>
                <w:lang w:val="en-IN"/>
              </w:rPr>
              <w:t>Variables</w:t>
            </w:r>
          </w:p>
        </w:tc>
        <w:tc>
          <w:tcPr>
            <w:tcW w:w="2808" w:type="dxa"/>
          </w:tcPr>
          <w:p w14:paraId="688923A5" w14:textId="77777777" w:rsidR="002908D3" w:rsidRPr="005B77F3" w:rsidRDefault="002908D3" w:rsidP="001D68D7">
            <w:pPr>
              <w:pStyle w:val="Body"/>
              <w:jc w:val="center"/>
              <w:rPr>
                <w:rFonts w:ascii="Arial" w:hAnsi="Arial" w:cs="Arial"/>
                <w:b/>
                <w:bCs/>
                <w:sz w:val="20"/>
                <w:szCs w:val="20"/>
                <w:lang w:val="en-IN"/>
              </w:rPr>
            </w:pPr>
            <w:r w:rsidRPr="005B77F3">
              <w:rPr>
                <w:rFonts w:ascii="Arial" w:hAnsi="Arial" w:cs="Arial"/>
                <w:b/>
                <w:bCs/>
                <w:sz w:val="20"/>
                <w:szCs w:val="20"/>
                <w:lang w:val="en-IN"/>
              </w:rPr>
              <w:t>VIF</w:t>
            </w:r>
          </w:p>
        </w:tc>
      </w:tr>
      <w:tr w:rsidR="002908D3" w:rsidRPr="005B77F3" w14:paraId="5A130F05" w14:textId="77777777" w:rsidTr="002D3C41">
        <w:tc>
          <w:tcPr>
            <w:tcW w:w="2808" w:type="dxa"/>
          </w:tcPr>
          <w:p w14:paraId="7F8A99C2" w14:textId="77777777" w:rsidR="002908D3" w:rsidRPr="005B77F3" w:rsidRDefault="002908D3" w:rsidP="001D68D7">
            <w:pPr>
              <w:pStyle w:val="Body"/>
              <w:jc w:val="center"/>
              <w:rPr>
                <w:rFonts w:ascii="Arial" w:hAnsi="Arial" w:cs="Arial"/>
                <w:b/>
                <w:bCs/>
                <w:sz w:val="20"/>
                <w:szCs w:val="20"/>
                <w:lang w:val="en-IN"/>
              </w:rPr>
            </w:pPr>
            <w:r w:rsidRPr="005B77F3">
              <w:rPr>
                <w:rFonts w:ascii="Arial" w:hAnsi="Arial" w:cs="Arial"/>
                <w:b/>
                <w:bCs/>
                <w:sz w:val="20"/>
                <w:szCs w:val="20"/>
                <w:lang w:val="en-IN"/>
              </w:rPr>
              <w:t>Seed (X1)</w:t>
            </w:r>
          </w:p>
        </w:tc>
        <w:tc>
          <w:tcPr>
            <w:tcW w:w="2808" w:type="dxa"/>
          </w:tcPr>
          <w:p w14:paraId="55D150BC" w14:textId="77777777" w:rsidR="002908D3" w:rsidRPr="005B77F3" w:rsidRDefault="002908D3" w:rsidP="001D68D7">
            <w:pPr>
              <w:pStyle w:val="Body"/>
              <w:jc w:val="center"/>
              <w:rPr>
                <w:rFonts w:ascii="Arial" w:hAnsi="Arial" w:cs="Arial"/>
                <w:sz w:val="20"/>
                <w:szCs w:val="20"/>
                <w:lang w:val="en-IN"/>
              </w:rPr>
            </w:pPr>
            <w:r w:rsidRPr="005B77F3">
              <w:rPr>
                <w:rFonts w:ascii="Arial" w:hAnsi="Arial" w:cs="Arial"/>
                <w:sz w:val="20"/>
                <w:szCs w:val="20"/>
                <w:lang w:val="en-IN"/>
              </w:rPr>
              <w:t>2.14</w:t>
            </w:r>
          </w:p>
        </w:tc>
      </w:tr>
      <w:tr w:rsidR="002908D3" w:rsidRPr="005B77F3" w14:paraId="7485B877" w14:textId="77777777" w:rsidTr="002D3C41">
        <w:tc>
          <w:tcPr>
            <w:tcW w:w="2808" w:type="dxa"/>
          </w:tcPr>
          <w:p w14:paraId="283411AD" w14:textId="77777777" w:rsidR="002908D3" w:rsidRPr="005B77F3" w:rsidRDefault="002908D3" w:rsidP="001D68D7">
            <w:pPr>
              <w:pStyle w:val="Body"/>
              <w:jc w:val="center"/>
              <w:rPr>
                <w:rFonts w:ascii="Arial" w:hAnsi="Arial" w:cs="Arial"/>
                <w:b/>
                <w:bCs/>
                <w:sz w:val="20"/>
                <w:szCs w:val="20"/>
                <w:lang w:val="en-IN"/>
              </w:rPr>
            </w:pPr>
            <w:r w:rsidRPr="005B77F3">
              <w:rPr>
                <w:rFonts w:ascii="Arial" w:hAnsi="Arial" w:cs="Arial"/>
                <w:b/>
                <w:bCs/>
                <w:sz w:val="20"/>
                <w:szCs w:val="20"/>
                <w:lang w:val="en-IN"/>
              </w:rPr>
              <w:t>Labour (X2)</w:t>
            </w:r>
          </w:p>
        </w:tc>
        <w:tc>
          <w:tcPr>
            <w:tcW w:w="2808" w:type="dxa"/>
          </w:tcPr>
          <w:p w14:paraId="69D03B74" w14:textId="77777777" w:rsidR="002908D3" w:rsidRPr="005B77F3" w:rsidRDefault="002908D3" w:rsidP="001D68D7">
            <w:pPr>
              <w:pStyle w:val="Body"/>
              <w:jc w:val="center"/>
              <w:rPr>
                <w:rFonts w:ascii="Arial" w:hAnsi="Arial" w:cs="Arial"/>
                <w:sz w:val="20"/>
                <w:szCs w:val="20"/>
                <w:lang w:val="en-IN"/>
              </w:rPr>
            </w:pPr>
            <w:r w:rsidRPr="005B77F3">
              <w:rPr>
                <w:rFonts w:ascii="Arial" w:hAnsi="Arial" w:cs="Arial"/>
                <w:sz w:val="20"/>
                <w:szCs w:val="20"/>
                <w:lang w:val="en-IN"/>
              </w:rPr>
              <w:t>1.47</w:t>
            </w:r>
          </w:p>
        </w:tc>
      </w:tr>
      <w:tr w:rsidR="002908D3" w:rsidRPr="005B77F3" w14:paraId="73C424D0" w14:textId="77777777" w:rsidTr="002D3C41">
        <w:tc>
          <w:tcPr>
            <w:tcW w:w="2808" w:type="dxa"/>
          </w:tcPr>
          <w:p w14:paraId="49029994" w14:textId="77777777" w:rsidR="002908D3" w:rsidRPr="005B77F3" w:rsidRDefault="002908D3" w:rsidP="001D68D7">
            <w:pPr>
              <w:pStyle w:val="Body"/>
              <w:jc w:val="center"/>
              <w:rPr>
                <w:rFonts w:ascii="Arial" w:hAnsi="Arial" w:cs="Arial"/>
                <w:b/>
                <w:bCs/>
                <w:sz w:val="20"/>
                <w:szCs w:val="20"/>
                <w:lang w:val="en-IN"/>
              </w:rPr>
            </w:pPr>
            <w:r w:rsidRPr="005B77F3">
              <w:rPr>
                <w:rFonts w:ascii="Arial" w:hAnsi="Arial" w:cs="Arial"/>
                <w:b/>
                <w:bCs/>
                <w:sz w:val="20"/>
                <w:szCs w:val="20"/>
                <w:lang w:val="en-IN"/>
              </w:rPr>
              <w:t>Fertilizer (X3)</w:t>
            </w:r>
          </w:p>
        </w:tc>
        <w:tc>
          <w:tcPr>
            <w:tcW w:w="2808" w:type="dxa"/>
          </w:tcPr>
          <w:p w14:paraId="0CECCEBF" w14:textId="77777777" w:rsidR="002908D3" w:rsidRPr="005B77F3" w:rsidRDefault="002908D3" w:rsidP="001D68D7">
            <w:pPr>
              <w:pStyle w:val="Body"/>
              <w:jc w:val="center"/>
              <w:rPr>
                <w:rFonts w:ascii="Arial" w:hAnsi="Arial" w:cs="Arial"/>
                <w:sz w:val="20"/>
                <w:szCs w:val="20"/>
                <w:lang w:val="en-IN"/>
              </w:rPr>
            </w:pPr>
            <w:r w:rsidRPr="005B77F3">
              <w:rPr>
                <w:rFonts w:ascii="Arial" w:hAnsi="Arial" w:cs="Arial"/>
                <w:sz w:val="20"/>
                <w:szCs w:val="20"/>
                <w:lang w:val="en-IN"/>
              </w:rPr>
              <w:t>1.52</w:t>
            </w:r>
          </w:p>
        </w:tc>
      </w:tr>
      <w:tr w:rsidR="002908D3" w:rsidRPr="005B77F3" w14:paraId="6C1D2832" w14:textId="77777777" w:rsidTr="002D3C41">
        <w:tc>
          <w:tcPr>
            <w:tcW w:w="2808" w:type="dxa"/>
          </w:tcPr>
          <w:p w14:paraId="46C53EF1" w14:textId="77777777" w:rsidR="002908D3" w:rsidRPr="005B77F3" w:rsidRDefault="002908D3" w:rsidP="001D68D7">
            <w:pPr>
              <w:pStyle w:val="Body"/>
              <w:jc w:val="center"/>
              <w:rPr>
                <w:rFonts w:ascii="Arial" w:hAnsi="Arial" w:cs="Arial"/>
                <w:b/>
                <w:bCs/>
                <w:sz w:val="20"/>
                <w:szCs w:val="20"/>
                <w:lang w:val="en-IN"/>
              </w:rPr>
            </w:pPr>
            <w:r w:rsidRPr="005B77F3">
              <w:rPr>
                <w:rFonts w:ascii="Arial" w:hAnsi="Arial" w:cs="Arial"/>
                <w:b/>
                <w:bCs/>
                <w:sz w:val="20"/>
                <w:szCs w:val="20"/>
                <w:lang w:val="en-IN"/>
              </w:rPr>
              <w:t>Plant Protection Chemicals (X4)</w:t>
            </w:r>
          </w:p>
        </w:tc>
        <w:tc>
          <w:tcPr>
            <w:tcW w:w="2808" w:type="dxa"/>
          </w:tcPr>
          <w:p w14:paraId="30FCC4F8" w14:textId="77777777" w:rsidR="002908D3" w:rsidRPr="005B77F3" w:rsidRDefault="002908D3" w:rsidP="001D68D7">
            <w:pPr>
              <w:pStyle w:val="Body"/>
              <w:jc w:val="center"/>
              <w:rPr>
                <w:rFonts w:ascii="Arial" w:hAnsi="Arial" w:cs="Arial"/>
                <w:sz w:val="20"/>
                <w:szCs w:val="20"/>
                <w:lang w:val="en-IN"/>
              </w:rPr>
            </w:pPr>
            <w:r w:rsidRPr="005B77F3">
              <w:rPr>
                <w:rFonts w:ascii="Arial" w:hAnsi="Arial" w:cs="Arial"/>
                <w:sz w:val="20"/>
                <w:szCs w:val="20"/>
                <w:lang w:val="en-IN"/>
              </w:rPr>
              <w:t>1.18</w:t>
            </w:r>
          </w:p>
        </w:tc>
      </w:tr>
    </w:tbl>
    <w:p w14:paraId="41A09CDD" w14:textId="77777777" w:rsidR="005B77F3" w:rsidRPr="005B77F3" w:rsidRDefault="005B77F3" w:rsidP="005B77F3">
      <w:pPr>
        <w:pStyle w:val="Body"/>
        <w:spacing w:after="0"/>
        <w:rPr>
          <w:rFonts w:ascii="Arial" w:hAnsi="Arial" w:cs="Arial"/>
          <w:lang w:val="en-IN"/>
        </w:rPr>
      </w:pPr>
    </w:p>
    <w:p w14:paraId="442A07B9" w14:textId="77777777" w:rsidR="005B77F3" w:rsidRDefault="005B77F3" w:rsidP="005B77F3">
      <w:pPr>
        <w:pStyle w:val="Body"/>
        <w:spacing w:after="0"/>
        <w:rPr>
          <w:rFonts w:ascii="Arial" w:hAnsi="Arial" w:cs="Arial"/>
          <w:lang w:val="en-IN"/>
        </w:rPr>
      </w:pPr>
    </w:p>
    <w:p w14:paraId="567B4BA6" w14:textId="57154971" w:rsidR="005B77F3" w:rsidRPr="005B77F3" w:rsidRDefault="005B77F3" w:rsidP="005B77F3">
      <w:pPr>
        <w:pStyle w:val="Body"/>
        <w:spacing w:after="0"/>
        <w:rPr>
          <w:rFonts w:ascii="Arial" w:hAnsi="Arial" w:cs="Arial"/>
          <w:lang w:val="en-IN"/>
        </w:rPr>
      </w:pPr>
      <w:r w:rsidRPr="005B77F3">
        <w:rPr>
          <w:rFonts w:ascii="Arial" w:hAnsi="Arial" w:cs="Arial"/>
          <w:lang w:val="en-IN"/>
        </w:rPr>
        <w:t>Given the low magnitude of VIF values, the extremely low estimate of returns to scale (Σβ = 0.016) observed for marginal farms was unlikely to have been an artefact of multicollinearity. Instead, it more plausibly reflected underlying structural inefficiencies in input use and limited responsiveness of output to proportional increases in inputs. This finding was consistent with the earlier evidence on decreasing returns to scale and the MVP</w:t>
      </w:r>
      <w:r w:rsidR="002908D3">
        <w:rPr>
          <w:rFonts w:ascii="Arial" w:hAnsi="Arial" w:cs="Arial"/>
          <w:lang w:val="en-IN"/>
        </w:rPr>
        <w:t>-</w:t>
      </w:r>
      <w:r w:rsidRPr="005B77F3">
        <w:rPr>
          <w:rFonts w:ascii="Arial" w:hAnsi="Arial" w:cs="Arial"/>
          <w:lang w:val="en-IN"/>
        </w:rPr>
        <w:t>MFC analysis, both of which indicated sub-optimal resource allocation and diminishing marginal productivity among marginal farms.</w:t>
      </w:r>
      <w:r w:rsidR="002908D3" w:rsidRPr="002908D3">
        <w:t xml:space="preserve"> </w:t>
      </w:r>
      <w:proofErr w:type="spellStart"/>
      <w:proofErr w:type="gramStart"/>
      <w:r w:rsidR="002908D3">
        <w:t>Hence,t</w:t>
      </w:r>
      <w:r w:rsidR="002908D3" w:rsidRPr="002908D3">
        <w:rPr>
          <w:rFonts w:ascii="Arial" w:hAnsi="Arial" w:cs="Arial"/>
        </w:rPr>
        <w:t>he</w:t>
      </w:r>
      <w:proofErr w:type="spellEnd"/>
      <w:proofErr w:type="gramEnd"/>
      <w:r w:rsidR="002908D3" w:rsidRPr="002908D3">
        <w:rPr>
          <w:rFonts w:ascii="Arial" w:hAnsi="Arial" w:cs="Arial"/>
        </w:rPr>
        <w:t xml:space="preserve"> low VIF values indicated absence of multicollinearity, suggesting that the very low returns to scale estimate reflected structural inefficiencies rather than statistical distortion.</w:t>
      </w:r>
    </w:p>
    <w:p w14:paraId="2B918D4D" w14:textId="77777777" w:rsidR="005B77F3" w:rsidRPr="005B77F3" w:rsidRDefault="005B77F3" w:rsidP="00A47A53">
      <w:pPr>
        <w:pStyle w:val="Body"/>
        <w:spacing w:after="0"/>
        <w:rPr>
          <w:rFonts w:ascii="Arial" w:hAnsi="Arial" w:cs="Arial"/>
          <w:lang w:val="en-IN"/>
        </w:rPr>
      </w:pPr>
    </w:p>
    <w:p w14:paraId="69F90456" w14:textId="77777777" w:rsidR="005B77F3" w:rsidRDefault="005B77F3" w:rsidP="00A47A53">
      <w:pPr>
        <w:pStyle w:val="Body"/>
        <w:spacing w:after="0"/>
        <w:rPr>
          <w:rFonts w:ascii="Arial" w:hAnsi="Arial" w:cs="Arial"/>
          <w:b/>
          <w:bCs/>
          <w:i/>
          <w:iCs/>
          <w:lang w:val="en-IN"/>
        </w:rPr>
      </w:pPr>
    </w:p>
    <w:p w14:paraId="29FAC258" w14:textId="09E67A93" w:rsidR="00A47A53" w:rsidRDefault="00A47A53" w:rsidP="00A47A53">
      <w:pPr>
        <w:pStyle w:val="Body"/>
        <w:spacing w:after="0"/>
        <w:rPr>
          <w:rFonts w:ascii="Arial" w:hAnsi="Arial" w:cs="Arial"/>
          <w:b/>
          <w:bCs/>
          <w:i/>
          <w:iCs/>
          <w:lang w:val="en-IN"/>
        </w:rPr>
      </w:pPr>
      <w:r w:rsidRPr="00A47A53">
        <w:rPr>
          <w:rFonts w:ascii="Arial" w:hAnsi="Arial" w:cs="Arial"/>
          <w:b/>
          <w:bCs/>
          <w:i/>
          <w:iCs/>
          <w:lang w:val="en-IN"/>
        </w:rPr>
        <w:t>3.2 Stochastic Frontier Production Analysis</w:t>
      </w:r>
    </w:p>
    <w:p w14:paraId="74BD3FD0" w14:textId="77777777" w:rsidR="00DC6BD1" w:rsidRPr="00A47A53" w:rsidRDefault="00DC6BD1" w:rsidP="00A47A53">
      <w:pPr>
        <w:pStyle w:val="Body"/>
        <w:spacing w:after="0"/>
        <w:rPr>
          <w:rFonts w:ascii="Arial" w:hAnsi="Arial" w:cs="Arial"/>
          <w:b/>
          <w:bCs/>
          <w:i/>
          <w:iCs/>
          <w:lang w:val="en-IN"/>
        </w:rPr>
      </w:pPr>
    </w:p>
    <w:p w14:paraId="78DE552F" w14:textId="77777777" w:rsidR="008C2C1C" w:rsidRDefault="00A47A53" w:rsidP="00A47A53">
      <w:pPr>
        <w:pStyle w:val="Body"/>
        <w:spacing w:after="0"/>
        <w:rPr>
          <w:rFonts w:ascii="Arial" w:hAnsi="Arial" w:cs="Arial"/>
        </w:rPr>
      </w:pPr>
      <w:r w:rsidRPr="00A47A53">
        <w:rPr>
          <w:rFonts w:ascii="Arial" w:hAnsi="Arial" w:cs="Arial"/>
          <w:lang w:val="en-IN"/>
        </w:rPr>
        <w:t xml:space="preserve">To further examine technical efficiency, the </w:t>
      </w:r>
      <w:r w:rsidRPr="004748F3">
        <w:rPr>
          <w:rFonts w:ascii="Arial" w:hAnsi="Arial" w:cs="Arial"/>
          <w:lang w:val="en-IN"/>
        </w:rPr>
        <w:t xml:space="preserve">Stochastic Frontier Analysis was employed using the </w:t>
      </w:r>
      <w:proofErr w:type="spellStart"/>
      <w:r w:rsidRPr="004748F3">
        <w:rPr>
          <w:rFonts w:ascii="Arial" w:hAnsi="Arial" w:cs="Arial"/>
          <w:lang w:val="en-IN"/>
        </w:rPr>
        <w:t>Battese</w:t>
      </w:r>
      <w:proofErr w:type="spellEnd"/>
      <w:r w:rsidRPr="004748F3">
        <w:rPr>
          <w:rFonts w:ascii="Arial" w:hAnsi="Arial" w:cs="Arial"/>
          <w:lang w:val="en-IN"/>
        </w:rPr>
        <w:t xml:space="preserve"> and </w:t>
      </w:r>
      <w:proofErr w:type="spellStart"/>
      <w:r w:rsidRPr="004748F3">
        <w:rPr>
          <w:rFonts w:ascii="Arial" w:hAnsi="Arial" w:cs="Arial"/>
          <w:lang w:val="en-IN"/>
        </w:rPr>
        <w:t>Coelli</w:t>
      </w:r>
      <w:proofErr w:type="spellEnd"/>
      <w:r w:rsidRPr="004748F3">
        <w:rPr>
          <w:rFonts w:ascii="Arial" w:hAnsi="Arial" w:cs="Arial"/>
          <w:lang w:val="en-IN"/>
        </w:rPr>
        <w:t xml:space="preserve"> (1992) model. The model was estimated u</w:t>
      </w:r>
      <w:r w:rsidRPr="00A47A53">
        <w:rPr>
          <w:rFonts w:ascii="Arial" w:hAnsi="Arial" w:cs="Arial"/>
          <w:lang w:val="en-IN"/>
        </w:rPr>
        <w:t>sing maximum likelihood estimation and converged after 11 iterations, yielding a log-likelihood value of 203.99 for 80 observations</w:t>
      </w:r>
      <w:r w:rsidR="008C2C1C">
        <w:rPr>
          <w:rFonts w:ascii="Arial" w:hAnsi="Arial" w:cs="Arial"/>
          <w:lang w:val="en-IN"/>
        </w:rPr>
        <w:t xml:space="preserve">, </w:t>
      </w:r>
      <w:r w:rsidR="008C2C1C" w:rsidRPr="008C2C1C">
        <w:rPr>
          <w:rFonts w:ascii="Arial" w:hAnsi="Arial" w:cs="Arial"/>
        </w:rPr>
        <w:t>indicating a well-behaved likelihood surface.</w:t>
      </w:r>
    </w:p>
    <w:p w14:paraId="0B829E32" w14:textId="77777777" w:rsidR="008C2C1C" w:rsidRPr="008C2C1C" w:rsidRDefault="008C2C1C" w:rsidP="008C2C1C">
      <w:pPr>
        <w:pStyle w:val="Body"/>
        <w:spacing w:after="0"/>
        <w:rPr>
          <w:rFonts w:ascii="Arial" w:hAnsi="Arial" w:cs="Arial"/>
          <w:lang w:val="en-IN"/>
        </w:rPr>
      </w:pPr>
      <w:r w:rsidRPr="008C2C1C">
        <w:rPr>
          <w:rFonts w:ascii="Arial" w:hAnsi="Arial" w:cs="Arial"/>
          <w:lang w:val="en-IN"/>
        </w:rPr>
        <w:t xml:space="preserve">To further examine technical efficiency in off-season cabbage production, a stochastic frontier production function was estimated using the </w:t>
      </w:r>
      <w:proofErr w:type="spellStart"/>
      <w:r w:rsidRPr="008C2C1C">
        <w:rPr>
          <w:rFonts w:ascii="Arial" w:hAnsi="Arial" w:cs="Arial"/>
          <w:lang w:val="en-IN"/>
        </w:rPr>
        <w:t>Battese</w:t>
      </w:r>
      <w:proofErr w:type="spellEnd"/>
      <w:r w:rsidRPr="008C2C1C">
        <w:rPr>
          <w:rFonts w:ascii="Arial" w:hAnsi="Arial" w:cs="Arial"/>
          <w:lang w:val="en-IN"/>
        </w:rPr>
        <w:t xml:space="preserve"> and </w:t>
      </w:r>
      <w:proofErr w:type="spellStart"/>
      <w:r w:rsidRPr="008C2C1C">
        <w:rPr>
          <w:rFonts w:ascii="Arial" w:hAnsi="Arial" w:cs="Arial"/>
          <w:lang w:val="en-IN"/>
        </w:rPr>
        <w:t>Coelli</w:t>
      </w:r>
      <w:proofErr w:type="spellEnd"/>
      <w:r w:rsidRPr="008C2C1C">
        <w:rPr>
          <w:rFonts w:ascii="Arial" w:hAnsi="Arial" w:cs="Arial"/>
          <w:lang w:val="en-IN"/>
        </w:rPr>
        <w:t xml:space="preserve"> (1992) specification under maximum likelihood estimation. The model converged after 11 iterations, yielding a log-likelihood value of 203.99 for 80 observations, indicating a well-behaved likelihood surface.</w:t>
      </w:r>
    </w:p>
    <w:p w14:paraId="2CFB9279" w14:textId="77777777" w:rsidR="008C2C1C" w:rsidRPr="002908D3" w:rsidRDefault="008C2C1C" w:rsidP="008C2C1C">
      <w:pPr>
        <w:pStyle w:val="Body"/>
        <w:spacing w:after="0"/>
        <w:rPr>
          <w:rFonts w:ascii="Arial" w:hAnsi="Arial" w:cs="Arial"/>
          <w:lang w:val="en-IN"/>
        </w:rPr>
      </w:pPr>
      <w:r w:rsidRPr="002908D3">
        <w:rPr>
          <w:rFonts w:ascii="Arial" w:hAnsi="Arial" w:cs="Arial"/>
          <w:lang w:val="en-IN"/>
        </w:rPr>
        <w:t xml:space="preserve">The estimated production frontier coefficients showed that seed input (0.449) had a positive and highly significant effect on output (z = 21.28, p &lt; 0.01), indicating that improved seed usage was the most influential input in enhancing production. Human labour (0.137) was also positive and statistically significant (z = 3.04, p = 0.002), suggesting a moderate contribution to output. Plant protection chemicals (0.076) showed a positive and weakly </w:t>
      </w:r>
      <w:r w:rsidRPr="002908D3">
        <w:rPr>
          <w:rFonts w:ascii="Arial" w:hAnsi="Arial" w:cs="Arial"/>
          <w:lang w:val="en-IN"/>
        </w:rPr>
        <w:lastRenderedPageBreak/>
        <w:t>significant effect at the 10 per cent level (z = 1.92, p = 0.054), indicating a marginal role in productivity enhancement. Fertilizer (-0.013), however, was statistically insignificant (z = -1.26, p = 0.207), suggesting no measurable marginal effect on output in the estimated specification.</w:t>
      </w:r>
    </w:p>
    <w:p w14:paraId="4A2EE92C" w14:textId="77777777" w:rsidR="008C2C1C" w:rsidRPr="002908D3" w:rsidRDefault="008C2C1C" w:rsidP="008C2C1C">
      <w:pPr>
        <w:pStyle w:val="Body"/>
        <w:spacing w:after="0"/>
        <w:rPr>
          <w:rFonts w:ascii="Arial" w:hAnsi="Arial" w:cs="Arial"/>
          <w:lang w:val="en-IN"/>
        </w:rPr>
      </w:pPr>
      <w:r w:rsidRPr="002908D3">
        <w:rPr>
          <w:rFonts w:ascii="Arial" w:hAnsi="Arial" w:cs="Arial"/>
          <w:lang w:val="en-IN"/>
        </w:rPr>
        <w:t>The estimated variance parameter (σ² = 0.00123) was positive and statistically significant (z = 6.01, p &lt; 0.01), confirming the presence of inefficiency effects in the model. The gamma parameter (γ = 0.9988) was also highly significant (z = 106.60, p &lt; 0.01). In the stochastic frontier framework, γ represented the proportion of the total composite error variance attributable to inefficiency relative to statistical noise. The estimated value close to unity indicated that deviations from the production frontier were overwhelmingly driven by inefficiency rather than random shocks, while stochastic noise played a negligible role in explaining these deviations.</w:t>
      </w:r>
    </w:p>
    <w:p w14:paraId="52EDAE7F" w14:textId="77777777" w:rsidR="002908D3" w:rsidRDefault="002908D3" w:rsidP="008C2C1C">
      <w:pPr>
        <w:pStyle w:val="Body"/>
        <w:spacing w:after="0"/>
        <w:rPr>
          <w:rFonts w:ascii="Arial" w:hAnsi="Arial" w:cs="Arial"/>
          <w:lang w:val="en-IN"/>
        </w:rPr>
      </w:pPr>
    </w:p>
    <w:p w14:paraId="4C7D821D" w14:textId="4EB75A4A" w:rsidR="007259DA" w:rsidRDefault="008C2C1C" w:rsidP="007259DA">
      <w:pPr>
        <w:pStyle w:val="Body"/>
        <w:spacing w:after="0"/>
      </w:pPr>
      <w:r w:rsidRPr="002908D3">
        <w:rPr>
          <w:rFonts w:ascii="Arial" w:hAnsi="Arial" w:cs="Arial"/>
          <w:lang w:val="en-IN"/>
        </w:rPr>
        <w:t>The very low value of σ² indicated that the overall deviations from the frontier were small in magnitude, while the estimated mean technical efficiency (0.9749) suggested that farms operated, on average, at 97.</w:t>
      </w:r>
      <w:r w:rsidR="00BA58CE">
        <w:rPr>
          <w:rFonts w:ascii="Arial" w:hAnsi="Arial" w:cs="Arial"/>
          <w:lang w:val="en-IN"/>
        </w:rPr>
        <w:t>5</w:t>
      </w:r>
      <w:r w:rsidRPr="002908D3">
        <w:rPr>
          <w:rFonts w:ascii="Arial" w:hAnsi="Arial" w:cs="Arial"/>
          <w:lang w:val="en-IN"/>
        </w:rPr>
        <w:t xml:space="preserve"> per cent of their potential frontier output. This indicated that although deviations from the frontier were primarily systematic (inefficiency-driven), the magnitude of these deviations was limited and farms were closely clustered around the frontier</w:t>
      </w:r>
      <w:r w:rsidR="008B201A">
        <w:rPr>
          <w:rFonts w:ascii="Arial" w:hAnsi="Arial" w:cs="Arial"/>
          <w:lang w:val="en-IN"/>
        </w:rPr>
        <w:t xml:space="preserve"> </w:t>
      </w:r>
      <w:r w:rsidR="008B201A" w:rsidRPr="008B201A">
        <w:rPr>
          <w:rFonts w:ascii="Arial" w:hAnsi="Arial" w:cs="Arial"/>
        </w:rPr>
        <w:t xml:space="preserve">with only a marginal scope of 2.5 per cent for further improvement through better use of existing inputs. This level of efficiency </w:t>
      </w:r>
      <w:r w:rsidR="00D47FFA">
        <w:rPr>
          <w:rFonts w:ascii="Arial" w:hAnsi="Arial" w:cs="Arial"/>
        </w:rPr>
        <w:t>was</w:t>
      </w:r>
      <w:r w:rsidR="008B201A" w:rsidRPr="008B201A">
        <w:rPr>
          <w:rFonts w:ascii="Arial" w:hAnsi="Arial" w:cs="Arial"/>
        </w:rPr>
        <w:t xml:space="preserve"> substantially higher than most empirical findings in vegetable-based stochastic frontier studies in India. Srinivasulu Rajendran</w:t>
      </w:r>
      <w:r w:rsidR="008B201A">
        <w:rPr>
          <w:rFonts w:ascii="Arial" w:hAnsi="Arial" w:cs="Arial"/>
        </w:rPr>
        <w:t xml:space="preserve"> (2014</w:t>
      </w:r>
      <w:proofErr w:type="gramStart"/>
      <w:r w:rsidR="008B201A">
        <w:rPr>
          <w:rFonts w:ascii="Arial" w:hAnsi="Arial" w:cs="Arial"/>
        </w:rPr>
        <w:t xml:space="preserve">) </w:t>
      </w:r>
      <w:r w:rsidR="008B201A" w:rsidRPr="008B201A">
        <w:rPr>
          <w:rFonts w:ascii="Arial" w:hAnsi="Arial" w:cs="Arial"/>
        </w:rPr>
        <w:t xml:space="preserve"> reported</w:t>
      </w:r>
      <w:proofErr w:type="gramEnd"/>
      <w:r w:rsidR="008B201A" w:rsidRPr="008B201A">
        <w:rPr>
          <w:rFonts w:ascii="Arial" w:hAnsi="Arial" w:cs="Arial"/>
        </w:rPr>
        <w:t xml:space="preserve"> a mean technical efficiency of about 60 per cent for fruit and vegetable producers in Tamil Nadu, suggesting a potential output gain of nearly 34 per cent with existing resources.</w:t>
      </w:r>
      <w:r w:rsidR="007259DA" w:rsidRPr="007259DA">
        <w:rPr>
          <w:rFonts w:ascii="Arial" w:hAnsi="Arial" w:cs="Arial"/>
        </w:rPr>
        <w:t xml:space="preserve"> Similarly, studies on tomato cultivation under stochastic frontier frameworks have reported efficiency levels ranging between 75 and 93 per cent, depending on production systems and technology adoption levels</w:t>
      </w:r>
      <w:r w:rsidR="007259DA">
        <w:rPr>
          <w:rFonts w:ascii="Arial" w:hAnsi="Arial" w:cs="Arial"/>
        </w:rPr>
        <w:t xml:space="preserve"> (Devi et al., 2023)</w:t>
      </w:r>
      <w:r w:rsidR="001C1813">
        <w:rPr>
          <w:rFonts w:ascii="Arial" w:hAnsi="Arial" w:cs="Arial"/>
        </w:rPr>
        <w:t>.</w:t>
      </w:r>
      <w:r w:rsidR="001C1813" w:rsidRPr="001C1813">
        <w:t xml:space="preserve"> </w:t>
      </w:r>
      <w:r w:rsidR="000938C1" w:rsidRPr="000938C1">
        <w:t>Similar evidence from Himachal Pradesh indicate</w:t>
      </w:r>
      <w:r w:rsidR="00D47FFA">
        <w:t>d</w:t>
      </w:r>
      <w:r w:rsidR="000938C1" w:rsidRPr="000938C1">
        <w:t xml:space="preserve"> that inefficiencies in vegetable production largely arise from suboptimal input allocation (Mandla &amp; Vaidya, 2023), supporting the present finding of allocative inefficiency despite near-frontier technical performance.</w:t>
      </w:r>
      <w:r w:rsidR="00382154" w:rsidRPr="00382154">
        <w:t xml:space="preserve"> </w:t>
      </w:r>
    </w:p>
    <w:p w14:paraId="41E7EA9B" w14:textId="77777777" w:rsidR="00BA58CE" w:rsidRDefault="00BA58CE" w:rsidP="007259DA">
      <w:pPr>
        <w:pStyle w:val="Body"/>
        <w:spacing w:after="0"/>
      </w:pPr>
    </w:p>
    <w:p w14:paraId="1D7C1BED" w14:textId="4FE2BBE6" w:rsidR="00BA58CE" w:rsidRPr="00890D3C" w:rsidRDefault="00BA58CE" w:rsidP="00BA58CE">
      <w:pPr>
        <w:pStyle w:val="Body"/>
        <w:spacing w:after="0"/>
        <w:rPr>
          <w:rFonts w:ascii="Arial" w:hAnsi="Arial" w:cs="Arial"/>
          <w:lang w:val="en-IN"/>
        </w:rPr>
      </w:pPr>
      <w:r w:rsidRPr="006A1703">
        <w:rPr>
          <w:rFonts w:ascii="Arial" w:hAnsi="Arial" w:cs="Arial"/>
          <w:lang w:val="en-IN"/>
        </w:rPr>
        <w:t>The coexistence of high technical efficiency and significant allocative inefficiency observed in the study highlights an important distinction in production economics. While farmers operate close to the production frontier, as indicated by the high mean efficiency, the MVP</w:t>
      </w:r>
      <w:r>
        <w:rPr>
          <w:rFonts w:ascii="Arial" w:hAnsi="Arial" w:cs="Arial"/>
          <w:lang w:val="en-IN"/>
        </w:rPr>
        <w:t>-</w:t>
      </w:r>
      <w:r w:rsidRPr="006A1703">
        <w:rPr>
          <w:rFonts w:ascii="Arial" w:hAnsi="Arial" w:cs="Arial"/>
          <w:lang w:val="en-IN"/>
        </w:rPr>
        <w:t xml:space="preserve">MFC analysis revealed substantial misallocation of inputs, including overuse of labour and fertilizer and under-utilization of other inputs. This pattern </w:t>
      </w:r>
      <w:r w:rsidR="00D47FFA">
        <w:rPr>
          <w:rFonts w:ascii="Arial" w:hAnsi="Arial" w:cs="Arial"/>
          <w:lang w:val="en-IN"/>
        </w:rPr>
        <w:t>was</w:t>
      </w:r>
      <w:r w:rsidRPr="006A1703">
        <w:rPr>
          <w:rFonts w:ascii="Arial" w:hAnsi="Arial" w:cs="Arial"/>
          <w:lang w:val="en-IN"/>
        </w:rPr>
        <w:t xml:space="preserve"> consistent with findings reported by Kumbhakar, Subal C. and Lovell, C. A. Knox (2000), who emphasized that farms can achieve high technical efficiency while remaining economically inefficient due to improper input combinations.</w:t>
      </w:r>
      <w:r>
        <w:rPr>
          <w:rFonts w:ascii="Arial" w:hAnsi="Arial" w:cs="Arial"/>
          <w:lang w:val="en-IN"/>
        </w:rPr>
        <w:t xml:space="preserve"> </w:t>
      </w:r>
      <w:r w:rsidRPr="00DA09AB">
        <w:rPr>
          <w:rFonts w:ascii="Arial" w:hAnsi="Arial" w:cs="Arial"/>
        </w:rPr>
        <w:t>Evidence from vegetable production systems indicate</w:t>
      </w:r>
      <w:r w:rsidR="00D47FFA">
        <w:rPr>
          <w:rFonts w:ascii="Arial" w:hAnsi="Arial" w:cs="Arial"/>
        </w:rPr>
        <w:t>d</w:t>
      </w:r>
      <w:r w:rsidRPr="00DA09AB">
        <w:rPr>
          <w:rFonts w:ascii="Arial" w:hAnsi="Arial" w:cs="Arial"/>
        </w:rPr>
        <w:t xml:space="preserve"> that input costs, particularly </w:t>
      </w:r>
      <w:proofErr w:type="spellStart"/>
      <w:r w:rsidRPr="00DA09AB">
        <w:rPr>
          <w:rFonts w:ascii="Arial" w:hAnsi="Arial" w:cs="Arial"/>
        </w:rPr>
        <w:t>labour</w:t>
      </w:r>
      <w:proofErr w:type="spellEnd"/>
      <w:r w:rsidRPr="00DA09AB">
        <w:rPr>
          <w:rFonts w:ascii="Arial" w:hAnsi="Arial" w:cs="Arial"/>
        </w:rPr>
        <w:t xml:space="preserve"> and fertilizer, play a crucial role in determining farm profitability and performance (</w:t>
      </w:r>
      <w:proofErr w:type="spellStart"/>
      <w:r w:rsidRPr="00DA09AB">
        <w:rPr>
          <w:rFonts w:ascii="Arial" w:hAnsi="Arial" w:cs="Arial"/>
        </w:rPr>
        <w:t>Wongnaa</w:t>
      </w:r>
      <w:proofErr w:type="spellEnd"/>
      <w:r w:rsidRPr="00DA09AB">
        <w:rPr>
          <w:rFonts w:ascii="Arial" w:hAnsi="Arial" w:cs="Arial"/>
        </w:rPr>
        <w:t xml:space="preserve"> et al., 2019). This </w:t>
      </w:r>
      <w:r w:rsidR="00D47FFA">
        <w:rPr>
          <w:rFonts w:ascii="Arial" w:hAnsi="Arial" w:cs="Arial"/>
        </w:rPr>
        <w:t>was</w:t>
      </w:r>
      <w:r w:rsidRPr="00DA09AB">
        <w:rPr>
          <w:rFonts w:ascii="Arial" w:hAnsi="Arial" w:cs="Arial"/>
        </w:rPr>
        <w:t xml:space="preserve"> consistent with the present findings, where inefficient input allocation was observed to influence economic efficiency, highlighting the importance of optimal resource management.</w:t>
      </w:r>
    </w:p>
    <w:p w14:paraId="221512BA" w14:textId="77777777" w:rsidR="00BA58CE" w:rsidRDefault="00BA58CE" w:rsidP="007259DA">
      <w:pPr>
        <w:pStyle w:val="Body"/>
        <w:spacing w:after="0"/>
        <w:rPr>
          <w:rFonts w:ascii="Arial" w:hAnsi="Arial" w:cs="Arial"/>
        </w:rPr>
      </w:pPr>
    </w:p>
    <w:p w14:paraId="56F975B4" w14:textId="77777777" w:rsidR="008B201A" w:rsidRDefault="008B201A" w:rsidP="008C2C1C">
      <w:pPr>
        <w:pStyle w:val="Body"/>
        <w:spacing w:after="0"/>
        <w:rPr>
          <w:rFonts w:ascii="Arial" w:hAnsi="Arial" w:cs="Arial"/>
          <w:lang w:val="en-IN"/>
        </w:rPr>
      </w:pPr>
    </w:p>
    <w:p w14:paraId="37D14F8D" w14:textId="38D77C65" w:rsidR="00382154" w:rsidRPr="006A1703" w:rsidRDefault="002908D3" w:rsidP="00382154">
      <w:pPr>
        <w:pStyle w:val="Body"/>
        <w:spacing w:after="0"/>
        <w:rPr>
          <w:rFonts w:ascii="Arial" w:hAnsi="Arial" w:cs="Arial"/>
          <w:lang w:val="en-IN"/>
        </w:rPr>
      </w:pPr>
      <w:r w:rsidRPr="006A1703">
        <w:rPr>
          <w:rFonts w:ascii="Arial" w:hAnsi="Arial" w:cs="Arial"/>
          <w:lang w:val="en-IN"/>
        </w:rPr>
        <w:t>The estimated gamma (γ ≈ 0.99) indicate</w:t>
      </w:r>
      <w:r>
        <w:rPr>
          <w:rFonts w:ascii="Arial" w:hAnsi="Arial" w:cs="Arial"/>
          <w:lang w:val="en-IN"/>
        </w:rPr>
        <w:t>d</w:t>
      </w:r>
      <w:r w:rsidRPr="006A1703">
        <w:rPr>
          <w:rFonts w:ascii="Arial" w:hAnsi="Arial" w:cs="Arial"/>
          <w:lang w:val="en-IN"/>
        </w:rPr>
        <w:t xml:space="preserve"> that almost the entire variation in output </w:t>
      </w:r>
      <w:r w:rsidR="00D47FFA">
        <w:rPr>
          <w:rFonts w:ascii="Arial" w:hAnsi="Arial" w:cs="Arial"/>
          <w:lang w:val="en-IN"/>
        </w:rPr>
        <w:t>was</w:t>
      </w:r>
      <w:r w:rsidRPr="006A1703">
        <w:rPr>
          <w:rFonts w:ascii="Arial" w:hAnsi="Arial" w:cs="Arial"/>
          <w:lang w:val="en-IN"/>
        </w:rPr>
        <w:t xml:space="preserve"> attribut</w:t>
      </w:r>
      <w:r w:rsidR="00D47FFA">
        <w:rPr>
          <w:rFonts w:ascii="Arial" w:hAnsi="Arial" w:cs="Arial"/>
          <w:lang w:val="en-IN"/>
        </w:rPr>
        <w:t>ed</w:t>
      </w:r>
      <w:r w:rsidRPr="006A1703">
        <w:rPr>
          <w:rFonts w:ascii="Arial" w:hAnsi="Arial" w:cs="Arial"/>
          <w:lang w:val="en-IN"/>
        </w:rPr>
        <w:t xml:space="preserve"> to technical inefficiency rather than random shocks, which is a common outcome in cross-sectional agricultural efficiency studies. This implies that differences in output across farms are predominantly driven by managerial ability and input-use practices. Similar results were reported by Oumer, Ali M. et al. (2022), who found that gamma values approaching unity in stochastic frontier models reflect the dominance of inefficiency effects over stochastic variation in explaining output differences. These parallels indicate that the high gamma value in the present study reflects a strong presence of inefficiency effects and </w:t>
      </w:r>
      <w:r w:rsidRPr="006A1703">
        <w:rPr>
          <w:rFonts w:ascii="Arial" w:hAnsi="Arial" w:cs="Arial"/>
          <w:lang w:val="en-IN"/>
        </w:rPr>
        <w:lastRenderedPageBreak/>
        <w:t>highlights the scope for improving output through better management rather than increased input use.</w:t>
      </w:r>
      <w:r w:rsidR="00382154" w:rsidRPr="00382154">
        <w:rPr>
          <w:rFonts w:ascii="Arial" w:hAnsi="Arial" w:cs="Arial"/>
        </w:rPr>
        <w:t xml:space="preserve"> </w:t>
      </w:r>
    </w:p>
    <w:p w14:paraId="50D83676" w14:textId="73E59662" w:rsidR="008B201A" w:rsidRDefault="008B201A" w:rsidP="002908D3">
      <w:pPr>
        <w:pStyle w:val="Body"/>
        <w:spacing w:after="0"/>
        <w:rPr>
          <w:rFonts w:ascii="Arial" w:hAnsi="Arial" w:cs="Arial"/>
          <w:lang w:val="en-IN"/>
        </w:rPr>
      </w:pPr>
    </w:p>
    <w:p w14:paraId="51DD55C9" w14:textId="77777777" w:rsidR="007259DA" w:rsidRPr="002908D3" w:rsidRDefault="007259DA" w:rsidP="008C2C1C">
      <w:pPr>
        <w:pStyle w:val="Body"/>
        <w:spacing w:after="0"/>
        <w:rPr>
          <w:rFonts w:ascii="Arial" w:hAnsi="Arial" w:cs="Arial"/>
          <w:lang w:val="en-IN"/>
        </w:rPr>
      </w:pPr>
    </w:p>
    <w:p w14:paraId="0E29B3D1" w14:textId="77777777" w:rsidR="008C2C1C" w:rsidRPr="008C2C1C" w:rsidRDefault="008C2C1C" w:rsidP="008C2C1C">
      <w:pPr>
        <w:pStyle w:val="Body"/>
        <w:spacing w:after="0"/>
        <w:rPr>
          <w:rFonts w:ascii="Arial" w:hAnsi="Arial" w:cs="Arial"/>
          <w:lang w:val="en-IN"/>
        </w:rPr>
      </w:pPr>
      <w:r w:rsidRPr="002908D3">
        <w:rPr>
          <w:rFonts w:ascii="Arial" w:hAnsi="Arial" w:cs="Arial"/>
          <w:lang w:val="en-IN"/>
        </w:rPr>
        <w:t>Taken together, the high γ, high mean technical efficiency, and low σ² jointly indicated a production environment characterised by high average efficiency and low inter-farm variability in efficiency levels, where most farms operated close to the frontier but the residual deviations were largely non-random in nature.</w:t>
      </w:r>
    </w:p>
    <w:p w14:paraId="3FC0BBFA" w14:textId="77777777" w:rsidR="00890538" w:rsidRDefault="00890538" w:rsidP="00A47A53">
      <w:pPr>
        <w:pStyle w:val="Body"/>
        <w:spacing w:after="0"/>
        <w:rPr>
          <w:rFonts w:ascii="Arial" w:hAnsi="Arial" w:cs="Arial"/>
        </w:rPr>
      </w:pPr>
    </w:p>
    <w:p w14:paraId="410EB790" w14:textId="4C3CE64F" w:rsidR="00890538" w:rsidRPr="00A47A53" w:rsidRDefault="00890538" w:rsidP="00A47A53">
      <w:pPr>
        <w:pStyle w:val="Body"/>
        <w:spacing w:after="0"/>
        <w:rPr>
          <w:rFonts w:ascii="Arial" w:hAnsi="Arial" w:cs="Arial"/>
          <w:b/>
          <w:bCs/>
          <w:lang w:val="en-IN"/>
        </w:rPr>
      </w:pPr>
      <w:r w:rsidRPr="00890538">
        <w:rPr>
          <w:rFonts w:ascii="Arial" w:hAnsi="Arial" w:cs="Arial"/>
          <w:b/>
          <w:bCs/>
        </w:rPr>
        <w:t xml:space="preserve">Table </w:t>
      </w:r>
      <w:r w:rsidR="002908D3">
        <w:rPr>
          <w:rFonts w:ascii="Arial" w:hAnsi="Arial" w:cs="Arial"/>
          <w:b/>
          <w:bCs/>
        </w:rPr>
        <w:t>5</w:t>
      </w:r>
      <w:r w:rsidRPr="00890538">
        <w:rPr>
          <w:rFonts w:ascii="Arial" w:hAnsi="Arial" w:cs="Arial"/>
          <w:b/>
          <w:bCs/>
        </w:rPr>
        <w:t xml:space="preserve">- </w:t>
      </w:r>
      <w:r w:rsidR="002908D3">
        <w:rPr>
          <w:rFonts w:ascii="Arial" w:hAnsi="Arial" w:cs="Arial"/>
          <w:b/>
          <w:bCs/>
        </w:rPr>
        <w:t xml:space="preserve">Representation of </w:t>
      </w:r>
      <w:r w:rsidRPr="00890538">
        <w:rPr>
          <w:rFonts w:ascii="Arial" w:hAnsi="Arial" w:cs="Arial"/>
          <w:b/>
          <w:bCs/>
        </w:rPr>
        <w:t>Stochastic Frontier Production Function Estimates</w:t>
      </w:r>
    </w:p>
    <w:p w14:paraId="314E438A" w14:textId="77777777" w:rsidR="000377B5" w:rsidRDefault="000377B5" w:rsidP="00A47A53">
      <w:pPr>
        <w:pStyle w:val="Body"/>
        <w:spacing w:after="0"/>
        <w:rPr>
          <w:rFonts w:ascii="Arial" w:hAnsi="Arial" w:cs="Arial"/>
          <w:lang w:val="en-IN"/>
        </w:rPr>
      </w:pPr>
    </w:p>
    <w:tbl>
      <w:tblPr>
        <w:tblStyle w:val="TableGrid"/>
        <w:tblW w:w="0" w:type="auto"/>
        <w:tblLook w:val="04A0" w:firstRow="1" w:lastRow="0" w:firstColumn="1" w:lastColumn="0" w:noHBand="0" w:noVBand="1"/>
      </w:tblPr>
      <w:tblGrid>
        <w:gridCol w:w="1684"/>
        <w:gridCol w:w="1685"/>
        <w:gridCol w:w="1685"/>
        <w:gridCol w:w="1685"/>
        <w:gridCol w:w="1685"/>
      </w:tblGrid>
      <w:tr w:rsidR="00B26359" w:rsidRPr="003A74C2" w14:paraId="0C97A527" w14:textId="77777777">
        <w:tc>
          <w:tcPr>
            <w:tcW w:w="1684" w:type="dxa"/>
          </w:tcPr>
          <w:p w14:paraId="4E425EBA" w14:textId="77777777"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Variables</w:t>
            </w:r>
          </w:p>
        </w:tc>
        <w:tc>
          <w:tcPr>
            <w:tcW w:w="1685" w:type="dxa"/>
          </w:tcPr>
          <w:p w14:paraId="6338DE22" w14:textId="77777777"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Coefficient</w:t>
            </w:r>
          </w:p>
        </w:tc>
        <w:tc>
          <w:tcPr>
            <w:tcW w:w="1685" w:type="dxa"/>
          </w:tcPr>
          <w:p w14:paraId="17AEB305" w14:textId="77777777"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Std. Error</w:t>
            </w:r>
          </w:p>
        </w:tc>
        <w:tc>
          <w:tcPr>
            <w:tcW w:w="1685" w:type="dxa"/>
          </w:tcPr>
          <w:p w14:paraId="2416732D" w14:textId="77777777"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z-value</w:t>
            </w:r>
          </w:p>
        </w:tc>
        <w:tc>
          <w:tcPr>
            <w:tcW w:w="1685" w:type="dxa"/>
          </w:tcPr>
          <w:p w14:paraId="0C4D4D35" w14:textId="77777777"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p-value</w:t>
            </w:r>
          </w:p>
        </w:tc>
      </w:tr>
      <w:tr w:rsidR="00B26359" w:rsidRPr="003A74C2" w14:paraId="25F6AECD" w14:textId="77777777">
        <w:tc>
          <w:tcPr>
            <w:tcW w:w="1684" w:type="dxa"/>
          </w:tcPr>
          <w:p w14:paraId="30A773CE" w14:textId="77777777"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Intercept</w:t>
            </w:r>
          </w:p>
        </w:tc>
        <w:tc>
          <w:tcPr>
            <w:tcW w:w="1685" w:type="dxa"/>
          </w:tcPr>
          <w:p w14:paraId="231266E0"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3.658</w:t>
            </w:r>
          </w:p>
        </w:tc>
        <w:tc>
          <w:tcPr>
            <w:tcW w:w="1685" w:type="dxa"/>
          </w:tcPr>
          <w:p w14:paraId="14016C54"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0.486</w:t>
            </w:r>
          </w:p>
        </w:tc>
        <w:tc>
          <w:tcPr>
            <w:tcW w:w="1685" w:type="dxa"/>
          </w:tcPr>
          <w:p w14:paraId="15A59AE6"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7.53</w:t>
            </w:r>
          </w:p>
        </w:tc>
        <w:tc>
          <w:tcPr>
            <w:tcW w:w="1685" w:type="dxa"/>
          </w:tcPr>
          <w:p w14:paraId="0D342EDE"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0.000***</w:t>
            </w:r>
          </w:p>
        </w:tc>
      </w:tr>
      <w:tr w:rsidR="00B26359" w:rsidRPr="003A74C2" w14:paraId="18BECAD7" w14:textId="77777777">
        <w:tc>
          <w:tcPr>
            <w:tcW w:w="1684" w:type="dxa"/>
          </w:tcPr>
          <w:p w14:paraId="039CB223" w14:textId="77777777"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Seed</w:t>
            </w:r>
          </w:p>
        </w:tc>
        <w:tc>
          <w:tcPr>
            <w:tcW w:w="1685" w:type="dxa"/>
          </w:tcPr>
          <w:p w14:paraId="2D6A9D04"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0.449</w:t>
            </w:r>
          </w:p>
        </w:tc>
        <w:tc>
          <w:tcPr>
            <w:tcW w:w="1685" w:type="dxa"/>
          </w:tcPr>
          <w:p w14:paraId="6E16740C"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0.021</w:t>
            </w:r>
          </w:p>
        </w:tc>
        <w:tc>
          <w:tcPr>
            <w:tcW w:w="1685" w:type="dxa"/>
          </w:tcPr>
          <w:p w14:paraId="6E6EE924"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21.28</w:t>
            </w:r>
          </w:p>
        </w:tc>
        <w:tc>
          <w:tcPr>
            <w:tcW w:w="1685" w:type="dxa"/>
          </w:tcPr>
          <w:p w14:paraId="2FF302CA"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0.000***</w:t>
            </w:r>
          </w:p>
        </w:tc>
      </w:tr>
      <w:tr w:rsidR="00B26359" w:rsidRPr="003A74C2" w14:paraId="1E017129" w14:textId="77777777">
        <w:tc>
          <w:tcPr>
            <w:tcW w:w="1684" w:type="dxa"/>
          </w:tcPr>
          <w:p w14:paraId="6A784A35" w14:textId="77777777"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Human labour</w:t>
            </w:r>
          </w:p>
        </w:tc>
        <w:tc>
          <w:tcPr>
            <w:tcW w:w="1685" w:type="dxa"/>
          </w:tcPr>
          <w:p w14:paraId="23C3C49F"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0.137</w:t>
            </w:r>
          </w:p>
        </w:tc>
        <w:tc>
          <w:tcPr>
            <w:tcW w:w="1685" w:type="dxa"/>
          </w:tcPr>
          <w:p w14:paraId="285ADAC9"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0.045</w:t>
            </w:r>
          </w:p>
        </w:tc>
        <w:tc>
          <w:tcPr>
            <w:tcW w:w="1685" w:type="dxa"/>
          </w:tcPr>
          <w:p w14:paraId="40880E63"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3.04</w:t>
            </w:r>
          </w:p>
        </w:tc>
        <w:tc>
          <w:tcPr>
            <w:tcW w:w="1685" w:type="dxa"/>
          </w:tcPr>
          <w:p w14:paraId="3E9CBCBD"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0.002**</w:t>
            </w:r>
          </w:p>
        </w:tc>
      </w:tr>
      <w:tr w:rsidR="00B26359" w:rsidRPr="003A74C2" w14:paraId="486E3D9C" w14:textId="77777777">
        <w:tc>
          <w:tcPr>
            <w:tcW w:w="1684" w:type="dxa"/>
          </w:tcPr>
          <w:p w14:paraId="385EE4D9" w14:textId="77777777"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Fertilizer</w:t>
            </w:r>
          </w:p>
        </w:tc>
        <w:tc>
          <w:tcPr>
            <w:tcW w:w="1685" w:type="dxa"/>
          </w:tcPr>
          <w:p w14:paraId="2B7E2017"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-0.013</w:t>
            </w:r>
          </w:p>
        </w:tc>
        <w:tc>
          <w:tcPr>
            <w:tcW w:w="1685" w:type="dxa"/>
          </w:tcPr>
          <w:p w14:paraId="20A1E23B"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0.010</w:t>
            </w:r>
          </w:p>
        </w:tc>
        <w:tc>
          <w:tcPr>
            <w:tcW w:w="1685" w:type="dxa"/>
          </w:tcPr>
          <w:p w14:paraId="7D70BD08"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-1.26</w:t>
            </w:r>
          </w:p>
        </w:tc>
        <w:tc>
          <w:tcPr>
            <w:tcW w:w="1685" w:type="dxa"/>
          </w:tcPr>
          <w:p w14:paraId="6910E6AC"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0.207</w:t>
            </w:r>
          </w:p>
        </w:tc>
      </w:tr>
      <w:tr w:rsidR="00B26359" w:rsidRPr="003A74C2" w14:paraId="0DE11DDD" w14:textId="77777777">
        <w:tc>
          <w:tcPr>
            <w:tcW w:w="1684" w:type="dxa"/>
          </w:tcPr>
          <w:p w14:paraId="483E5D71" w14:textId="77777777"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PPC</w:t>
            </w:r>
          </w:p>
        </w:tc>
        <w:tc>
          <w:tcPr>
            <w:tcW w:w="1685" w:type="dxa"/>
          </w:tcPr>
          <w:p w14:paraId="1B9394BD"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0.076</w:t>
            </w:r>
          </w:p>
        </w:tc>
        <w:tc>
          <w:tcPr>
            <w:tcW w:w="1685" w:type="dxa"/>
          </w:tcPr>
          <w:p w14:paraId="07BDE497"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0.040</w:t>
            </w:r>
          </w:p>
        </w:tc>
        <w:tc>
          <w:tcPr>
            <w:tcW w:w="1685" w:type="dxa"/>
          </w:tcPr>
          <w:p w14:paraId="1AF724BD"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1.92</w:t>
            </w:r>
          </w:p>
        </w:tc>
        <w:tc>
          <w:tcPr>
            <w:tcW w:w="1685" w:type="dxa"/>
          </w:tcPr>
          <w:p w14:paraId="16491CC3"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0.054*</w:t>
            </w:r>
          </w:p>
        </w:tc>
      </w:tr>
      <w:tr w:rsidR="00B26359" w:rsidRPr="003A74C2" w14:paraId="2CA4C396" w14:textId="77777777">
        <w:tc>
          <w:tcPr>
            <w:tcW w:w="1684" w:type="dxa"/>
          </w:tcPr>
          <w:p w14:paraId="10436388" w14:textId="77777777"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sigma² (σ²)</w:t>
            </w:r>
          </w:p>
        </w:tc>
        <w:tc>
          <w:tcPr>
            <w:tcW w:w="1685" w:type="dxa"/>
          </w:tcPr>
          <w:p w14:paraId="044E0D62"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0.00123</w:t>
            </w:r>
          </w:p>
        </w:tc>
        <w:tc>
          <w:tcPr>
            <w:tcW w:w="1685" w:type="dxa"/>
          </w:tcPr>
          <w:p w14:paraId="41642C30"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0.00020</w:t>
            </w:r>
          </w:p>
        </w:tc>
        <w:tc>
          <w:tcPr>
            <w:tcW w:w="1685" w:type="dxa"/>
          </w:tcPr>
          <w:p w14:paraId="3B000122"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6.01</w:t>
            </w:r>
          </w:p>
        </w:tc>
        <w:tc>
          <w:tcPr>
            <w:tcW w:w="1685" w:type="dxa"/>
          </w:tcPr>
          <w:p w14:paraId="0A384B13"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0.000***</w:t>
            </w:r>
          </w:p>
        </w:tc>
      </w:tr>
      <w:tr w:rsidR="00B26359" w:rsidRPr="003A74C2" w14:paraId="6220A4A7" w14:textId="77777777">
        <w:tc>
          <w:tcPr>
            <w:tcW w:w="1684" w:type="dxa"/>
          </w:tcPr>
          <w:p w14:paraId="47F0275C" w14:textId="77777777" w:rsidR="00B26359" w:rsidRPr="00B33DB7" w:rsidRDefault="00B26359" w:rsidP="00B33DB7">
            <w:pPr>
              <w:pStyle w:val="Body"/>
              <w:spacing w:after="0"/>
              <w:jc w:val="center"/>
              <w:rPr>
                <w:rFonts w:ascii="Arial" w:hAnsi="Arial" w:cs="Arial"/>
                <w:b/>
                <w:bCs/>
                <w:sz w:val="20"/>
                <w:szCs w:val="20"/>
                <w:lang w:val="en-IN"/>
              </w:rPr>
            </w:pPr>
            <w:r w:rsidRPr="00B33DB7">
              <w:rPr>
                <w:rFonts w:ascii="Arial" w:hAnsi="Arial" w:cs="Arial"/>
                <w:b/>
                <w:bCs/>
                <w:sz w:val="20"/>
                <w:szCs w:val="20"/>
                <w:lang w:val="en-IN"/>
              </w:rPr>
              <w:t>gamma (γ)</w:t>
            </w:r>
          </w:p>
        </w:tc>
        <w:tc>
          <w:tcPr>
            <w:tcW w:w="1685" w:type="dxa"/>
          </w:tcPr>
          <w:p w14:paraId="6322D467" w14:textId="77777777" w:rsidR="00B26359" w:rsidRPr="003A74C2" w:rsidRDefault="00B26359" w:rsidP="00B33DB7">
            <w:pPr>
              <w:pStyle w:val="Body"/>
              <w:spacing w:after="0"/>
              <w:jc w:val="center"/>
              <w:rPr>
                <w:rFonts w:ascii="Arial" w:hAnsi="Arial" w:cs="Arial"/>
                <w:sz w:val="20"/>
                <w:szCs w:val="20"/>
                <w:lang w:val="en-IN"/>
              </w:rPr>
            </w:pPr>
            <w:r w:rsidRPr="003A74C2">
              <w:rPr>
                <w:rFonts w:ascii="Arial" w:hAnsi="Arial" w:cs="Arial"/>
                <w:sz w:val="20"/>
                <w:szCs w:val="20"/>
                <w:lang w:val="en-IN"/>
              </w:rPr>
              <w:t>0.9988</w:t>
            </w:r>
          </w:p>
        </w:tc>
        <w:tc>
          <w:tcPr>
            <w:tcW w:w="1685" w:type="dxa"/>
          </w:tcPr>
          <w:p w14:paraId="4A3B6768" w14:textId="77777777" w:rsidR="00B26359" w:rsidRPr="003A74C2" w:rsidRDefault="00B26359" w:rsidP="00B33DB7">
            <w:pPr>
              <w:pStyle w:val="Body"/>
              <w:spacing w:after="0"/>
              <w:jc w:val="center"/>
              <w:rPr>
                <w:rFonts w:ascii="Arial" w:hAnsi="Arial" w:cs="Arial"/>
                <w:sz w:val="20"/>
                <w:szCs w:val="20"/>
                <w:lang w:val="en-IN"/>
              </w:rPr>
            </w:pPr>
            <w:r w:rsidRPr="003A74C2">
              <w:rPr>
                <w:rFonts w:ascii="Arial" w:hAnsi="Arial" w:cs="Arial"/>
                <w:sz w:val="20"/>
                <w:szCs w:val="20"/>
                <w:lang w:val="en-IN"/>
              </w:rPr>
              <w:t>0.0094</w:t>
            </w:r>
          </w:p>
        </w:tc>
        <w:tc>
          <w:tcPr>
            <w:tcW w:w="1685" w:type="dxa"/>
          </w:tcPr>
          <w:p w14:paraId="63FAE183" w14:textId="77777777" w:rsidR="00B26359" w:rsidRPr="003A74C2" w:rsidRDefault="00B26359" w:rsidP="00B33DB7">
            <w:pPr>
              <w:pStyle w:val="Body"/>
              <w:spacing w:after="0"/>
              <w:jc w:val="center"/>
              <w:rPr>
                <w:rFonts w:ascii="Arial" w:hAnsi="Arial" w:cs="Arial"/>
                <w:sz w:val="20"/>
                <w:szCs w:val="20"/>
                <w:lang w:val="en-IN"/>
              </w:rPr>
            </w:pPr>
            <w:r w:rsidRPr="003A74C2">
              <w:rPr>
                <w:rFonts w:ascii="Arial" w:hAnsi="Arial" w:cs="Arial"/>
                <w:sz w:val="20"/>
                <w:szCs w:val="20"/>
                <w:lang w:val="en-IN"/>
              </w:rPr>
              <w:t>106.60</w:t>
            </w:r>
          </w:p>
        </w:tc>
        <w:tc>
          <w:tcPr>
            <w:tcW w:w="1685" w:type="dxa"/>
          </w:tcPr>
          <w:p w14:paraId="2AAA4B8A" w14:textId="77777777" w:rsidR="00B26359" w:rsidRPr="003A74C2" w:rsidRDefault="00B26359" w:rsidP="00B33DB7">
            <w:pPr>
              <w:pStyle w:val="Body"/>
              <w:spacing w:after="0"/>
              <w:jc w:val="center"/>
              <w:rPr>
                <w:rFonts w:ascii="Arial" w:hAnsi="Arial" w:cs="Arial"/>
                <w:sz w:val="20"/>
                <w:szCs w:val="20"/>
                <w:lang w:val="en-IN"/>
              </w:rPr>
            </w:pPr>
            <w:r w:rsidRPr="003A74C2">
              <w:rPr>
                <w:rFonts w:ascii="Arial" w:hAnsi="Arial" w:cs="Arial"/>
                <w:sz w:val="20"/>
                <w:szCs w:val="20"/>
                <w:lang w:val="en-IN"/>
              </w:rPr>
              <w:t>0.000***</w:t>
            </w:r>
          </w:p>
        </w:tc>
      </w:tr>
    </w:tbl>
    <w:p w14:paraId="2970A9D7" w14:textId="77777777" w:rsidR="00CD0414" w:rsidRDefault="00CD0414" w:rsidP="00A47A53">
      <w:pPr>
        <w:pStyle w:val="Body"/>
        <w:spacing w:after="0"/>
        <w:rPr>
          <w:rFonts w:ascii="Arial" w:hAnsi="Arial" w:cs="Arial"/>
          <w:b/>
          <w:bCs/>
          <w:i/>
          <w:iCs/>
          <w:lang w:val="en-IN"/>
        </w:rPr>
      </w:pPr>
    </w:p>
    <w:p w14:paraId="6B68A83A" w14:textId="77777777" w:rsidR="00BA58CE" w:rsidRDefault="00BA58CE" w:rsidP="00BA58CE">
      <w:pPr>
        <w:rPr>
          <w:rFonts w:ascii="Arial" w:hAnsi="Arial" w:cs="Arial"/>
          <w:b/>
          <w:bCs/>
          <w:lang w:val="en-IN"/>
        </w:rPr>
      </w:pPr>
      <w:r w:rsidRPr="003C08C1">
        <w:rPr>
          <w:rFonts w:ascii="Arial" w:hAnsi="Arial" w:cs="Arial"/>
          <w:b/>
          <w:bCs/>
          <w:lang w:val="en-IN"/>
        </w:rPr>
        <w:t>***, ** and * indicate significance at 1%, 5% and 10% levels, respectively</w:t>
      </w:r>
    </w:p>
    <w:p w14:paraId="05B3C426" w14:textId="77777777" w:rsidR="00A66D0A" w:rsidRDefault="00A66D0A" w:rsidP="00A66D0A">
      <w:pPr>
        <w:pStyle w:val="Body"/>
        <w:spacing w:after="0"/>
        <w:jc w:val="left"/>
        <w:rPr>
          <w:rFonts w:ascii="Arial" w:hAnsi="Arial" w:cs="Arial"/>
          <w:b/>
          <w:bCs/>
          <w:i/>
          <w:iCs/>
        </w:rPr>
      </w:pPr>
    </w:p>
    <w:tbl>
      <w:tblPr>
        <w:tblStyle w:val="TableGrid"/>
        <w:tblW w:w="0" w:type="auto"/>
        <w:tblLook w:val="04A0" w:firstRow="1" w:lastRow="0" w:firstColumn="1" w:lastColumn="0" w:noHBand="0" w:noVBand="1"/>
      </w:tblPr>
      <w:tblGrid>
        <w:gridCol w:w="4212"/>
        <w:gridCol w:w="4212"/>
      </w:tblGrid>
      <w:tr w:rsidR="00B87B03" w:rsidRPr="00B87B03" w14:paraId="728644D9" w14:textId="77777777">
        <w:tc>
          <w:tcPr>
            <w:tcW w:w="4212" w:type="dxa"/>
          </w:tcPr>
          <w:p w14:paraId="4653CB9F" w14:textId="166C08E4" w:rsidR="00B87B03" w:rsidRPr="00575196" w:rsidRDefault="00B87B03" w:rsidP="00575196">
            <w:pPr>
              <w:pStyle w:val="Body"/>
              <w:jc w:val="center"/>
              <w:rPr>
                <w:rFonts w:ascii="Arial" w:hAnsi="Arial" w:cs="Arial"/>
                <w:b/>
                <w:bCs/>
                <w:sz w:val="20"/>
                <w:szCs w:val="20"/>
                <w:lang w:val="en-IN"/>
              </w:rPr>
            </w:pPr>
            <w:r w:rsidRPr="00575196">
              <w:rPr>
                <w:rFonts w:ascii="Arial" w:hAnsi="Arial" w:cs="Arial"/>
                <w:b/>
                <w:bCs/>
                <w:sz w:val="20"/>
                <w:szCs w:val="20"/>
                <w:lang w:val="en-IN"/>
              </w:rPr>
              <w:t xml:space="preserve">Model diagnostics </w:t>
            </w:r>
          </w:p>
        </w:tc>
        <w:tc>
          <w:tcPr>
            <w:tcW w:w="4212" w:type="dxa"/>
          </w:tcPr>
          <w:p w14:paraId="17B76ABB" w14:textId="77777777" w:rsidR="00B87B03" w:rsidRPr="00575196" w:rsidRDefault="00B87B03" w:rsidP="00575196">
            <w:pPr>
              <w:pStyle w:val="Body"/>
              <w:jc w:val="center"/>
              <w:rPr>
                <w:rFonts w:ascii="Arial" w:hAnsi="Arial" w:cs="Arial"/>
                <w:b/>
                <w:bCs/>
                <w:sz w:val="20"/>
                <w:szCs w:val="20"/>
                <w:lang w:val="en-IN"/>
              </w:rPr>
            </w:pPr>
            <w:r w:rsidRPr="00575196">
              <w:rPr>
                <w:rFonts w:ascii="Arial" w:hAnsi="Arial" w:cs="Arial"/>
                <w:b/>
                <w:bCs/>
                <w:sz w:val="20"/>
                <w:szCs w:val="20"/>
                <w:lang w:val="en-IN"/>
              </w:rPr>
              <w:t>Value</w:t>
            </w:r>
          </w:p>
        </w:tc>
      </w:tr>
      <w:tr w:rsidR="00B87B03" w:rsidRPr="00B87B03" w14:paraId="7450E632" w14:textId="77777777">
        <w:tc>
          <w:tcPr>
            <w:tcW w:w="4212" w:type="dxa"/>
          </w:tcPr>
          <w:p w14:paraId="240C2C86" w14:textId="77777777" w:rsidR="00B87B03" w:rsidRPr="00B33DB7" w:rsidRDefault="00B87B03" w:rsidP="00575196">
            <w:pPr>
              <w:pStyle w:val="Body"/>
              <w:jc w:val="center"/>
              <w:rPr>
                <w:rFonts w:ascii="Arial" w:hAnsi="Arial" w:cs="Arial"/>
                <w:b/>
                <w:bCs/>
                <w:sz w:val="20"/>
                <w:szCs w:val="20"/>
                <w:lang w:val="en-IN"/>
              </w:rPr>
            </w:pPr>
            <w:r w:rsidRPr="00B33DB7">
              <w:rPr>
                <w:rFonts w:ascii="Arial" w:hAnsi="Arial" w:cs="Arial"/>
                <w:b/>
                <w:bCs/>
                <w:sz w:val="20"/>
                <w:szCs w:val="20"/>
                <w:lang w:val="en-IN"/>
              </w:rPr>
              <w:t>Log-likelihood</w:t>
            </w:r>
          </w:p>
        </w:tc>
        <w:tc>
          <w:tcPr>
            <w:tcW w:w="4212" w:type="dxa"/>
          </w:tcPr>
          <w:p w14:paraId="0214D58B" w14:textId="77777777" w:rsidR="00B87B03" w:rsidRPr="00575196" w:rsidRDefault="00B87B03" w:rsidP="00575196">
            <w:pPr>
              <w:pStyle w:val="Body"/>
              <w:jc w:val="center"/>
              <w:rPr>
                <w:rFonts w:ascii="Arial" w:hAnsi="Arial" w:cs="Arial"/>
                <w:sz w:val="20"/>
                <w:szCs w:val="20"/>
                <w:lang w:val="en-IN"/>
              </w:rPr>
            </w:pPr>
            <w:r w:rsidRPr="00575196">
              <w:rPr>
                <w:rFonts w:ascii="Arial" w:hAnsi="Arial" w:cs="Arial"/>
                <w:sz w:val="20"/>
                <w:szCs w:val="20"/>
                <w:lang w:val="en-IN"/>
              </w:rPr>
              <w:t>203.99</w:t>
            </w:r>
          </w:p>
        </w:tc>
      </w:tr>
      <w:tr w:rsidR="00B87B03" w:rsidRPr="00B87B03" w14:paraId="0C6A3143" w14:textId="77777777">
        <w:tc>
          <w:tcPr>
            <w:tcW w:w="4212" w:type="dxa"/>
          </w:tcPr>
          <w:p w14:paraId="5E9C0EEA" w14:textId="77777777" w:rsidR="00B87B03" w:rsidRPr="00B33DB7" w:rsidRDefault="00B87B03" w:rsidP="00575196">
            <w:pPr>
              <w:pStyle w:val="Body"/>
              <w:jc w:val="center"/>
              <w:rPr>
                <w:rFonts w:ascii="Arial" w:hAnsi="Arial" w:cs="Arial"/>
                <w:b/>
                <w:bCs/>
                <w:sz w:val="20"/>
                <w:szCs w:val="20"/>
                <w:lang w:val="en-IN"/>
              </w:rPr>
            </w:pPr>
            <w:r w:rsidRPr="00B33DB7">
              <w:rPr>
                <w:rFonts w:ascii="Arial" w:hAnsi="Arial" w:cs="Arial"/>
                <w:b/>
                <w:bCs/>
                <w:sz w:val="20"/>
                <w:szCs w:val="20"/>
                <w:lang w:val="en-IN"/>
              </w:rPr>
              <w:t>Number of observations</w:t>
            </w:r>
          </w:p>
        </w:tc>
        <w:tc>
          <w:tcPr>
            <w:tcW w:w="4212" w:type="dxa"/>
          </w:tcPr>
          <w:p w14:paraId="23F5166E" w14:textId="77777777" w:rsidR="00B87B03" w:rsidRPr="00575196" w:rsidRDefault="00B87B03" w:rsidP="00575196">
            <w:pPr>
              <w:pStyle w:val="Body"/>
              <w:jc w:val="center"/>
              <w:rPr>
                <w:rFonts w:ascii="Arial" w:hAnsi="Arial" w:cs="Arial"/>
                <w:sz w:val="20"/>
                <w:szCs w:val="20"/>
                <w:lang w:val="en-IN"/>
              </w:rPr>
            </w:pPr>
            <w:r w:rsidRPr="00575196">
              <w:rPr>
                <w:rFonts w:ascii="Arial" w:hAnsi="Arial" w:cs="Arial"/>
                <w:sz w:val="20"/>
                <w:szCs w:val="20"/>
                <w:lang w:val="en-IN"/>
              </w:rPr>
              <w:t>80</w:t>
            </w:r>
          </w:p>
        </w:tc>
      </w:tr>
      <w:tr w:rsidR="00B87B03" w:rsidRPr="00B87B03" w14:paraId="63439920" w14:textId="77777777">
        <w:tc>
          <w:tcPr>
            <w:tcW w:w="4212" w:type="dxa"/>
          </w:tcPr>
          <w:p w14:paraId="60F08CC3" w14:textId="77777777" w:rsidR="00B87B03" w:rsidRPr="00B33DB7" w:rsidRDefault="00B87B03" w:rsidP="00575196">
            <w:pPr>
              <w:pStyle w:val="Body"/>
              <w:spacing w:after="0"/>
              <w:jc w:val="center"/>
              <w:rPr>
                <w:rFonts w:ascii="Arial" w:hAnsi="Arial" w:cs="Arial"/>
                <w:b/>
                <w:bCs/>
                <w:sz w:val="20"/>
                <w:szCs w:val="20"/>
                <w:lang w:val="en-IN"/>
              </w:rPr>
            </w:pPr>
            <w:r w:rsidRPr="00B33DB7">
              <w:rPr>
                <w:rFonts w:ascii="Arial" w:hAnsi="Arial" w:cs="Arial"/>
                <w:b/>
                <w:bCs/>
                <w:sz w:val="20"/>
                <w:szCs w:val="20"/>
                <w:lang w:val="en-IN"/>
              </w:rPr>
              <w:t>Mean technical efficiency</w:t>
            </w:r>
          </w:p>
        </w:tc>
        <w:tc>
          <w:tcPr>
            <w:tcW w:w="4212" w:type="dxa"/>
          </w:tcPr>
          <w:p w14:paraId="0755023D" w14:textId="77777777" w:rsidR="00B87B03" w:rsidRPr="00575196" w:rsidRDefault="00B87B03" w:rsidP="00575196">
            <w:pPr>
              <w:pStyle w:val="Body"/>
              <w:spacing w:after="0"/>
              <w:jc w:val="center"/>
              <w:rPr>
                <w:rFonts w:ascii="Arial" w:hAnsi="Arial" w:cs="Arial"/>
                <w:sz w:val="20"/>
                <w:szCs w:val="20"/>
                <w:lang w:val="en-IN"/>
              </w:rPr>
            </w:pPr>
            <w:r w:rsidRPr="00575196">
              <w:rPr>
                <w:rFonts w:ascii="Arial" w:hAnsi="Arial" w:cs="Arial"/>
                <w:sz w:val="20"/>
                <w:szCs w:val="20"/>
                <w:lang w:val="en-IN"/>
              </w:rPr>
              <w:t>0.9749</w:t>
            </w:r>
          </w:p>
        </w:tc>
      </w:tr>
    </w:tbl>
    <w:p w14:paraId="24DFA159" w14:textId="77777777" w:rsidR="00575196" w:rsidRDefault="00575196" w:rsidP="00A47A53">
      <w:pPr>
        <w:pStyle w:val="Body"/>
        <w:spacing w:after="0"/>
        <w:rPr>
          <w:rFonts w:ascii="Arial" w:hAnsi="Arial" w:cs="Arial"/>
          <w:b/>
          <w:bCs/>
          <w:i/>
          <w:iCs/>
          <w:lang w:val="en-IN"/>
        </w:rPr>
      </w:pPr>
    </w:p>
    <w:p w14:paraId="7F7D4CF1" w14:textId="77777777" w:rsidR="00575196" w:rsidRDefault="00575196" w:rsidP="00A47A53">
      <w:pPr>
        <w:pStyle w:val="Body"/>
        <w:spacing w:after="0"/>
        <w:rPr>
          <w:rFonts w:ascii="Arial" w:hAnsi="Arial" w:cs="Arial"/>
          <w:b/>
          <w:bCs/>
          <w:i/>
          <w:iCs/>
          <w:lang w:val="en-IN"/>
        </w:rPr>
      </w:pPr>
    </w:p>
    <w:p w14:paraId="5C5ED273" w14:textId="323D94AC" w:rsidR="00A47A53" w:rsidRDefault="00A47A53" w:rsidP="00A47A53">
      <w:pPr>
        <w:pStyle w:val="Body"/>
        <w:spacing w:after="0"/>
        <w:rPr>
          <w:rFonts w:ascii="Arial" w:hAnsi="Arial" w:cs="Arial"/>
          <w:b/>
          <w:bCs/>
          <w:i/>
          <w:iCs/>
          <w:lang w:val="en-IN"/>
        </w:rPr>
      </w:pPr>
      <w:r w:rsidRPr="00A47A53">
        <w:rPr>
          <w:rFonts w:ascii="Arial" w:hAnsi="Arial" w:cs="Arial"/>
          <w:b/>
          <w:bCs/>
          <w:i/>
          <w:iCs/>
          <w:lang w:val="en-IN"/>
        </w:rPr>
        <w:t>3.3 Determinants of Technical Efficiency</w:t>
      </w:r>
    </w:p>
    <w:p w14:paraId="70184F23" w14:textId="77777777" w:rsidR="00B26359" w:rsidRPr="00DC6BD1" w:rsidRDefault="00B26359" w:rsidP="00A47A53">
      <w:pPr>
        <w:pStyle w:val="Body"/>
        <w:spacing w:after="0"/>
        <w:rPr>
          <w:rFonts w:ascii="Arial" w:hAnsi="Arial" w:cs="Arial"/>
          <w:b/>
          <w:bCs/>
          <w:i/>
          <w:iCs/>
          <w:lang w:val="en-IN"/>
        </w:rPr>
      </w:pPr>
    </w:p>
    <w:p w14:paraId="4A9733F3" w14:textId="77777777" w:rsidR="00DC6BD1" w:rsidRPr="00A47A53" w:rsidRDefault="00DC6BD1" w:rsidP="00A47A53">
      <w:pPr>
        <w:pStyle w:val="Body"/>
        <w:spacing w:after="0"/>
        <w:rPr>
          <w:rFonts w:ascii="Arial" w:hAnsi="Arial" w:cs="Arial"/>
          <w:b/>
          <w:bCs/>
          <w:lang w:val="en-IN"/>
        </w:rPr>
      </w:pPr>
    </w:p>
    <w:p w14:paraId="75466F8F" w14:textId="77777777" w:rsidR="00ED19DE" w:rsidRDefault="00ED19DE" w:rsidP="00ED19DE">
      <w:pPr>
        <w:pStyle w:val="Body"/>
        <w:spacing w:after="0"/>
        <w:rPr>
          <w:rFonts w:ascii="Arial" w:hAnsi="Arial" w:cs="Arial"/>
          <w:lang w:val="en-IN"/>
        </w:rPr>
      </w:pPr>
      <w:r w:rsidRPr="00ED19DE">
        <w:rPr>
          <w:rFonts w:ascii="Arial" w:hAnsi="Arial" w:cs="Arial"/>
          <w:lang w:val="en-IN"/>
        </w:rPr>
        <w:t>The determinants of technical efficiency were examined using the Tobit regression model, considering that efficiency scores were bounded between zero and one. The model was estimated using maximum likelihood estimation and converged satisfactorily after two iterations, indicating stability of the estimation procedure. The intercept term was positive and highly significant (0.9778; z = 109.29, p &lt; 0.01), reflecting the overall high level of efficiency observed among the sampled farms.</w:t>
      </w:r>
    </w:p>
    <w:p w14:paraId="7D130E7E" w14:textId="77777777" w:rsidR="00ED19DE" w:rsidRPr="00ED19DE" w:rsidRDefault="00ED19DE" w:rsidP="00ED19DE">
      <w:pPr>
        <w:pStyle w:val="Body"/>
        <w:spacing w:after="0"/>
        <w:rPr>
          <w:rFonts w:ascii="Arial" w:hAnsi="Arial" w:cs="Arial"/>
          <w:lang w:val="en-IN"/>
        </w:rPr>
      </w:pPr>
    </w:p>
    <w:p w14:paraId="2A32A49B" w14:textId="77777777" w:rsidR="00ED19DE" w:rsidRDefault="00ED19DE" w:rsidP="00ED19DE">
      <w:pPr>
        <w:pStyle w:val="Body"/>
        <w:spacing w:after="0"/>
        <w:rPr>
          <w:rFonts w:ascii="Arial" w:hAnsi="Arial" w:cs="Arial"/>
          <w:lang w:val="en-IN"/>
        </w:rPr>
      </w:pPr>
      <w:r w:rsidRPr="00ED19DE">
        <w:rPr>
          <w:rFonts w:ascii="Arial" w:hAnsi="Arial" w:cs="Arial"/>
          <w:lang w:val="en-IN"/>
        </w:rPr>
        <w:t xml:space="preserve">The estimated coefficients of the explanatory variables—farm size, age, and labour availability—were all found to be statistically insignificant at conventional levels. Farm size exhibited a negative coefficient (-0.0031) with a p-value of 0.741, indicating that variations in landholding did not significantly influence technical efficiency. Similarly, age (-0.000062; p = </w:t>
      </w:r>
      <w:r w:rsidRPr="00ED19DE">
        <w:rPr>
          <w:rFonts w:ascii="Arial" w:hAnsi="Arial" w:cs="Arial"/>
          <w:lang w:val="en-IN"/>
        </w:rPr>
        <w:lastRenderedPageBreak/>
        <w:t>0.793) and labour availability (-0.000664; p = 0.812) were also found to have negligible and statistically insignificant effects on efficiency. The negative signs of the coefficients, although not meaningful due to lack of significance, suggest the absence of systematic improvement in efficiency with respect to these variables.</w:t>
      </w:r>
    </w:p>
    <w:p w14:paraId="662E9DF3" w14:textId="77777777" w:rsidR="00ED19DE" w:rsidRPr="00ED19DE" w:rsidRDefault="00ED19DE" w:rsidP="00ED19DE">
      <w:pPr>
        <w:pStyle w:val="Body"/>
        <w:spacing w:after="0"/>
        <w:rPr>
          <w:rFonts w:ascii="Arial" w:hAnsi="Arial" w:cs="Arial"/>
          <w:lang w:val="en-IN"/>
        </w:rPr>
      </w:pPr>
    </w:p>
    <w:p w14:paraId="73E19843" w14:textId="77777777" w:rsidR="00ED19DE" w:rsidRDefault="00ED19DE" w:rsidP="00ED19DE">
      <w:pPr>
        <w:pStyle w:val="Body"/>
        <w:spacing w:after="0"/>
        <w:rPr>
          <w:rFonts w:ascii="Arial" w:hAnsi="Arial" w:cs="Arial"/>
          <w:lang w:val="en-IN"/>
        </w:rPr>
      </w:pPr>
      <w:r w:rsidRPr="00ED19DE">
        <w:rPr>
          <w:rFonts w:ascii="Arial" w:hAnsi="Arial" w:cs="Arial"/>
          <w:lang w:val="en-IN"/>
        </w:rPr>
        <w:t>At the model level, the Wald statistic (0.1096) with a corresponding p-value of 0.7406 indicated that the explanatory variables included in the model jointly failed to explain variations in technical efficiency. The log-likelihood value of the model was estimated at 181.60. The estimated scale parameter (0.025) indicated low dispersion in efficiency scores, suggesting that the observed efficiency levels were highly concentrated.</w:t>
      </w:r>
    </w:p>
    <w:p w14:paraId="140CE403" w14:textId="77777777" w:rsidR="00ED19DE" w:rsidRPr="00ED19DE" w:rsidRDefault="00ED19DE" w:rsidP="00ED19DE">
      <w:pPr>
        <w:pStyle w:val="Body"/>
        <w:spacing w:after="0"/>
        <w:rPr>
          <w:rFonts w:ascii="Arial" w:hAnsi="Arial" w:cs="Arial"/>
          <w:lang w:val="en-IN"/>
        </w:rPr>
      </w:pPr>
    </w:p>
    <w:p w14:paraId="4B2FF00A" w14:textId="479FD32F" w:rsidR="00ED19DE" w:rsidRPr="00ED19DE" w:rsidRDefault="00ED19DE" w:rsidP="00ED19DE">
      <w:pPr>
        <w:pStyle w:val="Body"/>
        <w:spacing w:after="0"/>
        <w:rPr>
          <w:rFonts w:ascii="Arial" w:hAnsi="Arial" w:cs="Arial"/>
          <w:lang w:val="en-IN"/>
        </w:rPr>
      </w:pPr>
      <w:r w:rsidRPr="00ED19DE">
        <w:rPr>
          <w:rFonts w:ascii="Arial" w:hAnsi="Arial" w:cs="Arial"/>
          <w:lang w:val="en-IN"/>
        </w:rPr>
        <w:t>Further, the absence of left- or right-censored observations (all 80 observations uncensored) indicated that efficiency scores were distributed strictly within the interior of the (0,1) interval. This reflects a high degree of homogeneity among farms in terms of efficiency levels.</w:t>
      </w:r>
      <w:r>
        <w:rPr>
          <w:rFonts w:ascii="Arial" w:hAnsi="Arial" w:cs="Arial"/>
          <w:lang w:val="en-IN"/>
        </w:rPr>
        <w:t xml:space="preserve"> </w:t>
      </w:r>
      <w:r w:rsidRPr="00ED19DE">
        <w:rPr>
          <w:rFonts w:ascii="Arial" w:hAnsi="Arial" w:cs="Arial"/>
          <w:lang w:val="en-IN"/>
        </w:rPr>
        <w:t>The lack of statistically significant determinants may be attributed to the high mean technical efficiency (97.5 per cent) observed from the stochastic frontier analysis, which results in limited variability in efficiency scores. As most farms operate close to the production frontier, variations in socio-economic characteristics such as farm size, age, and labour availability do not translate into meaningful differences in efficiency. This finding suggest</w:t>
      </w:r>
      <w:r w:rsidR="00D47FFA">
        <w:rPr>
          <w:rFonts w:ascii="Arial" w:hAnsi="Arial" w:cs="Arial"/>
          <w:lang w:val="en-IN"/>
        </w:rPr>
        <w:t>ed</w:t>
      </w:r>
      <w:r w:rsidRPr="00ED19DE">
        <w:rPr>
          <w:rFonts w:ascii="Arial" w:hAnsi="Arial" w:cs="Arial"/>
          <w:lang w:val="en-IN"/>
        </w:rPr>
        <w:t xml:space="preserve"> that technical efficiency in off-season cabbage production </w:t>
      </w:r>
      <w:r w:rsidR="00D47FFA">
        <w:rPr>
          <w:rFonts w:ascii="Arial" w:hAnsi="Arial" w:cs="Arial"/>
          <w:lang w:val="en-IN"/>
        </w:rPr>
        <w:t>was</w:t>
      </w:r>
      <w:r w:rsidRPr="00ED19DE">
        <w:rPr>
          <w:rFonts w:ascii="Arial" w:hAnsi="Arial" w:cs="Arial"/>
          <w:lang w:val="en-IN"/>
        </w:rPr>
        <w:t xml:space="preserve"> largely independent of these factors and </w:t>
      </w:r>
      <w:r w:rsidR="00D47FFA">
        <w:rPr>
          <w:rFonts w:ascii="Arial" w:hAnsi="Arial" w:cs="Arial"/>
          <w:lang w:val="en-IN"/>
        </w:rPr>
        <w:t>was</w:t>
      </w:r>
      <w:r w:rsidRPr="00ED19DE">
        <w:rPr>
          <w:rFonts w:ascii="Arial" w:hAnsi="Arial" w:cs="Arial"/>
          <w:lang w:val="en-IN"/>
        </w:rPr>
        <w:t xml:space="preserve"> more closely associated with farm-level management practices rather than structural or demographic characteristics.</w:t>
      </w:r>
    </w:p>
    <w:p w14:paraId="45F03BD6" w14:textId="77777777" w:rsidR="00ED19DE" w:rsidRDefault="00ED19DE" w:rsidP="00A47A53">
      <w:pPr>
        <w:pStyle w:val="Body"/>
        <w:spacing w:after="0"/>
        <w:rPr>
          <w:rFonts w:ascii="Arial" w:hAnsi="Arial" w:cs="Arial"/>
          <w:lang w:val="en-IN"/>
        </w:rPr>
      </w:pPr>
    </w:p>
    <w:p w14:paraId="2A6EB1B9" w14:textId="77777777" w:rsidR="00191ECD" w:rsidRDefault="00191ECD" w:rsidP="00A47A53">
      <w:pPr>
        <w:pStyle w:val="Body"/>
        <w:spacing w:after="0"/>
        <w:rPr>
          <w:rFonts w:ascii="Arial" w:hAnsi="Arial" w:cs="Arial"/>
          <w:lang w:val="en-IN"/>
        </w:rPr>
      </w:pPr>
    </w:p>
    <w:p w14:paraId="17994993" w14:textId="5D45ECDA" w:rsidR="00F25F3C" w:rsidRDefault="00975B5A" w:rsidP="00441B6F">
      <w:pPr>
        <w:pStyle w:val="Body"/>
        <w:spacing w:after="0"/>
        <w:rPr>
          <w:rFonts w:ascii="Arial" w:hAnsi="Arial" w:cs="Arial"/>
          <w:b/>
          <w:bCs/>
        </w:rPr>
      </w:pPr>
      <w:r w:rsidRPr="00975B5A">
        <w:rPr>
          <w:rFonts w:ascii="Arial" w:hAnsi="Arial" w:cs="Arial"/>
          <w:b/>
          <w:bCs/>
        </w:rPr>
        <w:t xml:space="preserve">Table </w:t>
      </w:r>
      <w:r w:rsidR="005C17B9">
        <w:rPr>
          <w:rFonts w:ascii="Arial" w:hAnsi="Arial" w:cs="Arial"/>
          <w:b/>
          <w:bCs/>
        </w:rPr>
        <w:t>6</w:t>
      </w:r>
      <w:r w:rsidRPr="00975B5A">
        <w:rPr>
          <w:rFonts w:ascii="Arial" w:hAnsi="Arial" w:cs="Arial"/>
          <w:b/>
          <w:bCs/>
        </w:rPr>
        <w:t xml:space="preserve">- Tobit Regression Estimates of Determinants of Technical Efficiency </w:t>
      </w:r>
    </w:p>
    <w:p w14:paraId="4ED4AD3F" w14:textId="77777777" w:rsidR="00191ECD" w:rsidRDefault="00191ECD" w:rsidP="00441B6F">
      <w:pPr>
        <w:pStyle w:val="Body"/>
        <w:spacing w:after="0"/>
        <w:rPr>
          <w:rFonts w:ascii="Arial" w:hAnsi="Arial" w:cs="Arial"/>
          <w:b/>
          <w:bCs/>
        </w:rPr>
      </w:pPr>
    </w:p>
    <w:tbl>
      <w:tblPr>
        <w:tblStyle w:val="TableGrid"/>
        <w:tblW w:w="0" w:type="auto"/>
        <w:tblLook w:val="04A0" w:firstRow="1" w:lastRow="0" w:firstColumn="1" w:lastColumn="0" w:noHBand="0" w:noVBand="1"/>
      </w:tblPr>
      <w:tblGrid>
        <w:gridCol w:w="1684"/>
        <w:gridCol w:w="1685"/>
        <w:gridCol w:w="1685"/>
        <w:gridCol w:w="1685"/>
        <w:gridCol w:w="1685"/>
      </w:tblGrid>
      <w:tr w:rsidR="00191ECD" w:rsidRPr="000908FF" w14:paraId="744681FA" w14:textId="77777777" w:rsidTr="000908FF">
        <w:tc>
          <w:tcPr>
            <w:tcW w:w="1684" w:type="dxa"/>
          </w:tcPr>
          <w:p w14:paraId="302E12C6"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Variables</w:t>
            </w:r>
          </w:p>
        </w:tc>
        <w:tc>
          <w:tcPr>
            <w:tcW w:w="1685" w:type="dxa"/>
          </w:tcPr>
          <w:p w14:paraId="72931383"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Coefficient</w:t>
            </w:r>
          </w:p>
        </w:tc>
        <w:tc>
          <w:tcPr>
            <w:tcW w:w="1685" w:type="dxa"/>
          </w:tcPr>
          <w:p w14:paraId="0F6083C6"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Std. Error</w:t>
            </w:r>
          </w:p>
        </w:tc>
        <w:tc>
          <w:tcPr>
            <w:tcW w:w="1685" w:type="dxa"/>
          </w:tcPr>
          <w:p w14:paraId="04AC0E16"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z-value</w:t>
            </w:r>
          </w:p>
        </w:tc>
        <w:tc>
          <w:tcPr>
            <w:tcW w:w="1685" w:type="dxa"/>
          </w:tcPr>
          <w:p w14:paraId="57A51C96"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p-value</w:t>
            </w:r>
          </w:p>
        </w:tc>
      </w:tr>
      <w:tr w:rsidR="00191ECD" w:rsidRPr="000908FF" w14:paraId="4AEC23F2" w14:textId="77777777" w:rsidTr="000908FF">
        <w:tc>
          <w:tcPr>
            <w:tcW w:w="1684" w:type="dxa"/>
          </w:tcPr>
          <w:p w14:paraId="4FF54BB4"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Intercept</w:t>
            </w:r>
          </w:p>
        </w:tc>
        <w:tc>
          <w:tcPr>
            <w:tcW w:w="1685" w:type="dxa"/>
          </w:tcPr>
          <w:p w14:paraId="10662A36" w14:textId="22780032"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0.977</w:t>
            </w:r>
          </w:p>
        </w:tc>
        <w:tc>
          <w:tcPr>
            <w:tcW w:w="1685" w:type="dxa"/>
          </w:tcPr>
          <w:p w14:paraId="3A6E09B9" w14:textId="1C3A70B3"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0.008</w:t>
            </w:r>
          </w:p>
        </w:tc>
        <w:tc>
          <w:tcPr>
            <w:tcW w:w="1685" w:type="dxa"/>
          </w:tcPr>
          <w:p w14:paraId="2A77C936"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109.29</w:t>
            </w:r>
          </w:p>
        </w:tc>
        <w:tc>
          <w:tcPr>
            <w:tcW w:w="1685" w:type="dxa"/>
          </w:tcPr>
          <w:p w14:paraId="506EEFA3"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0.000***</w:t>
            </w:r>
          </w:p>
        </w:tc>
      </w:tr>
      <w:tr w:rsidR="00191ECD" w:rsidRPr="000908FF" w14:paraId="7A0607FF" w14:textId="77777777" w:rsidTr="000908FF">
        <w:tc>
          <w:tcPr>
            <w:tcW w:w="1684" w:type="dxa"/>
          </w:tcPr>
          <w:p w14:paraId="602BCBAF"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Farm size</w:t>
            </w:r>
          </w:p>
        </w:tc>
        <w:tc>
          <w:tcPr>
            <w:tcW w:w="1685" w:type="dxa"/>
          </w:tcPr>
          <w:p w14:paraId="0B31F170" w14:textId="70AC4CD6"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-0.003</w:t>
            </w:r>
          </w:p>
        </w:tc>
        <w:tc>
          <w:tcPr>
            <w:tcW w:w="1685" w:type="dxa"/>
          </w:tcPr>
          <w:p w14:paraId="160808A4" w14:textId="090251DB"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0.009</w:t>
            </w:r>
          </w:p>
        </w:tc>
        <w:tc>
          <w:tcPr>
            <w:tcW w:w="1685" w:type="dxa"/>
          </w:tcPr>
          <w:p w14:paraId="4D4042D6"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-0.33</w:t>
            </w:r>
          </w:p>
        </w:tc>
        <w:tc>
          <w:tcPr>
            <w:tcW w:w="1685" w:type="dxa"/>
          </w:tcPr>
          <w:p w14:paraId="3550DB9E"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0.741</w:t>
            </w:r>
          </w:p>
        </w:tc>
      </w:tr>
      <w:tr w:rsidR="00191ECD" w:rsidRPr="000908FF" w14:paraId="58C726DB" w14:textId="77777777" w:rsidTr="000908FF">
        <w:tc>
          <w:tcPr>
            <w:tcW w:w="1684" w:type="dxa"/>
          </w:tcPr>
          <w:p w14:paraId="546DCC67"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Age</w:t>
            </w:r>
          </w:p>
        </w:tc>
        <w:tc>
          <w:tcPr>
            <w:tcW w:w="1685" w:type="dxa"/>
          </w:tcPr>
          <w:p w14:paraId="1347748C" w14:textId="08E1C10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-0.000</w:t>
            </w:r>
          </w:p>
        </w:tc>
        <w:tc>
          <w:tcPr>
            <w:tcW w:w="1685" w:type="dxa"/>
          </w:tcPr>
          <w:p w14:paraId="374ECC44" w14:textId="390AF555"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0.000</w:t>
            </w:r>
          </w:p>
        </w:tc>
        <w:tc>
          <w:tcPr>
            <w:tcW w:w="1685" w:type="dxa"/>
          </w:tcPr>
          <w:p w14:paraId="64FF2963"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-0.26</w:t>
            </w:r>
          </w:p>
        </w:tc>
        <w:tc>
          <w:tcPr>
            <w:tcW w:w="1685" w:type="dxa"/>
          </w:tcPr>
          <w:p w14:paraId="2BE3AF41"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0.793</w:t>
            </w:r>
          </w:p>
        </w:tc>
      </w:tr>
      <w:tr w:rsidR="00191ECD" w:rsidRPr="000908FF" w14:paraId="1770B65E" w14:textId="77777777" w:rsidTr="000908FF">
        <w:tc>
          <w:tcPr>
            <w:tcW w:w="1684" w:type="dxa"/>
          </w:tcPr>
          <w:p w14:paraId="6B2A7C05" w14:textId="575C4654"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Labor availability</w:t>
            </w:r>
          </w:p>
        </w:tc>
        <w:tc>
          <w:tcPr>
            <w:tcW w:w="1685" w:type="dxa"/>
          </w:tcPr>
          <w:p w14:paraId="57E4AB33" w14:textId="1FB99E6D"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-0.000</w:t>
            </w:r>
          </w:p>
        </w:tc>
        <w:tc>
          <w:tcPr>
            <w:tcW w:w="1685" w:type="dxa"/>
          </w:tcPr>
          <w:p w14:paraId="7A88A634" w14:textId="74728F40"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0.002</w:t>
            </w:r>
          </w:p>
        </w:tc>
        <w:tc>
          <w:tcPr>
            <w:tcW w:w="1685" w:type="dxa"/>
          </w:tcPr>
          <w:p w14:paraId="675D218F"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-0.24</w:t>
            </w:r>
          </w:p>
        </w:tc>
        <w:tc>
          <w:tcPr>
            <w:tcW w:w="1685" w:type="dxa"/>
          </w:tcPr>
          <w:p w14:paraId="7ADD50C6"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0.812</w:t>
            </w:r>
          </w:p>
        </w:tc>
      </w:tr>
      <w:tr w:rsidR="00191ECD" w:rsidRPr="000908FF" w14:paraId="6FE9C18F" w14:textId="77777777" w:rsidTr="000908FF">
        <w:tc>
          <w:tcPr>
            <w:tcW w:w="1684" w:type="dxa"/>
          </w:tcPr>
          <w:p w14:paraId="5A10E021" w14:textId="77777777" w:rsidR="00191ECD" w:rsidRPr="000908FF" w:rsidRDefault="00191ECD" w:rsidP="000908FF">
            <w:pPr>
              <w:pStyle w:val="Body"/>
              <w:spacing w:after="0"/>
              <w:jc w:val="center"/>
              <w:rPr>
                <w:rFonts w:ascii="Arial" w:hAnsi="Arial" w:cs="Arial"/>
                <w:b/>
                <w:bCs/>
                <w:sz w:val="20"/>
                <w:szCs w:val="20"/>
              </w:rPr>
            </w:pPr>
            <w:r w:rsidRPr="000908FF">
              <w:rPr>
                <w:rFonts w:ascii="Arial" w:hAnsi="Arial" w:cs="Arial"/>
                <w:b/>
                <w:bCs/>
                <w:sz w:val="20"/>
                <w:szCs w:val="20"/>
              </w:rPr>
              <w:t>Log(scale)</w:t>
            </w:r>
          </w:p>
        </w:tc>
        <w:tc>
          <w:tcPr>
            <w:tcW w:w="1685" w:type="dxa"/>
          </w:tcPr>
          <w:p w14:paraId="547343BA" w14:textId="2EFF8913" w:rsidR="00191ECD" w:rsidRPr="000908FF" w:rsidRDefault="00191ECD" w:rsidP="000908FF">
            <w:pPr>
              <w:pStyle w:val="Body"/>
              <w:spacing w:after="0"/>
              <w:jc w:val="center"/>
              <w:rPr>
                <w:rFonts w:ascii="Arial" w:hAnsi="Arial" w:cs="Arial"/>
                <w:sz w:val="20"/>
                <w:szCs w:val="20"/>
              </w:rPr>
            </w:pPr>
            <w:r w:rsidRPr="000908FF">
              <w:rPr>
                <w:rFonts w:ascii="Arial" w:hAnsi="Arial" w:cs="Arial"/>
                <w:sz w:val="20"/>
                <w:szCs w:val="20"/>
              </w:rPr>
              <w:t>-3.688</w:t>
            </w:r>
          </w:p>
        </w:tc>
        <w:tc>
          <w:tcPr>
            <w:tcW w:w="1685" w:type="dxa"/>
          </w:tcPr>
          <w:p w14:paraId="64FA2C6E" w14:textId="69EE6E21" w:rsidR="00191ECD" w:rsidRPr="000908FF" w:rsidRDefault="00191ECD" w:rsidP="000908FF">
            <w:pPr>
              <w:pStyle w:val="Body"/>
              <w:spacing w:after="0"/>
              <w:jc w:val="center"/>
              <w:rPr>
                <w:rFonts w:ascii="Arial" w:hAnsi="Arial" w:cs="Arial"/>
                <w:sz w:val="20"/>
                <w:szCs w:val="20"/>
              </w:rPr>
            </w:pPr>
            <w:r w:rsidRPr="000908FF">
              <w:rPr>
                <w:rFonts w:ascii="Arial" w:hAnsi="Arial" w:cs="Arial"/>
                <w:sz w:val="20"/>
                <w:szCs w:val="20"/>
              </w:rPr>
              <w:t>0.079</w:t>
            </w:r>
          </w:p>
        </w:tc>
        <w:tc>
          <w:tcPr>
            <w:tcW w:w="1685" w:type="dxa"/>
          </w:tcPr>
          <w:p w14:paraId="6C876D72" w14:textId="77777777" w:rsidR="00191ECD" w:rsidRPr="000908FF" w:rsidRDefault="00191ECD" w:rsidP="000908FF">
            <w:pPr>
              <w:pStyle w:val="Body"/>
              <w:spacing w:after="0"/>
              <w:jc w:val="center"/>
              <w:rPr>
                <w:rFonts w:ascii="Arial" w:hAnsi="Arial" w:cs="Arial"/>
                <w:sz w:val="20"/>
                <w:szCs w:val="20"/>
              </w:rPr>
            </w:pPr>
            <w:r w:rsidRPr="000908FF">
              <w:rPr>
                <w:rFonts w:ascii="Arial" w:hAnsi="Arial" w:cs="Arial"/>
                <w:sz w:val="20"/>
                <w:szCs w:val="20"/>
              </w:rPr>
              <w:t>-46.66</w:t>
            </w:r>
          </w:p>
        </w:tc>
        <w:tc>
          <w:tcPr>
            <w:tcW w:w="1685" w:type="dxa"/>
          </w:tcPr>
          <w:p w14:paraId="227EA76D" w14:textId="77777777" w:rsidR="00191ECD" w:rsidRPr="000908FF" w:rsidRDefault="00191ECD" w:rsidP="000908FF">
            <w:pPr>
              <w:pStyle w:val="Body"/>
              <w:spacing w:after="0"/>
              <w:jc w:val="center"/>
              <w:rPr>
                <w:rFonts w:ascii="Arial" w:hAnsi="Arial" w:cs="Arial"/>
                <w:sz w:val="20"/>
                <w:szCs w:val="20"/>
              </w:rPr>
            </w:pPr>
            <w:r w:rsidRPr="000908FF">
              <w:rPr>
                <w:rFonts w:ascii="Arial" w:hAnsi="Arial" w:cs="Arial"/>
                <w:sz w:val="20"/>
                <w:szCs w:val="20"/>
              </w:rPr>
              <w:t>0.000***</w:t>
            </w:r>
          </w:p>
        </w:tc>
      </w:tr>
    </w:tbl>
    <w:p w14:paraId="4A9B0027" w14:textId="77777777" w:rsidR="00975B5A" w:rsidRDefault="00975B5A" w:rsidP="00441B6F">
      <w:pPr>
        <w:pStyle w:val="Body"/>
        <w:spacing w:after="0"/>
        <w:rPr>
          <w:rFonts w:ascii="Arial" w:hAnsi="Arial" w:cs="Arial"/>
        </w:rPr>
      </w:pPr>
    </w:p>
    <w:p w14:paraId="47AB6F46" w14:textId="481B8945" w:rsidR="00D2178C" w:rsidRPr="00BA58CE" w:rsidRDefault="00BA58CE" w:rsidP="00BA58CE">
      <w:pPr>
        <w:rPr>
          <w:rFonts w:ascii="Arial" w:hAnsi="Arial" w:cs="Arial"/>
          <w:b/>
          <w:bCs/>
          <w:lang w:val="en-IN"/>
        </w:rPr>
      </w:pPr>
      <w:r w:rsidRPr="003C08C1">
        <w:rPr>
          <w:rFonts w:ascii="Arial" w:hAnsi="Arial" w:cs="Arial"/>
          <w:b/>
          <w:bCs/>
          <w:lang w:val="en-IN"/>
        </w:rPr>
        <w:t>***, ** and * indicate significance at 1%, 5% and 10% levels, respectively</w:t>
      </w:r>
    </w:p>
    <w:p w14:paraId="05F37D67" w14:textId="77777777" w:rsidR="00F25F3C" w:rsidRDefault="00F25F3C" w:rsidP="00F25F3C">
      <w:pPr>
        <w:pStyle w:val="Body"/>
        <w:spacing w:after="0"/>
        <w:rPr>
          <w:rFonts w:ascii="Arial" w:hAnsi="Arial" w:cs="Arial"/>
        </w:rPr>
      </w:pPr>
    </w:p>
    <w:p w14:paraId="17DFCF31" w14:textId="77777777" w:rsidR="00333E12" w:rsidRDefault="00333E12" w:rsidP="00F25F3C">
      <w:pPr>
        <w:pStyle w:val="Body"/>
        <w:spacing w:after="0"/>
        <w:rPr>
          <w:rFonts w:ascii="Arial" w:hAnsi="Arial" w:cs="Arial"/>
        </w:rPr>
      </w:pPr>
    </w:p>
    <w:tbl>
      <w:tblPr>
        <w:tblStyle w:val="TableGrid"/>
        <w:tblW w:w="0" w:type="auto"/>
        <w:tblLook w:val="04A0" w:firstRow="1" w:lastRow="0" w:firstColumn="1" w:lastColumn="0" w:noHBand="0" w:noVBand="1"/>
      </w:tblPr>
      <w:tblGrid>
        <w:gridCol w:w="4212"/>
        <w:gridCol w:w="4212"/>
      </w:tblGrid>
      <w:tr w:rsidR="00D2178C" w:rsidRPr="00D2178C" w14:paraId="7A40842A" w14:textId="77777777">
        <w:tc>
          <w:tcPr>
            <w:tcW w:w="4212" w:type="dxa"/>
          </w:tcPr>
          <w:p w14:paraId="619E98F4" w14:textId="1F9CDDBE" w:rsidR="00D2178C" w:rsidRPr="00D2178C" w:rsidRDefault="00D2178C" w:rsidP="00D2178C">
            <w:pPr>
              <w:pStyle w:val="Body"/>
              <w:jc w:val="center"/>
              <w:rPr>
                <w:rFonts w:ascii="Arial" w:hAnsi="Arial" w:cs="Arial"/>
                <w:b/>
                <w:bCs/>
                <w:sz w:val="20"/>
                <w:szCs w:val="20"/>
              </w:rPr>
            </w:pPr>
            <w:r w:rsidRPr="00D2178C">
              <w:rPr>
                <w:rFonts w:ascii="Arial" w:hAnsi="Arial" w:cs="Arial"/>
                <w:b/>
                <w:bCs/>
                <w:sz w:val="20"/>
                <w:szCs w:val="20"/>
              </w:rPr>
              <w:t>Model diagnostics</w:t>
            </w:r>
          </w:p>
        </w:tc>
        <w:tc>
          <w:tcPr>
            <w:tcW w:w="4212" w:type="dxa"/>
          </w:tcPr>
          <w:p w14:paraId="1C5EC1E1" w14:textId="77777777" w:rsidR="00D2178C" w:rsidRPr="00D2178C" w:rsidRDefault="00D2178C" w:rsidP="00D2178C">
            <w:pPr>
              <w:pStyle w:val="Body"/>
              <w:jc w:val="center"/>
              <w:rPr>
                <w:rFonts w:ascii="Arial" w:hAnsi="Arial" w:cs="Arial"/>
                <w:b/>
                <w:bCs/>
                <w:sz w:val="20"/>
                <w:szCs w:val="20"/>
              </w:rPr>
            </w:pPr>
            <w:r w:rsidRPr="00D2178C">
              <w:rPr>
                <w:rFonts w:ascii="Arial" w:hAnsi="Arial" w:cs="Arial"/>
                <w:b/>
                <w:bCs/>
                <w:sz w:val="20"/>
                <w:szCs w:val="20"/>
              </w:rPr>
              <w:t>Value</w:t>
            </w:r>
          </w:p>
        </w:tc>
      </w:tr>
      <w:tr w:rsidR="00D2178C" w:rsidRPr="00D2178C" w14:paraId="4B16F1BA" w14:textId="77777777">
        <w:tc>
          <w:tcPr>
            <w:tcW w:w="4212" w:type="dxa"/>
          </w:tcPr>
          <w:p w14:paraId="181B3EA3" w14:textId="77777777"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Log-likelihood</w:t>
            </w:r>
          </w:p>
        </w:tc>
        <w:tc>
          <w:tcPr>
            <w:tcW w:w="4212" w:type="dxa"/>
          </w:tcPr>
          <w:p w14:paraId="683EC4F6" w14:textId="77777777"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181.60</w:t>
            </w:r>
          </w:p>
        </w:tc>
      </w:tr>
      <w:tr w:rsidR="00D2178C" w:rsidRPr="00D2178C" w14:paraId="2CFF7D47" w14:textId="77777777">
        <w:tc>
          <w:tcPr>
            <w:tcW w:w="4212" w:type="dxa"/>
          </w:tcPr>
          <w:p w14:paraId="4A4436AD" w14:textId="77777777"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Number of observations</w:t>
            </w:r>
          </w:p>
        </w:tc>
        <w:tc>
          <w:tcPr>
            <w:tcW w:w="4212" w:type="dxa"/>
          </w:tcPr>
          <w:p w14:paraId="35F256FA" w14:textId="77777777"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80</w:t>
            </w:r>
          </w:p>
        </w:tc>
      </w:tr>
      <w:tr w:rsidR="00D2178C" w:rsidRPr="00D2178C" w14:paraId="62C15DDB" w14:textId="77777777">
        <w:tc>
          <w:tcPr>
            <w:tcW w:w="4212" w:type="dxa"/>
          </w:tcPr>
          <w:p w14:paraId="6075D911" w14:textId="77777777"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Left-censored observations</w:t>
            </w:r>
          </w:p>
        </w:tc>
        <w:tc>
          <w:tcPr>
            <w:tcW w:w="4212" w:type="dxa"/>
          </w:tcPr>
          <w:p w14:paraId="24155DEF" w14:textId="77777777"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0</w:t>
            </w:r>
          </w:p>
        </w:tc>
      </w:tr>
      <w:tr w:rsidR="00D2178C" w:rsidRPr="00D2178C" w14:paraId="73B022EA" w14:textId="77777777">
        <w:tc>
          <w:tcPr>
            <w:tcW w:w="4212" w:type="dxa"/>
          </w:tcPr>
          <w:p w14:paraId="2F3A9811" w14:textId="77777777"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Right-censored observations</w:t>
            </w:r>
            <w:bookmarkStart w:id="0" w:name="_GoBack"/>
            <w:bookmarkEnd w:id="0"/>
          </w:p>
        </w:tc>
        <w:tc>
          <w:tcPr>
            <w:tcW w:w="4212" w:type="dxa"/>
          </w:tcPr>
          <w:p w14:paraId="75E8812A" w14:textId="77777777"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0</w:t>
            </w:r>
          </w:p>
        </w:tc>
      </w:tr>
      <w:tr w:rsidR="00D2178C" w:rsidRPr="00D2178C" w14:paraId="13B650AA" w14:textId="77777777">
        <w:tc>
          <w:tcPr>
            <w:tcW w:w="4212" w:type="dxa"/>
          </w:tcPr>
          <w:p w14:paraId="4738522F" w14:textId="77777777"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lastRenderedPageBreak/>
              <w:t>Wald statistic</w:t>
            </w:r>
          </w:p>
        </w:tc>
        <w:tc>
          <w:tcPr>
            <w:tcW w:w="4212" w:type="dxa"/>
          </w:tcPr>
          <w:p w14:paraId="56B5B38F" w14:textId="1042D036"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0.109</w:t>
            </w:r>
          </w:p>
        </w:tc>
      </w:tr>
      <w:tr w:rsidR="00D2178C" w:rsidRPr="00D2178C" w14:paraId="613C6A9D" w14:textId="77777777">
        <w:tc>
          <w:tcPr>
            <w:tcW w:w="4212" w:type="dxa"/>
          </w:tcPr>
          <w:p w14:paraId="544149D2" w14:textId="77777777"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p-value (Wald test)</w:t>
            </w:r>
          </w:p>
        </w:tc>
        <w:tc>
          <w:tcPr>
            <w:tcW w:w="4212" w:type="dxa"/>
          </w:tcPr>
          <w:p w14:paraId="67B9E2BD" w14:textId="6E3A6A87"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0.740</w:t>
            </w:r>
          </w:p>
        </w:tc>
      </w:tr>
      <w:tr w:rsidR="00D2178C" w:rsidRPr="00D2178C" w14:paraId="249D9DD6" w14:textId="77777777">
        <w:tc>
          <w:tcPr>
            <w:tcW w:w="4212" w:type="dxa"/>
          </w:tcPr>
          <w:p w14:paraId="65D2EFD6" w14:textId="77777777" w:rsidR="00D2178C" w:rsidRPr="00B33DB7" w:rsidRDefault="00D2178C" w:rsidP="00D2178C">
            <w:pPr>
              <w:pStyle w:val="Body"/>
              <w:spacing w:after="0"/>
              <w:jc w:val="center"/>
              <w:rPr>
                <w:rFonts w:ascii="Arial" w:hAnsi="Arial" w:cs="Arial"/>
                <w:b/>
                <w:bCs/>
                <w:sz w:val="20"/>
                <w:szCs w:val="20"/>
              </w:rPr>
            </w:pPr>
            <w:r w:rsidRPr="00B33DB7">
              <w:rPr>
                <w:rFonts w:ascii="Arial" w:hAnsi="Arial" w:cs="Arial"/>
                <w:b/>
                <w:bCs/>
                <w:sz w:val="20"/>
                <w:szCs w:val="20"/>
              </w:rPr>
              <w:t>Scale parameter</w:t>
            </w:r>
          </w:p>
        </w:tc>
        <w:tc>
          <w:tcPr>
            <w:tcW w:w="4212" w:type="dxa"/>
          </w:tcPr>
          <w:p w14:paraId="6847C6AC" w14:textId="52159EC0" w:rsidR="00D2178C" w:rsidRPr="00D2178C" w:rsidRDefault="00D2178C" w:rsidP="00D2178C">
            <w:pPr>
              <w:pStyle w:val="Body"/>
              <w:spacing w:after="0"/>
              <w:jc w:val="center"/>
              <w:rPr>
                <w:rFonts w:ascii="Arial" w:hAnsi="Arial" w:cs="Arial"/>
                <w:sz w:val="20"/>
                <w:szCs w:val="20"/>
              </w:rPr>
            </w:pPr>
            <w:r w:rsidRPr="00D2178C">
              <w:rPr>
                <w:rFonts w:ascii="Arial" w:hAnsi="Arial" w:cs="Arial"/>
                <w:sz w:val="20"/>
                <w:szCs w:val="20"/>
              </w:rPr>
              <w:t>0.025</w:t>
            </w:r>
          </w:p>
        </w:tc>
      </w:tr>
    </w:tbl>
    <w:p w14:paraId="5EC01F5B" w14:textId="77777777" w:rsidR="00333E12" w:rsidRDefault="00333E12" w:rsidP="00333E12">
      <w:pPr>
        <w:pStyle w:val="Body"/>
        <w:spacing w:after="0"/>
        <w:rPr>
          <w:rFonts w:ascii="Arial" w:hAnsi="Arial" w:cs="Arial"/>
        </w:rPr>
      </w:pPr>
    </w:p>
    <w:p w14:paraId="20C4A29E" w14:textId="77777777" w:rsidR="00771FE1" w:rsidRPr="006A1703" w:rsidRDefault="00771FE1" w:rsidP="006A1703">
      <w:pPr>
        <w:pStyle w:val="Body"/>
        <w:spacing w:after="0"/>
        <w:rPr>
          <w:rFonts w:ascii="Arial" w:hAnsi="Arial" w:cs="Arial"/>
          <w:lang w:val="en-IN"/>
        </w:rPr>
      </w:pPr>
    </w:p>
    <w:p w14:paraId="55129BED" w14:textId="78F43008" w:rsidR="006A1703" w:rsidRDefault="006A1703" w:rsidP="006A1703">
      <w:pPr>
        <w:pStyle w:val="Body"/>
        <w:spacing w:after="0"/>
        <w:rPr>
          <w:rFonts w:ascii="Arial" w:hAnsi="Arial" w:cs="Arial"/>
          <w:lang w:val="en-IN"/>
        </w:rPr>
      </w:pPr>
      <w:r w:rsidRPr="006A1703">
        <w:rPr>
          <w:rFonts w:ascii="Arial" w:hAnsi="Arial" w:cs="Arial"/>
          <w:lang w:val="en-IN"/>
        </w:rPr>
        <w:t>The insignificance of farm size in the Tobit regression model further reinforce</w:t>
      </w:r>
      <w:r w:rsidR="00E14137">
        <w:rPr>
          <w:rFonts w:ascii="Arial" w:hAnsi="Arial" w:cs="Arial"/>
          <w:lang w:val="en-IN"/>
        </w:rPr>
        <w:t>d</w:t>
      </w:r>
      <w:r w:rsidRPr="006A1703">
        <w:rPr>
          <w:rFonts w:ascii="Arial" w:hAnsi="Arial" w:cs="Arial"/>
          <w:lang w:val="en-IN"/>
        </w:rPr>
        <w:t xml:space="preserve"> the argument that efficiency </w:t>
      </w:r>
      <w:r w:rsidR="00D47FFA">
        <w:rPr>
          <w:rFonts w:ascii="Arial" w:hAnsi="Arial" w:cs="Arial"/>
          <w:lang w:val="en-IN"/>
        </w:rPr>
        <w:t>was</w:t>
      </w:r>
      <w:r w:rsidRPr="006A1703">
        <w:rPr>
          <w:rFonts w:ascii="Arial" w:hAnsi="Arial" w:cs="Arial"/>
          <w:lang w:val="en-IN"/>
        </w:rPr>
        <w:t xml:space="preserve"> not structurally determined by scale of operation. The estimated coefficient of farm size was negative but statistically insignificant, suggesting that variations in landholding do not systematically influence technical efficiency. This finding </w:t>
      </w:r>
      <w:r w:rsidR="00D47FFA">
        <w:rPr>
          <w:rFonts w:ascii="Arial" w:hAnsi="Arial" w:cs="Arial"/>
          <w:lang w:val="en-IN"/>
        </w:rPr>
        <w:t>was</w:t>
      </w:r>
      <w:r w:rsidRPr="006A1703">
        <w:rPr>
          <w:rFonts w:ascii="Arial" w:hAnsi="Arial" w:cs="Arial"/>
          <w:lang w:val="en-IN"/>
        </w:rPr>
        <w:t xml:space="preserve"> consistent with empirical evidence indicating that efficiency differences are often independent of farm size, particularly in systems characterized by homogeneous technology and resource access. </w:t>
      </w:r>
      <w:proofErr w:type="spellStart"/>
      <w:r w:rsidRPr="006A1703">
        <w:rPr>
          <w:rFonts w:ascii="Arial" w:hAnsi="Arial" w:cs="Arial"/>
          <w:lang w:val="en-IN"/>
        </w:rPr>
        <w:t>Ogundari</w:t>
      </w:r>
      <w:proofErr w:type="spellEnd"/>
      <w:r w:rsidRPr="006A1703">
        <w:rPr>
          <w:rFonts w:ascii="Arial" w:hAnsi="Arial" w:cs="Arial"/>
          <w:lang w:val="en-IN"/>
        </w:rPr>
        <w:t xml:space="preserve">, Kolawole (2014) demonstrated that farm size does not necessarily improve efficiency levels in smallholder agriculture, as managerial ability and input allocation play a more critical role. Similarly, Alene, Arega et al. (2006) found that technical efficiency variations were largely unrelated to farm size and were instead influenced by institutional and behavioural factors. The result </w:t>
      </w:r>
      <w:r w:rsidR="00D47FFA">
        <w:rPr>
          <w:rFonts w:ascii="Arial" w:hAnsi="Arial" w:cs="Arial"/>
          <w:lang w:val="en-IN"/>
        </w:rPr>
        <w:t>was</w:t>
      </w:r>
      <w:r w:rsidRPr="006A1703">
        <w:rPr>
          <w:rFonts w:ascii="Arial" w:hAnsi="Arial" w:cs="Arial"/>
          <w:lang w:val="en-IN"/>
        </w:rPr>
        <w:t xml:space="preserve"> further supported by the high mean technical efficiency (0.975), which reduce</w:t>
      </w:r>
      <w:r w:rsidR="00B47662">
        <w:rPr>
          <w:rFonts w:ascii="Arial" w:hAnsi="Arial" w:cs="Arial"/>
          <w:lang w:val="en-IN"/>
        </w:rPr>
        <w:t>d</w:t>
      </w:r>
      <w:r w:rsidRPr="006A1703">
        <w:rPr>
          <w:rFonts w:ascii="Arial" w:hAnsi="Arial" w:cs="Arial"/>
          <w:lang w:val="en-IN"/>
        </w:rPr>
        <w:t xml:space="preserve"> variability in efficiency scores and limit</w:t>
      </w:r>
      <w:r w:rsidR="00B47662">
        <w:rPr>
          <w:rFonts w:ascii="Arial" w:hAnsi="Arial" w:cs="Arial"/>
          <w:lang w:val="en-IN"/>
        </w:rPr>
        <w:t>ed</w:t>
      </w:r>
      <w:r w:rsidRPr="006A1703">
        <w:rPr>
          <w:rFonts w:ascii="Arial" w:hAnsi="Arial" w:cs="Arial"/>
          <w:lang w:val="en-IN"/>
        </w:rPr>
        <w:t xml:space="preserve"> the explanatory power of farm-specific variables in the Tobit model.</w:t>
      </w:r>
      <w:r w:rsidR="00382154" w:rsidRPr="00382154">
        <w:t xml:space="preserve"> </w:t>
      </w:r>
      <w:r w:rsidR="00382154" w:rsidRPr="00382154">
        <w:rPr>
          <w:rFonts w:ascii="Arial" w:hAnsi="Arial" w:cs="Arial"/>
        </w:rPr>
        <w:t>The Tobit results further indicate that farm-specific characteristics did not significantly influence technical efficiency, reflecting the limited variation in efficiency scores. This is consistent with empirical evidence suggesting that when efficiency values are bounded and highly concentrated, the explanatory power of the Tobit model tends to be constrained (Kumar et al., 2024).</w:t>
      </w:r>
      <w:r w:rsidR="00040DD5" w:rsidRPr="00040DD5">
        <w:rPr>
          <w:rFonts w:ascii="Arial" w:hAnsi="Arial" w:cs="Arial"/>
        </w:rPr>
        <w:t xml:space="preserve"> </w:t>
      </w:r>
      <w:r w:rsidR="00040DD5" w:rsidRPr="00382154">
        <w:rPr>
          <w:rFonts w:ascii="Arial" w:hAnsi="Arial" w:cs="Arial"/>
        </w:rPr>
        <w:t>These findings highlight that further gains in horticulture are increasingly dependent on improving technical and allocative efficiency rather than expanding input use or cultivated area (Singh et al., 2020).</w:t>
      </w:r>
    </w:p>
    <w:p w14:paraId="5C84A050" w14:textId="77777777" w:rsidR="00890D3C" w:rsidRDefault="00890D3C" w:rsidP="006A1703">
      <w:pPr>
        <w:pStyle w:val="Body"/>
        <w:spacing w:after="0"/>
        <w:rPr>
          <w:rFonts w:ascii="Arial" w:hAnsi="Arial" w:cs="Arial"/>
        </w:rPr>
      </w:pPr>
    </w:p>
    <w:p w14:paraId="6A5E75F2" w14:textId="08368A18" w:rsidR="00163D33" w:rsidRPr="00F76B9E" w:rsidRDefault="00F76B9E" w:rsidP="006A1703">
      <w:pPr>
        <w:pStyle w:val="Body"/>
        <w:spacing w:after="0"/>
        <w:rPr>
          <w:rFonts w:ascii="Arial" w:hAnsi="Arial" w:cs="Arial"/>
          <w:b/>
          <w:bCs/>
          <w:sz w:val="22"/>
          <w:szCs w:val="22"/>
          <w:lang w:val="en-IN"/>
        </w:rPr>
      </w:pPr>
      <w:r w:rsidRPr="00F76B9E">
        <w:rPr>
          <w:rFonts w:ascii="Arial" w:hAnsi="Arial" w:cs="Arial"/>
          <w:b/>
          <w:bCs/>
          <w:sz w:val="22"/>
          <w:szCs w:val="22"/>
          <w:lang w:val="en-IN"/>
        </w:rPr>
        <w:t xml:space="preserve">4. </w:t>
      </w:r>
      <w:r w:rsidR="004F1021">
        <w:rPr>
          <w:rFonts w:ascii="Arial" w:hAnsi="Arial" w:cs="Arial"/>
          <w:b/>
          <w:bCs/>
          <w:sz w:val="22"/>
          <w:szCs w:val="22"/>
          <w:lang w:val="en-IN"/>
        </w:rPr>
        <w:t xml:space="preserve">Summary and </w:t>
      </w:r>
      <w:r w:rsidR="00163D33" w:rsidRPr="00F76B9E">
        <w:rPr>
          <w:rFonts w:ascii="Arial" w:hAnsi="Arial" w:cs="Arial"/>
          <w:b/>
          <w:bCs/>
          <w:sz w:val="22"/>
          <w:szCs w:val="22"/>
          <w:lang w:val="en-IN"/>
        </w:rPr>
        <w:t>CONCLUSION</w:t>
      </w:r>
    </w:p>
    <w:p w14:paraId="62C4A328" w14:textId="77777777" w:rsidR="006F1603" w:rsidRDefault="006F1603" w:rsidP="006A1703">
      <w:pPr>
        <w:pStyle w:val="Body"/>
        <w:spacing w:after="0"/>
        <w:rPr>
          <w:rFonts w:ascii="Arial" w:hAnsi="Arial" w:cs="Arial"/>
          <w:lang w:val="en-IN"/>
        </w:rPr>
      </w:pPr>
    </w:p>
    <w:p w14:paraId="0C31DA9A" w14:textId="24072D1F" w:rsidR="006F1603" w:rsidRDefault="006F1603" w:rsidP="006F1603">
      <w:pPr>
        <w:pStyle w:val="Body"/>
        <w:spacing w:after="0"/>
        <w:rPr>
          <w:rFonts w:ascii="Arial" w:hAnsi="Arial" w:cs="Arial"/>
          <w:lang w:val="en-IN"/>
        </w:rPr>
      </w:pPr>
      <w:r w:rsidRPr="00FA0EB8">
        <w:rPr>
          <w:rFonts w:ascii="Arial" w:hAnsi="Arial" w:cs="Arial"/>
          <w:lang w:val="en-IN"/>
        </w:rPr>
        <w:t xml:space="preserve">The results of the present study assume greater significance when viewed in the context of off-season cabbage cultivation, which </w:t>
      </w:r>
      <w:r w:rsidR="00D47FFA">
        <w:rPr>
          <w:rFonts w:ascii="Arial" w:hAnsi="Arial" w:cs="Arial"/>
          <w:lang w:val="en-IN"/>
        </w:rPr>
        <w:t>was</w:t>
      </w:r>
      <w:r w:rsidRPr="00FA0EB8">
        <w:rPr>
          <w:rFonts w:ascii="Arial" w:hAnsi="Arial" w:cs="Arial"/>
          <w:lang w:val="en-IN"/>
        </w:rPr>
        <w:t xml:space="preserve"> characterized by high input intensity and greater management sensitivity compared to seasonal crops. Off-season vegetable production typically involves higher investment in seeds, fertilizers, and plant protection chemicals to exploit price advantages during lean supply periods. In such systems, even small deviations from optimal input use can lead to disproportionately large economic losses. The negative and insignificant coefficient of fertilizer, along with evidence of over-utilization in MVP</w:t>
      </w:r>
      <w:r w:rsidR="00985D05">
        <w:rPr>
          <w:rFonts w:ascii="Arial" w:hAnsi="Arial" w:cs="Arial"/>
          <w:lang w:val="en-IN"/>
        </w:rPr>
        <w:t>-</w:t>
      </w:r>
      <w:r w:rsidRPr="00FA0EB8">
        <w:rPr>
          <w:rFonts w:ascii="Arial" w:hAnsi="Arial" w:cs="Arial"/>
          <w:lang w:val="en-IN"/>
        </w:rPr>
        <w:t>MFC analysis, therefore reflects not merely input inefficiency but the economic risk associated with imbalanced input application in high-value crops.</w:t>
      </w:r>
      <w:r w:rsidR="004B0547">
        <w:rPr>
          <w:rFonts w:ascii="Arial" w:hAnsi="Arial" w:cs="Arial"/>
          <w:lang w:val="en-IN"/>
        </w:rPr>
        <w:t xml:space="preserve"> </w:t>
      </w:r>
      <w:r w:rsidRPr="00FA0EB8">
        <w:rPr>
          <w:rFonts w:ascii="Arial" w:hAnsi="Arial" w:cs="Arial"/>
          <w:lang w:val="en-IN"/>
        </w:rPr>
        <w:t>The quantitative estimates further reinforce these observations. The mean technical efficiency of 97.5 per cent indicate</w:t>
      </w:r>
      <w:r w:rsidR="00D47FFA">
        <w:rPr>
          <w:rFonts w:ascii="Arial" w:hAnsi="Arial" w:cs="Arial"/>
          <w:lang w:val="en-IN"/>
        </w:rPr>
        <w:t>d</w:t>
      </w:r>
      <w:r w:rsidRPr="00FA0EB8">
        <w:rPr>
          <w:rFonts w:ascii="Arial" w:hAnsi="Arial" w:cs="Arial"/>
          <w:lang w:val="en-IN"/>
        </w:rPr>
        <w:t xml:space="preserve"> that farms were operating close to the production frontier, while the gamma value of 0.99</w:t>
      </w:r>
      <w:r>
        <w:rPr>
          <w:rFonts w:ascii="Arial" w:hAnsi="Arial" w:cs="Arial"/>
          <w:lang w:val="en-IN"/>
        </w:rPr>
        <w:t xml:space="preserve"> </w:t>
      </w:r>
      <w:r w:rsidRPr="00FA0EB8">
        <w:rPr>
          <w:rFonts w:ascii="Arial" w:hAnsi="Arial" w:cs="Arial"/>
          <w:lang w:val="en-IN"/>
        </w:rPr>
        <w:t>confirms that nearly the entire variation in output was attributable to inefficiency effects rather than stochastic factors. This combination of high efficiency levels and high γ suggests that even marginal inefficiencies in input use and management practices significantly influence yield variation. The persistence of allocative inefficiency, despite high technical efficiency, highlights that farmers are producing near maximum output levels but not at optimal cost conditions.</w:t>
      </w:r>
    </w:p>
    <w:p w14:paraId="6F9C06D5" w14:textId="77777777" w:rsidR="006F1603" w:rsidRPr="00FA0EB8" w:rsidRDefault="006F1603" w:rsidP="006F1603">
      <w:pPr>
        <w:pStyle w:val="Body"/>
        <w:spacing w:after="0"/>
        <w:rPr>
          <w:rFonts w:ascii="Arial" w:hAnsi="Arial" w:cs="Arial"/>
          <w:lang w:val="en-IN"/>
        </w:rPr>
      </w:pPr>
    </w:p>
    <w:p w14:paraId="51786EE0" w14:textId="42096145" w:rsidR="006F1603" w:rsidRPr="00FA0EB8" w:rsidRDefault="006F1603" w:rsidP="006F1603">
      <w:pPr>
        <w:pStyle w:val="Body"/>
        <w:spacing w:after="0"/>
        <w:rPr>
          <w:rFonts w:ascii="Arial" w:hAnsi="Arial" w:cs="Arial"/>
          <w:lang w:val="en-IN"/>
        </w:rPr>
      </w:pPr>
      <w:r w:rsidRPr="00FA0EB8">
        <w:rPr>
          <w:rFonts w:ascii="Arial" w:hAnsi="Arial" w:cs="Arial"/>
          <w:lang w:val="en-IN"/>
        </w:rPr>
        <w:t xml:space="preserve">The insignificance of farm size in the Tobit model further strengthens the argument that efficiency in off-season cabbage cultivation </w:t>
      </w:r>
      <w:r w:rsidR="00D47FFA">
        <w:rPr>
          <w:rFonts w:ascii="Arial" w:hAnsi="Arial" w:cs="Arial"/>
          <w:lang w:val="en-IN"/>
        </w:rPr>
        <w:t>was</w:t>
      </w:r>
      <w:r w:rsidRPr="00FA0EB8">
        <w:rPr>
          <w:rFonts w:ascii="Arial" w:hAnsi="Arial" w:cs="Arial"/>
          <w:lang w:val="en-IN"/>
        </w:rPr>
        <w:t xml:space="preserve"> not scale-dependent. With a coefficient of -0.0031 and a p-value of 0.741, farm size did not exert any statistically significant influence on technical efficiency. This indicat</w:t>
      </w:r>
      <w:r w:rsidR="00D47FFA">
        <w:rPr>
          <w:rFonts w:ascii="Arial" w:hAnsi="Arial" w:cs="Arial"/>
          <w:lang w:val="en-IN"/>
        </w:rPr>
        <w:t>ed</w:t>
      </w:r>
      <w:r w:rsidRPr="00FA0EB8">
        <w:rPr>
          <w:rFonts w:ascii="Arial" w:hAnsi="Arial" w:cs="Arial"/>
          <w:lang w:val="en-IN"/>
        </w:rPr>
        <w:t xml:space="preserve"> that both marginal and small farms operated at comparable efficiency levels, and that differences in productivity are more closely associated </w:t>
      </w:r>
      <w:r w:rsidRPr="00FA0EB8">
        <w:rPr>
          <w:rFonts w:ascii="Arial" w:hAnsi="Arial" w:cs="Arial"/>
          <w:lang w:val="en-IN"/>
        </w:rPr>
        <w:lastRenderedPageBreak/>
        <w:t>with input management and decision-making rather than landholding size.</w:t>
      </w:r>
      <w:r w:rsidR="004B0547">
        <w:rPr>
          <w:rFonts w:ascii="Arial" w:hAnsi="Arial" w:cs="Arial"/>
          <w:lang w:val="en-IN"/>
        </w:rPr>
        <w:t xml:space="preserve"> </w:t>
      </w:r>
      <w:r w:rsidRPr="00FA0EB8">
        <w:rPr>
          <w:rFonts w:ascii="Arial" w:hAnsi="Arial" w:cs="Arial"/>
          <w:lang w:val="en-IN"/>
        </w:rPr>
        <w:t xml:space="preserve">Taken together, the findings of the study make a distinct contribution to the existing literature by demonstrating that in high-value, input-intensive vegetable systems, inefficiency </w:t>
      </w:r>
      <w:r w:rsidR="00D47FFA">
        <w:rPr>
          <w:rFonts w:ascii="Arial" w:hAnsi="Arial" w:cs="Arial"/>
          <w:lang w:val="en-IN"/>
        </w:rPr>
        <w:t>was</w:t>
      </w:r>
      <w:r w:rsidRPr="00FA0EB8">
        <w:rPr>
          <w:rFonts w:ascii="Arial" w:hAnsi="Arial" w:cs="Arial"/>
          <w:lang w:val="en-IN"/>
        </w:rPr>
        <w:t xml:space="preserve"> primarily driven by misallocation of resources rather than lack of technology or scale limitations. While previous studies have often emphasized either technical efficiency or scale effects, the present analysis highlights the coexistence of high technical efficiency (97.5 per cent) with substantial allocative inefficiency, thereby underscoring the need to address both dimensions simultaneously.</w:t>
      </w:r>
    </w:p>
    <w:p w14:paraId="6C04A811" w14:textId="77777777" w:rsidR="00B85E29" w:rsidRPr="006A1703" w:rsidRDefault="00B85E29" w:rsidP="006A1703">
      <w:pPr>
        <w:pStyle w:val="Body"/>
        <w:spacing w:after="0"/>
        <w:rPr>
          <w:rFonts w:ascii="Arial" w:hAnsi="Arial" w:cs="Arial"/>
          <w:lang w:val="en-IN"/>
        </w:rPr>
      </w:pPr>
    </w:p>
    <w:p w14:paraId="577E5AA4" w14:textId="77777777" w:rsidR="006A1703" w:rsidRPr="006A1703" w:rsidRDefault="006A1703" w:rsidP="006A1703">
      <w:pPr>
        <w:pStyle w:val="Body"/>
        <w:spacing w:after="0"/>
        <w:rPr>
          <w:rFonts w:ascii="Arial" w:hAnsi="Arial" w:cs="Arial"/>
          <w:lang w:val="en-IN"/>
        </w:rPr>
      </w:pPr>
      <w:r w:rsidRPr="006A1703">
        <w:rPr>
          <w:rFonts w:ascii="Arial" w:hAnsi="Arial" w:cs="Arial"/>
          <w:lang w:val="en-IN"/>
        </w:rPr>
        <w:t>Overall, the results suggest that inefficiencies in off-season cabbage production are primarily driven by suboptimal input allocation and management practices rather than limitations in scale or external constraints. The consistency of these findings with existing empirical literature strengthens the conclusion that targeted interventions focusing on balanced input use, improved advisory services, and enhanced managerial practices are essential for improving both technical and economic efficiency.</w:t>
      </w:r>
    </w:p>
    <w:p w14:paraId="6B02EBB9" w14:textId="77777777" w:rsidR="00FA1C26" w:rsidRPr="00BC7BA7" w:rsidRDefault="00FA1C26" w:rsidP="006A1703">
      <w:pPr>
        <w:pStyle w:val="Body"/>
        <w:rPr>
          <w:rFonts w:ascii="Arial" w:hAnsi="Arial" w:cs="Arial"/>
          <w:b/>
          <w:bCs/>
          <w:sz w:val="22"/>
          <w:szCs w:val="22"/>
          <w:lang w:val="en-IN"/>
        </w:rPr>
      </w:pPr>
    </w:p>
    <w:p w14:paraId="69FE0C12" w14:textId="45744850" w:rsidR="00FA1C26" w:rsidRPr="00BC7BA7" w:rsidRDefault="00F76B9E" w:rsidP="006A1703">
      <w:pPr>
        <w:pStyle w:val="Body"/>
        <w:rPr>
          <w:rFonts w:ascii="Arial" w:hAnsi="Arial" w:cs="Arial"/>
          <w:b/>
          <w:bCs/>
          <w:sz w:val="22"/>
          <w:szCs w:val="22"/>
          <w:lang w:val="en-IN"/>
        </w:rPr>
      </w:pPr>
      <w:r w:rsidRPr="00BC7BA7">
        <w:rPr>
          <w:rFonts w:ascii="Arial" w:hAnsi="Arial" w:cs="Arial"/>
          <w:b/>
          <w:bCs/>
          <w:sz w:val="22"/>
          <w:szCs w:val="22"/>
          <w:lang w:val="en-IN"/>
        </w:rPr>
        <w:t xml:space="preserve">5. </w:t>
      </w:r>
      <w:r w:rsidR="00FA1C26" w:rsidRPr="00BC7BA7">
        <w:rPr>
          <w:rFonts w:ascii="Arial" w:hAnsi="Arial" w:cs="Arial"/>
          <w:b/>
          <w:bCs/>
          <w:sz w:val="22"/>
          <w:szCs w:val="22"/>
          <w:lang w:val="en-IN"/>
        </w:rPr>
        <w:t>POLICY IMPLICATION</w:t>
      </w:r>
      <w:r w:rsidR="00BC7BA7" w:rsidRPr="00BC7BA7">
        <w:rPr>
          <w:rFonts w:ascii="Arial" w:hAnsi="Arial" w:cs="Arial"/>
          <w:b/>
          <w:bCs/>
          <w:sz w:val="22"/>
          <w:szCs w:val="22"/>
          <w:lang w:val="en-IN"/>
        </w:rPr>
        <w:t>S</w:t>
      </w:r>
    </w:p>
    <w:p w14:paraId="72615337" w14:textId="083D7463" w:rsidR="00FA1C26" w:rsidRDefault="00FA1C26" w:rsidP="00FA1C26">
      <w:pPr>
        <w:pStyle w:val="Body"/>
        <w:spacing w:after="0"/>
        <w:rPr>
          <w:rFonts w:ascii="Arial" w:hAnsi="Arial" w:cs="Arial"/>
          <w:lang w:val="en-IN"/>
        </w:rPr>
      </w:pPr>
      <w:r w:rsidRPr="00FA0EB8">
        <w:rPr>
          <w:rFonts w:ascii="Arial" w:hAnsi="Arial" w:cs="Arial"/>
          <w:lang w:val="en-IN"/>
        </w:rPr>
        <w:t>The policy implications emerging from these results are directly aligned with the observed inefficiencies. The negative response and over-utilization of fertilizer indicate the need for balanced nutrient management and location-specific fertilizer recommendations. The consistent over-utilization of labour across farm categories suggests the importance of labour rationalization and adoption of labour-saving practices. The high gamma value (γ ≈ 1) points towards the dominance of managerial inefficiency, thereby emphasizing the critical role of extension services, farmer training, and advisory support in improving farm-level decision-making. The insignificance of farm size indicate</w:t>
      </w:r>
      <w:r w:rsidR="00D47FFA">
        <w:rPr>
          <w:rFonts w:ascii="Arial" w:hAnsi="Arial" w:cs="Arial"/>
          <w:lang w:val="en-IN"/>
        </w:rPr>
        <w:t>d</w:t>
      </w:r>
      <w:r w:rsidRPr="00FA0EB8">
        <w:rPr>
          <w:rFonts w:ascii="Arial" w:hAnsi="Arial" w:cs="Arial"/>
          <w:lang w:val="en-IN"/>
        </w:rPr>
        <w:t xml:space="preserve"> that policies aimed at land consolidation or expansion may not yield substantial efficiency gains, and that focus should instead be placed on improving input use efficiency across all farm categories.</w:t>
      </w:r>
    </w:p>
    <w:p w14:paraId="3BC07D87" w14:textId="77777777" w:rsidR="00BC7BA7" w:rsidRPr="00FA0EB8" w:rsidRDefault="00BC7BA7" w:rsidP="00FA1C26">
      <w:pPr>
        <w:pStyle w:val="Body"/>
        <w:spacing w:after="0"/>
        <w:rPr>
          <w:rFonts w:ascii="Arial" w:hAnsi="Arial" w:cs="Arial"/>
          <w:lang w:val="en-IN"/>
        </w:rPr>
      </w:pPr>
    </w:p>
    <w:p w14:paraId="1AC25633" w14:textId="77777777" w:rsidR="00FA1C26" w:rsidRPr="00FA0EB8" w:rsidRDefault="00FA1C26" w:rsidP="00FA1C26">
      <w:pPr>
        <w:pStyle w:val="Body"/>
        <w:spacing w:after="0"/>
        <w:rPr>
          <w:rFonts w:ascii="Arial" w:hAnsi="Arial" w:cs="Arial"/>
          <w:lang w:val="en-IN"/>
        </w:rPr>
      </w:pPr>
      <w:r w:rsidRPr="00FA0EB8">
        <w:rPr>
          <w:rFonts w:ascii="Arial" w:hAnsi="Arial" w:cs="Arial"/>
          <w:lang w:val="en-IN"/>
        </w:rPr>
        <w:t>Overall, the findings of the present study contribute to the existing literature by demonstrating that, in the context of off-season cabbage cultivation, inefficiencies arise not from lack of input use but from improper input allocation and management practices. Despite a high mean technical efficiency of 97.5 per cent and a gamma value approaching unity (0.99), indicating that inefficiency dominates output variation, the presence of significant allocative inefficiencies highlights the divergence between technical and economic efficiency. The negative response of fertilizer and over-utilization of labour further emphasize the need for input rationalization rather than input intensification. These results suggest that productivity improvements in high-value vegetable systems are more likely to be achieved through better resource allocation, improved advisory services, and efficient farm management rather than expansion of farm size or increased input use.</w:t>
      </w:r>
    </w:p>
    <w:p w14:paraId="6365794D" w14:textId="77777777" w:rsidR="006F1603" w:rsidRDefault="006F1603" w:rsidP="00FA1C26">
      <w:pPr>
        <w:pStyle w:val="Body"/>
        <w:spacing w:after="0"/>
        <w:rPr>
          <w:rFonts w:ascii="Arial" w:hAnsi="Arial" w:cs="Arial"/>
        </w:rPr>
      </w:pPr>
    </w:p>
    <w:p w14:paraId="119E78F4" w14:textId="0C6C1142" w:rsidR="000C32A0" w:rsidRPr="000C32A0" w:rsidRDefault="00BC7BA7" w:rsidP="000C32A0">
      <w:pPr>
        <w:pStyle w:val="Body"/>
        <w:rPr>
          <w:rFonts w:ascii="Arial" w:hAnsi="Arial" w:cs="Arial"/>
          <w:b/>
          <w:bCs/>
          <w:sz w:val="22"/>
          <w:szCs w:val="22"/>
          <w:lang w:val="en-IN"/>
        </w:rPr>
      </w:pPr>
      <w:r w:rsidRPr="00BC7BA7">
        <w:rPr>
          <w:rFonts w:ascii="Arial" w:hAnsi="Arial" w:cs="Arial"/>
          <w:b/>
          <w:bCs/>
          <w:sz w:val="22"/>
          <w:szCs w:val="22"/>
          <w:lang w:val="en-IN"/>
        </w:rPr>
        <w:t xml:space="preserve">6. </w:t>
      </w:r>
      <w:r w:rsidRPr="000C32A0">
        <w:rPr>
          <w:rFonts w:ascii="Arial" w:hAnsi="Arial" w:cs="Arial"/>
          <w:b/>
          <w:bCs/>
          <w:sz w:val="22"/>
          <w:szCs w:val="22"/>
          <w:lang w:val="en-IN"/>
        </w:rPr>
        <w:t xml:space="preserve">LIMITATIONS </w:t>
      </w:r>
    </w:p>
    <w:p w14:paraId="31DB8FC6" w14:textId="66968B7E" w:rsidR="00BA58CE" w:rsidRPr="00BA58CE" w:rsidRDefault="00BA58CE" w:rsidP="00BA58CE">
      <w:pPr>
        <w:pStyle w:val="Body"/>
        <w:rPr>
          <w:rFonts w:ascii="Arial" w:hAnsi="Arial" w:cs="Arial"/>
          <w:lang w:val="en-IN"/>
        </w:rPr>
      </w:pPr>
      <w:r w:rsidRPr="00BA58CE">
        <w:rPr>
          <w:rFonts w:ascii="Arial" w:hAnsi="Arial" w:cs="Arial"/>
          <w:lang w:val="en-IN"/>
        </w:rPr>
        <w:t>The findings are subject to certain limitations, including reliance on single-season cross-sectional data, restrictive distributional assumptions of the stochastic frontier model, and the use of aggregated input measures that may not capture quality and management differences. The limited variation in efficiency scores also constrained the explanatory power of the Tobit model, while the regional focus limits generalizability.</w:t>
      </w:r>
      <w:r w:rsidR="004748F3">
        <w:rPr>
          <w:rFonts w:ascii="Arial" w:hAnsi="Arial" w:cs="Arial"/>
          <w:lang w:val="en-IN"/>
        </w:rPr>
        <w:t xml:space="preserve"> </w:t>
      </w:r>
      <w:r w:rsidRPr="00BA58CE">
        <w:rPr>
          <w:rFonts w:ascii="Arial" w:hAnsi="Arial" w:cs="Arial"/>
          <w:lang w:val="en-IN"/>
        </w:rPr>
        <w:t>Future research may employ panel data, incorporate detailed input and managerial variables, and extend the analysis across regions and crops to enhance robustness and policy relevance.</w:t>
      </w:r>
    </w:p>
    <w:p w14:paraId="284FB517" w14:textId="77777777" w:rsidR="00BA58CE" w:rsidRDefault="00BA58CE" w:rsidP="000C32A0">
      <w:pPr>
        <w:pStyle w:val="Body"/>
        <w:rPr>
          <w:rFonts w:ascii="Arial" w:hAnsi="Arial" w:cs="Arial"/>
          <w:lang w:val="en-IN"/>
        </w:rPr>
      </w:pPr>
      <w:r>
        <w:rPr>
          <w:rFonts w:ascii="Arial" w:hAnsi="Arial" w:cs="Arial"/>
          <w:lang w:val="en-IN"/>
        </w:rPr>
        <w:t xml:space="preserve"> </w:t>
      </w:r>
    </w:p>
    <w:p w14:paraId="4871C1EB" w14:textId="77777777" w:rsidR="00A73F67" w:rsidRPr="00D821B0" w:rsidRDefault="00A73F67" w:rsidP="006A1703">
      <w:pPr>
        <w:pStyle w:val="Body"/>
        <w:spacing w:after="0"/>
        <w:rPr>
          <w:rFonts w:ascii="Arial" w:hAnsi="Arial" w:cs="Arial"/>
          <w:b/>
          <w:bCs/>
          <w:sz w:val="22"/>
          <w:szCs w:val="22"/>
        </w:rPr>
      </w:pPr>
      <w:r w:rsidRPr="00D821B0">
        <w:rPr>
          <w:rFonts w:ascii="Arial" w:hAnsi="Arial" w:cs="Arial"/>
          <w:b/>
          <w:bCs/>
          <w:sz w:val="22"/>
          <w:szCs w:val="22"/>
        </w:rPr>
        <w:lastRenderedPageBreak/>
        <w:t xml:space="preserve">Disclaimer (Artificial Intelligence) </w:t>
      </w:r>
    </w:p>
    <w:p w14:paraId="42C51A5E" w14:textId="77777777" w:rsidR="00D821B0" w:rsidRPr="00D821B0" w:rsidRDefault="00D821B0" w:rsidP="006A1703">
      <w:pPr>
        <w:pStyle w:val="Body"/>
        <w:spacing w:after="0"/>
        <w:rPr>
          <w:rFonts w:ascii="Arial" w:hAnsi="Arial" w:cs="Arial"/>
        </w:rPr>
      </w:pPr>
    </w:p>
    <w:p w14:paraId="2DEF0859" w14:textId="35AD9991" w:rsidR="00A73F67" w:rsidRDefault="00A73F67" w:rsidP="006A1703">
      <w:pPr>
        <w:pStyle w:val="Body"/>
        <w:spacing w:after="0"/>
        <w:rPr>
          <w:rFonts w:ascii="Arial" w:hAnsi="Arial" w:cs="Arial"/>
        </w:rPr>
      </w:pPr>
      <w:r w:rsidRPr="00D821B0">
        <w:rPr>
          <w:rFonts w:ascii="Arial" w:hAnsi="Arial" w:cs="Arial"/>
        </w:rPr>
        <w:t>Author(s) hereby declare</w:t>
      </w:r>
      <w:r w:rsidR="002354C1">
        <w:rPr>
          <w:rFonts w:ascii="Arial" w:hAnsi="Arial" w:cs="Arial"/>
        </w:rPr>
        <w:t>d</w:t>
      </w:r>
      <w:r w:rsidRPr="00D821B0">
        <w:rPr>
          <w:rFonts w:ascii="Arial" w:hAnsi="Arial" w:cs="Arial"/>
        </w:rPr>
        <w:t xml:space="preserve"> that NO generative AI technologies such as Large Language Models (ChatGPT, COPILOT, etc.) and text-to-image generators have been used during the writing or editing of this manuscript. </w:t>
      </w:r>
    </w:p>
    <w:p w14:paraId="3DDEF83C" w14:textId="77777777" w:rsidR="00D821B0" w:rsidRDefault="00D821B0" w:rsidP="006A1703">
      <w:pPr>
        <w:pStyle w:val="Body"/>
        <w:spacing w:after="0"/>
        <w:rPr>
          <w:rFonts w:ascii="Arial" w:hAnsi="Arial" w:cs="Arial"/>
        </w:rPr>
      </w:pPr>
    </w:p>
    <w:p w14:paraId="3326835A" w14:textId="77777777" w:rsidR="004B0547" w:rsidRPr="004B0547" w:rsidRDefault="004B0547" w:rsidP="004B0547">
      <w:pPr>
        <w:jc w:val="both"/>
        <w:rPr>
          <w:rFonts w:ascii="Arial" w:hAnsi="Arial" w:cs="Arial"/>
          <w:b/>
          <w:sz w:val="22"/>
          <w:szCs w:val="22"/>
        </w:rPr>
      </w:pPr>
      <w:r w:rsidRPr="004B0547">
        <w:rPr>
          <w:rFonts w:ascii="Arial" w:hAnsi="Arial" w:cs="Arial"/>
          <w:b/>
          <w:sz w:val="22"/>
          <w:szCs w:val="22"/>
        </w:rPr>
        <w:t>Acknowledgements</w:t>
      </w:r>
    </w:p>
    <w:p w14:paraId="6789E13E" w14:textId="77777777" w:rsidR="004B0547" w:rsidRPr="004B0547" w:rsidRDefault="004B0547" w:rsidP="004B0547">
      <w:pPr>
        <w:jc w:val="both"/>
        <w:rPr>
          <w:rFonts w:ascii="Arial" w:hAnsi="Arial" w:cs="Arial"/>
        </w:rPr>
      </w:pPr>
    </w:p>
    <w:p w14:paraId="5B0C5E64" w14:textId="77777777" w:rsidR="004B0547" w:rsidRDefault="004B0547" w:rsidP="004B0547">
      <w:pPr>
        <w:jc w:val="both"/>
        <w:rPr>
          <w:rFonts w:ascii="Arial" w:hAnsi="Arial" w:cs="Arial"/>
        </w:rPr>
      </w:pPr>
      <w:r w:rsidRPr="004B0547">
        <w:rPr>
          <w:rFonts w:ascii="Arial" w:hAnsi="Arial" w:cs="Arial"/>
        </w:rPr>
        <w:t xml:space="preserve">Author would like to thank her advisory committee for their enormous support and encouragement throughout her research work. She also extends her gratitude to the CoA, CAU, Imphal for providing the opportunity to carry out this research as part of the Master’s degree </w:t>
      </w:r>
      <w:proofErr w:type="spellStart"/>
      <w:r w:rsidRPr="004B0547">
        <w:rPr>
          <w:rFonts w:ascii="Arial" w:hAnsi="Arial" w:cs="Arial"/>
        </w:rPr>
        <w:t>programme</w:t>
      </w:r>
      <w:proofErr w:type="spellEnd"/>
      <w:r w:rsidRPr="004B0547">
        <w:rPr>
          <w:rFonts w:ascii="Arial" w:hAnsi="Arial" w:cs="Arial"/>
        </w:rPr>
        <w:t>.</w:t>
      </w:r>
    </w:p>
    <w:p w14:paraId="2717CBAE" w14:textId="77777777" w:rsidR="002A157D" w:rsidRDefault="002A157D" w:rsidP="006A1703">
      <w:pPr>
        <w:pStyle w:val="Body"/>
        <w:spacing w:after="0"/>
        <w:rPr>
          <w:rFonts w:ascii="Arial" w:hAnsi="Arial" w:cs="Arial"/>
          <w:b/>
          <w:bCs/>
          <w:sz w:val="22"/>
          <w:szCs w:val="22"/>
        </w:rPr>
      </w:pPr>
    </w:p>
    <w:p w14:paraId="227C457C" w14:textId="77777777" w:rsidR="00FD252A" w:rsidRDefault="00FD252A" w:rsidP="006A1703">
      <w:pPr>
        <w:pStyle w:val="Body"/>
        <w:spacing w:after="0"/>
        <w:rPr>
          <w:rFonts w:ascii="Arial" w:hAnsi="Arial" w:cs="Arial"/>
          <w:b/>
          <w:bCs/>
          <w:lang w:val="en-IN"/>
        </w:rPr>
      </w:pPr>
    </w:p>
    <w:p w14:paraId="2BDE101A" w14:textId="19232653" w:rsidR="00FD252A" w:rsidRDefault="00FD252A" w:rsidP="00FD252A">
      <w:pPr>
        <w:pStyle w:val="Body"/>
        <w:spacing w:after="0"/>
        <w:rPr>
          <w:rFonts w:ascii="Arial" w:hAnsi="Arial" w:cs="Arial"/>
          <w:b/>
          <w:bCs/>
          <w:lang w:val="en-IN"/>
        </w:rPr>
      </w:pPr>
      <w:r w:rsidRPr="006576C1">
        <w:rPr>
          <w:rFonts w:ascii="Arial" w:hAnsi="Arial" w:cs="Arial"/>
          <w:b/>
          <w:bCs/>
          <w:lang w:val="en-IN"/>
        </w:rPr>
        <w:t xml:space="preserve">REFERENCES </w:t>
      </w:r>
    </w:p>
    <w:p w14:paraId="560657D6" w14:textId="77777777" w:rsidR="00D821B0" w:rsidRPr="006576C1" w:rsidRDefault="00D821B0" w:rsidP="00FD252A">
      <w:pPr>
        <w:pStyle w:val="Body"/>
        <w:spacing w:after="0"/>
        <w:rPr>
          <w:rFonts w:ascii="Arial" w:hAnsi="Arial" w:cs="Arial"/>
          <w:b/>
          <w:bCs/>
          <w:lang w:val="en-IN"/>
        </w:rPr>
      </w:pPr>
    </w:p>
    <w:p w14:paraId="011C7956" w14:textId="2DE4A30D" w:rsidR="00FD252A" w:rsidRPr="006576C1" w:rsidRDefault="00FD252A" w:rsidP="007676BD">
      <w:pPr>
        <w:pStyle w:val="Body"/>
        <w:numPr>
          <w:ilvl w:val="1"/>
          <w:numId w:val="2"/>
        </w:numPr>
        <w:spacing w:after="0"/>
        <w:rPr>
          <w:rFonts w:ascii="Arial" w:hAnsi="Arial" w:cs="Arial"/>
          <w:lang w:val="en-IN"/>
        </w:rPr>
      </w:pPr>
      <w:r w:rsidRPr="006576C1">
        <w:rPr>
          <w:rFonts w:ascii="Arial" w:hAnsi="Arial" w:cs="Arial"/>
          <w:lang w:val="en-IN"/>
        </w:rPr>
        <w:t xml:space="preserve">Chadha, K. L., &amp; Pareek, O. P. (1993). </w:t>
      </w:r>
      <w:r w:rsidRPr="006576C1">
        <w:rPr>
          <w:rFonts w:ascii="Arial" w:hAnsi="Arial" w:cs="Arial"/>
          <w:i/>
          <w:iCs/>
          <w:lang w:val="en-IN"/>
        </w:rPr>
        <w:t>Advances in Horticulture</w:t>
      </w:r>
      <w:r w:rsidRPr="006576C1">
        <w:rPr>
          <w:rFonts w:ascii="Arial" w:hAnsi="Arial" w:cs="Arial"/>
          <w:lang w:val="en-IN"/>
        </w:rPr>
        <w:t>.</w:t>
      </w:r>
    </w:p>
    <w:p w14:paraId="3C677B16" w14:textId="7B8469DC" w:rsidR="00FD252A" w:rsidRPr="006576C1" w:rsidRDefault="00FD252A" w:rsidP="007676BD">
      <w:pPr>
        <w:pStyle w:val="Body"/>
        <w:numPr>
          <w:ilvl w:val="1"/>
          <w:numId w:val="2"/>
        </w:numPr>
        <w:spacing w:after="0"/>
        <w:rPr>
          <w:rFonts w:ascii="Arial" w:hAnsi="Arial" w:cs="Arial"/>
          <w:lang w:val="en-IN"/>
        </w:rPr>
      </w:pPr>
      <w:r w:rsidRPr="006576C1">
        <w:rPr>
          <w:rFonts w:ascii="Arial" w:hAnsi="Arial" w:cs="Arial"/>
          <w:lang w:val="en-IN"/>
        </w:rPr>
        <w:t>Aigner, D. J., Lovell, C. A. K., &amp; Schmidt, P. (1977). Journal of Econometrics, 6(1), 21–37. https://doi.org/10.1016/0304-4076(77)90052-5</w:t>
      </w:r>
    </w:p>
    <w:p w14:paraId="68E9C03A" w14:textId="2C166944" w:rsidR="00FD252A" w:rsidRPr="006576C1" w:rsidRDefault="00FD252A" w:rsidP="007676BD">
      <w:pPr>
        <w:pStyle w:val="Body"/>
        <w:numPr>
          <w:ilvl w:val="1"/>
          <w:numId w:val="2"/>
        </w:numPr>
        <w:spacing w:after="0"/>
        <w:rPr>
          <w:rFonts w:ascii="Arial" w:hAnsi="Arial" w:cs="Arial"/>
          <w:lang w:val="en-IN"/>
        </w:rPr>
      </w:pPr>
      <w:r w:rsidRPr="006576C1">
        <w:rPr>
          <w:rFonts w:ascii="Arial" w:hAnsi="Arial" w:cs="Arial"/>
          <w:lang w:val="en-IN"/>
        </w:rPr>
        <w:t xml:space="preserve">Meeusen, W., &amp; van den Broeck, J. (1977). International Economic Review, 18(2), 435–444. </w:t>
      </w:r>
      <w:hyperlink r:id="rId16" w:tgtFrame="_new" w:history="1">
        <w:r w:rsidRPr="006576C1">
          <w:rPr>
            <w:rStyle w:val="Hyperlink"/>
            <w:rFonts w:ascii="Arial" w:hAnsi="Arial" w:cs="Arial"/>
            <w:lang w:val="en-IN"/>
          </w:rPr>
          <w:t>https://doi.org/10.2307/2525757</w:t>
        </w:r>
      </w:hyperlink>
    </w:p>
    <w:p w14:paraId="6A805014" w14:textId="7757353B" w:rsidR="00FD252A" w:rsidRPr="006576C1" w:rsidRDefault="00FD252A" w:rsidP="007676BD">
      <w:pPr>
        <w:pStyle w:val="Body"/>
        <w:numPr>
          <w:ilvl w:val="1"/>
          <w:numId w:val="2"/>
        </w:numPr>
        <w:spacing w:after="0"/>
        <w:rPr>
          <w:rFonts w:ascii="Arial" w:hAnsi="Arial" w:cs="Arial"/>
          <w:lang w:val="en-IN"/>
        </w:rPr>
      </w:pPr>
      <w:proofErr w:type="spellStart"/>
      <w:r w:rsidRPr="006576C1">
        <w:rPr>
          <w:rFonts w:ascii="Arial" w:hAnsi="Arial" w:cs="Arial"/>
          <w:lang w:val="en-IN"/>
        </w:rPr>
        <w:t>Battese</w:t>
      </w:r>
      <w:proofErr w:type="spellEnd"/>
      <w:r w:rsidRPr="006576C1">
        <w:rPr>
          <w:rFonts w:ascii="Arial" w:hAnsi="Arial" w:cs="Arial"/>
          <w:lang w:val="en-IN"/>
        </w:rPr>
        <w:t xml:space="preserve">, G. E., &amp; </w:t>
      </w:r>
      <w:proofErr w:type="spellStart"/>
      <w:r w:rsidRPr="006576C1">
        <w:rPr>
          <w:rFonts w:ascii="Arial" w:hAnsi="Arial" w:cs="Arial"/>
          <w:lang w:val="en-IN"/>
        </w:rPr>
        <w:t>Coelli</w:t>
      </w:r>
      <w:proofErr w:type="spellEnd"/>
      <w:r w:rsidRPr="006576C1">
        <w:rPr>
          <w:rFonts w:ascii="Arial" w:hAnsi="Arial" w:cs="Arial"/>
          <w:lang w:val="en-IN"/>
        </w:rPr>
        <w:t xml:space="preserve">, T. J. (1995). Empirical Economics, 20(2), 325–332. </w:t>
      </w:r>
      <w:hyperlink r:id="rId17" w:tgtFrame="_new" w:history="1">
        <w:r w:rsidRPr="006576C1">
          <w:rPr>
            <w:rStyle w:val="Hyperlink"/>
            <w:rFonts w:ascii="Arial" w:hAnsi="Arial" w:cs="Arial"/>
            <w:lang w:val="en-IN"/>
          </w:rPr>
          <w:t>https://doi.org/10.1007/BF01205442</w:t>
        </w:r>
      </w:hyperlink>
    </w:p>
    <w:p w14:paraId="0C366F35" w14:textId="29DA4D41" w:rsidR="00FD252A" w:rsidRPr="00375469" w:rsidRDefault="00FD252A" w:rsidP="007676BD">
      <w:pPr>
        <w:pStyle w:val="Body"/>
        <w:numPr>
          <w:ilvl w:val="1"/>
          <w:numId w:val="2"/>
        </w:numPr>
        <w:spacing w:after="0"/>
        <w:rPr>
          <w:rFonts w:ascii="Arial" w:hAnsi="Arial" w:cs="Arial"/>
          <w:lang w:val="en-IN"/>
        </w:rPr>
      </w:pPr>
      <w:r w:rsidRPr="006576C1">
        <w:rPr>
          <w:rFonts w:ascii="Arial" w:hAnsi="Arial" w:cs="Arial"/>
          <w:lang w:val="en-IN"/>
        </w:rPr>
        <w:t xml:space="preserve">Government of India. (2023). </w:t>
      </w:r>
      <w:r w:rsidRPr="006576C1">
        <w:rPr>
          <w:rFonts w:ascii="Arial" w:hAnsi="Arial" w:cs="Arial"/>
          <w:i/>
          <w:iCs/>
          <w:lang w:val="en-IN"/>
        </w:rPr>
        <w:t>Horticultural Statistics at a Glance</w:t>
      </w:r>
      <w:r w:rsidRPr="006576C1">
        <w:rPr>
          <w:rFonts w:ascii="Arial" w:hAnsi="Arial" w:cs="Arial"/>
          <w:lang w:val="en-IN"/>
        </w:rPr>
        <w:t xml:space="preserve">. Ministry of Agriculture &amp; Farmers Welfare. </w:t>
      </w:r>
      <w:hyperlink r:id="rId18" w:history="1">
        <w:r w:rsidR="00D821B0" w:rsidRPr="006576C1">
          <w:rPr>
            <w:rStyle w:val="Hyperlink"/>
            <w:rFonts w:ascii="Arial" w:hAnsi="Arial" w:cs="Arial"/>
            <w:lang w:val="en-IN"/>
          </w:rPr>
          <w:t>https://agricoop.nic.in</w:t>
        </w:r>
      </w:hyperlink>
      <w:r w:rsidR="00D821B0">
        <w:rPr>
          <w:rFonts w:ascii="Arial" w:hAnsi="Arial" w:cs="Arial"/>
          <w:lang w:val="en-IN"/>
        </w:rPr>
        <w:t xml:space="preserve"> </w:t>
      </w:r>
    </w:p>
    <w:p w14:paraId="504C84C9" w14:textId="160CC2FE" w:rsidR="006A1703" w:rsidRPr="006A1703" w:rsidRDefault="006A1703" w:rsidP="007676BD">
      <w:pPr>
        <w:pStyle w:val="Body"/>
        <w:numPr>
          <w:ilvl w:val="1"/>
          <w:numId w:val="2"/>
        </w:numPr>
        <w:spacing w:after="0"/>
        <w:rPr>
          <w:rFonts w:ascii="Arial" w:hAnsi="Arial" w:cs="Arial"/>
          <w:lang w:val="en-IN"/>
        </w:rPr>
      </w:pPr>
      <w:r w:rsidRPr="006A1703">
        <w:rPr>
          <w:rFonts w:ascii="Arial" w:hAnsi="Arial" w:cs="Arial"/>
          <w:lang w:val="en-IN"/>
        </w:rPr>
        <w:t xml:space="preserve">Sultana, S., Hossain, M. M., &amp; Haque, M. N. (2023). Estimating the potato farming efficiency: A comparative study between stochastic frontier analysis and data envelopment analysis. </w:t>
      </w:r>
      <w:r w:rsidRPr="006A1703">
        <w:rPr>
          <w:rFonts w:ascii="Arial" w:hAnsi="Arial" w:cs="Arial"/>
          <w:i/>
          <w:iCs/>
          <w:lang w:val="en-IN"/>
        </w:rPr>
        <w:t>PLOS ONE, 18</w:t>
      </w:r>
      <w:r w:rsidRPr="006A1703">
        <w:rPr>
          <w:rFonts w:ascii="Arial" w:hAnsi="Arial" w:cs="Arial"/>
          <w:lang w:val="en-IN"/>
        </w:rPr>
        <w:t xml:space="preserve">(4), e0284391. </w:t>
      </w:r>
      <w:hyperlink r:id="rId19" w:history="1">
        <w:r w:rsidR="00D821B0" w:rsidRPr="006A1703">
          <w:rPr>
            <w:rStyle w:val="Hyperlink"/>
            <w:rFonts w:ascii="Arial" w:hAnsi="Arial" w:cs="Arial"/>
            <w:lang w:val="en-IN"/>
          </w:rPr>
          <w:t>https://doi.org/10.1371/journal.pone.0284391</w:t>
        </w:r>
      </w:hyperlink>
      <w:r w:rsidR="00D821B0">
        <w:rPr>
          <w:rFonts w:ascii="Arial" w:hAnsi="Arial" w:cs="Arial"/>
          <w:lang w:val="en-IN"/>
        </w:rPr>
        <w:t xml:space="preserve"> </w:t>
      </w:r>
    </w:p>
    <w:p w14:paraId="5C854FCF" w14:textId="6E3D1239" w:rsidR="006A1703" w:rsidRPr="006A1703" w:rsidRDefault="006A1703" w:rsidP="007676BD">
      <w:pPr>
        <w:pStyle w:val="Body"/>
        <w:numPr>
          <w:ilvl w:val="1"/>
          <w:numId w:val="2"/>
        </w:numPr>
        <w:spacing w:after="0"/>
        <w:rPr>
          <w:rFonts w:ascii="Arial" w:hAnsi="Arial" w:cs="Arial"/>
          <w:lang w:val="en-IN"/>
        </w:rPr>
      </w:pPr>
      <w:r w:rsidRPr="006A1703">
        <w:rPr>
          <w:rFonts w:ascii="Arial" w:hAnsi="Arial" w:cs="Arial"/>
          <w:lang w:val="en-IN"/>
        </w:rPr>
        <w:t xml:space="preserve">Tadesse, T., Geta, E., &amp; Bogale, A. (2020). Technical efficiency of maize production in Ethiopia. </w:t>
      </w:r>
      <w:r w:rsidRPr="006A1703">
        <w:rPr>
          <w:rFonts w:ascii="Arial" w:hAnsi="Arial" w:cs="Arial"/>
          <w:i/>
          <w:iCs/>
          <w:lang w:val="en-IN"/>
        </w:rPr>
        <w:t>Agriculture &amp; Food Security, 9</w:t>
      </w:r>
      <w:r w:rsidRPr="006A1703">
        <w:rPr>
          <w:rFonts w:ascii="Arial" w:hAnsi="Arial" w:cs="Arial"/>
          <w:lang w:val="en-IN"/>
        </w:rPr>
        <w:t xml:space="preserve">(1), 1–14. </w:t>
      </w:r>
      <w:hyperlink r:id="rId20" w:history="1">
        <w:r w:rsidR="00D821B0" w:rsidRPr="006A1703">
          <w:rPr>
            <w:rStyle w:val="Hyperlink"/>
            <w:rFonts w:ascii="Arial" w:hAnsi="Arial" w:cs="Arial"/>
            <w:lang w:val="en-IN"/>
          </w:rPr>
          <w:t>https://doi.org/10.1186/s40066-020-00270-w</w:t>
        </w:r>
      </w:hyperlink>
      <w:r w:rsidR="00D821B0">
        <w:rPr>
          <w:rFonts w:ascii="Arial" w:hAnsi="Arial" w:cs="Arial"/>
          <w:lang w:val="en-IN"/>
        </w:rPr>
        <w:t xml:space="preserve"> </w:t>
      </w:r>
    </w:p>
    <w:p w14:paraId="615237E2" w14:textId="2C0B3165" w:rsidR="006A1703" w:rsidRPr="006A1703" w:rsidRDefault="006A1703" w:rsidP="007676BD">
      <w:pPr>
        <w:pStyle w:val="Body"/>
        <w:numPr>
          <w:ilvl w:val="1"/>
          <w:numId w:val="2"/>
        </w:numPr>
        <w:spacing w:after="0"/>
        <w:rPr>
          <w:rFonts w:ascii="Arial" w:hAnsi="Arial" w:cs="Arial"/>
          <w:lang w:val="en-IN"/>
        </w:rPr>
      </w:pPr>
      <w:r w:rsidRPr="006A1703">
        <w:rPr>
          <w:rFonts w:ascii="Arial" w:hAnsi="Arial" w:cs="Arial"/>
          <w:lang w:val="en-IN"/>
        </w:rPr>
        <w:t xml:space="preserve">Oumer, A. M., </w:t>
      </w:r>
      <w:proofErr w:type="spellStart"/>
      <w:r w:rsidRPr="006A1703">
        <w:rPr>
          <w:rFonts w:ascii="Arial" w:hAnsi="Arial" w:cs="Arial"/>
          <w:lang w:val="en-IN"/>
        </w:rPr>
        <w:t>Mugera</w:t>
      </w:r>
      <w:proofErr w:type="spellEnd"/>
      <w:r w:rsidRPr="006A1703">
        <w:rPr>
          <w:rFonts w:ascii="Arial" w:hAnsi="Arial" w:cs="Arial"/>
          <w:lang w:val="en-IN"/>
        </w:rPr>
        <w:t xml:space="preserve">, A., Burton, M., &amp; Hailu, A. (2022). Technical efficiency and firm heterogeneity in stochastic frontier models. </w:t>
      </w:r>
      <w:r w:rsidRPr="006A1703">
        <w:rPr>
          <w:rFonts w:ascii="Arial" w:hAnsi="Arial" w:cs="Arial"/>
          <w:i/>
          <w:iCs/>
          <w:lang w:val="en-IN"/>
        </w:rPr>
        <w:t>Journal of Productivity Analysis, 58</w:t>
      </w:r>
      <w:r w:rsidRPr="006A1703">
        <w:rPr>
          <w:rFonts w:ascii="Arial" w:hAnsi="Arial" w:cs="Arial"/>
          <w:lang w:val="en-IN"/>
        </w:rPr>
        <w:t xml:space="preserve">(3), 1–17. </w:t>
      </w:r>
      <w:hyperlink r:id="rId21" w:history="1">
        <w:r w:rsidR="00D821B0" w:rsidRPr="006A1703">
          <w:rPr>
            <w:rStyle w:val="Hyperlink"/>
            <w:rFonts w:ascii="Arial" w:hAnsi="Arial" w:cs="Arial"/>
            <w:lang w:val="en-IN"/>
          </w:rPr>
          <w:t>https://doi.org/10.1007/s11123-022-00627-2</w:t>
        </w:r>
      </w:hyperlink>
      <w:r w:rsidR="00D821B0">
        <w:rPr>
          <w:rFonts w:ascii="Arial" w:hAnsi="Arial" w:cs="Arial"/>
          <w:lang w:val="en-IN"/>
        </w:rPr>
        <w:t xml:space="preserve"> </w:t>
      </w:r>
    </w:p>
    <w:p w14:paraId="3F958FC2" w14:textId="6F0FE5DA" w:rsidR="00D821B0" w:rsidRPr="006A1703" w:rsidRDefault="006A1703" w:rsidP="007676BD">
      <w:pPr>
        <w:pStyle w:val="Body"/>
        <w:numPr>
          <w:ilvl w:val="1"/>
          <w:numId w:val="2"/>
        </w:numPr>
        <w:spacing w:after="0"/>
        <w:rPr>
          <w:rFonts w:ascii="Arial" w:hAnsi="Arial" w:cs="Arial"/>
          <w:lang w:val="en-IN"/>
        </w:rPr>
      </w:pPr>
      <w:proofErr w:type="spellStart"/>
      <w:r w:rsidRPr="006A1703">
        <w:rPr>
          <w:rFonts w:ascii="Arial" w:hAnsi="Arial" w:cs="Arial"/>
          <w:lang w:val="en-IN"/>
        </w:rPr>
        <w:t>Ogundari</w:t>
      </w:r>
      <w:proofErr w:type="spellEnd"/>
      <w:r w:rsidRPr="006A1703">
        <w:rPr>
          <w:rFonts w:ascii="Arial" w:hAnsi="Arial" w:cs="Arial"/>
          <w:lang w:val="en-IN"/>
        </w:rPr>
        <w:t xml:space="preserve">, K. (2014). The paradigm of agricultural efficiency and its implication on food security in Africa. </w:t>
      </w:r>
      <w:r w:rsidRPr="006A1703">
        <w:rPr>
          <w:rFonts w:ascii="Arial" w:hAnsi="Arial" w:cs="Arial"/>
          <w:i/>
          <w:iCs/>
          <w:lang w:val="en-IN"/>
        </w:rPr>
        <w:t>African Journal of Economic and Management Studies, 5</w:t>
      </w:r>
      <w:r w:rsidRPr="006A1703">
        <w:rPr>
          <w:rFonts w:ascii="Arial" w:hAnsi="Arial" w:cs="Arial"/>
          <w:lang w:val="en-IN"/>
        </w:rPr>
        <w:t xml:space="preserve">(1), 28–44. </w:t>
      </w:r>
      <w:hyperlink r:id="rId22" w:history="1">
        <w:r w:rsidR="00D821B0" w:rsidRPr="006A1703">
          <w:rPr>
            <w:rStyle w:val="Hyperlink"/>
            <w:rFonts w:ascii="Arial" w:hAnsi="Arial" w:cs="Arial"/>
            <w:lang w:val="en-IN"/>
          </w:rPr>
          <w:t>https://doi.org/10.1108/AJEMS-03-2013-0027</w:t>
        </w:r>
      </w:hyperlink>
      <w:r w:rsidR="00D821B0">
        <w:rPr>
          <w:rFonts w:ascii="Arial" w:hAnsi="Arial" w:cs="Arial"/>
          <w:lang w:val="en-IN"/>
        </w:rPr>
        <w:t xml:space="preserve"> </w:t>
      </w:r>
    </w:p>
    <w:p w14:paraId="40695F6C" w14:textId="6C5ADA63" w:rsidR="006A1703" w:rsidRPr="006A1703" w:rsidRDefault="006A1703" w:rsidP="007676BD">
      <w:pPr>
        <w:pStyle w:val="Body"/>
        <w:numPr>
          <w:ilvl w:val="1"/>
          <w:numId w:val="2"/>
        </w:numPr>
        <w:spacing w:after="0"/>
        <w:rPr>
          <w:rFonts w:ascii="Arial" w:hAnsi="Arial" w:cs="Arial"/>
          <w:lang w:val="en-IN"/>
        </w:rPr>
      </w:pPr>
      <w:r w:rsidRPr="006A1703">
        <w:rPr>
          <w:rFonts w:ascii="Arial" w:hAnsi="Arial" w:cs="Arial"/>
          <w:lang w:val="en-IN"/>
        </w:rPr>
        <w:t xml:space="preserve">Alene, A. D., </w:t>
      </w:r>
      <w:proofErr w:type="spellStart"/>
      <w:r w:rsidRPr="006A1703">
        <w:rPr>
          <w:rFonts w:ascii="Arial" w:hAnsi="Arial" w:cs="Arial"/>
          <w:lang w:val="en-IN"/>
        </w:rPr>
        <w:t>Manyong</w:t>
      </w:r>
      <w:proofErr w:type="spellEnd"/>
      <w:r w:rsidRPr="006A1703">
        <w:rPr>
          <w:rFonts w:ascii="Arial" w:hAnsi="Arial" w:cs="Arial"/>
          <w:lang w:val="en-IN"/>
        </w:rPr>
        <w:t xml:space="preserve">, V. M., &amp; </w:t>
      </w:r>
      <w:proofErr w:type="spellStart"/>
      <w:r w:rsidRPr="006A1703">
        <w:rPr>
          <w:rFonts w:ascii="Arial" w:hAnsi="Arial" w:cs="Arial"/>
          <w:lang w:val="en-IN"/>
        </w:rPr>
        <w:t>Gockowski</w:t>
      </w:r>
      <w:proofErr w:type="spellEnd"/>
      <w:r w:rsidRPr="006A1703">
        <w:rPr>
          <w:rFonts w:ascii="Arial" w:hAnsi="Arial" w:cs="Arial"/>
          <w:lang w:val="en-IN"/>
        </w:rPr>
        <w:t xml:space="preserve">, J. (2006). The production efficiency of intercropping annual and perennial crops in southern Ethiopia. </w:t>
      </w:r>
      <w:r w:rsidRPr="006A1703">
        <w:rPr>
          <w:rFonts w:ascii="Arial" w:hAnsi="Arial" w:cs="Arial"/>
          <w:i/>
          <w:iCs/>
          <w:lang w:val="en-IN"/>
        </w:rPr>
        <w:t>Agricultural Systems, 91</w:t>
      </w:r>
      <w:r w:rsidRPr="006A1703">
        <w:rPr>
          <w:rFonts w:ascii="Arial" w:hAnsi="Arial" w:cs="Arial"/>
          <w:lang w:val="en-IN"/>
        </w:rPr>
        <w:t xml:space="preserve">(1–2), 51–72. </w:t>
      </w:r>
      <w:hyperlink r:id="rId23" w:history="1">
        <w:r w:rsidR="00D821B0" w:rsidRPr="006A1703">
          <w:rPr>
            <w:rStyle w:val="Hyperlink"/>
            <w:rFonts w:ascii="Arial" w:hAnsi="Arial" w:cs="Arial"/>
            <w:lang w:val="en-IN"/>
          </w:rPr>
          <w:t>https://doi.org/10.1016/j.agsy.2006.01.005</w:t>
        </w:r>
      </w:hyperlink>
      <w:r w:rsidR="00D821B0">
        <w:rPr>
          <w:rFonts w:ascii="Arial" w:hAnsi="Arial" w:cs="Arial"/>
          <w:lang w:val="en-IN"/>
        </w:rPr>
        <w:t xml:space="preserve"> </w:t>
      </w:r>
    </w:p>
    <w:p w14:paraId="257E80C3" w14:textId="0A1931C7" w:rsidR="006A1703" w:rsidRPr="006A1703" w:rsidRDefault="006A1703" w:rsidP="007676BD">
      <w:pPr>
        <w:pStyle w:val="Body"/>
        <w:numPr>
          <w:ilvl w:val="1"/>
          <w:numId w:val="2"/>
        </w:numPr>
        <w:spacing w:after="0"/>
        <w:rPr>
          <w:rFonts w:ascii="Arial" w:hAnsi="Arial" w:cs="Arial"/>
          <w:lang w:val="en-IN"/>
        </w:rPr>
      </w:pPr>
      <w:r w:rsidRPr="006A1703">
        <w:rPr>
          <w:rFonts w:ascii="Arial" w:hAnsi="Arial" w:cs="Arial"/>
          <w:lang w:val="en-IN"/>
        </w:rPr>
        <w:t xml:space="preserve">Kumbhakar, S. C., &amp; Lovell, C. A. K. (2000). </w:t>
      </w:r>
      <w:r w:rsidRPr="006A1703">
        <w:rPr>
          <w:rFonts w:ascii="Arial" w:hAnsi="Arial" w:cs="Arial"/>
          <w:i/>
          <w:iCs/>
          <w:lang w:val="en-IN"/>
        </w:rPr>
        <w:t>Stochastic frontier analysis</w:t>
      </w:r>
      <w:r w:rsidRPr="006A1703">
        <w:rPr>
          <w:rFonts w:ascii="Arial" w:hAnsi="Arial" w:cs="Arial"/>
          <w:lang w:val="en-IN"/>
        </w:rPr>
        <w:t xml:space="preserve">. Cambridge University Press. </w:t>
      </w:r>
      <w:hyperlink r:id="rId24" w:history="1">
        <w:r w:rsidR="00D821B0" w:rsidRPr="006A1703">
          <w:rPr>
            <w:rStyle w:val="Hyperlink"/>
            <w:rFonts w:ascii="Arial" w:hAnsi="Arial" w:cs="Arial"/>
            <w:lang w:val="en-IN"/>
          </w:rPr>
          <w:t>https://doi.org/10.1017/CBO9781139174411</w:t>
        </w:r>
      </w:hyperlink>
      <w:r w:rsidR="00D821B0">
        <w:rPr>
          <w:rFonts w:ascii="Arial" w:hAnsi="Arial" w:cs="Arial"/>
          <w:lang w:val="en-IN"/>
        </w:rPr>
        <w:t xml:space="preserve"> </w:t>
      </w:r>
    </w:p>
    <w:p w14:paraId="111E4CCC" w14:textId="77777777" w:rsidR="001C1813" w:rsidRPr="001C1813" w:rsidRDefault="00DD794C" w:rsidP="007676BD">
      <w:pPr>
        <w:pStyle w:val="Body"/>
        <w:numPr>
          <w:ilvl w:val="1"/>
          <w:numId w:val="2"/>
        </w:numPr>
        <w:spacing w:after="0"/>
        <w:rPr>
          <w:rFonts w:ascii="Arial" w:hAnsi="Arial" w:cs="Arial"/>
          <w:lang w:val="en-IN"/>
        </w:rPr>
      </w:pPr>
      <w:proofErr w:type="spellStart"/>
      <w:r w:rsidRPr="00DD794C">
        <w:rPr>
          <w:rFonts w:ascii="Arial" w:hAnsi="Arial" w:cs="Arial"/>
        </w:rPr>
        <w:t>Wongnaa</w:t>
      </w:r>
      <w:proofErr w:type="spellEnd"/>
      <w:r w:rsidRPr="00DD794C">
        <w:rPr>
          <w:rFonts w:ascii="Arial" w:hAnsi="Arial" w:cs="Arial"/>
        </w:rPr>
        <w:t xml:space="preserve">, C. A., </w:t>
      </w:r>
      <w:proofErr w:type="spellStart"/>
      <w:r w:rsidRPr="00DD794C">
        <w:rPr>
          <w:rFonts w:ascii="Arial" w:hAnsi="Arial" w:cs="Arial"/>
        </w:rPr>
        <w:t>Akuriba</w:t>
      </w:r>
      <w:proofErr w:type="spellEnd"/>
      <w:r w:rsidRPr="00DD794C">
        <w:rPr>
          <w:rFonts w:ascii="Arial" w:hAnsi="Arial" w:cs="Arial"/>
        </w:rPr>
        <w:t xml:space="preserve">, M. A., Ebenezer, A., Danquah, K. S., &amp; Ofosu, D. A. (2019). Profitability and constraints to urban exotic vegetable production systems in the Kumasi metropolis of Ghana: A recipe for job creation. </w:t>
      </w:r>
      <w:r w:rsidRPr="00DD794C">
        <w:rPr>
          <w:rFonts w:ascii="Arial" w:hAnsi="Arial" w:cs="Arial"/>
          <w:i/>
          <w:iCs/>
        </w:rPr>
        <w:t>Journal of Global Entrepreneurship Research</w:t>
      </w:r>
      <w:r w:rsidRPr="00DD794C">
        <w:rPr>
          <w:rFonts w:ascii="Arial" w:hAnsi="Arial" w:cs="Arial"/>
        </w:rPr>
        <w:t xml:space="preserve">, 9(1), 33. </w:t>
      </w:r>
      <w:hyperlink r:id="rId25" w:history="1">
        <w:r w:rsidRPr="00270271">
          <w:rPr>
            <w:rStyle w:val="Hyperlink"/>
            <w:rFonts w:ascii="Arial" w:hAnsi="Arial" w:cs="Arial"/>
          </w:rPr>
          <w:t>https://doi.org/10.1186/s40497-019-0158-2</w:t>
        </w:r>
      </w:hyperlink>
    </w:p>
    <w:p w14:paraId="21DCC085" w14:textId="08D8BCC0" w:rsidR="001C1813" w:rsidRPr="001C1813" w:rsidRDefault="001C1813" w:rsidP="007676BD">
      <w:pPr>
        <w:pStyle w:val="Body"/>
        <w:numPr>
          <w:ilvl w:val="1"/>
          <w:numId w:val="2"/>
        </w:numPr>
        <w:spacing w:after="0"/>
        <w:rPr>
          <w:rFonts w:ascii="Arial" w:hAnsi="Arial" w:cs="Arial"/>
          <w:lang w:val="en-IN"/>
        </w:rPr>
      </w:pPr>
      <w:r>
        <w:t xml:space="preserve">Rajendran, S. (2014). Technical efficiency of fruit and vegetable producers in Tamil Nadu, India: A stochastic frontier approach. </w:t>
      </w:r>
      <w:r>
        <w:rPr>
          <w:rStyle w:val="Emphasis"/>
        </w:rPr>
        <w:t xml:space="preserve">Asian Journal of </w:t>
      </w:r>
      <w:r>
        <w:rPr>
          <w:rStyle w:val="Emphasis"/>
        </w:rPr>
        <w:lastRenderedPageBreak/>
        <w:t>Agriculture and Development, 11</w:t>
      </w:r>
      <w:r>
        <w:t>(1), 77–93.</w:t>
      </w:r>
      <w:r>
        <w:br/>
      </w:r>
      <w:hyperlink r:id="rId26" w:history="1">
        <w:r w:rsidRPr="00305FB4">
          <w:rPr>
            <w:rStyle w:val="Hyperlink"/>
          </w:rPr>
          <w:t>https://doi.org/10.22004/ag.econ.200294</w:t>
        </w:r>
      </w:hyperlink>
    </w:p>
    <w:p w14:paraId="783342C3" w14:textId="77777777" w:rsidR="000938C1" w:rsidRPr="000938C1" w:rsidRDefault="001C1813" w:rsidP="007676BD">
      <w:pPr>
        <w:pStyle w:val="Body"/>
        <w:numPr>
          <w:ilvl w:val="1"/>
          <w:numId w:val="2"/>
        </w:numPr>
        <w:spacing w:after="0"/>
        <w:rPr>
          <w:rFonts w:ascii="Arial" w:hAnsi="Arial" w:cs="Arial"/>
          <w:lang w:val="en-IN"/>
        </w:rPr>
      </w:pPr>
      <w:r>
        <w:t xml:space="preserve">Sivasakthi Devi, T., Selvaraj, S., Sivasankari Devi, T., </w:t>
      </w:r>
      <w:proofErr w:type="spellStart"/>
      <w:r>
        <w:t>Pouchepparadjou</w:t>
      </w:r>
      <w:proofErr w:type="spellEnd"/>
      <w:r>
        <w:t>, A., Umamageswari, M., &amp; Chitra, K. (2023).</w:t>
      </w:r>
      <w:r>
        <w:br/>
        <w:t xml:space="preserve">Technical efficiency of tomato cultivation under precision farming in Tamil Nadu: A stochastic frontier approach. </w:t>
      </w:r>
      <w:r>
        <w:rPr>
          <w:rStyle w:val="Emphasis"/>
        </w:rPr>
        <w:t>International Journal of Statistics and Applied Mathematics, 8</w:t>
      </w:r>
      <w:r>
        <w:t>(6S), 666–670.</w:t>
      </w:r>
    </w:p>
    <w:p w14:paraId="31BD56CC" w14:textId="1458460B" w:rsidR="000938C1" w:rsidRPr="000938C1" w:rsidRDefault="000938C1" w:rsidP="007676BD">
      <w:pPr>
        <w:pStyle w:val="Body"/>
        <w:numPr>
          <w:ilvl w:val="1"/>
          <w:numId w:val="2"/>
        </w:numPr>
        <w:spacing w:after="0"/>
        <w:rPr>
          <w:rFonts w:ascii="Arial" w:hAnsi="Arial" w:cs="Arial"/>
          <w:lang w:val="en-IN"/>
        </w:rPr>
      </w:pPr>
      <w:r>
        <w:t>Mandla, I., &amp; Vaidya, M. K. (2023).</w:t>
      </w:r>
      <w:r>
        <w:br/>
        <w:t xml:space="preserve">Production function analysis for vegetable cultivation in Kullu valley of Himachal Pradesh: Application of Cobb–Douglas production model. </w:t>
      </w:r>
      <w:r>
        <w:rPr>
          <w:rStyle w:val="Emphasis"/>
        </w:rPr>
        <w:t>Journal of Horticultural Sciences, 18</w:t>
      </w:r>
      <w:r>
        <w:t>(1), 223–227.</w:t>
      </w:r>
      <w:r>
        <w:br/>
      </w:r>
      <w:hyperlink r:id="rId27" w:history="1">
        <w:r w:rsidRPr="00305FB4">
          <w:rPr>
            <w:rStyle w:val="Hyperlink"/>
          </w:rPr>
          <w:t>https://doi.org/10.24154/jhs.v18i1.2168</w:t>
        </w:r>
      </w:hyperlink>
    </w:p>
    <w:p w14:paraId="23B38C58" w14:textId="77777777" w:rsidR="00375469" w:rsidRPr="00375469" w:rsidRDefault="000938C1" w:rsidP="007676BD">
      <w:pPr>
        <w:pStyle w:val="Body"/>
        <w:numPr>
          <w:ilvl w:val="1"/>
          <w:numId w:val="2"/>
        </w:numPr>
        <w:spacing w:after="0"/>
        <w:rPr>
          <w:rFonts w:ascii="Arial" w:hAnsi="Arial" w:cs="Arial"/>
          <w:lang w:val="en-IN"/>
        </w:rPr>
      </w:pPr>
      <w:r>
        <w:t xml:space="preserve"> </w:t>
      </w:r>
      <w:r w:rsidR="00375469" w:rsidRPr="00375469">
        <w:t>Palathingal, D., &amp; Rajagopal, N. (2020).</w:t>
      </w:r>
      <w:r w:rsidR="00375469" w:rsidRPr="00375469">
        <w:br/>
        <w:t xml:space="preserve">Technical efficiency of organic vegetable farmers in Kerala: A stochastic frontier approach. </w:t>
      </w:r>
      <w:r w:rsidR="00375469" w:rsidRPr="00375469">
        <w:rPr>
          <w:i/>
          <w:iCs/>
        </w:rPr>
        <w:t>Indian Journal of Economics and Development, 16</w:t>
      </w:r>
      <w:r w:rsidR="00375469" w:rsidRPr="00375469">
        <w:t>(1), 131–136.</w:t>
      </w:r>
      <w:r w:rsidR="00375469">
        <w:t xml:space="preserve"> </w:t>
      </w:r>
      <w:hyperlink r:id="rId28" w:history="1">
        <w:r w:rsidR="00375469" w:rsidRPr="00305FB4">
          <w:rPr>
            <w:rStyle w:val="Hyperlink"/>
          </w:rPr>
          <w:t>https://doi.org/10.35716/ijed/19119</w:t>
        </w:r>
      </w:hyperlink>
    </w:p>
    <w:p w14:paraId="4A0A706B" w14:textId="26FCCBCE" w:rsidR="00375469" w:rsidRPr="00375469" w:rsidRDefault="00375469" w:rsidP="007676BD">
      <w:pPr>
        <w:pStyle w:val="Body"/>
        <w:numPr>
          <w:ilvl w:val="1"/>
          <w:numId w:val="2"/>
        </w:numPr>
        <w:spacing w:after="0"/>
        <w:rPr>
          <w:rFonts w:ascii="Arial" w:hAnsi="Arial" w:cs="Arial"/>
          <w:lang w:val="en-IN"/>
        </w:rPr>
      </w:pPr>
      <w:r w:rsidRPr="00375469">
        <w:t>Government of India. (2024).</w:t>
      </w:r>
      <w:r w:rsidRPr="00375469">
        <w:br/>
      </w:r>
      <w:r w:rsidRPr="00375469">
        <w:rPr>
          <w:i/>
          <w:iCs/>
        </w:rPr>
        <w:t>Area, production and yield of horticultural crops in Manipur.</w:t>
      </w:r>
      <w:r w:rsidRPr="00375469">
        <w:br/>
        <w:t>Directorate of Economics and Statistics, Ministry of Agriculture &amp; Farmers Welfare.</w:t>
      </w:r>
      <w:r>
        <w:t xml:space="preserve"> </w:t>
      </w:r>
      <w:r w:rsidRPr="00375469">
        <w:t xml:space="preserve">Retrieved from </w:t>
      </w:r>
      <w:hyperlink r:id="rId29" w:tgtFrame="_new" w:history="1">
        <w:r w:rsidRPr="00375469">
          <w:rPr>
            <w:rStyle w:val="Hyperlink"/>
          </w:rPr>
          <w:t>https://www.indiastat.com</w:t>
        </w:r>
      </w:hyperlink>
      <w:r>
        <w:t xml:space="preserve"> </w:t>
      </w:r>
    </w:p>
    <w:p w14:paraId="7EA56CDC" w14:textId="55478265" w:rsidR="001C1813" w:rsidRPr="00382154" w:rsidRDefault="00382154" w:rsidP="007676BD">
      <w:pPr>
        <w:pStyle w:val="Body"/>
        <w:numPr>
          <w:ilvl w:val="1"/>
          <w:numId w:val="2"/>
        </w:numPr>
        <w:spacing w:after="0"/>
        <w:rPr>
          <w:rFonts w:ascii="Arial" w:hAnsi="Arial" w:cs="Arial"/>
          <w:lang w:val="en-IN"/>
        </w:rPr>
      </w:pPr>
      <w:r w:rsidRPr="00382154">
        <w:rPr>
          <w:rFonts w:ascii="Arial" w:hAnsi="Arial" w:cs="Arial"/>
        </w:rPr>
        <w:t>Ashrit, R. R. (2023).</w:t>
      </w:r>
      <w:r w:rsidRPr="00382154">
        <w:rPr>
          <w:rFonts w:ascii="Arial" w:hAnsi="Arial" w:cs="Arial"/>
        </w:rPr>
        <w:br/>
        <w:t xml:space="preserve">Estimation of technical efficiency of Indian farms: A stochastic frontier approach. </w:t>
      </w:r>
      <w:r w:rsidRPr="00382154">
        <w:rPr>
          <w:rFonts w:ascii="Arial" w:hAnsi="Arial" w:cs="Arial"/>
          <w:i/>
          <w:iCs/>
        </w:rPr>
        <w:t>SN Business &amp; Economics, 3</w:t>
      </w:r>
      <w:r w:rsidRPr="00382154">
        <w:rPr>
          <w:rFonts w:ascii="Arial" w:hAnsi="Arial" w:cs="Arial"/>
        </w:rPr>
        <w:t>(2).</w:t>
      </w:r>
      <w:r w:rsidRPr="00382154">
        <w:rPr>
          <w:rFonts w:ascii="Arial" w:hAnsi="Arial" w:cs="Arial"/>
        </w:rPr>
        <w:br/>
      </w:r>
      <w:hyperlink r:id="rId30" w:history="1">
        <w:r w:rsidRPr="00305FB4">
          <w:rPr>
            <w:rStyle w:val="Hyperlink"/>
            <w:rFonts w:ascii="Arial" w:hAnsi="Arial" w:cs="Arial"/>
          </w:rPr>
          <w:t>https://doi.org/10.1007/s43546-023-00433-4</w:t>
        </w:r>
      </w:hyperlink>
    </w:p>
    <w:p w14:paraId="62BF5E03" w14:textId="2F344E01" w:rsidR="00382154" w:rsidRPr="00382154" w:rsidRDefault="00382154" w:rsidP="007676BD">
      <w:pPr>
        <w:pStyle w:val="Body"/>
        <w:numPr>
          <w:ilvl w:val="1"/>
          <w:numId w:val="2"/>
        </w:numPr>
        <w:spacing w:after="0"/>
        <w:rPr>
          <w:rFonts w:ascii="Arial" w:hAnsi="Arial" w:cs="Arial"/>
          <w:lang w:val="en-IN"/>
        </w:rPr>
      </w:pPr>
      <w:r w:rsidRPr="00382154">
        <w:rPr>
          <w:rFonts w:ascii="Arial" w:hAnsi="Arial" w:cs="Arial"/>
        </w:rPr>
        <w:t>Singh, K. M., Ahmad, N., Sinha, D. K., Kumar, A., &amp; Singh, R. K. P. (2020).</w:t>
      </w:r>
      <w:r w:rsidRPr="00382154">
        <w:rPr>
          <w:rFonts w:ascii="Arial" w:hAnsi="Arial" w:cs="Arial"/>
        </w:rPr>
        <w:br/>
        <w:t xml:space="preserve">Cost efficiency of crops in India: A stochastic frontier approach. </w:t>
      </w:r>
      <w:r w:rsidRPr="00382154">
        <w:rPr>
          <w:rFonts w:ascii="Arial" w:hAnsi="Arial" w:cs="Arial"/>
          <w:i/>
          <w:iCs/>
        </w:rPr>
        <w:t>Indian Journal of Agricultural Sciences, 90</w:t>
      </w:r>
      <w:r w:rsidRPr="00382154">
        <w:rPr>
          <w:rFonts w:ascii="Arial" w:hAnsi="Arial" w:cs="Arial"/>
        </w:rPr>
        <w:t>(8), 1445–1452.</w:t>
      </w:r>
      <w:r w:rsidRPr="00382154">
        <w:rPr>
          <w:rFonts w:ascii="Arial" w:hAnsi="Arial" w:cs="Arial"/>
        </w:rPr>
        <w:br/>
      </w:r>
      <w:hyperlink r:id="rId31" w:history="1">
        <w:r w:rsidRPr="00305FB4">
          <w:rPr>
            <w:rStyle w:val="Hyperlink"/>
            <w:rFonts w:ascii="Arial" w:hAnsi="Arial" w:cs="Arial"/>
          </w:rPr>
          <w:t>https://doi.org/10.56093/ijas.v90i8.105940</w:t>
        </w:r>
      </w:hyperlink>
    </w:p>
    <w:p w14:paraId="2F182002" w14:textId="0F807D18" w:rsidR="00382154" w:rsidRPr="00382154" w:rsidRDefault="00382154" w:rsidP="007676BD">
      <w:pPr>
        <w:pStyle w:val="Body"/>
        <w:numPr>
          <w:ilvl w:val="1"/>
          <w:numId w:val="2"/>
        </w:numPr>
        <w:spacing w:after="0"/>
        <w:rPr>
          <w:rFonts w:ascii="Arial" w:hAnsi="Arial" w:cs="Arial"/>
          <w:lang w:val="en-IN"/>
        </w:rPr>
      </w:pPr>
      <w:r w:rsidRPr="00382154">
        <w:rPr>
          <w:rFonts w:ascii="Arial" w:hAnsi="Arial" w:cs="Arial"/>
        </w:rPr>
        <w:t>Kumar, P., et al. (2024).</w:t>
      </w:r>
      <w:r w:rsidRPr="00382154">
        <w:rPr>
          <w:rFonts w:ascii="Arial" w:hAnsi="Arial" w:cs="Arial"/>
        </w:rPr>
        <w:br/>
        <w:t xml:space="preserve">Efficiency dynamics among onion growers in Maharashtra: A comparative analysis of drip irrigation adopters and non-adopters. </w:t>
      </w:r>
      <w:r w:rsidRPr="00382154">
        <w:rPr>
          <w:rFonts w:ascii="Arial" w:hAnsi="Arial" w:cs="Arial"/>
          <w:i/>
          <w:iCs/>
        </w:rPr>
        <w:t>BMC Plant Biology</w:t>
      </w:r>
      <w:r w:rsidRPr="00382154">
        <w:rPr>
          <w:rFonts w:ascii="Arial" w:hAnsi="Arial" w:cs="Arial"/>
        </w:rPr>
        <w:t>.</w:t>
      </w:r>
      <w:r w:rsidRPr="00382154">
        <w:rPr>
          <w:rFonts w:ascii="Arial" w:hAnsi="Arial" w:cs="Arial"/>
        </w:rPr>
        <w:br/>
      </w:r>
      <w:hyperlink r:id="rId32" w:history="1">
        <w:r w:rsidRPr="00305FB4">
          <w:rPr>
            <w:rStyle w:val="Hyperlink"/>
            <w:rFonts w:ascii="Arial" w:hAnsi="Arial" w:cs="Arial"/>
          </w:rPr>
          <w:t>https://doi.org/10.1186/s12870-024-04875-2</w:t>
        </w:r>
      </w:hyperlink>
    </w:p>
    <w:p w14:paraId="674A7D88" w14:textId="5FE21888" w:rsidR="00472511" w:rsidRDefault="00040DD5" w:rsidP="007676BD">
      <w:pPr>
        <w:pStyle w:val="Body"/>
        <w:numPr>
          <w:ilvl w:val="1"/>
          <w:numId w:val="2"/>
        </w:numPr>
        <w:spacing w:after="0"/>
        <w:rPr>
          <w:rFonts w:ascii="Arial" w:hAnsi="Arial" w:cs="Arial"/>
          <w:lang w:val="en-IN"/>
        </w:rPr>
      </w:pPr>
      <w:r w:rsidRPr="00040DD5">
        <w:rPr>
          <w:rFonts w:ascii="Arial" w:hAnsi="Arial" w:cs="Arial"/>
        </w:rPr>
        <w:t>Government of India. (2024).</w:t>
      </w:r>
      <w:r w:rsidRPr="00040DD5">
        <w:rPr>
          <w:rFonts w:ascii="Arial" w:hAnsi="Arial" w:cs="Arial"/>
        </w:rPr>
        <w:br/>
      </w:r>
      <w:r w:rsidRPr="00040DD5">
        <w:rPr>
          <w:rFonts w:ascii="Arial" w:hAnsi="Arial" w:cs="Arial"/>
          <w:i/>
          <w:iCs/>
        </w:rPr>
        <w:t>Horticulture statistics at a glance.</w:t>
      </w:r>
      <w:r w:rsidRPr="00040DD5">
        <w:rPr>
          <w:rFonts w:ascii="Arial" w:hAnsi="Arial" w:cs="Arial"/>
        </w:rPr>
        <w:br/>
        <w:t>Ministry of Agriculture &amp; Farmers Welfare.</w:t>
      </w:r>
    </w:p>
    <w:p w14:paraId="03AE4C77" w14:textId="3658839A" w:rsidR="00472511" w:rsidRPr="00472511" w:rsidRDefault="00472511" w:rsidP="007676BD">
      <w:pPr>
        <w:pStyle w:val="Body"/>
        <w:numPr>
          <w:ilvl w:val="1"/>
          <w:numId w:val="2"/>
        </w:numPr>
        <w:spacing w:after="0"/>
        <w:rPr>
          <w:rFonts w:ascii="Arial" w:hAnsi="Arial" w:cs="Arial"/>
          <w:lang w:val="en-IN"/>
        </w:rPr>
      </w:pPr>
      <w:proofErr w:type="spellStart"/>
      <w:r w:rsidRPr="00472511">
        <w:rPr>
          <w:rFonts w:ascii="Arial" w:hAnsi="Arial" w:cs="Arial"/>
        </w:rPr>
        <w:t>Mithiya</w:t>
      </w:r>
      <w:proofErr w:type="spellEnd"/>
      <w:r w:rsidRPr="00472511">
        <w:rPr>
          <w:rFonts w:ascii="Arial" w:hAnsi="Arial" w:cs="Arial"/>
        </w:rPr>
        <w:t>, D., Bandyopadhyay, S., &amp; Mandal, K. (2019).</w:t>
      </w:r>
      <w:r w:rsidRPr="00472511">
        <w:rPr>
          <w:rFonts w:ascii="Arial" w:hAnsi="Arial" w:cs="Arial"/>
        </w:rPr>
        <w:br/>
      </w:r>
      <w:r w:rsidRPr="00472511">
        <w:rPr>
          <w:rFonts w:ascii="Arial" w:hAnsi="Arial" w:cs="Arial"/>
          <w:i/>
          <w:iCs/>
        </w:rPr>
        <w:t>Measuring technical efficiency and returns to scale in Indian agriculture using panel data: A case study of West Bengal.</w:t>
      </w:r>
      <w:r w:rsidRPr="00472511">
        <w:rPr>
          <w:rFonts w:ascii="Arial" w:hAnsi="Arial" w:cs="Arial"/>
        </w:rPr>
        <w:br/>
        <w:t>Applied Economics and Finance</w:t>
      </w:r>
      <w:r w:rsidRPr="00472511">
        <w:rPr>
          <w:rFonts w:ascii="Arial" w:hAnsi="Arial" w:cs="Arial"/>
          <w:b/>
          <w:bCs/>
        </w:rPr>
        <w:t xml:space="preserve">, </w:t>
      </w:r>
      <w:r w:rsidRPr="00472511">
        <w:rPr>
          <w:rFonts w:ascii="Arial" w:hAnsi="Arial" w:cs="Arial"/>
        </w:rPr>
        <w:t>6(6), 1–14.</w:t>
      </w:r>
      <w:r w:rsidRPr="00472511">
        <w:rPr>
          <w:rFonts w:ascii="Arial" w:hAnsi="Arial" w:cs="Arial"/>
        </w:rPr>
        <w:br/>
      </w:r>
      <w:hyperlink r:id="rId33" w:tgtFrame="_new" w:history="1">
        <w:r w:rsidRPr="00472511">
          <w:rPr>
            <w:rStyle w:val="Hyperlink"/>
            <w:rFonts w:ascii="Arial" w:hAnsi="Arial" w:cs="Arial"/>
          </w:rPr>
          <w:t>https://doi.org/10.11114/aef.v6i6.4332</w:t>
        </w:r>
      </w:hyperlink>
    </w:p>
    <w:p w14:paraId="39EC57BA" w14:textId="77777777" w:rsidR="006A1703" w:rsidRPr="00FB3A86" w:rsidRDefault="006A1703" w:rsidP="00441B6F">
      <w:pPr>
        <w:pStyle w:val="Body"/>
        <w:spacing w:after="0"/>
        <w:rPr>
          <w:rFonts w:ascii="Arial" w:hAnsi="Arial" w:cs="Arial"/>
        </w:rPr>
      </w:pPr>
    </w:p>
    <w:p w14:paraId="40EF7B5B" w14:textId="0B94125F" w:rsidR="00315186" w:rsidRDefault="00315186" w:rsidP="00441B6F">
      <w:pPr>
        <w:pStyle w:val="Body"/>
        <w:spacing w:after="0"/>
        <w:rPr>
          <w:rFonts w:ascii="Arial" w:hAnsi="Arial" w:cs="Arial"/>
        </w:rPr>
      </w:pPr>
    </w:p>
    <w:p w14:paraId="3E5C2933" w14:textId="77777777" w:rsidR="00315186" w:rsidRPr="00315186" w:rsidRDefault="00315186" w:rsidP="00441B6F"/>
    <w:p w14:paraId="70A56CE1" w14:textId="77777777" w:rsidR="00315186" w:rsidRPr="00315186" w:rsidRDefault="00315186" w:rsidP="00441B6F"/>
    <w:p w14:paraId="154EEE66" w14:textId="77777777" w:rsidR="00315186" w:rsidRPr="00315186" w:rsidRDefault="00315186" w:rsidP="00441B6F"/>
    <w:p w14:paraId="101C7FDF" w14:textId="77777777" w:rsidR="00315186" w:rsidRPr="00315186" w:rsidRDefault="00315186" w:rsidP="00441B6F"/>
    <w:p w14:paraId="6B75EC29" w14:textId="77777777" w:rsidR="00790ADA" w:rsidRPr="00FB3A86" w:rsidRDefault="00790ADA" w:rsidP="00441B6F">
      <w:pPr>
        <w:pStyle w:val="ReferHead"/>
        <w:spacing w:after="0"/>
        <w:jc w:val="both"/>
        <w:rPr>
          <w:rFonts w:ascii="Arial" w:hAnsi="Arial" w:cs="Arial"/>
        </w:rPr>
      </w:pPr>
    </w:p>
    <w:p w14:paraId="14995D5B" w14:textId="69A17309" w:rsidR="004D4277" w:rsidRPr="002D7425" w:rsidRDefault="004D4277" w:rsidP="002354C1">
      <w:pPr>
        <w:pStyle w:val="Body"/>
        <w:spacing w:after="0"/>
        <w:rPr>
          <w:lang w:val="en-GB"/>
        </w:rPr>
        <w:sectPr w:rsidR="004D4277" w:rsidRPr="002D7425" w:rsidSect="00BB7CA2">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5A9F2108" w14:textId="77777777" w:rsidR="00B01FCD" w:rsidRPr="00FB3A86" w:rsidRDefault="00B01FCD" w:rsidP="00441B6F">
      <w:pPr>
        <w:pStyle w:val="Appendix"/>
        <w:spacing w:after="0"/>
        <w:jc w:val="both"/>
        <w:rPr>
          <w:rFonts w:ascii="Arial" w:hAnsi="Arial" w:cs="Arial"/>
          <w:b w:val="0"/>
        </w:rPr>
      </w:pPr>
    </w:p>
    <w:sectPr w:rsidR="00B01FCD" w:rsidRPr="00FB3A86" w:rsidSect="00BB7C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93788" w14:textId="77777777" w:rsidR="0026164B" w:rsidRDefault="0026164B" w:rsidP="00C37E61">
      <w:r>
        <w:separator/>
      </w:r>
    </w:p>
  </w:endnote>
  <w:endnote w:type="continuationSeparator" w:id="0">
    <w:p w14:paraId="2FF51D9A" w14:textId="77777777" w:rsidR="0026164B" w:rsidRDefault="002616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C551B" w14:textId="77777777" w:rsidR="00BB7CA2" w:rsidRDefault="00BB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1AF62" w14:textId="77777777" w:rsidR="00BB7CA2" w:rsidRDefault="00BB7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2C9E5" w14:textId="28016598" w:rsidR="00754C9A" w:rsidRPr="00BB7CA2" w:rsidRDefault="00754C9A" w:rsidP="00BB7C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5BC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91819" w14:textId="77777777" w:rsidR="0026164B" w:rsidRDefault="0026164B" w:rsidP="00C37E61">
      <w:r>
        <w:separator/>
      </w:r>
    </w:p>
  </w:footnote>
  <w:footnote w:type="continuationSeparator" w:id="0">
    <w:p w14:paraId="0C1DD08A" w14:textId="77777777" w:rsidR="0026164B" w:rsidRDefault="002616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EDA61" w14:textId="176EDFCE" w:rsidR="00BB7CA2" w:rsidRDefault="0026164B">
    <w:pPr>
      <w:pStyle w:val="Header"/>
    </w:pPr>
    <w:r>
      <w:rPr>
        <w:noProof/>
      </w:rPr>
      <w:pict w14:anchorId="76899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364E5" w14:textId="6C6D5A83" w:rsidR="00BB7CA2" w:rsidRDefault="0026164B">
    <w:pPr>
      <w:pStyle w:val="Header"/>
    </w:pPr>
    <w:r>
      <w:rPr>
        <w:noProof/>
      </w:rPr>
      <w:pict w14:anchorId="0419C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90BD9" w14:textId="5EED4F32" w:rsidR="00296529" w:rsidRPr="00296529" w:rsidRDefault="0026164B" w:rsidP="00296529">
    <w:pPr>
      <w:ind w:left="2160"/>
      <w:jc w:val="center"/>
      <w:rPr>
        <w:rFonts w:ascii="Times New Roman" w:eastAsia="Calibri" w:hAnsi="Times New Roman"/>
        <w:i/>
        <w:sz w:val="18"/>
        <w:szCs w:val="22"/>
      </w:rPr>
    </w:pPr>
    <w:r>
      <w:rPr>
        <w:noProof/>
      </w:rPr>
      <w:pict w14:anchorId="72FFE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784B0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E2A1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5516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3F847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C9F98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76E6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F6F2" w14:textId="4CD113AF" w:rsidR="00BB7CA2" w:rsidRDefault="0026164B">
    <w:pPr>
      <w:pStyle w:val="Header"/>
    </w:pPr>
    <w:r>
      <w:rPr>
        <w:noProof/>
      </w:rPr>
      <w:pict w14:anchorId="7ABA0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DDB22" w14:textId="3A674CFD" w:rsidR="00BB7CA2" w:rsidRDefault="0026164B">
    <w:pPr>
      <w:pStyle w:val="Header"/>
    </w:pPr>
    <w:r>
      <w:rPr>
        <w:noProof/>
      </w:rPr>
      <w:pict w14:anchorId="4D00F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FF7A2" w14:textId="5EAC561A" w:rsidR="00BB7CA2" w:rsidRDefault="0026164B">
    <w:pPr>
      <w:pStyle w:val="Header"/>
    </w:pPr>
    <w:r>
      <w:rPr>
        <w:noProof/>
      </w:rPr>
      <w:pict w14:anchorId="4CD69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877D5"/>
    <w:multiLevelType w:val="hybridMultilevel"/>
    <w:tmpl w:val="B85C45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1F1BE2"/>
    <w:multiLevelType w:val="multilevel"/>
    <w:tmpl w:val="943658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643B6"/>
    <w:multiLevelType w:val="multilevel"/>
    <w:tmpl w:val="DBE4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159"/>
    <w:rsid w:val="00013B81"/>
    <w:rsid w:val="00030174"/>
    <w:rsid w:val="000377B5"/>
    <w:rsid w:val="00040DD5"/>
    <w:rsid w:val="0004579C"/>
    <w:rsid w:val="00054377"/>
    <w:rsid w:val="00056720"/>
    <w:rsid w:val="000908FF"/>
    <w:rsid w:val="000938C1"/>
    <w:rsid w:val="000968E4"/>
    <w:rsid w:val="000A47FA"/>
    <w:rsid w:val="000A65D3"/>
    <w:rsid w:val="000B1E33"/>
    <w:rsid w:val="000C32A0"/>
    <w:rsid w:val="000D689F"/>
    <w:rsid w:val="000E6026"/>
    <w:rsid w:val="000E7B7B"/>
    <w:rsid w:val="000E7D62"/>
    <w:rsid w:val="00103357"/>
    <w:rsid w:val="00123C9F"/>
    <w:rsid w:val="00126190"/>
    <w:rsid w:val="00130F17"/>
    <w:rsid w:val="00131D54"/>
    <w:rsid w:val="001320BF"/>
    <w:rsid w:val="00132929"/>
    <w:rsid w:val="0014607B"/>
    <w:rsid w:val="001473BE"/>
    <w:rsid w:val="00163BC4"/>
    <w:rsid w:val="00163D33"/>
    <w:rsid w:val="001679FF"/>
    <w:rsid w:val="00191062"/>
    <w:rsid w:val="00191ECD"/>
    <w:rsid w:val="00192B72"/>
    <w:rsid w:val="001932CD"/>
    <w:rsid w:val="001A29D8"/>
    <w:rsid w:val="001A5CAA"/>
    <w:rsid w:val="001A6AD8"/>
    <w:rsid w:val="001B0427"/>
    <w:rsid w:val="001B04B8"/>
    <w:rsid w:val="001C1813"/>
    <w:rsid w:val="001C2AE6"/>
    <w:rsid w:val="001D3A51"/>
    <w:rsid w:val="001D6230"/>
    <w:rsid w:val="001E10D2"/>
    <w:rsid w:val="001E25B4"/>
    <w:rsid w:val="001E44FE"/>
    <w:rsid w:val="001F4A8F"/>
    <w:rsid w:val="00200595"/>
    <w:rsid w:val="00204835"/>
    <w:rsid w:val="00212A95"/>
    <w:rsid w:val="002179CC"/>
    <w:rsid w:val="00231920"/>
    <w:rsid w:val="0023195C"/>
    <w:rsid w:val="002354C1"/>
    <w:rsid w:val="0024282C"/>
    <w:rsid w:val="002460DC"/>
    <w:rsid w:val="002479CC"/>
    <w:rsid w:val="00250985"/>
    <w:rsid w:val="002556F6"/>
    <w:rsid w:val="0026164B"/>
    <w:rsid w:val="00283105"/>
    <w:rsid w:val="00284C4C"/>
    <w:rsid w:val="00287E68"/>
    <w:rsid w:val="002908D3"/>
    <w:rsid w:val="00291CB7"/>
    <w:rsid w:val="00292908"/>
    <w:rsid w:val="00296529"/>
    <w:rsid w:val="002A157D"/>
    <w:rsid w:val="002B1CC1"/>
    <w:rsid w:val="002B27FB"/>
    <w:rsid w:val="002B685A"/>
    <w:rsid w:val="002C57D2"/>
    <w:rsid w:val="002C604B"/>
    <w:rsid w:val="002D3C41"/>
    <w:rsid w:val="002D4EE7"/>
    <w:rsid w:val="002D7425"/>
    <w:rsid w:val="002E0D56"/>
    <w:rsid w:val="00300081"/>
    <w:rsid w:val="00315186"/>
    <w:rsid w:val="00330A4C"/>
    <w:rsid w:val="0033343E"/>
    <w:rsid w:val="00333E12"/>
    <w:rsid w:val="003346CE"/>
    <w:rsid w:val="0034098D"/>
    <w:rsid w:val="003512C2"/>
    <w:rsid w:val="003571CB"/>
    <w:rsid w:val="00362EEA"/>
    <w:rsid w:val="00364E20"/>
    <w:rsid w:val="00371FB6"/>
    <w:rsid w:val="00375469"/>
    <w:rsid w:val="003763C1"/>
    <w:rsid w:val="00376BBE"/>
    <w:rsid w:val="00382154"/>
    <w:rsid w:val="0039224F"/>
    <w:rsid w:val="0039382B"/>
    <w:rsid w:val="003A43A4"/>
    <w:rsid w:val="003A74C2"/>
    <w:rsid w:val="003A7E18"/>
    <w:rsid w:val="003C08C1"/>
    <w:rsid w:val="003C2960"/>
    <w:rsid w:val="003C4C86"/>
    <w:rsid w:val="003C6258"/>
    <w:rsid w:val="003E2904"/>
    <w:rsid w:val="003E4601"/>
    <w:rsid w:val="003F063D"/>
    <w:rsid w:val="003F218F"/>
    <w:rsid w:val="00400648"/>
    <w:rsid w:val="00401927"/>
    <w:rsid w:val="0041027F"/>
    <w:rsid w:val="00412475"/>
    <w:rsid w:val="00423789"/>
    <w:rsid w:val="00430AE9"/>
    <w:rsid w:val="00435D3A"/>
    <w:rsid w:val="00440F43"/>
    <w:rsid w:val="00441B6F"/>
    <w:rsid w:val="004421E8"/>
    <w:rsid w:val="00442ED3"/>
    <w:rsid w:val="00446221"/>
    <w:rsid w:val="00446D5B"/>
    <w:rsid w:val="00450E62"/>
    <w:rsid w:val="004539DB"/>
    <w:rsid w:val="004567EE"/>
    <w:rsid w:val="0047084B"/>
    <w:rsid w:val="00471A80"/>
    <w:rsid w:val="00472511"/>
    <w:rsid w:val="004748F3"/>
    <w:rsid w:val="004A12C3"/>
    <w:rsid w:val="004B0547"/>
    <w:rsid w:val="004C10B0"/>
    <w:rsid w:val="004D305E"/>
    <w:rsid w:val="004D4277"/>
    <w:rsid w:val="004E42E7"/>
    <w:rsid w:val="004F1021"/>
    <w:rsid w:val="00502516"/>
    <w:rsid w:val="0050468A"/>
    <w:rsid w:val="00505F06"/>
    <w:rsid w:val="00506828"/>
    <w:rsid w:val="0053056E"/>
    <w:rsid w:val="00544D14"/>
    <w:rsid w:val="00554FDA"/>
    <w:rsid w:val="00575196"/>
    <w:rsid w:val="00584EB8"/>
    <w:rsid w:val="00596980"/>
    <w:rsid w:val="005B77F3"/>
    <w:rsid w:val="005C17B9"/>
    <w:rsid w:val="005C784C"/>
    <w:rsid w:val="005D17F6"/>
    <w:rsid w:val="005E094B"/>
    <w:rsid w:val="005E5539"/>
    <w:rsid w:val="005E6C70"/>
    <w:rsid w:val="00602BF5"/>
    <w:rsid w:val="00603CA1"/>
    <w:rsid w:val="0061299C"/>
    <w:rsid w:val="00617FDD"/>
    <w:rsid w:val="00631A1F"/>
    <w:rsid w:val="00633614"/>
    <w:rsid w:val="00633F68"/>
    <w:rsid w:val="00636EB2"/>
    <w:rsid w:val="006375B8"/>
    <w:rsid w:val="006474ED"/>
    <w:rsid w:val="006576C1"/>
    <w:rsid w:val="00663855"/>
    <w:rsid w:val="0066510A"/>
    <w:rsid w:val="00673F9F"/>
    <w:rsid w:val="00674F23"/>
    <w:rsid w:val="00686953"/>
    <w:rsid w:val="00687BC2"/>
    <w:rsid w:val="00687DEA"/>
    <w:rsid w:val="00687E67"/>
    <w:rsid w:val="006967F7"/>
    <w:rsid w:val="0069790F"/>
    <w:rsid w:val="006A1703"/>
    <w:rsid w:val="006A250C"/>
    <w:rsid w:val="006B21D3"/>
    <w:rsid w:val="006B57D0"/>
    <w:rsid w:val="006D30FF"/>
    <w:rsid w:val="006D6940"/>
    <w:rsid w:val="006F11EC"/>
    <w:rsid w:val="006F1603"/>
    <w:rsid w:val="006F410E"/>
    <w:rsid w:val="0070038F"/>
    <w:rsid w:val="0070082C"/>
    <w:rsid w:val="0072192A"/>
    <w:rsid w:val="007259DA"/>
    <w:rsid w:val="007369E6"/>
    <w:rsid w:val="00746E59"/>
    <w:rsid w:val="00754C9A"/>
    <w:rsid w:val="0075599A"/>
    <w:rsid w:val="00761D52"/>
    <w:rsid w:val="007676BD"/>
    <w:rsid w:val="00771FE1"/>
    <w:rsid w:val="0077749E"/>
    <w:rsid w:val="00777A00"/>
    <w:rsid w:val="00790ADA"/>
    <w:rsid w:val="007A7D3A"/>
    <w:rsid w:val="007C1920"/>
    <w:rsid w:val="007C5CAC"/>
    <w:rsid w:val="007D2288"/>
    <w:rsid w:val="007E088F"/>
    <w:rsid w:val="007E4B42"/>
    <w:rsid w:val="007F268F"/>
    <w:rsid w:val="007F3EB3"/>
    <w:rsid w:val="007F5831"/>
    <w:rsid w:val="007F7B32"/>
    <w:rsid w:val="00804BC2"/>
    <w:rsid w:val="0081431A"/>
    <w:rsid w:val="00827CA0"/>
    <w:rsid w:val="0083216F"/>
    <w:rsid w:val="00837AC7"/>
    <w:rsid w:val="00845CD7"/>
    <w:rsid w:val="00847630"/>
    <w:rsid w:val="00860000"/>
    <w:rsid w:val="00863BD3"/>
    <w:rsid w:val="008641ED"/>
    <w:rsid w:val="00866D66"/>
    <w:rsid w:val="008671C6"/>
    <w:rsid w:val="00875803"/>
    <w:rsid w:val="00890538"/>
    <w:rsid w:val="00890D3C"/>
    <w:rsid w:val="008B201A"/>
    <w:rsid w:val="008B459E"/>
    <w:rsid w:val="008C2C1C"/>
    <w:rsid w:val="008C428B"/>
    <w:rsid w:val="008C707E"/>
    <w:rsid w:val="008D35D0"/>
    <w:rsid w:val="008E13AE"/>
    <w:rsid w:val="008E1506"/>
    <w:rsid w:val="008E710C"/>
    <w:rsid w:val="008F582F"/>
    <w:rsid w:val="008F69D6"/>
    <w:rsid w:val="00902823"/>
    <w:rsid w:val="00906737"/>
    <w:rsid w:val="00906FE4"/>
    <w:rsid w:val="00915CA6"/>
    <w:rsid w:val="00922D7F"/>
    <w:rsid w:val="00927834"/>
    <w:rsid w:val="009500A6"/>
    <w:rsid w:val="00957C18"/>
    <w:rsid w:val="00964B78"/>
    <w:rsid w:val="009659BA"/>
    <w:rsid w:val="00975B5A"/>
    <w:rsid w:val="00981C7F"/>
    <w:rsid w:val="00983040"/>
    <w:rsid w:val="00985D05"/>
    <w:rsid w:val="00986B89"/>
    <w:rsid w:val="009A1086"/>
    <w:rsid w:val="009A5FBD"/>
    <w:rsid w:val="009A70D3"/>
    <w:rsid w:val="009B3FB9"/>
    <w:rsid w:val="009C2465"/>
    <w:rsid w:val="009D35A0"/>
    <w:rsid w:val="009D7EB7"/>
    <w:rsid w:val="009E048A"/>
    <w:rsid w:val="009E08E9"/>
    <w:rsid w:val="009E1A66"/>
    <w:rsid w:val="009E3DB9"/>
    <w:rsid w:val="009E6E35"/>
    <w:rsid w:val="009F0EDA"/>
    <w:rsid w:val="009F44A6"/>
    <w:rsid w:val="00A03A4A"/>
    <w:rsid w:val="00A03B96"/>
    <w:rsid w:val="00A05B19"/>
    <w:rsid w:val="00A1134E"/>
    <w:rsid w:val="00A24E7E"/>
    <w:rsid w:val="00A258C3"/>
    <w:rsid w:val="00A347C0"/>
    <w:rsid w:val="00A44C86"/>
    <w:rsid w:val="00A47A53"/>
    <w:rsid w:val="00A51431"/>
    <w:rsid w:val="00A51D3B"/>
    <w:rsid w:val="00A539AD"/>
    <w:rsid w:val="00A66D0A"/>
    <w:rsid w:val="00A73F67"/>
    <w:rsid w:val="00A77FE5"/>
    <w:rsid w:val="00A94063"/>
    <w:rsid w:val="00A96E5C"/>
    <w:rsid w:val="00AA6219"/>
    <w:rsid w:val="00AA74E0"/>
    <w:rsid w:val="00AB703F"/>
    <w:rsid w:val="00AC1E50"/>
    <w:rsid w:val="00AC6BB8"/>
    <w:rsid w:val="00AE008F"/>
    <w:rsid w:val="00B01FCD"/>
    <w:rsid w:val="00B17365"/>
    <w:rsid w:val="00B1776C"/>
    <w:rsid w:val="00B26359"/>
    <w:rsid w:val="00B33DB7"/>
    <w:rsid w:val="00B47662"/>
    <w:rsid w:val="00B52583"/>
    <w:rsid w:val="00B52896"/>
    <w:rsid w:val="00B61CC4"/>
    <w:rsid w:val="00B85E29"/>
    <w:rsid w:val="00B87B03"/>
    <w:rsid w:val="00B91F24"/>
    <w:rsid w:val="00B949D3"/>
    <w:rsid w:val="00B95236"/>
    <w:rsid w:val="00B96BD9"/>
    <w:rsid w:val="00BA1B01"/>
    <w:rsid w:val="00BA2641"/>
    <w:rsid w:val="00BA58CE"/>
    <w:rsid w:val="00BA6E8C"/>
    <w:rsid w:val="00BB37AA"/>
    <w:rsid w:val="00BB7CA2"/>
    <w:rsid w:val="00BC0DCC"/>
    <w:rsid w:val="00BC53A0"/>
    <w:rsid w:val="00BC5DA7"/>
    <w:rsid w:val="00BC64C7"/>
    <w:rsid w:val="00BC7BA7"/>
    <w:rsid w:val="00BD7F7C"/>
    <w:rsid w:val="00BE38A3"/>
    <w:rsid w:val="00BE62AD"/>
    <w:rsid w:val="00BF121F"/>
    <w:rsid w:val="00BF1F80"/>
    <w:rsid w:val="00C03219"/>
    <w:rsid w:val="00C166EF"/>
    <w:rsid w:val="00C17EB0"/>
    <w:rsid w:val="00C25809"/>
    <w:rsid w:val="00C25F71"/>
    <w:rsid w:val="00C27F5F"/>
    <w:rsid w:val="00C30A0F"/>
    <w:rsid w:val="00C3117A"/>
    <w:rsid w:val="00C36069"/>
    <w:rsid w:val="00C37E61"/>
    <w:rsid w:val="00C53A5B"/>
    <w:rsid w:val="00C5657C"/>
    <w:rsid w:val="00C66C6F"/>
    <w:rsid w:val="00C70F1B"/>
    <w:rsid w:val="00C71A47"/>
    <w:rsid w:val="00C7464C"/>
    <w:rsid w:val="00C85588"/>
    <w:rsid w:val="00C92150"/>
    <w:rsid w:val="00CD0414"/>
    <w:rsid w:val="00CD5EEF"/>
    <w:rsid w:val="00CD6755"/>
    <w:rsid w:val="00CD6856"/>
    <w:rsid w:val="00CE0089"/>
    <w:rsid w:val="00CE793C"/>
    <w:rsid w:val="00CF193C"/>
    <w:rsid w:val="00D10144"/>
    <w:rsid w:val="00D16084"/>
    <w:rsid w:val="00D173F1"/>
    <w:rsid w:val="00D2178C"/>
    <w:rsid w:val="00D30F43"/>
    <w:rsid w:val="00D41A18"/>
    <w:rsid w:val="00D47FFA"/>
    <w:rsid w:val="00D51698"/>
    <w:rsid w:val="00D53B8E"/>
    <w:rsid w:val="00D74CB0"/>
    <w:rsid w:val="00D821B0"/>
    <w:rsid w:val="00D826C2"/>
    <w:rsid w:val="00D8295D"/>
    <w:rsid w:val="00DA09AB"/>
    <w:rsid w:val="00DB01DC"/>
    <w:rsid w:val="00DB3EC3"/>
    <w:rsid w:val="00DC2A65"/>
    <w:rsid w:val="00DC3CC8"/>
    <w:rsid w:val="00DC6BD1"/>
    <w:rsid w:val="00DD4BEE"/>
    <w:rsid w:val="00DD794C"/>
    <w:rsid w:val="00DE15F0"/>
    <w:rsid w:val="00DE44FE"/>
    <w:rsid w:val="00DE5663"/>
    <w:rsid w:val="00DE78AA"/>
    <w:rsid w:val="00DF7EAD"/>
    <w:rsid w:val="00E03C09"/>
    <w:rsid w:val="00E053D0"/>
    <w:rsid w:val="00E06F4E"/>
    <w:rsid w:val="00E14137"/>
    <w:rsid w:val="00E15994"/>
    <w:rsid w:val="00E213DA"/>
    <w:rsid w:val="00E3114E"/>
    <w:rsid w:val="00E31A70"/>
    <w:rsid w:val="00E35B02"/>
    <w:rsid w:val="00E43440"/>
    <w:rsid w:val="00E6277D"/>
    <w:rsid w:val="00E66496"/>
    <w:rsid w:val="00E66B35"/>
    <w:rsid w:val="00E66E10"/>
    <w:rsid w:val="00E769F6"/>
    <w:rsid w:val="00E80433"/>
    <w:rsid w:val="00E8407C"/>
    <w:rsid w:val="00E84F3C"/>
    <w:rsid w:val="00E87120"/>
    <w:rsid w:val="00EA012C"/>
    <w:rsid w:val="00EA58AB"/>
    <w:rsid w:val="00EC6A55"/>
    <w:rsid w:val="00ED0288"/>
    <w:rsid w:val="00ED19DE"/>
    <w:rsid w:val="00EE52CB"/>
    <w:rsid w:val="00EF581D"/>
    <w:rsid w:val="00EF7AC7"/>
    <w:rsid w:val="00EF7FD8"/>
    <w:rsid w:val="00F001EC"/>
    <w:rsid w:val="00F06F59"/>
    <w:rsid w:val="00F10837"/>
    <w:rsid w:val="00F17988"/>
    <w:rsid w:val="00F17E87"/>
    <w:rsid w:val="00F25F3C"/>
    <w:rsid w:val="00F26641"/>
    <w:rsid w:val="00F378F8"/>
    <w:rsid w:val="00F469F0"/>
    <w:rsid w:val="00F46A2D"/>
    <w:rsid w:val="00F53273"/>
    <w:rsid w:val="00F53BB8"/>
    <w:rsid w:val="00F626C4"/>
    <w:rsid w:val="00F755E4"/>
    <w:rsid w:val="00F763C3"/>
    <w:rsid w:val="00F76B9E"/>
    <w:rsid w:val="00F77D02"/>
    <w:rsid w:val="00FA0EB8"/>
    <w:rsid w:val="00FA1C26"/>
    <w:rsid w:val="00FB3A86"/>
    <w:rsid w:val="00FC05FB"/>
    <w:rsid w:val="00FC6488"/>
    <w:rsid w:val="00FC79C9"/>
    <w:rsid w:val="00FD252A"/>
    <w:rsid w:val="00FD36C8"/>
    <w:rsid w:val="00FD4656"/>
    <w:rsid w:val="00FE6BD3"/>
    <w:rsid w:val="00FF63FC"/>
    <w:rsid w:val="00FF7E2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58C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C3C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5672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C3CC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5672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1C1813"/>
    <w:pPr>
      <w:spacing w:before="100" w:beforeAutospacing="1" w:after="100" w:afterAutospacing="1"/>
    </w:pPr>
    <w:rPr>
      <w:rFonts w:ascii="Times New Roman" w:hAnsi="Times New Roman"/>
      <w:sz w:val="24"/>
      <w:szCs w:val="24"/>
      <w:lang w:val="en-IN" w:eastAsia="en-I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agricoop.nic.in" TargetMode="External"/><Relationship Id="rId26" Type="http://schemas.openxmlformats.org/officeDocument/2006/relationships/hyperlink" Target="https://doi.org/10.22004/ag.econ.200294" TargetMode="External"/><Relationship Id="rId39" Type="http://schemas.openxmlformats.org/officeDocument/2006/relationships/theme" Target="theme/theme1.xml"/><Relationship Id="rId21" Type="http://schemas.openxmlformats.org/officeDocument/2006/relationships/hyperlink" Target="https://doi.org/10.1007/s11123-022-00627-2"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BF01205442" TargetMode="External"/><Relationship Id="rId25" Type="http://schemas.openxmlformats.org/officeDocument/2006/relationships/hyperlink" Target="https://doi.org/10.1186/s40497-019-0158-2" TargetMode="External"/><Relationship Id="rId33" Type="http://schemas.openxmlformats.org/officeDocument/2006/relationships/hyperlink" Target="https://doi.org/10.11114/aef.v6i6.433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307/2525757" TargetMode="External"/><Relationship Id="rId20" Type="http://schemas.openxmlformats.org/officeDocument/2006/relationships/hyperlink" Target="https://doi.org/10.1186/s40066-020-00270-w" TargetMode="External"/><Relationship Id="rId29" Type="http://schemas.openxmlformats.org/officeDocument/2006/relationships/hyperlink" Target="https://www.indiasta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7/CBO9781139174411" TargetMode="External"/><Relationship Id="rId32" Type="http://schemas.openxmlformats.org/officeDocument/2006/relationships/hyperlink" Target="https://doi.org/10.1186/s12870-024-04875-2"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agsy.2006.01.005" TargetMode="External"/><Relationship Id="rId28" Type="http://schemas.openxmlformats.org/officeDocument/2006/relationships/hyperlink" Target="https://doi.org/10.35716/ijed/19119"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371/journal.pone.0284391" TargetMode="External"/><Relationship Id="rId31" Type="http://schemas.openxmlformats.org/officeDocument/2006/relationships/hyperlink" Target="https://doi.org/10.56093/ijas.v90i8.1059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08/AJEMS-03-2013-0027" TargetMode="External"/><Relationship Id="rId27" Type="http://schemas.openxmlformats.org/officeDocument/2006/relationships/hyperlink" Target="https://doi.org/10.24154/jhs.v18i1.2168" TargetMode="External"/><Relationship Id="rId30" Type="http://schemas.openxmlformats.org/officeDocument/2006/relationships/hyperlink" Target="https://doi.org/10.1007/s43546-023-00433-4"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3EC19-18F6-4D7D-A9F9-F2531BB8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4352</TotalTime>
  <Pages>20</Pages>
  <Words>8435</Words>
  <Characters>48082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56405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179</cp:revision>
  <cp:lastPrinted>1999-07-06T11:00:00Z</cp:lastPrinted>
  <dcterms:created xsi:type="dcterms:W3CDTF">2014-10-25T14:34:00Z</dcterms:created>
  <dcterms:modified xsi:type="dcterms:W3CDTF">2026-04-30T12:26:00Z</dcterms:modified>
</cp:coreProperties>
</file>