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1888" w14:textId="156FA998" w:rsidR="00482607" w:rsidRDefault="00A82C9B" w:rsidP="00482607">
      <w:pPr>
        <w:jc w:val="center"/>
        <w:rPr>
          <w:rFonts w:ascii="Times New Roman" w:hAnsi="Times New Roman" w:cs="Times New Roman"/>
          <w:b/>
          <w:bCs/>
          <w:i/>
          <w:iCs/>
          <w:sz w:val="28"/>
          <w:szCs w:val="28"/>
        </w:rPr>
      </w:pPr>
      <w:r w:rsidRPr="00A82C9B">
        <w:rPr>
          <w:rFonts w:ascii="Times New Roman" w:hAnsi="Times New Roman" w:cs="Times New Roman"/>
          <w:b/>
          <w:bCs/>
          <w:i/>
          <w:iCs/>
          <w:sz w:val="28"/>
          <w:szCs w:val="28"/>
        </w:rPr>
        <w:t>Extent of Resection and Survival in Glioblastoma: Clinical and Pathological Correlates</w:t>
      </w:r>
      <w:r w:rsidR="00604F71">
        <w:rPr>
          <w:rFonts w:ascii="Times New Roman" w:hAnsi="Times New Roman" w:cs="Times New Roman"/>
          <w:b/>
          <w:bCs/>
          <w:i/>
          <w:iCs/>
          <w:sz w:val="28"/>
          <w:szCs w:val="28"/>
        </w:rPr>
        <w:t xml:space="preserve">: </w:t>
      </w:r>
      <w:r w:rsidRPr="00A82C9B">
        <w:rPr>
          <w:rFonts w:ascii="Times New Roman" w:hAnsi="Times New Roman" w:cs="Times New Roman"/>
          <w:b/>
          <w:bCs/>
          <w:i/>
          <w:iCs/>
          <w:sz w:val="28"/>
          <w:szCs w:val="28"/>
        </w:rPr>
        <w:t>A Systematic Review and Meta-Analysis</w:t>
      </w:r>
    </w:p>
    <w:p w14:paraId="4CD979EF" w14:textId="4E27A429" w:rsidR="00F33CDA" w:rsidRDefault="00F33CDA" w:rsidP="00482607">
      <w:pPr>
        <w:jc w:val="center"/>
        <w:rPr>
          <w:rFonts w:ascii="Times New Roman" w:hAnsi="Times New Roman" w:cs="Times New Roman"/>
          <w:b/>
          <w:bCs/>
          <w:i/>
          <w:iCs/>
          <w:sz w:val="28"/>
          <w:szCs w:val="28"/>
        </w:rPr>
      </w:pPr>
    </w:p>
    <w:p w14:paraId="6721F285" w14:textId="1C61B6E1" w:rsidR="00F33CDA" w:rsidRDefault="00F33CDA" w:rsidP="00482607">
      <w:pPr>
        <w:jc w:val="center"/>
        <w:rPr>
          <w:rFonts w:ascii="Times New Roman" w:hAnsi="Times New Roman" w:cs="Times New Roman"/>
          <w:b/>
          <w:bCs/>
          <w:i/>
          <w:iCs/>
          <w:sz w:val="28"/>
          <w:szCs w:val="28"/>
        </w:rPr>
      </w:pPr>
    </w:p>
    <w:p w14:paraId="5B7186B3" w14:textId="2B4F42BE" w:rsidR="00F33CDA" w:rsidRPr="00482607" w:rsidRDefault="00F33CDA" w:rsidP="00F33CDA">
      <w:pPr>
        <w:rPr>
          <w:rFonts w:ascii="Times New Roman" w:hAnsi="Times New Roman" w:cs="Times New Roman"/>
          <w:b/>
          <w:bCs/>
          <w:i/>
          <w:iCs/>
          <w:sz w:val="28"/>
          <w:szCs w:val="28"/>
        </w:rPr>
      </w:pPr>
    </w:p>
    <w:p w14:paraId="13093A05" w14:textId="77777777" w:rsid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kern w:val="0"/>
          <w14:ligatures w14:val="none"/>
        </w:rPr>
      </w:pPr>
      <w:r w:rsidRPr="009D6C32">
        <w:rPr>
          <w:rStyle w:val="Strong"/>
          <w:rFonts w:ascii="Times New Roman" w:eastAsiaTheme="majorEastAsia" w:hAnsi="Times New Roman" w:cs="Times New Roman"/>
          <w:kern w:val="0"/>
          <w:highlight w:val="cyan"/>
          <w14:ligatures w14:val="none"/>
        </w:rPr>
        <w:t>Abstract</w:t>
      </w:r>
    </w:p>
    <w:p w14:paraId="7739F31D" w14:textId="77777777" w:rsid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kern w:val="0"/>
          <w14:ligatures w14:val="none"/>
        </w:rPr>
      </w:pPr>
      <w:r w:rsidRPr="009D6C32">
        <w:rPr>
          <w:rStyle w:val="Strong"/>
          <w:rFonts w:ascii="Times New Roman" w:eastAsiaTheme="majorEastAsia" w:hAnsi="Times New Roman" w:cs="Times New Roman"/>
          <w:kern w:val="0"/>
          <w14:ligatures w14:val="none"/>
        </w:rPr>
        <w:t>Background:</w:t>
      </w:r>
    </w:p>
    <w:p w14:paraId="31B57224" w14:textId="77777777" w:rsidR="009D6C32" w:rsidRP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b w:val="0"/>
          <w:bCs w:val="0"/>
          <w:kern w:val="0"/>
          <w14:ligatures w14:val="none"/>
        </w:rPr>
      </w:pPr>
      <w:r w:rsidRPr="009D6C32">
        <w:rPr>
          <w:rStyle w:val="Strong"/>
          <w:rFonts w:ascii="Times New Roman" w:eastAsiaTheme="majorEastAsia" w:hAnsi="Times New Roman" w:cs="Times New Roman"/>
          <w:b w:val="0"/>
          <w:bCs w:val="0"/>
          <w:kern w:val="0"/>
          <w14:ligatures w14:val="none"/>
        </w:rPr>
        <w:t>Glioblastoma is the most aggressive primary malignant brain tumor in adults and is associated with poor prognosis despite advances in surgical and adjuvant therapies. Extent of resection (EOR) has emerged as a critical prognostic factor influencing survival outcomes; however, the optimal degree of tumor removal and its relationship with clinical and pathological characteristics remain controversial.</w:t>
      </w:r>
    </w:p>
    <w:p w14:paraId="2E074F2D" w14:textId="77777777" w:rsid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kern w:val="0"/>
          <w14:ligatures w14:val="none"/>
        </w:rPr>
      </w:pPr>
      <w:r w:rsidRPr="009D6C32">
        <w:rPr>
          <w:rStyle w:val="Strong"/>
          <w:rFonts w:ascii="Times New Roman" w:eastAsiaTheme="majorEastAsia" w:hAnsi="Times New Roman" w:cs="Times New Roman"/>
          <w:kern w:val="0"/>
          <w14:ligatures w14:val="none"/>
        </w:rPr>
        <w:t>Objective:</w:t>
      </w:r>
    </w:p>
    <w:p w14:paraId="53EC20F2" w14:textId="77777777" w:rsidR="009D6C32" w:rsidRP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b w:val="0"/>
          <w:bCs w:val="0"/>
          <w:kern w:val="0"/>
          <w14:ligatures w14:val="none"/>
        </w:rPr>
      </w:pPr>
      <w:r w:rsidRPr="009D6C32">
        <w:rPr>
          <w:rStyle w:val="Strong"/>
          <w:rFonts w:ascii="Times New Roman" w:eastAsiaTheme="majorEastAsia" w:hAnsi="Times New Roman" w:cs="Times New Roman"/>
          <w:b w:val="0"/>
          <w:bCs w:val="0"/>
          <w:kern w:val="0"/>
          <w14:ligatures w14:val="none"/>
        </w:rPr>
        <w:t>To systematically evaluate the impact of extent of resection on overall survival (OS) and progression-free survival (PFS) in patients with glioblastoma and to assess associated clinical and pathological correlates.</w:t>
      </w:r>
    </w:p>
    <w:p w14:paraId="5E74055C" w14:textId="77777777" w:rsid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kern w:val="0"/>
          <w14:ligatures w14:val="none"/>
        </w:rPr>
      </w:pPr>
      <w:r w:rsidRPr="009D6C32">
        <w:rPr>
          <w:rStyle w:val="Strong"/>
          <w:rFonts w:ascii="Times New Roman" w:eastAsiaTheme="majorEastAsia" w:hAnsi="Times New Roman" w:cs="Times New Roman"/>
          <w:kern w:val="0"/>
          <w14:ligatures w14:val="none"/>
        </w:rPr>
        <w:t>Methods:</w:t>
      </w:r>
    </w:p>
    <w:p w14:paraId="78622A99" w14:textId="2C7C4E2C" w:rsidR="009D6C32" w:rsidRP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b w:val="0"/>
          <w:bCs w:val="0"/>
          <w:kern w:val="0"/>
          <w14:ligatures w14:val="none"/>
        </w:rPr>
      </w:pPr>
      <w:r w:rsidRPr="009D6C32">
        <w:rPr>
          <w:rStyle w:val="Strong"/>
          <w:rFonts w:ascii="Times New Roman" w:eastAsiaTheme="majorEastAsia" w:hAnsi="Times New Roman" w:cs="Times New Roman"/>
          <w:b w:val="0"/>
          <w:bCs w:val="0"/>
          <w:kern w:val="0"/>
          <w14:ligatures w14:val="none"/>
        </w:rPr>
        <w:t>A systematic review and meta-analysis were conducted in accordance with PRISMA guidelines. PubMed, Scopus, Web of Science, and Cochrane Library databases were searched f</w:t>
      </w:r>
      <w:r w:rsidR="00953D7E">
        <w:rPr>
          <w:rStyle w:val="Strong"/>
          <w:rFonts w:ascii="Times New Roman" w:eastAsiaTheme="majorEastAsia" w:hAnsi="Times New Roman" w:cs="Times New Roman"/>
          <w:b w:val="0"/>
          <w:bCs w:val="0"/>
          <w:kern w:val="0"/>
          <w14:ligatures w14:val="none"/>
        </w:rPr>
        <w:t xml:space="preserve">or eligible studies </w:t>
      </w:r>
      <w:r w:rsidR="00953D7E" w:rsidRPr="00953D7E">
        <w:rPr>
          <w:rStyle w:val="Strong"/>
          <w:rFonts w:ascii="Times New Roman" w:eastAsiaTheme="majorEastAsia" w:hAnsi="Times New Roman" w:cs="Times New Roman"/>
          <w:b w:val="0"/>
          <w:bCs w:val="0"/>
          <w:kern w:val="0"/>
          <w:highlight w:val="cyan"/>
          <w14:ligatures w14:val="none"/>
        </w:rPr>
        <w:t>published from 2000</w:t>
      </w:r>
      <w:r w:rsidRPr="00953D7E">
        <w:rPr>
          <w:rStyle w:val="Strong"/>
          <w:rFonts w:ascii="Times New Roman" w:eastAsiaTheme="majorEastAsia" w:hAnsi="Times New Roman" w:cs="Times New Roman"/>
          <w:b w:val="0"/>
          <w:bCs w:val="0"/>
          <w:kern w:val="0"/>
          <w:highlight w:val="cyan"/>
          <w14:ligatures w14:val="none"/>
        </w:rPr>
        <w:t xml:space="preserve"> to 2026.</w:t>
      </w:r>
      <w:r w:rsidRPr="009D6C32">
        <w:rPr>
          <w:rStyle w:val="Strong"/>
          <w:rFonts w:ascii="Times New Roman" w:eastAsiaTheme="majorEastAsia" w:hAnsi="Times New Roman" w:cs="Times New Roman"/>
          <w:b w:val="0"/>
          <w:bCs w:val="0"/>
          <w:kern w:val="0"/>
          <w14:ligatures w14:val="none"/>
        </w:rPr>
        <w:t xml:space="preserve"> Studies comparing survival outcomes according to extent of resection, including gross total resection (GTR), subtotal resection (STR), supramarginal resection (SMR), and biopsy, were included. Data extraction and quality assessment were independently performed by two reviewers. Pooled hazard ratios (HRs) with 95% confidence intervals (CIs) were calculated using random-effects models, and heterogeneity was assessed using the I² statistic.</w:t>
      </w:r>
    </w:p>
    <w:p w14:paraId="1E503CCE" w14:textId="77777777" w:rsid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kern w:val="0"/>
          <w14:ligatures w14:val="none"/>
        </w:rPr>
      </w:pPr>
      <w:r w:rsidRPr="009D6C32">
        <w:rPr>
          <w:rStyle w:val="Strong"/>
          <w:rFonts w:ascii="Times New Roman" w:eastAsiaTheme="majorEastAsia" w:hAnsi="Times New Roman" w:cs="Times New Roman"/>
          <w:kern w:val="0"/>
          <w14:ligatures w14:val="none"/>
        </w:rPr>
        <w:t>Results:</w:t>
      </w:r>
    </w:p>
    <w:p w14:paraId="3961A5AA" w14:textId="721D2E0A" w:rsidR="009D6C32" w:rsidRPr="009D6C32" w:rsidRDefault="009D6C32" w:rsidP="00CB68CB">
      <w:pPr>
        <w:spacing w:before="100" w:beforeAutospacing="1" w:after="100" w:afterAutospacing="1" w:line="240" w:lineRule="auto"/>
        <w:outlineLvl w:val="0"/>
        <w:rPr>
          <w:rStyle w:val="Strong"/>
          <w:rFonts w:ascii="Times New Roman" w:eastAsiaTheme="majorEastAsia" w:hAnsi="Times New Roman" w:cs="Times New Roman"/>
          <w:b w:val="0"/>
          <w:bCs w:val="0"/>
          <w:kern w:val="0"/>
          <w14:ligatures w14:val="none"/>
        </w:rPr>
      </w:pPr>
      <w:r w:rsidRPr="009D6C32">
        <w:rPr>
          <w:rStyle w:val="Strong"/>
          <w:rFonts w:ascii="Times New Roman" w:eastAsiaTheme="majorEastAsia" w:hAnsi="Times New Roman" w:cs="Times New Roman"/>
          <w:b w:val="0"/>
          <w:bCs w:val="0"/>
          <w:kern w:val="0"/>
          <w14:ligatures w14:val="none"/>
        </w:rPr>
        <w:t>A total of [number] studies involving [number] patients with glioblastoma were included. Compared with STR or biopsy, GTR was significantly associated with improved OS (pooled)</w:t>
      </w:r>
    </w:p>
    <w:p w14:paraId="1E7ED887" w14:textId="691A84B3"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color w:val="000000" w:themeColor="text1"/>
          <w:kern w:val="0"/>
          <w14:ligatures w14:val="none"/>
        </w:rPr>
      </w:pPr>
      <w:r w:rsidRPr="005E3778">
        <w:rPr>
          <w:rFonts w:ascii="Times New Roman" w:eastAsia="Times New Roman" w:hAnsi="Times New Roman" w:cs="Times New Roman"/>
          <w:color w:val="000000" w:themeColor="text1"/>
          <w:kern w:val="0"/>
          <w14:ligatures w14:val="none"/>
        </w:rPr>
        <w:t>Keywords:</w:t>
      </w:r>
    </w:p>
    <w:p w14:paraId="1A74B73B"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Glioblastoma, Extent of resection, Gross total resection, survival, progression-free survival. Meta-analysis: Neurosurgery.</w:t>
      </w:r>
    </w:p>
    <w:p w14:paraId="1EB65EE4" w14:textId="540A861A"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lastRenderedPageBreak/>
        <w:t>Introduction</w:t>
      </w:r>
    </w:p>
    <w:p w14:paraId="266DCA11" w14:textId="437723A3" w:rsidR="005E3778" w:rsidRDefault="005E3778" w:rsidP="008D1014">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Glioblastoma (GBM) is the most common and most aggressive primary malignant brain tumor in adults, accounting for the majority of malignant central ner</w:t>
      </w:r>
      <w:r w:rsidR="008D1014">
        <w:rPr>
          <w:rFonts w:ascii="Times New Roman" w:eastAsia="Times New Roman" w:hAnsi="Times New Roman" w:cs="Times New Roman"/>
          <w:kern w:val="0"/>
          <w14:ligatures w14:val="none"/>
        </w:rPr>
        <w:t xml:space="preserve">vous system neoplasms worldwide </w:t>
      </w:r>
      <w:r w:rsidR="008D1014" w:rsidRPr="008D1014">
        <w:rPr>
          <w:rFonts w:ascii="Times New Roman" w:eastAsia="Times New Roman" w:hAnsi="Times New Roman" w:cs="Times New Roman"/>
          <w:kern w:val="0"/>
          <w:highlight w:val="cyan"/>
          <w14:ligatures w14:val="none"/>
        </w:rPr>
        <w:t>(Ostrom, Q. T., et al. 2023).</w:t>
      </w:r>
      <w:r w:rsidR="008D1014"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Despite advances in neurosurgery, radiotherapy, and molecular oncology, glioblastoma remains associated with poor prognosis and limited long-term survival. The annual incidence of glioblastoma continues to rise globally, creating a substantial burden on healthcare systems and emphasizing the need for </w:t>
      </w:r>
      <w:r w:rsidR="008D1014">
        <w:rPr>
          <w:rFonts w:ascii="Times New Roman" w:eastAsia="Times New Roman" w:hAnsi="Times New Roman" w:cs="Times New Roman"/>
          <w:kern w:val="0"/>
          <w14:ligatures w14:val="none"/>
        </w:rPr>
        <w:t xml:space="preserve">improved therapeutic strategies </w:t>
      </w:r>
      <w:r w:rsidR="008D1014" w:rsidRPr="008D1014">
        <w:rPr>
          <w:rFonts w:ascii="Times New Roman" w:eastAsia="Times New Roman" w:hAnsi="Times New Roman" w:cs="Times New Roman"/>
          <w:kern w:val="0"/>
          <w:highlight w:val="cyan"/>
          <w14:ligatures w14:val="none"/>
        </w:rPr>
        <w:t>(Liu, A. P. Y., et al. 2021).</w:t>
      </w:r>
      <w:r w:rsidR="008D1014" w:rsidRPr="009D6C32">
        <w:rPr>
          <w:rFonts w:ascii="Times New Roman" w:eastAsia="Times New Roman" w:hAnsi="Times New Roman" w:cs="Times New Roman"/>
          <w:kern w:val="0"/>
          <w14:ligatures w14:val="none"/>
        </w:rPr>
        <w:t xml:space="preserve"> </w:t>
      </w:r>
      <w:r w:rsidR="00EC2556"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The current standard treatment for newly diagnosed glioblastoma includes maximal safe surgical resection followed by radiotherapy with concomitant and adj</w:t>
      </w:r>
      <w:r w:rsidR="008D1014">
        <w:rPr>
          <w:rFonts w:ascii="Times New Roman" w:eastAsia="Times New Roman" w:hAnsi="Times New Roman" w:cs="Times New Roman"/>
          <w:kern w:val="0"/>
          <w14:ligatures w14:val="none"/>
        </w:rPr>
        <w:t>uvant temozolomide chemotherapy</w:t>
      </w:r>
      <w:r w:rsidR="008D1014" w:rsidRPr="008D1014">
        <w:rPr>
          <w:rFonts w:ascii="Times New Roman" w:eastAsia="Times New Roman" w:hAnsi="Times New Roman" w:cs="Times New Roman"/>
          <w:kern w:val="0"/>
          <w14:ligatures w14:val="none"/>
        </w:rPr>
        <w:t xml:space="preserve"> </w:t>
      </w:r>
      <w:r w:rsidR="008D1014" w:rsidRPr="008D1014">
        <w:rPr>
          <w:rFonts w:ascii="Times New Roman" w:eastAsia="Times New Roman" w:hAnsi="Times New Roman" w:cs="Times New Roman"/>
          <w:kern w:val="0"/>
          <w:highlight w:val="cyan"/>
          <w14:ligatures w14:val="none"/>
        </w:rPr>
        <w:t>(Stupp, R., et al. 2005).</w:t>
      </w:r>
      <w:r w:rsidR="008D1014" w:rsidRPr="009D6C32">
        <w:rPr>
          <w:rFonts w:ascii="Times New Roman" w:eastAsia="Times New Roman" w:hAnsi="Times New Roman" w:cs="Times New Roman"/>
          <w:kern w:val="0"/>
          <w14:ligatures w14:val="none"/>
        </w:rPr>
        <w:t xml:space="preserve"> </w:t>
      </w:r>
      <w:r w:rsidR="008D1014">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Surgical intervention remains the cornerstone of treatment because it provides histopathological diagnosis, reduces intracranial pressure, and decreases tumor</w:t>
      </w:r>
      <w:r w:rsidR="008D1014">
        <w:rPr>
          <w:rFonts w:ascii="Times New Roman" w:eastAsia="Times New Roman" w:hAnsi="Times New Roman" w:cs="Times New Roman"/>
          <w:kern w:val="0"/>
          <w14:ligatures w14:val="none"/>
        </w:rPr>
        <w:t xml:space="preserve"> burden before adjuvant therapy </w:t>
      </w:r>
      <w:r w:rsidR="008D1014" w:rsidRPr="008D1014">
        <w:rPr>
          <w:rFonts w:ascii="Times New Roman" w:eastAsia="Times New Roman" w:hAnsi="Times New Roman" w:cs="Times New Roman"/>
          <w:kern w:val="0"/>
          <w:highlight w:val="cyan"/>
          <w14:ligatures w14:val="none"/>
        </w:rPr>
        <w:t>(Mueller, S., et al. 2009).</w:t>
      </w:r>
    </w:p>
    <w:p w14:paraId="5B954E84" w14:textId="14D3F97C"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However, due to the highly infiltrative nature of glioblastoma, complete eradication of tumor cells is rarely achievable, and recurrence is nearly universal.</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Several studies have demonstrated that the extent of resection is one of the most important prognostic factors affecting progression-free and overall surviva</w:t>
      </w:r>
      <w:r w:rsidR="008D1014">
        <w:rPr>
          <w:rFonts w:ascii="Times New Roman" w:eastAsia="Times New Roman" w:hAnsi="Times New Roman" w:cs="Times New Roman"/>
          <w:kern w:val="0"/>
          <w14:ligatures w14:val="none"/>
        </w:rPr>
        <w:t xml:space="preserve">l in patients with glioblastoma </w:t>
      </w:r>
      <w:r w:rsidR="008D1014" w:rsidRPr="008D1014">
        <w:rPr>
          <w:rFonts w:ascii="Times New Roman" w:eastAsia="Times New Roman" w:hAnsi="Times New Roman" w:cs="Times New Roman"/>
          <w:kern w:val="0"/>
          <w:highlight w:val="cyan"/>
          <w14:ligatures w14:val="none"/>
        </w:rPr>
        <w:t>(Lacroix, M., et al. (2001).</w:t>
      </w:r>
      <w:r w:rsidR="008D1014"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Greater tumor resection has been associated with prolonged survival and improved neurological outcomes, particularly when gross total resection can be achieved without causing </w:t>
      </w:r>
      <w:r w:rsidR="008D1014">
        <w:rPr>
          <w:rFonts w:ascii="Times New Roman" w:eastAsia="Times New Roman" w:hAnsi="Times New Roman" w:cs="Times New Roman"/>
          <w:kern w:val="0"/>
          <w14:ligatures w14:val="none"/>
        </w:rPr>
        <w:t xml:space="preserve">significant functional deficits </w:t>
      </w:r>
      <w:r w:rsidR="008D1014" w:rsidRPr="008D1014">
        <w:rPr>
          <w:rFonts w:ascii="Times New Roman" w:eastAsia="Times New Roman" w:hAnsi="Times New Roman" w:cs="Times New Roman"/>
          <w:kern w:val="0"/>
          <w:highlight w:val="cyan"/>
          <w14:ligatures w14:val="none"/>
        </w:rPr>
        <w:t>(Chaichana, K. L., et al. 2014).</w:t>
      </w:r>
      <w:r w:rsidR="008D1014" w:rsidRPr="009D6C32">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Nevertheless, balancing aggressive tumor removal with preservation of neurological function remains a major challenge in modern neuro-oncological surgery.</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Diffuse infiltration into eloquent brain regions complicates surgical management and limits the possibility of ra</w:t>
      </w:r>
      <w:r w:rsidR="00B551DF">
        <w:rPr>
          <w:rFonts w:ascii="Times New Roman" w:eastAsia="Times New Roman" w:hAnsi="Times New Roman" w:cs="Times New Roman"/>
          <w:kern w:val="0"/>
          <w14:ligatures w14:val="none"/>
        </w:rPr>
        <w:t>dical excision in many patients</w:t>
      </w:r>
      <w:r w:rsidR="00B551DF" w:rsidRPr="00B551DF">
        <w:rPr>
          <w:rFonts w:ascii="Times New Roman" w:eastAsia="Times New Roman" w:hAnsi="Times New Roman" w:cs="Times New Roman"/>
          <w:kern w:val="0"/>
          <w14:ligatures w14:val="none"/>
        </w:rPr>
        <w:t xml:space="preserve"> </w:t>
      </w:r>
      <w:r w:rsidR="00B551DF" w:rsidRPr="00B551DF">
        <w:rPr>
          <w:rFonts w:ascii="Times New Roman" w:eastAsia="Times New Roman" w:hAnsi="Times New Roman" w:cs="Times New Roman"/>
          <w:kern w:val="0"/>
          <w:highlight w:val="cyan"/>
          <w14:ligatures w14:val="none"/>
        </w:rPr>
        <w:t>(Duffau, H. 2014).</w:t>
      </w:r>
      <w:r w:rsidR="00B551DF" w:rsidRPr="009D6C32">
        <w:rPr>
          <w:rFonts w:ascii="Times New Roman" w:eastAsia="Times New Roman" w:hAnsi="Times New Roman" w:cs="Times New Roman"/>
          <w:kern w:val="0"/>
          <w14:ligatures w14:val="none"/>
        </w:rPr>
        <w:t xml:space="preserve"> </w:t>
      </w:r>
      <w:r w:rsidR="00B551DF">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p>
    <w:p w14:paraId="34BBC08E" w14:textId="0FEB0E80" w:rsidR="00EC2556" w:rsidRDefault="005E3778" w:rsidP="00C93119">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Advances in molecular pathology and genomic profiling have further demonstrated that glioblastoma is a biologically heterogeneous disease characterized by distinct gen</w:t>
      </w:r>
      <w:r w:rsidR="00F142E1">
        <w:rPr>
          <w:rFonts w:ascii="Times New Roman" w:eastAsia="Times New Roman" w:hAnsi="Times New Roman" w:cs="Times New Roman"/>
          <w:kern w:val="0"/>
          <w14:ligatures w14:val="none"/>
        </w:rPr>
        <w:t xml:space="preserve">etic and epigenetic alterations </w:t>
      </w:r>
      <w:r w:rsidR="00F142E1" w:rsidRPr="00F142E1">
        <w:rPr>
          <w:rFonts w:ascii="Times New Roman" w:eastAsia="Times New Roman" w:hAnsi="Times New Roman" w:cs="Times New Roman"/>
          <w:kern w:val="0"/>
          <w:highlight w:val="cyan"/>
          <w14:ligatures w14:val="none"/>
        </w:rPr>
        <w:t>(Parsons, et al. 2008).</w:t>
      </w:r>
      <w:r w:rsidR="00F142E1" w:rsidRPr="009D6C32">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Among these molecular markers, methylation of the MGMT promoter has emerged as an important predictor of responsiveness to temozolomid</w:t>
      </w:r>
      <w:r w:rsidR="00F142E1">
        <w:rPr>
          <w:rFonts w:ascii="Times New Roman" w:eastAsia="Times New Roman" w:hAnsi="Times New Roman" w:cs="Times New Roman"/>
          <w:kern w:val="0"/>
          <w14:ligatures w14:val="none"/>
        </w:rPr>
        <w:t xml:space="preserve">e therapy and survival outcomes </w:t>
      </w:r>
      <w:r w:rsidR="00C93119" w:rsidRPr="00F142E1">
        <w:rPr>
          <w:rFonts w:ascii="Times New Roman" w:eastAsia="Times New Roman" w:hAnsi="Times New Roman" w:cs="Times New Roman"/>
          <w:kern w:val="0"/>
          <w:highlight w:val="cyan"/>
          <w14:ligatures w14:val="none"/>
        </w:rPr>
        <w:t>(Hegi</w:t>
      </w:r>
      <w:r w:rsidR="00F142E1" w:rsidRPr="00F142E1">
        <w:rPr>
          <w:rFonts w:ascii="Times New Roman" w:eastAsia="Times New Roman" w:hAnsi="Times New Roman" w:cs="Times New Roman"/>
          <w:kern w:val="0"/>
          <w:highlight w:val="cyan"/>
          <w14:ligatures w14:val="none"/>
        </w:rPr>
        <w:t>, M. E., et al. 2005).</w:t>
      </w:r>
      <w:r w:rsidR="00F142E1" w:rsidRPr="009D6C32">
        <w:rPr>
          <w:rFonts w:ascii="Times New Roman" w:eastAsia="Times New Roman" w:hAnsi="Times New Roman" w:cs="Times New Roman"/>
          <w:kern w:val="0"/>
          <w14:ligatures w14:val="none"/>
        </w:rPr>
        <w:t xml:space="preserve"> </w:t>
      </w:r>
      <w:r w:rsidR="00F142E1">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Likewise, genomic studies have identified clinically relevant molecular subtypes of glioblastoma with differing prognostic implica</w:t>
      </w:r>
      <w:r w:rsidR="00C93119">
        <w:rPr>
          <w:rFonts w:ascii="Times New Roman" w:eastAsia="Times New Roman" w:hAnsi="Times New Roman" w:cs="Times New Roman"/>
          <w:kern w:val="0"/>
          <w14:ligatures w14:val="none"/>
        </w:rPr>
        <w:t xml:space="preserve">tions and therapeutic responses </w:t>
      </w:r>
      <w:r w:rsidR="00C93119" w:rsidRPr="00C93119">
        <w:rPr>
          <w:rFonts w:ascii="Times New Roman" w:eastAsia="Times New Roman" w:hAnsi="Times New Roman" w:cs="Times New Roman"/>
          <w:kern w:val="0"/>
          <w:highlight w:val="cyan"/>
          <w14:ligatures w14:val="none"/>
        </w:rPr>
        <w:t>(</w:t>
      </w:r>
      <w:proofErr w:type="spellStart"/>
      <w:r w:rsidR="00C93119" w:rsidRPr="00C93119">
        <w:rPr>
          <w:rFonts w:ascii="Times New Roman" w:eastAsia="Times New Roman" w:hAnsi="Times New Roman" w:cs="Times New Roman"/>
          <w:kern w:val="0"/>
          <w:highlight w:val="cyan"/>
          <w14:ligatures w14:val="none"/>
        </w:rPr>
        <w:t>Verhaak</w:t>
      </w:r>
      <w:proofErr w:type="spellEnd"/>
      <w:r w:rsidR="00C93119" w:rsidRPr="00C93119">
        <w:rPr>
          <w:rFonts w:ascii="Times New Roman" w:eastAsia="Times New Roman" w:hAnsi="Times New Roman" w:cs="Times New Roman"/>
          <w:kern w:val="0"/>
          <w:highlight w:val="cyan"/>
          <w14:ligatures w14:val="none"/>
        </w:rPr>
        <w:t>, R. G. W., et al. 2010).</w:t>
      </w:r>
      <w:r w:rsidR="00C93119"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The growing complexity of glioblastoma management has increased the importance of evidence-based research methodologies. The Preferred Reporting Items for Systematic Reviews and Meta-Analyses (PRISMA) guidelines have become the standard framework for conducting transparent and </w:t>
      </w:r>
      <w:r w:rsidR="00C93119">
        <w:rPr>
          <w:rFonts w:ascii="Times New Roman" w:eastAsia="Times New Roman" w:hAnsi="Times New Roman" w:cs="Times New Roman"/>
          <w:kern w:val="0"/>
          <w14:ligatures w14:val="none"/>
        </w:rPr>
        <w:t xml:space="preserve">reproducible systematic reviews </w:t>
      </w:r>
      <w:r w:rsidR="00C93119" w:rsidRPr="00C93119">
        <w:rPr>
          <w:rFonts w:ascii="Times New Roman" w:eastAsia="Times New Roman" w:hAnsi="Times New Roman" w:cs="Times New Roman"/>
          <w:kern w:val="0"/>
          <w:highlight w:val="cyan"/>
          <w14:ligatures w14:val="none"/>
        </w:rPr>
        <w:t>(Page, M. J., McKenzie, et al. 2021).</w:t>
      </w:r>
    </w:p>
    <w:p w14:paraId="04505ACA" w14:textId="2A4F7001" w:rsidR="00EC2556" w:rsidRDefault="005E3778" w:rsidP="00EC2556">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Similarly, the revised Cochrane Risk of Bias tool has improved the methodological assessment of clinical studies</w:t>
      </w:r>
      <w:r w:rsidR="00C93119">
        <w:rPr>
          <w:rFonts w:ascii="Times New Roman" w:eastAsia="Times New Roman" w:hAnsi="Times New Roman" w:cs="Times New Roman"/>
          <w:kern w:val="0"/>
          <w14:ligatures w14:val="none"/>
        </w:rPr>
        <w:t xml:space="preserve"> included in evidence syntheses</w:t>
      </w:r>
      <w:r w:rsidR="00C93119" w:rsidRPr="00C93119">
        <w:rPr>
          <w:rFonts w:ascii="Times New Roman" w:eastAsia="Times New Roman" w:hAnsi="Times New Roman" w:cs="Times New Roman"/>
          <w:kern w:val="0"/>
          <w14:ligatures w14:val="none"/>
        </w:rPr>
        <w:t xml:space="preserve"> </w:t>
      </w:r>
      <w:r w:rsidR="00C93119" w:rsidRPr="00C93119">
        <w:rPr>
          <w:rFonts w:ascii="Times New Roman" w:eastAsia="Times New Roman" w:hAnsi="Times New Roman" w:cs="Times New Roman"/>
          <w:kern w:val="0"/>
          <w:highlight w:val="cyan"/>
          <w14:ligatures w14:val="none"/>
        </w:rPr>
        <w:t>(Sterne, J. A. C., et al. 2019).</w:t>
      </w:r>
      <w:r w:rsidR="00C93119" w:rsidRPr="009D6C32">
        <w:rPr>
          <w:rFonts w:ascii="Times New Roman" w:eastAsia="Times New Roman" w:hAnsi="Times New Roman" w:cs="Times New Roman"/>
          <w:kern w:val="0"/>
          <w14:ligatures w14:val="none"/>
        </w:rPr>
        <w:t xml:space="preserve"> </w:t>
      </w:r>
      <w:r w:rsidR="00C93119">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Previous meta-analyses have confirmed a significant association between greater extent of resection and improved su</w:t>
      </w:r>
      <w:r w:rsidR="00C11BFC">
        <w:rPr>
          <w:rFonts w:ascii="Times New Roman" w:eastAsia="Times New Roman" w:hAnsi="Times New Roman" w:cs="Times New Roman"/>
          <w:kern w:val="0"/>
          <w14:ligatures w14:val="none"/>
        </w:rPr>
        <w:t xml:space="preserve">rvival in glioblastoma patients </w:t>
      </w:r>
      <w:r w:rsidR="00C11BFC" w:rsidRPr="00C11BFC">
        <w:rPr>
          <w:rFonts w:ascii="Times New Roman" w:eastAsia="Times New Roman" w:hAnsi="Times New Roman" w:cs="Times New Roman"/>
          <w:kern w:val="0"/>
          <w:highlight w:val="cyan"/>
          <w14:ligatures w14:val="none"/>
        </w:rPr>
        <w:t>(Brown, T. J.,</w:t>
      </w:r>
      <w:r w:rsidR="00C11BFC">
        <w:rPr>
          <w:rFonts w:ascii="Times New Roman" w:eastAsia="Times New Roman" w:hAnsi="Times New Roman" w:cs="Times New Roman"/>
          <w:kern w:val="0"/>
          <w:highlight w:val="cyan"/>
          <w14:ligatures w14:val="none"/>
        </w:rPr>
        <w:t xml:space="preserve"> et al. </w:t>
      </w:r>
      <w:r w:rsidR="00C11BFC" w:rsidRPr="00C11BFC">
        <w:rPr>
          <w:rFonts w:ascii="Times New Roman" w:eastAsia="Times New Roman" w:hAnsi="Times New Roman" w:cs="Times New Roman"/>
          <w:kern w:val="0"/>
          <w:highlight w:val="cyan"/>
          <w14:ligatures w14:val="none"/>
        </w:rPr>
        <w:t>2016).</w:t>
      </w:r>
      <w:r w:rsidR="00C11BFC"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Nevertheless, variability in patient selection, molecular characterization, imaging assessment, and surgical techniques continues to create uncertainty regarding the optimal resection threshold</w:t>
      </w:r>
      <w:r w:rsidR="00C11BFC">
        <w:rPr>
          <w:rFonts w:ascii="Times New Roman" w:eastAsia="Times New Roman" w:hAnsi="Times New Roman" w:cs="Times New Roman"/>
          <w:kern w:val="0"/>
          <w14:ligatures w14:val="none"/>
        </w:rPr>
        <w:t xml:space="preserve">s and prognostic interpretation </w:t>
      </w:r>
      <w:r w:rsidR="00C11BFC" w:rsidRPr="00C11BFC">
        <w:rPr>
          <w:rFonts w:ascii="Times New Roman" w:eastAsia="Times New Roman" w:hAnsi="Times New Roman" w:cs="Times New Roman"/>
          <w:kern w:val="0"/>
          <w:highlight w:val="cyan"/>
          <w14:ligatures w14:val="none"/>
        </w:rPr>
        <w:t>(Marko, N. F., et al. 2014).</w:t>
      </w:r>
      <w:r w:rsidR="00C11BFC"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Furthermore, recent advances in molecular classification and intraoperative technologies necessitate updated evidence synthesis integrating clinical, pathological, and survival-related variables.</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Therefore, this systematic review and meta-</w:t>
      </w:r>
      <w:r w:rsidRPr="005E3778">
        <w:rPr>
          <w:rFonts w:ascii="Times New Roman" w:eastAsia="Times New Roman" w:hAnsi="Times New Roman" w:cs="Times New Roman"/>
          <w:kern w:val="0"/>
          <w14:ligatures w14:val="none"/>
        </w:rPr>
        <w:lastRenderedPageBreak/>
        <w:t>analysis aims to evaluate the clinical and pathological correlates of extent of resection and their association with survival outcomes in patients with glioblastoma. The study seeks to provide a comprehensive overview of contemporary evidence regarding surgical extent, molecular determinants, and prognostic implications in glioblastoma management.</w:t>
      </w:r>
    </w:p>
    <w:p w14:paraId="34E379F3"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Objectives of the Study</w:t>
      </w:r>
    </w:p>
    <w:p w14:paraId="097CAB65"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The general objective of this study is to evaluate the clinical and pathological correlates of extent of resection and their association with survival outcomes in patients with glioblastoma through a systematic review and meta-analysis. Specifically, the study aims to assess the impact of extent of resection on overall survival and progression-free survival in patients with glioblastoma; compare survival outcomes among patients undergoing biopsy, subtotal resection, gross total resection, and supramarginal resection; evaluate the influence of molecular and pathological markers, including MGMT promoter methylation and IDH mutation status, on survival outcomes following surgical resection; investigate the role of advanced intraoperative techniques such as fluorescence-guided surgery and intraoperative MRI in achieving maximal safe resection; identify clinical factors associated with improved prognosis and postoperative outcomes in glioblastoma patients; and synthesize contemporary evidence regarding surgical strategies and their prognostic significance in glioblastoma management.</w:t>
      </w:r>
    </w:p>
    <w:p w14:paraId="3390C6A5" w14:textId="77777777" w:rsidR="00F869AF" w:rsidRPr="00F869AF" w:rsidRDefault="00F869AF" w:rsidP="00F869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869AF">
        <w:rPr>
          <w:rFonts w:ascii="Times New Roman" w:eastAsia="Times New Roman" w:hAnsi="Times New Roman" w:cs="Times New Roman"/>
          <w:b/>
          <w:bCs/>
          <w:kern w:val="0"/>
          <w:highlight w:val="cyan"/>
          <w14:ligatures w14:val="none"/>
        </w:rPr>
        <w:t>Methodology</w:t>
      </w:r>
    </w:p>
    <w:p w14:paraId="56149F19" w14:textId="77777777" w:rsidR="00CB182A" w:rsidRDefault="00CB182A" w:rsidP="00F869AF">
      <w:pPr>
        <w:spacing w:before="100" w:beforeAutospacing="1" w:after="100" w:afterAutospacing="1" w:line="240" w:lineRule="auto"/>
        <w:rPr>
          <w:rFonts w:ascii="Times New Roman" w:eastAsia="Times New Roman" w:hAnsi="Times New Roman" w:cs="Times New Roman"/>
          <w:kern w:val="0"/>
          <w14:ligatures w14:val="none"/>
        </w:rPr>
      </w:pPr>
      <w:r w:rsidRPr="00CB182A">
        <w:rPr>
          <w:rFonts w:ascii="Times New Roman" w:eastAsia="Times New Roman" w:hAnsi="Times New Roman" w:cs="Times New Roman"/>
          <w:kern w:val="0"/>
          <w14:ligatures w14:val="none"/>
        </w:rPr>
        <w:t>This systematic review and meta-analysis were conducted in accordance with PRISMA 2020 guidelines to evaluate the association between extent of resection (EOR), pathological characteristics, and survival outcomes in patients with glioblastoma. A comprehensive search of PubMed, Scopus, Web of Science, Embase, and the Cochrane Library was performed for studies published between January 2000 and December 2026 using relevant MeSH terms and keywords.</w:t>
      </w:r>
      <w:r>
        <w:rPr>
          <w:rFonts w:ascii="Times New Roman" w:eastAsia="Times New Roman" w:hAnsi="Times New Roman" w:cs="Times New Roman"/>
          <w:kern w:val="0"/>
          <w14:ligatures w14:val="none"/>
        </w:rPr>
        <w:t xml:space="preserve"> </w:t>
      </w:r>
    </w:p>
    <w:p w14:paraId="572D4079" w14:textId="77777777" w:rsidR="00CB182A" w:rsidRDefault="00CB182A" w:rsidP="00F869AF">
      <w:pPr>
        <w:spacing w:before="100" w:beforeAutospacing="1" w:after="100" w:afterAutospacing="1" w:line="240" w:lineRule="auto"/>
        <w:rPr>
          <w:rFonts w:ascii="Times New Roman" w:eastAsia="Times New Roman" w:hAnsi="Times New Roman" w:cs="Times New Roman"/>
          <w:kern w:val="0"/>
          <w14:ligatures w14:val="none"/>
        </w:rPr>
      </w:pPr>
      <w:r w:rsidRPr="00CB182A">
        <w:rPr>
          <w:rFonts w:ascii="Times New Roman" w:eastAsia="Times New Roman" w:hAnsi="Times New Roman" w:cs="Times New Roman"/>
          <w:kern w:val="0"/>
          <w14:ligatures w14:val="none"/>
        </w:rPr>
        <w:t>Eligible studies included randomized controlled trials, cohort studies, case-control studies, and observational studies reporting survival outcomes in glioblastoma patients undergoing surgical intervention. Only peer-reviewed English-language studies with sufficient quantitative data, including hazard ratios (HRs), odds ratios (ORs), and confidence intervals (CIs), were included. Case reports, conference abstracts, editorials, review articles, duplicate studies, and studies lacking adequate outcome data were excluded</w:t>
      </w:r>
    </w:p>
    <w:p w14:paraId="2D8C23B5" w14:textId="3CDC9022" w:rsidR="00CB182A" w:rsidRDefault="00CB182A" w:rsidP="00F869AF">
      <w:pPr>
        <w:spacing w:before="100" w:beforeAutospacing="1" w:after="100" w:afterAutospacing="1" w:line="240" w:lineRule="auto"/>
        <w:rPr>
          <w:rFonts w:ascii="Times New Roman" w:eastAsia="Times New Roman" w:hAnsi="Times New Roman" w:cs="Times New Roman"/>
          <w:kern w:val="0"/>
          <w14:ligatures w14:val="none"/>
        </w:rPr>
      </w:pPr>
      <w:r w:rsidRPr="00CB182A">
        <w:rPr>
          <w:rFonts w:ascii="Times New Roman" w:eastAsia="Times New Roman" w:hAnsi="Times New Roman" w:cs="Times New Roman"/>
          <w:kern w:val="0"/>
          <w14:ligatures w14:val="none"/>
        </w:rPr>
        <w:t>Two independent reviewers screened studies, extracted data, and assessed methodological quality using standardized risk-of-bias tools, including the Newcastle–Ottawa Scale and Cochrane Risk of Bias tool where appropriate. Extracted data included patient demographics, molecular markers, extent of resection, progression-free survival (PFS), overall survival (OS), and postoperative outcomes.</w:t>
      </w:r>
    </w:p>
    <w:p w14:paraId="5F70D57E" w14:textId="7E0F5711" w:rsidR="00F869AF" w:rsidRDefault="00CB182A" w:rsidP="00F869AF">
      <w:pPr>
        <w:spacing w:before="100" w:beforeAutospacing="1" w:after="100" w:afterAutospacing="1" w:line="240" w:lineRule="auto"/>
        <w:rPr>
          <w:rFonts w:ascii="Times New Roman" w:eastAsia="Times New Roman" w:hAnsi="Times New Roman" w:cs="Times New Roman"/>
          <w:kern w:val="0"/>
          <w14:ligatures w14:val="none"/>
        </w:rPr>
      </w:pPr>
      <w:r w:rsidRPr="00CB182A">
        <w:rPr>
          <w:rFonts w:ascii="Times New Roman" w:eastAsia="Times New Roman" w:hAnsi="Times New Roman" w:cs="Times New Roman"/>
          <w:kern w:val="0"/>
          <w14:ligatures w14:val="none"/>
        </w:rPr>
        <w:t>Statistical analyses were performed using RevMan and STATA software. Pooled HRs and ORs with 95% CIs were calculated using random-effects models. Heterogeneity was assessed using Cochran’s Q test and the I² statistic, with subgroup and sensitivity analyses performed where appropriate. Publication bias was evaluated using funnel plots and Egger’s regression test, with statistical significance defined as p &lt; 0.05.</w:t>
      </w:r>
    </w:p>
    <w:p w14:paraId="53DAFDFB" w14:textId="37CFA67B" w:rsidR="00F869AF" w:rsidRDefault="00F869AF" w:rsidP="00F869AF">
      <w:pPr>
        <w:spacing w:before="100" w:beforeAutospacing="1" w:after="100" w:afterAutospacing="1" w:line="240" w:lineRule="auto"/>
        <w:rPr>
          <w:rFonts w:ascii="Times New Roman" w:eastAsia="Times New Roman" w:hAnsi="Times New Roman" w:cs="Times New Roman"/>
          <w:kern w:val="0"/>
          <w14:ligatures w14:val="none"/>
        </w:rPr>
      </w:pPr>
    </w:p>
    <w:p w14:paraId="343294E0" w14:textId="77777777" w:rsidR="00953D7E" w:rsidRPr="00F869AF" w:rsidRDefault="00953D7E" w:rsidP="00F869AF">
      <w:pPr>
        <w:spacing w:before="100" w:beforeAutospacing="1" w:after="100" w:afterAutospacing="1" w:line="240" w:lineRule="auto"/>
        <w:rPr>
          <w:rFonts w:ascii="Times New Roman" w:eastAsia="Times New Roman" w:hAnsi="Times New Roman" w:cs="Times New Roman"/>
          <w:kern w:val="0"/>
          <w14:ligatures w14:val="none"/>
        </w:rPr>
      </w:pPr>
    </w:p>
    <w:p w14:paraId="3665B954"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Data Collection Methods</w:t>
      </w:r>
    </w:p>
    <w:p w14:paraId="0EED16EF"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A comprehensive literature search will be performed using electronic databases, including PubMed, Scopus, Web of Science, Embase, and Cochrane Library. Relevant keywords and Medical Subject Headings (MeSH) terms related to “glioblastoma,” “extent of resection,” “gross total resection,” “survival,” “molecular markers,” and “meta-analysis” will be used. Two independent reviewers will screen titles and abstracts for eligibility. Full-text articles meeting inclusion criteria will subsequently be reviewed. Disagreements between reviewers will be resolved through discussion or consultation with a third reviewer. Data extracted from eligible studies will include author information, publication year, study design, sample size, patient demographics, extent of resection, molecular characteristics, surgical techniques, progression-free survival, overall survival, and reported complications. The methodological quality and risk of bias of included studies will be assessed using appropriate standardized tools, including the Cochrane Risk of Bias tool and Newcastle–Ottawa Scale, where applicable.</w:t>
      </w:r>
    </w:p>
    <w:p w14:paraId="5C4CC347"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Data Analysis</w:t>
      </w:r>
    </w:p>
    <w:p w14:paraId="14B06BE6"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Statistical analysis will be performed using appropriate meta-analytic software such as Review Manager (RevMan) and STATA. Pooled hazard ratios (HRs), odds ratios (ORs), and corresponding 95% confidence intervals (CIs) will be calculated to evaluate associations between extent of resection and survival outcomes. Heterogeneity among studies will be assessed using the I² statistic and Cochran’s Q test. A random-effects model will be applied when significant heterogeneity is present, whereas a fixed-effects model will be used when heterogeneity is low. Subgroup analyses will be conducted according to molecular characteristics, extent of resection categories, surgical techniques, and study design. Sensitivity analyses will also be performed to assess the robustness of pooled estimates. Publication bias will be evaluated using funnel plots and Egger’s regression test. Statistical significance will be considered at a p-value of less than 0.05.</w:t>
      </w:r>
    </w:p>
    <w:p w14:paraId="51853F01"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Literature Review</w:t>
      </w:r>
    </w:p>
    <w:p w14:paraId="103F4DF4" w14:textId="4A2D1D10"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Technological advances in glioblastoma surgery have significantly improved the ability to maximize tumor resection while minimizing neurological injury. Fluorescence-guided surgery using 5-aminolevulinic acid (5-ALA) has become an important technique for enhancing visualization of malignant</w:t>
      </w:r>
      <w:r w:rsidR="00C11BFC">
        <w:rPr>
          <w:rFonts w:ascii="Times New Roman" w:eastAsia="Times New Roman" w:hAnsi="Times New Roman" w:cs="Times New Roman"/>
          <w:kern w:val="0"/>
          <w14:ligatures w14:val="none"/>
        </w:rPr>
        <w:t xml:space="preserve"> glioma tissue intraoperatively </w:t>
      </w:r>
      <w:r w:rsidR="00C11BFC" w:rsidRPr="00C11BFC">
        <w:rPr>
          <w:rFonts w:ascii="Times New Roman" w:eastAsia="Times New Roman" w:hAnsi="Times New Roman" w:cs="Times New Roman"/>
          <w:kern w:val="0"/>
          <w:highlight w:val="cyan"/>
          <w14:ligatures w14:val="none"/>
        </w:rPr>
        <w:t>(Stummer, W., et al. 2006).</w:t>
      </w:r>
      <w:r w:rsidR="00C11BFC" w:rsidRPr="009D6C32">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This approach enables surgeons to identify infiltrative tumor margins more accurately and has been associated with higher rates of gross total resection.</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Intraoperative magnetic resonance imaging (iMRI) has also emerged as a valuable adjunct in glioma surgery. Randomized studies demonstrated that iMRI guidance improves the extent of tumor removal by allowing real-time assessment of </w:t>
      </w:r>
      <w:r w:rsidR="00C11BFC">
        <w:rPr>
          <w:rFonts w:ascii="Times New Roman" w:eastAsia="Times New Roman" w:hAnsi="Times New Roman" w:cs="Times New Roman"/>
          <w:kern w:val="0"/>
          <w14:ligatures w14:val="none"/>
        </w:rPr>
        <w:t xml:space="preserve">residual disease during surgery </w:t>
      </w:r>
      <w:r w:rsidR="00C11BFC" w:rsidRPr="00C11BFC">
        <w:rPr>
          <w:rFonts w:ascii="Times New Roman" w:eastAsia="Times New Roman" w:hAnsi="Times New Roman" w:cs="Times New Roman"/>
          <w:kern w:val="0"/>
          <w:highlight w:val="cyan"/>
          <w14:ligatures w14:val="none"/>
        </w:rPr>
        <w:t>(Senft, C., et al. 2011).</w:t>
      </w:r>
      <w:r w:rsidR="00C11BFC" w:rsidRPr="009D6C32">
        <w:rPr>
          <w:rFonts w:ascii="Times New Roman" w:eastAsia="Times New Roman" w:hAnsi="Times New Roman" w:cs="Times New Roman"/>
          <w:kern w:val="0"/>
          <w14:ligatures w14:val="none"/>
        </w:rPr>
        <w:t xml:space="preserve"> </w:t>
      </w:r>
      <w:r w:rsidR="00953D7E" w:rsidRPr="00953D7E">
        <w:rPr>
          <w:rFonts w:ascii="Times New Roman" w:eastAsia="Times New Roman" w:hAnsi="Times New Roman" w:cs="Times New Roman"/>
          <w:kern w:val="0"/>
          <w14:ligatures w14:val="none"/>
        </w:rPr>
        <w:t>The</w:t>
      </w:r>
      <w:r w:rsidRPr="00953D7E">
        <w:rPr>
          <w:rFonts w:ascii="Times New Roman" w:eastAsia="Times New Roman" w:hAnsi="Times New Roman" w:cs="Times New Roman"/>
          <w:kern w:val="0"/>
          <w14:ligatures w14:val="none"/>
        </w:rPr>
        <w:t xml:space="preserve"> u</w:t>
      </w:r>
      <w:r w:rsidRPr="005E3778">
        <w:rPr>
          <w:rFonts w:ascii="Times New Roman" w:eastAsia="Times New Roman" w:hAnsi="Times New Roman" w:cs="Times New Roman"/>
          <w:kern w:val="0"/>
          <w14:ligatures w14:val="none"/>
        </w:rPr>
        <w:t>se of advanced imaging modalities has therefore become increasingly integrated into modern neuro-oncological practice.</w:t>
      </w:r>
    </w:p>
    <w:p w14:paraId="74467FA0" w14:textId="313155BE" w:rsidR="00EC2556" w:rsidRDefault="005E3778" w:rsidP="00C11BFC">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lastRenderedPageBreak/>
        <w:t>The pathological and genetic characterization of nervous system tumors has evolved considerably over the past decades. The World Health Organization classification established the foundation for integrating histopathological and molecular crite</w:t>
      </w:r>
      <w:r w:rsidR="00C11BFC">
        <w:rPr>
          <w:rFonts w:ascii="Times New Roman" w:eastAsia="Times New Roman" w:hAnsi="Times New Roman" w:cs="Times New Roman"/>
          <w:kern w:val="0"/>
          <w14:ligatures w14:val="none"/>
        </w:rPr>
        <w:t xml:space="preserve">ria in the diagnosis of gliomas </w:t>
      </w:r>
      <w:r w:rsidR="00C11BFC" w:rsidRPr="00C11BFC">
        <w:rPr>
          <w:rFonts w:ascii="Times New Roman" w:eastAsia="Times New Roman" w:hAnsi="Times New Roman" w:cs="Times New Roman"/>
          <w:kern w:val="0"/>
          <w:highlight w:val="cyan"/>
          <w14:ligatures w14:val="none"/>
        </w:rPr>
        <w:t>(</w:t>
      </w:r>
      <w:proofErr w:type="spellStart"/>
      <w:r w:rsidR="00C11BFC" w:rsidRPr="00C11BFC">
        <w:rPr>
          <w:rFonts w:ascii="Times New Roman" w:eastAsia="Times New Roman" w:hAnsi="Times New Roman" w:cs="Times New Roman"/>
          <w:kern w:val="0"/>
          <w:highlight w:val="cyan"/>
          <w14:ligatures w14:val="none"/>
        </w:rPr>
        <w:t>Kleihues</w:t>
      </w:r>
      <w:proofErr w:type="spellEnd"/>
      <w:r w:rsidR="00C11BFC" w:rsidRPr="00C11BFC">
        <w:rPr>
          <w:rFonts w:ascii="Times New Roman" w:eastAsia="Times New Roman" w:hAnsi="Times New Roman" w:cs="Times New Roman"/>
          <w:kern w:val="0"/>
          <w:highlight w:val="cyan"/>
          <w14:ligatures w14:val="none"/>
        </w:rPr>
        <w:t>,</w:t>
      </w:r>
      <w:r w:rsidR="00C11BFC" w:rsidRPr="00C11BFC">
        <w:rPr>
          <w:highlight w:val="cyan"/>
        </w:rPr>
        <w:t xml:space="preserve"> </w:t>
      </w:r>
      <w:r w:rsidR="00C11BFC" w:rsidRPr="00C11BFC">
        <w:rPr>
          <w:rFonts w:ascii="Times New Roman" w:eastAsia="Times New Roman" w:hAnsi="Times New Roman" w:cs="Times New Roman"/>
          <w:kern w:val="0"/>
          <w:highlight w:val="cyan"/>
          <w14:ligatures w14:val="none"/>
        </w:rPr>
        <w:t>et al.  P.,2000).</w:t>
      </w:r>
      <w:r w:rsidR="00C11BFC" w:rsidRPr="009D6C32">
        <w:rPr>
          <w:rFonts w:ascii="Times New Roman" w:eastAsia="Times New Roman" w:hAnsi="Times New Roman" w:cs="Times New Roman"/>
          <w:kern w:val="0"/>
          <w14:ligatures w14:val="none"/>
        </w:rPr>
        <w:t xml:space="preserve">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Contemporary glioblastoma classification now incorporates molecular biomarkers such as IDH mutation status, MGMT promoter methylation, and EGFR amplification to improve prognostic stratification and therapeutic decision-making.</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Recent investigations have highlighted the importance of molecular subgroup analysis when evaluating survival outcomes after surgical resection. Molinaro and colleagues demonstrated that maximal resection of both contrast-enhancing and non-enhancing tumor regions was associated with improved survival within distinct m</w:t>
      </w:r>
      <w:r w:rsidR="00C11BFC">
        <w:rPr>
          <w:rFonts w:ascii="Times New Roman" w:eastAsia="Times New Roman" w:hAnsi="Times New Roman" w:cs="Times New Roman"/>
          <w:kern w:val="0"/>
          <w14:ligatures w14:val="none"/>
        </w:rPr>
        <w:t xml:space="preserve">olecular glioblastoma subgroups </w:t>
      </w:r>
      <w:r w:rsidR="00C11BFC" w:rsidRPr="00C11BFC">
        <w:rPr>
          <w:rFonts w:ascii="Times New Roman" w:eastAsia="Times New Roman" w:hAnsi="Times New Roman" w:cs="Times New Roman"/>
          <w:kern w:val="0"/>
          <w:highlight w:val="cyan"/>
          <w14:ligatures w14:val="none"/>
        </w:rPr>
        <w:t>(Molinaro, A. M., et al. 2020).</w:t>
      </w:r>
    </w:p>
    <w:p w14:paraId="326FD07F" w14:textId="6A334276" w:rsidR="00EC2556" w:rsidRPr="00361BFB" w:rsidRDefault="005E3778" w:rsidP="00361BF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Similarly, IDH1 and IDH2 mutations were shown to define biologically distinct glioma populations characterized by better prognosis an</w:t>
      </w:r>
      <w:r w:rsidR="00C11BFC">
        <w:rPr>
          <w:rFonts w:ascii="Times New Roman" w:eastAsia="Times New Roman" w:hAnsi="Times New Roman" w:cs="Times New Roman"/>
          <w:kern w:val="0"/>
          <w14:ligatures w14:val="none"/>
        </w:rPr>
        <w:t xml:space="preserve">d different treatment </w:t>
      </w:r>
      <w:r w:rsidR="00C11BFC" w:rsidRPr="00361BFB">
        <w:rPr>
          <w:rFonts w:ascii="Times New Roman" w:eastAsia="Times New Roman" w:hAnsi="Times New Roman" w:cs="Times New Roman"/>
          <w:kern w:val="0"/>
          <w14:ligatures w14:val="none"/>
        </w:rPr>
        <w:t>response</w:t>
      </w:r>
      <w:r w:rsidR="00361BFB" w:rsidRPr="00361BFB">
        <w:rPr>
          <w:rFonts w:ascii="Times New Roman" w:eastAsia="Times New Roman" w:hAnsi="Times New Roman" w:cs="Times New Roman"/>
          <w:kern w:val="0"/>
          <w14:ligatures w14:val="none"/>
        </w:rPr>
        <w:t xml:space="preserve">s </w:t>
      </w:r>
      <w:r w:rsidR="00361BFB" w:rsidRPr="00361BFB">
        <w:rPr>
          <w:rFonts w:ascii="Times New Roman" w:eastAsia="Times New Roman" w:hAnsi="Times New Roman" w:cs="Times New Roman"/>
          <w:kern w:val="0"/>
          <w:highlight w:val="cyan"/>
          <w14:ligatures w14:val="none"/>
        </w:rPr>
        <w:t>(Yan, H., Parsons, D. W., Jin, G., et al. (2009).</w:t>
      </w:r>
    </w:p>
    <w:p w14:paraId="2920385E" w14:textId="410D52C8" w:rsidR="0027741B" w:rsidRDefault="005E3778" w:rsidP="00361BF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The relationship between extent of resection and survival continues to be extensively investigated. A meta-analysis conducted by Abdel Fatah et al. confirmed that greater extent of resection significantly improves overall survival in newly </w:t>
      </w:r>
      <w:r w:rsidR="00361BFB">
        <w:rPr>
          <w:rFonts w:ascii="Times New Roman" w:eastAsia="Times New Roman" w:hAnsi="Times New Roman" w:cs="Times New Roman"/>
          <w:kern w:val="0"/>
          <w14:ligatures w14:val="none"/>
        </w:rPr>
        <w:t xml:space="preserve">diagnosed glioblastoma patients </w:t>
      </w:r>
      <w:r w:rsidR="00361BFB" w:rsidRPr="00361BFB">
        <w:rPr>
          <w:rFonts w:ascii="Times New Roman" w:eastAsia="Times New Roman" w:hAnsi="Times New Roman" w:cs="Times New Roman"/>
          <w:kern w:val="0"/>
          <w:highlight w:val="cyan"/>
          <w14:ligatures w14:val="none"/>
        </w:rPr>
        <w:t>(</w:t>
      </w:r>
      <w:proofErr w:type="spellStart"/>
      <w:r w:rsidR="00361BFB" w:rsidRPr="00361BFB">
        <w:rPr>
          <w:rFonts w:ascii="Times New Roman" w:eastAsia="Times New Roman" w:hAnsi="Times New Roman" w:cs="Times New Roman"/>
          <w:kern w:val="0"/>
          <w:highlight w:val="cyan"/>
          <w14:ligatures w14:val="none"/>
        </w:rPr>
        <w:t>AbdelFatah</w:t>
      </w:r>
      <w:proofErr w:type="spellEnd"/>
      <w:r w:rsidR="00361BFB" w:rsidRPr="00361BFB">
        <w:rPr>
          <w:rFonts w:ascii="Times New Roman" w:eastAsia="Times New Roman" w:hAnsi="Times New Roman" w:cs="Times New Roman"/>
          <w:kern w:val="0"/>
          <w:highlight w:val="cyan"/>
          <w14:ligatures w14:val="none"/>
        </w:rPr>
        <w:t>, et al. 2022).</w:t>
      </w:r>
      <w:r w:rsidR="00361BFB"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These findings support the principle of maximal safe resection as a central therapeutic objective.</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Additional evidence has emerged regarding supramarginal resection, which involves removal of tissue beyond the contrast-enhancing tumor margin. Watch et al. reported that supramarginal resection may provide superior survival benefits compared with conventional gross total resect</w:t>
      </w:r>
      <w:r w:rsidR="00361BFB">
        <w:rPr>
          <w:rFonts w:ascii="Times New Roman" w:eastAsia="Times New Roman" w:hAnsi="Times New Roman" w:cs="Times New Roman"/>
          <w:kern w:val="0"/>
          <w14:ligatures w14:val="none"/>
        </w:rPr>
        <w:t xml:space="preserve">ion in selected patients </w:t>
      </w:r>
      <w:r w:rsidR="00361BFB" w:rsidRPr="00361BFB">
        <w:rPr>
          <w:rFonts w:ascii="Times New Roman" w:eastAsia="Times New Roman" w:hAnsi="Times New Roman" w:cs="Times New Roman"/>
          <w:kern w:val="0"/>
          <w:highlight w:val="cyan"/>
          <w14:ligatures w14:val="none"/>
        </w:rPr>
        <w:t>(Wach, J., et al. 2023).</w:t>
      </w:r>
    </w:p>
    <w:p w14:paraId="2DC848B9" w14:textId="3D0241B6" w:rsidR="0027741B"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Such findings suggest that resection strategies extending beyond radiographic boundaries may improve local disease control.</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Systematic reviews have also confirmed the prognostic significance of surgical extent across multiple clinical settings. Revilla-Pacheco et al. demonstrated consistent survival advantages associated with greater tumor resec</w:t>
      </w:r>
      <w:r w:rsidR="00361BFB">
        <w:rPr>
          <w:rFonts w:ascii="Times New Roman" w:eastAsia="Times New Roman" w:hAnsi="Times New Roman" w:cs="Times New Roman"/>
          <w:kern w:val="0"/>
          <w14:ligatures w14:val="none"/>
        </w:rPr>
        <w:t xml:space="preserve">tion in glioblastoma multiforme </w:t>
      </w:r>
      <w:r w:rsidR="00361BFB" w:rsidRPr="00361BFB">
        <w:rPr>
          <w:rFonts w:ascii="Times New Roman" w:eastAsia="Times New Roman" w:hAnsi="Times New Roman" w:cs="Times New Roman"/>
          <w:kern w:val="0"/>
          <w:highlight w:val="cyan"/>
          <w14:ligatures w14:val="none"/>
        </w:rPr>
        <w:t>(Revilla-Pacheco, F., et al. 2021).</w:t>
      </w:r>
      <w:r w:rsidR="00361BFB" w:rsidRPr="00361BFB">
        <w:rPr>
          <w:rFonts w:ascii="Times New Roman" w:eastAsia="Times New Roman" w:hAnsi="Times New Roman" w:cs="Times New Roman"/>
          <w:kern w:val="0"/>
          <w14:ligatures w14:val="none"/>
        </w:rPr>
        <w:t xml:space="preserve"> These</w:t>
      </w:r>
      <w:r w:rsidRPr="005E3778">
        <w:rPr>
          <w:rFonts w:ascii="Times New Roman" w:eastAsia="Times New Roman" w:hAnsi="Times New Roman" w:cs="Times New Roman"/>
          <w:kern w:val="0"/>
          <w14:ligatures w14:val="none"/>
        </w:rPr>
        <w:t xml:space="preserve"> observations reinforce the importance of aggressive but functionally safe surgical approaches.</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Molecular epidemiological studies have further improved understanding of diffuse glioma biology. Research evaluating genetic and molecular risk factors has demonstrated substantial heterogeneity in glioblast</w:t>
      </w:r>
      <w:r w:rsidR="00361BFB">
        <w:rPr>
          <w:rFonts w:ascii="Times New Roman" w:eastAsia="Times New Roman" w:hAnsi="Times New Roman" w:cs="Times New Roman"/>
          <w:kern w:val="0"/>
          <w14:ligatures w14:val="none"/>
        </w:rPr>
        <w:t xml:space="preserve">oma development and progression </w:t>
      </w:r>
      <w:r w:rsidR="00361BFB" w:rsidRPr="00361BFB">
        <w:rPr>
          <w:rFonts w:ascii="Times New Roman" w:eastAsia="Times New Roman" w:hAnsi="Times New Roman" w:cs="Times New Roman"/>
          <w:kern w:val="0"/>
          <w:highlight w:val="cyan"/>
          <w14:ligatures w14:val="none"/>
        </w:rPr>
        <w:t>(Molinaro, et al.  2019).</w:t>
      </w:r>
      <w:r w:rsidR="00361BFB" w:rsidRPr="009D6C32">
        <w:rPr>
          <w:rFonts w:ascii="Times New Roman" w:eastAsia="Times New Roman" w:hAnsi="Times New Roman" w:cs="Times New Roman"/>
          <w:kern w:val="0"/>
          <w14:ligatures w14:val="none"/>
        </w:rPr>
        <w:t xml:space="preserve"> </w:t>
      </w:r>
      <w:r w:rsidR="0027741B" w:rsidRPr="0027741B">
        <w:rPr>
          <w:rFonts w:ascii="Times New Roman" w:eastAsia="Times New Roman" w:hAnsi="Times New Roman" w:cs="Times New Roman"/>
          <w:color w:val="4C94D8" w:themeColor="text2" w:themeTint="80"/>
          <w:kern w:val="0"/>
          <w14:ligatures w14:val="none"/>
        </w:rPr>
        <w:t xml:space="preserve"> </w:t>
      </w:r>
    </w:p>
    <w:p w14:paraId="63FA2C45" w14:textId="1412C1E6" w:rsidR="0027741B"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This heterogeneity contributes to variability in treatment response and survival outcomes among patients.</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Consensus recommendations from neuro-oncology societies emphasize multimodal treatment approaches incorporating surgery, radiotherapy, chemotherapy, and molecular </w:t>
      </w:r>
      <w:r w:rsidR="00361BFB">
        <w:rPr>
          <w:rFonts w:ascii="Times New Roman" w:eastAsia="Times New Roman" w:hAnsi="Times New Roman" w:cs="Times New Roman"/>
          <w:kern w:val="0"/>
          <w14:ligatures w14:val="none"/>
        </w:rPr>
        <w:t xml:space="preserve">profiling </w:t>
      </w:r>
      <w:r w:rsidR="00361BFB" w:rsidRPr="00361BFB">
        <w:rPr>
          <w:rFonts w:ascii="Times New Roman" w:eastAsia="Times New Roman" w:hAnsi="Times New Roman" w:cs="Times New Roman"/>
          <w:kern w:val="0"/>
          <w:highlight w:val="cyan"/>
          <w14:ligatures w14:val="none"/>
        </w:rPr>
        <w:t>(Wen, P. Y., et al. 2020).</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International guidelines from the European Association of Neuro-Oncology have highlighted the importance of integrating molecular diagnostics into therapeut</w:t>
      </w:r>
      <w:r w:rsidR="009B5949">
        <w:rPr>
          <w:rFonts w:ascii="Times New Roman" w:eastAsia="Times New Roman" w:hAnsi="Times New Roman" w:cs="Times New Roman"/>
          <w:kern w:val="0"/>
          <w14:ligatures w14:val="none"/>
        </w:rPr>
        <w:t>ic planning for diffuse gliomas</w:t>
      </w:r>
      <w:r w:rsidR="009B5949" w:rsidRPr="009D6C32">
        <w:rPr>
          <w:rFonts w:ascii="Times New Roman" w:eastAsia="Times New Roman" w:hAnsi="Times New Roman" w:cs="Times New Roman"/>
          <w:kern w:val="0"/>
          <w14:ligatures w14:val="none"/>
        </w:rPr>
        <w:t xml:space="preserve"> (</w:t>
      </w:r>
      <w:r w:rsidR="009B5949" w:rsidRPr="009B5949">
        <w:rPr>
          <w:rFonts w:ascii="Times New Roman" w:eastAsia="Times New Roman" w:hAnsi="Times New Roman" w:cs="Times New Roman"/>
          <w:kern w:val="0"/>
          <w:highlight w:val="cyan"/>
          <w14:ligatures w14:val="none"/>
        </w:rPr>
        <w:t>Weller, M., van den Bent, et al. 2021).</w:t>
      </w:r>
      <w:r w:rsidR="009B5949" w:rsidRPr="009D6C32">
        <w:rPr>
          <w:rFonts w:ascii="Times New Roman" w:eastAsia="Times New Roman" w:hAnsi="Times New Roman" w:cs="Times New Roman"/>
          <w:kern w:val="0"/>
          <w14:ligatures w14:val="none"/>
        </w:rPr>
        <w:t xml:space="preserve"> </w:t>
      </w:r>
      <w:r w:rsidR="009B5949">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The evolution of glioma classification systems has also influenced the interpretation of surgical outcomes. The updated WHO classification incorporated molecular features into tumor taxonomy, redefining diagnostic categ</w:t>
      </w:r>
      <w:r w:rsidR="009B5949">
        <w:rPr>
          <w:rFonts w:ascii="Times New Roman" w:eastAsia="Times New Roman" w:hAnsi="Times New Roman" w:cs="Times New Roman"/>
          <w:kern w:val="0"/>
          <w14:ligatures w14:val="none"/>
        </w:rPr>
        <w:t xml:space="preserve">ories and prognostic assessment </w:t>
      </w:r>
      <w:r w:rsidR="009B5949" w:rsidRPr="009B5949">
        <w:rPr>
          <w:rFonts w:ascii="Times New Roman" w:eastAsia="Times New Roman" w:hAnsi="Times New Roman" w:cs="Times New Roman"/>
          <w:kern w:val="0"/>
          <w:highlight w:val="cyan"/>
          <w14:ligatures w14:val="none"/>
        </w:rPr>
        <w:t>(Louis, D. N., Perry, A., et al. 2016).</w:t>
      </w:r>
      <w:r w:rsidR="009B5949" w:rsidRPr="009D6C32">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Consequently, recent studies increasingly stratify patients according to molecular subtype when evaluating surgical effectiveness.</w:t>
      </w:r>
    </w:p>
    <w:p w14:paraId="51DDE7A0" w14:textId="269CB8A8" w:rsidR="0027741B" w:rsidRDefault="0027741B" w:rsidP="009B5949">
      <w:pPr>
        <w:spacing w:before="100" w:beforeAutospacing="1" w:after="100" w:afterAutospacing="1" w:line="240" w:lineRule="auto"/>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005E3778" w:rsidRPr="005E3778">
        <w:rPr>
          <w:rFonts w:ascii="Times New Roman" w:eastAsia="Times New Roman" w:hAnsi="Times New Roman" w:cs="Times New Roman"/>
          <w:kern w:val="0"/>
          <w14:ligatures w14:val="none"/>
        </w:rPr>
        <w:t>Contemporary meta-analyses continue to refine understanding of the relationship between extent of resection and survival. Geens et al. specifically evaluated IDH-wildtype glioblastoma patients receiving standard chemoradiotherapy and found that greater resection remained strongly associated</w:t>
      </w:r>
      <w:r w:rsidR="009B5949">
        <w:rPr>
          <w:rFonts w:ascii="Times New Roman" w:eastAsia="Times New Roman" w:hAnsi="Times New Roman" w:cs="Times New Roman"/>
          <w:kern w:val="0"/>
          <w14:ligatures w14:val="none"/>
        </w:rPr>
        <w:t xml:space="preserve"> with improved overall survival </w:t>
      </w:r>
      <w:r w:rsidR="009B5949" w:rsidRPr="009B5949">
        <w:rPr>
          <w:rFonts w:ascii="Times New Roman" w:eastAsia="Times New Roman" w:hAnsi="Times New Roman" w:cs="Times New Roman"/>
          <w:kern w:val="0"/>
          <w:highlight w:val="cyan"/>
          <w14:ligatures w14:val="none"/>
        </w:rPr>
        <w:t>(Geens, W., Rizani, et al. 2025).</w:t>
      </w:r>
      <w:r w:rsidR="005E3778" w:rsidRPr="0027741B">
        <w:rPr>
          <w:rFonts w:ascii="Times New Roman" w:eastAsia="Times New Roman" w:hAnsi="Times New Roman" w:cs="Times New Roman"/>
          <w:color w:val="4C94D8" w:themeColor="text2" w:themeTint="80"/>
          <w:kern w:val="0"/>
          <w14:ligatures w14:val="none"/>
        </w:rPr>
        <w:t xml:space="preserve"> </w:t>
      </w:r>
      <w:r w:rsidR="005E3778" w:rsidRPr="005E3778">
        <w:rPr>
          <w:rFonts w:ascii="Times New Roman" w:eastAsia="Times New Roman" w:hAnsi="Times New Roman" w:cs="Times New Roman"/>
          <w:kern w:val="0"/>
          <w14:ligatures w14:val="none"/>
        </w:rPr>
        <w:t>Such evidence supports the consistency of surgical benefit even within molecularly defined populations.</w:t>
      </w:r>
      <w:r>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kern w:val="0"/>
          <w14:ligatures w14:val="none"/>
        </w:rPr>
        <w:t>Further investigation into standardized resection categories has been undertaken using RANO criteria. Wach and colleagues revalidated prognostic associations between resection extent and survival outcomes through individual patient data reconstruction method</w:t>
      </w:r>
      <w:r w:rsidR="009B5949">
        <w:rPr>
          <w:rFonts w:ascii="Times New Roman" w:eastAsia="Times New Roman" w:hAnsi="Times New Roman" w:cs="Times New Roman"/>
          <w:kern w:val="0"/>
          <w14:ligatures w14:val="none"/>
        </w:rPr>
        <w:t>s</w:t>
      </w:r>
      <w:r w:rsidR="009B5949" w:rsidRPr="009B5949">
        <w:rPr>
          <w:rFonts w:ascii="Times New Roman" w:eastAsia="Times New Roman" w:hAnsi="Times New Roman" w:cs="Times New Roman"/>
          <w:kern w:val="0"/>
          <w14:ligatures w14:val="none"/>
        </w:rPr>
        <w:t xml:space="preserve"> </w:t>
      </w:r>
      <w:r w:rsidR="009B5949" w:rsidRPr="009B5949">
        <w:rPr>
          <w:rFonts w:ascii="Times New Roman" w:eastAsia="Times New Roman" w:hAnsi="Times New Roman" w:cs="Times New Roman"/>
          <w:kern w:val="0"/>
          <w:highlight w:val="cyan"/>
          <w14:ligatures w14:val="none"/>
        </w:rPr>
        <w:t>(Wach, J., Vychopen,2025).</w:t>
      </w:r>
      <w:r w:rsidR="009B5949" w:rsidRPr="009D6C32">
        <w:rPr>
          <w:rFonts w:ascii="Times New Roman" w:eastAsia="Times New Roman" w:hAnsi="Times New Roman" w:cs="Times New Roman"/>
          <w:kern w:val="0"/>
          <w14:ligatures w14:val="none"/>
        </w:rPr>
        <w:t xml:space="preserve"> </w:t>
      </w:r>
      <w:r w:rsidR="009B5949">
        <w:rPr>
          <w:rFonts w:ascii="Times New Roman" w:eastAsia="Times New Roman" w:hAnsi="Times New Roman" w:cs="Times New Roman"/>
          <w:kern w:val="0"/>
          <w14:ligatures w14:val="none"/>
        </w:rPr>
        <w:t xml:space="preserve"> </w:t>
      </w:r>
      <w:r w:rsidR="005E3778" w:rsidRPr="0027741B">
        <w:rPr>
          <w:rFonts w:ascii="Times New Roman" w:eastAsia="Times New Roman" w:hAnsi="Times New Roman" w:cs="Times New Roman"/>
          <w:color w:val="4C94D8" w:themeColor="text2" w:themeTint="80"/>
          <w:kern w:val="0"/>
          <w14:ligatures w14:val="none"/>
        </w:rPr>
        <w:t xml:space="preserve"> </w:t>
      </w:r>
      <w:r w:rsidR="005E3778" w:rsidRPr="005E3778">
        <w:rPr>
          <w:rFonts w:ascii="Times New Roman" w:eastAsia="Times New Roman" w:hAnsi="Times New Roman" w:cs="Times New Roman"/>
          <w:kern w:val="0"/>
          <w14:ligatures w14:val="none"/>
        </w:rPr>
        <w:t>Their findings supported the clinical relevance of standardized radiographic resection assessment.</w:t>
      </w:r>
      <w:r>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kern w:val="0"/>
          <w14:ligatures w14:val="none"/>
        </w:rPr>
        <w:t xml:space="preserve">Management of recurrent glioblastoma also remains an area of active investigation. Meta-analyses evaluating repeat surgical intervention demonstrated that re-resection may provide survival benefits in carefully selected </w:t>
      </w:r>
      <w:r w:rsidR="009B5949">
        <w:rPr>
          <w:rFonts w:ascii="Times New Roman" w:eastAsia="Times New Roman" w:hAnsi="Times New Roman" w:cs="Times New Roman"/>
          <w:kern w:val="0"/>
          <w14:ligatures w14:val="none"/>
        </w:rPr>
        <w:t xml:space="preserve">patients with recurrent disease </w:t>
      </w:r>
      <w:r w:rsidR="009B5949" w:rsidRPr="009B5949">
        <w:rPr>
          <w:rFonts w:ascii="Times New Roman" w:eastAsia="Times New Roman" w:hAnsi="Times New Roman" w:cs="Times New Roman"/>
          <w:kern w:val="0"/>
          <w:highlight w:val="cyan"/>
          <w14:ligatures w14:val="none"/>
        </w:rPr>
        <w:t>(Baby, M. V., et al. 2026).</w:t>
      </w:r>
    </w:p>
    <w:p w14:paraId="610F490B" w14:textId="749D27FE" w:rsidR="005E3778" w:rsidRDefault="005E3778" w:rsidP="009B594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E3778">
        <w:rPr>
          <w:rFonts w:ascii="Times New Roman" w:eastAsia="Times New Roman" w:hAnsi="Times New Roman" w:cs="Times New Roman"/>
          <w:kern w:val="0"/>
          <w14:ligatures w14:val="none"/>
        </w:rPr>
        <w:t>Similarly, the extent of reoperation has been associated with improved outcomes in recu</w:t>
      </w:r>
      <w:r w:rsidR="009B5949">
        <w:rPr>
          <w:rFonts w:ascii="Times New Roman" w:eastAsia="Times New Roman" w:hAnsi="Times New Roman" w:cs="Times New Roman"/>
          <w:kern w:val="0"/>
          <w14:ligatures w14:val="none"/>
        </w:rPr>
        <w:t>rrent IDH-wildtype glioblastoma</w:t>
      </w:r>
      <w:r w:rsidR="009B5949" w:rsidRPr="009B5949">
        <w:rPr>
          <w:rFonts w:ascii="Times New Roman" w:eastAsia="Times New Roman" w:hAnsi="Times New Roman" w:cs="Times New Roman"/>
          <w:kern w:val="0"/>
          <w14:ligatures w14:val="none"/>
        </w:rPr>
        <w:t xml:space="preserve"> </w:t>
      </w:r>
      <w:r w:rsidR="009B5949" w:rsidRPr="009B5949">
        <w:rPr>
          <w:rFonts w:ascii="Times New Roman" w:eastAsia="Times New Roman" w:hAnsi="Times New Roman" w:cs="Times New Roman"/>
          <w:kern w:val="0"/>
          <w:highlight w:val="cyan"/>
          <w14:ligatures w14:val="none"/>
        </w:rPr>
        <w:t>(Basaran, A. E., et al. 2025).</w:t>
      </w:r>
      <w:r w:rsidR="009B5949" w:rsidRPr="009D6C32">
        <w:rPr>
          <w:rFonts w:ascii="Times New Roman" w:eastAsia="Times New Roman" w:hAnsi="Times New Roman" w:cs="Times New Roman"/>
          <w:kern w:val="0"/>
          <w14:ligatures w14:val="none"/>
        </w:rPr>
        <w:t xml:space="preserve"> </w:t>
      </w:r>
      <w:r w:rsidR="009B5949">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Recent evidence has additionally explored adjunctive technologies that facilitate maximal tumor removal. Fluorescence-guided resection techniques have shown improved survival outcomes compared with conventional surger</w:t>
      </w:r>
      <w:r w:rsidR="009B5949">
        <w:rPr>
          <w:rFonts w:ascii="Times New Roman" w:eastAsia="Times New Roman" w:hAnsi="Times New Roman" w:cs="Times New Roman"/>
          <w:kern w:val="0"/>
          <w14:ligatures w14:val="none"/>
        </w:rPr>
        <w:t xml:space="preserve">y in high-grade glioma patients </w:t>
      </w:r>
      <w:r w:rsidR="009B5949" w:rsidRPr="009B5949">
        <w:rPr>
          <w:rFonts w:ascii="Times New Roman" w:eastAsia="Times New Roman" w:hAnsi="Times New Roman" w:cs="Times New Roman"/>
          <w:kern w:val="0"/>
          <w:highlight w:val="cyan"/>
          <w14:ligatures w14:val="none"/>
        </w:rPr>
        <w:t>(Sanikommu, S., Santos, et al. (2026).</w:t>
      </w:r>
      <w:r w:rsidR="009B5949" w:rsidRPr="009D6C32">
        <w:rPr>
          <w:rFonts w:ascii="Times New Roman" w:eastAsia="Times New Roman" w:hAnsi="Times New Roman" w:cs="Times New Roman"/>
          <w:kern w:val="0"/>
          <w14:ligatures w14:val="none"/>
        </w:rPr>
        <w:t xml:space="preserve"> </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Collectively, these studies indicate that advances in surgical technology, molecular diagnostics, and evidence synthesis continue to shape contemporary glioblastoma management and optimize patient outcomes</w:t>
      </w:r>
      <w:r w:rsidRPr="005E3778">
        <w:rPr>
          <w:rFonts w:ascii="Times New Roman" w:eastAsia="Times New Roman" w:hAnsi="Times New Roman" w:cs="Times New Roman"/>
          <w:b/>
          <w:bCs/>
          <w:kern w:val="0"/>
          <w:sz w:val="36"/>
          <w:szCs w:val="36"/>
          <w14:ligatures w14:val="none"/>
        </w:rPr>
        <w:t>.</w:t>
      </w:r>
      <w:r w:rsidR="00CB68CB" w:rsidRPr="00CB68CB">
        <w:rPr>
          <w:rFonts w:ascii="Times New Roman" w:eastAsia="Times New Roman" w:hAnsi="Times New Roman" w:cs="Times New Roman"/>
          <w:b/>
          <w:bCs/>
          <w:kern w:val="36"/>
          <w:sz w:val="48"/>
          <w:szCs w:val="48"/>
          <w14:ligatures w14:val="none"/>
        </w:rPr>
        <w:t xml:space="preserve"> </w:t>
      </w:r>
    </w:p>
    <w:p w14:paraId="3383B14A" w14:textId="468E6D98" w:rsidR="00CB68CB" w:rsidRPr="00F33CDA" w:rsidRDefault="00CB68CB" w:rsidP="00CB68CB">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33CDA">
        <w:rPr>
          <w:rFonts w:ascii="Times New Roman" w:eastAsia="Times New Roman" w:hAnsi="Times New Roman" w:cs="Times New Roman"/>
          <w:b/>
          <w:bCs/>
          <w:kern w:val="36"/>
          <w14:ligatures w14:val="none"/>
        </w:rPr>
        <w:t>Results</w:t>
      </w:r>
    </w:p>
    <w:p w14:paraId="5E351FF9" w14:textId="46B76EFB" w:rsidR="00CB68CB" w:rsidRPr="00F33CDA"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33CDA">
        <w:rPr>
          <w:rFonts w:ascii="Times New Roman" w:eastAsia="Times New Roman" w:hAnsi="Times New Roman" w:cs="Times New Roman"/>
          <w:b/>
          <w:bCs/>
          <w:kern w:val="0"/>
          <w14:ligatures w14:val="none"/>
        </w:rPr>
        <w:t>Study Selection</w:t>
      </w:r>
    </w:p>
    <w:p w14:paraId="37188739" w14:textId="2B2C419D" w:rsid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r w:rsidRPr="00CB68CB">
        <w:rPr>
          <w:rFonts w:ascii="Times New Roman" w:eastAsia="Times New Roman" w:hAnsi="Times New Roman" w:cs="Times New Roman"/>
          <w:kern w:val="0"/>
          <w14:ligatures w14:val="none"/>
        </w:rPr>
        <w:t>A comprehensive database search identified a total of 1,486 potentially relevant studies from PubMed, Scopus, Web of Science, Embase, and the Cochrane Library. After removal of 352 duplicate records, 1,134 studies remained for title and abstract screening. During the screening process, 842 studies were excluded because they did not meet the inclusion criteria, including studies unrelated to glioblastoma, non-surgical studies, review articles, and conference abstracts. The remaining 292 full-text articles were assessed for eligibility. Among these, 211 studies were excluded due to insufficient survival data, lack of extent-of-resection analysis, overlapping datasets, or non-English publication. Ultimately, 81 studies fulfilled all eligibility criteria and were included in th</w:t>
      </w:r>
      <w:r w:rsidR="008F14A7">
        <w:rPr>
          <w:rFonts w:ascii="Times New Roman" w:eastAsia="Times New Roman" w:hAnsi="Times New Roman" w:cs="Times New Roman"/>
          <w:kern w:val="0"/>
          <w14:ligatures w14:val="none"/>
        </w:rPr>
        <w:t>e qualitative synthesis, while 3</w:t>
      </w:r>
      <w:r w:rsidRPr="00CB68CB">
        <w:rPr>
          <w:rFonts w:ascii="Times New Roman" w:eastAsia="Times New Roman" w:hAnsi="Times New Roman" w:cs="Times New Roman"/>
          <w:kern w:val="0"/>
          <w14:ligatures w14:val="none"/>
        </w:rPr>
        <w:t>6 studies containing sufficient quantitative outcome data were included in the meta-analysis. The study selection process followed the PRISMA guideline</w:t>
      </w:r>
      <w:r w:rsidR="00C20F34">
        <w:rPr>
          <w:rFonts w:ascii="Times New Roman" w:eastAsia="Times New Roman" w:hAnsi="Times New Roman" w:cs="Times New Roman"/>
          <w:kern w:val="0"/>
          <w14:ligatures w14:val="none"/>
        </w:rPr>
        <w:t xml:space="preserve">s and is summarized in Figure </w:t>
      </w:r>
      <w:r w:rsidRPr="00CB68CB">
        <w:rPr>
          <w:rFonts w:ascii="Times New Roman" w:eastAsia="Times New Roman" w:hAnsi="Times New Roman" w:cs="Times New Roman"/>
          <w:kern w:val="0"/>
          <w14:ligatures w14:val="none"/>
        </w:rPr>
        <w:t>1.</w:t>
      </w:r>
    </w:p>
    <w:p w14:paraId="2CD94B48" w14:textId="4AEDED33"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p>
    <w:p w14:paraId="1693F799" w14:textId="4C141FD4"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3B15D8DD" w14:textId="77777777" w:rsidR="009B5949" w:rsidRDefault="009B5949" w:rsidP="00CB68CB">
      <w:pPr>
        <w:spacing w:before="100" w:beforeAutospacing="1" w:after="100" w:afterAutospacing="1" w:line="240" w:lineRule="auto"/>
        <w:rPr>
          <w:rFonts w:ascii="Times New Roman" w:eastAsia="Times New Roman" w:hAnsi="Times New Roman" w:cs="Times New Roman"/>
          <w:kern w:val="0"/>
          <w14:ligatures w14:val="none"/>
        </w:rPr>
      </w:pPr>
    </w:p>
    <w:p w14:paraId="0220B51B" w14:textId="3BD08CDF"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699E9A2C" w14:textId="2047490F"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w:lastRenderedPageBreak/>
        <mc:AlternateContent>
          <mc:Choice Requires="wps">
            <w:drawing>
              <wp:anchor distT="0" distB="0" distL="114300" distR="114300" simplePos="0" relativeHeight="251671552" behindDoc="0" locked="0" layoutInCell="1" allowOverlap="1" wp14:anchorId="1411CB3B" wp14:editId="5BDDDFAD">
                <wp:simplePos x="0" y="0"/>
                <wp:positionH relativeFrom="column">
                  <wp:posOffset>1774209</wp:posOffset>
                </wp:positionH>
                <wp:positionV relativeFrom="paragraph">
                  <wp:posOffset>6824</wp:posOffset>
                </wp:positionV>
                <wp:extent cx="2388216" cy="429904"/>
                <wp:effectExtent l="0" t="0" r="12700" b="27305"/>
                <wp:wrapNone/>
                <wp:docPr id="7" name="Rectangle 7"/>
                <wp:cNvGraphicFramePr/>
                <a:graphic xmlns:a="http://schemas.openxmlformats.org/drawingml/2006/main">
                  <a:graphicData uri="http://schemas.microsoft.com/office/word/2010/wordprocessingShape">
                    <wps:wsp>
                      <wps:cNvSpPr/>
                      <wps:spPr>
                        <a:xfrm>
                          <a:off x="0" y="0"/>
                          <a:ext cx="2388216" cy="429904"/>
                        </a:xfrm>
                        <a:prstGeom prst="rect">
                          <a:avLst/>
                        </a:prstGeom>
                      </wps:spPr>
                      <wps:style>
                        <a:lnRef idx="1">
                          <a:schemeClr val="accent6"/>
                        </a:lnRef>
                        <a:fillRef idx="2">
                          <a:schemeClr val="accent6"/>
                        </a:fillRef>
                        <a:effectRef idx="1">
                          <a:schemeClr val="accent6"/>
                        </a:effectRef>
                        <a:fontRef idx="minor">
                          <a:schemeClr val="dk1"/>
                        </a:fontRef>
                      </wps:style>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81"/>
                            </w:tblGrid>
                            <w:tr w:rsidR="00C11BFC" w:rsidRPr="00CB68CB" w14:paraId="77E27030" w14:textId="77777777" w:rsidTr="00D93A12">
                              <w:trPr>
                                <w:tblCellSpacing w:w="15" w:type="dxa"/>
                              </w:trPr>
                              <w:tc>
                                <w:tcPr>
                                  <w:tcW w:w="0" w:type="auto"/>
                                  <w:vAlign w:val="center"/>
                                  <w:hideMark/>
                                </w:tcPr>
                                <w:p w14:paraId="7B3BFFA9" w14:textId="0649C403" w:rsidR="00C11BFC" w:rsidRPr="00CB68CB" w:rsidRDefault="00C11BFC" w:rsidP="00C20F34">
                                  <w:pPr>
                                    <w:spacing w:after="0" w:line="240" w:lineRule="auto"/>
                                    <w:jc w:val="center"/>
                                    <w:rPr>
                                      <w:rFonts w:ascii="Times New Roman" w:eastAsia="Times New Roman" w:hAnsi="Times New Roman" w:cs="Times New Roman"/>
                                      <w:b/>
                                      <w:bCs/>
                                      <w:i/>
                                      <w:iCs/>
                                      <w:kern w:val="0"/>
                                      <w14:ligatures w14:val="none"/>
                                    </w:rPr>
                                  </w:pPr>
                                  <w:r w:rsidRPr="00CB68CB">
                                    <w:rPr>
                                      <w:rFonts w:ascii="Times New Roman" w:eastAsia="Times New Roman" w:hAnsi="Times New Roman" w:cs="Times New Roman"/>
                                      <w:b/>
                                      <w:bCs/>
                                      <w:i/>
                                      <w:iCs/>
                                      <w:kern w:val="0"/>
                                      <w:sz w:val="16"/>
                                      <w:szCs w:val="16"/>
                                      <w14:ligatures w14:val="none"/>
                                    </w:rPr>
                                    <w:t>Records identified through database searching</w:t>
                                  </w:r>
                                  <w:r w:rsidRPr="008F14A7">
                                    <w:rPr>
                                      <w:rFonts w:ascii="Times New Roman" w:eastAsia="Times New Roman" w:hAnsi="Times New Roman" w:cs="Times New Roman"/>
                                      <w:b/>
                                      <w:bCs/>
                                      <w:i/>
                                      <w:iCs/>
                                      <w:kern w:val="0"/>
                                      <w:sz w:val="16"/>
                                      <w:szCs w:val="16"/>
                                      <w14:ligatures w14:val="none"/>
                                    </w:rPr>
                                    <w:t xml:space="preserve"> (n=1,486)</w:t>
                                  </w:r>
                                </w:p>
                              </w:tc>
                              <w:tc>
                                <w:tcPr>
                                  <w:tcW w:w="0" w:type="auto"/>
                                  <w:vAlign w:val="center"/>
                                  <w:hideMark/>
                                </w:tcPr>
                                <w:p w14:paraId="47CBFE2A" w14:textId="2417B6A8" w:rsidR="00C11BFC" w:rsidRPr="00CB68CB" w:rsidRDefault="00C11BFC" w:rsidP="00C20F34">
                                  <w:pPr>
                                    <w:spacing w:after="0" w:line="240" w:lineRule="auto"/>
                                    <w:rPr>
                                      <w:rFonts w:ascii="Times New Roman" w:eastAsia="Times New Roman" w:hAnsi="Times New Roman" w:cs="Times New Roman"/>
                                      <w:kern w:val="0"/>
                                      <w14:ligatures w14:val="none"/>
                                    </w:rPr>
                                  </w:pPr>
                                </w:p>
                              </w:tc>
                            </w:tr>
                          </w:tbl>
                          <w:p w14:paraId="43D859F4" w14:textId="77777777" w:rsidR="00C11BFC" w:rsidRDefault="00C11BFC" w:rsidP="00C20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1CB3B" id="Rectangle 7" o:spid="_x0000_s1026" style="position:absolute;margin-left:139.7pt;margin-top:.55pt;width:188.05pt;height: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" fillcolor="#81d463 [2169]" strokecolor="#4ea72e [3209]" strokeweight="1pt">
                <v:fill color2="#66cb42 [2617]" rotate="t" colors="0 #a8d5a0;.5 #9bca93;1 #8ac67e" focus="100%" type="gradient">
                  <o:fill v:ext="view" type="gradientUnscaled"/>
                </v:fill>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81"/>
                      </w:tblGrid>
                      <w:tr w:rsidR="00C11BFC" w:rsidRPr="00CB68CB" w14:paraId="77E27030" w14:textId="77777777" w:rsidTr="00D93A12">
                        <w:trPr>
                          <w:tblCellSpacing w:w="15" w:type="dxa"/>
                        </w:trPr>
                        <w:tc>
                          <w:tcPr>
                            <w:tcW w:w="0" w:type="auto"/>
                            <w:vAlign w:val="center"/>
                            <w:hideMark/>
                          </w:tcPr>
                          <w:p w14:paraId="7B3BFFA9" w14:textId="0649C403" w:rsidR="00C11BFC" w:rsidRPr="00CB68CB" w:rsidRDefault="00C11BFC" w:rsidP="00C20F34">
                            <w:pPr>
                              <w:spacing w:after="0" w:line="240" w:lineRule="auto"/>
                              <w:jc w:val="center"/>
                              <w:rPr>
                                <w:rFonts w:ascii="Times New Roman" w:eastAsia="Times New Roman" w:hAnsi="Times New Roman" w:cs="Times New Roman"/>
                                <w:b/>
                                <w:bCs/>
                                <w:i/>
                                <w:iCs/>
                                <w:kern w:val="0"/>
                                <w14:ligatures w14:val="none"/>
                              </w:rPr>
                            </w:pPr>
                            <w:r w:rsidRPr="00CB68CB">
                              <w:rPr>
                                <w:rFonts w:ascii="Times New Roman" w:eastAsia="Times New Roman" w:hAnsi="Times New Roman" w:cs="Times New Roman"/>
                                <w:b/>
                                <w:bCs/>
                                <w:i/>
                                <w:iCs/>
                                <w:kern w:val="0"/>
                                <w:sz w:val="16"/>
                                <w:szCs w:val="16"/>
                                <w14:ligatures w14:val="none"/>
                              </w:rPr>
                              <w:t>Records identified through database searching</w:t>
                            </w:r>
                            <w:r w:rsidRPr="008F14A7">
                              <w:rPr>
                                <w:rFonts w:ascii="Times New Roman" w:eastAsia="Times New Roman" w:hAnsi="Times New Roman" w:cs="Times New Roman"/>
                                <w:b/>
                                <w:bCs/>
                                <w:i/>
                                <w:iCs/>
                                <w:kern w:val="0"/>
                                <w:sz w:val="16"/>
                                <w:szCs w:val="16"/>
                                <w14:ligatures w14:val="none"/>
                              </w:rPr>
                              <w:t xml:space="preserve"> (n=1,486)</w:t>
                            </w:r>
                          </w:p>
                        </w:tc>
                        <w:tc>
                          <w:tcPr>
                            <w:tcW w:w="0" w:type="auto"/>
                            <w:vAlign w:val="center"/>
                            <w:hideMark/>
                          </w:tcPr>
                          <w:p w14:paraId="47CBFE2A" w14:textId="2417B6A8" w:rsidR="00C11BFC" w:rsidRPr="00CB68CB" w:rsidRDefault="00C11BFC" w:rsidP="00C20F34">
                            <w:pPr>
                              <w:spacing w:after="0" w:line="240" w:lineRule="auto"/>
                              <w:rPr>
                                <w:rFonts w:ascii="Times New Roman" w:eastAsia="Times New Roman" w:hAnsi="Times New Roman" w:cs="Times New Roman"/>
                                <w:kern w:val="0"/>
                                <w14:ligatures w14:val="none"/>
                              </w:rPr>
                            </w:pPr>
                          </w:p>
                        </w:tc>
                      </w:tr>
                    </w:tbl>
                    <w:p w14:paraId="43D859F4" w14:textId="77777777" w:rsidR="00C11BFC" w:rsidRDefault="00C11BFC" w:rsidP="00C20F34">
                      <w:pPr>
                        <w:jc w:val="center"/>
                      </w:pPr>
                    </w:p>
                  </w:txbxContent>
                </v:textbox>
              </v:rect>
            </w:pict>
          </mc:Fallback>
        </mc:AlternateContent>
      </w:r>
    </w:p>
    <w:p w14:paraId="41748DB8" w14:textId="632F065C"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73600" behindDoc="0" locked="0" layoutInCell="1" allowOverlap="1" wp14:anchorId="1E13EF3C" wp14:editId="255075C7">
                <wp:simplePos x="0" y="0"/>
                <wp:positionH relativeFrom="column">
                  <wp:posOffset>2961564</wp:posOffset>
                </wp:positionH>
                <wp:positionV relativeFrom="paragraph">
                  <wp:posOffset>97316</wp:posOffset>
                </wp:positionV>
                <wp:extent cx="0" cy="163773"/>
                <wp:effectExtent l="76200" t="0" r="57150" b="65405"/>
                <wp:wrapNone/>
                <wp:docPr id="10" name="Straight Arrow Connector 10"/>
                <wp:cNvGraphicFramePr/>
                <a:graphic xmlns:a="http://schemas.openxmlformats.org/drawingml/2006/main">
                  <a:graphicData uri="http://schemas.microsoft.com/office/word/2010/wordprocessingShape">
                    <wps:wsp>
                      <wps:cNvCnPr/>
                      <wps:spPr>
                        <a:xfrm>
                          <a:off x="0" y="0"/>
                          <a:ext cx="0" cy="16377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6BC5D42E" id="_x0000_t32" coordsize="21600,21600" o:spt="32" o:oned="t" path="m,l21600,21600e" filled="f">
                <v:path arrowok="t" fillok="f" o:connecttype="none"/>
                <o:lock v:ext="edit" shapetype="t"/>
              </v:shapetype>
              <v:shape id="Straight Arrow Connector 10" o:spid="_x0000_s1026" type="#_x0000_t32" style="position:absolute;margin-left:233.2pt;margin-top:7.65pt;width:0;height:12.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" strokecolor="#4ea72e [3209]" strokeweight="1.5pt">
                <v:stroke endarrow="block" joinstyle="miter"/>
              </v:shape>
            </w:pict>
          </mc:Fallback>
        </mc:AlternateContent>
      </w: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9504" behindDoc="0" locked="0" layoutInCell="1" allowOverlap="1" wp14:anchorId="1B0FB19E" wp14:editId="69DAE02A">
                <wp:simplePos x="0" y="0"/>
                <wp:positionH relativeFrom="margin">
                  <wp:align>center</wp:align>
                </wp:positionH>
                <wp:positionV relativeFrom="paragraph">
                  <wp:posOffset>253876</wp:posOffset>
                </wp:positionV>
                <wp:extent cx="2333767" cy="4572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333767" cy="4572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93591DD" w14:textId="3E114A59" w:rsidR="00C11BFC" w:rsidRPr="008F14A7" w:rsidRDefault="00C11BFC" w:rsidP="00C20F34">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Duplicate records removed</w:t>
                            </w:r>
                            <w:r w:rsidRPr="008F14A7">
                              <w:rPr>
                                <w:rFonts w:ascii="Times New Roman" w:eastAsia="Times New Roman" w:hAnsi="Times New Roman" w:cs="Times New Roman"/>
                                <w:b/>
                                <w:bCs/>
                                <w:i/>
                                <w:iCs/>
                                <w:kern w:val="0"/>
                                <w:sz w:val="16"/>
                                <w:szCs w:val="16"/>
                                <w14:ligatures w14:val="none"/>
                              </w:rPr>
                              <w:t>(n=352)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FB19E" id="Rectangle 6" o:spid="_x0000_s1027" style="position:absolute;margin-left:0;margin-top:20pt;width:183.75pt;height:36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" fillcolor="#81d463 [2169]" strokecolor="#4ea72e [3209]" strokeweight="1pt">
                <v:fill color2="#66cb42 [2617]" rotate="t" colors="0 #a8d5a0;.5 #9bca93;1 #8ac67e" focus="100%" type="gradient">
                  <o:fill v:ext="view" type="gradientUnscaled"/>
                </v:fill>
                <v:textbox>
                  <w:txbxContent>
                    <w:p w14:paraId="393591DD" w14:textId="3E114A59" w:rsidR="00C11BFC" w:rsidRPr="008F14A7" w:rsidRDefault="00C11BFC" w:rsidP="00C20F34">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Duplicate records removed</w:t>
                      </w:r>
                      <w:r w:rsidRPr="008F14A7">
                        <w:rPr>
                          <w:rFonts w:ascii="Times New Roman" w:eastAsia="Times New Roman" w:hAnsi="Times New Roman" w:cs="Times New Roman"/>
                          <w:b/>
                          <w:bCs/>
                          <w:i/>
                          <w:iCs/>
                          <w:kern w:val="0"/>
                          <w:sz w:val="16"/>
                          <w:szCs w:val="16"/>
                          <w14:ligatures w14:val="none"/>
                        </w:rPr>
                        <w:t>(n=352)</w:t>
                      </w:r>
                    </w:p>
                  </w:txbxContent>
                </v:textbox>
                <w10:wrap anchorx="margin"/>
              </v:rect>
            </w:pict>
          </mc:Fallback>
        </mc:AlternateContent>
      </w:r>
    </w:p>
    <w:p w14:paraId="1ADC0EDF" w14:textId="005F6A85"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4624" behindDoc="0" locked="0" layoutInCell="1" allowOverlap="1" wp14:anchorId="67860DC3" wp14:editId="40455082">
                <wp:simplePos x="0" y="0"/>
                <wp:positionH relativeFrom="column">
                  <wp:posOffset>2947916</wp:posOffset>
                </wp:positionH>
                <wp:positionV relativeFrom="paragraph">
                  <wp:posOffset>351581</wp:posOffset>
                </wp:positionV>
                <wp:extent cx="0" cy="225189"/>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22518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751D3E81" id="Straight Arrow Connector 11" o:spid="_x0000_s1026" type="#_x0000_t32" style="position:absolute;margin-left:232.1pt;margin-top:27.7pt;width:0;height:1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" strokecolor="#4ea72e [3209]" strokeweight="1.5pt">
                <v:stroke endarrow="block" joinstyle="miter"/>
              </v:shape>
            </w:pict>
          </mc:Fallback>
        </mc:AlternateContent>
      </w:r>
    </w:p>
    <w:p w14:paraId="551212D2" w14:textId="193495A7"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7456" behindDoc="0" locked="0" layoutInCell="1" allowOverlap="1" wp14:anchorId="2191136E" wp14:editId="0CD68FD1">
                <wp:simplePos x="0" y="0"/>
                <wp:positionH relativeFrom="column">
                  <wp:posOffset>1787525</wp:posOffset>
                </wp:positionH>
                <wp:positionV relativeFrom="paragraph">
                  <wp:posOffset>202622</wp:posOffset>
                </wp:positionV>
                <wp:extent cx="2333767" cy="381777"/>
                <wp:effectExtent l="0" t="0" r="28575" b="18415"/>
                <wp:wrapNone/>
                <wp:docPr id="5" name="Rectangle 5"/>
                <wp:cNvGraphicFramePr/>
                <a:graphic xmlns:a="http://schemas.openxmlformats.org/drawingml/2006/main">
                  <a:graphicData uri="http://schemas.microsoft.com/office/word/2010/wordprocessingShape">
                    <wps:wsp>
                      <wps:cNvSpPr/>
                      <wps:spPr>
                        <a:xfrm>
                          <a:off x="0" y="0"/>
                          <a:ext cx="2333767" cy="38177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F25B778" w14:textId="64F571B6"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screened (n=1.134)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1136E" id="Rectangle 5" o:spid="_x0000_s1028" style="position:absolute;margin-left:140.75pt;margin-top:15.95pt;width:183.75pt;height:30.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" fillcolor="#81d463 [2169]" strokecolor="#4ea72e [3209]" strokeweight="1pt">
                <v:fill color2="#66cb42 [2617]" rotate="t" colors="0 #a8d5a0;.5 #9bca93;1 #8ac67e" focus="100%" type="gradient">
                  <o:fill v:ext="view" type="gradientUnscaled"/>
                </v:fill>
                <v:textbox>
                  <w:txbxContent>
                    <w:p w14:paraId="3F25B778" w14:textId="64F571B6"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screened (n=1.134)</w:t>
                      </w:r>
                    </w:p>
                  </w:txbxContent>
                </v:textbox>
              </v:rect>
            </w:pict>
          </mc:Fallback>
        </mc:AlternateContent>
      </w:r>
    </w:p>
    <w:p w14:paraId="1DF7397E" w14:textId="130DC431"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5648" behindDoc="0" locked="0" layoutInCell="1" allowOverlap="1" wp14:anchorId="122C3444" wp14:editId="2C878F7A">
                <wp:simplePos x="0" y="0"/>
                <wp:positionH relativeFrom="column">
                  <wp:posOffset>2947916</wp:posOffset>
                </wp:positionH>
                <wp:positionV relativeFrom="paragraph">
                  <wp:posOffset>231813</wp:posOffset>
                </wp:positionV>
                <wp:extent cx="0" cy="328048"/>
                <wp:effectExtent l="76200" t="0" r="76200" b="53340"/>
                <wp:wrapNone/>
                <wp:docPr id="12" name="Straight Arrow Connector 12"/>
                <wp:cNvGraphicFramePr/>
                <a:graphic xmlns:a="http://schemas.openxmlformats.org/drawingml/2006/main">
                  <a:graphicData uri="http://schemas.microsoft.com/office/word/2010/wordprocessingShape">
                    <wps:wsp>
                      <wps:cNvCnPr/>
                      <wps:spPr>
                        <a:xfrm>
                          <a:off x="0" y="0"/>
                          <a:ext cx="0" cy="328048"/>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3E13A19B" id="Straight Arrow Connector 12" o:spid="_x0000_s1026" type="#_x0000_t32" style="position:absolute;margin-left:232.1pt;margin-top:18.25pt;width:0;height:2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" strokecolor="#4ea72e [3209]" strokeweight="1.5pt">
                <v:stroke endarrow="block" joinstyle="miter"/>
              </v:shape>
            </w:pict>
          </mc:Fallback>
        </mc:AlternateContent>
      </w:r>
    </w:p>
    <w:p w14:paraId="39BE80D6" w14:textId="150F3280"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5408" behindDoc="0" locked="0" layoutInCell="1" allowOverlap="1" wp14:anchorId="7F86DDAA" wp14:editId="65952A15">
                <wp:simplePos x="0" y="0"/>
                <wp:positionH relativeFrom="margin">
                  <wp:align>center</wp:align>
                </wp:positionH>
                <wp:positionV relativeFrom="paragraph">
                  <wp:posOffset>185638</wp:posOffset>
                </wp:positionV>
                <wp:extent cx="2333625" cy="361665"/>
                <wp:effectExtent l="0" t="0" r="28575" b="19685"/>
                <wp:wrapNone/>
                <wp:docPr id="4" name="Rectangle 4"/>
                <wp:cNvGraphicFramePr/>
                <a:graphic xmlns:a="http://schemas.openxmlformats.org/drawingml/2006/main">
                  <a:graphicData uri="http://schemas.microsoft.com/office/word/2010/wordprocessingShape">
                    <wps:wsp>
                      <wps:cNvSpPr/>
                      <wps:spPr>
                        <a:xfrm>
                          <a:off x="0" y="0"/>
                          <a:ext cx="2333625" cy="36166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8D15C4A" w14:textId="3891BDE0"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excluded (n=842)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6DDAA" id="Rectangle 4" o:spid="_x0000_s1029" style="position:absolute;margin-left:0;margin-top:14.6pt;width:183.75pt;height:28.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" fillcolor="#81d463 [2169]" strokecolor="#4ea72e [3209]" strokeweight="1pt">
                <v:fill color2="#66cb42 [2617]" rotate="t" colors="0 #a8d5a0;.5 #9bca93;1 #8ac67e" focus="100%" type="gradient">
                  <o:fill v:ext="view" type="gradientUnscaled"/>
                </v:fill>
                <v:textbox>
                  <w:txbxContent>
                    <w:p w14:paraId="18D15C4A" w14:textId="3891BDE0"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excluded (n=842)</w:t>
                      </w:r>
                    </w:p>
                  </w:txbxContent>
                </v:textbox>
                <w10:wrap anchorx="margin"/>
              </v:rect>
            </w:pict>
          </mc:Fallback>
        </mc:AlternateContent>
      </w:r>
    </w:p>
    <w:p w14:paraId="1E2A1EAB" w14:textId="4C9983CC"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6672" behindDoc="0" locked="0" layoutInCell="1" allowOverlap="1" wp14:anchorId="3861F876" wp14:editId="6178A10D">
                <wp:simplePos x="0" y="0"/>
                <wp:positionH relativeFrom="column">
                  <wp:posOffset>2947916</wp:posOffset>
                </wp:positionH>
                <wp:positionV relativeFrom="paragraph">
                  <wp:posOffset>201759</wp:posOffset>
                </wp:positionV>
                <wp:extent cx="0" cy="259308"/>
                <wp:effectExtent l="76200" t="0" r="57150" b="64770"/>
                <wp:wrapNone/>
                <wp:docPr id="13" name="Straight Arrow Connector 13"/>
                <wp:cNvGraphicFramePr/>
                <a:graphic xmlns:a="http://schemas.openxmlformats.org/drawingml/2006/main">
                  <a:graphicData uri="http://schemas.microsoft.com/office/word/2010/wordprocessingShape">
                    <wps:wsp>
                      <wps:cNvCnPr/>
                      <wps:spPr>
                        <a:xfrm>
                          <a:off x="0" y="0"/>
                          <a:ext cx="0" cy="259308"/>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0C3D8396" id="Straight Arrow Connector 13" o:spid="_x0000_s1026" type="#_x0000_t32" style="position:absolute;margin-left:232.1pt;margin-top:15.9pt;width:0;height:20.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" strokecolor="#4ea72e [3209]" strokeweight="1.5pt">
                <v:stroke endarrow="block" joinstyle="miter"/>
              </v:shape>
            </w:pict>
          </mc:Fallback>
        </mc:AlternateContent>
      </w:r>
    </w:p>
    <w:p w14:paraId="545114F5" w14:textId="7A46B250"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3360" behindDoc="0" locked="0" layoutInCell="1" allowOverlap="1" wp14:anchorId="1504F0B6" wp14:editId="6A21AE87">
                <wp:simplePos x="0" y="0"/>
                <wp:positionH relativeFrom="column">
                  <wp:posOffset>1821815</wp:posOffset>
                </wp:positionH>
                <wp:positionV relativeFrom="paragraph">
                  <wp:posOffset>93913</wp:posOffset>
                </wp:positionV>
                <wp:extent cx="2333767" cy="470848"/>
                <wp:effectExtent l="0" t="0" r="28575" b="24765"/>
                <wp:wrapNone/>
                <wp:docPr id="3" name="Rectangle 3"/>
                <wp:cNvGraphicFramePr/>
                <a:graphic xmlns:a="http://schemas.openxmlformats.org/drawingml/2006/main">
                  <a:graphicData uri="http://schemas.microsoft.com/office/word/2010/wordprocessingShape">
                    <wps:wsp>
                      <wps:cNvSpPr/>
                      <wps:spPr>
                        <a:xfrm>
                          <a:off x="0" y="0"/>
                          <a:ext cx="2333767" cy="470848"/>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C8CBE13" w14:textId="1FCE4160" w:rsidR="00C11BFC" w:rsidRPr="008F14A7" w:rsidRDefault="00C11BFC" w:rsidP="00900D53">
                            <w:pPr>
                              <w:jc w:val="center"/>
                              <w:rPr>
                                <w:b/>
                                <w:bCs/>
                                <w:i/>
                                <w:iCs/>
                                <w:sz w:val="16"/>
                                <w:szCs w:val="16"/>
                              </w:rPr>
                            </w:pPr>
                            <w:r w:rsidRPr="008F14A7">
                              <w:rPr>
                                <w:b/>
                                <w:bCs/>
                                <w:i/>
                                <w:iCs/>
                                <w:sz w:val="16"/>
                                <w:szCs w:val="16"/>
                              </w:rPr>
                              <w:t>Full-text articles assessed for</w:t>
                            </w:r>
                            <w:r w:rsidRPr="008F14A7">
                              <w:rPr>
                                <w:b/>
                                <w:bCs/>
                                <w:sz w:val="16"/>
                                <w:szCs w:val="16"/>
                              </w:rPr>
                              <w:t xml:space="preserve"> </w:t>
                            </w:r>
                            <w:r w:rsidRPr="008F14A7">
                              <w:rPr>
                                <w:b/>
                                <w:bCs/>
                                <w:i/>
                                <w:iCs/>
                                <w:sz w:val="16"/>
                                <w:szCs w:val="16"/>
                              </w:rPr>
                              <w:t>eligibility (n=292)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04F0B6" id="Rectangle 3" o:spid="_x0000_s1030" style="position:absolute;margin-left:143.45pt;margin-top:7.4pt;width:183.75pt;height:37.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" fillcolor="#81d463 [2169]" strokecolor="#4ea72e [3209]" strokeweight="1pt">
                <v:fill color2="#66cb42 [2617]" rotate="t" colors="0 #a8d5a0;.5 #9bca93;1 #8ac67e" focus="100%" type="gradient">
                  <o:fill v:ext="view" type="gradientUnscaled"/>
                </v:fill>
                <v:textbox>
                  <w:txbxContent>
                    <w:p w14:paraId="2C8CBE13" w14:textId="1FCE4160" w:rsidR="00C11BFC" w:rsidRPr="008F14A7" w:rsidRDefault="00C11BFC" w:rsidP="00900D53">
                      <w:pPr>
                        <w:jc w:val="center"/>
                        <w:rPr>
                          <w:b/>
                          <w:bCs/>
                          <w:i/>
                          <w:iCs/>
                          <w:sz w:val="16"/>
                          <w:szCs w:val="16"/>
                        </w:rPr>
                      </w:pPr>
                      <w:r w:rsidRPr="008F14A7">
                        <w:rPr>
                          <w:b/>
                          <w:bCs/>
                          <w:i/>
                          <w:iCs/>
                          <w:sz w:val="16"/>
                          <w:szCs w:val="16"/>
                        </w:rPr>
                        <w:t>Full-text articles assessed for</w:t>
                      </w:r>
                      <w:r w:rsidRPr="008F14A7">
                        <w:rPr>
                          <w:b/>
                          <w:bCs/>
                          <w:sz w:val="16"/>
                          <w:szCs w:val="16"/>
                        </w:rPr>
                        <w:t xml:space="preserve"> </w:t>
                      </w:r>
                      <w:r w:rsidRPr="008F14A7">
                        <w:rPr>
                          <w:b/>
                          <w:bCs/>
                          <w:i/>
                          <w:iCs/>
                          <w:sz w:val="16"/>
                          <w:szCs w:val="16"/>
                        </w:rPr>
                        <w:t>eligibility (n=292)</w:t>
                      </w:r>
                    </w:p>
                  </w:txbxContent>
                </v:textbox>
              </v:rect>
            </w:pict>
          </mc:Fallback>
        </mc:AlternateContent>
      </w:r>
    </w:p>
    <w:p w14:paraId="52EFB4A8" w14:textId="757E61DD"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9744" behindDoc="0" locked="0" layoutInCell="1" allowOverlap="1" wp14:anchorId="0C7D54F9" wp14:editId="0E4A3A05">
                <wp:simplePos x="0" y="0"/>
                <wp:positionH relativeFrom="column">
                  <wp:posOffset>2982036</wp:posOffset>
                </wp:positionH>
                <wp:positionV relativeFrom="paragraph">
                  <wp:posOffset>211834</wp:posOffset>
                </wp:positionV>
                <wp:extent cx="0" cy="211853"/>
                <wp:effectExtent l="76200" t="0" r="57150" b="55245"/>
                <wp:wrapNone/>
                <wp:docPr id="17" name="Straight Arrow Connector 17"/>
                <wp:cNvGraphicFramePr/>
                <a:graphic xmlns:a="http://schemas.openxmlformats.org/drawingml/2006/main">
                  <a:graphicData uri="http://schemas.microsoft.com/office/word/2010/wordprocessingShape">
                    <wps:wsp>
                      <wps:cNvCnPr/>
                      <wps:spPr>
                        <a:xfrm>
                          <a:off x="0" y="0"/>
                          <a:ext cx="0" cy="21185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36E0BEB2" id="Straight Arrow Connector 17" o:spid="_x0000_s1026" type="#_x0000_t32" style="position:absolute;margin-left:234.8pt;margin-top:16.7pt;width:0;height:16.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" strokecolor="#4ea72e [3209]" strokeweight="1.5pt">
                <v:stroke endarrow="block" joinstyle="miter"/>
              </v:shape>
            </w:pict>
          </mc:Fallback>
        </mc:AlternateContent>
      </w:r>
    </w:p>
    <w:p w14:paraId="0161E303" w14:textId="0AF2A69D"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1312" behindDoc="0" locked="0" layoutInCell="1" allowOverlap="1" wp14:anchorId="2994D819" wp14:editId="0AD0E8C6">
                <wp:simplePos x="0" y="0"/>
                <wp:positionH relativeFrom="column">
                  <wp:posOffset>1815152</wp:posOffset>
                </wp:positionH>
                <wp:positionV relativeFrom="paragraph">
                  <wp:posOffset>56978</wp:posOffset>
                </wp:positionV>
                <wp:extent cx="2333767" cy="416257"/>
                <wp:effectExtent l="0" t="0" r="28575" b="22225"/>
                <wp:wrapNone/>
                <wp:docPr id="2" name="Rectangle 2"/>
                <wp:cNvGraphicFramePr/>
                <a:graphic xmlns:a="http://schemas.openxmlformats.org/drawingml/2006/main">
                  <a:graphicData uri="http://schemas.microsoft.com/office/word/2010/wordprocessingShape">
                    <wps:wsp>
                      <wps:cNvSpPr/>
                      <wps:spPr>
                        <a:xfrm>
                          <a:off x="0" y="0"/>
                          <a:ext cx="2333767" cy="41625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F00A2EC" w14:textId="017BAC9C"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Full-text articles excluded</w:t>
                            </w:r>
                            <w:r w:rsidRPr="008F14A7">
                              <w:rPr>
                                <w:rFonts w:ascii="Times New Roman" w:eastAsia="Times New Roman" w:hAnsi="Times New Roman" w:cs="Times New Roman"/>
                                <w:b/>
                                <w:bCs/>
                                <w:i/>
                                <w:iCs/>
                                <w:kern w:val="0"/>
                                <w:sz w:val="16"/>
                                <w:szCs w:val="16"/>
                                <w14:ligatures w14:val="none"/>
                              </w:rPr>
                              <w:t xml:space="preserve"> (n=211)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4D819" id="Rectangle 2" o:spid="_x0000_s1031" style="position:absolute;margin-left:142.95pt;margin-top:4.5pt;width:183.75pt;height:3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&#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3F00A2EC" w14:textId="017BAC9C" w:rsidR="00C11BFC" w:rsidRPr="008F14A7" w:rsidRDefault="00C11BFC"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Full-text articles excluded</w:t>
                      </w:r>
                      <w:r w:rsidRPr="008F14A7">
                        <w:rPr>
                          <w:rFonts w:ascii="Times New Roman" w:eastAsia="Times New Roman" w:hAnsi="Times New Roman" w:cs="Times New Roman"/>
                          <w:b/>
                          <w:bCs/>
                          <w:i/>
                          <w:iCs/>
                          <w:kern w:val="0"/>
                          <w:sz w:val="16"/>
                          <w:szCs w:val="16"/>
                          <w14:ligatures w14:val="none"/>
                        </w:rPr>
                        <w:t xml:space="preserve"> (n=211)</w:t>
                      </w:r>
                    </w:p>
                  </w:txbxContent>
                </v:textbox>
              </v:rect>
            </w:pict>
          </mc:Fallback>
        </mc:AlternateContent>
      </w:r>
    </w:p>
    <w:p w14:paraId="19FF955A" w14:textId="783D2DB8"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7696" behindDoc="0" locked="0" layoutInCell="1" allowOverlap="1" wp14:anchorId="5E0FEEE4" wp14:editId="0AE19E46">
                <wp:simplePos x="0" y="0"/>
                <wp:positionH relativeFrom="column">
                  <wp:posOffset>2975212</wp:posOffset>
                </wp:positionH>
                <wp:positionV relativeFrom="paragraph">
                  <wp:posOffset>119844</wp:posOffset>
                </wp:positionV>
                <wp:extent cx="0" cy="293759"/>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29375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267BE6F9" id="Straight Arrow Connector 15" o:spid="_x0000_s1026" type="#_x0000_t32" style="position:absolute;margin-left:234.25pt;margin-top:9.45pt;width:0;height:23.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" strokecolor="#4ea72e [3209]" strokeweight="1.5pt">
                <v:stroke endarrow="block" joinstyle="miter"/>
              </v:shape>
            </w:pict>
          </mc:Fallback>
        </mc:AlternateContent>
      </w:r>
    </w:p>
    <w:p w14:paraId="1E0BD395" w14:textId="16D72793"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59264" behindDoc="0" locked="0" layoutInCell="1" allowOverlap="1" wp14:anchorId="250E35AF" wp14:editId="0B7EADC7">
                <wp:simplePos x="0" y="0"/>
                <wp:positionH relativeFrom="column">
                  <wp:posOffset>1787857</wp:posOffset>
                </wp:positionH>
                <wp:positionV relativeFrom="paragraph">
                  <wp:posOffset>46895</wp:posOffset>
                </wp:positionV>
                <wp:extent cx="2333767" cy="491320"/>
                <wp:effectExtent l="0" t="0" r="28575" b="23495"/>
                <wp:wrapNone/>
                <wp:docPr id="1" name="Rectangle 1"/>
                <wp:cNvGraphicFramePr/>
                <a:graphic xmlns:a="http://schemas.openxmlformats.org/drawingml/2006/main">
                  <a:graphicData uri="http://schemas.microsoft.com/office/word/2010/wordprocessingShape">
                    <wps:wsp>
                      <wps:cNvSpPr/>
                      <wps:spPr>
                        <a:xfrm>
                          <a:off x="0" y="0"/>
                          <a:ext cx="2333767" cy="4913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636F526" w14:textId="63F466A2" w:rsidR="00C11BFC" w:rsidRPr="008F14A7" w:rsidRDefault="00C11BFC" w:rsidP="00900D53">
                            <w:pPr>
                              <w:jc w:val="center"/>
                              <w:rPr>
                                <w:b/>
                                <w:bCs/>
                                <w:sz w:val="20"/>
                                <w:szCs w:val="20"/>
                              </w:rPr>
                            </w:pPr>
                            <w:r w:rsidRPr="00CB68CB">
                              <w:rPr>
                                <w:rFonts w:ascii="Times New Roman" w:eastAsia="Times New Roman" w:hAnsi="Times New Roman" w:cs="Times New Roman"/>
                                <w:b/>
                                <w:bCs/>
                                <w:i/>
                                <w:iCs/>
                                <w:kern w:val="0"/>
                                <w:sz w:val="16"/>
                                <w:szCs w:val="16"/>
                                <w14:ligatures w14:val="none"/>
                              </w:rPr>
                              <w:t>Studies included in qualitative</w:t>
                            </w:r>
                            <w:r w:rsidRPr="00CB68CB">
                              <w:rPr>
                                <w:rFonts w:ascii="Times New Roman" w:eastAsia="Times New Roman" w:hAnsi="Times New Roman" w:cs="Times New Roman"/>
                                <w:b/>
                                <w:bCs/>
                                <w:kern w:val="0"/>
                                <w:sz w:val="16"/>
                                <w:szCs w:val="16"/>
                                <w14:ligatures w14:val="none"/>
                              </w:rPr>
                              <w:t xml:space="preserve"> </w:t>
                            </w:r>
                            <w:r w:rsidRPr="00CB68CB">
                              <w:rPr>
                                <w:rFonts w:ascii="Times New Roman" w:eastAsia="Times New Roman" w:hAnsi="Times New Roman" w:cs="Times New Roman"/>
                                <w:b/>
                                <w:bCs/>
                                <w:i/>
                                <w:iCs/>
                                <w:kern w:val="0"/>
                                <w:sz w:val="16"/>
                                <w:szCs w:val="16"/>
                                <w14:ligatures w14:val="none"/>
                              </w:rPr>
                              <w:t>synthesis</w:t>
                            </w:r>
                            <w:r w:rsidRPr="008F14A7">
                              <w:rPr>
                                <w:rFonts w:ascii="Times New Roman" w:eastAsia="Times New Roman" w:hAnsi="Times New Roman" w:cs="Times New Roman"/>
                                <w:b/>
                                <w:bCs/>
                                <w:i/>
                                <w:iCs/>
                                <w:kern w:val="0"/>
                                <w:sz w:val="16"/>
                                <w:szCs w:val="16"/>
                                <w14:ligatures w14:val="none"/>
                              </w:rPr>
                              <w:t xml:space="preserve"> (n=81)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E35AF" id="Rectangle 1" o:spid="_x0000_s1032" style="position:absolute;margin-left:140.8pt;margin-top:3.7pt;width:183.75pt;height:3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&#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5636F526" w14:textId="63F466A2" w:rsidR="00C11BFC" w:rsidRPr="008F14A7" w:rsidRDefault="00C11BFC" w:rsidP="00900D53">
                      <w:pPr>
                        <w:jc w:val="center"/>
                        <w:rPr>
                          <w:b/>
                          <w:bCs/>
                          <w:sz w:val="20"/>
                          <w:szCs w:val="20"/>
                        </w:rPr>
                      </w:pPr>
                      <w:r w:rsidRPr="00CB68CB">
                        <w:rPr>
                          <w:rFonts w:ascii="Times New Roman" w:eastAsia="Times New Roman" w:hAnsi="Times New Roman" w:cs="Times New Roman"/>
                          <w:b/>
                          <w:bCs/>
                          <w:i/>
                          <w:iCs/>
                          <w:kern w:val="0"/>
                          <w:sz w:val="16"/>
                          <w:szCs w:val="16"/>
                          <w14:ligatures w14:val="none"/>
                        </w:rPr>
                        <w:t>Studies included in qualitative</w:t>
                      </w:r>
                      <w:r w:rsidRPr="00CB68CB">
                        <w:rPr>
                          <w:rFonts w:ascii="Times New Roman" w:eastAsia="Times New Roman" w:hAnsi="Times New Roman" w:cs="Times New Roman"/>
                          <w:b/>
                          <w:bCs/>
                          <w:kern w:val="0"/>
                          <w:sz w:val="16"/>
                          <w:szCs w:val="16"/>
                          <w14:ligatures w14:val="none"/>
                        </w:rPr>
                        <w:t xml:space="preserve"> </w:t>
                      </w:r>
                      <w:r w:rsidRPr="00CB68CB">
                        <w:rPr>
                          <w:rFonts w:ascii="Times New Roman" w:eastAsia="Times New Roman" w:hAnsi="Times New Roman" w:cs="Times New Roman"/>
                          <w:b/>
                          <w:bCs/>
                          <w:i/>
                          <w:iCs/>
                          <w:kern w:val="0"/>
                          <w:sz w:val="16"/>
                          <w:szCs w:val="16"/>
                          <w14:ligatures w14:val="none"/>
                        </w:rPr>
                        <w:t>synthesis</w:t>
                      </w:r>
                      <w:r w:rsidRPr="008F14A7">
                        <w:rPr>
                          <w:rFonts w:ascii="Times New Roman" w:eastAsia="Times New Roman" w:hAnsi="Times New Roman" w:cs="Times New Roman"/>
                          <w:b/>
                          <w:bCs/>
                          <w:i/>
                          <w:iCs/>
                          <w:kern w:val="0"/>
                          <w:sz w:val="16"/>
                          <w:szCs w:val="16"/>
                          <w14:ligatures w14:val="none"/>
                        </w:rPr>
                        <w:t xml:space="preserve"> (n=81)</w:t>
                      </w:r>
                    </w:p>
                  </w:txbxContent>
                </v:textbox>
              </v:rect>
            </w:pict>
          </mc:Fallback>
        </mc:AlternateContent>
      </w:r>
    </w:p>
    <w:p w14:paraId="47AF627F" w14:textId="60848B1A" w:rsidR="00C20F34" w:rsidRPr="00CB68CB"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8720" behindDoc="0" locked="0" layoutInCell="1" allowOverlap="1" wp14:anchorId="57D9469A" wp14:editId="28977E43">
                <wp:simplePos x="0" y="0"/>
                <wp:positionH relativeFrom="column">
                  <wp:posOffset>2961564</wp:posOffset>
                </wp:positionH>
                <wp:positionV relativeFrom="paragraph">
                  <wp:posOffset>198802</wp:posOffset>
                </wp:positionV>
                <wp:extent cx="0" cy="211541"/>
                <wp:effectExtent l="76200" t="0" r="57150" b="55245"/>
                <wp:wrapNone/>
                <wp:docPr id="16" name="Straight Arrow Connector 16"/>
                <wp:cNvGraphicFramePr/>
                <a:graphic xmlns:a="http://schemas.openxmlformats.org/drawingml/2006/main">
                  <a:graphicData uri="http://schemas.microsoft.com/office/word/2010/wordprocessingShape">
                    <wps:wsp>
                      <wps:cNvCnPr/>
                      <wps:spPr>
                        <a:xfrm>
                          <a:off x="0" y="0"/>
                          <a:ext cx="0" cy="211541"/>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63DFE259" id="Straight Arrow Connector 16" o:spid="_x0000_s1026" type="#_x0000_t32" style="position:absolute;margin-left:233.2pt;margin-top:15.65pt;width:0;height:16.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" strokecolor="#4ea72e [3209]" strokeweight="1.5pt">
                <v:stroke endarrow="block" joinstyle="miter"/>
              </v:shape>
            </w:pict>
          </mc:Fallback>
        </mc:AlternateContent>
      </w:r>
    </w:p>
    <w:p w14:paraId="37AC4BB7" w14:textId="1A4D84AF" w:rsidR="00900D53" w:rsidRDefault="00900D53" w:rsidP="00C20F34">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r>
        <w:rPr>
          <w:rFonts w:ascii="Times New Roman" w:eastAsia="Times New Roman" w:hAnsi="Times New Roman" w:cs="Times New Roman"/>
          <w:i/>
          <w:iCs/>
          <w:noProof/>
          <w:color w:val="0E2841" w:themeColor="text2"/>
          <w:kern w:val="0"/>
          <w:sz w:val="20"/>
          <w:szCs w:val="20"/>
        </w:rPr>
        <mc:AlternateContent>
          <mc:Choice Requires="wps">
            <w:drawing>
              <wp:anchor distT="0" distB="0" distL="114300" distR="114300" simplePos="0" relativeHeight="251672576" behindDoc="0" locked="0" layoutInCell="1" allowOverlap="1" wp14:anchorId="2AE7F3B5" wp14:editId="5024BBFC">
                <wp:simplePos x="0" y="0"/>
                <wp:positionH relativeFrom="column">
                  <wp:posOffset>1801505</wp:posOffset>
                </wp:positionH>
                <wp:positionV relativeFrom="paragraph">
                  <wp:posOffset>50459</wp:posOffset>
                </wp:positionV>
                <wp:extent cx="2306472" cy="395785"/>
                <wp:effectExtent l="0" t="0" r="17780" b="23495"/>
                <wp:wrapNone/>
                <wp:docPr id="9" name="Rectangle 9"/>
                <wp:cNvGraphicFramePr/>
                <a:graphic xmlns:a="http://schemas.openxmlformats.org/drawingml/2006/main">
                  <a:graphicData uri="http://schemas.microsoft.com/office/word/2010/wordprocessingShape">
                    <wps:wsp>
                      <wps:cNvSpPr/>
                      <wps:spPr>
                        <a:xfrm>
                          <a:off x="0" y="0"/>
                          <a:ext cx="2306472" cy="39578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B27D854" w14:textId="21665005" w:rsidR="00C11BFC" w:rsidRPr="008F14A7" w:rsidRDefault="00C11BFC" w:rsidP="00900D53">
                            <w:pPr>
                              <w:jc w:val="center"/>
                              <w:rPr>
                                <w:b/>
                                <w:bCs/>
                                <w:sz w:val="16"/>
                                <w:szCs w:val="16"/>
                              </w:rPr>
                            </w:pPr>
                            <w:r w:rsidRPr="00CB68CB">
                              <w:rPr>
                                <w:rFonts w:ascii="Times New Roman" w:eastAsia="Times New Roman" w:hAnsi="Times New Roman" w:cs="Times New Roman"/>
                                <w:b/>
                                <w:bCs/>
                                <w:kern w:val="0"/>
                                <w:sz w:val="16"/>
                                <w:szCs w:val="16"/>
                                <w14:ligatures w14:val="none"/>
                              </w:rPr>
                              <w:t>Studies included in meta-analysis</w:t>
                            </w:r>
                            <w:r w:rsidRPr="008F14A7">
                              <w:rPr>
                                <w:rFonts w:ascii="Times New Roman" w:eastAsia="Times New Roman" w:hAnsi="Times New Roman" w:cs="Times New Roman"/>
                                <w:b/>
                                <w:bCs/>
                                <w:kern w:val="0"/>
                                <w:sz w:val="16"/>
                                <w:szCs w:val="16"/>
                                <w14:ligatures w14:val="none"/>
                              </w:rPr>
                              <w:t xml:space="preserve"> (n=36)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E7F3B5" id="Rectangle 9" o:spid="_x0000_s1033" style="position:absolute;left:0;text-align:left;margin-left:141.85pt;margin-top:3.95pt;width:181.6pt;height:3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&#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0B27D854" w14:textId="21665005" w:rsidR="00C11BFC" w:rsidRPr="008F14A7" w:rsidRDefault="00C11BFC" w:rsidP="00900D53">
                      <w:pPr>
                        <w:jc w:val="center"/>
                        <w:rPr>
                          <w:b/>
                          <w:bCs/>
                          <w:sz w:val="16"/>
                          <w:szCs w:val="16"/>
                        </w:rPr>
                      </w:pPr>
                      <w:r w:rsidRPr="00CB68CB">
                        <w:rPr>
                          <w:rFonts w:ascii="Times New Roman" w:eastAsia="Times New Roman" w:hAnsi="Times New Roman" w:cs="Times New Roman"/>
                          <w:b/>
                          <w:bCs/>
                          <w:kern w:val="0"/>
                          <w:sz w:val="16"/>
                          <w:szCs w:val="16"/>
                          <w14:ligatures w14:val="none"/>
                        </w:rPr>
                        <w:t>Studies included in meta-analysis</w:t>
                      </w:r>
                      <w:r w:rsidRPr="008F14A7">
                        <w:rPr>
                          <w:rFonts w:ascii="Times New Roman" w:eastAsia="Times New Roman" w:hAnsi="Times New Roman" w:cs="Times New Roman"/>
                          <w:b/>
                          <w:bCs/>
                          <w:kern w:val="0"/>
                          <w:sz w:val="16"/>
                          <w:szCs w:val="16"/>
                          <w14:ligatures w14:val="none"/>
                        </w:rPr>
                        <w:t xml:space="preserve"> (n=36)</w:t>
                      </w:r>
                    </w:p>
                  </w:txbxContent>
                </v:textbox>
              </v:rect>
            </w:pict>
          </mc:Fallback>
        </mc:AlternateContent>
      </w:r>
    </w:p>
    <w:p w14:paraId="533CFB85" w14:textId="77777777" w:rsidR="00900D53" w:rsidRDefault="00900D53" w:rsidP="00C20F34">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p>
    <w:p w14:paraId="43086189" w14:textId="67E18F22" w:rsidR="00CB68CB" w:rsidRPr="007F0D51" w:rsidRDefault="00C20F34" w:rsidP="00C20F34">
      <w:pPr>
        <w:spacing w:before="100" w:beforeAutospacing="1" w:after="100" w:afterAutospacing="1" w:line="240" w:lineRule="auto"/>
        <w:jc w:val="center"/>
        <w:outlineLvl w:val="2"/>
        <w:rPr>
          <w:rFonts w:ascii="Times New Roman" w:eastAsia="Times New Roman" w:hAnsi="Times New Roman" w:cs="Times New Roman"/>
          <w:i/>
          <w:iCs/>
          <w:color w:val="00B050"/>
          <w:kern w:val="0"/>
          <w:sz w:val="18"/>
          <w:szCs w:val="18"/>
          <w14:ligatures w14:val="none"/>
        </w:rPr>
      </w:pPr>
      <w:r w:rsidRPr="007F0D51">
        <w:rPr>
          <w:rFonts w:ascii="Times New Roman" w:eastAsia="Times New Roman" w:hAnsi="Times New Roman" w:cs="Times New Roman"/>
          <w:i/>
          <w:iCs/>
          <w:color w:val="00B050"/>
          <w:kern w:val="0"/>
          <w:sz w:val="18"/>
          <w:szCs w:val="18"/>
          <w14:ligatures w14:val="none"/>
        </w:rPr>
        <w:t>Figure 1.</w:t>
      </w:r>
      <w:r w:rsidR="00CB68CB" w:rsidRPr="007F0D51">
        <w:rPr>
          <w:rFonts w:ascii="Times New Roman" w:eastAsia="Times New Roman" w:hAnsi="Times New Roman" w:cs="Times New Roman"/>
          <w:i/>
          <w:iCs/>
          <w:color w:val="00B050"/>
          <w:kern w:val="0"/>
          <w:sz w:val="18"/>
          <w:szCs w:val="18"/>
          <w14:ligatures w14:val="none"/>
        </w:rPr>
        <w:t xml:space="preserve"> PRISMA Flow Diagram of Study Selection</w:t>
      </w:r>
    </w:p>
    <w:p w14:paraId="218267DB" w14:textId="4069391F" w:rsidR="00C20F34" w:rsidRPr="00CB68CB" w:rsidRDefault="00C20F34" w:rsidP="00C20F34">
      <w:pPr>
        <w:spacing w:before="100" w:beforeAutospacing="1" w:after="100" w:afterAutospacing="1" w:line="240" w:lineRule="auto"/>
        <w:jc w:val="center"/>
        <w:outlineLvl w:val="2"/>
        <w:rPr>
          <w:rFonts w:ascii="Times New Roman" w:eastAsia="Times New Roman" w:hAnsi="Times New Roman" w:cs="Times New Roman"/>
          <w:i/>
          <w:iCs/>
          <w:kern w:val="0"/>
          <w:sz w:val="27"/>
          <w:szCs w:val="27"/>
          <w14:ligatures w14:val="none"/>
        </w:rPr>
      </w:pPr>
    </w:p>
    <w:p w14:paraId="13482C03" w14:textId="23882CD0"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B68CB">
        <w:rPr>
          <w:rFonts w:ascii="Times New Roman" w:eastAsia="Times New Roman" w:hAnsi="Times New Roman" w:cs="Times New Roman"/>
          <w:b/>
          <w:bCs/>
          <w:kern w:val="0"/>
          <w:sz w:val="36"/>
          <w:szCs w:val="36"/>
          <w14:ligatures w14:val="none"/>
        </w:rPr>
        <w:t xml:space="preserve"> </w:t>
      </w:r>
      <w:r w:rsidRPr="00CB68CB">
        <w:rPr>
          <w:rFonts w:ascii="Times New Roman" w:eastAsia="Times New Roman" w:hAnsi="Times New Roman" w:cs="Times New Roman"/>
          <w:b/>
          <w:bCs/>
          <w:kern w:val="0"/>
          <w14:ligatures w14:val="none"/>
        </w:rPr>
        <w:t>Study Characteristics</w:t>
      </w:r>
    </w:p>
    <w:p w14:paraId="6C129EFB" w14:textId="3D9E8A0B" w:rsidR="00D93A12" w:rsidRPr="00D93A12" w:rsidRDefault="00D93A12" w:rsidP="00D93A12">
      <w:pPr>
        <w:pStyle w:val="NormalWeb"/>
      </w:pPr>
      <w:r>
        <w:t xml:space="preserve">The 36 included references were published between 2000 and 2026 and primarily focused on the relationship between extent of resection and survival outcomes in patients with glioblastoma. Most studies were retrospective cohort studies, accounting for 13 studies (36.1%), followed by systematic reviews and meta-analyses with 9 studies (25.0%). Clinical guidelines and consensus reviews represented 4 studies (11.1%), while molecular/genomic investigations accounted for 5 studies (13.9%). Randomized controlled trials comprised 3 studies (8.3%), and epidemiological/statistical reports represented 2 studies (5.6%). </w:t>
      </w:r>
      <w:r w:rsidRPr="00D93A12">
        <w:rPr>
          <w:rFonts w:asciiTheme="majorBidi" w:hAnsiTheme="majorBidi" w:cstheme="majorBidi"/>
        </w:rPr>
        <w:t xml:space="preserve">The included studies involved more than 18,000 patients with glioblastoma and mainly evaluated the impact of gross total resection, subtotal resection, supramarginal resection, biopsy, and repeat resection on survival outcomes. Molecular biomarkers such as MGMT promoter methylation and IDH mutation status were frequently assessed as prognostic factors. Advanced surgical adjuncts, including </w:t>
      </w:r>
      <w:r w:rsidRPr="00D93A12">
        <w:rPr>
          <w:rFonts w:asciiTheme="majorBidi" w:hAnsiTheme="majorBidi" w:cstheme="majorBidi"/>
        </w:rPr>
        <w:lastRenderedPageBreak/>
        <w:t>fluorescence-guided surgery and intraoperative MRI, were commonly used to enhance maximal safe resection. Overall survival and progression-free survival were the most frequently reported outcomes, with most studies demonstrating improved survival associated with greater extent of resection, although results varied according to molecular subtype, patient characteristics, and tumor factors.</w:t>
      </w:r>
      <w:r w:rsidR="007F0D51">
        <w:rPr>
          <w:rFonts w:asciiTheme="majorBidi" w:hAnsiTheme="majorBidi" w:cstheme="majorBidi"/>
        </w:rPr>
        <w:t xml:space="preserve"> Shown in Table </w:t>
      </w:r>
      <w:r w:rsidR="00051E72">
        <w:rPr>
          <w:rFonts w:asciiTheme="majorBidi" w:hAnsiTheme="majorBidi" w:cstheme="majorBidi"/>
        </w:rPr>
        <w:t>1</w:t>
      </w:r>
      <w:r w:rsidR="007F0D51">
        <w:rPr>
          <w:rFonts w:asciiTheme="majorBidi" w:hAnsiTheme="majorBidi" w:cstheme="majorBidi"/>
        </w:rPr>
        <w:t>.</w:t>
      </w:r>
    </w:p>
    <w:p w14:paraId="58F40D6C" w14:textId="778AF8B9" w:rsidR="00D93A12" w:rsidRPr="007F0D51" w:rsidRDefault="00D93A12" w:rsidP="00D93A12">
      <w:pPr>
        <w:spacing w:before="100" w:beforeAutospacing="1" w:after="100" w:afterAutospacing="1" w:line="240" w:lineRule="auto"/>
        <w:jc w:val="center"/>
        <w:outlineLvl w:val="2"/>
        <w:rPr>
          <w:rFonts w:ascii="Times New Roman" w:eastAsia="Times New Roman" w:hAnsi="Times New Roman" w:cs="Times New Roman"/>
          <w:i/>
          <w:iCs/>
          <w:color w:val="00B050"/>
          <w:kern w:val="0"/>
          <w:sz w:val="20"/>
          <w:szCs w:val="20"/>
          <w14:ligatures w14:val="none"/>
        </w:rPr>
      </w:pPr>
      <w:r w:rsidRPr="007F0D51">
        <w:rPr>
          <w:rFonts w:ascii="Times New Roman" w:eastAsia="Times New Roman" w:hAnsi="Times New Roman" w:cs="Times New Roman"/>
          <w:i/>
          <w:iCs/>
          <w:color w:val="00B050"/>
          <w:kern w:val="0"/>
          <w:sz w:val="20"/>
          <w:szCs w:val="20"/>
          <w14:ligatures w14:val="none"/>
        </w:rPr>
        <w:t xml:space="preserve">Table </w:t>
      </w:r>
      <w:r w:rsidR="00051E72">
        <w:rPr>
          <w:rFonts w:ascii="Times New Roman" w:eastAsia="Times New Roman" w:hAnsi="Times New Roman" w:cs="Times New Roman"/>
          <w:i/>
          <w:iCs/>
          <w:color w:val="00B050"/>
          <w:kern w:val="0"/>
          <w:sz w:val="20"/>
          <w:szCs w:val="20"/>
          <w14:ligatures w14:val="none"/>
        </w:rPr>
        <w:t>1</w:t>
      </w:r>
      <w:r w:rsidRPr="007F0D51">
        <w:rPr>
          <w:rFonts w:ascii="Times New Roman" w:eastAsia="Times New Roman" w:hAnsi="Times New Roman" w:cs="Times New Roman"/>
          <w:i/>
          <w:iCs/>
          <w:color w:val="00B050"/>
          <w:kern w:val="0"/>
          <w:sz w:val="20"/>
          <w:szCs w:val="20"/>
          <w14:ligatures w14:val="none"/>
        </w:rPr>
        <w:t>. Distribution and Characteristics of Included Studies (n = 36)</w:t>
      </w:r>
    </w:p>
    <w:tbl>
      <w:tblPr>
        <w:tblStyle w:val="TableGrid"/>
        <w:tblW w:w="9348" w:type="dxa"/>
        <w:tblLook w:val="04A0" w:firstRow="1" w:lastRow="0" w:firstColumn="1" w:lastColumn="0" w:noHBand="0" w:noVBand="1"/>
      </w:tblPr>
      <w:tblGrid>
        <w:gridCol w:w="3116"/>
        <w:gridCol w:w="3116"/>
        <w:gridCol w:w="3116"/>
      </w:tblGrid>
      <w:tr w:rsidR="007F0D51" w:rsidRPr="007F0D51" w14:paraId="2E09516D" w14:textId="77777777" w:rsidTr="007F0D51">
        <w:tc>
          <w:tcPr>
            <w:tcW w:w="3116" w:type="dxa"/>
            <w:shd w:val="clear" w:color="auto" w:fill="D9F2D0" w:themeFill="accent6" w:themeFillTint="33"/>
            <w:vAlign w:val="center"/>
          </w:tcPr>
          <w:p w14:paraId="5C8873A4" w14:textId="4326450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Study Characteristic</w:t>
            </w:r>
          </w:p>
        </w:tc>
        <w:tc>
          <w:tcPr>
            <w:tcW w:w="3116" w:type="dxa"/>
            <w:shd w:val="clear" w:color="auto" w:fill="D9F2D0" w:themeFill="accent6" w:themeFillTint="33"/>
            <w:vAlign w:val="center"/>
          </w:tcPr>
          <w:p w14:paraId="01A4402C" w14:textId="7B650F2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Number (n)</w:t>
            </w:r>
          </w:p>
        </w:tc>
        <w:tc>
          <w:tcPr>
            <w:tcW w:w="3116" w:type="dxa"/>
            <w:shd w:val="clear" w:color="auto" w:fill="D9F2D0" w:themeFill="accent6" w:themeFillTint="33"/>
            <w:vAlign w:val="center"/>
          </w:tcPr>
          <w:p w14:paraId="153E998D" w14:textId="6F02E3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Percentage (%)</w:t>
            </w:r>
          </w:p>
        </w:tc>
      </w:tr>
      <w:tr w:rsidR="007F0D51" w:rsidRPr="007F0D51" w14:paraId="1409BCBD" w14:textId="77777777" w:rsidTr="007F0D51">
        <w:tc>
          <w:tcPr>
            <w:tcW w:w="9348" w:type="dxa"/>
            <w:gridSpan w:val="3"/>
            <w:vAlign w:val="center"/>
          </w:tcPr>
          <w:p w14:paraId="0560472D" w14:textId="634E872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Study Design</w:t>
            </w:r>
          </w:p>
        </w:tc>
      </w:tr>
      <w:tr w:rsidR="007F0D51" w:rsidRPr="007F0D51" w14:paraId="64266C51" w14:textId="77777777" w:rsidTr="007F0D51">
        <w:tc>
          <w:tcPr>
            <w:tcW w:w="3116" w:type="dxa"/>
            <w:shd w:val="clear" w:color="auto" w:fill="D9F2D0" w:themeFill="accent6" w:themeFillTint="33"/>
            <w:vAlign w:val="center"/>
          </w:tcPr>
          <w:p w14:paraId="5B78046B" w14:textId="509CF72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Retrospective cohort studies</w:t>
            </w:r>
          </w:p>
        </w:tc>
        <w:tc>
          <w:tcPr>
            <w:tcW w:w="3116" w:type="dxa"/>
            <w:shd w:val="clear" w:color="auto" w:fill="D9F2D0" w:themeFill="accent6" w:themeFillTint="33"/>
            <w:vAlign w:val="center"/>
          </w:tcPr>
          <w:p w14:paraId="1C3CF2C9" w14:textId="5CEABFF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w:t>
            </w:r>
          </w:p>
        </w:tc>
        <w:tc>
          <w:tcPr>
            <w:tcW w:w="3116" w:type="dxa"/>
            <w:shd w:val="clear" w:color="auto" w:fill="D9F2D0" w:themeFill="accent6" w:themeFillTint="33"/>
            <w:vAlign w:val="center"/>
          </w:tcPr>
          <w:p w14:paraId="693AC6E8" w14:textId="34D4188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36.1</w:t>
            </w:r>
          </w:p>
        </w:tc>
      </w:tr>
      <w:tr w:rsidR="007F0D51" w:rsidRPr="007F0D51" w14:paraId="01808953" w14:textId="77777777" w:rsidTr="007F0D51">
        <w:tc>
          <w:tcPr>
            <w:tcW w:w="3116" w:type="dxa"/>
            <w:vAlign w:val="center"/>
          </w:tcPr>
          <w:p w14:paraId="262218A3" w14:textId="30C2042F"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Systematic reviews/meta-analyses</w:t>
            </w:r>
          </w:p>
        </w:tc>
        <w:tc>
          <w:tcPr>
            <w:tcW w:w="3116" w:type="dxa"/>
            <w:vAlign w:val="center"/>
          </w:tcPr>
          <w:p w14:paraId="5018CE64" w14:textId="47BD3DFE"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9</w:t>
            </w:r>
          </w:p>
        </w:tc>
        <w:tc>
          <w:tcPr>
            <w:tcW w:w="3116" w:type="dxa"/>
            <w:vAlign w:val="center"/>
          </w:tcPr>
          <w:p w14:paraId="62B2AE43" w14:textId="4200226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25.0</w:t>
            </w:r>
          </w:p>
        </w:tc>
      </w:tr>
      <w:tr w:rsidR="007F0D51" w:rsidRPr="007F0D51" w14:paraId="62F7A180" w14:textId="77777777" w:rsidTr="007F0D51">
        <w:tc>
          <w:tcPr>
            <w:tcW w:w="3116" w:type="dxa"/>
            <w:shd w:val="clear" w:color="auto" w:fill="D9F2D0" w:themeFill="accent6" w:themeFillTint="33"/>
            <w:vAlign w:val="center"/>
          </w:tcPr>
          <w:p w14:paraId="00E638B3" w14:textId="1E274C5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Molecular/genomic studies</w:t>
            </w:r>
          </w:p>
        </w:tc>
        <w:tc>
          <w:tcPr>
            <w:tcW w:w="3116" w:type="dxa"/>
            <w:shd w:val="clear" w:color="auto" w:fill="D9F2D0" w:themeFill="accent6" w:themeFillTint="33"/>
            <w:vAlign w:val="center"/>
          </w:tcPr>
          <w:p w14:paraId="18020E94" w14:textId="1A3476D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D9F2D0" w:themeFill="accent6" w:themeFillTint="33"/>
            <w:vAlign w:val="center"/>
          </w:tcPr>
          <w:p w14:paraId="21F5F632" w14:textId="69BF595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78CB0647" w14:textId="77777777" w:rsidTr="007F0D51">
        <w:tc>
          <w:tcPr>
            <w:tcW w:w="3116" w:type="dxa"/>
            <w:vAlign w:val="center"/>
          </w:tcPr>
          <w:p w14:paraId="487A238E" w14:textId="64A7F06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Guidelines/consensus reviews</w:t>
            </w:r>
          </w:p>
        </w:tc>
        <w:tc>
          <w:tcPr>
            <w:tcW w:w="3116" w:type="dxa"/>
            <w:vAlign w:val="center"/>
          </w:tcPr>
          <w:p w14:paraId="3CE4A816" w14:textId="6CD32C8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vAlign w:val="center"/>
          </w:tcPr>
          <w:p w14:paraId="2B111D0D" w14:textId="7C6033A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2A819607" w14:textId="77777777" w:rsidTr="007F0D51">
        <w:tc>
          <w:tcPr>
            <w:tcW w:w="3116" w:type="dxa"/>
            <w:shd w:val="clear" w:color="auto" w:fill="D9F2D0" w:themeFill="accent6" w:themeFillTint="33"/>
            <w:vAlign w:val="center"/>
          </w:tcPr>
          <w:p w14:paraId="3A7FD437" w14:textId="19BEA0F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Randomized controlled trials</w:t>
            </w:r>
          </w:p>
        </w:tc>
        <w:tc>
          <w:tcPr>
            <w:tcW w:w="3116" w:type="dxa"/>
            <w:shd w:val="clear" w:color="auto" w:fill="D9F2D0" w:themeFill="accent6" w:themeFillTint="33"/>
            <w:vAlign w:val="center"/>
          </w:tcPr>
          <w:p w14:paraId="3276229B" w14:textId="11AA43D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791A5B56" w14:textId="4BF9758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444D2204" w14:textId="77777777" w:rsidTr="00F93B04">
        <w:tc>
          <w:tcPr>
            <w:tcW w:w="3116" w:type="dxa"/>
            <w:shd w:val="clear" w:color="auto" w:fill="FFFFFF" w:themeFill="background1"/>
            <w:vAlign w:val="center"/>
          </w:tcPr>
          <w:p w14:paraId="0AAE7528" w14:textId="4132261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Epidemiological/statistical reports</w:t>
            </w:r>
          </w:p>
        </w:tc>
        <w:tc>
          <w:tcPr>
            <w:tcW w:w="3116" w:type="dxa"/>
            <w:shd w:val="clear" w:color="auto" w:fill="FFFFFF" w:themeFill="background1"/>
            <w:vAlign w:val="center"/>
          </w:tcPr>
          <w:p w14:paraId="3C37443B" w14:textId="3C1EC7D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w:t>
            </w:r>
          </w:p>
        </w:tc>
        <w:tc>
          <w:tcPr>
            <w:tcW w:w="3116" w:type="dxa"/>
            <w:shd w:val="clear" w:color="auto" w:fill="FFFFFF" w:themeFill="background1"/>
            <w:vAlign w:val="center"/>
          </w:tcPr>
          <w:p w14:paraId="2F414F53" w14:textId="03E61A8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5.6</w:t>
            </w:r>
          </w:p>
        </w:tc>
      </w:tr>
      <w:tr w:rsidR="007F0D51" w:rsidRPr="007F0D51" w14:paraId="1D199942" w14:textId="77777777" w:rsidTr="00F93B04">
        <w:tc>
          <w:tcPr>
            <w:tcW w:w="9348" w:type="dxa"/>
            <w:gridSpan w:val="3"/>
            <w:shd w:val="clear" w:color="auto" w:fill="D9F2D0" w:themeFill="accent6" w:themeFillTint="33"/>
            <w:vAlign w:val="center"/>
          </w:tcPr>
          <w:p w14:paraId="125E1712" w14:textId="6D5CA6F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Main Surgical Strategy Evaluated</w:t>
            </w:r>
          </w:p>
        </w:tc>
      </w:tr>
      <w:tr w:rsidR="007F0D51" w:rsidRPr="007F0D51" w14:paraId="6FCBC16C" w14:textId="77777777" w:rsidTr="007F0D51">
        <w:tc>
          <w:tcPr>
            <w:tcW w:w="3116" w:type="dxa"/>
            <w:vAlign w:val="center"/>
          </w:tcPr>
          <w:p w14:paraId="7FC3F4D0" w14:textId="0305355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Gross total resection (GTR)</w:t>
            </w:r>
          </w:p>
        </w:tc>
        <w:tc>
          <w:tcPr>
            <w:tcW w:w="3116" w:type="dxa"/>
            <w:vAlign w:val="center"/>
          </w:tcPr>
          <w:p w14:paraId="42FB1B44" w14:textId="2D93FA6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15</w:t>
            </w:r>
          </w:p>
        </w:tc>
        <w:tc>
          <w:tcPr>
            <w:tcW w:w="3116" w:type="dxa"/>
            <w:vAlign w:val="center"/>
          </w:tcPr>
          <w:p w14:paraId="3651D532" w14:textId="20F9B04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41.7</w:t>
            </w:r>
          </w:p>
        </w:tc>
      </w:tr>
      <w:tr w:rsidR="007F0D51" w:rsidRPr="007F0D51" w14:paraId="21E579D2" w14:textId="77777777" w:rsidTr="007F0D51">
        <w:tc>
          <w:tcPr>
            <w:tcW w:w="3116" w:type="dxa"/>
            <w:shd w:val="clear" w:color="auto" w:fill="D9F2D0" w:themeFill="accent6" w:themeFillTint="33"/>
            <w:vAlign w:val="center"/>
          </w:tcPr>
          <w:p w14:paraId="0DF00279" w14:textId="79DCBD2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Subtotal resection (STR)</w:t>
            </w:r>
          </w:p>
        </w:tc>
        <w:tc>
          <w:tcPr>
            <w:tcW w:w="3116" w:type="dxa"/>
            <w:shd w:val="clear" w:color="auto" w:fill="D9F2D0" w:themeFill="accent6" w:themeFillTint="33"/>
            <w:vAlign w:val="center"/>
          </w:tcPr>
          <w:p w14:paraId="7374FC59" w14:textId="25EBBD5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w:t>
            </w:r>
          </w:p>
        </w:tc>
        <w:tc>
          <w:tcPr>
            <w:tcW w:w="3116" w:type="dxa"/>
            <w:shd w:val="clear" w:color="auto" w:fill="D9F2D0" w:themeFill="accent6" w:themeFillTint="33"/>
            <w:vAlign w:val="center"/>
          </w:tcPr>
          <w:p w14:paraId="6A01E7A1" w14:textId="5FCB01D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22.2</w:t>
            </w:r>
          </w:p>
        </w:tc>
      </w:tr>
      <w:tr w:rsidR="007F0D51" w:rsidRPr="007F0D51" w14:paraId="1FC9DCE3" w14:textId="77777777" w:rsidTr="00F93B04">
        <w:tc>
          <w:tcPr>
            <w:tcW w:w="3116" w:type="dxa"/>
            <w:shd w:val="clear" w:color="auto" w:fill="FFFFFF" w:themeFill="background1"/>
            <w:vAlign w:val="center"/>
          </w:tcPr>
          <w:p w14:paraId="2CD9E478" w14:textId="2451338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Supramarginal resection (SMR)</w:t>
            </w:r>
          </w:p>
        </w:tc>
        <w:tc>
          <w:tcPr>
            <w:tcW w:w="3116" w:type="dxa"/>
            <w:shd w:val="clear" w:color="auto" w:fill="FFFFFF" w:themeFill="background1"/>
            <w:vAlign w:val="center"/>
          </w:tcPr>
          <w:p w14:paraId="717C8FE0" w14:textId="0A11F25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FFFFFF" w:themeFill="background1"/>
            <w:vAlign w:val="center"/>
          </w:tcPr>
          <w:p w14:paraId="52A867F4" w14:textId="6D8AC2A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69FADE3C" w14:textId="77777777" w:rsidTr="007F0D51">
        <w:tc>
          <w:tcPr>
            <w:tcW w:w="3116" w:type="dxa"/>
            <w:shd w:val="clear" w:color="auto" w:fill="D9F2D0" w:themeFill="accent6" w:themeFillTint="33"/>
            <w:vAlign w:val="center"/>
          </w:tcPr>
          <w:p w14:paraId="355A66E8" w14:textId="5A3268A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Re-resection/reoperation</w:t>
            </w:r>
          </w:p>
        </w:tc>
        <w:tc>
          <w:tcPr>
            <w:tcW w:w="3116" w:type="dxa"/>
            <w:shd w:val="clear" w:color="auto" w:fill="D9F2D0" w:themeFill="accent6" w:themeFillTint="33"/>
            <w:vAlign w:val="center"/>
          </w:tcPr>
          <w:p w14:paraId="6762C6B6" w14:textId="7F5A72B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536E2EEC" w14:textId="4BEF754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285DB06A" w14:textId="77777777" w:rsidTr="00F93B04">
        <w:tc>
          <w:tcPr>
            <w:tcW w:w="3116" w:type="dxa"/>
            <w:shd w:val="clear" w:color="auto" w:fill="FFFFFF" w:themeFill="background1"/>
            <w:vAlign w:val="center"/>
          </w:tcPr>
          <w:p w14:paraId="48CF0AC9" w14:textId="5AE4D73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Biopsy-only procedures</w:t>
            </w:r>
          </w:p>
        </w:tc>
        <w:tc>
          <w:tcPr>
            <w:tcW w:w="3116" w:type="dxa"/>
            <w:shd w:val="clear" w:color="auto" w:fill="FFFFFF" w:themeFill="background1"/>
            <w:vAlign w:val="center"/>
          </w:tcPr>
          <w:p w14:paraId="535C6321" w14:textId="3C72F17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FFFFFF" w:themeFill="background1"/>
            <w:vAlign w:val="center"/>
          </w:tcPr>
          <w:p w14:paraId="1A53C29B" w14:textId="20A5754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0874551A" w14:textId="77777777" w:rsidTr="007F0D51">
        <w:trPr>
          <w:trHeight w:val="314"/>
        </w:trPr>
        <w:tc>
          <w:tcPr>
            <w:tcW w:w="3116" w:type="dxa"/>
            <w:shd w:val="clear" w:color="auto" w:fill="D9F2D0" w:themeFill="accent6" w:themeFillTint="33"/>
            <w:vAlign w:val="center"/>
          </w:tcPr>
          <w:p w14:paraId="56CF8CFB" w14:textId="1821DE1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Surgical adjunct technologies</w:t>
            </w:r>
          </w:p>
        </w:tc>
        <w:tc>
          <w:tcPr>
            <w:tcW w:w="3116" w:type="dxa"/>
            <w:shd w:val="clear" w:color="auto" w:fill="D9F2D0" w:themeFill="accent6" w:themeFillTint="33"/>
            <w:vAlign w:val="center"/>
          </w:tcPr>
          <w:p w14:paraId="0DC7CBA9" w14:textId="0691475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44DCB922" w14:textId="0E69A11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3F568C5D" w14:textId="77777777" w:rsidTr="00F93B04">
        <w:tc>
          <w:tcPr>
            <w:tcW w:w="9348" w:type="dxa"/>
            <w:gridSpan w:val="3"/>
            <w:shd w:val="clear" w:color="auto" w:fill="FFFFFF" w:themeFill="background1"/>
            <w:vAlign w:val="center"/>
          </w:tcPr>
          <w:p w14:paraId="03330E7D" w14:textId="59F86D0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Molecular/Pathological Factors Reported</w:t>
            </w:r>
          </w:p>
        </w:tc>
      </w:tr>
      <w:tr w:rsidR="007F0D51" w:rsidRPr="007F0D51" w14:paraId="52D2DDCF" w14:textId="77777777" w:rsidTr="007F0D51">
        <w:tc>
          <w:tcPr>
            <w:tcW w:w="3116" w:type="dxa"/>
            <w:shd w:val="clear" w:color="auto" w:fill="D9F2D0" w:themeFill="accent6" w:themeFillTint="33"/>
            <w:vAlign w:val="center"/>
          </w:tcPr>
          <w:p w14:paraId="0FEC4AFA" w14:textId="07DE0F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MGMT promoter methylation</w:t>
            </w:r>
          </w:p>
        </w:tc>
        <w:tc>
          <w:tcPr>
            <w:tcW w:w="3116" w:type="dxa"/>
            <w:shd w:val="clear" w:color="auto" w:fill="D9F2D0" w:themeFill="accent6" w:themeFillTint="33"/>
            <w:vAlign w:val="center"/>
          </w:tcPr>
          <w:p w14:paraId="47B87A5C" w14:textId="05554E0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6</w:t>
            </w:r>
          </w:p>
        </w:tc>
        <w:tc>
          <w:tcPr>
            <w:tcW w:w="3116" w:type="dxa"/>
            <w:shd w:val="clear" w:color="auto" w:fill="D9F2D0" w:themeFill="accent6" w:themeFillTint="33"/>
            <w:vAlign w:val="center"/>
          </w:tcPr>
          <w:p w14:paraId="0B3B07C6" w14:textId="349EA97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16.7</w:t>
            </w:r>
          </w:p>
        </w:tc>
      </w:tr>
      <w:tr w:rsidR="007F0D51" w:rsidRPr="007F0D51" w14:paraId="7D58DAD5" w14:textId="77777777" w:rsidTr="00F93B04">
        <w:tc>
          <w:tcPr>
            <w:tcW w:w="3116" w:type="dxa"/>
            <w:shd w:val="clear" w:color="auto" w:fill="FFFFFF" w:themeFill="background1"/>
            <w:vAlign w:val="center"/>
          </w:tcPr>
          <w:p w14:paraId="1B1F69F8" w14:textId="6D11793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IDH mutation status</w:t>
            </w:r>
          </w:p>
        </w:tc>
        <w:tc>
          <w:tcPr>
            <w:tcW w:w="3116" w:type="dxa"/>
            <w:shd w:val="clear" w:color="auto" w:fill="FFFFFF" w:themeFill="background1"/>
            <w:vAlign w:val="center"/>
          </w:tcPr>
          <w:p w14:paraId="601EC079" w14:textId="45D76AE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FFFFFF" w:themeFill="background1"/>
            <w:vAlign w:val="center"/>
          </w:tcPr>
          <w:p w14:paraId="16CABFFF" w14:textId="742C2C3A"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20B9CD2A" w14:textId="77777777" w:rsidTr="007F0D51">
        <w:tc>
          <w:tcPr>
            <w:tcW w:w="3116" w:type="dxa"/>
            <w:shd w:val="clear" w:color="auto" w:fill="D9F2D0" w:themeFill="accent6" w:themeFillTint="33"/>
            <w:vAlign w:val="center"/>
          </w:tcPr>
          <w:p w14:paraId="382AD678" w14:textId="526477A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Molecular subtype/genomic profiling</w:t>
            </w:r>
          </w:p>
        </w:tc>
        <w:tc>
          <w:tcPr>
            <w:tcW w:w="3116" w:type="dxa"/>
            <w:shd w:val="clear" w:color="auto" w:fill="D9F2D0" w:themeFill="accent6" w:themeFillTint="33"/>
            <w:vAlign w:val="center"/>
          </w:tcPr>
          <w:p w14:paraId="2042C5ED" w14:textId="5DA99BE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D9F2D0" w:themeFill="accent6" w:themeFillTint="33"/>
            <w:vAlign w:val="center"/>
          </w:tcPr>
          <w:p w14:paraId="3CAFD204" w14:textId="4ECE462E"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2C458353" w14:textId="77777777" w:rsidTr="00F93B04">
        <w:tc>
          <w:tcPr>
            <w:tcW w:w="3116" w:type="dxa"/>
            <w:shd w:val="clear" w:color="auto" w:fill="FFFFFF" w:themeFill="background1"/>
            <w:vAlign w:val="center"/>
          </w:tcPr>
          <w:p w14:paraId="69C03B53" w14:textId="734FAD9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WHO classification/pathology</w:t>
            </w:r>
          </w:p>
        </w:tc>
        <w:tc>
          <w:tcPr>
            <w:tcW w:w="3116" w:type="dxa"/>
            <w:shd w:val="clear" w:color="auto" w:fill="FFFFFF" w:themeFill="background1"/>
            <w:vAlign w:val="center"/>
          </w:tcPr>
          <w:p w14:paraId="0E42AD85" w14:textId="5A67301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w:t>
            </w:r>
          </w:p>
        </w:tc>
        <w:tc>
          <w:tcPr>
            <w:tcW w:w="3116" w:type="dxa"/>
            <w:shd w:val="clear" w:color="auto" w:fill="FFFFFF" w:themeFill="background1"/>
            <w:vAlign w:val="center"/>
          </w:tcPr>
          <w:p w14:paraId="2F077805" w14:textId="43AC08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5.6</w:t>
            </w:r>
          </w:p>
        </w:tc>
      </w:tr>
      <w:tr w:rsidR="007F0D51" w:rsidRPr="007F0D51" w14:paraId="52E83549" w14:textId="77777777" w:rsidTr="007F0D51">
        <w:tc>
          <w:tcPr>
            <w:tcW w:w="9348" w:type="dxa"/>
            <w:gridSpan w:val="3"/>
            <w:shd w:val="clear" w:color="auto" w:fill="D9F2D0" w:themeFill="accent6" w:themeFillTint="33"/>
            <w:vAlign w:val="center"/>
          </w:tcPr>
          <w:p w14:paraId="588AA210" w14:textId="05B94EA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Primary Outcomes Reported</w:t>
            </w:r>
          </w:p>
        </w:tc>
      </w:tr>
      <w:tr w:rsidR="007F0D51" w:rsidRPr="007F0D51" w14:paraId="2A906986" w14:textId="77777777" w:rsidTr="00F93B04">
        <w:tc>
          <w:tcPr>
            <w:tcW w:w="3116" w:type="dxa"/>
            <w:shd w:val="clear" w:color="auto" w:fill="FFFFFF" w:themeFill="background1"/>
            <w:vAlign w:val="center"/>
          </w:tcPr>
          <w:p w14:paraId="2248A029" w14:textId="5298B6B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Overall survival (OS)</w:t>
            </w:r>
          </w:p>
        </w:tc>
        <w:tc>
          <w:tcPr>
            <w:tcW w:w="3116" w:type="dxa"/>
            <w:shd w:val="clear" w:color="auto" w:fill="FFFFFF" w:themeFill="background1"/>
            <w:vAlign w:val="center"/>
          </w:tcPr>
          <w:p w14:paraId="6FAAEB45" w14:textId="39DB117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31</w:t>
            </w:r>
          </w:p>
        </w:tc>
        <w:tc>
          <w:tcPr>
            <w:tcW w:w="3116" w:type="dxa"/>
            <w:shd w:val="clear" w:color="auto" w:fill="FFFFFF" w:themeFill="background1"/>
            <w:vAlign w:val="center"/>
          </w:tcPr>
          <w:p w14:paraId="0B109A40" w14:textId="2438FBE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86.1</w:t>
            </w:r>
          </w:p>
        </w:tc>
      </w:tr>
      <w:tr w:rsidR="007F0D51" w:rsidRPr="007F0D51" w14:paraId="24228546" w14:textId="77777777" w:rsidTr="00F93B04">
        <w:tc>
          <w:tcPr>
            <w:tcW w:w="3116" w:type="dxa"/>
            <w:shd w:val="clear" w:color="auto" w:fill="D9F2D0" w:themeFill="accent6" w:themeFillTint="33"/>
            <w:vAlign w:val="center"/>
          </w:tcPr>
          <w:p w14:paraId="2606A7BD" w14:textId="47A7408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Progression-free survival (PFS)</w:t>
            </w:r>
          </w:p>
        </w:tc>
        <w:tc>
          <w:tcPr>
            <w:tcW w:w="3116" w:type="dxa"/>
            <w:shd w:val="clear" w:color="auto" w:fill="D9F2D0" w:themeFill="accent6" w:themeFillTint="33"/>
            <w:vAlign w:val="center"/>
          </w:tcPr>
          <w:p w14:paraId="1823C6D1" w14:textId="3923F32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22</w:t>
            </w:r>
          </w:p>
        </w:tc>
        <w:tc>
          <w:tcPr>
            <w:tcW w:w="3116" w:type="dxa"/>
            <w:shd w:val="clear" w:color="auto" w:fill="D9F2D0" w:themeFill="accent6" w:themeFillTint="33"/>
            <w:vAlign w:val="center"/>
          </w:tcPr>
          <w:p w14:paraId="2F8EF101" w14:textId="3334082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61.1</w:t>
            </w:r>
          </w:p>
        </w:tc>
      </w:tr>
      <w:tr w:rsidR="007F0D51" w:rsidRPr="007F0D51" w14:paraId="222EFC3B" w14:textId="77777777" w:rsidTr="00F93B04">
        <w:tc>
          <w:tcPr>
            <w:tcW w:w="3116" w:type="dxa"/>
            <w:shd w:val="clear" w:color="auto" w:fill="FFFFFF" w:themeFill="background1"/>
            <w:vAlign w:val="center"/>
          </w:tcPr>
          <w:p w14:paraId="6EF98B05" w14:textId="7663935F"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Recurrence/reoperation outcomes</w:t>
            </w:r>
          </w:p>
        </w:tc>
        <w:tc>
          <w:tcPr>
            <w:tcW w:w="3116" w:type="dxa"/>
            <w:shd w:val="clear" w:color="auto" w:fill="FFFFFF" w:themeFill="background1"/>
            <w:vAlign w:val="center"/>
          </w:tcPr>
          <w:p w14:paraId="0AD0773F" w14:textId="6E29394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FFFFFF" w:themeFill="background1"/>
            <w:vAlign w:val="center"/>
          </w:tcPr>
          <w:p w14:paraId="7A7B6E1F" w14:textId="3E87175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3103F19E" w14:textId="77777777" w:rsidTr="00F93B04">
        <w:tc>
          <w:tcPr>
            <w:tcW w:w="3116" w:type="dxa"/>
            <w:shd w:val="clear" w:color="auto" w:fill="D9F2D0" w:themeFill="accent6" w:themeFillTint="33"/>
            <w:vAlign w:val="center"/>
          </w:tcPr>
          <w:p w14:paraId="0A928628" w14:textId="651987EA"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Extent of resection thresholds</w:t>
            </w:r>
          </w:p>
        </w:tc>
        <w:tc>
          <w:tcPr>
            <w:tcW w:w="3116" w:type="dxa"/>
            <w:shd w:val="clear" w:color="auto" w:fill="D9F2D0" w:themeFill="accent6" w:themeFillTint="33"/>
            <w:vAlign w:val="center"/>
          </w:tcPr>
          <w:p w14:paraId="69AC926D" w14:textId="5F97F1A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D9F2D0" w:themeFill="accent6" w:themeFillTint="33"/>
            <w:vAlign w:val="center"/>
          </w:tcPr>
          <w:p w14:paraId="1C7A584F" w14:textId="631F37B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bl>
    <w:p w14:paraId="398C0934" w14:textId="524E273E" w:rsidR="00C20F34" w:rsidRPr="00CB68CB" w:rsidRDefault="00C20F34" w:rsidP="007F0D51">
      <w:pPr>
        <w:spacing w:before="100" w:beforeAutospacing="1" w:after="100" w:afterAutospacing="1" w:line="240" w:lineRule="auto"/>
        <w:outlineLvl w:val="2"/>
        <w:rPr>
          <w:rFonts w:ascii="Times New Roman" w:eastAsia="Times New Roman" w:hAnsi="Times New Roman" w:cs="Times New Roman"/>
          <w:i/>
          <w:iCs/>
          <w:color w:val="4C94D8" w:themeColor="text2" w:themeTint="80"/>
          <w:kern w:val="0"/>
          <w:sz w:val="20"/>
          <w:szCs w:val="20"/>
          <w14:ligatures w14:val="none"/>
        </w:rPr>
      </w:pPr>
    </w:p>
    <w:p w14:paraId="7C35C6B2" w14:textId="3A2BFE7B"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68CB">
        <w:rPr>
          <w:rFonts w:ascii="Times New Roman" w:eastAsia="Times New Roman" w:hAnsi="Times New Roman" w:cs="Times New Roman"/>
          <w:b/>
          <w:bCs/>
          <w:kern w:val="0"/>
          <w14:ligatures w14:val="none"/>
        </w:rPr>
        <w:t>Survival Outcomes According to Extent of Resection</w:t>
      </w:r>
    </w:p>
    <w:p w14:paraId="3614A07D" w14:textId="59FBD8AB" w:rsidR="00CB68CB" w:rsidRP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r w:rsidRPr="00CB68CB">
        <w:rPr>
          <w:rFonts w:ascii="Times New Roman" w:eastAsia="Times New Roman" w:hAnsi="Times New Roman" w:cs="Times New Roman"/>
          <w:kern w:val="0"/>
          <w14:ligatures w14:val="none"/>
        </w:rPr>
        <w:t xml:space="preserve">Meta-analysis of the included studies demonstrated a significant association between greater extent of resection and improved overall survival in patients with glioblastoma. Gross total resection consistently showed superior survival outcomes compared with subtotal resection and biopsy-only approaches. Patients undergoing supramarginal resection also demonstrated prolonged progression-free survival in several studies. Subgroup analyses revealed that the survival benefit associated with maximal resection was more pronounced among younger patients and those with favorable molecular profiles, including MGMT promoter methylation and IDH mutation positivity. Studies utilizing fluorescence-guided surgery and intraoperative MRI reported higher rates of complete tumor resection and reduced residual tumor volume. Despite heterogeneity among included studies, pooled analyses consistently favored aggressive </w:t>
      </w:r>
      <w:r w:rsidRPr="00CB68CB">
        <w:rPr>
          <w:rFonts w:ascii="Times New Roman" w:eastAsia="Times New Roman" w:hAnsi="Times New Roman" w:cs="Times New Roman"/>
          <w:kern w:val="0"/>
          <w14:ligatures w14:val="none"/>
        </w:rPr>
        <w:lastRenderedPageBreak/>
        <w:t>but safe surgical resection. The overall findings support the role of maximal safe resection as a critical prognostic factor in glioblastoma management.</w:t>
      </w:r>
      <w:r w:rsidR="007F0D51">
        <w:rPr>
          <w:rFonts w:ascii="Times New Roman" w:eastAsia="Times New Roman" w:hAnsi="Times New Roman" w:cs="Times New Roman"/>
          <w:kern w:val="0"/>
          <w14:ligatures w14:val="none"/>
        </w:rPr>
        <w:t xml:space="preserve"> Shown in Table 2. </w:t>
      </w:r>
    </w:p>
    <w:p w14:paraId="505D9EC5" w14:textId="349FCE54" w:rsidR="00CB68CB" w:rsidRPr="007F0D51" w:rsidRDefault="007F0D51" w:rsidP="00CB68CB">
      <w:pPr>
        <w:spacing w:before="100" w:beforeAutospacing="1" w:after="100" w:afterAutospacing="1" w:line="240" w:lineRule="auto"/>
        <w:jc w:val="center"/>
        <w:outlineLvl w:val="2"/>
        <w:rPr>
          <w:rFonts w:ascii="Times New Roman" w:eastAsia="Times New Roman" w:hAnsi="Times New Roman" w:cs="Times New Roman"/>
          <w:i/>
          <w:iCs/>
          <w:color w:val="00B050"/>
          <w:kern w:val="0"/>
          <w:sz w:val="20"/>
          <w:szCs w:val="20"/>
          <w14:ligatures w14:val="none"/>
        </w:rPr>
      </w:pPr>
      <w:r w:rsidRPr="007F0D51">
        <w:rPr>
          <w:rFonts w:ascii="Times New Roman" w:eastAsia="Times New Roman" w:hAnsi="Times New Roman" w:cs="Times New Roman"/>
          <w:i/>
          <w:iCs/>
          <w:color w:val="00B050"/>
          <w:kern w:val="0"/>
          <w:sz w:val="20"/>
          <w:szCs w:val="20"/>
          <w14:ligatures w14:val="none"/>
        </w:rPr>
        <w:t xml:space="preserve">Table </w:t>
      </w:r>
      <w:r w:rsidR="00F93B04">
        <w:rPr>
          <w:rFonts w:ascii="Times New Roman" w:eastAsia="Times New Roman" w:hAnsi="Times New Roman" w:cs="Times New Roman"/>
          <w:i/>
          <w:iCs/>
          <w:color w:val="00B050"/>
          <w:kern w:val="0"/>
          <w:sz w:val="20"/>
          <w:szCs w:val="20"/>
          <w14:ligatures w14:val="none"/>
        </w:rPr>
        <w:t>2</w:t>
      </w:r>
      <w:r w:rsidR="00CB68CB" w:rsidRPr="007F0D51">
        <w:rPr>
          <w:rFonts w:ascii="Times New Roman" w:eastAsia="Times New Roman" w:hAnsi="Times New Roman" w:cs="Times New Roman"/>
          <w:i/>
          <w:iCs/>
          <w:color w:val="00B050"/>
          <w:kern w:val="0"/>
          <w:sz w:val="20"/>
          <w:szCs w:val="20"/>
          <w14:ligatures w14:val="none"/>
        </w:rPr>
        <w:t>. Survival Outcomes According to Extent of Resection</w:t>
      </w:r>
    </w:p>
    <w:tbl>
      <w:tblPr>
        <w:tblStyle w:val="TableGrid"/>
        <w:tblW w:w="9348" w:type="dxa"/>
        <w:tblLook w:val="04A0" w:firstRow="1" w:lastRow="0" w:firstColumn="1" w:lastColumn="0" w:noHBand="0" w:noVBand="1"/>
      </w:tblPr>
      <w:tblGrid>
        <w:gridCol w:w="2337"/>
        <w:gridCol w:w="2337"/>
        <w:gridCol w:w="2337"/>
        <w:gridCol w:w="2337"/>
      </w:tblGrid>
      <w:tr w:rsidR="00CB68CB" w14:paraId="448E346F" w14:textId="77777777" w:rsidTr="00F93B04">
        <w:tc>
          <w:tcPr>
            <w:tcW w:w="2337" w:type="dxa"/>
            <w:shd w:val="clear" w:color="auto" w:fill="D9F2D0" w:themeFill="accent6" w:themeFillTint="33"/>
            <w:vAlign w:val="center"/>
          </w:tcPr>
          <w:p w14:paraId="0C6FBF25" w14:textId="18F4B39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Extent of Resection</w:t>
            </w:r>
          </w:p>
        </w:tc>
        <w:tc>
          <w:tcPr>
            <w:tcW w:w="2337" w:type="dxa"/>
            <w:shd w:val="clear" w:color="auto" w:fill="D9F2D0" w:themeFill="accent6" w:themeFillTint="33"/>
            <w:vAlign w:val="center"/>
          </w:tcPr>
          <w:p w14:paraId="4D3BD280" w14:textId="648887CA"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Median Overall Survival</w:t>
            </w:r>
          </w:p>
        </w:tc>
        <w:tc>
          <w:tcPr>
            <w:tcW w:w="2337" w:type="dxa"/>
            <w:shd w:val="clear" w:color="auto" w:fill="D9F2D0" w:themeFill="accent6" w:themeFillTint="33"/>
            <w:vAlign w:val="center"/>
          </w:tcPr>
          <w:p w14:paraId="0B0762D4" w14:textId="64CE356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Progression-Free Survival</w:t>
            </w:r>
          </w:p>
        </w:tc>
        <w:tc>
          <w:tcPr>
            <w:tcW w:w="2337" w:type="dxa"/>
            <w:shd w:val="clear" w:color="auto" w:fill="D9F2D0" w:themeFill="accent6" w:themeFillTint="33"/>
            <w:vAlign w:val="center"/>
          </w:tcPr>
          <w:p w14:paraId="356708D4" w14:textId="55E2EB1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Survival Impact</w:t>
            </w:r>
          </w:p>
        </w:tc>
      </w:tr>
      <w:tr w:rsidR="00CB68CB" w14:paraId="5783AB8B" w14:textId="77777777" w:rsidTr="00CB68CB">
        <w:tc>
          <w:tcPr>
            <w:tcW w:w="2337" w:type="dxa"/>
            <w:vAlign w:val="center"/>
          </w:tcPr>
          <w:p w14:paraId="6CF50CD2" w14:textId="7E999AB0"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Biopsy Only</w:t>
            </w:r>
          </w:p>
        </w:tc>
        <w:tc>
          <w:tcPr>
            <w:tcW w:w="2337" w:type="dxa"/>
            <w:vAlign w:val="center"/>
          </w:tcPr>
          <w:p w14:paraId="0CEFBBE9" w14:textId="7D626A55"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6–8 months</w:t>
            </w:r>
          </w:p>
        </w:tc>
        <w:tc>
          <w:tcPr>
            <w:tcW w:w="2337" w:type="dxa"/>
            <w:vAlign w:val="center"/>
          </w:tcPr>
          <w:p w14:paraId="64089DE7" w14:textId="439644ED"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3–4 months</w:t>
            </w:r>
          </w:p>
        </w:tc>
        <w:tc>
          <w:tcPr>
            <w:tcW w:w="2337" w:type="dxa"/>
            <w:vAlign w:val="center"/>
          </w:tcPr>
          <w:p w14:paraId="399E92F7" w14:textId="76DF1049"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Lowest survival</w:t>
            </w:r>
          </w:p>
        </w:tc>
      </w:tr>
      <w:tr w:rsidR="00CB68CB" w14:paraId="5C06EDE5" w14:textId="77777777" w:rsidTr="00F93B04">
        <w:tc>
          <w:tcPr>
            <w:tcW w:w="2337" w:type="dxa"/>
            <w:shd w:val="clear" w:color="auto" w:fill="D9F2D0" w:themeFill="accent6" w:themeFillTint="33"/>
            <w:vAlign w:val="center"/>
          </w:tcPr>
          <w:p w14:paraId="7E9614BA" w14:textId="65D04A0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Subtotal Resection</w:t>
            </w:r>
          </w:p>
        </w:tc>
        <w:tc>
          <w:tcPr>
            <w:tcW w:w="2337" w:type="dxa"/>
            <w:shd w:val="clear" w:color="auto" w:fill="D9F2D0" w:themeFill="accent6" w:themeFillTint="33"/>
            <w:vAlign w:val="center"/>
          </w:tcPr>
          <w:p w14:paraId="1FEB62A1" w14:textId="6680B8B4"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9–14 months</w:t>
            </w:r>
          </w:p>
        </w:tc>
        <w:tc>
          <w:tcPr>
            <w:tcW w:w="2337" w:type="dxa"/>
            <w:shd w:val="clear" w:color="auto" w:fill="D9F2D0" w:themeFill="accent6" w:themeFillTint="33"/>
            <w:vAlign w:val="center"/>
          </w:tcPr>
          <w:p w14:paraId="243370AA" w14:textId="733AB8B7"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5–7 months</w:t>
            </w:r>
          </w:p>
        </w:tc>
        <w:tc>
          <w:tcPr>
            <w:tcW w:w="2337" w:type="dxa"/>
            <w:shd w:val="clear" w:color="auto" w:fill="D9F2D0" w:themeFill="accent6" w:themeFillTint="33"/>
            <w:vAlign w:val="center"/>
          </w:tcPr>
          <w:p w14:paraId="6475E9BF" w14:textId="2ECD30D4"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Moderate improvement</w:t>
            </w:r>
          </w:p>
        </w:tc>
      </w:tr>
      <w:tr w:rsidR="00CB68CB" w14:paraId="56D1A905" w14:textId="77777777" w:rsidTr="00CB68CB">
        <w:tc>
          <w:tcPr>
            <w:tcW w:w="2337" w:type="dxa"/>
            <w:vAlign w:val="center"/>
          </w:tcPr>
          <w:p w14:paraId="252D6679" w14:textId="02B58EC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Gross Total Resection</w:t>
            </w:r>
          </w:p>
        </w:tc>
        <w:tc>
          <w:tcPr>
            <w:tcW w:w="2337" w:type="dxa"/>
            <w:vAlign w:val="center"/>
          </w:tcPr>
          <w:p w14:paraId="6667A0B9" w14:textId="10D701A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15–22 months</w:t>
            </w:r>
          </w:p>
        </w:tc>
        <w:tc>
          <w:tcPr>
            <w:tcW w:w="2337" w:type="dxa"/>
            <w:vAlign w:val="center"/>
          </w:tcPr>
          <w:p w14:paraId="308DBFA3" w14:textId="2367CFFE"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8–12 months</w:t>
            </w:r>
          </w:p>
        </w:tc>
        <w:tc>
          <w:tcPr>
            <w:tcW w:w="2337" w:type="dxa"/>
            <w:vAlign w:val="center"/>
          </w:tcPr>
          <w:p w14:paraId="48FD8F4E" w14:textId="60A31911"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Significant survival benefit</w:t>
            </w:r>
          </w:p>
        </w:tc>
      </w:tr>
      <w:tr w:rsidR="00CB68CB" w14:paraId="72CF3B9B" w14:textId="77777777" w:rsidTr="00F93B04">
        <w:tc>
          <w:tcPr>
            <w:tcW w:w="2337" w:type="dxa"/>
            <w:shd w:val="clear" w:color="auto" w:fill="D9F2D0" w:themeFill="accent6" w:themeFillTint="33"/>
            <w:vAlign w:val="center"/>
          </w:tcPr>
          <w:p w14:paraId="58468678" w14:textId="0A33D2D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Supramarginal Resection</w:t>
            </w:r>
          </w:p>
        </w:tc>
        <w:tc>
          <w:tcPr>
            <w:tcW w:w="2337" w:type="dxa"/>
            <w:shd w:val="clear" w:color="auto" w:fill="D9F2D0" w:themeFill="accent6" w:themeFillTint="33"/>
            <w:vAlign w:val="center"/>
          </w:tcPr>
          <w:p w14:paraId="49CBBCE6" w14:textId="6C057A30"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18–24 months</w:t>
            </w:r>
          </w:p>
        </w:tc>
        <w:tc>
          <w:tcPr>
            <w:tcW w:w="2337" w:type="dxa"/>
            <w:shd w:val="clear" w:color="auto" w:fill="D9F2D0" w:themeFill="accent6" w:themeFillTint="33"/>
            <w:vAlign w:val="center"/>
          </w:tcPr>
          <w:p w14:paraId="281AA57D" w14:textId="292D7B8D"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10–14 months</w:t>
            </w:r>
          </w:p>
        </w:tc>
        <w:tc>
          <w:tcPr>
            <w:tcW w:w="2337" w:type="dxa"/>
            <w:shd w:val="clear" w:color="auto" w:fill="D9F2D0" w:themeFill="accent6" w:themeFillTint="33"/>
            <w:vAlign w:val="center"/>
          </w:tcPr>
          <w:p w14:paraId="214B6F66" w14:textId="50E98A4B"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Best reported outcomes</w:t>
            </w:r>
          </w:p>
        </w:tc>
      </w:tr>
    </w:tbl>
    <w:p w14:paraId="25A788B6" w14:textId="0D4EABE1" w:rsidR="00CB68CB" w:rsidRP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p>
    <w:p w14:paraId="27348004" w14:textId="76EE32DE"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B68CB">
        <w:rPr>
          <w:rFonts w:ascii="Times New Roman" w:eastAsia="Times New Roman" w:hAnsi="Times New Roman" w:cs="Times New Roman"/>
          <w:b/>
          <w:bCs/>
          <w:kern w:val="0"/>
          <w14:ligatures w14:val="none"/>
        </w:rPr>
        <w:t>Molecular and Surgical Correlates</w:t>
      </w:r>
    </w:p>
    <w:p w14:paraId="241FE163" w14:textId="34A02D89" w:rsidR="00CB68CB" w:rsidRPr="007F0D51" w:rsidRDefault="00F93B04" w:rsidP="00CB68CB">
      <w:pPr>
        <w:spacing w:before="100" w:beforeAutospacing="1" w:after="100" w:afterAutospacing="1" w:line="240" w:lineRule="auto"/>
        <w:rPr>
          <w:rFonts w:asciiTheme="majorBidi" w:eastAsia="Times New Roman" w:hAnsiTheme="majorBidi" w:cstheme="majorBidi"/>
          <w:kern w:val="0"/>
          <w14:ligatures w14:val="none"/>
        </w:rPr>
      </w:pPr>
      <w:r>
        <w:rPr>
          <w:rFonts w:asciiTheme="majorBidi" w:hAnsiTheme="majorBidi" w:cstheme="majorBidi"/>
          <w:noProof/>
        </w:rPr>
        <mc:AlternateContent>
          <mc:Choice Requires="wps">
            <w:drawing>
              <wp:anchor distT="0" distB="0" distL="114300" distR="114300" simplePos="0" relativeHeight="251682816" behindDoc="0" locked="0" layoutInCell="1" allowOverlap="1" wp14:anchorId="0BC1012C" wp14:editId="0F08D6F8">
                <wp:simplePos x="0" y="0"/>
                <wp:positionH relativeFrom="column">
                  <wp:posOffset>962108</wp:posOffset>
                </wp:positionH>
                <wp:positionV relativeFrom="paragraph">
                  <wp:posOffset>1902681</wp:posOffset>
                </wp:positionV>
                <wp:extent cx="0" cy="2806810"/>
                <wp:effectExtent l="0" t="0" r="19050" b="12700"/>
                <wp:wrapNone/>
                <wp:docPr id="20" name="Straight Connector 20"/>
                <wp:cNvGraphicFramePr/>
                <a:graphic xmlns:a="http://schemas.openxmlformats.org/drawingml/2006/main">
                  <a:graphicData uri="http://schemas.microsoft.com/office/word/2010/wordprocessingShape">
                    <wps:wsp>
                      <wps:cNvCnPr/>
                      <wps:spPr>
                        <a:xfrm flipV="1">
                          <a:off x="0" y="0"/>
                          <a:ext cx="0" cy="280681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88776EA" id="Straight Connector 20"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75.75pt,149.8pt" to="75.75pt,3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" strokecolor="#4ea72e [3209]" strokeweight="1.5pt">
                <v:stroke joinstyle="miter"/>
              </v:line>
            </w:pict>
          </mc:Fallback>
        </mc:AlternateContent>
      </w:r>
      <w:r w:rsidR="005913AE" w:rsidRPr="007F0D51">
        <w:rPr>
          <w:rFonts w:asciiTheme="majorBidi" w:hAnsiTheme="majorBidi" w:cstheme="majorBidi"/>
        </w:rPr>
        <w:t>Patients who underwent biopsy alone demonstrated the lowest average overall survival of approximately 7 months and were considered the baseline reference group with 0% survival improvement. In comparison, patients treated with subtotal resection achieved an average overall survival of 12 months, representing a 71.4% improvement relative to biopsy alone. Gross total resection was associated with a markedly higher average overall survival of 18 months, corresponding to an approximately 157% increase in survival compared with the biopsy group. The greatest survival benefit was observed among patients undergoing supramarginal resection, with an average overall survival of 22 months and an estimated 214% improvement relative to biopsy-only procedures. These findings demonstrate a progressive increase in survival outcomes with increasing extent of tumor resection in patients with glioblastoma.</w:t>
      </w:r>
      <w:r w:rsidR="005913AE" w:rsidRPr="007F0D51">
        <w:rPr>
          <w:rFonts w:asciiTheme="majorBidi" w:eastAsia="Times New Roman" w:hAnsiTheme="majorBidi" w:cstheme="majorBidi"/>
          <w:kern w:val="0"/>
          <w14:ligatures w14:val="none"/>
        </w:rPr>
        <w:t xml:space="preserve"> </w:t>
      </w:r>
      <w:r w:rsidR="00CB68CB" w:rsidRPr="007F0D51">
        <w:rPr>
          <w:rFonts w:asciiTheme="majorBidi" w:eastAsia="Times New Roman" w:hAnsiTheme="majorBidi" w:cstheme="majorBidi"/>
          <w:kern w:val="0"/>
          <w14:ligatures w14:val="none"/>
        </w:rPr>
        <w:t>Shown in Figure 2.</w:t>
      </w:r>
    </w:p>
    <w:p w14:paraId="3096287E" w14:textId="33416DAF" w:rsidR="005913AE" w:rsidRDefault="003D355D"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7936" behindDoc="0" locked="0" layoutInCell="1" allowOverlap="1" wp14:anchorId="619F57FD" wp14:editId="16D46D9F">
                <wp:simplePos x="0" y="0"/>
                <wp:positionH relativeFrom="margin">
                  <wp:posOffset>-413468</wp:posOffset>
                </wp:positionH>
                <wp:positionV relativeFrom="paragraph">
                  <wp:posOffset>266479</wp:posOffset>
                </wp:positionV>
                <wp:extent cx="1311192" cy="381663"/>
                <wp:effectExtent l="0" t="0" r="3810" b="0"/>
                <wp:wrapNone/>
                <wp:docPr id="25" name="Rectangle 25"/>
                <wp:cNvGraphicFramePr/>
                <a:graphic xmlns:a="http://schemas.openxmlformats.org/drawingml/2006/main">
                  <a:graphicData uri="http://schemas.microsoft.com/office/word/2010/wordprocessingShape">
                    <wps:wsp>
                      <wps:cNvSpPr/>
                      <wps:spPr>
                        <a:xfrm>
                          <a:off x="0" y="0"/>
                          <a:ext cx="1311192" cy="3816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EBC4A4F" w14:textId="53088239" w:rsidR="00C11BFC" w:rsidRPr="00D922E2" w:rsidRDefault="00C11BFC" w:rsidP="00FB1790">
                            <w:pPr>
                              <w:jc w:val="right"/>
                              <w:rPr>
                                <w:b/>
                                <w:bCs/>
                                <w:i/>
                                <w:iCs/>
                                <w:color w:val="00B050"/>
                                <w:sz w:val="14"/>
                                <w:szCs w:val="14"/>
                              </w:rPr>
                            </w:pPr>
                            <w:r w:rsidRPr="00D922E2">
                              <w:rPr>
                                <w:b/>
                                <w:bCs/>
                                <w:i/>
                                <w:iCs/>
                                <w:color w:val="00B050"/>
                                <w:sz w:val="14"/>
                                <w:szCs w:val="14"/>
                              </w:rPr>
                              <w:t>Biopsy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57FD" id="Rectangle 25" o:spid="_x0000_s1034" style="position:absolute;margin-left:-32.55pt;margin-top:21pt;width:103.25pt;height:30.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" fillcolor="white [3201]" stroked="f" strokeweight="1.5pt">
                <v:textbox>
                  <w:txbxContent>
                    <w:p w14:paraId="4EBC4A4F" w14:textId="53088239" w:rsidR="00C11BFC" w:rsidRPr="00D922E2" w:rsidRDefault="00C11BFC" w:rsidP="00FB1790">
                      <w:pPr>
                        <w:jc w:val="right"/>
                        <w:rPr>
                          <w:b/>
                          <w:bCs/>
                          <w:i/>
                          <w:iCs/>
                          <w:color w:val="00B050"/>
                          <w:sz w:val="14"/>
                          <w:szCs w:val="14"/>
                        </w:rPr>
                      </w:pPr>
                      <w:r w:rsidRPr="00D922E2">
                        <w:rPr>
                          <w:b/>
                          <w:bCs/>
                          <w:i/>
                          <w:iCs/>
                          <w:color w:val="00B050"/>
                          <w:sz w:val="14"/>
                          <w:szCs w:val="14"/>
                        </w:rPr>
                        <w:t>Biopsy</w:t>
                      </w:r>
                    </w:p>
                  </w:txbxContent>
                </v:textbox>
                <w10:wrap anchorx="margin"/>
              </v:rect>
            </w:pict>
          </mc:Fallback>
        </mc:AlternateContent>
      </w:r>
      <w:r>
        <w:rPr>
          <w:rFonts w:ascii="Times New Roman" w:eastAsia="Times New Roman" w:hAnsi="Times New Roman" w:cs="Times New Roman"/>
          <w:noProof/>
          <w:kern w:val="0"/>
        </w:rPr>
        <mc:AlternateContent>
          <mc:Choice Requires="wps">
            <w:drawing>
              <wp:anchor distT="0" distB="0" distL="114300" distR="114300" simplePos="0" relativeHeight="251683840" behindDoc="0" locked="0" layoutInCell="1" allowOverlap="1" wp14:anchorId="7AE5CF6C" wp14:editId="39A6E436">
                <wp:simplePos x="0" y="0"/>
                <wp:positionH relativeFrom="column">
                  <wp:posOffset>962108</wp:posOffset>
                </wp:positionH>
                <wp:positionV relativeFrom="paragraph">
                  <wp:posOffset>210820</wp:posOffset>
                </wp:positionV>
                <wp:extent cx="834390" cy="421309"/>
                <wp:effectExtent l="0" t="0" r="3810" b="0"/>
                <wp:wrapNone/>
                <wp:docPr id="21" name="Rectangle 21"/>
                <wp:cNvGraphicFramePr/>
                <a:graphic xmlns:a="http://schemas.openxmlformats.org/drawingml/2006/main">
                  <a:graphicData uri="http://schemas.microsoft.com/office/word/2010/wordprocessingShape">
                    <wps:wsp>
                      <wps:cNvSpPr/>
                      <wps:spPr>
                        <a:xfrm rot="10800000" flipV="1">
                          <a:off x="0" y="0"/>
                          <a:ext cx="834390" cy="42130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EF40" id="Rectangle 21" o:spid="_x0000_s1026" style="position:absolute;margin-left:75.75pt;margin-top:16.6pt;width:65.7pt;height:33.15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" fillcolor="#4ea72e [3209]" stroked="f" strokeweight="1.5pt"/>
            </w:pict>
          </mc:Fallback>
        </mc:AlternateContent>
      </w:r>
      <w:r w:rsidR="00F93B04">
        <w:rPr>
          <w:rFonts w:ascii="Times New Roman" w:eastAsia="Times New Roman" w:hAnsi="Times New Roman" w:cs="Times New Roman"/>
          <w:noProof/>
          <w:kern w:val="0"/>
        </w:rPr>
        <mc:AlternateContent>
          <mc:Choice Requires="wps">
            <w:drawing>
              <wp:anchor distT="0" distB="0" distL="114300" distR="114300" simplePos="0" relativeHeight="251680768" behindDoc="0" locked="0" layoutInCell="1" allowOverlap="1" wp14:anchorId="72FEAA66" wp14:editId="3ABA6673">
                <wp:simplePos x="0" y="0"/>
                <wp:positionH relativeFrom="column">
                  <wp:posOffset>914401</wp:posOffset>
                </wp:positionH>
                <wp:positionV relativeFrom="paragraph">
                  <wp:posOffset>139258</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2C7BB"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95pt" to="1in,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" strokecolor="#4ea72e [3209]" strokeweight="1.5pt">
                <v:stroke joinstyle="miter"/>
              </v:line>
            </w:pict>
          </mc:Fallback>
        </mc:AlternateContent>
      </w:r>
    </w:p>
    <w:p w14:paraId="04FA4E4A" w14:textId="746F71D8" w:rsidR="005913AE" w:rsidRDefault="005913AE" w:rsidP="00FB1790">
      <w:pPr>
        <w:spacing w:before="100" w:beforeAutospacing="1" w:after="100" w:afterAutospacing="1" w:line="240" w:lineRule="auto"/>
        <w:jc w:val="right"/>
        <w:rPr>
          <w:rFonts w:ascii="Times New Roman" w:eastAsia="Times New Roman" w:hAnsi="Times New Roman" w:cs="Times New Roman"/>
          <w:kern w:val="0"/>
          <w14:ligatures w14:val="none"/>
        </w:rPr>
      </w:pPr>
    </w:p>
    <w:p w14:paraId="5FBBA7E5" w14:textId="33B7A020" w:rsidR="005913AE"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9984" behindDoc="0" locked="0" layoutInCell="1" allowOverlap="1" wp14:anchorId="7D04CEE1" wp14:editId="798A71A1">
                <wp:simplePos x="0" y="0"/>
                <wp:positionH relativeFrom="margin">
                  <wp:posOffset>-389614</wp:posOffset>
                </wp:positionH>
                <wp:positionV relativeFrom="paragraph">
                  <wp:posOffset>181196</wp:posOffset>
                </wp:positionV>
                <wp:extent cx="1286400" cy="477078"/>
                <wp:effectExtent l="0" t="0" r="9525" b="0"/>
                <wp:wrapNone/>
                <wp:docPr id="26" name="Rectangle 26"/>
                <wp:cNvGraphicFramePr/>
                <a:graphic xmlns:a="http://schemas.openxmlformats.org/drawingml/2006/main">
                  <a:graphicData uri="http://schemas.microsoft.com/office/word/2010/wordprocessingShape">
                    <wps:wsp>
                      <wps:cNvSpPr/>
                      <wps:spPr>
                        <a:xfrm>
                          <a:off x="0" y="0"/>
                          <a:ext cx="1286400" cy="47707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F80B2B" w14:textId="40F435CE" w:rsidR="00C11BFC" w:rsidRPr="00D922E2" w:rsidRDefault="00C11BFC" w:rsidP="00FB1790">
                            <w:pPr>
                              <w:jc w:val="right"/>
                              <w:rPr>
                                <w:b/>
                                <w:bCs/>
                                <w:i/>
                                <w:iCs/>
                                <w:color w:val="00B050"/>
                                <w:sz w:val="14"/>
                                <w:szCs w:val="14"/>
                              </w:rPr>
                            </w:pPr>
                            <w:r w:rsidRPr="00D922E2">
                              <w:rPr>
                                <w:b/>
                                <w:bCs/>
                                <w:i/>
                                <w:iCs/>
                                <w:color w:val="00B050"/>
                                <w:sz w:val="14"/>
                                <w:szCs w:val="14"/>
                              </w:rPr>
                              <w:t>Subtotal resection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4CEE1" id="Rectangle 26" o:spid="_x0000_s1035" style="position:absolute;margin-left:-30.7pt;margin-top:14.25pt;width:101.3pt;height:37.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" fillcolor="white [3201]" stroked="f" strokeweight="1.5pt">
                <v:textbox>
                  <w:txbxContent>
                    <w:p w14:paraId="45F80B2B" w14:textId="40F435CE" w:rsidR="00C11BFC" w:rsidRPr="00D922E2" w:rsidRDefault="00C11BFC" w:rsidP="00FB1790">
                      <w:pPr>
                        <w:jc w:val="right"/>
                        <w:rPr>
                          <w:b/>
                          <w:bCs/>
                          <w:i/>
                          <w:iCs/>
                          <w:color w:val="00B050"/>
                          <w:sz w:val="14"/>
                          <w:szCs w:val="14"/>
                        </w:rPr>
                      </w:pPr>
                      <w:r w:rsidRPr="00D922E2">
                        <w:rPr>
                          <w:b/>
                          <w:bCs/>
                          <w:i/>
                          <w:iCs/>
                          <w:color w:val="00B050"/>
                          <w:sz w:val="14"/>
                          <w:szCs w:val="14"/>
                        </w:rPr>
                        <w:t>Subtotal resection</w:t>
                      </w: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4864" behindDoc="0" locked="0" layoutInCell="1" allowOverlap="1" wp14:anchorId="4C93C200" wp14:editId="3F72EC70">
                <wp:simplePos x="0" y="0"/>
                <wp:positionH relativeFrom="column">
                  <wp:posOffset>962108</wp:posOffset>
                </wp:positionH>
                <wp:positionV relativeFrom="paragraph">
                  <wp:posOffset>181196</wp:posOffset>
                </wp:positionV>
                <wp:extent cx="1463040" cy="421419"/>
                <wp:effectExtent l="0" t="0" r="3810" b="0"/>
                <wp:wrapNone/>
                <wp:docPr id="22" name="Rectangle 22"/>
                <wp:cNvGraphicFramePr/>
                <a:graphic xmlns:a="http://schemas.openxmlformats.org/drawingml/2006/main">
                  <a:graphicData uri="http://schemas.microsoft.com/office/word/2010/wordprocessingShape">
                    <wps:wsp>
                      <wps:cNvSpPr/>
                      <wps:spPr>
                        <a:xfrm>
                          <a:off x="0" y="0"/>
                          <a:ext cx="1463040" cy="4214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923C" id="Rectangle 22" o:spid="_x0000_s1026" style="position:absolute;margin-left:75.75pt;margin-top:14.25pt;width:115.2pt;height:3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" fillcolor="#4ea72e [3209]" stroked="f" strokeweight="1.5pt"/>
            </w:pict>
          </mc:Fallback>
        </mc:AlternateContent>
      </w:r>
    </w:p>
    <w:p w14:paraId="4CC8B953" w14:textId="41BEF0EA" w:rsidR="005913AE" w:rsidRDefault="005913AE" w:rsidP="00CB68CB">
      <w:pPr>
        <w:spacing w:before="100" w:beforeAutospacing="1" w:after="100" w:afterAutospacing="1" w:line="240" w:lineRule="auto"/>
        <w:rPr>
          <w:rFonts w:ascii="Times New Roman" w:eastAsia="Times New Roman" w:hAnsi="Times New Roman" w:cs="Times New Roman"/>
          <w:kern w:val="0"/>
          <w14:ligatures w14:val="none"/>
        </w:rPr>
      </w:pPr>
    </w:p>
    <w:p w14:paraId="335678F7" w14:textId="31B83600" w:rsidR="00800355"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92032" behindDoc="0" locked="0" layoutInCell="1" allowOverlap="1" wp14:anchorId="3BD88920" wp14:editId="30C7615B">
                <wp:simplePos x="0" y="0"/>
                <wp:positionH relativeFrom="margin">
                  <wp:posOffset>-413468</wp:posOffset>
                </wp:positionH>
                <wp:positionV relativeFrom="paragraph">
                  <wp:posOffset>127084</wp:posOffset>
                </wp:positionV>
                <wp:extent cx="1319392" cy="437294"/>
                <wp:effectExtent l="0" t="0" r="0" b="1270"/>
                <wp:wrapNone/>
                <wp:docPr id="27" name="Rectangle 27"/>
                <wp:cNvGraphicFramePr/>
                <a:graphic xmlns:a="http://schemas.openxmlformats.org/drawingml/2006/main">
                  <a:graphicData uri="http://schemas.microsoft.com/office/word/2010/wordprocessingShape">
                    <wps:wsp>
                      <wps:cNvSpPr/>
                      <wps:spPr>
                        <a:xfrm>
                          <a:off x="0" y="0"/>
                          <a:ext cx="1319392" cy="43729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E78D5E" w14:textId="11B37F1F" w:rsidR="00C11BFC" w:rsidRPr="00D922E2" w:rsidRDefault="00C11BFC" w:rsidP="00356A32">
                            <w:pPr>
                              <w:jc w:val="right"/>
                              <w:rPr>
                                <w:b/>
                                <w:bCs/>
                                <w:i/>
                                <w:iCs/>
                                <w:color w:val="00B050"/>
                                <w:sz w:val="14"/>
                                <w:szCs w:val="14"/>
                              </w:rPr>
                            </w:pPr>
                            <w:r w:rsidRPr="00D922E2">
                              <w:rPr>
                                <w:b/>
                                <w:bCs/>
                                <w:i/>
                                <w:iCs/>
                                <w:color w:val="00B050"/>
                                <w:sz w:val="14"/>
                                <w:szCs w:val="14"/>
                              </w:rPr>
                              <w:t>Gross total resection</w:t>
                            </w:r>
                          </w:p>
                          <w:p w14:paraId="087F30DE" w14:textId="77777777" w:rsidR="00C11BFC" w:rsidRDefault="00C11BFC" w:rsidP="00356A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8920" id="Rectangle 27" o:spid="_x0000_s1036" style="position:absolute;margin-left:-32.55pt;margin-top:10pt;width:103.9pt;height:34.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" fillcolor="white [3201]" stroked="f" strokeweight="1.5pt">
                <v:textbox>
                  <w:txbxContent>
                    <w:p w14:paraId="1FE78D5E" w14:textId="11B37F1F" w:rsidR="00C11BFC" w:rsidRPr="00D922E2" w:rsidRDefault="00C11BFC" w:rsidP="00356A32">
                      <w:pPr>
                        <w:jc w:val="right"/>
                        <w:rPr>
                          <w:b/>
                          <w:bCs/>
                          <w:i/>
                          <w:iCs/>
                          <w:color w:val="00B050"/>
                          <w:sz w:val="14"/>
                          <w:szCs w:val="14"/>
                        </w:rPr>
                      </w:pPr>
                      <w:r w:rsidRPr="00D922E2">
                        <w:rPr>
                          <w:b/>
                          <w:bCs/>
                          <w:i/>
                          <w:iCs/>
                          <w:color w:val="00B050"/>
                          <w:sz w:val="14"/>
                          <w:szCs w:val="14"/>
                        </w:rPr>
                        <w:t>Gross total resection</w:t>
                      </w:r>
                    </w:p>
                    <w:p w14:paraId="087F30DE" w14:textId="77777777" w:rsidR="00C11BFC" w:rsidRDefault="00C11BFC" w:rsidP="00356A32">
                      <w:pPr>
                        <w:jc w:val="center"/>
                      </w:pP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5888" behindDoc="0" locked="0" layoutInCell="1" allowOverlap="1" wp14:anchorId="4833781A" wp14:editId="0E1AF367">
                <wp:simplePos x="0" y="0"/>
                <wp:positionH relativeFrom="column">
                  <wp:posOffset>962108</wp:posOffset>
                </wp:positionH>
                <wp:positionV relativeFrom="paragraph">
                  <wp:posOffset>127083</wp:posOffset>
                </wp:positionV>
                <wp:extent cx="2337462" cy="492981"/>
                <wp:effectExtent l="0" t="0" r="5715" b="2540"/>
                <wp:wrapNone/>
                <wp:docPr id="23" name="Rectangle 23"/>
                <wp:cNvGraphicFramePr/>
                <a:graphic xmlns:a="http://schemas.openxmlformats.org/drawingml/2006/main">
                  <a:graphicData uri="http://schemas.microsoft.com/office/word/2010/wordprocessingShape">
                    <wps:wsp>
                      <wps:cNvSpPr/>
                      <wps:spPr>
                        <a:xfrm>
                          <a:off x="0" y="0"/>
                          <a:ext cx="2337462" cy="492981"/>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6D36" id="Rectangle 23" o:spid="_x0000_s1026" style="position:absolute;margin-left:75.75pt;margin-top:10pt;width:184.05pt;height:3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" fillcolor="#4ea72e [3209]" stroked="f" strokeweight="1.5pt"/>
            </w:pict>
          </mc:Fallback>
        </mc:AlternateContent>
      </w:r>
    </w:p>
    <w:p w14:paraId="0DA49515" w14:textId="28910196" w:rsidR="00800355" w:rsidRDefault="00800355" w:rsidP="00CB68CB">
      <w:pPr>
        <w:spacing w:before="100" w:beforeAutospacing="1" w:after="100" w:afterAutospacing="1" w:line="240" w:lineRule="auto"/>
        <w:rPr>
          <w:rFonts w:ascii="Times New Roman" w:eastAsia="Times New Roman" w:hAnsi="Times New Roman" w:cs="Times New Roman"/>
          <w:kern w:val="0"/>
          <w14:ligatures w14:val="none"/>
        </w:rPr>
      </w:pPr>
    </w:p>
    <w:p w14:paraId="2B8DC324" w14:textId="5DF6A617" w:rsidR="00800355"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94080" behindDoc="0" locked="0" layoutInCell="1" allowOverlap="1" wp14:anchorId="47B042D0" wp14:editId="67759435">
                <wp:simplePos x="0" y="0"/>
                <wp:positionH relativeFrom="margin">
                  <wp:posOffset>-437322</wp:posOffset>
                </wp:positionH>
                <wp:positionV relativeFrom="paragraph">
                  <wp:posOffset>128629</wp:posOffset>
                </wp:positionV>
                <wp:extent cx="1334108" cy="436880"/>
                <wp:effectExtent l="0" t="0" r="0" b="1270"/>
                <wp:wrapNone/>
                <wp:docPr id="28" name="Rectangle 28"/>
                <wp:cNvGraphicFramePr/>
                <a:graphic xmlns:a="http://schemas.openxmlformats.org/drawingml/2006/main">
                  <a:graphicData uri="http://schemas.microsoft.com/office/word/2010/wordprocessingShape">
                    <wps:wsp>
                      <wps:cNvSpPr/>
                      <wps:spPr>
                        <a:xfrm>
                          <a:off x="0" y="0"/>
                          <a:ext cx="1334108" cy="436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813D62" w14:textId="1243D1F4" w:rsidR="00C11BFC" w:rsidRPr="00D922E2" w:rsidRDefault="00C11BFC" w:rsidP="00356A32">
                            <w:pPr>
                              <w:jc w:val="right"/>
                              <w:rPr>
                                <w:b/>
                                <w:bCs/>
                                <w:i/>
                                <w:iCs/>
                                <w:color w:val="00B050"/>
                                <w:sz w:val="14"/>
                                <w:szCs w:val="14"/>
                              </w:rPr>
                            </w:pPr>
                            <w:r w:rsidRPr="00D922E2">
                              <w:rPr>
                                <w:b/>
                                <w:bCs/>
                                <w:i/>
                                <w:iCs/>
                                <w:color w:val="00B050"/>
                                <w:sz w:val="14"/>
                                <w:szCs w:val="14"/>
                              </w:rPr>
                              <w:t>Supramarginal resection</w:t>
                            </w:r>
                          </w:p>
                          <w:p w14:paraId="40B1DA7A" w14:textId="77777777" w:rsidR="00C11BFC" w:rsidRDefault="00C11BFC" w:rsidP="00356A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042D0" id="Rectangle 28" o:spid="_x0000_s1037" style="position:absolute;margin-left:-34.45pt;margin-top:10.15pt;width:105.05pt;height:34.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" fillcolor="white [3201]" stroked="f" strokeweight="1.5pt">
                <v:textbox>
                  <w:txbxContent>
                    <w:p w14:paraId="30813D62" w14:textId="1243D1F4" w:rsidR="00C11BFC" w:rsidRPr="00D922E2" w:rsidRDefault="00C11BFC" w:rsidP="00356A32">
                      <w:pPr>
                        <w:jc w:val="right"/>
                        <w:rPr>
                          <w:b/>
                          <w:bCs/>
                          <w:i/>
                          <w:iCs/>
                          <w:color w:val="00B050"/>
                          <w:sz w:val="14"/>
                          <w:szCs w:val="14"/>
                        </w:rPr>
                      </w:pPr>
                      <w:r w:rsidRPr="00D922E2">
                        <w:rPr>
                          <w:b/>
                          <w:bCs/>
                          <w:i/>
                          <w:iCs/>
                          <w:color w:val="00B050"/>
                          <w:sz w:val="14"/>
                          <w:szCs w:val="14"/>
                        </w:rPr>
                        <w:t>Supramarginal resection</w:t>
                      </w:r>
                    </w:p>
                    <w:p w14:paraId="40B1DA7A" w14:textId="77777777" w:rsidR="00C11BFC" w:rsidRDefault="00C11BFC" w:rsidP="00356A32">
                      <w:pPr>
                        <w:jc w:val="center"/>
                      </w:pP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6912" behindDoc="0" locked="0" layoutInCell="1" allowOverlap="1" wp14:anchorId="7CD0B11B" wp14:editId="76E97B7B">
                <wp:simplePos x="0" y="0"/>
                <wp:positionH relativeFrom="column">
                  <wp:posOffset>970058</wp:posOffset>
                </wp:positionH>
                <wp:positionV relativeFrom="paragraph">
                  <wp:posOffset>57067</wp:posOffset>
                </wp:positionV>
                <wp:extent cx="2941983" cy="492898"/>
                <wp:effectExtent l="0" t="0" r="0" b="2540"/>
                <wp:wrapNone/>
                <wp:docPr id="24" name="Rectangle 24"/>
                <wp:cNvGraphicFramePr/>
                <a:graphic xmlns:a="http://schemas.openxmlformats.org/drawingml/2006/main">
                  <a:graphicData uri="http://schemas.microsoft.com/office/word/2010/wordprocessingShape">
                    <wps:wsp>
                      <wps:cNvSpPr/>
                      <wps:spPr>
                        <a:xfrm>
                          <a:off x="0" y="0"/>
                          <a:ext cx="2941983" cy="492898"/>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8900" id="Rectangle 24" o:spid="_x0000_s1026" style="position:absolute;margin-left:76.4pt;margin-top:4.5pt;width:231.65pt;height:3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" fillcolor="#4ea72e [3209]" stroked="f" strokeweight="1.5pt"/>
            </w:pict>
          </mc:Fallback>
        </mc:AlternateContent>
      </w:r>
    </w:p>
    <w:p w14:paraId="0E13E33B" w14:textId="60FF883E" w:rsidR="00800355" w:rsidRDefault="00F93B0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1792" behindDoc="0" locked="0" layoutInCell="1" allowOverlap="1" wp14:anchorId="461AA5C3" wp14:editId="1B41C1B1">
                <wp:simplePos x="0" y="0"/>
                <wp:positionH relativeFrom="column">
                  <wp:posOffset>970059</wp:posOffset>
                </wp:positionH>
                <wp:positionV relativeFrom="paragraph">
                  <wp:posOffset>308306</wp:posOffset>
                </wp:positionV>
                <wp:extent cx="5072932" cy="0"/>
                <wp:effectExtent l="0" t="0" r="33020" b="19050"/>
                <wp:wrapNone/>
                <wp:docPr id="19" name="Straight Connector 19"/>
                <wp:cNvGraphicFramePr/>
                <a:graphic xmlns:a="http://schemas.openxmlformats.org/drawingml/2006/main">
                  <a:graphicData uri="http://schemas.microsoft.com/office/word/2010/wordprocessingShape">
                    <wps:wsp>
                      <wps:cNvCnPr/>
                      <wps:spPr>
                        <a:xfrm>
                          <a:off x="0" y="0"/>
                          <a:ext cx="5072932"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20944088" id="Straight Connector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6.4pt,24.3pt" to="475.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" strokecolor="#4ea72e [3209]" strokeweight="1.5pt">
                <v:stroke joinstyle="miter"/>
              </v:line>
            </w:pict>
          </mc:Fallback>
        </mc:AlternateContent>
      </w:r>
    </w:p>
    <w:p w14:paraId="3F2E883F" w14:textId="71AF482D" w:rsidR="00800355" w:rsidRPr="00D922E2" w:rsidRDefault="00F93B04" w:rsidP="00356A32">
      <w:pPr>
        <w:pStyle w:val="ListParagraph"/>
        <w:numPr>
          <w:ilvl w:val="0"/>
          <w:numId w:val="5"/>
        </w:numPr>
        <w:spacing w:before="100" w:beforeAutospacing="1" w:after="100" w:afterAutospacing="1" w:line="240" w:lineRule="auto"/>
        <w:rPr>
          <w:rFonts w:ascii="Times New Roman" w:eastAsia="Times New Roman" w:hAnsi="Times New Roman" w:cs="Times New Roman"/>
          <w:b/>
          <w:bCs/>
          <w:color w:val="00B050"/>
          <w:kern w:val="0"/>
          <w14:ligatures w14:val="none"/>
        </w:rPr>
      </w:pPr>
      <w:r w:rsidRPr="00D922E2">
        <w:rPr>
          <w:rFonts w:ascii="Times New Roman" w:eastAsia="Times New Roman" w:hAnsi="Times New Roman" w:cs="Times New Roman"/>
          <w:b/>
          <w:bCs/>
          <w:color w:val="00B050"/>
          <w:kern w:val="0"/>
          <w14:ligatures w14:val="none"/>
        </w:rPr>
        <w:t xml:space="preserve">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 5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10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15              </w:t>
      </w:r>
      <w:r w:rsidR="003D355D" w:rsidRPr="00D922E2">
        <w:rPr>
          <w:rFonts w:ascii="Times New Roman" w:eastAsia="Times New Roman" w:hAnsi="Times New Roman" w:cs="Times New Roman"/>
          <w:b/>
          <w:bCs/>
          <w:color w:val="00B050"/>
          <w:kern w:val="0"/>
          <w14:ligatures w14:val="none"/>
        </w:rPr>
        <w:t>20</w:t>
      </w:r>
    </w:p>
    <w:p w14:paraId="20289525" w14:textId="6E22D6D7" w:rsidR="003D355D" w:rsidRPr="003D355D" w:rsidRDefault="00356A32" w:rsidP="00356A32">
      <w:pPr>
        <w:pStyle w:val="ListParagraph"/>
        <w:spacing w:before="100" w:beforeAutospacing="1" w:after="100" w:afterAutospacing="1" w:line="240" w:lineRule="auto"/>
        <w:outlineLvl w:val="2"/>
        <w:rPr>
          <w:rFonts w:ascii="Times New Roman" w:eastAsia="Times New Roman" w:hAnsi="Times New Roman" w:cs="Times New Roman"/>
          <w:i/>
          <w:iCs/>
          <w:color w:val="00B050"/>
          <w:kern w:val="0"/>
          <w:sz w:val="20"/>
          <w:szCs w:val="20"/>
          <w14:ligatures w14:val="none"/>
        </w:rPr>
      </w:pPr>
      <w:r>
        <w:rPr>
          <w:rFonts w:ascii="Times New Roman" w:eastAsia="Times New Roman" w:hAnsi="Times New Roman" w:cs="Times New Roman"/>
          <w:i/>
          <w:iCs/>
          <w:color w:val="00B050"/>
          <w:kern w:val="0"/>
          <w:sz w:val="20"/>
          <w:szCs w:val="20"/>
          <w14:ligatures w14:val="none"/>
        </w:rPr>
        <w:t xml:space="preserve">             </w:t>
      </w:r>
      <w:r w:rsidR="003D355D" w:rsidRPr="003D355D">
        <w:rPr>
          <w:rFonts w:ascii="Times New Roman" w:eastAsia="Times New Roman" w:hAnsi="Times New Roman" w:cs="Times New Roman"/>
          <w:i/>
          <w:iCs/>
          <w:color w:val="00B050"/>
          <w:kern w:val="0"/>
          <w:sz w:val="20"/>
          <w:szCs w:val="20"/>
          <w14:ligatures w14:val="none"/>
        </w:rPr>
        <w:t>Figure 2. Relationship Between Extent of Resection and Overall Survival</w:t>
      </w:r>
    </w:p>
    <w:p w14:paraId="13B2165A" w14:textId="77777777"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3520B91E" w14:textId="77777777"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5909540B" w14:textId="5D291E35" w:rsidR="00B61117" w:rsidRPr="00B61117" w:rsidRDefault="00B61117" w:rsidP="00B6111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61117">
        <w:rPr>
          <w:rFonts w:ascii="Times New Roman" w:eastAsia="Times New Roman" w:hAnsi="Times New Roman" w:cs="Times New Roman"/>
          <w:b/>
          <w:bCs/>
          <w:kern w:val="0"/>
          <w14:ligatures w14:val="none"/>
        </w:rPr>
        <w:t>S</w:t>
      </w:r>
      <w:r w:rsidR="00D922E2" w:rsidRPr="00B61117">
        <w:rPr>
          <w:rFonts w:ascii="Times New Roman" w:eastAsia="Times New Roman" w:hAnsi="Times New Roman" w:cs="Times New Roman"/>
          <w:b/>
          <w:bCs/>
          <w:kern w:val="0"/>
          <w14:ligatures w14:val="none"/>
        </w:rPr>
        <w:t>urgical Complications According to Extent of Resection</w:t>
      </w:r>
    </w:p>
    <w:p w14:paraId="552A6F0A" w14:textId="69EC9A5D" w:rsidR="00D922E2" w:rsidRPr="00D922E2" w:rsidRDefault="00B61117" w:rsidP="00B61117">
      <w:pPr>
        <w:spacing w:before="100" w:beforeAutospacing="1" w:after="100" w:afterAutospacing="1" w:line="240" w:lineRule="auto"/>
        <w:rPr>
          <w:rFonts w:ascii="Times New Roman" w:eastAsia="Times New Roman" w:hAnsi="Times New Roman" w:cs="Times New Roman"/>
          <w:kern w:val="0"/>
          <w14:ligatures w14:val="none"/>
        </w:rPr>
      </w:pPr>
      <w:r w:rsidRPr="00B61117">
        <w:rPr>
          <w:rFonts w:ascii="Times New Roman" w:eastAsia="Times New Roman" w:hAnsi="Times New Roman" w:cs="Times New Roman"/>
          <w:kern w:val="0"/>
          <w14:ligatures w14:val="none"/>
        </w:rPr>
        <w:t>Postoperative complications were increasingly reported with more aggressive surgical resections, particularly in tumors located near eloquent brain areas. The most common complications included new neurological deficits (8–18%), postoperative seizures (5–12%), cerebral edema (4–10%), intracranial hemorrhage (2–6%), cerebrospinal fluid leakage (1–5%), wound infection (2–7%), venous thromboembolism (2–5%), and cognitive or functional decline (6–14%). Despite these risks, most studies concluded that gross total and supramarginal resection provided significant survival benefits that outweighed postoperative morbidity when advanced techniques such as fluorescence-guided surgery and intraoperative MRI were utilized.</w:t>
      </w:r>
      <w:r w:rsidR="00D922E2" w:rsidRPr="00D922E2">
        <w:rPr>
          <w:rFonts w:ascii="Times New Roman" w:eastAsia="Times New Roman" w:hAnsi="Times New Roman" w:cs="Times New Roman"/>
          <w:kern w:val="0"/>
          <w14:ligatures w14:val="none"/>
        </w:rPr>
        <w:t xml:space="preserve"> Detailed postoperative complications reported across the included studies are summarized in Table 3.</w:t>
      </w:r>
    </w:p>
    <w:p w14:paraId="57F2B696" w14:textId="4258F626" w:rsidR="00D922E2" w:rsidRDefault="00D922E2" w:rsidP="00B61117">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color w:val="4C94D8" w:themeColor="text2" w:themeTint="80"/>
          <w:kern w:val="0"/>
          <w:sz w:val="20"/>
          <w:szCs w:val="20"/>
          <w14:ligatures w14:val="none"/>
        </w:rPr>
        <w:t>Table 3. Common Surgical Complications Reported in Glioblastoma Resection Studies</w:t>
      </w:r>
    </w:p>
    <w:tbl>
      <w:tblPr>
        <w:tblStyle w:val="TableGrid"/>
        <w:tblW w:w="9348" w:type="dxa"/>
        <w:tblLook w:val="04A0" w:firstRow="1" w:lastRow="0" w:firstColumn="1" w:lastColumn="0" w:noHBand="0" w:noVBand="1"/>
      </w:tblPr>
      <w:tblGrid>
        <w:gridCol w:w="3116"/>
        <w:gridCol w:w="3116"/>
        <w:gridCol w:w="3116"/>
      </w:tblGrid>
      <w:tr w:rsidR="00B61117" w:rsidRPr="00B61117" w14:paraId="473973EF" w14:textId="77777777" w:rsidTr="00B61117">
        <w:tc>
          <w:tcPr>
            <w:tcW w:w="3116" w:type="dxa"/>
            <w:shd w:val="clear" w:color="auto" w:fill="D9F2D0" w:themeFill="accent6" w:themeFillTint="33"/>
            <w:vAlign w:val="center"/>
          </w:tcPr>
          <w:p w14:paraId="2D8B5FBD" w14:textId="46B415D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Surgical Complication</w:t>
            </w:r>
          </w:p>
        </w:tc>
        <w:tc>
          <w:tcPr>
            <w:tcW w:w="3116" w:type="dxa"/>
            <w:shd w:val="clear" w:color="auto" w:fill="D9F2D0" w:themeFill="accent6" w:themeFillTint="33"/>
            <w:vAlign w:val="center"/>
          </w:tcPr>
          <w:p w14:paraId="0E48AE52" w14:textId="25E782D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Reported Frequency (%)</w:t>
            </w:r>
          </w:p>
        </w:tc>
        <w:tc>
          <w:tcPr>
            <w:tcW w:w="3116" w:type="dxa"/>
            <w:shd w:val="clear" w:color="auto" w:fill="D9F2D0" w:themeFill="accent6" w:themeFillTint="33"/>
            <w:vAlign w:val="center"/>
          </w:tcPr>
          <w:p w14:paraId="155441BB" w14:textId="3D926F8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Clinical Impact</w:t>
            </w:r>
          </w:p>
        </w:tc>
      </w:tr>
      <w:tr w:rsidR="00B61117" w:rsidRPr="00B61117" w14:paraId="5D845E2B" w14:textId="77777777" w:rsidTr="00B61117">
        <w:tc>
          <w:tcPr>
            <w:tcW w:w="3116" w:type="dxa"/>
            <w:vAlign w:val="center"/>
          </w:tcPr>
          <w:p w14:paraId="1B9870EB" w14:textId="05B69354"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New neurological deficits</w:t>
            </w:r>
          </w:p>
        </w:tc>
        <w:tc>
          <w:tcPr>
            <w:tcW w:w="3116" w:type="dxa"/>
            <w:vAlign w:val="center"/>
          </w:tcPr>
          <w:p w14:paraId="759BD629" w14:textId="35CC9110"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8–18%</w:t>
            </w:r>
          </w:p>
        </w:tc>
        <w:tc>
          <w:tcPr>
            <w:tcW w:w="3116" w:type="dxa"/>
            <w:vAlign w:val="center"/>
          </w:tcPr>
          <w:p w14:paraId="7673D30F" w14:textId="03E5ED8E"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Most common postoperative complication</w:t>
            </w:r>
          </w:p>
        </w:tc>
      </w:tr>
      <w:tr w:rsidR="00B61117" w:rsidRPr="00B61117" w14:paraId="0B9F0B68" w14:textId="77777777" w:rsidTr="00B61117">
        <w:tc>
          <w:tcPr>
            <w:tcW w:w="3116" w:type="dxa"/>
            <w:shd w:val="clear" w:color="auto" w:fill="D9F2D0" w:themeFill="accent6" w:themeFillTint="33"/>
            <w:vAlign w:val="center"/>
          </w:tcPr>
          <w:p w14:paraId="61B09A76" w14:textId="483EB629"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Postoperative seizures</w:t>
            </w:r>
          </w:p>
        </w:tc>
        <w:tc>
          <w:tcPr>
            <w:tcW w:w="3116" w:type="dxa"/>
            <w:shd w:val="clear" w:color="auto" w:fill="D9F2D0" w:themeFill="accent6" w:themeFillTint="33"/>
            <w:vAlign w:val="center"/>
          </w:tcPr>
          <w:p w14:paraId="2348ABD9" w14:textId="26D712CA"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5–12%</w:t>
            </w:r>
          </w:p>
        </w:tc>
        <w:tc>
          <w:tcPr>
            <w:tcW w:w="3116" w:type="dxa"/>
            <w:shd w:val="clear" w:color="auto" w:fill="D9F2D0" w:themeFill="accent6" w:themeFillTint="33"/>
            <w:vAlign w:val="center"/>
          </w:tcPr>
          <w:p w14:paraId="35F57175" w14:textId="23F89DAF"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hospitalization and monitoring</w:t>
            </w:r>
          </w:p>
        </w:tc>
      </w:tr>
      <w:tr w:rsidR="00B61117" w:rsidRPr="00B61117" w14:paraId="7C1CC7CC" w14:textId="77777777" w:rsidTr="00B61117">
        <w:tc>
          <w:tcPr>
            <w:tcW w:w="3116" w:type="dxa"/>
            <w:vAlign w:val="center"/>
          </w:tcPr>
          <w:p w14:paraId="7D145205" w14:textId="28DF290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Intracranial hemorrhage</w:t>
            </w:r>
          </w:p>
        </w:tc>
        <w:tc>
          <w:tcPr>
            <w:tcW w:w="3116" w:type="dxa"/>
            <w:vAlign w:val="center"/>
          </w:tcPr>
          <w:p w14:paraId="59DAC8BE" w14:textId="13C6154C"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2–6%</w:t>
            </w:r>
          </w:p>
        </w:tc>
        <w:tc>
          <w:tcPr>
            <w:tcW w:w="3116" w:type="dxa"/>
            <w:vAlign w:val="center"/>
          </w:tcPr>
          <w:p w14:paraId="3953FEE9" w14:textId="312BCC78"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May require urgent reoperation</w:t>
            </w:r>
          </w:p>
        </w:tc>
      </w:tr>
      <w:tr w:rsidR="00B61117" w:rsidRPr="00B61117" w14:paraId="70C62755" w14:textId="77777777" w:rsidTr="00B61117">
        <w:tc>
          <w:tcPr>
            <w:tcW w:w="3116" w:type="dxa"/>
            <w:shd w:val="clear" w:color="auto" w:fill="D9F2D0" w:themeFill="accent6" w:themeFillTint="33"/>
            <w:vAlign w:val="center"/>
          </w:tcPr>
          <w:p w14:paraId="5CC5B6AA" w14:textId="143594C3"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Cerebral edema</w:t>
            </w:r>
          </w:p>
        </w:tc>
        <w:tc>
          <w:tcPr>
            <w:tcW w:w="3116" w:type="dxa"/>
            <w:shd w:val="clear" w:color="auto" w:fill="D9F2D0" w:themeFill="accent6" w:themeFillTint="33"/>
            <w:vAlign w:val="center"/>
          </w:tcPr>
          <w:p w14:paraId="17B7037E" w14:textId="784FD27C"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4–10%</w:t>
            </w:r>
          </w:p>
        </w:tc>
        <w:tc>
          <w:tcPr>
            <w:tcW w:w="3116" w:type="dxa"/>
            <w:shd w:val="clear" w:color="auto" w:fill="D9F2D0" w:themeFill="accent6" w:themeFillTint="33"/>
            <w:vAlign w:val="center"/>
          </w:tcPr>
          <w:p w14:paraId="630DB4DD" w14:textId="294AD669"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Associated with neurological deterioration</w:t>
            </w:r>
          </w:p>
        </w:tc>
      </w:tr>
      <w:tr w:rsidR="00B61117" w:rsidRPr="00B61117" w14:paraId="7E16A7F1" w14:textId="77777777" w:rsidTr="00B61117">
        <w:tc>
          <w:tcPr>
            <w:tcW w:w="3116" w:type="dxa"/>
            <w:vAlign w:val="center"/>
          </w:tcPr>
          <w:p w14:paraId="4548BAB9" w14:textId="6698BE8D"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Cerebrospinal fluid (CSF) leakage</w:t>
            </w:r>
          </w:p>
        </w:tc>
        <w:tc>
          <w:tcPr>
            <w:tcW w:w="3116" w:type="dxa"/>
            <w:vAlign w:val="center"/>
          </w:tcPr>
          <w:p w14:paraId="011D9C8E" w14:textId="37103B4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1–5%</w:t>
            </w:r>
          </w:p>
        </w:tc>
        <w:tc>
          <w:tcPr>
            <w:tcW w:w="3116" w:type="dxa"/>
            <w:vAlign w:val="center"/>
          </w:tcPr>
          <w:p w14:paraId="680BA02B" w14:textId="04BE26E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infection risk</w:t>
            </w:r>
          </w:p>
        </w:tc>
      </w:tr>
      <w:tr w:rsidR="00B61117" w:rsidRPr="00B61117" w14:paraId="06577676" w14:textId="77777777" w:rsidTr="00B61117">
        <w:tc>
          <w:tcPr>
            <w:tcW w:w="3116" w:type="dxa"/>
            <w:shd w:val="clear" w:color="auto" w:fill="D9F2D0" w:themeFill="accent6" w:themeFillTint="33"/>
            <w:vAlign w:val="center"/>
          </w:tcPr>
          <w:p w14:paraId="5B26F93F" w14:textId="0CD30C87"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Surgical site/wound infection</w:t>
            </w:r>
          </w:p>
        </w:tc>
        <w:tc>
          <w:tcPr>
            <w:tcW w:w="3116" w:type="dxa"/>
            <w:shd w:val="clear" w:color="auto" w:fill="D9F2D0" w:themeFill="accent6" w:themeFillTint="33"/>
            <w:vAlign w:val="center"/>
          </w:tcPr>
          <w:p w14:paraId="74F385F5" w14:textId="0DE709D1"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2–7%</w:t>
            </w:r>
          </w:p>
        </w:tc>
        <w:tc>
          <w:tcPr>
            <w:tcW w:w="3116" w:type="dxa"/>
            <w:shd w:val="clear" w:color="auto" w:fill="D9F2D0" w:themeFill="accent6" w:themeFillTint="33"/>
            <w:vAlign w:val="center"/>
          </w:tcPr>
          <w:p w14:paraId="3D66F879" w14:textId="73705C9B"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Prolonged recovery and antibiotic therapy</w:t>
            </w:r>
          </w:p>
        </w:tc>
      </w:tr>
      <w:tr w:rsidR="00B61117" w:rsidRPr="00B61117" w14:paraId="32B33952" w14:textId="77777777" w:rsidTr="00B61117">
        <w:tc>
          <w:tcPr>
            <w:tcW w:w="3116" w:type="dxa"/>
            <w:vAlign w:val="center"/>
          </w:tcPr>
          <w:p w14:paraId="626694D0" w14:textId="179460B3"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Venous thromboembolism</w:t>
            </w:r>
          </w:p>
        </w:tc>
        <w:tc>
          <w:tcPr>
            <w:tcW w:w="3116" w:type="dxa"/>
            <w:vAlign w:val="center"/>
          </w:tcPr>
          <w:p w14:paraId="4F942251" w14:textId="389DA3AA"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2–5%</w:t>
            </w:r>
          </w:p>
        </w:tc>
        <w:tc>
          <w:tcPr>
            <w:tcW w:w="3116" w:type="dxa"/>
            <w:vAlign w:val="center"/>
          </w:tcPr>
          <w:p w14:paraId="00F56BF3" w14:textId="129C8641"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postoperative morbidity</w:t>
            </w:r>
          </w:p>
        </w:tc>
      </w:tr>
      <w:tr w:rsidR="00B61117" w:rsidRPr="00B61117" w14:paraId="68611C56" w14:textId="77777777" w:rsidTr="00B61117">
        <w:tc>
          <w:tcPr>
            <w:tcW w:w="3116" w:type="dxa"/>
            <w:shd w:val="clear" w:color="auto" w:fill="D9F2D0" w:themeFill="accent6" w:themeFillTint="33"/>
            <w:vAlign w:val="center"/>
          </w:tcPr>
          <w:p w14:paraId="3A01FA71" w14:textId="70890434"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B61117">
              <w:rPr>
                <w:rFonts w:ascii="Times New Roman" w:eastAsia="Times New Roman" w:hAnsi="Times New Roman" w:cs="Times New Roman"/>
                <w:i/>
                <w:iCs/>
                <w:kern w:val="0"/>
                <w:sz w:val="20"/>
                <w:szCs w:val="20"/>
                <w14:ligatures w14:val="none"/>
              </w:rPr>
              <w:t>Cognitive or functional decline</w:t>
            </w:r>
          </w:p>
        </w:tc>
        <w:tc>
          <w:tcPr>
            <w:tcW w:w="3116" w:type="dxa"/>
            <w:shd w:val="clear" w:color="auto" w:fill="D9F2D0" w:themeFill="accent6" w:themeFillTint="33"/>
            <w:vAlign w:val="center"/>
          </w:tcPr>
          <w:p w14:paraId="0B896F18" w14:textId="19D728C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6–14%</w:t>
            </w:r>
          </w:p>
        </w:tc>
        <w:tc>
          <w:tcPr>
            <w:tcW w:w="3116" w:type="dxa"/>
            <w:shd w:val="clear" w:color="auto" w:fill="D9F2D0" w:themeFill="accent6" w:themeFillTint="33"/>
            <w:vAlign w:val="center"/>
          </w:tcPr>
          <w:p w14:paraId="3277935B" w14:textId="053E9E8F"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Reduced postoperative quality of life</w:t>
            </w:r>
          </w:p>
        </w:tc>
      </w:tr>
    </w:tbl>
    <w:p w14:paraId="69A9DEE2" w14:textId="1EE7363D"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62030836" w14:textId="77777777" w:rsidR="00B61117" w:rsidRDefault="00B61117" w:rsidP="005913AE">
      <w:pPr>
        <w:spacing w:before="100" w:beforeAutospacing="1" w:after="100" w:afterAutospacing="1" w:line="240" w:lineRule="auto"/>
        <w:rPr>
          <w:rFonts w:ascii="Times New Roman" w:eastAsia="Times New Roman" w:hAnsi="Times New Roman" w:cs="Times New Roman"/>
          <w:b/>
          <w:bCs/>
          <w:kern w:val="36"/>
          <w14:ligatures w14:val="none"/>
        </w:rPr>
      </w:pPr>
      <w:r w:rsidRPr="00B61117">
        <w:rPr>
          <w:rFonts w:ascii="Times New Roman" w:eastAsia="Times New Roman" w:hAnsi="Times New Roman" w:cs="Times New Roman"/>
          <w:b/>
          <w:bCs/>
          <w:kern w:val="36"/>
          <w14:ligatures w14:val="none"/>
        </w:rPr>
        <w:t>Discussion</w:t>
      </w:r>
    </w:p>
    <w:p w14:paraId="3F88FF41" w14:textId="4DCA001A" w:rsidR="005E3778" w:rsidRDefault="00B61117" w:rsidP="0063243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The present systematic review and meta-analysis demonstrated that greater extent of resection is strongly associated with improved survival outcomes in patients with glioblastoma. Patients undergoing gross total resection and supramarginal resection consistently showed longer overall survival and progression-free survival compared with those receiving subtotal resection or biopsy alone</w:t>
      </w:r>
      <w:r w:rsidR="0063243E">
        <w:rPr>
          <w:rFonts w:ascii="Times New Roman" w:eastAsia="Times New Roman" w:hAnsi="Times New Roman" w:cs="Times New Roman"/>
          <w:kern w:val="36"/>
          <w14:ligatures w14:val="none"/>
        </w:rPr>
        <w:t xml:space="preserve"> </w:t>
      </w:r>
      <w:r w:rsidR="0063243E" w:rsidRPr="0063243E">
        <w:rPr>
          <w:rFonts w:ascii="Times New Roman" w:eastAsia="Times New Roman" w:hAnsi="Times New Roman" w:cs="Times New Roman"/>
          <w:kern w:val="36"/>
          <w:highlight w:val="cyan"/>
          <w14:ligatures w14:val="none"/>
        </w:rPr>
        <w:t>(</w:t>
      </w:r>
      <w:r w:rsidR="0063243E" w:rsidRPr="0063243E">
        <w:rPr>
          <w:rFonts w:ascii="Times New Roman" w:eastAsia="Times New Roman" w:hAnsi="Times New Roman" w:cs="Times New Roman"/>
          <w:kern w:val="0"/>
          <w:highlight w:val="cyan"/>
          <w14:ligatures w14:val="none"/>
        </w:rPr>
        <w:t>Sanikommu, S., et al. 2026).</w:t>
      </w:r>
      <w:r w:rsidRPr="00B61117">
        <w:rPr>
          <w:rFonts w:ascii="Times New Roman" w:eastAsia="Times New Roman" w:hAnsi="Times New Roman" w:cs="Times New Roman"/>
          <w:kern w:val="36"/>
          <w14:ligatures w14:val="none"/>
        </w:rPr>
        <w:t xml:space="preserve"> These findings support the growing evidence that maximal safe resection remains one of the most important prognostic factors in glioblastoma management. Advanced surgical techniques, including fluorescence-guided surgery, have significantly contributed to improving tumor visualization and increasing the likelihood of complete tumor removal while preserving neurolog</w:t>
      </w:r>
      <w:r w:rsidR="0063243E">
        <w:rPr>
          <w:rFonts w:ascii="Times New Roman" w:eastAsia="Times New Roman" w:hAnsi="Times New Roman" w:cs="Times New Roman"/>
          <w:kern w:val="36"/>
          <w14:ligatures w14:val="none"/>
        </w:rPr>
        <w:t>ical function.</w:t>
      </w:r>
      <w:r w:rsidRPr="005E3778">
        <w:rPr>
          <w:rFonts w:ascii="Times New Roman" w:eastAsia="Times New Roman" w:hAnsi="Times New Roman" w:cs="Times New Roman"/>
          <w:color w:val="4C94D8" w:themeColor="text2" w:themeTint="80"/>
          <w:kern w:val="36"/>
          <w14:ligatures w14:val="none"/>
        </w:rPr>
        <w:t xml:space="preserve"> </w:t>
      </w:r>
      <w:r w:rsidRPr="00B61117">
        <w:rPr>
          <w:rFonts w:ascii="Times New Roman" w:eastAsia="Times New Roman" w:hAnsi="Times New Roman" w:cs="Times New Roman"/>
          <w:kern w:val="36"/>
          <w14:ligatures w14:val="none"/>
        </w:rPr>
        <w:t>Similarly, previous studies emphasized that maximizing safe resection in both low-grade and high-grade gliomas may improve survival outco</w:t>
      </w:r>
      <w:r w:rsidR="0063243E">
        <w:rPr>
          <w:rFonts w:ascii="Times New Roman" w:eastAsia="Times New Roman" w:hAnsi="Times New Roman" w:cs="Times New Roman"/>
          <w:kern w:val="36"/>
          <w14:ligatures w14:val="none"/>
        </w:rPr>
        <w:t xml:space="preserve">mes and reduce tumor recurrence </w:t>
      </w:r>
      <w:r w:rsidR="0063243E" w:rsidRPr="0063243E">
        <w:rPr>
          <w:rFonts w:ascii="Times New Roman" w:eastAsia="Times New Roman" w:hAnsi="Times New Roman" w:cs="Times New Roman"/>
          <w:kern w:val="36"/>
          <w:highlight w:val="cyan"/>
          <w14:ligatures w14:val="none"/>
        </w:rPr>
        <w:t>(Hervey</w:t>
      </w:r>
      <w:r w:rsidR="0063243E" w:rsidRPr="0063243E">
        <w:rPr>
          <w:rFonts w:ascii="Times New Roman" w:eastAsia="Times New Roman" w:hAnsi="Times New Roman" w:cs="Times New Roman"/>
          <w:kern w:val="0"/>
          <w:highlight w:val="cyan"/>
          <w14:ligatures w14:val="none"/>
        </w:rPr>
        <w:t>-Jumper, et al.  2016).</w:t>
      </w:r>
    </w:p>
    <w:p w14:paraId="011D6898" w14:textId="6B82E07B" w:rsidR="005E3778" w:rsidRDefault="00B61117" w:rsidP="0063243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lastRenderedPageBreak/>
        <w:t>The results of the present study are also consistent with earlier meta-analyses comparing biopsy, subtotal resection, and gross total resection in high-grade glioma patients. These studies demonstrated that patients undergoing more extensive tumor removal achieved significantly better survival outcomes than those treated wit</w:t>
      </w:r>
      <w:r w:rsidR="0063243E">
        <w:rPr>
          <w:rFonts w:ascii="Times New Roman" w:eastAsia="Times New Roman" w:hAnsi="Times New Roman" w:cs="Times New Roman"/>
          <w:kern w:val="36"/>
          <w14:ligatures w14:val="none"/>
        </w:rPr>
        <w:t xml:space="preserve">h limited surgical intervention </w:t>
      </w:r>
      <w:r w:rsidR="0063243E" w:rsidRPr="0063243E">
        <w:rPr>
          <w:rFonts w:ascii="Times New Roman" w:eastAsia="Times New Roman" w:hAnsi="Times New Roman" w:cs="Times New Roman"/>
          <w:kern w:val="36"/>
          <w:highlight w:val="cyan"/>
          <w14:ligatures w14:val="none"/>
        </w:rPr>
        <w:t>(</w:t>
      </w:r>
      <w:r w:rsidR="0063243E" w:rsidRPr="0063243E">
        <w:rPr>
          <w:rFonts w:ascii="Times New Roman" w:eastAsia="Times New Roman" w:hAnsi="Times New Roman" w:cs="Times New Roman"/>
          <w:kern w:val="0"/>
          <w:highlight w:val="cyan"/>
          <w14:ligatures w14:val="none"/>
        </w:rPr>
        <w:t>Almenawer, S. A., et al. 2015).</w:t>
      </w:r>
      <w:r w:rsidR="0063243E" w:rsidRPr="009D6C32">
        <w:rPr>
          <w:rFonts w:ascii="Times New Roman" w:eastAsia="Times New Roman" w:hAnsi="Times New Roman" w:cs="Times New Roman"/>
          <w:kern w:val="0"/>
          <w14:ligatures w14:val="none"/>
        </w:rPr>
        <w:t xml:space="preserve"> </w:t>
      </w:r>
      <w:r w:rsidRPr="00B61117">
        <w:rPr>
          <w:rFonts w:ascii="Times New Roman" w:eastAsia="Times New Roman" w:hAnsi="Times New Roman" w:cs="Times New Roman"/>
          <w:kern w:val="36"/>
          <w14:ligatures w14:val="none"/>
        </w:rPr>
        <w:t>In addition, the growing global burden of brain and central nervous system cancers highlights the increasing clinical importance of optimizing glioblastoma treatment strategies and improving long-term patient outcome</w:t>
      </w:r>
      <w:r w:rsidR="0063243E">
        <w:rPr>
          <w:rFonts w:ascii="Times New Roman" w:eastAsia="Times New Roman" w:hAnsi="Times New Roman" w:cs="Times New Roman"/>
          <w:kern w:val="36"/>
          <w14:ligatures w14:val="none"/>
        </w:rPr>
        <w:t xml:space="preserve">s </w:t>
      </w:r>
      <w:r w:rsidR="0063243E" w:rsidRPr="0063243E">
        <w:rPr>
          <w:rFonts w:ascii="Times New Roman" w:eastAsia="Times New Roman" w:hAnsi="Times New Roman" w:cs="Times New Roman"/>
          <w:kern w:val="36"/>
          <w:highlight w:val="cyan"/>
          <w14:ligatures w14:val="none"/>
        </w:rPr>
        <w:t>(</w:t>
      </w:r>
      <w:r w:rsidR="0063243E" w:rsidRPr="0063243E">
        <w:rPr>
          <w:rFonts w:ascii="Times New Roman" w:eastAsia="Times New Roman" w:hAnsi="Times New Roman" w:cs="Times New Roman"/>
          <w:kern w:val="0"/>
          <w:highlight w:val="cyan"/>
          <w14:ligatures w14:val="none"/>
        </w:rPr>
        <w:t>Yuan, G., Miao, D., et al. 2025).</w:t>
      </w:r>
      <w:r w:rsidR="0063243E" w:rsidRPr="009D6C32">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color w:val="4C94D8" w:themeColor="text2" w:themeTint="80"/>
          <w:kern w:val="36"/>
          <w14:ligatures w14:val="none"/>
        </w:rPr>
        <w:t xml:space="preserve"> </w:t>
      </w:r>
      <w:r w:rsidRPr="00B61117">
        <w:rPr>
          <w:rFonts w:ascii="Times New Roman" w:eastAsia="Times New Roman" w:hAnsi="Times New Roman" w:cs="Times New Roman"/>
          <w:kern w:val="36"/>
          <w14:ligatures w14:val="none"/>
        </w:rPr>
        <w:t>Molecular and pathological characteristics were found to play a critical role in determining prognosis and therapeutic response. Patients with MGMT promoter methylation and IDH mutations generally exhibited better survival outcomes, particularly when combined with aggressive surgical management. These findings reinforce the importance of integrating molecular diagnostics into modern glioblastoma treatment planning. Moreover, multimodal treatment strategies involving surgery, radiotherapy, and chemotherapy continue to represent the standard of care for newly diagnosed glioblastoma patients. Previous studies evaluating short-course radiotherapy combined with temozolomide in elderly patients demonstrated meaningful survival benefits and improved treatment</w:t>
      </w:r>
      <w:r w:rsidR="0063243E">
        <w:rPr>
          <w:rFonts w:ascii="Times New Roman" w:eastAsia="Times New Roman" w:hAnsi="Times New Roman" w:cs="Times New Roman"/>
          <w:kern w:val="36"/>
          <w14:ligatures w14:val="none"/>
        </w:rPr>
        <w:t xml:space="preserve"> tolerability </w:t>
      </w:r>
      <w:r w:rsidR="0063243E" w:rsidRPr="0063243E">
        <w:rPr>
          <w:rFonts w:ascii="Times New Roman" w:eastAsia="Times New Roman" w:hAnsi="Times New Roman" w:cs="Times New Roman"/>
          <w:kern w:val="36"/>
          <w:highlight w:val="cyan"/>
          <w14:ligatures w14:val="none"/>
        </w:rPr>
        <w:t>(</w:t>
      </w:r>
      <w:r w:rsidR="0063243E" w:rsidRPr="0063243E">
        <w:rPr>
          <w:rFonts w:ascii="Times New Roman" w:eastAsia="Times New Roman" w:hAnsi="Times New Roman" w:cs="Times New Roman"/>
          <w:kern w:val="0"/>
          <w:highlight w:val="cyan"/>
          <w14:ligatures w14:val="none"/>
        </w:rPr>
        <w:t>Perry, J. R., et al. (2017).</w:t>
      </w:r>
    </w:p>
    <w:p w14:paraId="1FD0453D" w14:textId="14EA3442"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The incorporation of novel therapeutic modalities has also contributed to advancements in glioblastoma management. Tumor-treating fields combined with maintenance temozolomide therapy have shown improved progression-free and overall survival compared with convent</w:t>
      </w:r>
      <w:r w:rsidR="0063243E">
        <w:rPr>
          <w:rFonts w:ascii="Times New Roman" w:eastAsia="Times New Roman" w:hAnsi="Times New Roman" w:cs="Times New Roman"/>
          <w:kern w:val="36"/>
          <w14:ligatures w14:val="none"/>
        </w:rPr>
        <w:t xml:space="preserve">ional maintenance therapy alone </w:t>
      </w:r>
      <w:r w:rsidR="0063243E" w:rsidRPr="0063243E">
        <w:rPr>
          <w:rFonts w:ascii="Times New Roman" w:eastAsia="Times New Roman" w:hAnsi="Times New Roman" w:cs="Times New Roman"/>
          <w:kern w:val="36"/>
          <w:highlight w:val="cyan"/>
          <w14:ligatures w14:val="none"/>
        </w:rPr>
        <w:t>(</w:t>
      </w:r>
      <w:r w:rsidR="0063243E" w:rsidRPr="0063243E">
        <w:rPr>
          <w:rFonts w:ascii="Times New Roman" w:eastAsia="Times New Roman" w:hAnsi="Times New Roman" w:cs="Times New Roman"/>
          <w:kern w:val="0"/>
          <w:highlight w:val="cyan"/>
          <w14:ligatures w14:val="none"/>
        </w:rPr>
        <w:t>Stupp, R., et al. 2017).</w:t>
      </w:r>
      <w:r w:rsidR="0063243E" w:rsidRPr="009D6C32">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color w:val="000000" w:themeColor="text1"/>
          <w:kern w:val="36"/>
          <w14:ligatures w14:val="none"/>
        </w:rPr>
        <w:t>Despite</w:t>
      </w:r>
      <w:r w:rsidRPr="005E3778">
        <w:rPr>
          <w:rFonts w:ascii="Times New Roman" w:eastAsia="Times New Roman" w:hAnsi="Times New Roman" w:cs="Times New Roman"/>
          <w:color w:val="000000" w:themeColor="text1"/>
          <w:kern w:val="36"/>
          <w14:ligatures w14:val="none"/>
        </w:rPr>
        <w:t xml:space="preserve"> </w:t>
      </w:r>
      <w:r w:rsidRPr="00B61117">
        <w:rPr>
          <w:rFonts w:ascii="Times New Roman" w:eastAsia="Times New Roman" w:hAnsi="Times New Roman" w:cs="Times New Roman"/>
          <w:kern w:val="36"/>
          <w14:ligatures w14:val="none"/>
        </w:rPr>
        <w:t>these therapeutic advances, glioblastoma remains associated with high recurrence rates and poor long-term prognosis due to its highly infiltrative biological behavior and molecular heterogeneity.</w:t>
      </w:r>
    </w:p>
    <w:p w14:paraId="43DEDC25" w14:textId="04C89890"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This study should acknowledge several limitations. The included studies showed significant heterogeneity in patient populations, surgical techniques, molecular classification methods, and survival reporting. Most included studies were retrospective in design, which may increase the risk of selection bias and confounding factors. Additionally, variability in imaging assessment and definitions of the extent of resection may have influenced pooled outcome estimates. Nevertheless, the large cumulative sample size and inclusion of contemporary molecular data strengthen the overall reliability of the findings.</w:t>
      </w:r>
      <w:r w:rsidR="005E3778">
        <w:rPr>
          <w:rFonts w:ascii="Times New Roman" w:eastAsia="Times New Roman" w:hAnsi="Times New Roman" w:cs="Times New Roman"/>
          <w:kern w:val="36"/>
          <w14:ligatures w14:val="none"/>
        </w:rPr>
        <w:t xml:space="preserve"> </w:t>
      </w:r>
      <w:r w:rsidRPr="00B61117">
        <w:rPr>
          <w:rFonts w:ascii="Times New Roman" w:eastAsia="Times New Roman" w:hAnsi="Times New Roman" w:cs="Times New Roman"/>
          <w:kern w:val="36"/>
          <w14:ligatures w14:val="none"/>
        </w:rPr>
        <w:t>Overall, the findings of this systematic review and meta-analysis support maximal safe resection as a cornerstone of glioblastoma treatment. Future prospective studies should incorporate standardized molecular classification systems and advanced intraoperative technologies to further define optimal surgical strategies and improve individualized patient management.</w:t>
      </w:r>
    </w:p>
    <w:p w14:paraId="4C95D470" w14:textId="77777777" w:rsidR="00CB182A" w:rsidRPr="00CB182A" w:rsidRDefault="00CB182A" w:rsidP="00CB182A">
      <w:pPr>
        <w:bidi/>
        <w:spacing w:after="200" w:line="276" w:lineRule="auto"/>
        <w:jc w:val="right"/>
        <w:rPr>
          <w:rFonts w:ascii="Times New Roman" w:eastAsia="Calibri" w:hAnsi="Times New Roman" w:cs="Times New Roman"/>
          <w:b/>
          <w:bCs/>
          <w:kern w:val="0"/>
          <w14:ligatures w14:val="none"/>
        </w:rPr>
      </w:pPr>
      <w:r w:rsidRPr="00CB182A">
        <w:rPr>
          <w:rFonts w:ascii="Times New Roman" w:eastAsia="Calibri" w:hAnsi="Times New Roman" w:cs="Times New Roman"/>
          <w:b/>
          <w:bCs/>
          <w:kern w:val="0"/>
          <w:highlight w:val="cyan"/>
          <w14:ligatures w14:val="none"/>
        </w:rPr>
        <w:t>Limitation</w:t>
      </w:r>
      <w:r w:rsidRPr="00CB182A">
        <w:rPr>
          <w:rFonts w:ascii="Times New Roman" w:eastAsia="Calibri" w:hAnsi="Times New Roman" w:cs="Times New Roman"/>
          <w:b/>
          <w:bCs/>
          <w:kern w:val="0"/>
          <w14:ligatures w14:val="none"/>
        </w:rPr>
        <w:t xml:space="preserve"> </w:t>
      </w:r>
    </w:p>
    <w:p w14:paraId="259C4957" w14:textId="0381E9A7" w:rsidR="00CB182A" w:rsidRDefault="00C653B4" w:rsidP="00CB182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highlight w:val="cyan"/>
          <w14:ligatures w14:val="none"/>
        </w:rPr>
        <w:t>H</w:t>
      </w:r>
      <w:r w:rsidR="00CB182A" w:rsidRPr="008D1014">
        <w:rPr>
          <w:rFonts w:ascii="Times New Roman" w:eastAsia="Times New Roman" w:hAnsi="Times New Roman" w:cs="Times New Roman"/>
          <w:kern w:val="0"/>
          <w:highlight w:val="cyan"/>
          <w14:ligatures w14:val="none"/>
        </w:rPr>
        <w:t>eterogeneity between studies in terms of patient populations, injury grading systems, imaging protocols, and treatment strategies that may affect the pooled estimates was significant.</w:t>
      </w:r>
      <w:r>
        <w:rPr>
          <w:rFonts w:ascii="Times New Roman" w:eastAsia="Times New Roman" w:hAnsi="Times New Roman" w:cs="Times New Roman"/>
          <w:kern w:val="0"/>
          <w14:ligatures w14:val="none"/>
        </w:rPr>
        <w:t xml:space="preserve"> T</w:t>
      </w:r>
      <w:r w:rsidR="00CB182A" w:rsidRPr="00CB182A">
        <w:rPr>
          <w:rFonts w:ascii="Times New Roman" w:eastAsia="Times New Roman" w:hAnsi="Times New Roman" w:cs="Times New Roman"/>
          <w:kern w:val="0"/>
          <w14:ligatures w14:val="none"/>
        </w:rPr>
        <w:t>he strength of the overall evidence is limited by the small number of high‐quality prospective multicenter studies, and more standardized research in the future is needed.</w:t>
      </w:r>
    </w:p>
    <w:p w14:paraId="1E917081" w14:textId="77777777" w:rsidR="00CB182A" w:rsidRDefault="00CB182A" w:rsidP="005913AE">
      <w:pPr>
        <w:spacing w:before="100" w:beforeAutospacing="1" w:after="100" w:afterAutospacing="1" w:line="240" w:lineRule="auto"/>
        <w:rPr>
          <w:rFonts w:ascii="Times New Roman" w:eastAsia="Times New Roman" w:hAnsi="Times New Roman" w:cs="Times New Roman"/>
          <w:kern w:val="36"/>
          <w14:ligatures w14:val="none"/>
        </w:rPr>
      </w:pPr>
    </w:p>
    <w:p w14:paraId="1FD523BB" w14:textId="77777777" w:rsidR="005E3778" w:rsidRPr="005E3778" w:rsidRDefault="00B61117" w:rsidP="005913AE">
      <w:pPr>
        <w:spacing w:before="100" w:beforeAutospacing="1" w:after="100" w:afterAutospacing="1" w:line="240" w:lineRule="auto"/>
        <w:rPr>
          <w:rFonts w:ascii="Times New Roman" w:eastAsia="Times New Roman" w:hAnsi="Times New Roman" w:cs="Times New Roman"/>
          <w:b/>
          <w:bCs/>
          <w:kern w:val="36"/>
          <w14:ligatures w14:val="none"/>
        </w:rPr>
      </w:pPr>
      <w:r w:rsidRPr="005E3778">
        <w:rPr>
          <w:rFonts w:ascii="Times New Roman" w:eastAsia="Times New Roman" w:hAnsi="Times New Roman" w:cs="Times New Roman"/>
          <w:b/>
          <w:bCs/>
          <w:kern w:val="36"/>
          <w14:ligatures w14:val="none"/>
        </w:rPr>
        <w:t>Conclusion</w:t>
      </w:r>
    </w:p>
    <w:p w14:paraId="5A89EAFF" w14:textId="77777777"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lastRenderedPageBreak/>
        <w:t xml:space="preserve">The findings of this systematic review and meta-analysis demonstrate that greater extent of resection is significantly associated with improved overall survival and progression-free survival in patients with glioblastoma. Gross total resection and supramarginal resection showed the most favorable outcomes compared with subtotal resection and biopsy-only procedures. Molecular and pathological factors, particularly MGMT promoter methylation and IDH mutation status, also played an important role in determining prognosis and treatment response. Advanced surgical technologies such as fluorescence-guided surgery and intraoperative MRI contributed to maximizing safe tumor removal and improving surgical outcomes. </w:t>
      </w:r>
    </w:p>
    <w:p w14:paraId="14EECE6B" w14:textId="49A7F89F" w:rsidR="005913AE"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Despite ongoing advancements in multimodal therapy, glioblastoma continues to carry a poor prognosis because of its aggressive biological behavior and high recurrence rate. Future prospective studies integrating standardized molecular classification systems and innovative surgical techniques are required to optimize individualized treatment strategies and further improve patient survival outcomes.</w:t>
      </w:r>
    </w:p>
    <w:p w14:paraId="0BFD9294" w14:textId="77777777" w:rsidR="00CB68CB" w:rsidRPr="00CB68CB" w:rsidRDefault="00CB68CB" w:rsidP="005913AE">
      <w:pPr>
        <w:spacing w:before="100" w:beforeAutospacing="1" w:after="100" w:afterAutospacing="1" w:line="240" w:lineRule="auto"/>
        <w:outlineLvl w:val="2"/>
        <w:rPr>
          <w:rFonts w:ascii="Times New Roman" w:eastAsia="Times New Roman" w:hAnsi="Times New Roman" w:cs="Times New Roman"/>
          <w:i/>
          <w:iCs/>
          <w:color w:val="4C94D8" w:themeColor="text2" w:themeTint="80"/>
          <w:kern w:val="0"/>
          <w:sz w:val="20"/>
          <w:szCs w:val="20"/>
          <w14:ligatures w14:val="none"/>
        </w:rPr>
      </w:pPr>
    </w:p>
    <w:p w14:paraId="60081E45" w14:textId="34EACD3C" w:rsidR="004049E7" w:rsidRDefault="004049E7" w:rsidP="00482607">
      <w:pPr>
        <w:jc w:val="both"/>
        <w:rPr>
          <w:rFonts w:ascii="Times New Roman" w:hAnsi="Times New Roman" w:cs="Times New Roman"/>
        </w:rPr>
      </w:pPr>
    </w:p>
    <w:p w14:paraId="76EC6395" w14:textId="77777777" w:rsidR="009D6C32" w:rsidRDefault="009D6C32" w:rsidP="00A370BA">
      <w:pPr>
        <w:pStyle w:val="NoSpacing"/>
        <w:rPr>
          <w:rFonts w:ascii="Arial" w:hAnsi="Arial" w:cs="Arial"/>
          <w:highlight w:val="yellow"/>
        </w:rPr>
      </w:pPr>
      <w:bookmarkStart w:id="0" w:name="_Hlk198031404"/>
    </w:p>
    <w:p w14:paraId="6CF69DA7" w14:textId="12FFB5C1" w:rsidR="00A370BA" w:rsidRPr="009D6C32" w:rsidRDefault="00A370BA" w:rsidP="00A370BA">
      <w:pPr>
        <w:pStyle w:val="NoSpacing"/>
        <w:rPr>
          <w:rFonts w:ascii="Arial" w:hAnsi="Arial" w:cs="Arial"/>
          <w:highlight w:val="cyan"/>
        </w:rPr>
      </w:pPr>
      <w:r w:rsidRPr="009D6C32">
        <w:rPr>
          <w:rFonts w:ascii="Arial" w:hAnsi="Arial" w:cs="Arial"/>
          <w:highlight w:val="cyan"/>
        </w:rPr>
        <w:t>Disclaimer (Artificial intelligence)</w:t>
      </w:r>
    </w:p>
    <w:p w14:paraId="4C0B0382" w14:textId="77777777" w:rsidR="00A370BA" w:rsidRPr="009D6C32" w:rsidRDefault="00A370BA" w:rsidP="00A370BA">
      <w:pPr>
        <w:pStyle w:val="NoSpacing"/>
        <w:rPr>
          <w:rFonts w:ascii="Arial" w:hAnsi="Arial" w:cs="Arial"/>
          <w:highlight w:val="cyan"/>
        </w:rPr>
      </w:pPr>
    </w:p>
    <w:p w14:paraId="5D92652C" w14:textId="77777777" w:rsidR="00A370BA" w:rsidRPr="009D6C32" w:rsidRDefault="00A370BA" w:rsidP="00A370BA">
      <w:pPr>
        <w:pStyle w:val="NoSpacing"/>
        <w:rPr>
          <w:rFonts w:ascii="Arial" w:hAnsi="Arial" w:cs="Arial"/>
          <w:highlight w:val="cyan"/>
        </w:rPr>
      </w:pPr>
      <w:r w:rsidRPr="009D6C32">
        <w:rPr>
          <w:rFonts w:ascii="Arial" w:hAnsi="Arial" w:cs="Arial"/>
          <w:highlight w:val="cyan"/>
        </w:rPr>
        <w:t xml:space="preserve">Author(s) hereby declare that NO generative AI technologies such as Large Language Models (ChatGPT, COPILOT, etc.) and text-to-image generators have been used during the writing or editing of this manuscript. </w:t>
      </w:r>
    </w:p>
    <w:bookmarkEnd w:id="0"/>
    <w:p w14:paraId="2ED03C68" w14:textId="05AA31CF" w:rsidR="00B61117" w:rsidRDefault="00B61117" w:rsidP="00482607">
      <w:pPr>
        <w:jc w:val="both"/>
        <w:rPr>
          <w:rFonts w:ascii="Times New Roman" w:hAnsi="Times New Roman" w:cs="Times New Roman"/>
        </w:rPr>
      </w:pPr>
    </w:p>
    <w:p w14:paraId="31617A43" w14:textId="0EA6CA66" w:rsidR="00361BFB" w:rsidRDefault="00361BFB" w:rsidP="00482607">
      <w:pPr>
        <w:jc w:val="both"/>
        <w:rPr>
          <w:rFonts w:ascii="Times New Roman" w:hAnsi="Times New Roman" w:cs="Times New Roman"/>
          <w:b/>
          <w:bCs/>
          <w:i/>
          <w:iCs/>
        </w:rPr>
      </w:pPr>
    </w:p>
    <w:p w14:paraId="07415818" w14:textId="615B1933" w:rsidR="00CB68CB" w:rsidRPr="00CB68CB" w:rsidRDefault="00CB68CB" w:rsidP="00482607">
      <w:pPr>
        <w:jc w:val="both"/>
        <w:rPr>
          <w:rFonts w:ascii="Times New Roman" w:hAnsi="Times New Roman" w:cs="Times New Roman"/>
          <w:b/>
          <w:bCs/>
          <w:i/>
          <w:iCs/>
        </w:rPr>
      </w:pPr>
      <w:r w:rsidRPr="000432B0">
        <w:rPr>
          <w:rFonts w:ascii="Times New Roman" w:hAnsi="Times New Roman" w:cs="Times New Roman"/>
          <w:b/>
          <w:bCs/>
          <w:i/>
          <w:iCs/>
          <w:highlight w:val="cyan"/>
        </w:rPr>
        <w:t>References</w:t>
      </w:r>
      <w:r w:rsidRPr="00CB68CB">
        <w:rPr>
          <w:rFonts w:ascii="Times New Roman" w:hAnsi="Times New Roman" w:cs="Times New Roman"/>
          <w:b/>
          <w:bCs/>
          <w:i/>
          <w:iCs/>
        </w:rPr>
        <w:t xml:space="preserve"> </w:t>
      </w:r>
    </w:p>
    <w:p w14:paraId="3A330406" w14:textId="44C8CFC8" w:rsidR="009D6C32" w:rsidRPr="009D6C32" w:rsidRDefault="00A82C9B" w:rsidP="009D6C32">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w:t>
      </w:r>
      <w:r w:rsidR="009D6C32" w:rsidRPr="009D6C32">
        <w:rPr>
          <w:rFonts w:ascii="Times New Roman" w:eastAsia="Times New Roman" w:hAnsi="Times New Roman" w:cs="Times New Roman"/>
          <w:kern w:val="0"/>
          <w14:ligatures w14:val="none"/>
        </w:rPr>
        <w:t xml:space="preserve"> Ostrom, Q. T., Price, M., Neff, C., et al. (2023). CBTRUS statistical report: Primary brain and other central nervous system tumors diagnosed in the United States in 2016–2020. </w:t>
      </w:r>
      <w:r w:rsidR="009D6C32" w:rsidRPr="009D6C32">
        <w:rPr>
          <w:rFonts w:ascii="Times New Roman" w:eastAsia="Times New Roman" w:hAnsi="Times New Roman" w:cs="Times New Roman"/>
          <w:i/>
          <w:iCs/>
          <w:kern w:val="0"/>
          <w14:ligatures w14:val="none"/>
        </w:rPr>
        <w:t>Neuro-Oncology, 25</w:t>
      </w:r>
      <w:r w:rsidR="009D6C32" w:rsidRPr="009D6C32">
        <w:rPr>
          <w:rFonts w:ascii="Times New Roman" w:eastAsia="Times New Roman" w:hAnsi="Times New Roman" w:cs="Times New Roman"/>
          <w:kern w:val="0"/>
          <w14:ligatures w14:val="none"/>
        </w:rPr>
        <w:t xml:space="preserve">(Suppl. 5), iv1–iv99. </w:t>
      </w:r>
      <w:hyperlink r:id="rId7" w:history="1">
        <w:r w:rsidR="009D6C32" w:rsidRPr="009D6C32">
          <w:rPr>
            <w:rStyle w:val="Hyperlink"/>
            <w:rFonts w:ascii="Times New Roman" w:eastAsia="Times New Roman" w:hAnsi="Times New Roman" w:cs="Times New Roman"/>
            <w:kern w:val="0"/>
            <w14:ligatures w14:val="none"/>
          </w:rPr>
          <w:t>https://doi.org/10.1093/neuonc/noad149</w:t>
        </w:r>
      </w:hyperlink>
    </w:p>
    <w:p w14:paraId="522E27A8" w14:textId="57585926"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Liu, A. P. Y., et al. (2021). Clinical and molecular heterogeneity of pineal parenchymal tumors: A consensus study. </w:t>
      </w:r>
      <w:r w:rsidRPr="009D6C32">
        <w:rPr>
          <w:rFonts w:ascii="Times New Roman" w:eastAsia="Times New Roman" w:hAnsi="Times New Roman" w:cs="Times New Roman"/>
          <w:i/>
          <w:iCs/>
          <w:kern w:val="0"/>
          <w14:ligatures w14:val="none"/>
        </w:rPr>
        <w:t>Acta Neuropathologica</w:t>
      </w:r>
      <w:r w:rsidRPr="009D6C32">
        <w:rPr>
          <w:rFonts w:ascii="Times New Roman" w:eastAsia="Times New Roman" w:hAnsi="Times New Roman" w:cs="Times New Roman"/>
          <w:kern w:val="0"/>
          <w14:ligatures w14:val="none"/>
        </w:rPr>
        <w:t xml:space="preserve">. </w:t>
      </w:r>
      <w:hyperlink r:id="rId8" w:history="1">
        <w:r w:rsidRPr="009D6C32">
          <w:rPr>
            <w:rStyle w:val="Hyperlink"/>
            <w:rFonts w:ascii="Times New Roman" w:eastAsia="Times New Roman" w:hAnsi="Times New Roman" w:cs="Times New Roman"/>
            <w:kern w:val="0"/>
            <w14:ligatures w14:val="none"/>
          </w:rPr>
          <w:t>https://doi.org/10.1007/s00401-021-02284-5</w:t>
        </w:r>
      </w:hyperlink>
    </w:p>
    <w:p w14:paraId="4FB42AD4" w14:textId="3C0DD845"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Stupp, R., Mason, W. P., van den Bent, M. J., et al. (2005). Radiotherapy plus concomitant and adjuvant temozolomide for glioblastoma. </w:t>
      </w:r>
      <w:r w:rsidRPr="009D6C32">
        <w:rPr>
          <w:rFonts w:ascii="Times New Roman" w:eastAsia="Times New Roman" w:hAnsi="Times New Roman" w:cs="Times New Roman"/>
          <w:i/>
          <w:iCs/>
          <w:kern w:val="0"/>
          <w14:ligatures w14:val="none"/>
        </w:rPr>
        <w:t>The New England Journal of Medicine, 352</w:t>
      </w:r>
      <w:r w:rsidRPr="009D6C32">
        <w:rPr>
          <w:rFonts w:ascii="Times New Roman" w:eastAsia="Times New Roman" w:hAnsi="Times New Roman" w:cs="Times New Roman"/>
          <w:kern w:val="0"/>
          <w14:ligatures w14:val="none"/>
        </w:rPr>
        <w:t xml:space="preserve">(10), 987–996. </w:t>
      </w:r>
      <w:hyperlink r:id="rId9" w:history="1">
        <w:r w:rsidRPr="009D6C32">
          <w:rPr>
            <w:rStyle w:val="Hyperlink"/>
            <w:rFonts w:ascii="Times New Roman" w:eastAsia="Times New Roman" w:hAnsi="Times New Roman" w:cs="Times New Roman"/>
            <w:kern w:val="0"/>
            <w14:ligatures w14:val="none"/>
          </w:rPr>
          <w:t>https://doi.org/10.1056/NEJMoa043330</w:t>
        </w:r>
      </w:hyperlink>
    </w:p>
    <w:p w14:paraId="4DDBD5D7" w14:textId="7F027D0F"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Mueller, S., et al. (2009). Pediatric brain tumors: Current treatment strategies and future therapeutic approaches. </w:t>
      </w:r>
      <w:r w:rsidRPr="009D6C32">
        <w:rPr>
          <w:rFonts w:ascii="Times New Roman" w:eastAsia="Times New Roman" w:hAnsi="Times New Roman" w:cs="Times New Roman"/>
          <w:i/>
          <w:iCs/>
          <w:kern w:val="0"/>
          <w14:ligatures w14:val="none"/>
        </w:rPr>
        <w:t>Neurotherapeutics</w:t>
      </w:r>
      <w:r w:rsidRPr="009D6C32">
        <w:rPr>
          <w:rFonts w:ascii="Times New Roman" w:eastAsia="Times New Roman" w:hAnsi="Times New Roman" w:cs="Times New Roman"/>
          <w:kern w:val="0"/>
          <w14:ligatures w14:val="none"/>
        </w:rPr>
        <w:t xml:space="preserve">. </w:t>
      </w:r>
      <w:hyperlink r:id="rId10" w:history="1">
        <w:r w:rsidRPr="009D6C32">
          <w:rPr>
            <w:rStyle w:val="Hyperlink"/>
            <w:rFonts w:ascii="Times New Roman" w:eastAsia="Times New Roman" w:hAnsi="Times New Roman" w:cs="Times New Roman"/>
            <w:kern w:val="0"/>
            <w14:ligatures w14:val="none"/>
          </w:rPr>
          <w:t>https://doi.org/10.1016/j.nurt.2009.04.006</w:t>
        </w:r>
      </w:hyperlink>
    </w:p>
    <w:p w14:paraId="05A7763F" w14:textId="515C4B5A"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Lacroix, M., Abi-Said, D., Fourney, D. R., et al. (2001). A multivariate analysis of 416 patients with glioblastoma multiforme: Prognosis, extent of resection, and survival. </w:t>
      </w:r>
      <w:r w:rsidRPr="009D6C32">
        <w:rPr>
          <w:rFonts w:ascii="Times New Roman" w:eastAsia="Times New Roman" w:hAnsi="Times New Roman" w:cs="Times New Roman"/>
          <w:i/>
          <w:iCs/>
          <w:kern w:val="0"/>
          <w14:ligatures w14:val="none"/>
        </w:rPr>
        <w:t>Journal of Neurosurgery, 95</w:t>
      </w:r>
      <w:r w:rsidRPr="009D6C32">
        <w:rPr>
          <w:rFonts w:ascii="Times New Roman" w:eastAsia="Times New Roman" w:hAnsi="Times New Roman" w:cs="Times New Roman"/>
          <w:kern w:val="0"/>
          <w14:ligatures w14:val="none"/>
        </w:rPr>
        <w:t xml:space="preserve">(2), 190–198. </w:t>
      </w:r>
      <w:hyperlink r:id="rId11" w:history="1">
        <w:r w:rsidRPr="009D6C32">
          <w:rPr>
            <w:rStyle w:val="Hyperlink"/>
            <w:rFonts w:ascii="Times New Roman" w:eastAsia="Times New Roman" w:hAnsi="Times New Roman" w:cs="Times New Roman"/>
            <w:kern w:val="0"/>
            <w14:ligatures w14:val="none"/>
          </w:rPr>
          <w:t>https://doi.org/10.3171/jns.2001.95.2.0190</w:t>
        </w:r>
      </w:hyperlink>
    </w:p>
    <w:p w14:paraId="046FF9E6" w14:textId="54ECD4ED"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lastRenderedPageBreak/>
        <w:t xml:space="preserve"> Chaichana, K. L., </w:t>
      </w:r>
      <w:proofErr w:type="spellStart"/>
      <w:r w:rsidRPr="009D6C32">
        <w:rPr>
          <w:rFonts w:ascii="Times New Roman" w:eastAsia="Times New Roman" w:hAnsi="Times New Roman" w:cs="Times New Roman"/>
          <w:kern w:val="0"/>
          <w14:ligatures w14:val="none"/>
        </w:rPr>
        <w:t>Jusue</w:t>
      </w:r>
      <w:proofErr w:type="spellEnd"/>
      <w:r w:rsidRPr="009D6C32">
        <w:rPr>
          <w:rFonts w:ascii="Times New Roman" w:eastAsia="Times New Roman" w:hAnsi="Times New Roman" w:cs="Times New Roman"/>
          <w:kern w:val="0"/>
          <w14:ligatures w14:val="none"/>
        </w:rPr>
        <w:t xml:space="preserve">-Torres, I., Navarro-Ramirez, R., et al. (2014). Establishing percent resection and residual volume thresholds affecting survival and recurrence for patients with newly diagnosed intracranial glioblastoma. </w:t>
      </w:r>
      <w:r w:rsidRPr="009D6C32">
        <w:rPr>
          <w:rFonts w:ascii="Times New Roman" w:eastAsia="Times New Roman" w:hAnsi="Times New Roman" w:cs="Times New Roman"/>
          <w:i/>
          <w:iCs/>
          <w:kern w:val="0"/>
          <w14:ligatures w14:val="none"/>
        </w:rPr>
        <w:t>Neuro-Oncology, 16</w:t>
      </w:r>
      <w:r w:rsidRPr="009D6C32">
        <w:rPr>
          <w:rFonts w:ascii="Times New Roman" w:eastAsia="Times New Roman" w:hAnsi="Times New Roman" w:cs="Times New Roman"/>
          <w:kern w:val="0"/>
          <w14:ligatures w14:val="none"/>
        </w:rPr>
        <w:t xml:space="preserve">(1), 113–122. </w:t>
      </w:r>
      <w:hyperlink r:id="rId12" w:history="1">
        <w:r w:rsidRPr="009D6C32">
          <w:rPr>
            <w:rStyle w:val="Hyperlink"/>
            <w:rFonts w:ascii="Times New Roman" w:eastAsia="Times New Roman" w:hAnsi="Times New Roman" w:cs="Times New Roman"/>
            <w:kern w:val="0"/>
            <w14:ligatures w14:val="none"/>
          </w:rPr>
          <w:t>https://doi.org/10.1093/neuonc/not137</w:t>
        </w:r>
      </w:hyperlink>
    </w:p>
    <w:p w14:paraId="56D2AA12" w14:textId="449CECAB"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Duffau, H. (2014). The challenge of diffuse gliomas: Surgical management. </w:t>
      </w:r>
      <w:r w:rsidRPr="009D6C32">
        <w:rPr>
          <w:rFonts w:ascii="Times New Roman" w:eastAsia="Times New Roman" w:hAnsi="Times New Roman" w:cs="Times New Roman"/>
          <w:i/>
          <w:iCs/>
          <w:kern w:val="0"/>
          <w14:ligatures w14:val="none"/>
        </w:rPr>
        <w:t>Brain, 137</w:t>
      </w:r>
      <w:r w:rsidRPr="009D6C32">
        <w:rPr>
          <w:rFonts w:ascii="Times New Roman" w:eastAsia="Times New Roman" w:hAnsi="Times New Roman" w:cs="Times New Roman"/>
          <w:kern w:val="0"/>
          <w14:ligatures w14:val="none"/>
        </w:rPr>
        <w:t xml:space="preserve">(Pt 12), e312. </w:t>
      </w:r>
      <w:hyperlink r:id="rId13" w:history="1">
        <w:r w:rsidRPr="009D6C32">
          <w:rPr>
            <w:rStyle w:val="Hyperlink"/>
            <w:rFonts w:ascii="Times New Roman" w:eastAsia="Times New Roman" w:hAnsi="Times New Roman" w:cs="Times New Roman"/>
            <w:kern w:val="0"/>
            <w14:ligatures w14:val="none"/>
          </w:rPr>
          <w:t>https://doi.org/10.1093/brain/awu258</w:t>
        </w:r>
      </w:hyperlink>
    </w:p>
    <w:p w14:paraId="6AD3533F" w14:textId="64456C14"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Parsons, D. W., Jones, S., Zhang, X., et al. (2008). An integrated genomic analysis of human glioblastoma multiforme. </w:t>
      </w:r>
      <w:r w:rsidRPr="009D6C32">
        <w:rPr>
          <w:rFonts w:ascii="Times New Roman" w:eastAsia="Times New Roman" w:hAnsi="Times New Roman" w:cs="Times New Roman"/>
          <w:i/>
          <w:iCs/>
          <w:kern w:val="0"/>
          <w14:ligatures w14:val="none"/>
        </w:rPr>
        <w:t>Science, 321</w:t>
      </w:r>
      <w:r w:rsidRPr="009D6C32">
        <w:rPr>
          <w:rFonts w:ascii="Times New Roman" w:eastAsia="Times New Roman" w:hAnsi="Times New Roman" w:cs="Times New Roman"/>
          <w:kern w:val="0"/>
          <w14:ligatures w14:val="none"/>
        </w:rPr>
        <w:t xml:space="preserve">(5897), 1807–1812. </w:t>
      </w:r>
      <w:hyperlink r:id="rId14" w:history="1">
        <w:r w:rsidRPr="009D6C32">
          <w:rPr>
            <w:rStyle w:val="Hyperlink"/>
            <w:rFonts w:ascii="Times New Roman" w:eastAsia="Times New Roman" w:hAnsi="Times New Roman" w:cs="Times New Roman"/>
            <w:kern w:val="0"/>
            <w14:ligatures w14:val="none"/>
          </w:rPr>
          <w:t>https://doi.org/10.1126/science.1164382</w:t>
        </w:r>
      </w:hyperlink>
    </w:p>
    <w:p w14:paraId="482D8881" w14:textId="4F7223B4"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Hegi, M. E., Diserens, A. C., </w:t>
      </w:r>
      <w:proofErr w:type="spellStart"/>
      <w:r w:rsidRPr="009D6C32">
        <w:rPr>
          <w:rFonts w:ascii="Times New Roman" w:eastAsia="Times New Roman" w:hAnsi="Times New Roman" w:cs="Times New Roman"/>
          <w:kern w:val="0"/>
          <w14:ligatures w14:val="none"/>
        </w:rPr>
        <w:t>Gorlia</w:t>
      </w:r>
      <w:proofErr w:type="spellEnd"/>
      <w:r w:rsidRPr="009D6C32">
        <w:rPr>
          <w:rFonts w:ascii="Times New Roman" w:eastAsia="Times New Roman" w:hAnsi="Times New Roman" w:cs="Times New Roman"/>
          <w:kern w:val="0"/>
          <w14:ligatures w14:val="none"/>
        </w:rPr>
        <w:t xml:space="preserve">, T., et al. (2005). MGMT gene silencing and benefit from temozolomide in glioblastoma. </w:t>
      </w:r>
      <w:r w:rsidRPr="009D6C32">
        <w:rPr>
          <w:rFonts w:ascii="Times New Roman" w:eastAsia="Times New Roman" w:hAnsi="Times New Roman" w:cs="Times New Roman"/>
          <w:i/>
          <w:iCs/>
          <w:kern w:val="0"/>
          <w14:ligatures w14:val="none"/>
        </w:rPr>
        <w:t>The New England Journal of Medicine, 352</w:t>
      </w:r>
      <w:r w:rsidRPr="009D6C32">
        <w:rPr>
          <w:rFonts w:ascii="Times New Roman" w:eastAsia="Times New Roman" w:hAnsi="Times New Roman" w:cs="Times New Roman"/>
          <w:kern w:val="0"/>
          <w14:ligatures w14:val="none"/>
        </w:rPr>
        <w:t xml:space="preserve">(10), 997–1003. </w:t>
      </w:r>
      <w:hyperlink r:id="rId15" w:history="1">
        <w:r w:rsidRPr="009D6C32">
          <w:rPr>
            <w:rStyle w:val="Hyperlink"/>
            <w:rFonts w:ascii="Times New Roman" w:eastAsia="Times New Roman" w:hAnsi="Times New Roman" w:cs="Times New Roman"/>
            <w:kern w:val="0"/>
            <w14:ligatures w14:val="none"/>
          </w:rPr>
          <w:t>https://doi.org/10.1056/NEJMoa043331</w:t>
        </w:r>
      </w:hyperlink>
    </w:p>
    <w:p w14:paraId="15DA9701" w14:textId="5A24BB77"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w:t>
      </w:r>
      <w:proofErr w:type="spellStart"/>
      <w:r w:rsidRPr="009D6C32">
        <w:rPr>
          <w:rFonts w:ascii="Times New Roman" w:eastAsia="Times New Roman" w:hAnsi="Times New Roman" w:cs="Times New Roman"/>
          <w:kern w:val="0"/>
          <w14:ligatures w14:val="none"/>
        </w:rPr>
        <w:t>Verhaak</w:t>
      </w:r>
      <w:proofErr w:type="spellEnd"/>
      <w:r w:rsidRPr="009D6C32">
        <w:rPr>
          <w:rFonts w:ascii="Times New Roman" w:eastAsia="Times New Roman" w:hAnsi="Times New Roman" w:cs="Times New Roman"/>
          <w:kern w:val="0"/>
          <w14:ligatures w14:val="none"/>
        </w:rPr>
        <w:t xml:space="preserve">, R. G. W., Hoadley, K. A., Purdom, E., et al. (2010). Integrated genomic analysis identifies clinically relevant subtypes of glioblastoma. </w:t>
      </w:r>
      <w:r w:rsidRPr="009D6C32">
        <w:rPr>
          <w:rFonts w:ascii="Times New Roman" w:eastAsia="Times New Roman" w:hAnsi="Times New Roman" w:cs="Times New Roman"/>
          <w:i/>
          <w:iCs/>
          <w:kern w:val="0"/>
          <w14:ligatures w14:val="none"/>
        </w:rPr>
        <w:t>Cancer Cell, 17</w:t>
      </w:r>
      <w:r w:rsidRPr="009D6C32">
        <w:rPr>
          <w:rFonts w:ascii="Times New Roman" w:eastAsia="Times New Roman" w:hAnsi="Times New Roman" w:cs="Times New Roman"/>
          <w:kern w:val="0"/>
          <w14:ligatures w14:val="none"/>
        </w:rPr>
        <w:t xml:space="preserve">(1), 98–110. </w:t>
      </w:r>
      <w:hyperlink r:id="rId16" w:history="1">
        <w:r w:rsidRPr="009D6C32">
          <w:rPr>
            <w:rStyle w:val="Hyperlink"/>
            <w:rFonts w:ascii="Times New Roman" w:eastAsia="Times New Roman" w:hAnsi="Times New Roman" w:cs="Times New Roman"/>
            <w:kern w:val="0"/>
            <w14:ligatures w14:val="none"/>
          </w:rPr>
          <w:t>https://doi.org/10.1016/j.ccr.2009.12.020</w:t>
        </w:r>
      </w:hyperlink>
    </w:p>
    <w:p w14:paraId="7DDFC88B" w14:textId="60E671B5"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Page, M. J., McKenzie, J. E., Bossuyt, P. M., et al. (2021). The PRISMA 2020 statement: An updated guideline for reporting systematic reviews. </w:t>
      </w:r>
      <w:r w:rsidRPr="009D6C32">
        <w:rPr>
          <w:rFonts w:ascii="Times New Roman" w:eastAsia="Times New Roman" w:hAnsi="Times New Roman" w:cs="Times New Roman"/>
          <w:i/>
          <w:iCs/>
          <w:kern w:val="0"/>
          <w14:ligatures w14:val="none"/>
        </w:rPr>
        <w:t>BMJ, 372</w:t>
      </w:r>
      <w:r w:rsidRPr="009D6C32">
        <w:rPr>
          <w:rFonts w:ascii="Times New Roman" w:eastAsia="Times New Roman" w:hAnsi="Times New Roman" w:cs="Times New Roman"/>
          <w:kern w:val="0"/>
          <w14:ligatures w14:val="none"/>
        </w:rPr>
        <w:t xml:space="preserve">, n71. </w:t>
      </w:r>
      <w:hyperlink r:id="rId17" w:history="1">
        <w:r w:rsidRPr="009D6C32">
          <w:rPr>
            <w:rStyle w:val="Hyperlink"/>
            <w:rFonts w:ascii="Times New Roman" w:eastAsia="Times New Roman" w:hAnsi="Times New Roman" w:cs="Times New Roman"/>
            <w:kern w:val="0"/>
            <w14:ligatures w14:val="none"/>
          </w:rPr>
          <w:t>https://doi.org/10.1136/bmj.n71</w:t>
        </w:r>
      </w:hyperlink>
    </w:p>
    <w:p w14:paraId="0D1D6BC5" w14:textId="593D0452"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Sterne, J. A. C., Savović, J., Page, M. J., et al. (2019). RoB 2: A revised tool for assessing risk of bias in randomized trials. </w:t>
      </w:r>
      <w:r w:rsidRPr="009D6C32">
        <w:rPr>
          <w:rFonts w:ascii="Times New Roman" w:eastAsia="Times New Roman" w:hAnsi="Times New Roman" w:cs="Times New Roman"/>
          <w:i/>
          <w:iCs/>
          <w:kern w:val="0"/>
          <w14:ligatures w14:val="none"/>
        </w:rPr>
        <w:t>BMJ, 366</w:t>
      </w:r>
      <w:r w:rsidRPr="009D6C32">
        <w:rPr>
          <w:rFonts w:ascii="Times New Roman" w:eastAsia="Times New Roman" w:hAnsi="Times New Roman" w:cs="Times New Roman"/>
          <w:kern w:val="0"/>
          <w14:ligatures w14:val="none"/>
        </w:rPr>
        <w:t xml:space="preserve">, l4898. </w:t>
      </w:r>
      <w:hyperlink r:id="rId18" w:history="1">
        <w:r w:rsidRPr="009D6C32">
          <w:rPr>
            <w:rStyle w:val="Hyperlink"/>
            <w:rFonts w:ascii="Times New Roman" w:eastAsia="Times New Roman" w:hAnsi="Times New Roman" w:cs="Times New Roman"/>
            <w:kern w:val="0"/>
            <w14:ligatures w14:val="none"/>
          </w:rPr>
          <w:t>https://doi.org/10.1136/bmj.l4898</w:t>
        </w:r>
      </w:hyperlink>
    </w:p>
    <w:p w14:paraId="3CBC0E01" w14:textId="29488F0A"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Brown, T. J., Brennan, M. C., Li, M., et al. (2016). Association of the extent of resection with survival in glioblastoma: A systematic review and meta-analysis. </w:t>
      </w:r>
      <w:r w:rsidRPr="009D6C32">
        <w:rPr>
          <w:rFonts w:ascii="Times New Roman" w:eastAsia="Times New Roman" w:hAnsi="Times New Roman" w:cs="Times New Roman"/>
          <w:i/>
          <w:iCs/>
          <w:kern w:val="0"/>
          <w14:ligatures w14:val="none"/>
        </w:rPr>
        <w:t>JAMA Oncology, 2</w:t>
      </w:r>
      <w:r w:rsidRPr="009D6C32">
        <w:rPr>
          <w:rFonts w:ascii="Times New Roman" w:eastAsia="Times New Roman" w:hAnsi="Times New Roman" w:cs="Times New Roman"/>
          <w:kern w:val="0"/>
          <w14:ligatures w14:val="none"/>
        </w:rPr>
        <w:t xml:space="preserve">(11), 1460–1469. </w:t>
      </w:r>
      <w:hyperlink r:id="rId19" w:history="1">
        <w:r w:rsidRPr="009D6C32">
          <w:rPr>
            <w:rStyle w:val="Hyperlink"/>
            <w:rFonts w:ascii="Times New Roman" w:eastAsia="Times New Roman" w:hAnsi="Times New Roman" w:cs="Times New Roman"/>
            <w:kern w:val="0"/>
            <w14:ligatures w14:val="none"/>
          </w:rPr>
          <w:t>https://doi.org/10.1001/jamaoncol.2016.1373</w:t>
        </w:r>
      </w:hyperlink>
    </w:p>
    <w:p w14:paraId="15720100" w14:textId="3BF544A7"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Marko, N. F., Weil, R. J., Schroeder, J. L., et al. (2014). Extent of resection and survival in glioblastoma multiforme: Identification of and adjustment for bias. </w:t>
      </w:r>
      <w:r w:rsidRPr="009D6C32">
        <w:rPr>
          <w:rFonts w:ascii="Times New Roman" w:eastAsia="Times New Roman" w:hAnsi="Times New Roman" w:cs="Times New Roman"/>
          <w:i/>
          <w:iCs/>
          <w:kern w:val="0"/>
          <w14:ligatures w14:val="none"/>
        </w:rPr>
        <w:t>Journal of Neurosurgery, 121</w:t>
      </w:r>
      <w:r w:rsidRPr="009D6C32">
        <w:rPr>
          <w:rFonts w:ascii="Times New Roman" w:eastAsia="Times New Roman" w:hAnsi="Times New Roman" w:cs="Times New Roman"/>
          <w:kern w:val="0"/>
          <w14:ligatures w14:val="none"/>
        </w:rPr>
        <w:t xml:space="preserve">(3), 580–589. </w:t>
      </w:r>
      <w:hyperlink r:id="rId20" w:history="1">
        <w:r w:rsidRPr="009D6C32">
          <w:rPr>
            <w:rStyle w:val="Hyperlink"/>
            <w:rFonts w:ascii="Times New Roman" w:eastAsia="Times New Roman" w:hAnsi="Times New Roman" w:cs="Times New Roman"/>
            <w:kern w:val="0"/>
            <w14:ligatures w14:val="none"/>
          </w:rPr>
          <w:t>https://doi.org/10.3171/2014.5.JNS132449</w:t>
        </w:r>
      </w:hyperlink>
    </w:p>
    <w:p w14:paraId="519D1F29" w14:textId="1E6BC0C7"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Stummer, W., </w:t>
      </w:r>
      <w:proofErr w:type="spellStart"/>
      <w:r w:rsidRPr="009D6C32">
        <w:rPr>
          <w:rFonts w:ascii="Times New Roman" w:eastAsia="Times New Roman" w:hAnsi="Times New Roman" w:cs="Times New Roman"/>
          <w:kern w:val="0"/>
          <w14:ligatures w14:val="none"/>
        </w:rPr>
        <w:t>Pichlmeier</w:t>
      </w:r>
      <w:proofErr w:type="spellEnd"/>
      <w:r w:rsidRPr="009D6C32">
        <w:rPr>
          <w:rFonts w:ascii="Times New Roman" w:eastAsia="Times New Roman" w:hAnsi="Times New Roman" w:cs="Times New Roman"/>
          <w:kern w:val="0"/>
          <w14:ligatures w14:val="none"/>
        </w:rPr>
        <w:t xml:space="preserve">, U., Meinel, T., et al. (2006). Fluorescence-guided surgery with 5-aminolevulinic acid for resection of malignant glioma. </w:t>
      </w:r>
      <w:r w:rsidRPr="009D6C32">
        <w:rPr>
          <w:rFonts w:ascii="Times New Roman" w:eastAsia="Times New Roman" w:hAnsi="Times New Roman" w:cs="Times New Roman"/>
          <w:i/>
          <w:iCs/>
          <w:kern w:val="0"/>
          <w14:ligatures w14:val="none"/>
        </w:rPr>
        <w:t>The Lancet Oncology, 7</w:t>
      </w:r>
      <w:r w:rsidRPr="009D6C32">
        <w:rPr>
          <w:rFonts w:ascii="Times New Roman" w:eastAsia="Times New Roman" w:hAnsi="Times New Roman" w:cs="Times New Roman"/>
          <w:kern w:val="0"/>
          <w14:ligatures w14:val="none"/>
        </w:rPr>
        <w:t xml:space="preserve">(5), 392–401. </w:t>
      </w:r>
      <w:hyperlink r:id="rId21" w:history="1">
        <w:r w:rsidRPr="009D6C32">
          <w:rPr>
            <w:rStyle w:val="Hyperlink"/>
            <w:rFonts w:ascii="Times New Roman" w:eastAsia="Times New Roman" w:hAnsi="Times New Roman" w:cs="Times New Roman"/>
            <w:kern w:val="0"/>
            <w14:ligatures w14:val="none"/>
          </w:rPr>
          <w:t>https://doi.org/10.1016/S1470-2045(06)70665-9</w:t>
        </w:r>
      </w:hyperlink>
    </w:p>
    <w:p w14:paraId="13C150A6" w14:textId="749C8A54"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Senft, C., Bink, A., Franz, K., et al. (2011). Intraoperative MRI guidance and extent of resection in glioma surgery: A randomized controlled trial. </w:t>
      </w:r>
      <w:r w:rsidRPr="009D6C32">
        <w:rPr>
          <w:rFonts w:ascii="Times New Roman" w:eastAsia="Times New Roman" w:hAnsi="Times New Roman" w:cs="Times New Roman"/>
          <w:i/>
          <w:iCs/>
          <w:kern w:val="0"/>
          <w14:ligatures w14:val="none"/>
        </w:rPr>
        <w:t>The Lancet Oncology, 12</w:t>
      </w:r>
      <w:r w:rsidRPr="009D6C32">
        <w:rPr>
          <w:rFonts w:ascii="Times New Roman" w:eastAsia="Times New Roman" w:hAnsi="Times New Roman" w:cs="Times New Roman"/>
          <w:kern w:val="0"/>
          <w14:ligatures w14:val="none"/>
        </w:rPr>
        <w:t xml:space="preserve">(11), 997–1003. </w:t>
      </w:r>
      <w:hyperlink r:id="rId22" w:history="1">
        <w:r w:rsidRPr="009D6C32">
          <w:rPr>
            <w:rStyle w:val="Hyperlink"/>
            <w:rFonts w:ascii="Times New Roman" w:eastAsia="Times New Roman" w:hAnsi="Times New Roman" w:cs="Times New Roman"/>
            <w:kern w:val="0"/>
            <w14:ligatures w14:val="none"/>
          </w:rPr>
          <w:t>https://doi.org/10.1016/S1470-2045(11)70196-6</w:t>
        </w:r>
      </w:hyperlink>
    </w:p>
    <w:p w14:paraId="7A3FA13B" w14:textId="33DBD20A" w:rsidR="009D6C32" w:rsidRPr="009D6C32" w:rsidRDefault="009D6C32" w:rsidP="00C11BFC">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Kleihues, P., &amp; Cavenee, W. K.</w:t>
      </w:r>
      <w:r w:rsidR="00C11BFC" w:rsidRPr="00C11BFC">
        <w:t xml:space="preserve"> </w:t>
      </w:r>
      <w:r w:rsidR="00C11BFC" w:rsidRPr="00C11BFC">
        <w:rPr>
          <w:rFonts w:ascii="Times New Roman" w:eastAsia="Times New Roman" w:hAnsi="Times New Roman" w:cs="Times New Roman"/>
          <w:kern w:val="0"/>
          <w14:ligatures w14:val="none"/>
        </w:rPr>
        <w:t xml:space="preserve">et al. </w:t>
      </w:r>
      <w:r w:rsidRPr="009D6C32">
        <w:rPr>
          <w:rFonts w:ascii="Times New Roman" w:eastAsia="Times New Roman" w:hAnsi="Times New Roman" w:cs="Times New Roman"/>
          <w:kern w:val="0"/>
          <w14:ligatures w14:val="none"/>
        </w:rPr>
        <w:t xml:space="preserve"> (2000). </w:t>
      </w:r>
      <w:r w:rsidRPr="009D6C32">
        <w:rPr>
          <w:rFonts w:ascii="Times New Roman" w:eastAsia="Times New Roman" w:hAnsi="Times New Roman" w:cs="Times New Roman"/>
          <w:i/>
          <w:iCs/>
          <w:kern w:val="0"/>
          <w14:ligatures w14:val="none"/>
        </w:rPr>
        <w:t>Pathology and genetics of tumours of the nervous system</w:t>
      </w:r>
      <w:r w:rsidRPr="009D6C32">
        <w:rPr>
          <w:rFonts w:ascii="Times New Roman" w:eastAsia="Times New Roman" w:hAnsi="Times New Roman" w:cs="Times New Roman"/>
          <w:kern w:val="0"/>
          <w14:ligatures w14:val="none"/>
        </w:rPr>
        <w:t>. IARC Press.</w:t>
      </w:r>
    </w:p>
    <w:p w14:paraId="761945B9" w14:textId="2DA2BD1C"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Molinaro, A. M., Hervey-Jumper, S., Morshed, R. A., et al. (2020). Association of maximal extent of resection of contrast-enhanced and non–contrast-enhanced tumor with survival within molecular subgroups of patients with newly diagnosed glioblastoma. </w:t>
      </w:r>
      <w:r w:rsidRPr="009D6C32">
        <w:rPr>
          <w:rFonts w:ascii="Times New Roman" w:eastAsia="Times New Roman" w:hAnsi="Times New Roman" w:cs="Times New Roman"/>
          <w:i/>
          <w:iCs/>
          <w:kern w:val="0"/>
          <w14:ligatures w14:val="none"/>
        </w:rPr>
        <w:t>Journal of Clinical Oncology, 38</w:t>
      </w:r>
      <w:r w:rsidRPr="009D6C32">
        <w:rPr>
          <w:rFonts w:ascii="Times New Roman" w:eastAsia="Times New Roman" w:hAnsi="Times New Roman" w:cs="Times New Roman"/>
          <w:kern w:val="0"/>
          <w14:ligatures w14:val="none"/>
        </w:rPr>
        <w:t xml:space="preserve">(8), 804–813. </w:t>
      </w:r>
      <w:hyperlink r:id="rId23" w:history="1">
        <w:r w:rsidRPr="009D6C32">
          <w:rPr>
            <w:rStyle w:val="Hyperlink"/>
            <w:rFonts w:ascii="Times New Roman" w:eastAsia="Times New Roman" w:hAnsi="Times New Roman" w:cs="Times New Roman"/>
            <w:kern w:val="0"/>
            <w14:ligatures w14:val="none"/>
          </w:rPr>
          <w:t>https://doi.org/10.1200/JCO.19.02197</w:t>
        </w:r>
      </w:hyperlink>
    </w:p>
    <w:p w14:paraId="4294BC9F" w14:textId="519969B1"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lastRenderedPageBreak/>
        <w:t xml:space="preserve"> Yan, H., Parsons, D. W., Jin, G., et al. (2009). IDH1 and IDH2 mutations in gliomas. </w:t>
      </w:r>
      <w:r w:rsidRPr="009D6C32">
        <w:rPr>
          <w:rFonts w:ascii="Times New Roman" w:eastAsia="Times New Roman" w:hAnsi="Times New Roman" w:cs="Times New Roman"/>
          <w:i/>
          <w:iCs/>
          <w:kern w:val="0"/>
          <w14:ligatures w14:val="none"/>
        </w:rPr>
        <w:t>The New England Journal of Medicine, 360</w:t>
      </w:r>
      <w:r w:rsidRPr="009D6C32">
        <w:rPr>
          <w:rFonts w:ascii="Times New Roman" w:eastAsia="Times New Roman" w:hAnsi="Times New Roman" w:cs="Times New Roman"/>
          <w:kern w:val="0"/>
          <w14:ligatures w14:val="none"/>
        </w:rPr>
        <w:t xml:space="preserve">(8), 765–773. </w:t>
      </w:r>
      <w:hyperlink r:id="rId24" w:history="1">
        <w:r w:rsidRPr="009D6C32">
          <w:rPr>
            <w:rStyle w:val="Hyperlink"/>
            <w:rFonts w:ascii="Times New Roman" w:eastAsia="Times New Roman" w:hAnsi="Times New Roman" w:cs="Times New Roman"/>
            <w:kern w:val="0"/>
            <w14:ligatures w14:val="none"/>
          </w:rPr>
          <w:t>https://doi.org/10.1056/NEJMoa0808710</w:t>
        </w:r>
      </w:hyperlink>
    </w:p>
    <w:p w14:paraId="5F1507B0" w14:textId="0CA55D20"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w:t>
      </w:r>
      <w:proofErr w:type="spellStart"/>
      <w:r w:rsidRPr="009D6C32">
        <w:rPr>
          <w:rFonts w:ascii="Times New Roman" w:eastAsia="Times New Roman" w:hAnsi="Times New Roman" w:cs="Times New Roman"/>
          <w:kern w:val="0"/>
          <w14:ligatures w14:val="none"/>
        </w:rPr>
        <w:t>AbdelFatah</w:t>
      </w:r>
      <w:proofErr w:type="spellEnd"/>
      <w:r w:rsidRPr="009D6C32">
        <w:rPr>
          <w:rFonts w:ascii="Times New Roman" w:eastAsia="Times New Roman" w:hAnsi="Times New Roman" w:cs="Times New Roman"/>
          <w:kern w:val="0"/>
          <w14:ligatures w14:val="none"/>
        </w:rPr>
        <w:t xml:space="preserve">, M. A. R., Kotb, A., Said, M. A., et al. (2022). Impact of extent of resection of newly diagnosed glioblastomas on survival: A meta-analysis. </w:t>
      </w:r>
      <w:r w:rsidRPr="009D6C32">
        <w:rPr>
          <w:rFonts w:ascii="Times New Roman" w:eastAsia="Times New Roman" w:hAnsi="Times New Roman" w:cs="Times New Roman"/>
          <w:i/>
          <w:iCs/>
          <w:kern w:val="0"/>
          <w14:ligatures w14:val="none"/>
        </w:rPr>
        <w:t>Egyptian Journal of Neurosurgery, 37</w:t>
      </w:r>
      <w:r w:rsidRPr="009D6C32">
        <w:rPr>
          <w:rFonts w:ascii="Times New Roman" w:eastAsia="Times New Roman" w:hAnsi="Times New Roman" w:cs="Times New Roman"/>
          <w:kern w:val="0"/>
          <w14:ligatures w14:val="none"/>
        </w:rPr>
        <w:t xml:space="preserve">, 3. </w:t>
      </w:r>
      <w:hyperlink r:id="rId25" w:history="1">
        <w:r w:rsidRPr="009D6C32">
          <w:rPr>
            <w:rStyle w:val="Hyperlink"/>
            <w:rFonts w:ascii="Times New Roman" w:eastAsia="Times New Roman" w:hAnsi="Times New Roman" w:cs="Times New Roman"/>
            <w:kern w:val="0"/>
            <w14:ligatures w14:val="none"/>
          </w:rPr>
          <w:t>https://doi.org/10.1186/s41984-022-00145-1</w:t>
        </w:r>
      </w:hyperlink>
    </w:p>
    <w:p w14:paraId="44D4C24E" w14:textId="6EBF4AE2"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Wach, J., Vychopen, M., </w:t>
      </w:r>
      <w:proofErr w:type="spellStart"/>
      <w:r w:rsidRPr="009D6C32">
        <w:rPr>
          <w:rFonts w:ascii="Times New Roman" w:eastAsia="Times New Roman" w:hAnsi="Times New Roman" w:cs="Times New Roman"/>
          <w:kern w:val="0"/>
          <w14:ligatures w14:val="none"/>
        </w:rPr>
        <w:t>Kühnapfel</w:t>
      </w:r>
      <w:proofErr w:type="spellEnd"/>
      <w:r w:rsidRPr="009D6C32">
        <w:rPr>
          <w:rFonts w:ascii="Times New Roman" w:eastAsia="Times New Roman" w:hAnsi="Times New Roman" w:cs="Times New Roman"/>
          <w:kern w:val="0"/>
          <w14:ligatures w14:val="none"/>
        </w:rPr>
        <w:t xml:space="preserve">, A., et al. (2023). A systematic review and meta-analysis of supramarginal resection versus gross total resection in glioblastoma. </w:t>
      </w:r>
      <w:r w:rsidRPr="009D6C32">
        <w:rPr>
          <w:rFonts w:ascii="Times New Roman" w:eastAsia="Times New Roman" w:hAnsi="Times New Roman" w:cs="Times New Roman"/>
          <w:i/>
          <w:iCs/>
          <w:kern w:val="0"/>
          <w14:ligatures w14:val="none"/>
        </w:rPr>
        <w:t>Cancers, 15</w:t>
      </w:r>
      <w:r w:rsidRPr="009D6C32">
        <w:rPr>
          <w:rFonts w:ascii="Times New Roman" w:eastAsia="Times New Roman" w:hAnsi="Times New Roman" w:cs="Times New Roman"/>
          <w:kern w:val="0"/>
          <w14:ligatures w14:val="none"/>
        </w:rPr>
        <w:t xml:space="preserve">(6), 1772. </w:t>
      </w:r>
      <w:hyperlink r:id="rId26" w:history="1">
        <w:r w:rsidRPr="009D6C32">
          <w:rPr>
            <w:rStyle w:val="Hyperlink"/>
            <w:rFonts w:ascii="Times New Roman" w:eastAsia="Times New Roman" w:hAnsi="Times New Roman" w:cs="Times New Roman"/>
            <w:kern w:val="0"/>
            <w14:ligatures w14:val="none"/>
          </w:rPr>
          <w:t>https://doi.org/10.3390/cancers15061772</w:t>
        </w:r>
      </w:hyperlink>
    </w:p>
    <w:p w14:paraId="312EFC3C" w14:textId="50E55451"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Revilla-Pacheco, F., Rodríguez-Salgado, P., Barrera-Ramírez, M., et al. (2021). Extent of resection and survival in patients with glioblastoma multiforme: Systematic review and meta-analysis. </w:t>
      </w:r>
      <w:r w:rsidRPr="009D6C32">
        <w:rPr>
          <w:rFonts w:ascii="Times New Roman" w:eastAsia="Times New Roman" w:hAnsi="Times New Roman" w:cs="Times New Roman"/>
          <w:i/>
          <w:iCs/>
          <w:kern w:val="0"/>
          <w14:ligatures w14:val="none"/>
        </w:rPr>
        <w:t>Medicine, 100</w:t>
      </w:r>
      <w:r w:rsidRPr="009D6C32">
        <w:rPr>
          <w:rFonts w:ascii="Times New Roman" w:eastAsia="Times New Roman" w:hAnsi="Times New Roman" w:cs="Times New Roman"/>
          <w:kern w:val="0"/>
          <w14:ligatures w14:val="none"/>
        </w:rPr>
        <w:t xml:space="preserve">(25), e26432. </w:t>
      </w:r>
      <w:hyperlink r:id="rId27" w:history="1">
        <w:r w:rsidRPr="009D6C32">
          <w:rPr>
            <w:rStyle w:val="Hyperlink"/>
            <w:rFonts w:ascii="Times New Roman" w:eastAsia="Times New Roman" w:hAnsi="Times New Roman" w:cs="Times New Roman"/>
            <w:kern w:val="0"/>
            <w14:ligatures w14:val="none"/>
          </w:rPr>
          <w:t>https://doi.org/10.1097/MD.0000000000026432</w:t>
        </w:r>
      </w:hyperlink>
    </w:p>
    <w:p w14:paraId="728F51BA" w14:textId="31D60321"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Molinaro, A. M., Taylor, J. W., Wiencke, J. K., &amp; Wrensch, M. R. (2019). Genetic and molecular epidemiology of adult diffuse glioma. </w:t>
      </w:r>
      <w:r w:rsidRPr="009D6C32">
        <w:rPr>
          <w:rFonts w:ascii="Times New Roman" w:eastAsia="Times New Roman" w:hAnsi="Times New Roman" w:cs="Times New Roman"/>
          <w:i/>
          <w:iCs/>
          <w:kern w:val="0"/>
          <w14:ligatures w14:val="none"/>
        </w:rPr>
        <w:t>Nature Reviews Neurology, 15</w:t>
      </w:r>
      <w:r w:rsidRPr="009D6C32">
        <w:rPr>
          <w:rFonts w:ascii="Times New Roman" w:eastAsia="Times New Roman" w:hAnsi="Times New Roman" w:cs="Times New Roman"/>
          <w:kern w:val="0"/>
          <w14:ligatures w14:val="none"/>
        </w:rPr>
        <w:t xml:space="preserve">(7), 405–417. </w:t>
      </w:r>
      <w:hyperlink r:id="rId28" w:history="1">
        <w:r w:rsidRPr="009D6C32">
          <w:rPr>
            <w:rStyle w:val="Hyperlink"/>
            <w:rFonts w:ascii="Times New Roman" w:eastAsia="Times New Roman" w:hAnsi="Times New Roman" w:cs="Times New Roman"/>
            <w:kern w:val="0"/>
            <w14:ligatures w14:val="none"/>
          </w:rPr>
          <w:t>https://doi.org/10.1038/s41582-019-0220-2</w:t>
        </w:r>
      </w:hyperlink>
    </w:p>
    <w:p w14:paraId="7F3F34CB" w14:textId="2D4F3E45"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Wen, P. Y., Weller, M., Lee, E. Q., et al. (2020). Glioblastoma in adults: A society for neuro-oncology consensus review on current management and future directions. </w:t>
      </w:r>
      <w:r w:rsidRPr="009D6C32">
        <w:rPr>
          <w:rFonts w:ascii="Times New Roman" w:eastAsia="Times New Roman" w:hAnsi="Times New Roman" w:cs="Times New Roman"/>
          <w:i/>
          <w:iCs/>
          <w:kern w:val="0"/>
          <w14:ligatures w14:val="none"/>
        </w:rPr>
        <w:t>Neuro-Oncology, 22</w:t>
      </w:r>
      <w:r w:rsidRPr="009D6C32">
        <w:rPr>
          <w:rFonts w:ascii="Times New Roman" w:eastAsia="Times New Roman" w:hAnsi="Times New Roman" w:cs="Times New Roman"/>
          <w:kern w:val="0"/>
          <w14:ligatures w14:val="none"/>
        </w:rPr>
        <w:t xml:space="preserve">(8), 1073–1113. </w:t>
      </w:r>
      <w:hyperlink r:id="rId29" w:history="1">
        <w:r w:rsidRPr="009D6C32">
          <w:rPr>
            <w:rStyle w:val="Hyperlink"/>
            <w:rFonts w:ascii="Times New Roman" w:eastAsia="Times New Roman" w:hAnsi="Times New Roman" w:cs="Times New Roman"/>
            <w:kern w:val="0"/>
            <w14:ligatures w14:val="none"/>
          </w:rPr>
          <w:t>https://doi.org/10.1093/neuonc/noaa106</w:t>
        </w:r>
      </w:hyperlink>
    </w:p>
    <w:p w14:paraId="36D94310" w14:textId="3691F84B"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Weller, M., van den Bent, M., Hopkins, K., et al. (2021). EANO guideline on the diagnosis and treatment of diffuse gliomas. </w:t>
      </w:r>
      <w:r w:rsidRPr="009D6C32">
        <w:rPr>
          <w:rFonts w:ascii="Times New Roman" w:eastAsia="Times New Roman" w:hAnsi="Times New Roman" w:cs="Times New Roman"/>
          <w:i/>
          <w:iCs/>
          <w:kern w:val="0"/>
          <w14:ligatures w14:val="none"/>
        </w:rPr>
        <w:t>Nature Reviews Clinical Oncology, 18</w:t>
      </w:r>
      <w:r w:rsidRPr="009D6C32">
        <w:rPr>
          <w:rFonts w:ascii="Times New Roman" w:eastAsia="Times New Roman" w:hAnsi="Times New Roman" w:cs="Times New Roman"/>
          <w:kern w:val="0"/>
          <w14:ligatures w14:val="none"/>
        </w:rPr>
        <w:t xml:space="preserve">(3), 170–186. </w:t>
      </w:r>
      <w:hyperlink r:id="rId30" w:history="1">
        <w:r w:rsidRPr="009D6C32">
          <w:rPr>
            <w:rStyle w:val="Hyperlink"/>
            <w:rFonts w:ascii="Times New Roman" w:eastAsia="Times New Roman" w:hAnsi="Times New Roman" w:cs="Times New Roman"/>
            <w:kern w:val="0"/>
            <w14:ligatures w14:val="none"/>
          </w:rPr>
          <w:t>https://doi.org/10.1038/s41571-020-00447-z</w:t>
        </w:r>
      </w:hyperlink>
    </w:p>
    <w:p w14:paraId="47EE8545" w14:textId="2BEE0528"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Louis, D. N., Perry, A., Reifenberger, G., et al. (2016). The 2016 WHO classification of tumors of the central nervous system: A summary. </w:t>
      </w:r>
      <w:r w:rsidRPr="009D6C32">
        <w:rPr>
          <w:rFonts w:ascii="Times New Roman" w:eastAsia="Times New Roman" w:hAnsi="Times New Roman" w:cs="Times New Roman"/>
          <w:i/>
          <w:iCs/>
          <w:kern w:val="0"/>
          <w14:ligatures w14:val="none"/>
        </w:rPr>
        <w:t>Acta Neuropathologica, 131</w:t>
      </w:r>
      <w:r w:rsidRPr="009D6C32">
        <w:rPr>
          <w:rFonts w:ascii="Times New Roman" w:eastAsia="Times New Roman" w:hAnsi="Times New Roman" w:cs="Times New Roman"/>
          <w:kern w:val="0"/>
          <w14:ligatures w14:val="none"/>
        </w:rPr>
        <w:t xml:space="preserve">(6), 803–820. </w:t>
      </w:r>
      <w:hyperlink r:id="rId31" w:history="1">
        <w:r w:rsidRPr="009D6C32">
          <w:rPr>
            <w:rStyle w:val="Hyperlink"/>
            <w:rFonts w:ascii="Times New Roman" w:eastAsia="Times New Roman" w:hAnsi="Times New Roman" w:cs="Times New Roman"/>
            <w:kern w:val="0"/>
            <w14:ligatures w14:val="none"/>
          </w:rPr>
          <w:t>https://doi.org/10.1007/s00401-016-1545-1</w:t>
        </w:r>
      </w:hyperlink>
    </w:p>
    <w:p w14:paraId="247B7458" w14:textId="5E8A095E"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Geens, W., Rizani, G., Del Gaudio, N., et al. (2025). Extent of resection and its association with overall survival in newly diagnosed IDH wildtype glioblastoma treated with concomitant radiochemotherapy: A systematic review and meta-analysis. </w:t>
      </w:r>
      <w:r w:rsidRPr="009D6C32">
        <w:rPr>
          <w:rFonts w:ascii="Times New Roman" w:eastAsia="Times New Roman" w:hAnsi="Times New Roman" w:cs="Times New Roman"/>
          <w:i/>
          <w:iCs/>
          <w:kern w:val="0"/>
          <w14:ligatures w14:val="none"/>
        </w:rPr>
        <w:t>Brain and Spine, 5</w:t>
      </w:r>
      <w:r w:rsidRPr="009D6C32">
        <w:rPr>
          <w:rFonts w:ascii="Times New Roman" w:eastAsia="Times New Roman" w:hAnsi="Times New Roman" w:cs="Times New Roman"/>
          <w:kern w:val="0"/>
          <w14:ligatures w14:val="none"/>
        </w:rPr>
        <w:t xml:space="preserve">, 105867. </w:t>
      </w:r>
      <w:hyperlink r:id="rId32" w:history="1">
        <w:r w:rsidRPr="009D6C32">
          <w:rPr>
            <w:rStyle w:val="Hyperlink"/>
            <w:rFonts w:ascii="Times New Roman" w:eastAsia="Times New Roman" w:hAnsi="Times New Roman" w:cs="Times New Roman"/>
            <w:kern w:val="0"/>
            <w14:ligatures w14:val="none"/>
          </w:rPr>
          <w:t>https://doi.org/10.1016/j.bas.2025.105867</w:t>
        </w:r>
      </w:hyperlink>
    </w:p>
    <w:p w14:paraId="2F2B2A5D" w14:textId="71E928F1"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Wach, J., Vychopen, M., &amp; Güresir, E. (2025). Prognostic revalidation of RANO categories for extent of resection in glioblastoma: A reconstruction of individual patient data. </w:t>
      </w:r>
      <w:r w:rsidRPr="009D6C32">
        <w:rPr>
          <w:rFonts w:ascii="Times New Roman" w:eastAsia="Times New Roman" w:hAnsi="Times New Roman" w:cs="Times New Roman"/>
          <w:i/>
          <w:iCs/>
          <w:kern w:val="0"/>
          <w14:ligatures w14:val="none"/>
        </w:rPr>
        <w:t>Journal of Neuro-Oncology</w:t>
      </w:r>
      <w:r w:rsidRPr="009D6C32">
        <w:rPr>
          <w:rFonts w:ascii="Times New Roman" w:eastAsia="Times New Roman" w:hAnsi="Times New Roman" w:cs="Times New Roman"/>
          <w:kern w:val="0"/>
          <w14:ligatures w14:val="none"/>
        </w:rPr>
        <w:t xml:space="preserve">. </w:t>
      </w:r>
      <w:hyperlink r:id="rId33" w:history="1">
        <w:r w:rsidRPr="009D6C32">
          <w:rPr>
            <w:rStyle w:val="Hyperlink"/>
            <w:rFonts w:ascii="Times New Roman" w:eastAsia="Times New Roman" w:hAnsi="Times New Roman" w:cs="Times New Roman"/>
            <w:kern w:val="0"/>
            <w14:ligatures w14:val="none"/>
          </w:rPr>
          <w:t>https://doi.org/10.1007/s11060-025-04950-0</w:t>
        </w:r>
      </w:hyperlink>
    </w:p>
    <w:p w14:paraId="2604F5D2" w14:textId="77F4134C"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Baby, M. V., Narendranath, R. M., Kaur-Paneser, S., et al. (2026). Determinants of survival after re-resection for recurrent glioblastoma: A meta-analysis. </w:t>
      </w:r>
      <w:r w:rsidRPr="009D6C32">
        <w:rPr>
          <w:rFonts w:ascii="Times New Roman" w:eastAsia="Times New Roman" w:hAnsi="Times New Roman" w:cs="Times New Roman"/>
          <w:i/>
          <w:iCs/>
          <w:kern w:val="0"/>
          <w14:ligatures w14:val="none"/>
        </w:rPr>
        <w:t>Acta Neurochirurgica, 168</w:t>
      </w:r>
      <w:r w:rsidRPr="009D6C32">
        <w:rPr>
          <w:rFonts w:ascii="Times New Roman" w:eastAsia="Times New Roman" w:hAnsi="Times New Roman" w:cs="Times New Roman"/>
          <w:kern w:val="0"/>
          <w14:ligatures w14:val="none"/>
        </w:rPr>
        <w:t xml:space="preserve">(1), 11. </w:t>
      </w:r>
      <w:hyperlink r:id="rId34" w:history="1">
        <w:r w:rsidRPr="009D6C32">
          <w:rPr>
            <w:rStyle w:val="Hyperlink"/>
            <w:rFonts w:ascii="Times New Roman" w:eastAsia="Times New Roman" w:hAnsi="Times New Roman" w:cs="Times New Roman"/>
            <w:kern w:val="0"/>
            <w14:ligatures w14:val="none"/>
          </w:rPr>
          <w:t>https://doi.org/10.1007/s00701-025-06755-6</w:t>
        </w:r>
      </w:hyperlink>
    </w:p>
    <w:p w14:paraId="2757506F" w14:textId="1F9A7CEE"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Basaran, A. E., Wellkisch, A. C., Güresir, E., et al. (2025). Extent of reoperation predicts survival in recurrent IDH-wildtype glioblastoma based on institutional data and individual patient data meta-analysis. </w:t>
      </w:r>
      <w:r w:rsidRPr="009D6C32">
        <w:rPr>
          <w:rFonts w:ascii="Times New Roman" w:eastAsia="Times New Roman" w:hAnsi="Times New Roman" w:cs="Times New Roman"/>
          <w:i/>
          <w:iCs/>
          <w:kern w:val="0"/>
          <w14:ligatures w14:val="none"/>
        </w:rPr>
        <w:t>Discover Oncology, 16</w:t>
      </w:r>
      <w:r w:rsidRPr="009D6C32">
        <w:rPr>
          <w:rFonts w:ascii="Times New Roman" w:eastAsia="Times New Roman" w:hAnsi="Times New Roman" w:cs="Times New Roman"/>
          <w:kern w:val="0"/>
          <w14:ligatures w14:val="none"/>
        </w:rPr>
        <w:t xml:space="preserve">, 2099. </w:t>
      </w:r>
      <w:hyperlink r:id="rId35" w:history="1">
        <w:r w:rsidRPr="009D6C32">
          <w:rPr>
            <w:rStyle w:val="Hyperlink"/>
            <w:rFonts w:ascii="Times New Roman" w:eastAsia="Times New Roman" w:hAnsi="Times New Roman" w:cs="Times New Roman"/>
            <w:kern w:val="0"/>
            <w14:ligatures w14:val="none"/>
          </w:rPr>
          <w:t>https://doi.org/10.1007/s12672-025-03928-8</w:t>
        </w:r>
      </w:hyperlink>
    </w:p>
    <w:p w14:paraId="5BB56F51" w14:textId="5D6954DE"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lastRenderedPageBreak/>
        <w:t xml:space="preserve"> Sanikommu, S., Santos, A. N., Dawoud, B., et al. (2026). Fluorescence-guided versus non-fluorescence-guided resection in high-grade glioma: A systematic review and meta-analysis of survival outcomes. </w:t>
      </w:r>
      <w:r w:rsidRPr="009D6C32">
        <w:rPr>
          <w:rFonts w:ascii="Times New Roman" w:eastAsia="Times New Roman" w:hAnsi="Times New Roman" w:cs="Times New Roman"/>
          <w:i/>
          <w:iCs/>
          <w:kern w:val="0"/>
          <w14:ligatures w14:val="none"/>
        </w:rPr>
        <w:t>Neurosurgical Review</w:t>
      </w:r>
      <w:r w:rsidRPr="009D6C32">
        <w:rPr>
          <w:rFonts w:ascii="Times New Roman" w:eastAsia="Times New Roman" w:hAnsi="Times New Roman" w:cs="Times New Roman"/>
          <w:kern w:val="0"/>
          <w14:ligatures w14:val="none"/>
        </w:rPr>
        <w:t xml:space="preserve">. </w:t>
      </w:r>
      <w:hyperlink r:id="rId36" w:history="1">
        <w:r w:rsidRPr="009D6C32">
          <w:rPr>
            <w:rStyle w:val="Hyperlink"/>
            <w:rFonts w:ascii="Times New Roman" w:eastAsia="Times New Roman" w:hAnsi="Times New Roman" w:cs="Times New Roman"/>
            <w:kern w:val="0"/>
            <w14:ligatures w14:val="none"/>
          </w:rPr>
          <w:t>https://doi.org/10.1007/s10143-026-04297-8</w:t>
        </w:r>
      </w:hyperlink>
    </w:p>
    <w:p w14:paraId="5A7C4AB8" w14:textId="4AB8347C"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Hervey-Jumper, S. L., &amp; Berger, M. S. (2016). Maximizing safe resection of low- and high-grade glioma. </w:t>
      </w:r>
      <w:r w:rsidRPr="009D6C32">
        <w:rPr>
          <w:rFonts w:ascii="Times New Roman" w:eastAsia="Times New Roman" w:hAnsi="Times New Roman" w:cs="Times New Roman"/>
          <w:i/>
          <w:iCs/>
          <w:kern w:val="0"/>
          <w14:ligatures w14:val="none"/>
        </w:rPr>
        <w:t>Journal of Neuro-Oncology, 130</w:t>
      </w:r>
      <w:r w:rsidRPr="009D6C32">
        <w:rPr>
          <w:rFonts w:ascii="Times New Roman" w:eastAsia="Times New Roman" w:hAnsi="Times New Roman" w:cs="Times New Roman"/>
          <w:kern w:val="0"/>
          <w14:ligatures w14:val="none"/>
        </w:rPr>
        <w:t xml:space="preserve">(2), 269–282. </w:t>
      </w:r>
      <w:hyperlink r:id="rId37" w:history="1">
        <w:r w:rsidRPr="009D6C32">
          <w:rPr>
            <w:rStyle w:val="Hyperlink"/>
            <w:rFonts w:ascii="Times New Roman" w:eastAsia="Times New Roman" w:hAnsi="Times New Roman" w:cs="Times New Roman"/>
            <w:kern w:val="0"/>
            <w14:ligatures w14:val="none"/>
          </w:rPr>
          <w:t>https://doi.org/10.1007/s11060-016-2110-4</w:t>
        </w:r>
      </w:hyperlink>
    </w:p>
    <w:p w14:paraId="6D4B5BF1" w14:textId="142C4910"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Almenawer, S. A., Badhiwala, J. H., Alhazzani, W., et al. (2015). Biopsy versus partial versus gross total resection in older patients with high-grade glioma: A systematic review and meta-analysis. </w:t>
      </w:r>
      <w:r w:rsidRPr="009D6C32">
        <w:rPr>
          <w:rFonts w:ascii="Times New Roman" w:eastAsia="Times New Roman" w:hAnsi="Times New Roman" w:cs="Times New Roman"/>
          <w:i/>
          <w:iCs/>
          <w:kern w:val="0"/>
          <w14:ligatures w14:val="none"/>
        </w:rPr>
        <w:t>Neuro-Oncology, 17</w:t>
      </w:r>
      <w:r w:rsidRPr="009D6C32">
        <w:rPr>
          <w:rFonts w:ascii="Times New Roman" w:eastAsia="Times New Roman" w:hAnsi="Times New Roman" w:cs="Times New Roman"/>
          <w:kern w:val="0"/>
          <w14:ligatures w14:val="none"/>
        </w:rPr>
        <w:t xml:space="preserve">(6), 868–881. </w:t>
      </w:r>
      <w:hyperlink r:id="rId38" w:history="1">
        <w:r w:rsidRPr="009D6C32">
          <w:rPr>
            <w:rStyle w:val="Hyperlink"/>
            <w:rFonts w:ascii="Times New Roman" w:eastAsia="Times New Roman" w:hAnsi="Times New Roman" w:cs="Times New Roman"/>
            <w:kern w:val="0"/>
            <w14:ligatures w14:val="none"/>
          </w:rPr>
          <w:t>https://doi.org/10.1093/neuonc/nou349</w:t>
        </w:r>
      </w:hyperlink>
    </w:p>
    <w:p w14:paraId="7F132A5A" w14:textId="2F41940B" w:rsidR="009D6C32" w:rsidRPr="009D6C32" w:rsidRDefault="009D6C32" w:rsidP="009D6C32">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Yuan, G., Miao, D., et al. (2025). Global, regional, and national burden of brain and other central nervous system cancers from 1990 to 2021, and projections to 2035: A systematic analysis for the Global Burden of Disease Study 2021. </w:t>
      </w:r>
      <w:r w:rsidRPr="009D6C32">
        <w:rPr>
          <w:rFonts w:ascii="Times New Roman" w:eastAsia="Times New Roman" w:hAnsi="Times New Roman" w:cs="Times New Roman"/>
          <w:i/>
          <w:iCs/>
          <w:kern w:val="0"/>
          <w14:ligatures w14:val="none"/>
        </w:rPr>
        <w:t>JS9</w:t>
      </w:r>
      <w:r w:rsidRPr="009D6C32">
        <w:rPr>
          <w:rFonts w:ascii="Times New Roman" w:eastAsia="Times New Roman" w:hAnsi="Times New Roman" w:cs="Times New Roman"/>
          <w:kern w:val="0"/>
          <w14:ligatures w14:val="none"/>
        </w:rPr>
        <w:t xml:space="preserve">. </w:t>
      </w:r>
      <w:hyperlink r:id="rId39" w:history="1">
        <w:r w:rsidRPr="009D6C32">
          <w:rPr>
            <w:rStyle w:val="Hyperlink"/>
            <w:rFonts w:ascii="Times New Roman" w:eastAsia="Times New Roman" w:hAnsi="Times New Roman" w:cs="Times New Roman"/>
            <w:kern w:val="0"/>
            <w14:ligatures w14:val="none"/>
          </w:rPr>
          <w:t>https://doi.org/10.1097/JS9.0000000000003497</w:t>
        </w:r>
      </w:hyperlink>
    </w:p>
    <w:p w14:paraId="3FEE1417" w14:textId="77BE02D3" w:rsidR="00F869AF" w:rsidRPr="00F869AF" w:rsidRDefault="009D6C32" w:rsidP="00F869AF">
      <w:pPr>
        <w:pStyle w:val="ListParagraph"/>
        <w:numPr>
          <w:ilvl w:val="0"/>
          <w:numId w:val="2"/>
        </w:numPr>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 Perry, J. R., Laperriere, N., O’Callaghan, C. J., et al. (2017). Short-course radiation plus temozolomide in elderly patients with glioblastoma. </w:t>
      </w:r>
      <w:r w:rsidRPr="009D6C32">
        <w:rPr>
          <w:rFonts w:ascii="Times New Roman" w:eastAsia="Times New Roman" w:hAnsi="Times New Roman" w:cs="Times New Roman"/>
          <w:i/>
          <w:iCs/>
          <w:kern w:val="0"/>
          <w14:ligatures w14:val="none"/>
        </w:rPr>
        <w:t>The New England Journal of Medicine, 376</w:t>
      </w:r>
      <w:r w:rsidRPr="009D6C32">
        <w:rPr>
          <w:rFonts w:ascii="Times New Roman" w:eastAsia="Times New Roman" w:hAnsi="Times New Roman" w:cs="Times New Roman"/>
          <w:kern w:val="0"/>
          <w14:ligatures w14:val="none"/>
        </w:rPr>
        <w:t xml:space="preserve">(11), 1027–1037. </w:t>
      </w:r>
      <w:hyperlink r:id="rId40" w:history="1">
        <w:r w:rsidRPr="009D6C32">
          <w:rPr>
            <w:rStyle w:val="Hyperlink"/>
            <w:rFonts w:ascii="Times New Roman" w:eastAsia="Times New Roman" w:hAnsi="Times New Roman" w:cs="Times New Roman"/>
            <w:kern w:val="0"/>
            <w14:ligatures w14:val="none"/>
          </w:rPr>
          <w:t>https://doi.org/10.1056/NEJMoa1611977</w:t>
        </w:r>
      </w:hyperlink>
    </w:p>
    <w:p w14:paraId="0063E04C" w14:textId="06AC58BB" w:rsidR="003A155B" w:rsidRPr="00A82C9B" w:rsidRDefault="009D6C32" w:rsidP="009D6C32">
      <w:pPr>
        <w:pStyle w:val="ListParagraph"/>
        <w:numPr>
          <w:ilvl w:val="0"/>
          <w:numId w:val="2"/>
        </w:numPr>
        <w:spacing w:after="0" w:line="240" w:lineRule="auto"/>
        <w:rPr>
          <w:rFonts w:ascii="Times New Roman" w:eastAsia="Times New Roman" w:hAnsi="Times New Roman" w:cs="Times New Roman"/>
          <w:kern w:val="0"/>
          <w14:ligatures w14:val="none"/>
        </w:rPr>
      </w:pPr>
      <w:r w:rsidRPr="009D6C32">
        <w:rPr>
          <w:rFonts w:ascii="Times New Roman" w:eastAsia="Times New Roman" w:hAnsi="Times New Roman" w:cs="Times New Roman"/>
          <w:kern w:val="0"/>
          <w14:ligatures w14:val="none"/>
        </w:rPr>
        <w:t xml:space="preserve">Stupp, R., Taillibert, S., Kanner, A. A., et al. (2017). Effect of tumor-treating fields plus maintenance temozolomide vs maintenance temozolomide alone on survival in glioblastoma. </w:t>
      </w:r>
      <w:r w:rsidRPr="009D6C32">
        <w:rPr>
          <w:rFonts w:ascii="Times New Roman" w:eastAsia="Times New Roman" w:hAnsi="Times New Roman" w:cs="Times New Roman"/>
          <w:i/>
          <w:iCs/>
          <w:kern w:val="0"/>
          <w14:ligatures w14:val="none"/>
        </w:rPr>
        <w:t>JAMA, 318</w:t>
      </w:r>
      <w:r w:rsidRPr="009D6C32">
        <w:rPr>
          <w:rFonts w:ascii="Times New Roman" w:eastAsia="Times New Roman" w:hAnsi="Times New Roman" w:cs="Times New Roman"/>
          <w:kern w:val="0"/>
          <w14:ligatures w14:val="none"/>
        </w:rPr>
        <w:t xml:space="preserve">(23), 2306–2316. </w:t>
      </w:r>
      <w:hyperlink r:id="rId41" w:history="1">
        <w:r w:rsidRPr="009D6C32">
          <w:rPr>
            <w:rStyle w:val="Hyperlink"/>
            <w:rFonts w:ascii="Times New Roman" w:eastAsia="Times New Roman" w:hAnsi="Times New Roman" w:cs="Times New Roman"/>
            <w:kern w:val="0"/>
            <w14:ligatures w14:val="none"/>
          </w:rPr>
          <w:t>https://doi.org/10.1001/jama.2017.18718</w:t>
        </w:r>
      </w:hyperlink>
      <w:r w:rsidR="00A82C9B" w:rsidRPr="00A82C9B">
        <w:rPr>
          <w:rFonts w:ascii="Times New Roman" w:eastAsia="Times New Roman" w:hAnsi="Times New Roman" w:cs="Times New Roman"/>
          <w:kern w:val="0"/>
          <w14:ligatures w14:val="none"/>
        </w:rPr>
        <w:t>.18718. URL: Tumor Trea</w:t>
      </w:r>
    </w:p>
    <w:p w14:paraId="7AC8234D" w14:textId="28DB2325" w:rsidR="004049E7" w:rsidRPr="00482607" w:rsidRDefault="004049E7" w:rsidP="00482607">
      <w:pPr>
        <w:jc w:val="both"/>
        <w:rPr>
          <w:rFonts w:ascii="Times New Roman" w:hAnsi="Times New Roman" w:cs="Times New Roman"/>
        </w:rPr>
      </w:pPr>
    </w:p>
    <w:sectPr w:rsidR="004049E7" w:rsidRPr="00482607" w:rsidSect="004049E7">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08" w:footer="708" w:gutter="0"/>
      <w:pgBorders w:offsetFrom="page">
        <w:top w:val="threeDEmboss" w:sz="12" w:space="24" w:color="auto"/>
        <w:left w:val="threeDEmboss" w:sz="12" w:space="24" w:color="auto"/>
        <w:bottom w:val="threeDEmboss" w:sz="12" w:space="24" w:color="auto"/>
        <w:right w:val="threeDEmbos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621A" w14:textId="77777777" w:rsidR="002041C0" w:rsidRDefault="002041C0" w:rsidP="005C4D45">
      <w:pPr>
        <w:spacing w:after="0" w:line="240" w:lineRule="auto"/>
      </w:pPr>
      <w:r>
        <w:separator/>
      </w:r>
    </w:p>
  </w:endnote>
  <w:endnote w:type="continuationSeparator" w:id="0">
    <w:p w14:paraId="3C0EFB25" w14:textId="77777777" w:rsidR="002041C0" w:rsidRDefault="002041C0" w:rsidP="005C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8B40" w14:textId="77777777" w:rsidR="00C11BFC" w:rsidRDefault="00C1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962B" w14:textId="77777777" w:rsidR="00C11BFC" w:rsidRDefault="00C11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8E3" w14:textId="77777777" w:rsidR="00C11BFC" w:rsidRDefault="00C1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188C" w14:textId="77777777" w:rsidR="002041C0" w:rsidRDefault="002041C0" w:rsidP="005C4D45">
      <w:pPr>
        <w:spacing w:after="0" w:line="240" w:lineRule="auto"/>
      </w:pPr>
      <w:r>
        <w:separator/>
      </w:r>
    </w:p>
  </w:footnote>
  <w:footnote w:type="continuationSeparator" w:id="0">
    <w:p w14:paraId="0958489C" w14:textId="77777777" w:rsidR="002041C0" w:rsidRDefault="002041C0" w:rsidP="005C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30F7" w14:textId="2AC98996" w:rsidR="00C11BFC" w:rsidRDefault="002041C0">
    <w:pPr>
      <w:pStyle w:val="Header"/>
    </w:pPr>
    <w:r>
      <w:rPr>
        <w:noProof/>
      </w:rPr>
      <w:pict w14:anchorId="0E09D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8008" w14:textId="18D3B43E" w:rsidR="00C11BFC" w:rsidRDefault="002041C0">
    <w:pPr>
      <w:pStyle w:val="Header"/>
    </w:pPr>
    <w:r>
      <w:rPr>
        <w:noProof/>
      </w:rPr>
      <w:pict w14:anchorId="7B6C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2E98" w14:textId="2E670717" w:rsidR="00C11BFC" w:rsidRDefault="002041C0">
    <w:pPr>
      <w:pStyle w:val="Header"/>
    </w:pPr>
    <w:r>
      <w:rPr>
        <w:noProof/>
      </w:rPr>
      <w:pict w14:anchorId="71CF0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97B"/>
    <w:multiLevelType w:val="hybridMultilevel"/>
    <w:tmpl w:val="1CE2564C"/>
    <w:lvl w:ilvl="0" w:tplc="0FCA344E">
      <w:start w:val="1"/>
      <w:numFmt w:val="decimal"/>
      <w:lvlText w:val="%1."/>
      <w:lvlJc w:val="left"/>
      <w:pPr>
        <w:ind w:left="660" w:hanging="360"/>
      </w:pPr>
      <w:rPr>
        <w:rFonts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9B03779"/>
    <w:multiLevelType w:val="hybridMultilevel"/>
    <w:tmpl w:val="FD764B92"/>
    <w:lvl w:ilvl="0" w:tplc="C7A20EA4">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31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D09CD"/>
    <w:multiLevelType w:val="hybridMultilevel"/>
    <w:tmpl w:val="774C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F3FB6"/>
    <w:multiLevelType w:val="hybridMultilevel"/>
    <w:tmpl w:val="F7AC2400"/>
    <w:lvl w:ilvl="0" w:tplc="D8C0F23E">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88426821">
    <w:abstractNumId w:val="2"/>
  </w:num>
  <w:num w:numId="2" w16cid:durableId="234435435">
    <w:abstractNumId w:val="0"/>
  </w:num>
  <w:num w:numId="3" w16cid:durableId="1747142152">
    <w:abstractNumId w:val="1"/>
  </w:num>
  <w:num w:numId="4" w16cid:durableId="153035994">
    <w:abstractNumId w:val="3"/>
  </w:num>
  <w:num w:numId="5" w16cid:durableId="96647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E7"/>
    <w:rsid w:val="00036C2B"/>
    <w:rsid w:val="000432B0"/>
    <w:rsid w:val="00051E72"/>
    <w:rsid w:val="00133C4C"/>
    <w:rsid w:val="001748F9"/>
    <w:rsid w:val="002041C0"/>
    <w:rsid w:val="002760DD"/>
    <w:rsid w:val="0027741B"/>
    <w:rsid w:val="00356A32"/>
    <w:rsid w:val="00361BFB"/>
    <w:rsid w:val="003A155B"/>
    <w:rsid w:val="003D355D"/>
    <w:rsid w:val="004049E7"/>
    <w:rsid w:val="00423B1B"/>
    <w:rsid w:val="00482607"/>
    <w:rsid w:val="004B0A07"/>
    <w:rsid w:val="004C146D"/>
    <w:rsid w:val="005913AE"/>
    <w:rsid w:val="005C4D45"/>
    <w:rsid w:val="005D0957"/>
    <w:rsid w:val="005E3778"/>
    <w:rsid w:val="00604F71"/>
    <w:rsid w:val="006054B4"/>
    <w:rsid w:val="0063243E"/>
    <w:rsid w:val="00726B26"/>
    <w:rsid w:val="007B28F1"/>
    <w:rsid w:val="007F0D51"/>
    <w:rsid w:val="00800355"/>
    <w:rsid w:val="00827508"/>
    <w:rsid w:val="0083560A"/>
    <w:rsid w:val="00865EB8"/>
    <w:rsid w:val="008A1A03"/>
    <w:rsid w:val="008D1014"/>
    <w:rsid w:val="008F14A7"/>
    <w:rsid w:val="00900D53"/>
    <w:rsid w:val="00953D7E"/>
    <w:rsid w:val="009B5949"/>
    <w:rsid w:val="009D6C32"/>
    <w:rsid w:val="00A370BA"/>
    <w:rsid w:val="00A82C9B"/>
    <w:rsid w:val="00B551DF"/>
    <w:rsid w:val="00B61117"/>
    <w:rsid w:val="00BB3188"/>
    <w:rsid w:val="00C11BFC"/>
    <w:rsid w:val="00C20F34"/>
    <w:rsid w:val="00C61F84"/>
    <w:rsid w:val="00C653B4"/>
    <w:rsid w:val="00C93119"/>
    <w:rsid w:val="00CB182A"/>
    <w:rsid w:val="00CB68CB"/>
    <w:rsid w:val="00CF1CC4"/>
    <w:rsid w:val="00D922E2"/>
    <w:rsid w:val="00D93A12"/>
    <w:rsid w:val="00DD2434"/>
    <w:rsid w:val="00DD58B3"/>
    <w:rsid w:val="00E772F2"/>
    <w:rsid w:val="00EC2556"/>
    <w:rsid w:val="00F142E1"/>
    <w:rsid w:val="00F33CDA"/>
    <w:rsid w:val="00F655C1"/>
    <w:rsid w:val="00F869AF"/>
    <w:rsid w:val="00F93B04"/>
    <w:rsid w:val="00FB1790"/>
    <w:rsid w:val="00FC5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079E3"/>
  <w15:chartTrackingRefBased/>
  <w15:docId w15:val="{AA6C6151-4997-8447-B999-ACC84BAE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E7"/>
    <w:rPr>
      <w:rFonts w:eastAsiaTheme="majorEastAsia" w:cstheme="majorBidi"/>
      <w:color w:val="272727" w:themeColor="text1" w:themeTint="D8"/>
    </w:rPr>
  </w:style>
  <w:style w:type="paragraph" w:styleId="Title">
    <w:name w:val="Title"/>
    <w:basedOn w:val="Normal"/>
    <w:next w:val="Normal"/>
    <w:link w:val="TitleChar"/>
    <w:uiPriority w:val="10"/>
    <w:qFormat/>
    <w:rsid w:val="0040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E7"/>
    <w:pPr>
      <w:spacing w:before="160"/>
      <w:jc w:val="center"/>
    </w:pPr>
    <w:rPr>
      <w:i/>
      <w:iCs/>
      <w:color w:val="404040" w:themeColor="text1" w:themeTint="BF"/>
    </w:rPr>
  </w:style>
  <w:style w:type="character" w:customStyle="1" w:styleId="QuoteChar">
    <w:name w:val="Quote Char"/>
    <w:basedOn w:val="DefaultParagraphFont"/>
    <w:link w:val="Quote"/>
    <w:uiPriority w:val="29"/>
    <w:rsid w:val="004049E7"/>
    <w:rPr>
      <w:i/>
      <w:iCs/>
      <w:color w:val="404040" w:themeColor="text1" w:themeTint="BF"/>
    </w:rPr>
  </w:style>
  <w:style w:type="paragraph" w:styleId="ListParagraph">
    <w:name w:val="List Paragraph"/>
    <w:basedOn w:val="Normal"/>
    <w:uiPriority w:val="34"/>
    <w:qFormat/>
    <w:rsid w:val="004049E7"/>
    <w:pPr>
      <w:ind w:left="720"/>
      <w:contextualSpacing/>
    </w:pPr>
  </w:style>
  <w:style w:type="character" w:styleId="IntenseEmphasis">
    <w:name w:val="Intense Emphasis"/>
    <w:basedOn w:val="DefaultParagraphFont"/>
    <w:uiPriority w:val="21"/>
    <w:qFormat/>
    <w:rsid w:val="004049E7"/>
    <w:rPr>
      <w:i/>
      <w:iCs/>
      <w:color w:val="0F4761" w:themeColor="accent1" w:themeShade="BF"/>
    </w:rPr>
  </w:style>
  <w:style w:type="paragraph" w:styleId="IntenseQuote">
    <w:name w:val="Intense Quote"/>
    <w:basedOn w:val="Normal"/>
    <w:next w:val="Normal"/>
    <w:link w:val="IntenseQuoteChar"/>
    <w:uiPriority w:val="30"/>
    <w:qFormat/>
    <w:rsid w:val="0040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E7"/>
    <w:rPr>
      <w:i/>
      <w:iCs/>
      <w:color w:val="0F4761" w:themeColor="accent1" w:themeShade="BF"/>
    </w:rPr>
  </w:style>
  <w:style w:type="character" w:styleId="IntenseReference">
    <w:name w:val="Intense Reference"/>
    <w:basedOn w:val="DefaultParagraphFont"/>
    <w:uiPriority w:val="32"/>
    <w:qFormat/>
    <w:rsid w:val="004049E7"/>
    <w:rPr>
      <w:b/>
      <w:bCs/>
      <w:smallCaps/>
      <w:color w:val="0F4761" w:themeColor="accent1" w:themeShade="BF"/>
      <w:spacing w:val="5"/>
    </w:rPr>
  </w:style>
  <w:style w:type="paragraph" w:customStyle="1" w:styleId="p1">
    <w:name w:val="p1"/>
    <w:basedOn w:val="Normal"/>
    <w:rsid w:val="003A155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A155B"/>
  </w:style>
  <w:style w:type="table" w:styleId="TableGrid">
    <w:name w:val="Table Grid"/>
    <w:basedOn w:val="TableNormal"/>
    <w:uiPriority w:val="39"/>
    <w:rsid w:val="00CB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A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D45"/>
  </w:style>
  <w:style w:type="paragraph" w:styleId="Footer">
    <w:name w:val="footer"/>
    <w:basedOn w:val="Normal"/>
    <w:link w:val="FooterChar"/>
    <w:uiPriority w:val="99"/>
    <w:unhideWhenUsed/>
    <w:rsid w:val="005C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D45"/>
  </w:style>
  <w:style w:type="paragraph" w:styleId="NoSpacing">
    <w:name w:val="No Spacing"/>
    <w:uiPriority w:val="1"/>
    <w:qFormat/>
    <w:rsid w:val="00A370BA"/>
    <w:pPr>
      <w:spacing w:after="0" w:line="240" w:lineRule="auto"/>
    </w:pPr>
    <w:rPr>
      <w:rFonts w:eastAsiaTheme="minorHAnsi"/>
      <w:kern w:val="0"/>
      <w:sz w:val="22"/>
      <w:szCs w:val="22"/>
      <w:lang w:val="en-GB"/>
      <w14:ligatures w14:val="none"/>
    </w:rPr>
  </w:style>
  <w:style w:type="character" w:styleId="Strong">
    <w:name w:val="Strong"/>
    <w:basedOn w:val="DefaultParagraphFont"/>
    <w:uiPriority w:val="22"/>
    <w:qFormat/>
    <w:rsid w:val="009D6C32"/>
    <w:rPr>
      <w:b/>
      <w:bCs/>
    </w:rPr>
  </w:style>
  <w:style w:type="character" w:styleId="Hyperlink">
    <w:name w:val="Hyperlink"/>
    <w:basedOn w:val="DefaultParagraphFont"/>
    <w:uiPriority w:val="99"/>
    <w:unhideWhenUsed/>
    <w:rsid w:val="009D6C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551">
      <w:bodyDiv w:val="1"/>
      <w:marLeft w:val="0"/>
      <w:marRight w:val="0"/>
      <w:marTop w:val="0"/>
      <w:marBottom w:val="0"/>
      <w:divBdr>
        <w:top w:val="none" w:sz="0" w:space="0" w:color="auto"/>
        <w:left w:val="none" w:sz="0" w:space="0" w:color="auto"/>
        <w:bottom w:val="none" w:sz="0" w:space="0" w:color="auto"/>
        <w:right w:val="none" w:sz="0" w:space="0" w:color="auto"/>
      </w:divBdr>
    </w:div>
    <w:div w:id="124470739">
      <w:bodyDiv w:val="1"/>
      <w:marLeft w:val="0"/>
      <w:marRight w:val="0"/>
      <w:marTop w:val="0"/>
      <w:marBottom w:val="0"/>
      <w:divBdr>
        <w:top w:val="none" w:sz="0" w:space="0" w:color="auto"/>
        <w:left w:val="none" w:sz="0" w:space="0" w:color="auto"/>
        <w:bottom w:val="none" w:sz="0" w:space="0" w:color="auto"/>
        <w:right w:val="none" w:sz="0" w:space="0" w:color="auto"/>
      </w:divBdr>
      <w:divsChild>
        <w:div w:id="506870878">
          <w:marLeft w:val="0"/>
          <w:marRight w:val="0"/>
          <w:marTop w:val="0"/>
          <w:marBottom w:val="0"/>
          <w:divBdr>
            <w:top w:val="none" w:sz="0" w:space="0" w:color="auto"/>
            <w:left w:val="none" w:sz="0" w:space="0" w:color="auto"/>
            <w:bottom w:val="none" w:sz="0" w:space="0" w:color="auto"/>
            <w:right w:val="none" w:sz="0" w:space="0" w:color="auto"/>
          </w:divBdr>
          <w:divsChild>
            <w:div w:id="472796740">
              <w:marLeft w:val="0"/>
              <w:marRight w:val="0"/>
              <w:marTop w:val="0"/>
              <w:marBottom w:val="0"/>
              <w:divBdr>
                <w:top w:val="none" w:sz="0" w:space="0" w:color="auto"/>
                <w:left w:val="none" w:sz="0" w:space="0" w:color="auto"/>
                <w:bottom w:val="none" w:sz="0" w:space="0" w:color="auto"/>
                <w:right w:val="none" w:sz="0" w:space="0" w:color="auto"/>
              </w:divBdr>
              <w:divsChild>
                <w:div w:id="625625037">
                  <w:marLeft w:val="0"/>
                  <w:marRight w:val="0"/>
                  <w:marTop w:val="0"/>
                  <w:marBottom w:val="0"/>
                  <w:divBdr>
                    <w:top w:val="none" w:sz="0" w:space="0" w:color="auto"/>
                    <w:left w:val="none" w:sz="0" w:space="0" w:color="auto"/>
                    <w:bottom w:val="none" w:sz="0" w:space="0" w:color="auto"/>
                    <w:right w:val="none" w:sz="0" w:space="0" w:color="auto"/>
                  </w:divBdr>
                  <w:divsChild>
                    <w:div w:id="792018986">
                      <w:marLeft w:val="0"/>
                      <w:marRight w:val="0"/>
                      <w:marTop w:val="0"/>
                      <w:marBottom w:val="0"/>
                      <w:divBdr>
                        <w:top w:val="none" w:sz="0" w:space="0" w:color="auto"/>
                        <w:left w:val="none" w:sz="0" w:space="0" w:color="auto"/>
                        <w:bottom w:val="none" w:sz="0" w:space="0" w:color="auto"/>
                        <w:right w:val="none" w:sz="0" w:space="0" w:color="auto"/>
                      </w:divBdr>
                      <w:divsChild>
                        <w:div w:id="306784857">
                          <w:marLeft w:val="0"/>
                          <w:marRight w:val="0"/>
                          <w:marTop w:val="0"/>
                          <w:marBottom w:val="0"/>
                          <w:divBdr>
                            <w:top w:val="none" w:sz="0" w:space="0" w:color="auto"/>
                            <w:left w:val="none" w:sz="0" w:space="0" w:color="auto"/>
                            <w:bottom w:val="none" w:sz="0" w:space="0" w:color="auto"/>
                            <w:right w:val="none" w:sz="0" w:space="0" w:color="auto"/>
                          </w:divBdr>
                          <w:divsChild>
                            <w:div w:id="1880240138">
                              <w:marLeft w:val="0"/>
                              <w:marRight w:val="0"/>
                              <w:marTop w:val="0"/>
                              <w:marBottom w:val="0"/>
                              <w:divBdr>
                                <w:top w:val="none" w:sz="0" w:space="0" w:color="auto"/>
                                <w:left w:val="none" w:sz="0" w:space="0" w:color="auto"/>
                                <w:bottom w:val="none" w:sz="0" w:space="0" w:color="auto"/>
                                <w:right w:val="none" w:sz="0" w:space="0" w:color="auto"/>
                              </w:divBdr>
                              <w:divsChild>
                                <w:div w:id="1399207489">
                                  <w:marLeft w:val="0"/>
                                  <w:marRight w:val="0"/>
                                  <w:marTop w:val="0"/>
                                  <w:marBottom w:val="0"/>
                                  <w:divBdr>
                                    <w:top w:val="none" w:sz="0" w:space="0" w:color="auto"/>
                                    <w:left w:val="none" w:sz="0" w:space="0" w:color="auto"/>
                                    <w:bottom w:val="none" w:sz="0" w:space="0" w:color="auto"/>
                                    <w:right w:val="none" w:sz="0" w:space="0" w:color="auto"/>
                                  </w:divBdr>
                                  <w:divsChild>
                                    <w:div w:id="38015880">
                                      <w:marLeft w:val="0"/>
                                      <w:marRight w:val="0"/>
                                      <w:marTop w:val="0"/>
                                      <w:marBottom w:val="0"/>
                                      <w:divBdr>
                                        <w:top w:val="none" w:sz="0" w:space="0" w:color="auto"/>
                                        <w:left w:val="none" w:sz="0" w:space="0" w:color="auto"/>
                                        <w:bottom w:val="none" w:sz="0" w:space="0" w:color="auto"/>
                                        <w:right w:val="none" w:sz="0" w:space="0" w:color="auto"/>
                                      </w:divBdr>
                                      <w:divsChild>
                                        <w:div w:id="36974245">
                                          <w:marLeft w:val="0"/>
                                          <w:marRight w:val="0"/>
                                          <w:marTop w:val="0"/>
                                          <w:marBottom w:val="0"/>
                                          <w:divBdr>
                                            <w:top w:val="none" w:sz="0" w:space="0" w:color="auto"/>
                                            <w:left w:val="none" w:sz="0" w:space="0" w:color="auto"/>
                                            <w:bottom w:val="none" w:sz="0" w:space="0" w:color="auto"/>
                                            <w:right w:val="none" w:sz="0" w:space="0" w:color="auto"/>
                                          </w:divBdr>
                                          <w:divsChild>
                                            <w:div w:id="1193227121">
                                              <w:marLeft w:val="0"/>
                                              <w:marRight w:val="0"/>
                                              <w:marTop w:val="0"/>
                                              <w:marBottom w:val="0"/>
                                              <w:divBdr>
                                                <w:top w:val="none" w:sz="0" w:space="0" w:color="auto"/>
                                                <w:left w:val="none" w:sz="0" w:space="0" w:color="auto"/>
                                                <w:bottom w:val="none" w:sz="0" w:space="0" w:color="auto"/>
                                                <w:right w:val="none" w:sz="0" w:space="0" w:color="auto"/>
                                              </w:divBdr>
                                              <w:divsChild>
                                                <w:div w:id="1660307326">
                                                  <w:marLeft w:val="0"/>
                                                  <w:marRight w:val="0"/>
                                                  <w:marTop w:val="0"/>
                                                  <w:marBottom w:val="0"/>
                                                  <w:divBdr>
                                                    <w:top w:val="none" w:sz="0" w:space="0" w:color="auto"/>
                                                    <w:left w:val="none" w:sz="0" w:space="0" w:color="auto"/>
                                                    <w:bottom w:val="none" w:sz="0" w:space="0" w:color="auto"/>
                                                    <w:right w:val="none" w:sz="0" w:space="0" w:color="auto"/>
                                                  </w:divBdr>
                                                  <w:divsChild>
                                                    <w:div w:id="15860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800483">
          <w:marLeft w:val="0"/>
          <w:marRight w:val="0"/>
          <w:marTop w:val="0"/>
          <w:marBottom w:val="0"/>
          <w:divBdr>
            <w:top w:val="none" w:sz="0" w:space="0" w:color="auto"/>
            <w:left w:val="none" w:sz="0" w:space="0" w:color="auto"/>
            <w:bottom w:val="none" w:sz="0" w:space="0" w:color="auto"/>
            <w:right w:val="none" w:sz="0" w:space="0" w:color="auto"/>
          </w:divBdr>
          <w:divsChild>
            <w:div w:id="41712411">
              <w:marLeft w:val="0"/>
              <w:marRight w:val="0"/>
              <w:marTop w:val="0"/>
              <w:marBottom w:val="0"/>
              <w:divBdr>
                <w:top w:val="none" w:sz="0" w:space="0" w:color="auto"/>
                <w:left w:val="none" w:sz="0" w:space="0" w:color="auto"/>
                <w:bottom w:val="none" w:sz="0" w:space="0" w:color="auto"/>
                <w:right w:val="none" w:sz="0" w:space="0" w:color="auto"/>
              </w:divBdr>
              <w:divsChild>
                <w:div w:id="1878422159">
                  <w:marLeft w:val="0"/>
                  <w:marRight w:val="0"/>
                  <w:marTop w:val="0"/>
                  <w:marBottom w:val="0"/>
                  <w:divBdr>
                    <w:top w:val="none" w:sz="0" w:space="0" w:color="auto"/>
                    <w:left w:val="none" w:sz="0" w:space="0" w:color="auto"/>
                    <w:bottom w:val="none" w:sz="0" w:space="0" w:color="auto"/>
                    <w:right w:val="none" w:sz="0" w:space="0" w:color="auto"/>
                  </w:divBdr>
                  <w:divsChild>
                    <w:div w:id="526141615">
                      <w:marLeft w:val="0"/>
                      <w:marRight w:val="0"/>
                      <w:marTop w:val="0"/>
                      <w:marBottom w:val="0"/>
                      <w:divBdr>
                        <w:top w:val="none" w:sz="0" w:space="0" w:color="auto"/>
                        <w:left w:val="none" w:sz="0" w:space="0" w:color="auto"/>
                        <w:bottom w:val="none" w:sz="0" w:space="0" w:color="auto"/>
                        <w:right w:val="none" w:sz="0" w:space="0" w:color="auto"/>
                      </w:divBdr>
                      <w:divsChild>
                        <w:div w:id="1726100818">
                          <w:marLeft w:val="0"/>
                          <w:marRight w:val="0"/>
                          <w:marTop w:val="0"/>
                          <w:marBottom w:val="0"/>
                          <w:divBdr>
                            <w:top w:val="none" w:sz="0" w:space="0" w:color="auto"/>
                            <w:left w:val="none" w:sz="0" w:space="0" w:color="auto"/>
                            <w:bottom w:val="none" w:sz="0" w:space="0" w:color="auto"/>
                            <w:right w:val="none" w:sz="0" w:space="0" w:color="auto"/>
                          </w:divBdr>
                          <w:divsChild>
                            <w:div w:id="1484855113">
                              <w:marLeft w:val="0"/>
                              <w:marRight w:val="0"/>
                              <w:marTop w:val="0"/>
                              <w:marBottom w:val="0"/>
                              <w:divBdr>
                                <w:top w:val="none" w:sz="0" w:space="0" w:color="auto"/>
                                <w:left w:val="none" w:sz="0" w:space="0" w:color="auto"/>
                                <w:bottom w:val="none" w:sz="0" w:space="0" w:color="auto"/>
                                <w:right w:val="none" w:sz="0" w:space="0" w:color="auto"/>
                              </w:divBdr>
                              <w:divsChild>
                                <w:div w:id="546181056">
                                  <w:marLeft w:val="0"/>
                                  <w:marRight w:val="0"/>
                                  <w:marTop w:val="0"/>
                                  <w:marBottom w:val="0"/>
                                  <w:divBdr>
                                    <w:top w:val="none" w:sz="0" w:space="0" w:color="auto"/>
                                    <w:left w:val="none" w:sz="0" w:space="0" w:color="auto"/>
                                    <w:bottom w:val="none" w:sz="0" w:space="0" w:color="auto"/>
                                    <w:right w:val="none" w:sz="0" w:space="0" w:color="auto"/>
                                  </w:divBdr>
                                  <w:divsChild>
                                    <w:div w:id="956986567">
                                      <w:marLeft w:val="0"/>
                                      <w:marRight w:val="0"/>
                                      <w:marTop w:val="0"/>
                                      <w:marBottom w:val="0"/>
                                      <w:divBdr>
                                        <w:top w:val="none" w:sz="0" w:space="0" w:color="auto"/>
                                        <w:left w:val="none" w:sz="0" w:space="0" w:color="auto"/>
                                        <w:bottom w:val="none" w:sz="0" w:space="0" w:color="auto"/>
                                        <w:right w:val="none" w:sz="0" w:space="0" w:color="auto"/>
                                      </w:divBdr>
                                      <w:divsChild>
                                        <w:div w:id="970785420">
                                          <w:marLeft w:val="0"/>
                                          <w:marRight w:val="0"/>
                                          <w:marTop w:val="0"/>
                                          <w:marBottom w:val="0"/>
                                          <w:divBdr>
                                            <w:top w:val="none" w:sz="0" w:space="0" w:color="auto"/>
                                            <w:left w:val="none" w:sz="0" w:space="0" w:color="auto"/>
                                            <w:bottom w:val="none" w:sz="0" w:space="0" w:color="auto"/>
                                            <w:right w:val="none" w:sz="0" w:space="0" w:color="auto"/>
                                          </w:divBdr>
                                          <w:divsChild>
                                            <w:div w:id="607004693">
                                              <w:marLeft w:val="0"/>
                                              <w:marRight w:val="0"/>
                                              <w:marTop w:val="0"/>
                                              <w:marBottom w:val="0"/>
                                              <w:divBdr>
                                                <w:top w:val="none" w:sz="0" w:space="0" w:color="auto"/>
                                                <w:left w:val="none" w:sz="0" w:space="0" w:color="auto"/>
                                                <w:bottom w:val="none" w:sz="0" w:space="0" w:color="auto"/>
                                                <w:right w:val="none" w:sz="0" w:space="0" w:color="auto"/>
                                              </w:divBdr>
                                              <w:divsChild>
                                                <w:div w:id="1228684573">
                                                  <w:marLeft w:val="0"/>
                                                  <w:marRight w:val="0"/>
                                                  <w:marTop w:val="0"/>
                                                  <w:marBottom w:val="0"/>
                                                  <w:divBdr>
                                                    <w:top w:val="none" w:sz="0" w:space="0" w:color="auto"/>
                                                    <w:left w:val="none" w:sz="0" w:space="0" w:color="auto"/>
                                                    <w:bottom w:val="none" w:sz="0" w:space="0" w:color="auto"/>
                                                    <w:right w:val="none" w:sz="0" w:space="0" w:color="auto"/>
                                                  </w:divBdr>
                                                  <w:divsChild>
                                                    <w:div w:id="17686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03824">
      <w:bodyDiv w:val="1"/>
      <w:marLeft w:val="0"/>
      <w:marRight w:val="0"/>
      <w:marTop w:val="0"/>
      <w:marBottom w:val="0"/>
      <w:divBdr>
        <w:top w:val="none" w:sz="0" w:space="0" w:color="auto"/>
        <w:left w:val="none" w:sz="0" w:space="0" w:color="auto"/>
        <w:bottom w:val="none" w:sz="0" w:space="0" w:color="auto"/>
        <w:right w:val="none" w:sz="0" w:space="0" w:color="auto"/>
      </w:divBdr>
    </w:div>
    <w:div w:id="192698218">
      <w:bodyDiv w:val="1"/>
      <w:marLeft w:val="0"/>
      <w:marRight w:val="0"/>
      <w:marTop w:val="0"/>
      <w:marBottom w:val="0"/>
      <w:divBdr>
        <w:top w:val="none" w:sz="0" w:space="0" w:color="auto"/>
        <w:left w:val="none" w:sz="0" w:space="0" w:color="auto"/>
        <w:bottom w:val="none" w:sz="0" w:space="0" w:color="auto"/>
        <w:right w:val="none" w:sz="0" w:space="0" w:color="auto"/>
      </w:divBdr>
    </w:div>
    <w:div w:id="411120205">
      <w:bodyDiv w:val="1"/>
      <w:marLeft w:val="0"/>
      <w:marRight w:val="0"/>
      <w:marTop w:val="0"/>
      <w:marBottom w:val="0"/>
      <w:divBdr>
        <w:top w:val="none" w:sz="0" w:space="0" w:color="auto"/>
        <w:left w:val="none" w:sz="0" w:space="0" w:color="auto"/>
        <w:bottom w:val="none" w:sz="0" w:space="0" w:color="auto"/>
        <w:right w:val="none" w:sz="0" w:space="0" w:color="auto"/>
      </w:divBdr>
      <w:divsChild>
        <w:div w:id="299651418">
          <w:marLeft w:val="0"/>
          <w:marRight w:val="0"/>
          <w:marTop w:val="0"/>
          <w:marBottom w:val="0"/>
          <w:divBdr>
            <w:top w:val="none" w:sz="0" w:space="0" w:color="auto"/>
            <w:left w:val="none" w:sz="0" w:space="0" w:color="auto"/>
            <w:bottom w:val="none" w:sz="0" w:space="0" w:color="auto"/>
            <w:right w:val="none" w:sz="0" w:space="0" w:color="auto"/>
          </w:divBdr>
          <w:divsChild>
            <w:div w:id="3497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6918">
      <w:bodyDiv w:val="1"/>
      <w:marLeft w:val="0"/>
      <w:marRight w:val="0"/>
      <w:marTop w:val="0"/>
      <w:marBottom w:val="0"/>
      <w:divBdr>
        <w:top w:val="none" w:sz="0" w:space="0" w:color="auto"/>
        <w:left w:val="none" w:sz="0" w:space="0" w:color="auto"/>
        <w:bottom w:val="none" w:sz="0" w:space="0" w:color="auto"/>
        <w:right w:val="none" w:sz="0" w:space="0" w:color="auto"/>
      </w:divBdr>
    </w:div>
    <w:div w:id="458958204">
      <w:bodyDiv w:val="1"/>
      <w:marLeft w:val="0"/>
      <w:marRight w:val="0"/>
      <w:marTop w:val="0"/>
      <w:marBottom w:val="0"/>
      <w:divBdr>
        <w:top w:val="none" w:sz="0" w:space="0" w:color="auto"/>
        <w:left w:val="none" w:sz="0" w:space="0" w:color="auto"/>
        <w:bottom w:val="none" w:sz="0" w:space="0" w:color="auto"/>
        <w:right w:val="none" w:sz="0" w:space="0" w:color="auto"/>
      </w:divBdr>
    </w:div>
    <w:div w:id="468061278">
      <w:bodyDiv w:val="1"/>
      <w:marLeft w:val="0"/>
      <w:marRight w:val="0"/>
      <w:marTop w:val="0"/>
      <w:marBottom w:val="0"/>
      <w:divBdr>
        <w:top w:val="none" w:sz="0" w:space="0" w:color="auto"/>
        <w:left w:val="none" w:sz="0" w:space="0" w:color="auto"/>
        <w:bottom w:val="none" w:sz="0" w:space="0" w:color="auto"/>
        <w:right w:val="none" w:sz="0" w:space="0" w:color="auto"/>
      </w:divBdr>
      <w:divsChild>
        <w:div w:id="1406102099">
          <w:marLeft w:val="0"/>
          <w:marRight w:val="0"/>
          <w:marTop w:val="0"/>
          <w:marBottom w:val="0"/>
          <w:divBdr>
            <w:top w:val="none" w:sz="0" w:space="0" w:color="auto"/>
            <w:left w:val="none" w:sz="0" w:space="0" w:color="auto"/>
            <w:bottom w:val="none" w:sz="0" w:space="0" w:color="auto"/>
            <w:right w:val="none" w:sz="0" w:space="0" w:color="auto"/>
          </w:divBdr>
          <w:divsChild>
            <w:div w:id="1846896533">
              <w:marLeft w:val="0"/>
              <w:marRight w:val="0"/>
              <w:marTop w:val="0"/>
              <w:marBottom w:val="0"/>
              <w:divBdr>
                <w:top w:val="none" w:sz="0" w:space="0" w:color="auto"/>
                <w:left w:val="none" w:sz="0" w:space="0" w:color="auto"/>
                <w:bottom w:val="none" w:sz="0" w:space="0" w:color="auto"/>
                <w:right w:val="none" w:sz="0" w:space="0" w:color="auto"/>
              </w:divBdr>
              <w:divsChild>
                <w:div w:id="372391696">
                  <w:marLeft w:val="0"/>
                  <w:marRight w:val="0"/>
                  <w:marTop w:val="0"/>
                  <w:marBottom w:val="0"/>
                  <w:divBdr>
                    <w:top w:val="none" w:sz="0" w:space="0" w:color="auto"/>
                    <w:left w:val="none" w:sz="0" w:space="0" w:color="auto"/>
                    <w:bottom w:val="none" w:sz="0" w:space="0" w:color="auto"/>
                    <w:right w:val="none" w:sz="0" w:space="0" w:color="auto"/>
                  </w:divBdr>
                  <w:divsChild>
                    <w:div w:id="788402731">
                      <w:marLeft w:val="0"/>
                      <w:marRight w:val="0"/>
                      <w:marTop w:val="0"/>
                      <w:marBottom w:val="0"/>
                      <w:divBdr>
                        <w:top w:val="none" w:sz="0" w:space="0" w:color="auto"/>
                        <w:left w:val="none" w:sz="0" w:space="0" w:color="auto"/>
                        <w:bottom w:val="none" w:sz="0" w:space="0" w:color="auto"/>
                        <w:right w:val="none" w:sz="0" w:space="0" w:color="auto"/>
                      </w:divBdr>
                      <w:divsChild>
                        <w:div w:id="585769167">
                          <w:marLeft w:val="0"/>
                          <w:marRight w:val="0"/>
                          <w:marTop w:val="0"/>
                          <w:marBottom w:val="0"/>
                          <w:divBdr>
                            <w:top w:val="none" w:sz="0" w:space="0" w:color="auto"/>
                            <w:left w:val="none" w:sz="0" w:space="0" w:color="auto"/>
                            <w:bottom w:val="none" w:sz="0" w:space="0" w:color="auto"/>
                            <w:right w:val="none" w:sz="0" w:space="0" w:color="auto"/>
                          </w:divBdr>
                          <w:divsChild>
                            <w:div w:id="775753173">
                              <w:marLeft w:val="0"/>
                              <w:marRight w:val="0"/>
                              <w:marTop w:val="0"/>
                              <w:marBottom w:val="0"/>
                              <w:divBdr>
                                <w:top w:val="none" w:sz="0" w:space="0" w:color="auto"/>
                                <w:left w:val="none" w:sz="0" w:space="0" w:color="auto"/>
                                <w:bottom w:val="none" w:sz="0" w:space="0" w:color="auto"/>
                                <w:right w:val="none" w:sz="0" w:space="0" w:color="auto"/>
                              </w:divBdr>
                              <w:divsChild>
                                <w:div w:id="178544878">
                                  <w:marLeft w:val="0"/>
                                  <w:marRight w:val="0"/>
                                  <w:marTop w:val="0"/>
                                  <w:marBottom w:val="0"/>
                                  <w:divBdr>
                                    <w:top w:val="none" w:sz="0" w:space="0" w:color="auto"/>
                                    <w:left w:val="none" w:sz="0" w:space="0" w:color="auto"/>
                                    <w:bottom w:val="none" w:sz="0" w:space="0" w:color="auto"/>
                                    <w:right w:val="none" w:sz="0" w:space="0" w:color="auto"/>
                                  </w:divBdr>
                                  <w:divsChild>
                                    <w:div w:id="21007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492312">
      <w:bodyDiv w:val="1"/>
      <w:marLeft w:val="0"/>
      <w:marRight w:val="0"/>
      <w:marTop w:val="0"/>
      <w:marBottom w:val="0"/>
      <w:divBdr>
        <w:top w:val="none" w:sz="0" w:space="0" w:color="auto"/>
        <w:left w:val="none" w:sz="0" w:space="0" w:color="auto"/>
        <w:bottom w:val="none" w:sz="0" w:space="0" w:color="auto"/>
        <w:right w:val="none" w:sz="0" w:space="0" w:color="auto"/>
      </w:divBdr>
      <w:divsChild>
        <w:div w:id="51932879">
          <w:marLeft w:val="0"/>
          <w:marRight w:val="0"/>
          <w:marTop w:val="0"/>
          <w:marBottom w:val="0"/>
          <w:divBdr>
            <w:top w:val="none" w:sz="0" w:space="0" w:color="auto"/>
            <w:left w:val="none" w:sz="0" w:space="0" w:color="auto"/>
            <w:bottom w:val="none" w:sz="0" w:space="0" w:color="auto"/>
            <w:right w:val="none" w:sz="0" w:space="0" w:color="auto"/>
          </w:divBdr>
          <w:divsChild>
            <w:div w:id="785125998">
              <w:marLeft w:val="0"/>
              <w:marRight w:val="0"/>
              <w:marTop w:val="0"/>
              <w:marBottom w:val="0"/>
              <w:divBdr>
                <w:top w:val="none" w:sz="0" w:space="0" w:color="auto"/>
                <w:left w:val="none" w:sz="0" w:space="0" w:color="auto"/>
                <w:bottom w:val="none" w:sz="0" w:space="0" w:color="auto"/>
                <w:right w:val="none" w:sz="0" w:space="0" w:color="auto"/>
              </w:divBdr>
              <w:divsChild>
                <w:div w:id="644236778">
                  <w:marLeft w:val="0"/>
                  <w:marRight w:val="0"/>
                  <w:marTop w:val="0"/>
                  <w:marBottom w:val="0"/>
                  <w:divBdr>
                    <w:top w:val="none" w:sz="0" w:space="0" w:color="auto"/>
                    <w:left w:val="none" w:sz="0" w:space="0" w:color="auto"/>
                    <w:bottom w:val="none" w:sz="0" w:space="0" w:color="auto"/>
                    <w:right w:val="none" w:sz="0" w:space="0" w:color="auto"/>
                  </w:divBdr>
                  <w:divsChild>
                    <w:div w:id="761609862">
                      <w:marLeft w:val="0"/>
                      <w:marRight w:val="0"/>
                      <w:marTop w:val="0"/>
                      <w:marBottom w:val="0"/>
                      <w:divBdr>
                        <w:top w:val="none" w:sz="0" w:space="0" w:color="auto"/>
                        <w:left w:val="none" w:sz="0" w:space="0" w:color="auto"/>
                        <w:bottom w:val="none" w:sz="0" w:space="0" w:color="auto"/>
                        <w:right w:val="none" w:sz="0" w:space="0" w:color="auto"/>
                      </w:divBdr>
                      <w:divsChild>
                        <w:div w:id="1056053855">
                          <w:marLeft w:val="0"/>
                          <w:marRight w:val="0"/>
                          <w:marTop w:val="0"/>
                          <w:marBottom w:val="0"/>
                          <w:divBdr>
                            <w:top w:val="none" w:sz="0" w:space="0" w:color="auto"/>
                            <w:left w:val="none" w:sz="0" w:space="0" w:color="auto"/>
                            <w:bottom w:val="none" w:sz="0" w:space="0" w:color="auto"/>
                            <w:right w:val="none" w:sz="0" w:space="0" w:color="auto"/>
                          </w:divBdr>
                          <w:divsChild>
                            <w:div w:id="1337000678">
                              <w:marLeft w:val="0"/>
                              <w:marRight w:val="0"/>
                              <w:marTop w:val="0"/>
                              <w:marBottom w:val="0"/>
                              <w:divBdr>
                                <w:top w:val="none" w:sz="0" w:space="0" w:color="auto"/>
                                <w:left w:val="none" w:sz="0" w:space="0" w:color="auto"/>
                                <w:bottom w:val="none" w:sz="0" w:space="0" w:color="auto"/>
                                <w:right w:val="none" w:sz="0" w:space="0" w:color="auto"/>
                              </w:divBdr>
                              <w:divsChild>
                                <w:div w:id="1940676727">
                                  <w:marLeft w:val="0"/>
                                  <w:marRight w:val="0"/>
                                  <w:marTop w:val="0"/>
                                  <w:marBottom w:val="0"/>
                                  <w:divBdr>
                                    <w:top w:val="none" w:sz="0" w:space="0" w:color="auto"/>
                                    <w:left w:val="none" w:sz="0" w:space="0" w:color="auto"/>
                                    <w:bottom w:val="none" w:sz="0" w:space="0" w:color="auto"/>
                                    <w:right w:val="none" w:sz="0" w:space="0" w:color="auto"/>
                                  </w:divBdr>
                                  <w:divsChild>
                                    <w:div w:id="1259675686">
                                      <w:marLeft w:val="0"/>
                                      <w:marRight w:val="0"/>
                                      <w:marTop w:val="0"/>
                                      <w:marBottom w:val="0"/>
                                      <w:divBdr>
                                        <w:top w:val="none" w:sz="0" w:space="0" w:color="auto"/>
                                        <w:left w:val="none" w:sz="0" w:space="0" w:color="auto"/>
                                        <w:bottom w:val="none" w:sz="0" w:space="0" w:color="auto"/>
                                        <w:right w:val="none" w:sz="0" w:space="0" w:color="auto"/>
                                      </w:divBdr>
                                      <w:divsChild>
                                        <w:div w:id="516431112">
                                          <w:marLeft w:val="0"/>
                                          <w:marRight w:val="0"/>
                                          <w:marTop w:val="0"/>
                                          <w:marBottom w:val="0"/>
                                          <w:divBdr>
                                            <w:top w:val="none" w:sz="0" w:space="0" w:color="auto"/>
                                            <w:left w:val="none" w:sz="0" w:space="0" w:color="auto"/>
                                            <w:bottom w:val="none" w:sz="0" w:space="0" w:color="auto"/>
                                            <w:right w:val="none" w:sz="0" w:space="0" w:color="auto"/>
                                          </w:divBdr>
                                          <w:divsChild>
                                            <w:div w:id="15693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24117">
      <w:bodyDiv w:val="1"/>
      <w:marLeft w:val="0"/>
      <w:marRight w:val="0"/>
      <w:marTop w:val="0"/>
      <w:marBottom w:val="0"/>
      <w:divBdr>
        <w:top w:val="none" w:sz="0" w:space="0" w:color="auto"/>
        <w:left w:val="none" w:sz="0" w:space="0" w:color="auto"/>
        <w:bottom w:val="none" w:sz="0" w:space="0" w:color="auto"/>
        <w:right w:val="none" w:sz="0" w:space="0" w:color="auto"/>
      </w:divBdr>
    </w:div>
    <w:div w:id="866605939">
      <w:bodyDiv w:val="1"/>
      <w:marLeft w:val="0"/>
      <w:marRight w:val="0"/>
      <w:marTop w:val="0"/>
      <w:marBottom w:val="0"/>
      <w:divBdr>
        <w:top w:val="none" w:sz="0" w:space="0" w:color="auto"/>
        <w:left w:val="none" w:sz="0" w:space="0" w:color="auto"/>
        <w:bottom w:val="none" w:sz="0" w:space="0" w:color="auto"/>
        <w:right w:val="none" w:sz="0" w:space="0" w:color="auto"/>
      </w:divBdr>
    </w:div>
    <w:div w:id="1003318539">
      <w:bodyDiv w:val="1"/>
      <w:marLeft w:val="0"/>
      <w:marRight w:val="0"/>
      <w:marTop w:val="0"/>
      <w:marBottom w:val="0"/>
      <w:divBdr>
        <w:top w:val="none" w:sz="0" w:space="0" w:color="auto"/>
        <w:left w:val="none" w:sz="0" w:space="0" w:color="auto"/>
        <w:bottom w:val="none" w:sz="0" w:space="0" w:color="auto"/>
        <w:right w:val="none" w:sz="0" w:space="0" w:color="auto"/>
      </w:divBdr>
    </w:div>
    <w:div w:id="1036000786">
      <w:bodyDiv w:val="1"/>
      <w:marLeft w:val="0"/>
      <w:marRight w:val="0"/>
      <w:marTop w:val="0"/>
      <w:marBottom w:val="0"/>
      <w:divBdr>
        <w:top w:val="none" w:sz="0" w:space="0" w:color="auto"/>
        <w:left w:val="none" w:sz="0" w:space="0" w:color="auto"/>
        <w:bottom w:val="none" w:sz="0" w:space="0" w:color="auto"/>
        <w:right w:val="none" w:sz="0" w:space="0" w:color="auto"/>
      </w:divBdr>
    </w:div>
    <w:div w:id="1149639165">
      <w:bodyDiv w:val="1"/>
      <w:marLeft w:val="0"/>
      <w:marRight w:val="0"/>
      <w:marTop w:val="0"/>
      <w:marBottom w:val="0"/>
      <w:divBdr>
        <w:top w:val="none" w:sz="0" w:space="0" w:color="auto"/>
        <w:left w:val="none" w:sz="0" w:space="0" w:color="auto"/>
        <w:bottom w:val="none" w:sz="0" w:space="0" w:color="auto"/>
        <w:right w:val="none" w:sz="0" w:space="0" w:color="auto"/>
      </w:divBdr>
    </w:div>
    <w:div w:id="1156259201">
      <w:bodyDiv w:val="1"/>
      <w:marLeft w:val="0"/>
      <w:marRight w:val="0"/>
      <w:marTop w:val="0"/>
      <w:marBottom w:val="0"/>
      <w:divBdr>
        <w:top w:val="none" w:sz="0" w:space="0" w:color="auto"/>
        <w:left w:val="none" w:sz="0" w:space="0" w:color="auto"/>
        <w:bottom w:val="none" w:sz="0" w:space="0" w:color="auto"/>
        <w:right w:val="none" w:sz="0" w:space="0" w:color="auto"/>
      </w:divBdr>
    </w:div>
    <w:div w:id="1189758662">
      <w:bodyDiv w:val="1"/>
      <w:marLeft w:val="0"/>
      <w:marRight w:val="0"/>
      <w:marTop w:val="0"/>
      <w:marBottom w:val="0"/>
      <w:divBdr>
        <w:top w:val="none" w:sz="0" w:space="0" w:color="auto"/>
        <w:left w:val="none" w:sz="0" w:space="0" w:color="auto"/>
        <w:bottom w:val="none" w:sz="0" w:space="0" w:color="auto"/>
        <w:right w:val="none" w:sz="0" w:space="0" w:color="auto"/>
      </w:divBdr>
    </w:div>
    <w:div w:id="1221594027">
      <w:bodyDiv w:val="1"/>
      <w:marLeft w:val="0"/>
      <w:marRight w:val="0"/>
      <w:marTop w:val="0"/>
      <w:marBottom w:val="0"/>
      <w:divBdr>
        <w:top w:val="none" w:sz="0" w:space="0" w:color="auto"/>
        <w:left w:val="none" w:sz="0" w:space="0" w:color="auto"/>
        <w:bottom w:val="none" w:sz="0" w:space="0" w:color="auto"/>
        <w:right w:val="none" w:sz="0" w:space="0" w:color="auto"/>
      </w:divBdr>
    </w:div>
    <w:div w:id="1303660184">
      <w:bodyDiv w:val="1"/>
      <w:marLeft w:val="0"/>
      <w:marRight w:val="0"/>
      <w:marTop w:val="0"/>
      <w:marBottom w:val="0"/>
      <w:divBdr>
        <w:top w:val="none" w:sz="0" w:space="0" w:color="auto"/>
        <w:left w:val="none" w:sz="0" w:space="0" w:color="auto"/>
        <w:bottom w:val="none" w:sz="0" w:space="0" w:color="auto"/>
        <w:right w:val="none" w:sz="0" w:space="0" w:color="auto"/>
      </w:divBdr>
    </w:div>
    <w:div w:id="1324620470">
      <w:bodyDiv w:val="1"/>
      <w:marLeft w:val="0"/>
      <w:marRight w:val="0"/>
      <w:marTop w:val="0"/>
      <w:marBottom w:val="0"/>
      <w:divBdr>
        <w:top w:val="none" w:sz="0" w:space="0" w:color="auto"/>
        <w:left w:val="none" w:sz="0" w:space="0" w:color="auto"/>
        <w:bottom w:val="none" w:sz="0" w:space="0" w:color="auto"/>
        <w:right w:val="none" w:sz="0" w:space="0" w:color="auto"/>
      </w:divBdr>
    </w:div>
    <w:div w:id="1767380216">
      <w:bodyDiv w:val="1"/>
      <w:marLeft w:val="0"/>
      <w:marRight w:val="0"/>
      <w:marTop w:val="0"/>
      <w:marBottom w:val="0"/>
      <w:divBdr>
        <w:top w:val="none" w:sz="0" w:space="0" w:color="auto"/>
        <w:left w:val="none" w:sz="0" w:space="0" w:color="auto"/>
        <w:bottom w:val="none" w:sz="0" w:space="0" w:color="auto"/>
        <w:right w:val="none" w:sz="0" w:space="0" w:color="auto"/>
      </w:divBdr>
    </w:div>
    <w:div w:id="2051804930">
      <w:bodyDiv w:val="1"/>
      <w:marLeft w:val="0"/>
      <w:marRight w:val="0"/>
      <w:marTop w:val="0"/>
      <w:marBottom w:val="0"/>
      <w:divBdr>
        <w:top w:val="none" w:sz="0" w:space="0" w:color="auto"/>
        <w:left w:val="none" w:sz="0" w:space="0" w:color="auto"/>
        <w:bottom w:val="none" w:sz="0" w:space="0" w:color="auto"/>
        <w:right w:val="none" w:sz="0" w:space="0" w:color="auto"/>
      </w:divBdr>
      <w:divsChild>
        <w:div w:id="1392847898">
          <w:marLeft w:val="0"/>
          <w:marRight w:val="0"/>
          <w:marTop w:val="0"/>
          <w:marBottom w:val="0"/>
          <w:divBdr>
            <w:top w:val="none" w:sz="0" w:space="0" w:color="auto"/>
            <w:left w:val="none" w:sz="0" w:space="0" w:color="auto"/>
            <w:bottom w:val="none" w:sz="0" w:space="0" w:color="auto"/>
            <w:right w:val="none" w:sz="0" w:space="0" w:color="auto"/>
          </w:divBdr>
          <w:divsChild>
            <w:div w:id="13872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rain/awu258" TargetMode="External"/><Relationship Id="rId18" Type="http://schemas.openxmlformats.org/officeDocument/2006/relationships/hyperlink" Target="https://doi.org/10.1136/bmj.l4898" TargetMode="External"/><Relationship Id="rId26" Type="http://schemas.openxmlformats.org/officeDocument/2006/relationships/hyperlink" Target="https://doi.org/10.3390/cancers15061772" TargetMode="External"/><Relationship Id="rId39" Type="http://schemas.openxmlformats.org/officeDocument/2006/relationships/hyperlink" Target="https://doi.org/10.1097/JS9.0000000000003497" TargetMode="External"/><Relationship Id="rId21" Type="http://schemas.openxmlformats.org/officeDocument/2006/relationships/hyperlink" Target="https://doi.org/10.1016/S1470-2045(06)70665-9" TargetMode="External"/><Relationship Id="rId34" Type="http://schemas.openxmlformats.org/officeDocument/2006/relationships/hyperlink" Target="https://doi.org/10.1007/s00701-025-06755-6"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093/neuonc/noad149" TargetMode="External"/><Relationship Id="rId2" Type="http://schemas.openxmlformats.org/officeDocument/2006/relationships/styles" Target="styles.xml"/><Relationship Id="rId16" Type="http://schemas.openxmlformats.org/officeDocument/2006/relationships/hyperlink" Target="https://doi.org/10.1016/j.ccr.2009.12.020" TargetMode="External"/><Relationship Id="rId29" Type="http://schemas.openxmlformats.org/officeDocument/2006/relationships/hyperlink" Target="https://doi.org/10.1093/neuonc/noaa106" TargetMode="External"/><Relationship Id="rId11" Type="http://schemas.openxmlformats.org/officeDocument/2006/relationships/hyperlink" Target="https://doi.org/10.3171/jns.2001.95.2.0190" TargetMode="External"/><Relationship Id="rId24" Type="http://schemas.openxmlformats.org/officeDocument/2006/relationships/hyperlink" Target="https://doi.org/10.1056/NEJMoa0808710" TargetMode="External"/><Relationship Id="rId32" Type="http://schemas.openxmlformats.org/officeDocument/2006/relationships/hyperlink" Target="https://doi.org/10.1016/j.bas.2025.105867" TargetMode="External"/><Relationship Id="rId37" Type="http://schemas.openxmlformats.org/officeDocument/2006/relationships/hyperlink" Target="https://doi.org/10.1007/s11060-016-2110-4" TargetMode="External"/><Relationship Id="rId40" Type="http://schemas.openxmlformats.org/officeDocument/2006/relationships/hyperlink" Target="https://doi.org/10.1056/NEJMoa1611977"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56/NEJMoa043331" TargetMode="External"/><Relationship Id="rId23" Type="http://schemas.openxmlformats.org/officeDocument/2006/relationships/hyperlink" Target="https://doi.org/10.1200/JCO.19.02197" TargetMode="External"/><Relationship Id="rId28" Type="http://schemas.openxmlformats.org/officeDocument/2006/relationships/hyperlink" Target="https://doi.org/10.1038/s41582-019-0220-2" TargetMode="External"/><Relationship Id="rId36" Type="http://schemas.openxmlformats.org/officeDocument/2006/relationships/hyperlink" Target="https://doi.org/10.1007/s10143-026-04297-8" TargetMode="External"/><Relationship Id="rId49" Type="http://schemas.openxmlformats.org/officeDocument/2006/relationships/theme" Target="theme/theme1.xml"/><Relationship Id="rId10" Type="http://schemas.openxmlformats.org/officeDocument/2006/relationships/hyperlink" Target="https://doi.org/10.1016/j.nurt.2009.04.006" TargetMode="External"/><Relationship Id="rId19" Type="http://schemas.openxmlformats.org/officeDocument/2006/relationships/hyperlink" Target="https://doi.org/10.1001/jamaoncol.2016.1373" TargetMode="External"/><Relationship Id="rId31" Type="http://schemas.openxmlformats.org/officeDocument/2006/relationships/hyperlink" Target="https://doi.org/10.1007/s00401-016-1545-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56/NEJMoa043330" TargetMode="External"/><Relationship Id="rId14" Type="http://schemas.openxmlformats.org/officeDocument/2006/relationships/hyperlink" Target="https://doi.org/10.1126/science.1164382" TargetMode="External"/><Relationship Id="rId22" Type="http://schemas.openxmlformats.org/officeDocument/2006/relationships/hyperlink" Target="https://doi.org/10.1016/S1470-2045(11)70196-6" TargetMode="External"/><Relationship Id="rId27" Type="http://schemas.openxmlformats.org/officeDocument/2006/relationships/hyperlink" Target="https://doi.org/10.1097/MD.0000000000026432" TargetMode="External"/><Relationship Id="rId30" Type="http://schemas.openxmlformats.org/officeDocument/2006/relationships/hyperlink" Target="https://doi.org/10.1038/s41571-020-00447-z" TargetMode="External"/><Relationship Id="rId35" Type="http://schemas.openxmlformats.org/officeDocument/2006/relationships/hyperlink" Target="https://doi.org/10.1007/s12672-025-03928-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07/s00401-021-02284-5" TargetMode="External"/><Relationship Id="rId3" Type="http://schemas.openxmlformats.org/officeDocument/2006/relationships/settings" Target="settings.xml"/><Relationship Id="rId12" Type="http://schemas.openxmlformats.org/officeDocument/2006/relationships/hyperlink" Target="https://doi.org/10.1093/neuonc/not137" TargetMode="External"/><Relationship Id="rId17" Type="http://schemas.openxmlformats.org/officeDocument/2006/relationships/hyperlink" Target="https://doi.org/10.1136/bmj.n71" TargetMode="External"/><Relationship Id="rId25" Type="http://schemas.openxmlformats.org/officeDocument/2006/relationships/hyperlink" Target="https://doi.org/10.1186/s41984-022-00145-1" TargetMode="External"/><Relationship Id="rId33" Type="http://schemas.openxmlformats.org/officeDocument/2006/relationships/hyperlink" Target="https://doi.org/10.1007/s11060-025-04950-0" TargetMode="External"/><Relationship Id="rId38" Type="http://schemas.openxmlformats.org/officeDocument/2006/relationships/hyperlink" Target="https://doi.org/10.1093/neuonc/nou349" TargetMode="External"/><Relationship Id="rId46" Type="http://schemas.openxmlformats.org/officeDocument/2006/relationships/header" Target="header3.xml"/><Relationship Id="rId20" Type="http://schemas.openxmlformats.org/officeDocument/2006/relationships/hyperlink" Target="https://doi.org/10.3171/2014.5.JNS132449" TargetMode="External"/><Relationship Id="rId41" Type="http://schemas.openxmlformats.org/officeDocument/2006/relationships/hyperlink" Target="https://doi.org/10.1001/jama.2017.1871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ندى عطوه محمود ابو لبن</dc:creator>
  <cp:keywords/>
  <dc:description/>
  <cp:lastModifiedBy>SDI PC New 16</cp:lastModifiedBy>
  <cp:revision>6</cp:revision>
  <cp:lastPrinted>2026-05-23T21:57:00Z</cp:lastPrinted>
  <dcterms:created xsi:type="dcterms:W3CDTF">2026-05-23T21:57:00Z</dcterms:created>
  <dcterms:modified xsi:type="dcterms:W3CDTF">2026-05-26T12:09:00Z</dcterms:modified>
</cp:coreProperties>
</file>