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EDAA1" w14:textId="77777777" w:rsidR="007C29E0" w:rsidRDefault="007C29E0" w:rsidP="00441B6F">
      <w:pPr>
        <w:pStyle w:val="Title"/>
        <w:spacing w:after="0"/>
        <w:jc w:val="both"/>
        <w:rPr>
          <w:rFonts w:ascii="Arial" w:hAnsi="Arial" w:cs="Arial"/>
        </w:rPr>
      </w:pPr>
    </w:p>
    <w:p w14:paraId="4CA0555D" w14:textId="77777777" w:rsidR="007C29E0" w:rsidRDefault="007C29E0" w:rsidP="00441B6F">
      <w:pPr>
        <w:pStyle w:val="Title"/>
        <w:spacing w:after="0"/>
        <w:jc w:val="both"/>
        <w:rPr>
          <w:rFonts w:ascii="Arial" w:hAnsi="Arial" w:cs="Arial"/>
        </w:rPr>
      </w:pPr>
    </w:p>
    <w:p w14:paraId="2F1218A8" w14:textId="71A7C383" w:rsidR="00741C82" w:rsidRPr="00741C82" w:rsidRDefault="00741C82" w:rsidP="00741C82">
      <w:pPr>
        <w:pStyle w:val="Author"/>
        <w:spacing w:line="240" w:lineRule="auto"/>
        <w:rPr>
          <w:rFonts w:ascii="Arial" w:hAnsi="Arial" w:cs="Arial"/>
          <w:bCs/>
          <w:iCs/>
          <w:kern w:val="28"/>
          <w:sz w:val="36"/>
        </w:rPr>
      </w:pPr>
      <w:r w:rsidRPr="00741C82">
        <w:rPr>
          <w:rFonts w:ascii="Arial" w:hAnsi="Arial" w:cs="Arial"/>
          <w:bCs/>
          <w:iCs/>
          <w:kern w:val="28"/>
          <w:sz w:val="36"/>
        </w:rPr>
        <w:t xml:space="preserve">Antioxidant and Antibacterial Activities of Aqueous and Hydroethanolic Extracts from the Pericarp of </w:t>
      </w:r>
      <w:r w:rsidR="00CA16D7" w:rsidRPr="00CA16D7">
        <w:rPr>
          <w:rFonts w:ascii="Arial" w:hAnsi="Arial" w:cs="Arial"/>
          <w:bCs/>
          <w:i/>
          <w:iCs/>
          <w:kern w:val="28"/>
          <w:sz w:val="36"/>
        </w:rPr>
        <w:t xml:space="preserve">Garcinia </w:t>
      </w:r>
      <w:proofErr w:type="spellStart"/>
      <w:r w:rsidR="00CA16D7" w:rsidRPr="00CA16D7">
        <w:rPr>
          <w:rFonts w:ascii="Arial" w:hAnsi="Arial" w:cs="Arial"/>
          <w:bCs/>
          <w:i/>
          <w:iCs/>
          <w:kern w:val="28"/>
          <w:sz w:val="36"/>
        </w:rPr>
        <w:t>mangostana</w:t>
      </w:r>
      <w:proofErr w:type="spellEnd"/>
      <w:r w:rsidRPr="00741C82">
        <w:rPr>
          <w:rFonts w:ascii="Arial" w:hAnsi="Arial" w:cs="Arial"/>
          <w:bCs/>
          <w:iCs/>
          <w:kern w:val="28"/>
          <w:sz w:val="36"/>
        </w:rPr>
        <w:t xml:space="preserve"> L.</w:t>
      </w:r>
    </w:p>
    <w:p w14:paraId="6448A8FD" w14:textId="77777777" w:rsidR="00741C82" w:rsidRPr="000E12D9" w:rsidRDefault="00741C82" w:rsidP="00741C82">
      <w:pPr>
        <w:pStyle w:val="Heading1"/>
        <w:rPr>
          <w:rFonts w:asciiTheme="majorBidi" w:hAnsiTheme="majorBidi"/>
          <w:b w:val="0"/>
          <w:bCs/>
          <w:color w:val="000000" w:themeColor="text1"/>
          <w:sz w:val="24"/>
          <w:szCs w:val="24"/>
        </w:rPr>
      </w:pPr>
    </w:p>
    <w:p w14:paraId="71330328" w14:textId="77777777" w:rsidR="002C57D2" w:rsidRPr="00FB3A86" w:rsidRDefault="002C57D2" w:rsidP="00441B6F">
      <w:pPr>
        <w:pStyle w:val="Affiliation"/>
        <w:spacing w:after="0" w:line="240" w:lineRule="auto"/>
        <w:jc w:val="both"/>
        <w:rPr>
          <w:rFonts w:ascii="Arial" w:hAnsi="Arial" w:cs="Arial"/>
        </w:rPr>
      </w:pPr>
    </w:p>
    <w:p w14:paraId="4D0D1189" w14:textId="0CF9A9A1" w:rsidR="00B01FCD" w:rsidRPr="00FB3A86" w:rsidRDefault="00BF0CCB" w:rsidP="00441B6F">
      <w:pPr>
        <w:pStyle w:val="Copyright"/>
        <w:spacing w:after="0" w:line="240" w:lineRule="auto"/>
        <w:jc w:val="both"/>
        <w:rPr>
          <w:rFonts w:ascii="Arial" w:hAnsi="Arial" w:cs="Arial"/>
        </w:rPr>
        <w:sectPr w:rsidR="00B01FCD" w:rsidRPr="00FB3A86" w:rsidSect="007502A8">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F95191" wp14:editId="7B412371">
                <wp:extent cx="5303520" cy="635"/>
                <wp:effectExtent l="11430" t="18415" r="9525" b="10160"/>
                <wp:docPr id="93691638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D27F19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966A64A" w14:textId="4110F8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2061F7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DE420F" w14:textId="77777777" w:rsidTr="001E44FE">
        <w:tc>
          <w:tcPr>
            <w:tcW w:w="9576" w:type="dxa"/>
            <w:shd w:val="clear" w:color="auto" w:fill="F2F2F2"/>
          </w:tcPr>
          <w:p w14:paraId="1F9B7123" w14:textId="77777777" w:rsidR="00606948" w:rsidRDefault="00606948" w:rsidP="00741C82">
            <w:pPr>
              <w:pStyle w:val="Body"/>
              <w:spacing w:after="0"/>
            </w:pPr>
            <w:r>
              <w:rPr>
                <w:rFonts w:ascii="Arial" w:eastAsia="Calibri" w:hAnsi="Arial" w:cs="Arial"/>
                <w:b/>
                <w:bCs/>
                <w:szCs w:val="22"/>
              </w:rPr>
              <w:t xml:space="preserve">Background: </w:t>
            </w:r>
            <w:r>
              <w:t xml:space="preserve">Oxidative stress and antibiotic-resistant bacterial infections pose major global health challenges, increasing interest in plant-based alternatives. </w:t>
            </w:r>
            <w:r>
              <w:rPr>
                <w:rStyle w:val="whitespace-normal"/>
              </w:rPr>
              <w:t xml:space="preserve">Garcinia </w:t>
            </w:r>
            <w:proofErr w:type="spellStart"/>
            <w:r>
              <w:rPr>
                <w:rStyle w:val="whitespace-normal"/>
              </w:rPr>
              <w:t>mangostana</w:t>
            </w:r>
            <w:proofErr w:type="spellEnd"/>
            <w:r>
              <w:t xml:space="preserve"> is traditionally used for its bioactive compounds with potential antioxidant and antibacterial properties.</w:t>
            </w:r>
          </w:p>
          <w:p w14:paraId="7D99057C" w14:textId="77777777" w:rsidR="00606948" w:rsidRDefault="00606948" w:rsidP="00741C82">
            <w:pPr>
              <w:pStyle w:val="Body"/>
              <w:spacing w:after="0"/>
              <w:rPr>
                <w:rFonts w:ascii="Arial" w:eastAsia="Calibri" w:hAnsi="Arial" w:cs="Arial"/>
                <w:b/>
                <w:bCs/>
                <w:szCs w:val="22"/>
              </w:rPr>
            </w:pPr>
          </w:p>
          <w:p w14:paraId="2C33D51E" w14:textId="71CEB245"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Aim:</w:t>
            </w:r>
            <w:r>
              <w:rPr>
                <w:rFonts w:ascii="Arial" w:eastAsia="Calibri" w:hAnsi="Arial" w:cs="Arial"/>
                <w:szCs w:val="22"/>
              </w:rPr>
              <w:t xml:space="preserve"> To </w:t>
            </w:r>
            <w:r w:rsidRPr="002504E7">
              <w:rPr>
                <w:rFonts w:ascii="Arial" w:eastAsia="Calibri" w:hAnsi="Arial" w:cs="Arial"/>
                <w:szCs w:val="22"/>
              </w:rPr>
              <w:t xml:space="preserve">carry out a phytochemical screening and </w:t>
            </w:r>
            <w:r>
              <w:rPr>
                <w:rFonts w:ascii="Arial" w:eastAsia="Calibri" w:hAnsi="Arial" w:cs="Arial"/>
                <w:szCs w:val="22"/>
              </w:rPr>
              <w:t xml:space="preserve">to </w:t>
            </w:r>
            <w:r w:rsidRPr="002504E7">
              <w:rPr>
                <w:rFonts w:ascii="Arial" w:eastAsia="Calibri" w:hAnsi="Arial" w:cs="Arial"/>
                <w:szCs w:val="22"/>
              </w:rPr>
              <w:t xml:space="preserve">evaluate the antioxidant and antibacterial activity of aqueous and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extracts from the pericarp of the fruit of </w:t>
            </w:r>
            <w:r w:rsidR="00CA16D7" w:rsidRPr="00CA16D7">
              <w:rPr>
                <w:rFonts w:ascii="Arial" w:eastAsia="Calibri" w:hAnsi="Arial" w:cs="Arial"/>
                <w:i/>
                <w:iCs/>
                <w:szCs w:val="22"/>
              </w:rPr>
              <w:t xml:space="preserve">Garcinia </w:t>
            </w:r>
            <w:proofErr w:type="spell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2504E7">
              <w:rPr>
                <w:rFonts w:ascii="Arial" w:eastAsia="Calibri" w:hAnsi="Arial" w:cs="Arial"/>
                <w:szCs w:val="22"/>
              </w:rPr>
              <w:t>(</w:t>
            </w:r>
            <w:proofErr w:type="spellStart"/>
            <w:r w:rsidRPr="002504E7">
              <w:rPr>
                <w:rFonts w:ascii="Arial" w:eastAsia="Calibri" w:hAnsi="Arial" w:cs="Arial"/>
                <w:szCs w:val="22"/>
              </w:rPr>
              <w:t>Clusiaceae</w:t>
            </w:r>
            <w:proofErr w:type="spellEnd"/>
            <w:r w:rsidRPr="002504E7">
              <w:rPr>
                <w:rFonts w:ascii="Arial" w:eastAsia="Calibri" w:hAnsi="Arial" w:cs="Arial"/>
                <w:szCs w:val="22"/>
              </w:rPr>
              <w:t xml:space="preserve">). </w:t>
            </w:r>
          </w:p>
          <w:p w14:paraId="3951D081" w14:textId="77777777" w:rsidR="00741C82" w:rsidRDefault="00741C82" w:rsidP="00741C82">
            <w:pPr>
              <w:pStyle w:val="Body"/>
              <w:spacing w:after="0"/>
              <w:rPr>
                <w:rFonts w:ascii="Arial" w:eastAsia="Calibri" w:hAnsi="Arial" w:cs="Arial"/>
                <w:szCs w:val="22"/>
              </w:rPr>
            </w:pPr>
          </w:p>
          <w:p w14:paraId="46320778" w14:textId="66D47AA2" w:rsidR="00741C82" w:rsidRDefault="00741C82" w:rsidP="00741C82">
            <w:pPr>
              <w:pStyle w:val="Body"/>
              <w:spacing w:after="0"/>
              <w:rPr>
                <w:rFonts w:ascii="Arial" w:eastAsia="Calibri" w:hAnsi="Arial" w:cs="Arial"/>
                <w:szCs w:val="22"/>
              </w:rPr>
            </w:pPr>
            <w:r w:rsidRPr="001A5676">
              <w:rPr>
                <w:rFonts w:ascii="Arial" w:eastAsia="Calibri" w:hAnsi="Arial" w:cs="Arial"/>
                <w:b/>
                <w:bCs/>
                <w:szCs w:val="22"/>
              </w:rPr>
              <w:t>Methodology:</w:t>
            </w:r>
            <w:r>
              <w:rPr>
                <w:rFonts w:ascii="Arial" w:eastAsia="Calibri" w:hAnsi="Arial" w:cs="Arial"/>
                <w:szCs w:val="22"/>
              </w:rPr>
              <w:t xml:space="preserve"> </w:t>
            </w:r>
            <w:r w:rsidR="00AB5A5D" w:rsidRPr="001A3A04">
              <w:rPr>
                <w:rFonts w:ascii="Arial" w:eastAsia="Calibri" w:hAnsi="Arial" w:cs="Arial"/>
                <w:color w:val="EE0000"/>
                <w:szCs w:val="22"/>
              </w:rPr>
              <w:t xml:space="preserve">Hydroethanolic Extracts from the Pericarp of </w:t>
            </w:r>
            <w:r w:rsidR="00AB5A5D" w:rsidRPr="001A3A04">
              <w:rPr>
                <w:rFonts w:ascii="Arial" w:eastAsia="Calibri" w:hAnsi="Arial" w:cs="Arial"/>
                <w:i/>
                <w:iCs/>
                <w:color w:val="EE0000"/>
                <w:szCs w:val="22"/>
              </w:rPr>
              <w:t xml:space="preserve">Garcinia </w:t>
            </w:r>
            <w:proofErr w:type="spellStart"/>
            <w:r w:rsidR="00AB5A5D" w:rsidRPr="001A3A04">
              <w:rPr>
                <w:rFonts w:ascii="Arial" w:eastAsia="Calibri" w:hAnsi="Arial" w:cs="Arial"/>
                <w:i/>
                <w:iCs/>
                <w:color w:val="EE0000"/>
                <w:szCs w:val="22"/>
              </w:rPr>
              <w:t>mangostana</w:t>
            </w:r>
            <w:proofErr w:type="spellEnd"/>
            <w:r w:rsidR="00AB5A5D" w:rsidRPr="001A3A04">
              <w:rPr>
                <w:rFonts w:ascii="Arial" w:eastAsia="Calibri" w:hAnsi="Arial" w:cs="Arial"/>
                <w:color w:val="EE0000"/>
                <w:szCs w:val="22"/>
              </w:rPr>
              <w:t xml:space="preserve"> L</w:t>
            </w:r>
            <w:r w:rsidR="001A3A04" w:rsidRPr="001A3A04">
              <w:rPr>
                <w:rFonts w:ascii="Arial" w:eastAsia="Calibri" w:hAnsi="Arial" w:cs="Arial"/>
                <w:color w:val="EE0000"/>
                <w:szCs w:val="22"/>
              </w:rPr>
              <w:t xml:space="preserve"> were prepared and </w:t>
            </w:r>
            <w:r w:rsidR="001A3A04">
              <w:rPr>
                <w:rFonts w:ascii="Arial" w:eastAsia="Calibri" w:hAnsi="Arial" w:cs="Arial"/>
                <w:szCs w:val="22"/>
              </w:rPr>
              <w:t>p</w:t>
            </w:r>
            <w:r w:rsidRPr="002504E7">
              <w:rPr>
                <w:rFonts w:ascii="Arial" w:eastAsia="Calibri" w:hAnsi="Arial" w:cs="Arial"/>
                <w:szCs w:val="22"/>
              </w:rPr>
              <w:t xml:space="preserve">hytochemical screening was carried out using colorimetric tests for qualitative analysis and spectrometric assays for quantitative analysis. Antioxidant activity was assessed by FRAP and DPPH methods. Antibacterial activity was determined using the Broth Microdilution technique on 4 bacterial strains including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w:t>
            </w:r>
            <w:r w:rsidR="00CA16D7" w:rsidRPr="00CA16D7">
              <w:rPr>
                <w:rFonts w:ascii="Arial" w:eastAsia="Calibri" w:hAnsi="Arial" w:cs="Arial"/>
                <w:i/>
                <w:iCs/>
                <w:szCs w:val="22"/>
              </w:rPr>
              <w:t>S. aureus</w:t>
            </w:r>
            <w:r w:rsidRPr="002504E7">
              <w:rPr>
                <w:rFonts w:ascii="Arial" w:eastAsia="Calibri" w:hAnsi="Arial" w:cs="Arial"/>
                <w:szCs w:val="22"/>
              </w:rPr>
              <w:t xml:space="preserve">, </w:t>
            </w:r>
            <w:r w:rsidR="00BF0CCB" w:rsidRPr="00BF0CCB">
              <w:rPr>
                <w:rFonts w:ascii="Arial" w:eastAsia="Calibri" w:hAnsi="Arial" w:cs="Arial"/>
                <w:i/>
                <w:iCs/>
                <w:szCs w:val="22"/>
              </w:rPr>
              <w:t>Escherichia coli</w:t>
            </w:r>
            <w:r w:rsidRPr="002504E7">
              <w:rPr>
                <w:rFonts w:ascii="Arial" w:eastAsia="Calibri" w:hAnsi="Arial" w:cs="Arial"/>
                <w:szCs w:val="22"/>
              </w:rPr>
              <w:t xml:space="preserve">, </w:t>
            </w:r>
            <w:r w:rsidR="00CA16D7" w:rsidRPr="00CA16D7">
              <w:rPr>
                <w:rFonts w:ascii="Arial" w:eastAsia="Calibri" w:hAnsi="Arial" w:cs="Arial"/>
                <w:i/>
                <w:iCs/>
                <w:szCs w:val="22"/>
              </w:rPr>
              <w:t>Pseudomonas aeruginosa</w:t>
            </w:r>
            <w:r w:rsidRPr="002504E7">
              <w:rPr>
                <w:rFonts w:ascii="Arial" w:eastAsia="Calibri" w:hAnsi="Arial" w:cs="Arial"/>
                <w:szCs w:val="22"/>
              </w:rPr>
              <w:t xml:space="preserve">. </w:t>
            </w:r>
            <w:r w:rsidRPr="006344FF">
              <w:rPr>
                <w:rFonts w:ascii="Arial" w:eastAsia="Calibri" w:hAnsi="Arial" w:cs="Arial"/>
                <w:color w:val="EE0000"/>
                <w:szCs w:val="22"/>
              </w:rPr>
              <w:t xml:space="preserve">The bacteria sought came </w:t>
            </w:r>
            <w:r w:rsidRPr="002504E7">
              <w:rPr>
                <w:rFonts w:ascii="Arial" w:eastAsia="Calibri" w:hAnsi="Arial" w:cs="Arial"/>
                <w:szCs w:val="22"/>
              </w:rPr>
              <w:t>from samples analyzed at the Microbiology Laboratory of the University Clinics of the Mountains, purified on nutrient agar.</w:t>
            </w:r>
          </w:p>
          <w:p w14:paraId="65220E27" w14:textId="671C011D" w:rsidR="00741C82" w:rsidRPr="002504E7" w:rsidRDefault="00741C82" w:rsidP="00741C82">
            <w:pPr>
              <w:pStyle w:val="Body"/>
              <w:spacing w:after="0"/>
              <w:rPr>
                <w:rFonts w:ascii="Arial" w:eastAsia="Calibri" w:hAnsi="Arial" w:cs="Arial"/>
                <w:szCs w:val="22"/>
              </w:rPr>
            </w:pPr>
            <w:r w:rsidRPr="001A5676">
              <w:rPr>
                <w:rFonts w:ascii="Arial" w:eastAsia="Calibri" w:hAnsi="Arial" w:cs="Arial"/>
                <w:b/>
                <w:bCs/>
                <w:szCs w:val="22"/>
              </w:rPr>
              <w:t>Results:</w:t>
            </w:r>
            <w:r>
              <w:rPr>
                <w:rFonts w:ascii="Arial" w:eastAsia="Calibri" w:hAnsi="Arial" w:cs="Arial"/>
                <w:szCs w:val="22"/>
              </w:rPr>
              <w:t xml:space="preserve"> </w:t>
            </w:r>
            <w:r w:rsidRPr="002504E7">
              <w:rPr>
                <w:rFonts w:ascii="Arial" w:eastAsia="Calibri" w:hAnsi="Arial" w:cs="Arial"/>
                <w:szCs w:val="22"/>
              </w:rPr>
              <w:t xml:space="preserve"> </w:t>
            </w:r>
            <w:r>
              <w:rPr>
                <w:rFonts w:ascii="Arial" w:eastAsia="Calibri" w:hAnsi="Arial" w:cs="Arial"/>
                <w:szCs w:val="22"/>
              </w:rPr>
              <w:t>E</w:t>
            </w:r>
            <w:r w:rsidRPr="002504E7">
              <w:rPr>
                <w:rFonts w:ascii="Arial" w:eastAsia="Calibri" w:hAnsi="Arial" w:cs="Arial"/>
                <w:szCs w:val="22"/>
              </w:rPr>
              <w:t xml:space="preserve">xtraction yields varied from 1% to 2.76%. The highest yield was obtained by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maceration (2.76%), while the lowest was obtained by aqueous maceration (1%). Phytochemical screening revealed the presence of alkaloids, flavonoids, saponins, phenols, tannins and anthocyanins, with a higher concentration of total phenols in each extract. In addition, the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showed the best anti-free radical activity particularly when measured using the DPPH method, where the IC50 of 15.71 µg/mL was lower than that obtained with </w:t>
            </w:r>
            <w:proofErr w:type="spellStart"/>
            <w:r w:rsidRPr="002504E7">
              <w:rPr>
                <w:rFonts w:ascii="Arial" w:eastAsia="Calibri" w:hAnsi="Arial" w:cs="Arial"/>
                <w:szCs w:val="22"/>
              </w:rPr>
              <w:t>butylhydroxy</w:t>
            </w:r>
            <w:proofErr w:type="spellEnd"/>
            <w:r w:rsidRPr="002504E7">
              <w:rPr>
                <w:rFonts w:ascii="Arial" w:eastAsia="Calibri" w:hAnsi="Arial" w:cs="Arial"/>
                <w:szCs w:val="22"/>
              </w:rPr>
              <w:t xml:space="preserve"> toluene extract (IC50 of 17.91 µg/mL). Although the opposite result </w:t>
            </w:r>
            <w:proofErr w:type="gramStart"/>
            <w:r w:rsidRPr="002504E7">
              <w:rPr>
                <w:rFonts w:ascii="Arial" w:eastAsia="Calibri" w:hAnsi="Arial" w:cs="Arial"/>
                <w:szCs w:val="22"/>
              </w:rPr>
              <w:t>were</w:t>
            </w:r>
            <w:proofErr w:type="gramEnd"/>
            <w:r w:rsidRPr="002504E7">
              <w:rPr>
                <w:rFonts w:ascii="Arial" w:eastAsia="Calibri" w:hAnsi="Arial" w:cs="Arial"/>
                <w:szCs w:val="22"/>
              </w:rPr>
              <w:t xml:space="preserve"> obtained using the FRAP method (IC50 of 18.97 and 15.82 µg/mL respectively), the IC50 value remained below 20 µg/mL indicating strong antioxidant activity of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In parallel, the same </w:t>
            </w:r>
            <w:proofErr w:type="spellStart"/>
            <w:r w:rsidRPr="002504E7">
              <w:rPr>
                <w:rFonts w:ascii="Arial" w:eastAsia="Calibri" w:hAnsi="Arial" w:cs="Arial"/>
                <w:szCs w:val="22"/>
              </w:rPr>
              <w:t>hydroethanol</w:t>
            </w:r>
            <w:proofErr w:type="spellEnd"/>
            <w:r w:rsidRPr="002504E7">
              <w:rPr>
                <w:rFonts w:ascii="Arial" w:eastAsia="Calibri" w:hAnsi="Arial" w:cs="Arial"/>
                <w:szCs w:val="22"/>
              </w:rPr>
              <w:t xml:space="preserve"> extract showed strong inhibition of </w:t>
            </w:r>
            <w:r w:rsidR="00CA16D7" w:rsidRPr="00CA16D7">
              <w:rPr>
                <w:rFonts w:ascii="Arial" w:eastAsia="Calibri" w:hAnsi="Arial" w:cs="Arial"/>
                <w:i/>
                <w:iCs/>
                <w:szCs w:val="22"/>
              </w:rPr>
              <w:t>Enterobacter cloacae</w:t>
            </w:r>
            <w:r w:rsidRPr="002504E7">
              <w:rPr>
                <w:rFonts w:ascii="Arial" w:eastAsia="Calibri" w:hAnsi="Arial" w:cs="Arial"/>
                <w:szCs w:val="22"/>
              </w:rPr>
              <w:t xml:space="preserve"> (0.16µg/ml), </w:t>
            </w:r>
            <w:r w:rsidR="00CA16D7" w:rsidRPr="00CA16D7">
              <w:rPr>
                <w:rFonts w:ascii="Arial" w:eastAsia="Calibri" w:hAnsi="Arial" w:cs="Arial"/>
                <w:i/>
                <w:iCs/>
                <w:szCs w:val="22"/>
              </w:rPr>
              <w:t>S. aureus</w:t>
            </w:r>
            <w:r w:rsidRPr="002504E7">
              <w:rPr>
                <w:rFonts w:ascii="Arial" w:eastAsia="Calibri" w:hAnsi="Arial" w:cs="Arial"/>
                <w:szCs w:val="22"/>
              </w:rPr>
              <w:t xml:space="preserve"> (0.32µg/ml) and </w:t>
            </w:r>
            <w:r w:rsidR="00BF0CCB" w:rsidRPr="00BF0CCB">
              <w:rPr>
                <w:rFonts w:ascii="Arial" w:eastAsia="Calibri" w:hAnsi="Arial" w:cs="Arial"/>
                <w:i/>
                <w:iCs/>
                <w:szCs w:val="22"/>
              </w:rPr>
              <w:t>Escherichia coli</w:t>
            </w:r>
            <w:r w:rsidRPr="002504E7">
              <w:rPr>
                <w:rFonts w:ascii="Arial" w:eastAsia="Calibri" w:hAnsi="Arial" w:cs="Arial"/>
                <w:szCs w:val="22"/>
              </w:rPr>
              <w:t xml:space="preserve"> (0.64µg/ml), while </w:t>
            </w:r>
            <w:r w:rsidR="00CA16D7" w:rsidRPr="00CA16D7">
              <w:rPr>
                <w:rFonts w:ascii="Arial" w:eastAsia="Calibri" w:hAnsi="Arial" w:cs="Arial"/>
                <w:i/>
                <w:iCs/>
                <w:szCs w:val="22"/>
              </w:rPr>
              <w:t>Pseudomonas aeruginosa</w:t>
            </w:r>
            <w:r w:rsidRPr="002504E7">
              <w:rPr>
                <w:rFonts w:ascii="Arial" w:eastAsia="Calibri" w:hAnsi="Arial" w:cs="Arial"/>
                <w:szCs w:val="22"/>
              </w:rPr>
              <w:t xml:space="preserve"> was inhibited with a lower concentration 0.24µg/ml of aqueous decoction than the other extracts. </w:t>
            </w:r>
            <w:r w:rsidRPr="001A5676">
              <w:rPr>
                <w:rFonts w:ascii="Arial" w:eastAsia="Calibri" w:hAnsi="Arial" w:cs="Arial"/>
                <w:b/>
                <w:bCs/>
                <w:szCs w:val="22"/>
              </w:rPr>
              <w:t>Conclusion:</w:t>
            </w:r>
            <w:r>
              <w:rPr>
                <w:rFonts w:ascii="Arial" w:eastAsia="Calibri" w:hAnsi="Arial" w:cs="Arial"/>
                <w:szCs w:val="22"/>
              </w:rPr>
              <w:t xml:space="preserve"> </w:t>
            </w:r>
            <w:r w:rsidRPr="002504E7">
              <w:rPr>
                <w:rFonts w:ascii="Arial" w:eastAsia="Calibri" w:hAnsi="Arial" w:cs="Arial"/>
                <w:szCs w:val="22"/>
              </w:rPr>
              <w:t xml:space="preserve">Hydroethanolic extracts of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2504E7">
              <w:rPr>
                <w:rFonts w:ascii="Arial" w:eastAsia="Calibri" w:hAnsi="Arial" w:cs="Arial"/>
                <w:szCs w:val="22"/>
              </w:rPr>
              <w:t xml:space="preserve"> pericarp</w:t>
            </w:r>
            <w:proofErr w:type="gramEnd"/>
            <w:r w:rsidRPr="002504E7">
              <w:rPr>
                <w:rFonts w:ascii="Arial" w:eastAsia="Calibri" w:hAnsi="Arial" w:cs="Arial"/>
                <w:szCs w:val="22"/>
              </w:rPr>
              <w:t xml:space="preserve"> possess antioxidant and antibacterial properties, justifying their use in traditional medicine. </w:t>
            </w:r>
          </w:p>
          <w:p w14:paraId="0EF2922B" w14:textId="251D0207" w:rsidR="00505F06" w:rsidRPr="00BA1B01" w:rsidRDefault="00505F06" w:rsidP="00441B6F">
            <w:pPr>
              <w:pStyle w:val="Body"/>
              <w:spacing w:after="0"/>
              <w:rPr>
                <w:rFonts w:ascii="Arial" w:eastAsia="Calibri" w:hAnsi="Arial" w:cs="Arial"/>
                <w:szCs w:val="22"/>
              </w:rPr>
            </w:pPr>
          </w:p>
        </w:tc>
      </w:tr>
    </w:tbl>
    <w:p w14:paraId="0B98E30A" w14:textId="77777777" w:rsidR="00636EB2" w:rsidRDefault="00636EB2" w:rsidP="00441B6F">
      <w:pPr>
        <w:pStyle w:val="Body"/>
        <w:spacing w:after="0"/>
        <w:rPr>
          <w:rFonts w:ascii="Arial" w:hAnsi="Arial" w:cs="Arial"/>
          <w:i/>
        </w:rPr>
      </w:pPr>
    </w:p>
    <w:p w14:paraId="034AA2D8" w14:textId="67678EDC" w:rsidR="00A24E7E" w:rsidRDefault="00A24E7E" w:rsidP="00441B6F">
      <w:pPr>
        <w:pStyle w:val="Body"/>
        <w:spacing w:after="0"/>
        <w:rPr>
          <w:rFonts w:ascii="Arial" w:hAnsi="Arial" w:cs="Arial"/>
          <w:i/>
        </w:rPr>
      </w:pPr>
      <w:r>
        <w:rPr>
          <w:rFonts w:ascii="Arial" w:hAnsi="Arial" w:cs="Arial"/>
          <w:i/>
        </w:rPr>
        <w:t xml:space="preserve">Keywords: </w:t>
      </w:r>
      <w:r w:rsidR="001A3A04">
        <w:rPr>
          <w:rFonts w:ascii="Arial" w:hAnsi="Arial" w:cs="Arial"/>
          <w:i/>
        </w:rPr>
        <w:t>A</w:t>
      </w:r>
      <w:r w:rsidR="001A3A04" w:rsidRPr="001A5676">
        <w:rPr>
          <w:rFonts w:ascii="Arial" w:hAnsi="Arial" w:cs="Arial"/>
          <w:i/>
        </w:rPr>
        <w:t>ntibacterial activity</w:t>
      </w:r>
      <w:r w:rsidR="001A3A04">
        <w:rPr>
          <w:rFonts w:ascii="Arial" w:hAnsi="Arial" w:cs="Arial"/>
          <w:i/>
        </w:rPr>
        <w:t>, A</w:t>
      </w:r>
      <w:r w:rsidR="001A3A04" w:rsidRPr="001A5676">
        <w:rPr>
          <w:rFonts w:ascii="Arial" w:hAnsi="Arial" w:cs="Arial"/>
          <w:i/>
        </w:rPr>
        <w:t>ntioxidant activity</w:t>
      </w:r>
      <w:r w:rsidR="001A3A04">
        <w:rPr>
          <w:rFonts w:ascii="Arial" w:hAnsi="Arial" w:cs="Arial"/>
          <w:i/>
        </w:rPr>
        <w:t>,</w:t>
      </w:r>
      <w:r w:rsidR="001A3A04" w:rsidRPr="00CA16D7">
        <w:rPr>
          <w:rFonts w:ascii="Arial" w:hAnsi="Arial" w:cs="Arial"/>
          <w:i/>
          <w:iCs/>
        </w:rPr>
        <w:t xml:space="preserve"> </w:t>
      </w:r>
      <w:r w:rsidR="00CA16D7" w:rsidRPr="00CA16D7">
        <w:rPr>
          <w:rFonts w:ascii="Arial" w:hAnsi="Arial" w:cs="Arial"/>
          <w:i/>
          <w:iCs/>
        </w:rPr>
        <w:t xml:space="preserve">Garcinia </w:t>
      </w:r>
      <w:proofErr w:type="spellStart"/>
      <w:r w:rsidR="00CA16D7" w:rsidRPr="00CA16D7">
        <w:rPr>
          <w:rFonts w:ascii="Arial" w:hAnsi="Arial" w:cs="Arial"/>
          <w:i/>
          <w:iCs/>
        </w:rPr>
        <w:t>mangostana</w:t>
      </w:r>
      <w:proofErr w:type="spellEnd"/>
      <w:r w:rsidR="001A3A04">
        <w:rPr>
          <w:rFonts w:ascii="Arial" w:hAnsi="Arial" w:cs="Arial"/>
          <w:i/>
          <w:iCs/>
        </w:rPr>
        <w:t xml:space="preserve">, </w:t>
      </w:r>
      <w:r w:rsidR="001A3A04">
        <w:rPr>
          <w:rFonts w:ascii="Arial" w:hAnsi="Arial" w:cs="Arial"/>
          <w:i/>
        </w:rPr>
        <w:t>P</w:t>
      </w:r>
      <w:r w:rsidR="001A3A04" w:rsidRPr="001A5676">
        <w:rPr>
          <w:rFonts w:ascii="Arial" w:hAnsi="Arial" w:cs="Arial"/>
          <w:i/>
        </w:rPr>
        <w:t>ericarp</w:t>
      </w:r>
      <w:r w:rsidR="001A5676" w:rsidRPr="001A5676">
        <w:rPr>
          <w:rFonts w:ascii="Arial" w:hAnsi="Arial" w:cs="Arial"/>
          <w:i/>
        </w:rPr>
        <w:t xml:space="preserve">, </w:t>
      </w:r>
      <w:r w:rsidR="001A3A04">
        <w:rPr>
          <w:rFonts w:ascii="Arial" w:hAnsi="Arial" w:cs="Arial"/>
          <w:i/>
        </w:rPr>
        <w:t>P</w:t>
      </w:r>
      <w:r w:rsidR="001A5676" w:rsidRPr="001A5676">
        <w:rPr>
          <w:rFonts w:ascii="Arial" w:hAnsi="Arial" w:cs="Arial"/>
          <w:i/>
        </w:rPr>
        <w:t>hytochemical screening</w:t>
      </w:r>
    </w:p>
    <w:p w14:paraId="6155F263" w14:textId="77777777" w:rsidR="00790ADA" w:rsidRDefault="00790ADA" w:rsidP="00441B6F">
      <w:pPr>
        <w:pStyle w:val="Body"/>
        <w:spacing w:after="0"/>
        <w:rPr>
          <w:rFonts w:ascii="Arial" w:hAnsi="Arial" w:cs="Arial"/>
          <w:i/>
        </w:rPr>
      </w:pPr>
    </w:p>
    <w:p w14:paraId="373852A8" w14:textId="077A426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6C7D332" w14:textId="77777777" w:rsidR="00790ADA" w:rsidRPr="00FB3A86" w:rsidRDefault="00790ADA" w:rsidP="00441B6F">
      <w:pPr>
        <w:pStyle w:val="AbstHead"/>
        <w:spacing w:after="0"/>
        <w:jc w:val="both"/>
        <w:rPr>
          <w:rFonts w:ascii="Arial" w:hAnsi="Arial" w:cs="Arial"/>
        </w:rPr>
      </w:pPr>
    </w:p>
    <w:p w14:paraId="368CAFE7" w14:textId="2F7511D3"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Oxidative stress is included in a wide spectrum of diseases that have a significant impact on population health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&lt;EndNote&gt;&lt;Cite&gt;&lt;Author&gt;Radia&lt;/Author&gt;&lt;Year&gt;2014&lt;/Year&gt;&lt;RecNum&gt;1&lt;/RecNum&gt;&lt;DisplayText&gt;(Radia, 2014)&lt;/DisplayText&gt;&lt;record&gt;&lt;rec-number&gt;1&lt;/rec-number&gt;&lt;foreign-keys&gt;&lt;key app="EN" db-id="xd20ava0ss0z06e9fzmxda9qwp2twsza5092" timestamp="1774870881"&gt;1&lt;/key&gt;&lt;/foreign-keys&gt;&lt;ref-type name="Thesis"&gt;32&lt;/ref-type&gt;&lt;contributors&gt;&lt;authors&gt;&lt;author&gt;Radia, L.&lt;/author&gt;&lt;/authors&gt;&lt;/contributors&gt;&lt;titles&gt;&lt;title&gt;Evaluation in-vitro des activités anti-oxydante et anti-inflammatoire des huiles essentielles d&amp;apos; Origanum glandulosum et Rosmarinus officinalis seules et en combinaison&lt;/title&gt;&lt;short-title&gt;Mémoire de Master&lt;/short-title&gt;&lt;/titles&gt;&lt;dates&gt;&lt;year&gt;2014&lt;/year&gt;&lt;/dates&gt;&lt;pub-location&gt;Algérie&lt;/pub-location&gt;&lt;publisher&gt;Université Abderrahmane Mira de Béjaia&lt;/publisher&gt;&lt;urls&gt;&lt;/urls&gt;&lt;/record&gt;&lt;/Cite&gt;&lt;/EndNote&gt;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(Radia, 2014)</w:t>
      </w:r>
      <w:r w:rsidRPr="001A5676">
        <w:rPr>
          <w:rFonts w:ascii="Arial" w:eastAsia="Calibri" w:hAnsi="Arial" w:cs="Arial"/>
          <w:szCs w:val="22"/>
        </w:rPr>
        <w:fldChar w:fldCharType="end"/>
      </w:r>
      <w:r w:rsidRPr="001A5676">
        <w:rPr>
          <w:rFonts w:ascii="Arial" w:eastAsia="Calibri" w:hAnsi="Arial" w:cs="Arial"/>
          <w:szCs w:val="22"/>
        </w:rPr>
        <w:t>. It is implicated in various pathologies such as cardiovascular diseases, cancers</w:t>
      </w:r>
      <w:r w:rsidR="006344FF">
        <w:rPr>
          <w:rFonts w:ascii="Arial" w:eastAsia="Calibri" w:hAnsi="Arial" w:cs="Arial"/>
          <w:szCs w:val="22"/>
        </w:rPr>
        <w:t xml:space="preserve"> or </w:t>
      </w:r>
      <w:r w:rsidRPr="001A5676">
        <w:rPr>
          <w:rFonts w:ascii="Arial" w:eastAsia="Calibri" w:hAnsi="Arial" w:cs="Arial"/>
          <w:szCs w:val="22"/>
        </w:rPr>
        <w:t>diabetes</w:t>
      </w:r>
      <w:r w:rsidR="006344FF">
        <w:rPr>
          <w:rFonts w:ascii="Arial" w:eastAsia="Calibri" w:hAnsi="Arial" w:cs="Arial"/>
          <w:szCs w:val="22"/>
        </w:rPr>
        <w:t xml:space="preserve">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&lt;EndNote&gt;&lt;Cite&gt;&lt;Author&gt;Favier&lt;/Author&gt;&lt;Year&gt;2003&lt;/Year&gt;&lt;RecNum&gt;2&lt;/RecNum&gt;&lt;DisplayText&gt;(Favier, 2003)&lt;/DisplayText&gt;&lt;record&gt;&lt;rec-number&gt;2&lt;/rec-number&gt;&lt;foreign-keys&gt;&lt;key app="EN" db-id="xd20ava0ss0z06e9fzmxda9qwp2twsza5092" timestamp="1774870881"&gt;2&lt;/key&gt;&lt;/foreign-keys&gt;&lt;ref-type name="Journal Article"&gt;17&lt;/ref-type&gt;&lt;contributors&gt;&lt;authors&gt;&lt;author&gt;Favier, A.&lt;/author&gt;&lt;/authors&gt;&lt;/contributors&gt;&lt;titles&gt;&lt;title&gt;Stress oxydant et pathologies humaines&lt;/title&gt;&lt;secondary-title&gt;Annales Pharmaceutiques Françaises&lt;/secondary-title&gt;&lt;/titles&gt;&lt;periodical&gt;&lt;full-title&gt;Annales Pharmaceutiques Françaises&lt;/full-title&gt;&lt;/periodical&gt;&lt;pages&gt;390-396&lt;/pages&gt;&lt;volume&gt;64&lt;/volume&gt;&lt;dates&gt;&lt;year&gt;2003&lt;/year&gt;&lt;/dates&gt;&lt;urls&gt;&lt;/urls&gt;&lt;/record&gt;&lt;/Cite&gt;&lt;/EndNote&gt;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(Favier, 2003)</w:t>
      </w:r>
      <w:r w:rsidRPr="001A5676">
        <w:rPr>
          <w:rFonts w:ascii="Arial" w:eastAsia="Calibri" w:hAnsi="Arial" w:cs="Arial"/>
          <w:szCs w:val="22"/>
        </w:rPr>
        <w:fldChar w:fldCharType="end"/>
      </w:r>
      <w:r w:rsidRPr="001A5676">
        <w:rPr>
          <w:rFonts w:ascii="Arial" w:eastAsia="Calibri" w:hAnsi="Arial" w:cs="Arial"/>
          <w:szCs w:val="22"/>
        </w:rPr>
        <w:t>. Indeed, oxidative stress is caused by the presence of an excess of free radicals, the generation of which is stopped by antioxidant substances. However, synthetic antioxidants such as butylated hydroxytoluene (BHT) can be responsible for liver damage</w:t>
      </w:r>
      <w:bookmarkStart w:id="0" w:name="_Hlk135961701"/>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&lt;EndNote&gt;&lt;Cite&gt;&lt;Author&gt;Nakagawa&lt;/Author&gt;&lt;Year&gt;1984&lt;/Year&gt;&lt;RecNum&gt;287&lt;/RecNum&gt;&lt;DisplayText&gt;(Nakagawa, Tayama, Nakao, &amp;amp; Hiraga, 1984)&lt;/DisplayText&gt;&lt;record&gt;&lt;rec-number&gt;287&lt;/rec-number&gt;&lt;foreign-keys&gt;&lt;key app="EN" db-id="dzxvrd2t1ta0pceprrspdwttdvz259pz9wx0" timestamp="1772740503"&gt;287&lt;/key&gt;&lt;/foreign-keys&gt;&lt;ref-type name="Journal Article"&gt;17&lt;/ref-type&gt;&lt;contributors&gt;&lt;authors&gt;&lt;author&gt;Nakagawa, Yoshio&lt;/author&gt;&lt;author&gt;Tayama, Kuniaki&lt;/author&gt;&lt;author&gt;Nakao, Toshiko&lt;/author&gt;&lt;author&gt;Hiraga, Kogo&lt;/author&gt;&lt;/authors&gt;&lt;/contributors&gt;&lt;titles&gt;&lt;title&gt;On the mechanism of butylated hydroxytoluene-induced hepatic toxicity in rats&lt;/title&gt;&lt;secondary-title&gt;Biochemical pharmacology&lt;/secondary-title&gt;&lt;/titles&gt;&lt;periodical&gt;&lt;full-title&gt;Biochemical pharmacology&lt;/full-title&gt;&lt;/periodical&gt;&lt;pages&gt;2669-2674&lt;/pages&gt;&lt;volume&gt;33&lt;/volume&gt;&lt;number&gt;16&lt;/number&gt;&lt;dates&gt;&lt;year&gt;1984&lt;/year&gt;&lt;/dates&gt;&lt;isbn&gt;0006-2952&lt;/isbn&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(Nakagawa, Tayama, Nakao, &amp; Hiraga, 1984)</w:t>
      </w:r>
      <w:r w:rsidRPr="001A5676">
        <w:rPr>
          <w:rFonts w:ascii="Arial" w:eastAsia="Calibri" w:hAnsi="Arial" w:cs="Arial"/>
          <w:szCs w:val="22"/>
        </w:rPr>
        <w:fldChar w:fldCharType="end"/>
      </w:r>
      <w:r w:rsidRPr="001A5676">
        <w:rPr>
          <w:rFonts w:ascii="Arial" w:eastAsia="Calibri" w:hAnsi="Arial" w:cs="Arial"/>
          <w:szCs w:val="22"/>
        </w:rPr>
        <w:t>.</w:t>
      </w:r>
      <w:bookmarkEnd w:id="0"/>
    </w:p>
    <w:p w14:paraId="4E4508BC" w14:textId="75B772A9"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Furthermore, controlling bacterial infections is becoming increasingly complex.</w:t>
      </w:r>
      <w:r w:rsidR="006344FF">
        <w:rPr>
          <w:rFonts w:ascii="Arial" w:eastAsia="Calibri" w:hAnsi="Arial" w:cs="Arial"/>
          <w:szCs w:val="22"/>
        </w:rPr>
        <w:t xml:space="preserve"> </w:t>
      </w:r>
      <w:r w:rsidR="006344FF" w:rsidRPr="006344FF">
        <w:rPr>
          <w:rFonts w:ascii="Arial" w:eastAsia="Calibri" w:hAnsi="Arial" w:cs="Arial"/>
          <w:color w:val="EE0000"/>
          <w:szCs w:val="22"/>
        </w:rPr>
        <w:t xml:space="preserve">Some of these bacteria include </w:t>
      </w:r>
      <w:r w:rsidR="006344FF" w:rsidRPr="006344FF">
        <w:rPr>
          <w:rFonts w:ascii="Arial" w:hAnsi="Arial" w:cs="Arial"/>
          <w:i/>
          <w:iCs/>
          <w:color w:val="EE0000"/>
        </w:rPr>
        <w:t>Pseudomonas aeruginosa</w:t>
      </w:r>
      <w:r w:rsidR="006344FF" w:rsidRPr="006344FF">
        <w:rPr>
          <w:rFonts w:ascii="Arial" w:hAnsi="Arial" w:cs="Arial"/>
          <w:color w:val="EE0000"/>
        </w:rPr>
        <w:t xml:space="preserve">, </w:t>
      </w:r>
      <w:r w:rsidR="006344FF" w:rsidRPr="006344FF">
        <w:rPr>
          <w:rFonts w:ascii="Arial" w:hAnsi="Arial" w:cs="Arial"/>
          <w:i/>
          <w:iCs/>
          <w:color w:val="EE0000"/>
        </w:rPr>
        <w:t>Enterobacter cloacae</w:t>
      </w:r>
      <w:r w:rsidR="006344FF" w:rsidRPr="006344FF">
        <w:rPr>
          <w:rFonts w:ascii="Arial" w:hAnsi="Arial" w:cs="Arial"/>
          <w:color w:val="EE0000"/>
        </w:rPr>
        <w:t xml:space="preserve">, </w:t>
      </w:r>
      <w:r w:rsidR="006344FF" w:rsidRPr="006344FF">
        <w:rPr>
          <w:rFonts w:ascii="Arial" w:hAnsi="Arial" w:cs="Arial"/>
          <w:i/>
          <w:iCs/>
          <w:color w:val="EE0000"/>
        </w:rPr>
        <w:t>Staphylococcus aureus</w:t>
      </w:r>
      <w:r w:rsidR="006344FF" w:rsidRPr="006344FF">
        <w:rPr>
          <w:rFonts w:ascii="Arial" w:hAnsi="Arial" w:cs="Arial"/>
          <w:color w:val="EE0000"/>
        </w:rPr>
        <w:t xml:space="preserve"> and </w:t>
      </w:r>
      <w:r w:rsidR="006344FF" w:rsidRPr="006344FF">
        <w:rPr>
          <w:rFonts w:ascii="Arial" w:hAnsi="Arial" w:cs="Arial"/>
          <w:i/>
          <w:iCs/>
          <w:color w:val="EE0000"/>
        </w:rPr>
        <w:t>Escherichia coli.</w:t>
      </w:r>
      <w:r w:rsidRPr="006344FF">
        <w:rPr>
          <w:rFonts w:ascii="Arial" w:eastAsia="Calibri" w:hAnsi="Arial" w:cs="Arial"/>
          <w:color w:val="EE0000"/>
          <w:szCs w:val="22"/>
        </w:rPr>
        <w:t xml:space="preserve"> </w:t>
      </w:r>
      <w:r w:rsidRPr="001A5676">
        <w:rPr>
          <w:rFonts w:ascii="Arial" w:eastAsia="Calibri" w:hAnsi="Arial" w:cs="Arial"/>
          <w:szCs w:val="22"/>
        </w:rPr>
        <w:t xml:space="preserve">In addition to the phenomenon of multidrug resistance, access to synthetic antibiotics is extremely difficult for poor populations due to their high cost </w:t>
      </w:r>
      <w:r w:rsidRPr="001A5676">
        <w:rPr>
          <w:rFonts w:ascii="Arial" w:eastAsia="Calibri" w:hAnsi="Arial" w:cs="Arial"/>
          <w:szCs w:val="22"/>
        </w:rPr>
        <w:fldChar w:fldCharType="begin"/>
      </w:r>
      <w:r w:rsidR="00777866">
        <w:rPr>
          <w:rFonts w:ascii="Arial" w:eastAsia="Calibri" w:hAnsi="Arial" w:cs="Arial"/>
          <w:szCs w:val="22"/>
        </w:rPr>
        <w:instrText xml:space="preserve"> ADDIN EN.CITE &lt;EndNote&gt;&lt;Cite&gt;&lt;Author&gt;Rolland&lt;/Author&gt;&lt;Year&gt;2004&lt;/Year&gt;&lt;RecNum&gt;4&lt;/RecNum&gt;&lt;DisplayText&gt;(Murray et al., 2022; Rolland, 2004)&lt;/DisplayText&gt;&lt;record&gt;&lt;rec-number&gt;4&lt;/rec-number&gt;&lt;foreign-keys&gt;&lt;key app="EN" db-id="xd20ava0ss0z06e9fzmxda9qwp2twsza5092" timestamp="1774870881"&gt;4&lt;/key&gt;&lt;/foreign-keys&gt;&lt;ref-type name="Journal Article"&gt;17&lt;/ref-type&gt;&lt;contributors&gt;&lt;authors&gt;&lt;author&gt;Rolland, Y.&lt;/author&gt;&lt;/authors&gt;&lt;/contributors&gt;&lt;titles&gt;&lt;title&gt;Antioxydants naturels végétaux&lt;/title&gt;&lt;secondary-title&gt;Oilseeds and fats, Crops and Lipids&lt;/secondary-title&gt;&lt;/titles&gt;&lt;periodical&gt;&lt;full-title&gt;Oilseeds and fats, Crops and Lipids&lt;/full-title&gt;&lt;/periodical&gt;&lt;pages&gt;41&lt;/pages&gt;&lt;volume&gt;11&lt;/volume&gt;&lt;number&gt;6&lt;/number&gt;&lt;dates&gt;&lt;year&gt;2004&lt;/year&gt;&lt;/dates&gt;&lt;urls&gt;&lt;/urls&gt;&lt;/record&gt;&lt;/Cite&gt;&lt;Cite&gt;&lt;Author&gt;Murray&lt;/Author&gt;&lt;Year&gt;2022&lt;/Year&gt;&lt;RecNum&gt;98&lt;/RecNum&gt;&lt;record&gt;&lt;rec-number&gt;98&lt;/rec-number&gt;&lt;foreign-keys&gt;&lt;key app="EN" db-id="ppwefpzf5eefwrea9agvzetgp2s0rdew0rw0" timestamp="1777973980"&gt;98&lt;/key&gt;&lt;/foreign-keys&gt;&lt;ref-type name="Journal Article"&gt;17&lt;/ref-type&gt;&lt;contributors&gt;&lt;authors&gt;&lt;author&gt;Murray, C. J. L.&lt;/author&gt;&lt;author&gt;Ikuta, K. S.&lt;/author&gt;&lt;author&gt;Sharara, F.&lt;/author&gt;&lt;author&gt;Swetschinski, L.&lt;/author&gt;&lt;author&gt;Robles Aguilar, G.&lt;/author&gt;&lt;author&gt;Gray, A.&lt;/author&gt;&lt;author&gt;Naghavi, M.&lt;/author&gt;&lt;/authors&gt;&lt;/contributors&gt;&lt;titles&gt;&lt;title&gt;Global burden of bacterial antimicrobial resistance in 2019: a systematic analysis&lt;/title&gt;&lt;secondary-title&gt;The Lancet&lt;/secondary-title&gt;&lt;/titles&gt;&lt;periodical&gt;&lt;full-title&gt;The Lancet&lt;/full-title&gt;&lt;/periodical&gt;&lt;pages&gt;629-655&lt;/pages&gt;&lt;volume&gt;399&lt;/volume&gt;&lt;number&gt;10325&lt;/number&gt;&lt;dates&gt;&lt;year&gt;2022&lt;/year&gt;&lt;/dates&gt;&lt;urls&gt;&lt;/urls&gt;&lt;electronic-resource-num&gt;10.1016/S0140-6736(21)02724-0&lt;/electronic-resource-num&gt;&lt;/record&gt;&lt;/Cite&gt;&lt;/EndNote&gt;</w:instrText>
      </w:r>
      <w:r w:rsidRPr="001A5676">
        <w:rPr>
          <w:rFonts w:ascii="Arial" w:eastAsia="Calibri" w:hAnsi="Arial" w:cs="Arial"/>
          <w:szCs w:val="22"/>
        </w:rPr>
        <w:fldChar w:fldCharType="separate"/>
      </w:r>
      <w:r w:rsidR="00777866">
        <w:rPr>
          <w:rFonts w:ascii="Arial" w:eastAsia="Calibri" w:hAnsi="Arial" w:cs="Arial"/>
          <w:noProof/>
          <w:szCs w:val="22"/>
        </w:rPr>
        <w:t>(Murray et al., 2022; Rolland, 2004)</w:t>
      </w:r>
      <w:r w:rsidRPr="001A5676">
        <w:rPr>
          <w:rFonts w:ascii="Arial" w:eastAsia="Calibri" w:hAnsi="Arial" w:cs="Arial"/>
          <w:szCs w:val="22"/>
        </w:rPr>
        <w:fldChar w:fldCharType="end"/>
      </w:r>
      <w:r w:rsidRPr="001A5676">
        <w:rPr>
          <w:rFonts w:ascii="Arial" w:eastAsia="Calibri" w:hAnsi="Arial" w:cs="Arial"/>
          <w:szCs w:val="22"/>
        </w:rPr>
        <w:t>. Faced with these situations, people are increasingly turning to medicinal plants for treatment because of their effectiveness, accessibility, and availability. Thus, traditional medicine could be an effective complement in managing oxidative stress and infectious diseases</w:t>
      </w:r>
      <w:r w:rsidR="00777866">
        <w:rPr>
          <w:rFonts w:ascii="Arial" w:eastAsia="Calibri" w:hAnsi="Arial" w:cs="Arial"/>
          <w:szCs w:val="22"/>
        </w:rPr>
        <w:fldChar w:fldCharType="begin"/>
      </w:r>
      <w:r w:rsidR="00777866">
        <w:rPr>
          <w:rFonts w:ascii="Arial" w:eastAsia="Calibri" w:hAnsi="Arial" w:cs="Arial"/>
          <w:szCs w:val="22"/>
        </w:rPr>
        <w:instrText xml:space="preserve"> ADDIN EN.CITE &lt;EndNote&gt;&lt;Cite&gt;&lt;Author&gt;Álvarez-Martínez&lt;/Author&gt;&lt;Year&gt;2021&lt;/Year&gt;&lt;RecNum&gt;93&lt;/RecNum&gt;&lt;DisplayText&gt;(Álvarez-Martínez, Barrajón-Catalán, Herranz-López, &amp;amp; Micol, 2021)&lt;/DisplayText&gt;&lt;record&gt;&lt;rec-number&gt;93&lt;/rec-number&gt;&lt;foreign-keys&gt;&lt;key app="EN" db-id="ppwefpzf5eefwrea9agvzetgp2s0rdew0rw0" timestamp="1777973980"&gt;93&lt;/key&gt;&lt;/foreign-keys&gt;&lt;ref-type name="Journal Article"&gt;17&lt;/ref-type&gt;&lt;contributors&gt;&lt;authors&gt;&lt;author&gt;Álvarez-Martínez, F. J.&lt;/author&gt;&lt;author&gt;Barrajón-Catalán, E.&lt;/author&gt;&lt;author&gt;Herranz-López, M.&lt;/author&gt;&lt;author&gt;Micol, V.&lt;/author&gt;&lt;/authors&gt;&lt;/contributors&gt;&lt;titles&gt;&lt;title&gt;Antibacterial plant compounds, extracts and essential oils: An updated review on their effects and putative mechanisms of action&lt;/title&gt;&lt;secondary-title&gt;Phytomedicine&lt;/secondary-title&gt;&lt;/titles&gt;&lt;periodical&gt;&lt;full-title&gt;Phytomedicine&lt;/full-title&gt;&lt;/periodical&gt;&lt;pages&gt;153626&lt;/pages&gt;&lt;volume&gt;90&lt;/volume&gt;&lt;dates&gt;&lt;year&gt;2021&lt;/year&gt;&lt;/dates&gt;&lt;urls&gt;&lt;/urls&gt;&lt;electronic-resource-num&gt;10.1016/j.phymed.2021.153626&lt;/electronic-resource-num&gt;&lt;/record&gt;&lt;/Cite&gt;&lt;/EndNote&gt;</w:instrText>
      </w:r>
      <w:r w:rsidR="00777866">
        <w:rPr>
          <w:rFonts w:ascii="Arial" w:eastAsia="Calibri" w:hAnsi="Arial" w:cs="Arial"/>
          <w:szCs w:val="22"/>
        </w:rPr>
        <w:fldChar w:fldCharType="separate"/>
      </w:r>
      <w:r w:rsidR="00777866">
        <w:rPr>
          <w:rFonts w:ascii="Arial" w:eastAsia="Calibri" w:hAnsi="Arial" w:cs="Arial"/>
          <w:noProof/>
          <w:szCs w:val="22"/>
        </w:rPr>
        <w:t>(Álvarez-Martínez, Barrajón-Catalán, Herranz-López, &amp; Micol, 2021)</w:t>
      </w:r>
      <w:r w:rsidR="00777866">
        <w:rPr>
          <w:rFonts w:ascii="Arial" w:eastAsia="Calibri" w:hAnsi="Arial" w:cs="Arial"/>
          <w:szCs w:val="22"/>
        </w:rPr>
        <w:fldChar w:fldCharType="end"/>
      </w:r>
      <w:r w:rsidRPr="001A5676">
        <w:rPr>
          <w:rFonts w:ascii="Arial" w:eastAsia="Calibri" w:hAnsi="Arial" w:cs="Arial"/>
          <w:szCs w:val="22"/>
        </w:rPr>
        <w:t>.</w:t>
      </w:r>
    </w:p>
    <w:p w14:paraId="496CE9A4" w14:textId="6A4452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More than 80% of the African population uses for their healthcare needs, through </w:t>
      </w:r>
      <w:proofErr w:type="spellStart"/>
      <w:r w:rsidRPr="001A5676">
        <w:rPr>
          <w:rFonts w:ascii="Arial" w:eastAsia="Calibri" w:hAnsi="Arial" w:cs="Arial"/>
          <w:szCs w:val="22"/>
        </w:rPr>
        <w:t>pharmacotoxicological</w:t>
      </w:r>
      <w:proofErr w:type="spellEnd"/>
      <w:r w:rsidRPr="001A5676">
        <w:rPr>
          <w:rFonts w:ascii="Arial" w:eastAsia="Calibri" w:hAnsi="Arial" w:cs="Arial"/>
          <w:szCs w:val="22"/>
        </w:rPr>
        <w:t xml:space="preserve"> and chemical studies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&lt;EndNote&gt;&lt;Cite&gt;&lt;Author&gt;Blé Marcel&lt;/Author&gt;&lt;Year&gt;2010&lt;/Year&gt;&lt;RecNum&gt;6&lt;/RecNum&gt;&lt;DisplayText&gt;(Blé Marcel, 2010)&lt;/DisplayText&gt;&lt;record&gt;&lt;rec-number&gt;6&lt;/rec-number&gt;&lt;foreign-keys&gt;&lt;key app="EN" db-id="xd20ava0ss0z06e9fzmxda9qwp2twsza5092" timestamp="1774870881"&gt;6&lt;/key&gt;&lt;/foreign-keys&gt;&lt;ref-type name="Journal Article"&gt;17&lt;/ref-type&gt;&lt;contributors&gt;&lt;authors&gt;&lt;author&gt;Blé Marcel, Y.&lt;/author&gt;&lt;/authors&gt;&lt;/contributors&gt;&lt;titles&gt;&lt;title&gt;Rôle de l’anthropologue dans la revalorisation de la médecine traditionnelle Africaine&lt;/title&gt;&lt;secondary-title&gt;Recherches qualitatives&lt;/secondary-title&gt;&lt;/titles&gt;&lt;periodical&gt;&lt;full-title&gt;Recherches qualitatives&lt;/full-title&gt;&lt;/periodical&gt;&lt;pages&gt;57-67&lt;/pages&gt;&lt;volume&gt;29&lt;/volume&gt;&lt;number&gt;2&lt;/number&gt;&lt;dates&gt;&lt;year&gt;2010&lt;/year&gt;&lt;/dates&gt;&lt;urls&gt;&lt;/urls&gt;&lt;/record&gt;&lt;/Cite&gt;&lt;/EndNote&gt;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(Blé Marcel, 2010)</w:t>
      </w:r>
      <w:r w:rsidRPr="001A5676">
        <w:rPr>
          <w:rFonts w:ascii="Arial" w:eastAsia="Calibri" w:hAnsi="Arial" w:cs="Arial"/>
          <w:szCs w:val="22"/>
        </w:rPr>
        <w:fldChar w:fldCharType="end"/>
      </w:r>
      <w:r w:rsidRPr="001A5676">
        <w:rPr>
          <w:rFonts w:ascii="Arial" w:eastAsia="Calibri" w:hAnsi="Arial" w:cs="Arial"/>
          <w:szCs w:val="22"/>
        </w:rPr>
        <w:t xml:space="preserve">. To this end, based on several studies, numerous plants have demonstrated antioxidant and antibacterial activity, such as the fruit of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proofErr w:type="gramEnd"/>
    </w:p>
    <w:p w14:paraId="724C0E25" w14:textId="284BFA21"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The </w:t>
      </w:r>
      <w:proofErr w:type="spellStart"/>
      <w:r w:rsidRPr="001A5676">
        <w:rPr>
          <w:rFonts w:ascii="Arial" w:eastAsia="Calibri" w:hAnsi="Arial" w:cs="Arial"/>
          <w:szCs w:val="22"/>
        </w:rPr>
        <w:t>mangosteen</w:t>
      </w:r>
      <w:proofErr w:type="spellEnd"/>
      <w:r w:rsidRPr="001A5676">
        <w:rPr>
          <w:rFonts w:ascii="Arial" w:eastAsia="Calibri" w:hAnsi="Arial" w:cs="Arial"/>
          <w:szCs w:val="22"/>
        </w:rPr>
        <w:t xml:space="preserve"> (</w:t>
      </w:r>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proofErr w:type="gramEnd"/>
      <w:r w:rsidRPr="001A5676">
        <w:rPr>
          <w:rFonts w:ascii="Arial" w:eastAsia="Calibri" w:hAnsi="Arial" w:cs="Arial"/>
          <w:szCs w:val="22"/>
        </w:rPr>
        <w:t xml:space="preserve"> is a tropical fruit prized for its edible pulp. This edible pulp represents only 30% of the total fruit, while the remaining pericarp and seeds are considered waste </w:t>
      </w:r>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&lt;EndNote&gt;&lt;Cite&gt;&lt;Author&gt;Roersch&lt;/Author&gt;&lt;Year&gt;2010&lt;/Year&gt;&lt;RecNum&gt;7&lt;/RecNum&gt;&lt;DisplayText&gt;(Roersch, 2010)&lt;/DisplayText&gt;&lt;record&gt;&lt;rec-number&gt;7&lt;/rec-number&gt;&lt;foreign-keys&gt;&lt;key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Cite&gt;&lt;Author&gt;Roersch&lt;/Author&gt;&lt;Year&gt;2010&lt;/Year&gt;&lt;RecNum&gt;7&lt;/RecNum&gt;&lt;record&gt;&lt;rec-number&gt;7&lt;/rec-number&gt;&lt;foreign-keys&gt;&lt;key app="EN" db-id="xd20ava0ss0z06e9fzmxda9qwp2twsza5092" timestamp="1774870881"&gt;7&lt;/key&gt;&lt;/foreign-keys&gt;&lt;ref-type name="Journal Article"&gt;17&lt;/ref-type&gt;&lt;contributors&gt;&lt;authors&gt;&lt;author&gt;Roersch, C.&lt;/author&gt;&lt;/authors&gt;&lt;/contributors&gt;&lt;titles&gt;&lt;title&gt;Piper umbellatum L. A comparative cross-cultural analysis of its medicinal uses and an ethnopharmacological evaluation&lt;/title&gt;&lt;secondary-title&gt;Journal of ethnopharmacology&lt;/secondary-title&gt;&lt;/titles&gt;&lt;periodical&gt;&lt;full-title&gt;Journal of ethnopharmacology&lt;/full-title&gt;&lt;/periodical&gt;&lt;pages&gt;522-537&lt;/pages&gt;&lt;volume&gt;131&lt;/volume&gt;&lt;number&gt;2&lt;/number&gt;&lt;dates&gt;&lt;year&gt;2010&lt;/year&gt;&lt;/dates&gt;&lt;urls&gt;&lt;/urls&gt;&lt;/record&gt;&lt;/Cite&gt;&lt;/EndNote&gt;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(Roersch, 2010)</w:t>
      </w:r>
      <w:r w:rsidRPr="001A5676">
        <w:rPr>
          <w:rFonts w:ascii="Arial" w:eastAsia="Calibri" w:hAnsi="Arial" w:cs="Arial"/>
          <w:szCs w:val="22"/>
        </w:rPr>
        <w:fldChar w:fldCharType="end"/>
      </w:r>
      <w:r w:rsidRPr="001A5676">
        <w:rPr>
          <w:rFonts w:ascii="Arial" w:eastAsia="Calibri" w:hAnsi="Arial" w:cs="Arial"/>
          <w:szCs w:val="22"/>
        </w:rPr>
        <w:t xml:space="preserve">. It is used in traditional medicine to treat numerous ailments in various countries. In Cameroon, an infusion of the bark is used as a vermifuge, and the pericarp is used for intestinal problems. A </w:t>
      </w:r>
      <w:bookmarkStart w:id="1" w:name="_Hlk226610878"/>
      <w:r w:rsidRPr="001A5676">
        <w:rPr>
          <w:rFonts w:ascii="Arial" w:eastAsia="Calibri" w:hAnsi="Arial" w:cs="Arial"/>
          <w:szCs w:val="22"/>
        </w:rPr>
        <w:t xml:space="preserve">decoction of the pulp is used in Ivory Coast and China to treat dysentery and persistent diarrhea </w:t>
      </w:r>
      <w:bookmarkEnd w:id="1"/>
      <w:r w:rsidRPr="001A5676">
        <w:rPr>
          <w:rFonts w:ascii="Arial" w:eastAsia="Calibri" w:hAnsi="Arial" w:cs="Arial"/>
          <w:szCs w:val="22"/>
        </w:rPr>
        <w:fldChar w:fldCharType="begin"/>
      </w:r>
      <w:r w:rsidR="00CA16D7">
        <w:rPr>
          <w:rFonts w:ascii="Arial" w:eastAsia="Calibri" w:hAnsi="Arial" w:cs="Arial"/>
          <w:szCs w:val="22"/>
        </w:rPr>
        <w:instrText xml:space="preserve"> ADDIN EN.CITE &lt;EndNote&gt;&lt;Cite&gt;&lt;Author&gt;Augustin&lt;/Author&gt;&lt;Year&gt;1947&lt;/Year&gt;&lt;RecNum&gt;8&lt;/RecNum&gt;&lt;DisplayText&gt;(Augustin, 1947)&lt;/DisplayText&gt;&lt;record&gt;&lt;rec-number&gt;8&lt;/rec-number&gt;&lt;foreign-keys&gt;&lt;key app="EN" db-id="xd20ava0ss0z06e9fzmxda9qwp2twsza5092" timestamp="1774870881"&gt;8&lt;/key&gt;&lt;/foreign-keys&gt;&lt;ref-type name="Journal Article"&gt;17&lt;/ref-type&gt;&lt;contributors&gt;&lt;authors&gt;&lt;author&gt;Augustin, C.&lt;/author&gt;&lt;/authors&gt;&lt;/contributors&gt;&lt;titles&gt;&lt;title&gt;Produits médicinaux fournis par les plantes de la famille des Guttifères vivant dans les colonies françaises&lt;/title&gt;&lt;secondary-title&gt;Journal d’agriculture traditionnelle et de botanique appliquée&lt;/secondary-title&gt;&lt;/titles&gt;&lt;periodical&gt;&lt;full-title&gt;Journal d’agriculture traditionnelle et de botanique appliquée&lt;/full-title&gt;&lt;/periodical&gt;&lt;pages&gt;88-97&lt;/pages&gt;&lt;volume&gt;20&lt;/volume&gt;&lt;dates&gt;&lt;year&gt;1947&lt;/year&gt;&lt;/dates&gt;&lt;urls&gt;&lt;/urls&gt;&lt;/record&gt;&lt;/Cite&gt;&lt;/EndNote&gt;</w:instrText>
      </w:r>
      <w:r w:rsidRPr="001A5676">
        <w:rPr>
          <w:rFonts w:ascii="Arial" w:eastAsia="Calibri" w:hAnsi="Arial" w:cs="Arial"/>
          <w:szCs w:val="22"/>
        </w:rPr>
        <w:fldChar w:fldCharType="separate"/>
      </w:r>
      <w:r w:rsidR="00CA16D7">
        <w:rPr>
          <w:rFonts w:ascii="Arial" w:eastAsia="Calibri" w:hAnsi="Arial" w:cs="Arial"/>
          <w:noProof/>
          <w:szCs w:val="22"/>
        </w:rPr>
        <w:t>(Augustin, 1947)</w:t>
      </w:r>
      <w:r w:rsidRPr="001A5676">
        <w:rPr>
          <w:rFonts w:ascii="Arial" w:eastAsia="Calibri" w:hAnsi="Arial" w:cs="Arial"/>
          <w:szCs w:val="22"/>
        </w:rPr>
        <w:fldChar w:fldCharType="end"/>
      </w:r>
      <w:r w:rsidRPr="001A5676">
        <w:rPr>
          <w:rFonts w:ascii="Arial" w:eastAsia="Calibri" w:hAnsi="Arial" w:cs="Arial"/>
          <w:szCs w:val="22"/>
        </w:rPr>
        <w:t>.</w:t>
      </w:r>
    </w:p>
    <w:p w14:paraId="6AC78BEA" w14:textId="5529E942" w:rsidR="001A5676" w:rsidRPr="001A5676" w:rsidRDefault="001A5676" w:rsidP="001A5676">
      <w:pPr>
        <w:pStyle w:val="Body"/>
        <w:spacing w:after="0"/>
        <w:rPr>
          <w:rFonts w:ascii="Arial" w:eastAsia="Calibri" w:hAnsi="Arial" w:cs="Arial"/>
          <w:szCs w:val="22"/>
        </w:rPr>
      </w:pPr>
      <w:r w:rsidRPr="001A5676">
        <w:rPr>
          <w:rFonts w:ascii="Arial" w:eastAsia="Calibri" w:hAnsi="Arial" w:cs="Arial"/>
          <w:szCs w:val="22"/>
        </w:rPr>
        <w:t xml:space="preserve">In view of the above, this study aims to evaluate the antioxidant and antibacterial activity of aqueous and hydro-ethanolic extracts of the pericarp of the fruit of </w:t>
      </w:r>
      <w:bookmarkStart w:id="2" w:name="_Hlk226610907"/>
      <w:r w:rsidR="00CA16D7" w:rsidRPr="00CA16D7">
        <w:rPr>
          <w:rFonts w:ascii="Arial" w:eastAsia="Calibri" w:hAnsi="Arial" w:cs="Arial"/>
          <w:i/>
          <w:iCs/>
          <w:szCs w:val="22"/>
        </w:rPr>
        <w:t xml:space="preserve">Garcinia </w:t>
      </w:r>
      <w:proofErr w:type="spellStart"/>
      <w:proofErr w:type="gramStart"/>
      <w:r w:rsidR="00CA16D7" w:rsidRPr="00CA16D7">
        <w:rPr>
          <w:rFonts w:ascii="Arial" w:eastAsia="Calibri" w:hAnsi="Arial" w:cs="Arial"/>
          <w:i/>
          <w:iCs/>
          <w:szCs w:val="22"/>
        </w:rPr>
        <w:t>mangostana</w:t>
      </w:r>
      <w:proofErr w:type="spellEnd"/>
      <w:r w:rsidR="00CA16D7" w:rsidRPr="00CA16D7">
        <w:rPr>
          <w:rFonts w:ascii="Arial" w:eastAsia="Calibri" w:hAnsi="Arial" w:cs="Arial"/>
          <w:i/>
          <w:iCs/>
          <w:szCs w:val="22"/>
        </w:rPr>
        <w:t xml:space="preserve"> </w:t>
      </w:r>
      <w:r w:rsidRPr="001A5676">
        <w:rPr>
          <w:rFonts w:ascii="Arial" w:eastAsia="Calibri" w:hAnsi="Arial" w:cs="Arial"/>
          <w:szCs w:val="22"/>
        </w:rPr>
        <w:t xml:space="preserve"> </w:t>
      </w:r>
      <w:bookmarkEnd w:id="2"/>
      <w:r w:rsidRPr="001A5676">
        <w:rPr>
          <w:rFonts w:ascii="Arial" w:eastAsia="Calibri" w:hAnsi="Arial" w:cs="Arial"/>
          <w:szCs w:val="22"/>
        </w:rPr>
        <w:t>L.</w:t>
      </w:r>
      <w:proofErr w:type="gramEnd"/>
      <w:r w:rsidRPr="001A5676">
        <w:rPr>
          <w:rFonts w:ascii="Arial" w:eastAsia="Calibri" w:hAnsi="Arial" w:cs="Arial"/>
          <w:szCs w:val="22"/>
        </w:rPr>
        <w:t xml:space="preserve"> (</w:t>
      </w:r>
      <w:proofErr w:type="spellStart"/>
      <w:r w:rsidRPr="001A5676">
        <w:rPr>
          <w:rFonts w:ascii="Arial" w:eastAsia="Calibri" w:hAnsi="Arial" w:cs="Arial"/>
          <w:szCs w:val="22"/>
        </w:rPr>
        <w:t>Clusiaceae</w:t>
      </w:r>
      <w:proofErr w:type="spellEnd"/>
      <w:r w:rsidRPr="001A5676">
        <w:rPr>
          <w:rFonts w:ascii="Arial" w:eastAsia="Calibri" w:hAnsi="Arial" w:cs="Arial"/>
          <w:szCs w:val="22"/>
        </w:rPr>
        <w:t>).</w:t>
      </w:r>
    </w:p>
    <w:p w14:paraId="3CB0318E" w14:textId="26E2071C"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69E2CF" w14:textId="77777777" w:rsidR="00790ADA" w:rsidRPr="00FB3A86" w:rsidRDefault="00790ADA" w:rsidP="00441B6F">
      <w:pPr>
        <w:pStyle w:val="AbstHead"/>
        <w:spacing w:after="0"/>
        <w:jc w:val="both"/>
        <w:rPr>
          <w:rFonts w:ascii="Arial" w:hAnsi="Arial" w:cs="Arial"/>
        </w:rPr>
      </w:pPr>
    </w:p>
    <w:p w14:paraId="64F536AA" w14:textId="349FED01" w:rsidR="001A5676" w:rsidRPr="001A5676" w:rsidRDefault="001A5676" w:rsidP="001A5676">
      <w:pPr>
        <w:pStyle w:val="Body"/>
        <w:spacing w:after="0"/>
        <w:rPr>
          <w:rFonts w:ascii="Arial" w:hAnsi="Arial" w:cs="Arial"/>
          <w:b/>
          <w:bCs/>
        </w:rPr>
      </w:pPr>
      <w:bookmarkStart w:id="3" w:name="_Toc137924716"/>
      <w:r w:rsidRPr="001A5676">
        <w:rPr>
          <w:rFonts w:ascii="Arial" w:hAnsi="Arial" w:cs="Arial"/>
          <w:b/>
          <w:bCs/>
        </w:rPr>
        <w:t>2.1. Plant material</w:t>
      </w:r>
      <w:bookmarkEnd w:id="3"/>
    </w:p>
    <w:p w14:paraId="2E3F1185" w14:textId="3603A56B" w:rsidR="001A5676" w:rsidRPr="001A5676" w:rsidRDefault="001A5676" w:rsidP="001A5676">
      <w:pPr>
        <w:pStyle w:val="Body"/>
        <w:spacing w:after="0"/>
        <w:rPr>
          <w:rFonts w:ascii="Arial" w:hAnsi="Arial" w:cs="Arial"/>
        </w:rPr>
      </w:pPr>
      <w:r w:rsidRPr="001A5676">
        <w:rPr>
          <w:rFonts w:ascii="Arial" w:hAnsi="Arial" w:cs="Arial"/>
        </w:rPr>
        <w:t xml:space="preserve">The plant material, consisting of the pericarp of the fruit of </w:t>
      </w:r>
      <w:r w:rsidR="00CA16D7" w:rsidRPr="00CA16D7">
        <w:rPr>
          <w:rFonts w:ascii="Arial" w:hAnsi="Arial" w:cs="Arial"/>
          <w:i/>
          <w:iCs/>
        </w:rPr>
        <w:t xml:space="preserve">G. </w:t>
      </w:r>
      <w:proofErr w:type="spellStart"/>
      <w:r w:rsidR="00CA16D7" w:rsidRPr="00CA16D7">
        <w:rPr>
          <w:rFonts w:ascii="Arial" w:hAnsi="Arial" w:cs="Arial"/>
          <w:i/>
          <w:iCs/>
        </w:rPr>
        <w:t>mangostana</w:t>
      </w:r>
      <w:proofErr w:type="spellEnd"/>
      <w:r w:rsidRPr="001A5676">
        <w:rPr>
          <w:rFonts w:ascii="Arial" w:hAnsi="Arial" w:cs="Arial"/>
        </w:rPr>
        <w:t xml:space="preserve">, was collected on August 12, 2022, between 6:00 and 7:00 a.m. in </w:t>
      </w:r>
      <w:proofErr w:type="spellStart"/>
      <w:r w:rsidRPr="001A5676">
        <w:rPr>
          <w:rFonts w:ascii="Arial" w:hAnsi="Arial" w:cs="Arial"/>
        </w:rPr>
        <w:t>Manjo</w:t>
      </w:r>
      <w:proofErr w:type="spellEnd"/>
      <w:r w:rsidRPr="001A5676">
        <w:rPr>
          <w:rFonts w:ascii="Arial" w:hAnsi="Arial" w:cs="Arial"/>
        </w:rPr>
        <w:t xml:space="preserve">, </w:t>
      </w:r>
      <w:proofErr w:type="spellStart"/>
      <w:r w:rsidRPr="001A5676">
        <w:rPr>
          <w:rFonts w:ascii="Arial" w:hAnsi="Arial" w:cs="Arial"/>
        </w:rPr>
        <w:t>Moungo</w:t>
      </w:r>
      <w:proofErr w:type="spellEnd"/>
      <w:r w:rsidRPr="001A5676">
        <w:rPr>
          <w:rFonts w:ascii="Arial" w:hAnsi="Arial" w:cs="Arial"/>
        </w:rPr>
        <w:t xml:space="preserve"> Department, Littoral Region, Cameroon. Identification was carried out at the National Herbarium of Cameroon under number 25666/</w:t>
      </w:r>
      <w:proofErr w:type="spellStart"/>
      <w:r w:rsidRPr="001A5676">
        <w:rPr>
          <w:rFonts w:ascii="Arial" w:hAnsi="Arial" w:cs="Arial"/>
        </w:rPr>
        <w:t>SRFCam</w:t>
      </w:r>
      <w:proofErr w:type="spellEnd"/>
      <w:r w:rsidRPr="001A5676">
        <w:rPr>
          <w:rFonts w:ascii="Arial" w:hAnsi="Arial" w:cs="Arial"/>
        </w:rPr>
        <w:t>. The fruits were dried in the shade at room temperature and then ground into a fine powder usi</w:t>
      </w:r>
      <w:bookmarkStart w:id="4" w:name="_GoBack"/>
      <w:bookmarkEnd w:id="4"/>
      <w:r w:rsidRPr="001A5676">
        <w:rPr>
          <w:rFonts w:ascii="Arial" w:hAnsi="Arial" w:cs="Arial"/>
        </w:rPr>
        <w:t>ng a VINCO® Model Y2-132S1-2 mill.</w:t>
      </w:r>
    </w:p>
    <w:p w14:paraId="448FD529" w14:textId="0517E5C8" w:rsidR="001A5676" w:rsidRPr="001A5676" w:rsidRDefault="001A5676" w:rsidP="001A5676">
      <w:pPr>
        <w:pStyle w:val="Body"/>
        <w:spacing w:after="0"/>
        <w:rPr>
          <w:rFonts w:ascii="Arial" w:hAnsi="Arial" w:cs="Arial"/>
          <w:b/>
          <w:bCs/>
        </w:rPr>
      </w:pPr>
      <w:bookmarkStart w:id="5" w:name="_Toc137924717"/>
      <w:r w:rsidRPr="001A5676">
        <w:rPr>
          <w:rFonts w:ascii="Arial" w:hAnsi="Arial" w:cs="Arial"/>
          <w:b/>
          <w:bCs/>
        </w:rPr>
        <w:t>2.1.2 Microbiological material</w:t>
      </w:r>
      <w:bookmarkEnd w:id="5"/>
    </w:p>
    <w:p w14:paraId="5CF1686C" w14:textId="625640B6" w:rsidR="001A5676" w:rsidRPr="001A5676" w:rsidRDefault="001A5676" w:rsidP="001A5676">
      <w:pPr>
        <w:pStyle w:val="Body"/>
        <w:spacing w:after="0"/>
        <w:rPr>
          <w:rFonts w:ascii="Arial" w:hAnsi="Arial" w:cs="Arial"/>
        </w:rPr>
      </w:pPr>
      <w:r w:rsidRPr="001A5676">
        <w:rPr>
          <w:rFonts w:ascii="Arial" w:hAnsi="Arial" w:cs="Arial"/>
        </w:rPr>
        <w:t xml:space="preserve">The tests were carried out on 04 strains of bacteria namely: </w:t>
      </w:r>
      <w:r w:rsidR="00CA16D7" w:rsidRPr="00CA16D7">
        <w:rPr>
          <w:rFonts w:ascii="Arial" w:hAnsi="Arial" w:cs="Arial"/>
          <w:i/>
          <w:iCs/>
        </w:rPr>
        <w:t>Pseudomonas aeruginosa</w:t>
      </w:r>
      <w:r w:rsidRPr="001A5676">
        <w:rPr>
          <w:rFonts w:ascii="Arial" w:hAnsi="Arial" w:cs="Arial"/>
        </w:rPr>
        <w:t xml:space="preserve">, </w:t>
      </w:r>
      <w:r w:rsidR="00CA16D7" w:rsidRPr="00CA16D7">
        <w:rPr>
          <w:rFonts w:ascii="Arial" w:hAnsi="Arial" w:cs="Arial"/>
          <w:i/>
          <w:iCs/>
        </w:rPr>
        <w:t>Enterobacter cloacae</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and </w:t>
      </w:r>
      <w:r w:rsidR="00BF0CCB" w:rsidRPr="00BF0CCB">
        <w:rPr>
          <w:rFonts w:ascii="Arial" w:hAnsi="Arial" w:cs="Arial"/>
          <w:i/>
          <w:iCs/>
        </w:rPr>
        <w:t>Escherichia coli</w:t>
      </w:r>
      <w:r w:rsidRPr="001A5676">
        <w:rPr>
          <w:rFonts w:ascii="Arial" w:hAnsi="Arial" w:cs="Arial"/>
        </w:rPr>
        <w:t xml:space="preserve">. </w:t>
      </w:r>
    </w:p>
    <w:p w14:paraId="343FF1F8" w14:textId="77777777" w:rsidR="001A5676" w:rsidRDefault="001A5676" w:rsidP="001A5676">
      <w:pPr>
        <w:pStyle w:val="Body"/>
        <w:spacing w:after="0"/>
        <w:rPr>
          <w:rFonts w:ascii="Arial" w:hAnsi="Arial" w:cs="Arial"/>
        </w:rPr>
      </w:pPr>
      <w:r w:rsidRPr="001A5676">
        <w:rPr>
          <w:rFonts w:ascii="Arial" w:hAnsi="Arial" w:cs="Arial"/>
        </w:rPr>
        <w:t>The bacterial isolates sought came from samples analyzed at the Microbiology Laboratory of the University Clinics of the Mountains, purified on nutrient agar.</w:t>
      </w:r>
    </w:p>
    <w:p w14:paraId="36A95EA6" w14:textId="77777777" w:rsidR="001A5676" w:rsidRPr="001A5676" w:rsidRDefault="001A5676" w:rsidP="001A5676">
      <w:pPr>
        <w:pStyle w:val="Body"/>
        <w:spacing w:after="0"/>
        <w:rPr>
          <w:rFonts w:ascii="Arial" w:hAnsi="Arial" w:cs="Arial"/>
        </w:rPr>
      </w:pPr>
    </w:p>
    <w:p w14:paraId="14327ECE" w14:textId="466588F0" w:rsidR="001A5676" w:rsidRPr="001A5676" w:rsidRDefault="001A5676" w:rsidP="001A5676">
      <w:pPr>
        <w:pStyle w:val="Body"/>
        <w:spacing w:after="0"/>
        <w:rPr>
          <w:rFonts w:ascii="Arial" w:hAnsi="Arial" w:cs="Arial"/>
          <w:b/>
          <w:bCs/>
        </w:rPr>
      </w:pPr>
      <w:bookmarkStart w:id="6" w:name="_Toc136377194"/>
      <w:bookmarkStart w:id="7" w:name="_Toc137924718"/>
      <w:r w:rsidRPr="001A5676">
        <w:rPr>
          <w:rFonts w:ascii="Arial" w:hAnsi="Arial" w:cs="Arial"/>
          <w:b/>
          <w:bCs/>
        </w:rPr>
        <w:t>2.2 Preparation of extracts</w:t>
      </w:r>
      <w:bookmarkEnd w:id="6"/>
      <w:bookmarkEnd w:id="7"/>
    </w:p>
    <w:p w14:paraId="703751CA" w14:textId="273E408B" w:rsidR="001A5676" w:rsidRPr="001A5676" w:rsidRDefault="001A5676" w:rsidP="001A5676">
      <w:pPr>
        <w:pStyle w:val="Body"/>
        <w:spacing w:after="0"/>
        <w:rPr>
          <w:rFonts w:ascii="Arial" w:hAnsi="Arial" w:cs="Arial"/>
        </w:rPr>
      </w:pPr>
      <w:r w:rsidRPr="001A5676">
        <w:rPr>
          <w:rFonts w:ascii="Arial" w:hAnsi="Arial" w:cs="Arial"/>
        </w:rPr>
        <w:t xml:space="preserve">Extraction was performed according to the method described by </w:t>
      </w:r>
      <w:proofErr w:type="spellStart"/>
      <w:r w:rsidRPr="001A5676">
        <w:rPr>
          <w:rFonts w:ascii="Arial" w:hAnsi="Arial" w:cs="Arial"/>
        </w:rPr>
        <w:t>Bagre</w:t>
      </w:r>
      <w:proofErr w:type="spellEnd"/>
      <w:r w:rsidRPr="001A5676">
        <w:rPr>
          <w:rFonts w:ascii="Arial" w:hAnsi="Arial" w:cs="Arial"/>
        </w:rPr>
        <w:t xml:space="preserve"> et al . </w:t>
      </w:r>
      <w:r w:rsidRPr="001A5676">
        <w:rPr>
          <w:rFonts w:ascii="Arial" w:hAnsi="Arial" w:cs="Arial"/>
        </w:rPr>
        <w:fldChar w:fldCharType="begin"/>
      </w:r>
      <w:r w:rsidR="00CA16D7">
        <w:rPr>
          <w:rFonts w:ascii="Arial" w:hAnsi="Arial" w:cs="Arial"/>
        </w:rPr>
        <w:instrText xml:space="preserve"> ADDIN EN.CITE &lt;EndNote&gt;&lt;Cite&gt;&lt;Author&gt;Omer Sheriff&lt;/Author&gt;&lt;Year&gt;2022&lt;/Year&gt;&lt;RecNum&gt;50&lt;/RecNum&gt;&lt;DisplayText&gt;(Omer Sheriff &amp;amp; Haresh Kumar, 2022)&lt;/DisplayText&gt;&lt;record&gt;&lt;rec-number&gt;50&lt;/rec-number&gt;&lt;foreign-keys&gt;&lt;key app="EN" db-id="xd20ava0ss0z06e9fzmxda9qwp2twsza5092" timestamp="1774870881"&gt;50&lt;/key&gt;&lt;/foreign-keys&gt;&lt;ref-type name="Journal Article"&gt;17&lt;/ref-type&gt;&lt;contributors&gt;&lt;authors&gt;&lt;author&gt;Omer Sheriff, S.&lt;/author&gt;&lt;author&gt;Haresh Kumar, K.&lt;/author&gt;&lt;/authors&gt;&lt;/contributors&gt;&lt;titles&gt;&lt;title&gt;Le potentiel de l’α-mangostine de Garcinia mangostana en tant qu’agent antibactérien efficace-Une revue systématique et une méta-analayse&lt;/title&gt;&lt;secondary-title&gt;Antibiotiques&lt;/secondary-title&gt;&lt;/titles&gt;&lt;periodical&gt;&lt;full-title&gt;Antibiotiques&lt;/full-title&gt;&lt;/periodical&gt;&lt;pages&gt;717&lt;/pages&gt;&lt;volume&gt;11&lt;/volume&gt;&lt;number&gt;6&lt;/number&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(Omer Sheriff &amp; Haresh Kumar, 2022)</w:t>
      </w:r>
      <w:r w:rsidRPr="001A5676">
        <w:rPr>
          <w:rFonts w:ascii="Arial" w:hAnsi="Arial" w:cs="Arial"/>
        </w:rPr>
        <w:fldChar w:fldCharType="end"/>
      </w:r>
      <w:r w:rsidRPr="001A5676">
        <w:rPr>
          <w:rFonts w:ascii="Arial" w:hAnsi="Arial" w:cs="Arial"/>
        </w:rPr>
        <w:t xml:space="preserve">. The different extracts were prepared by maceration and decoction. For this purpose, 100 g of fruit pericarp powder were weighed using a KERN® PLS balance (range: 0.01 g - 4800 g) and cold-macerated for 48 hours using 1 L of an ethanol-water mixture (70:30; </w:t>
      </w:r>
      <w:proofErr w:type="gramStart"/>
      <w:r w:rsidRPr="001A5676">
        <w:rPr>
          <w:rFonts w:ascii="Arial" w:hAnsi="Arial" w:cs="Arial"/>
        </w:rPr>
        <w:t>V:V</w:t>
      </w:r>
      <w:proofErr w:type="gramEnd"/>
      <w:r w:rsidRPr="001A5676">
        <w:rPr>
          <w:rFonts w:ascii="Arial" w:hAnsi="Arial" w:cs="Arial"/>
        </w:rPr>
        <w:t xml:space="preserve">) for the hydroethanolic extract and 1 L of distilled water for 48 hours for the aqueous extract obtained by maceration. For the aqueous extract obtained by decoction, 100 g of powder were mixed with 1 L of distilled water and boiled for 15 minutes. The different products from each of these preparations were first filtered through cotton Hydro® and then through Whatman No. 2 filter paper. The filtrates obtained were evaporated using a rotary </w:t>
      </w:r>
      <w:r w:rsidRPr="001A5676">
        <w:rPr>
          <w:rFonts w:ascii="Arial" w:hAnsi="Arial" w:cs="Arial"/>
        </w:rPr>
        <w:lastRenderedPageBreak/>
        <w:t>evaporator under reduced pressure at 40°C and dried in an oven (37°C) to obtain the dry extracts. The dry residues were then collected, weighed, and packaged for further study.</w:t>
      </w:r>
    </w:p>
    <w:p w14:paraId="1549B1FD" w14:textId="77777777" w:rsidR="001A5676" w:rsidRPr="001A5676" w:rsidRDefault="001A5676" w:rsidP="001A5676">
      <w:pPr>
        <w:pStyle w:val="Body"/>
        <w:spacing w:after="0"/>
        <w:rPr>
          <w:rFonts w:ascii="Arial" w:hAnsi="Arial" w:cs="Arial"/>
        </w:rPr>
      </w:pPr>
      <w:r w:rsidRPr="001A5676">
        <w:rPr>
          <w:rFonts w:ascii="Arial" w:hAnsi="Arial" w:cs="Arial"/>
        </w:rPr>
        <w:t>The different extraction yields were calculated using the following formula:</w:t>
      </w:r>
    </w:p>
    <w:p w14:paraId="473DF746" w14:textId="77777777" w:rsidR="001A5676" w:rsidRPr="001A5676" w:rsidRDefault="001A5676" w:rsidP="001A5676">
      <w:pPr>
        <w:pStyle w:val="Body"/>
        <w:spacing w:after="0"/>
        <w:rPr>
          <w:rFonts w:ascii="Arial" w:hAnsi="Arial" w:cs="Arial"/>
        </w:rPr>
      </w:pPr>
      <w:r w:rsidRPr="001A5676">
        <w:rPr>
          <w:rFonts w:ascii="Arial" w:hAnsi="Arial" w:cs="Arial"/>
        </w:rPr>
        <w:t>Yield (%) = (Mass of extract obtained (g) / Mass of initial powder (g)) x 100</w:t>
      </w:r>
    </w:p>
    <w:p w14:paraId="2F441365" w14:textId="77777777" w:rsidR="001A5676" w:rsidRDefault="001A5676" w:rsidP="001A5676">
      <w:pPr>
        <w:pStyle w:val="Body"/>
        <w:spacing w:after="0"/>
        <w:rPr>
          <w:rFonts w:ascii="Arial" w:hAnsi="Arial" w:cs="Arial"/>
        </w:rPr>
      </w:pPr>
      <w:r w:rsidRPr="001A5676">
        <w:rPr>
          <w:rFonts w:ascii="Arial" w:hAnsi="Arial" w:cs="Arial"/>
        </w:rPr>
        <w:t>In order to get an idea of the major groups of secondary metabolites present in the different extracts and their content, a qualitative phytochemical screening was carried out using colorimetric and precipitation methods followed by spectrometric analysis.</w:t>
      </w:r>
    </w:p>
    <w:p w14:paraId="1FB0134F" w14:textId="77777777" w:rsidR="001A5676" w:rsidRPr="001A5676" w:rsidRDefault="001A5676" w:rsidP="001A5676">
      <w:pPr>
        <w:pStyle w:val="Body"/>
        <w:spacing w:after="0"/>
        <w:rPr>
          <w:rFonts w:ascii="Arial" w:hAnsi="Arial" w:cs="Arial"/>
        </w:rPr>
      </w:pPr>
    </w:p>
    <w:p w14:paraId="61A8D0CC" w14:textId="34601337" w:rsidR="001A5676" w:rsidRDefault="001A5676" w:rsidP="001A5676">
      <w:pPr>
        <w:pStyle w:val="Body"/>
        <w:spacing w:after="0"/>
        <w:rPr>
          <w:rFonts w:ascii="Arial" w:hAnsi="Arial" w:cs="Arial"/>
          <w:b/>
          <w:bCs/>
        </w:rPr>
      </w:pPr>
      <w:bookmarkStart w:id="8" w:name="_Toc136377195"/>
      <w:bookmarkStart w:id="9" w:name="_Toc137924719"/>
      <w:r w:rsidRPr="001A5676">
        <w:rPr>
          <w:rFonts w:ascii="Arial" w:hAnsi="Arial" w:cs="Arial"/>
          <w:b/>
          <w:bCs/>
        </w:rPr>
        <w:t>2.3 Phytochemical Screening</w:t>
      </w:r>
      <w:bookmarkEnd w:id="8"/>
      <w:bookmarkEnd w:id="9"/>
    </w:p>
    <w:p w14:paraId="192219EE" w14:textId="77777777" w:rsidR="001A5676" w:rsidRPr="001A5676" w:rsidRDefault="001A5676" w:rsidP="001A5676">
      <w:pPr>
        <w:pStyle w:val="Body"/>
        <w:spacing w:after="0"/>
        <w:rPr>
          <w:rFonts w:ascii="Arial" w:hAnsi="Arial" w:cs="Arial"/>
          <w:b/>
          <w:bCs/>
        </w:rPr>
      </w:pPr>
    </w:p>
    <w:p w14:paraId="245F0A69" w14:textId="2FE55A86" w:rsidR="001A5676" w:rsidRDefault="001A5676" w:rsidP="001A5676">
      <w:pPr>
        <w:pStyle w:val="Body"/>
        <w:spacing w:after="0"/>
        <w:rPr>
          <w:rFonts w:ascii="Arial" w:hAnsi="Arial" w:cs="Arial"/>
        </w:rPr>
      </w:pPr>
      <w:r w:rsidRPr="001A5676">
        <w:rPr>
          <w:rFonts w:ascii="Arial" w:hAnsi="Arial" w:cs="Arial"/>
        </w:rPr>
        <w:t xml:space="preserve">The total polyphenol and flavonoid content of each </w:t>
      </w:r>
      <w:r w:rsidR="00CA16D7" w:rsidRPr="00CA16D7">
        <w:rPr>
          <w:rFonts w:ascii="Arial" w:hAnsi="Arial" w:cs="Arial"/>
          <w:i/>
          <w:iCs/>
        </w:rPr>
        <w:t xml:space="preserve">G. </w:t>
      </w:r>
      <w:proofErr w:type="spell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 was determined using the method of Siddiqui (2017)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 xml:space="preserve">. The tannin content was determined using the method of </w:t>
      </w:r>
      <w:proofErr w:type="spellStart"/>
      <w:r w:rsidRPr="001A5676">
        <w:rPr>
          <w:rFonts w:ascii="Arial" w:hAnsi="Arial" w:cs="Arial"/>
        </w:rPr>
        <w:t>Ribereau-Gayon</w:t>
      </w:r>
      <w:proofErr w:type="spellEnd"/>
      <w:r w:rsidRPr="001A5676">
        <w:rPr>
          <w:rFonts w:ascii="Arial" w:hAnsi="Arial" w:cs="Arial"/>
        </w:rPr>
        <w:t xml:space="preserve"> et al (1966)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with some minor modifications.</w:t>
      </w:r>
    </w:p>
    <w:p w14:paraId="0660251F" w14:textId="77777777" w:rsidR="001A5676" w:rsidRPr="001A5676" w:rsidRDefault="001A5676" w:rsidP="001A5676">
      <w:pPr>
        <w:pStyle w:val="Body"/>
        <w:spacing w:after="0"/>
        <w:rPr>
          <w:rFonts w:ascii="Arial" w:hAnsi="Arial" w:cs="Arial"/>
        </w:rPr>
      </w:pPr>
    </w:p>
    <w:p w14:paraId="6D1F31FD" w14:textId="612DFB50" w:rsidR="001A5676" w:rsidRDefault="001A5676" w:rsidP="001A5676">
      <w:pPr>
        <w:pStyle w:val="Body"/>
        <w:spacing w:after="0"/>
        <w:rPr>
          <w:rFonts w:ascii="Arial" w:hAnsi="Arial" w:cs="Arial"/>
          <w:b/>
          <w:bCs/>
        </w:rPr>
      </w:pPr>
      <w:bookmarkStart w:id="10" w:name="_Toc137924723"/>
      <w:r w:rsidRPr="001A5676">
        <w:rPr>
          <w:rFonts w:ascii="Arial" w:hAnsi="Arial" w:cs="Arial"/>
          <w:b/>
          <w:bCs/>
        </w:rPr>
        <w:t>2.3.1 Determination of total polyphenol content</w:t>
      </w:r>
      <w:bookmarkEnd w:id="10"/>
    </w:p>
    <w:p w14:paraId="2158C882" w14:textId="77777777" w:rsidR="001A5676" w:rsidRPr="001A5676" w:rsidRDefault="001A5676" w:rsidP="001A5676">
      <w:pPr>
        <w:pStyle w:val="Body"/>
        <w:spacing w:after="0"/>
        <w:rPr>
          <w:rFonts w:ascii="Arial" w:hAnsi="Arial" w:cs="Arial"/>
          <w:b/>
          <w:bCs/>
        </w:rPr>
      </w:pPr>
    </w:p>
    <w:p w14:paraId="60CD9A90" w14:textId="464C07B3" w:rsidR="001A5676" w:rsidRDefault="001A5676" w:rsidP="001A5676">
      <w:pPr>
        <w:pStyle w:val="Body"/>
        <w:spacing w:after="0"/>
        <w:rPr>
          <w:rFonts w:ascii="Arial" w:hAnsi="Arial" w:cs="Arial"/>
        </w:rPr>
      </w:pPr>
      <w:r w:rsidRPr="001A5676">
        <w:rPr>
          <w:rFonts w:ascii="Arial" w:hAnsi="Arial" w:cs="Arial"/>
        </w:rPr>
        <w:t xml:space="preserve">The crude extract (50 mg) was mixed with 1 ml of </w:t>
      </w:r>
      <w:proofErr w:type="spellStart"/>
      <w:r w:rsidRPr="001A5676">
        <w:rPr>
          <w:rFonts w:ascii="Arial" w:hAnsi="Arial" w:cs="Arial"/>
        </w:rPr>
        <w:t>Folin-Ciocalteu</w:t>
      </w:r>
      <w:proofErr w:type="spellEnd"/>
      <w:r w:rsidRPr="001A5676">
        <w:rPr>
          <w:rFonts w:ascii="Arial" w:hAnsi="Arial" w:cs="Arial"/>
        </w:rPr>
        <w:t xml:space="preserve"> reagent diluted 10 times and 7.5 ml of distilled water. The mixture was kept at room temperature for 5 min, then 10 ml of 7% sodium carbonate was added, followed by incubation for 90 min at room temperature (18-25 °C). After incubation, the absorbance against a reagent blank was determined at 760 nm using a JENWAY 7305 UV /Visible spectrophotometer (United Kingdom). The total phenolic concentration of the extracts was expressed in mg/g gallic acid equivalent using the gallic acid calibration curve (R² = 0,9992). All samples were analyzed in triplets, and the results are expressed as mean ± standard deviation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30C8CE63" w14:textId="77777777" w:rsidR="001A5676" w:rsidRPr="001A5676" w:rsidRDefault="001A5676" w:rsidP="001A5676">
      <w:pPr>
        <w:pStyle w:val="Body"/>
        <w:spacing w:after="0"/>
        <w:rPr>
          <w:rFonts w:ascii="Arial" w:hAnsi="Arial" w:cs="Arial"/>
        </w:rPr>
      </w:pPr>
    </w:p>
    <w:p w14:paraId="4AAF76A1" w14:textId="799076EC" w:rsidR="001A5676" w:rsidRPr="001A5676" w:rsidRDefault="001A5676" w:rsidP="001A5676">
      <w:pPr>
        <w:pStyle w:val="Body"/>
        <w:spacing w:after="0"/>
        <w:rPr>
          <w:rFonts w:ascii="Arial" w:hAnsi="Arial" w:cs="Arial"/>
          <w:b/>
          <w:bCs/>
        </w:rPr>
      </w:pPr>
      <w:bookmarkStart w:id="11" w:name="_Toc137924724"/>
      <w:r w:rsidRPr="001A5676">
        <w:rPr>
          <w:rFonts w:ascii="Arial" w:hAnsi="Arial" w:cs="Arial"/>
          <w:b/>
          <w:bCs/>
        </w:rPr>
        <w:t>2.3.2 Determination of total flavonoid content</w:t>
      </w:r>
      <w:bookmarkEnd w:id="11"/>
    </w:p>
    <w:p w14:paraId="4866E30B" w14:textId="5B59F9B3" w:rsidR="001A5676" w:rsidRPr="001A5676" w:rsidRDefault="001A5676" w:rsidP="001A5676">
      <w:pPr>
        <w:pStyle w:val="Body"/>
        <w:spacing w:after="0"/>
        <w:rPr>
          <w:rFonts w:ascii="Arial" w:hAnsi="Arial" w:cs="Arial"/>
        </w:rPr>
      </w:pPr>
      <w:r w:rsidRPr="001A5676">
        <w:rPr>
          <w:rFonts w:ascii="Arial" w:hAnsi="Arial" w:cs="Arial"/>
        </w:rPr>
        <w:t xml:space="preserve">A volume of 0.833 mL of an 80 µg/mL extract was added to 120 µL of 5% sodium nitrite. After 5 min, 120 µL of 10% aluminum chloride was added, followed by the addition of 800 µL of 1 M NaOH after 6 min. The mixture was homogenized, and the absorbance of the reaction mixture was immediately read at 415 nm against a control using a UV/Visible spectrophotometer. The total flavonoid content of the extracts was expressed as mg/g quercetin equivalent using the quercetin calibration curve (R² = 0,9607) at different extract concentrations.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&lt;EndNote&gt;&lt;Cite&gt;&lt;Author&gt;Siddiqui&lt;/Author&gt;&lt;Year&gt;2017&lt;/Year&gt;&lt;RecNum&gt;55&lt;/RecNum&gt;&lt;DisplayText&gt;(Siddiqui &amp;amp; Abdur, 2017)&lt;/DisplayText&gt;&lt;record&gt;&lt;rec-number&gt;55&lt;/rec-number&gt;&lt;foreign-keys&gt;&lt;key app="EN" db-id="xd20ava0ss0z06e9fzmxda9qwp2twsza5092" timestamp="1774870881"&gt;55&lt;/key&gt;&lt;/foreign-keys&gt;&lt;ref-type name="Journal Article"&gt;17&lt;/ref-type&gt;&lt;contributors&gt;&lt;authors&gt;&lt;author&gt;Siddiqui, N.&lt;/author&gt;&lt;author&gt;Abdur, R.&lt;/author&gt;&lt;/authors&gt;&lt;/contributors&gt;&lt;titles&gt;&lt;title&gt;Secondary metabolits in plants&lt;/title&gt;&lt;secondary-title&gt;Journal of Taibah University Medical Sciences&lt;/secondary-title&gt;&lt;/titles&gt;&lt;periodical&gt;&lt;full-title&gt;Journal of Taibah University Medical Sciences&lt;/full-title&gt;&lt;/periodical&gt;&lt;pages&gt;360-363&lt;/pages&gt;&lt;volume&gt;12&lt;/volume&gt;&lt;number&gt;4&lt;/number&gt;&lt;dates&gt;&lt;year&gt;2017&lt;/year&gt;&lt;/dates&gt;&lt;urls&gt;&lt;/urls&gt;&lt;/record&gt;&lt;/Cite&gt;&lt;/EndNote&gt;</w:instrText>
      </w:r>
      <w:r w:rsidRPr="001A5676">
        <w:rPr>
          <w:rFonts w:ascii="Arial" w:hAnsi="Arial" w:cs="Arial"/>
        </w:rPr>
        <w:fldChar w:fldCharType="separate"/>
      </w:r>
      <w:r w:rsidR="00CA16D7">
        <w:rPr>
          <w:rFonts w:ascii="Arial" w:hAnsi="Arial" w:cs="Arial"/>
          <w:noProof/>
        </w:rPr>
        <w:t>(Siddiqui &amp; Abdur, 2017)</w:t>
      </w:r>
      <w:r w:rsidRPr="001A5676">
        <w:rPr>
          <w:rFonts w:ascii="Arial" w:hAnsi="Arial" w:cs="Arial"/>
        </w:rPr>
        <w:fldChar w:fldCharType="end"/>
      </w:r>
      <w:r w:rsidRPr="001A5676">
        <w:rPr>
          <w:rFonts w:ascii="Arial" w:hAnsi="Arial" w:cs="Arial"/>
        </w:rPr>
        <w:t>.</w:t>
      </w:r>
    </w:p>
    <w:p w14:paraId="2E20EDB2" w14:textId="77777777" w:rsidR="001A5676" w:rsidRPr="001A5676" w:rsidRDefault="001A5676" w:rsidP="001A5676">
      <w:pPr>
        <w:pStyle w:val="Body"/>
        <w:spacing w:after="0"/>
        <w:rPr>
          <w:rFonts w:ascii="Arial" w:hAnsi="Arial" w:cs="Arial"/>
        </w:rPr>
      </w:pPr>
      <w:bookmarkStart w:id="12" w:name="_Toc137924725"/>
      <w:r w:rsidRPr="001A5676">
        <w:rPr>
          <w:rFonts w:ascii="Arial" w:hAnsi="Arial" w:cs="Arial"/>
        </w:rPr>
        <w:t>II.3.3 Determination of total tannin content</w:t>
      </w:r>
      <w:bookmarkEnd w:id="12"/>
    </w:p>
    <w:p w14:paraId="404B9131" w14:textId="01281A17" w:rsidR="001A5676" w:rsidRDefault="001A5676" w:rsidP="001A5676">
      <w:pPr>
        <w:pStyle w:val="Body"/>
        <w:spacing w:after="0"/>
        <w:rPr>
          <w:rFonts w:ascii="Arial" w:hAnsi="Arial" w:cs="Arial"/>
        </w:rPr>
      </w:pPr>
      <w:r w:rsidRPr="001A5676">
        <w:rPr>
          <w:rFonts w:ascii="Arial" w:hAnsi="Arial" w:cs="Arial"/>
        </w:rPr>
        <w:t xml:space="preserve">A 50 µL volume of each 1 mg/ml extract was added to 1500 µL of 4% vanillin/methanol and mixed. Then, 750 µL of concentrated HCl was added. The resulting mixture reacted at room temperature for 20 min. Absorbance was measured at 550 nm (measure of condensed tannins) against a blank containing only the vanillin solution. Different concentrations between 0.05 and 0.5 (CE)/g were prepared from a stock catechin solution, which allowed for the plotting of the calibration curve (R² = 0,9993). All samples were analyzed in triplicate </w:t>
      </w:r>
      <w:r w:rsidRPr="001A5676">
        <w:rPr>
          <w:rFonts w:ascii="Arial" w:hAnsi="Arial" w:cs="Arial"/>
        </w:rPr>
        <w:fldChar w:fldCharType="begin"/>
      </w:r>
      <w:r w:rsidR="00CA16D7">
        <w:rPr>
          <w:rFonts w:ascii="Arial" w:hAnsi="Arial" w:cs="Arial"/>
        </w:rPr>
        <w:instrText xml:space="preserve"> ADDIN EN.CITE &lt;EndNote&gt;&lt;Cite&gt;&lt;Author&gt;Ribereau-gayon&lt;/Author&gt;&lt;Year&gt;1996&lt;/Year&gt;&lt;RecNum&gt;56&lt;/RecNum&gt;&lt;DisplayText&gt;(Ribereau-gayon &amp;amp; Stonestreet, 1996)&lt;/DisplayText&gt;&lt;record&gt;&lt;rec-number&gt;56&lt;/rec-number&gt;&lt;foreign-keys&gt;&lt;key app="EN" db-id="xd20ava0ss0z06e9fzmxda9qwp2twsza5092" timestamp="1774870881"&gt;56&lt;/key&gt;&lt;/foreign-keys&gt;&lt;ref-type name="Journal Article"&gt;17&lt;/ref-type&gt;&lt;contributors&gt;&lt;authors&gt;&lt;author&gt;Ribereau-gayon, P.&lt;/author&gt;&lt;author&gt;Stonestreet, E.&lt;/author&gt;&lt;/authors&gt;&lt;/contributors&gt;&lt;titles&gt;&lt;title&gt;Chimie des plantes&lt;/title&gt;&lt;secondary-title&gt;Annales de Chimie&lt;/secondary-title&gt;&lt;/titles&gt;&lt;periodical&gt;&lt;full-title&gt;Annales de Chimie&lt;/full-title&gt;&lt;/periodical&gt;&lt;pages&gt;188-196&lt;/pages&gt;&lt;dates&gt;&lt;year&gt;1996&lt;/year&gt;&lt;/dates&gt;&lt;urls&gt;&lt;/urls&gt;&lt;/record&gt;&lt;/Cite&gt;&lt;/EndNote&gt;</w:instrText>
      </w:r>
      <w:r w:rsidRPr="001A5676">
        <w:rPr>
          <w:rFonts w:ascii="Arial" w:hAnsi="Arial" w:cs="Arial"/>
        </w:rPr>
        <w:fldChar w:fldCharType="separate"/>
      </w:r>
      <w:r w:rsidR="00CA16D7">
        <w:rPr>
          <w:rFonts w:ascii="Arial" w:hAnsi="Arial" w:cs="Arial"/>
          <w:noProof/>
        </w:rPr>
        <w:t>(Ribereau-gayon &amp; Stonestreet, 1996)</w:t>
      </w:r>
      <w:r w:rsidRPr="001A5676">
        <w:rPr>
          <w:rFonts w:ascii="Arial" w:hAnsi="Arial" w:cs="Arial"/>
        </w:rPr>
        <w:fldChar w:fldCharType="end"/>
      </w:r>
      <w:r w:rsidRPr="001A5676">
        <w:rPr>
          <w:rFonts w:ascii="Arial" w:hAnsi="Arial" w:cs="Arial"/>
        </w:rPr>
        <w:t>.</w:t>
      </w:r>
    </w:p>
    <w:p w14:paraId="127CA9CC" w14:textId="77777777" w:rsidR="001A5676" w:rsidRPr="001A5676" w:rsidRDefault="001A5676" w:rsidP="001A5676">
      <w:pPr>
        <w:pStyle w:val="Body"/>
        <w:spacing w:after="0"/>
        <w:rPr>
          <w:rFonts w:ascii="Arial" w:hAnsi="Arial" w:cs="Arial"/>
        </w:rPr>
      </w:pPr>
    </w:p>
    <w:p w14:paraId="2E0DE23D" w14:textId="76898247" w:rsidR="001A5676" w:rsidRPr="001A5676" w:rsidRDefault="001A5676" w:rsidP="001A5676">
      <w:pPr>
        <w:pStyle w:val="Body"/>
        <w:spacing w:after="0"/>
        <w:rPr>
          <w:rFonts w:ascii="Arial" w:hAnsi="Arial" w:cs="Arial"/>
          <w:b/>
          <w:bCs/>
        </w:rPr>
      </w:pPr>
      <w:bookmarkStart w:id="13" w:name="_Toc136377196"/>
      <w:bookmarkStart w:id="14" w:name="_Toc137924726"/>
      <w:r w:rsidRPr="001A5676">
        <w:rPr>
          <w:rFonts w:ascii="Arial" w:hAnsi="Arial" w:cs="Arial"/>
          <w:b/>
          <w:bCs/>
        </w:rPr>
        <w:t xml:space="preserve">2.4 Antioxidant </w:t>
      </w:r>
      <w:bookmarkEnd w:id="13"/>
      <w:bookmarkEnd w:id="14"/>
      <w:r w:rsidRPr="001A5676">
        <w:rPr>
          <w:rFonts w:ascii="Arial" w:hAnsi="Arial" w:cs="Arial"/>
          <w:b/>
          <w:bCs/>
        </w:rPr>
        <w:t>activities</w:t>
      </w:r>
    </w:p>
    <w:p w14:paraId="65AD050A" w14:textId="06411229" w:rsidR="001A5676" w:rsidRDefault="001A5676" w:rsidP="001A5676">
      <w:pPr>
        <w:pStyle w:val="Body"/>
        <w:spacing w:after="0"/>
        <w:rPr>
          <w:rFonts w:ascii="Arial" w:hAnsi="Arial" w:cs="Arial"/>
        </w:rPr>
      </w:pPr>
      <w:r w:rsidRPr="001A5676">
        <w:rPr>
          <w:rFonts w:ascii="Arial" w:hAnsi="Arial" w:cs="Arial"/>
        </w:rPr>
        <w:t xml:space="preserve">The evaluation of the antioxidant activity of </w:t>
      </w:r>
      <w:r w:rsidR="00CA16D7" w:rsidRPr="00CA16D7">
        <w:rPr>
          <w:rFonts w:ascii="Arial" w:hAnsi="Arial" w:cs="Arial"/>
          <w:i/>
          <w:iCs/>
        </w:rPr>
        <w:t xml:space="preserve">G. </w:t>
      </w:r>
      <w:proofErr w:type="spell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extracts was carried out by two methods: the DPPH radical scavenging method and the ferric iron to ferrous iron reduction method</w:t>
      </w:r>
      <w:r w:rsidR="00777866">
        <w:rPr>
          <w:rFonts w:ascii="Arial" w:hAnsi="Arial" w:cs="Arial"/>
        </w:rPr>
        <w:fldChar w:fldCharType="begin"/>
      </w:r>
      <w:r w:rsidR="00777866">
        <w:rPr>
          <w:rFonts w:ascii="Arial" w:hAnsi="Arial" w:cs="Arial"/>
        </w:rPr>
        <w:instrText xml:space="preserve"> ADDIN EN.CITE &lt;EndNote&gt;&lt;Cite&gt;&lt;Author&gt;Munteanu&lt;/Author&gt;&lt;Year&gt;2021&lt;/Year&gt;&lt;RecNum&gt;97&lt;/RecNum&gt;&lt;DisplayText&gt;(Munteanu &amp;amp; Apetrei, 2021)&lt;/DisplayText&gt;&lt;record&gt;&lt;rec-number&gt;97&lt;/rec-number&gt;&lt;foreign-keys&gt;&lt;key app="EN" db-id="ppwefpzf5eefwrea9agvzetgp2s0rdew0rw0" timestamp="1777973980"&gt;97&lt;/key&gt;&lt;/foreign-keys&gt;&lt;ref-type name="Journal Article"&gt;17&lt;/ref-type&gt;&lt;contributors&gt;&lt;authors&gt;&lt;author&gt;Munteanu, I. G.&lt;/author&gt;&lt;author&gt;Apetrei, C.&lt;/author&gt;&lt;/authors&gt;&lt;/contributors&gt;&lt;titles&gt;&lt;title&gt;Analytical methods used in determining antioxidant activity: A review&lt;/title&gt;&lt;secondary-title&gt;International Journal of Molecular Sciences&lt;/secondary-title&gt;&lt;/titles&gt;&lt;periodical&gt;&lt;full-title&gt;International Journal of Molecular Sciences&lt;/full-title&gt;&lt;/periodical&gt;&lt;pages&gt;3380&lt;/pages&gt;&lt;volume&gt;22&lt;/volume&gt;&lt;number&gt;7&lt;/number&gt;&lt;dates&gt;&lt;year&gt;2021&lt;/year&gt;&lt;/dates&gt;&lt;urls&gt;&lt;/urls&gt;&lt;electronic-resource-num&gt;10.3390/ijms22073380&lt;/electronic-resource-num&gt;&lt;/record&gt;&lt;/Cite&gt;&lt;/EndNote&gt;</w:instrText>
      </w:r>
      <w:r w:rsidR="00777866">
        <w:rPr>
          <w:rFonts w:ascii="Arial" w:hAnsi="Arial" w:cs="Arial"/>
        </w:rPr>
        <w:fldChar w:fldCharType="separate"/>
      </w:r>
      <w:r w:rsidR="00777866">
        <w:rPr>
          <w:rFonts w:ascii="Arial" w:hAnsi="Arial" w:cs="Arial"/>
          <w:noProof/>
        </w:rPr>
        <w:t>(Munteanu &amp; Apetrei, 2021)</w:t>
      </w:r>
      <w:r w:rsidR="00777866">
        <w:rPr>
          <w:rFonts w:ascii="Arial" w:hAnsi="Arial" w:cs="Arial"/>
        </w:rPr>
        <w:fldChar w:fldCharType="end"/>
      </w:r>
      <w:r w:rsidRPr="001A5676">
        <w:rPr>
          <w:rFonts w:ascii="Arial" w:hAnsi="Arial" w:cs="Arial"/>
        </w:rPr>
        <w:t>.</w:t>
      </w:r>
    </w:p>
    <w:p w14:paraId="710AC0CF" w14:textId="77777777" w:rsidR="001A5676" w:rsidRPr="001A5676" w:rsidRDefault="001A5676" w:rsidP="001A5676">
      <w:pPr>
        <w:pStyle w:val="Body"/>
        <w:spacing w:after="0"/>
        <w:rPr>
          <w:rFonts w:ascii="Arial" w:hAnsi="Arial" w:cs="Arial"/>
        </w:rPr>
      </w:pPr>
    </w:p>
    <w:p w14:paraId="39A74A64" w14:textId="3C65E656" w:rsidR="001A5676" w:rsidRPr="001A5676" w:rsidRDefault="00606948" w:rsidP="001A5676">
      <w:pPr>
        <w:pStyle w:val="Body"/>
        <w:spacing w:after="0"/>
        <w:rPr>
          <w:rFonts w:ascii="Arial" w:hAnsi="Arial" w:cs="Arial"/>
          <w:b/>
          <w:bCs/>
        </w:rPr>
      </w:pPr>
      <w:bookmarkStart w:id="15" w:name="_Toc137924727"/>
      <w:r>
        <w:rPr>
          <w:rFonts w:ascii="Arial" w:hAnsi="Arial" w:cs="Arial"/>
          <w:b/>
          <w:bCs/>
        </w:rPr>
        <w:t>2.</w:t>
      </w:r>
      <w:r w:rsidR="001A5676" w:rsidRPr="001A5676">
        <w:rPr>
          <w:rFonts w:ascii="Arial" w:hAnsi="Arial" w:cs="Arial"/>
          <w:b/>
          <w:bCs/>
        </w:rPr>
        <w:t>4.1 DPPH radical trapping method</w:t>
      </w:r>
      <w:bookmarkEnd w:id="15"/>
    </w:p>
    <w:p w14:paraId="61DDBE89" w14:textId="23C91BFE" w:rsidR="001A5676" w:rsidRPr="001A5676" w:rsidRDefault="001A5676" w:rsidP="001A5676">
      <w:pPr>
        <w:pStyle w:val="Body"/>
        <w:spacing w:after="0"/>
        <w:rPr>
          <w:rFonts w:ascii="Arial" w:hAnsi="Arial" w:cs="Arial"/>
        </w:rPr>
      </w:pPr>
      <w:r w:rsidRPr="001A5676">
        <w:rPr>
          <w:rFonts w:ascii="Arial" w:hAnsi="Arial" w:cs="Arial"/>
        </w:rPr>
        <w:t xml:space="preserve">This test aims to measure the extract's ability to scavenge the relatively stable free radical, 2,2-diphenyl-1-picrylhydrazyl (DPPH). Scavenging this radical causes the initial solution to change color from dark purple to yellow following its reduction reaction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 xml:space="preserve">. This color change can be monitored by spectrophotometry at 517 nm, allowing the antioxidant </w:t>
      </w:r>
      <w:r w:rsidRPr="001A5676">
        <w:rPr>
          <w:rFonts w:ascii="Arial" w:hAnsi="Arial" w:cs="Arial"/>
        </w:rPr>
        <w:lastRenderedPageBreak/>
        <w:t xml:space="preserve">potential of a substance or plant extract to be determined. The protocol followed is described by Brand-Williams et al . </w:t>
      </w:r>
      <w:r w:rsidRPr="001A5676">
        <w:rPr>
          <w:rFonts w:ascii="Arial" w:hAnsi="Arial" w:cs="Arial"/>
        </w:rPr>
        <w:fldChar w:fldCharType="begin"/>
      </w:r>
      <w:r w:rsidR="00CA16D7">
        <w:rPr>
          <w:rFonts w:ascii="Arial" w:hAnsi="Arial" w:cs="Arial"/>
        </w:rPr>
        <w:instrText xml:space="preserve"> ADDIN EN.CITE &lt;EndNote&gt;&lt;Cite&gt;&lt;Author&gt;Molyneux&lt;/Author&gt;&lt;Year&gt;2004&lt;/Year&gt;&lt;RecNum&gt;57&lt;/RecNum&gt;&lt;DisplayText&gt;(Molyneux, 2004)&lt;/DisplayText&gt;&lt;record&gt;&lt;rec-number&gt;57&lt;/rec-number&gt;&lt;foreign-keys&gt;&lt;key app="EN" db-id="xd20ava0ss0z06e9fzmxda9qwp2twsza5092" timestamp="1774870881"&gt;57&lt;/key&gt;&lt;/foreign-keys&gt;&lt;ref-type name="Journal Article"&gt;17&lt;/ref-type&gt;&lt;contributors&gt;&lt;authors&gt;&lt;author&gt;Molyneux,&lt;/author&gt;&lt;/authors&gt;&lt;/contributors&gt;&lt;titles&gt;&lt;title&gt;The use of stable free radical diphenylpicryl-hydrazyl (DPPH) for estimating antioxidant activity Songklanakarin&lt;/title&gt;&lt;secondary-title&gt;Journal Science Technology&lt;/secondary-title&gt;&lt;/titles&gt;&lt;periodical&gt;&lt;full-title&gt;Journal Science Technology&lt;/full-title&gt;&lt;/periodical&gt;&lt;pages&gt;211-219&lt;/pages&gt;&lt;volume&gt;26&lt;/volume&gt;&lt;number&gt;2&lt;/number&gt;&lt;dates&gt;&lt;year&gt;2004&lt;/year&gt;&lt;/dates&gt;&lt;urls&gt;&lt;/urls&gt;&lt;/record&gt;&lt;/Cite&gt;&lt;/EndNote&gt;</w:instrText>
      </w:r>
      <w:r w:rsidRPr="001A5676">
        <w:rPr>
          <w:rFonts w:ascii="Arial" w:hAnsi="Arial" w:cs="Arial"/>
        </w:rPr>
        <w:fldChar w:fldCharType="separate"/>
      </w:r>
      <w:r w:rsidR="00CA16D7">
        <w:rPr>
          <w:rFonts w:ascii="Arial" w:hAnsi="Arial" w:cs="Arial"/>
          <w:noProof/>
        </w:rPr>
        <w:t>(Molyneux, 2004)</w:t>
      </w:r>
      <w:r w:rsidRPr="001A5676">
        <w:rPr>
          <w:rFonts w:ascii="Arial" w:hAnsi="Arial" w:cs="Arial"/>
        </w:rPr>
        <w:fldChar w:fldCharType="end"/>
      </w:r>
      <w:r w:rsidRPr="001A5676">
        <w:rPr>
          <w:rFonts w:ascii="Arial" w:hAnsi="Arial" w:cs="Arial"/>
        </w:rPr>
        <w:t>was used. In six dry test tubes, 100 µL of each extract dilution (1000 ppm, 500 ppm, 250 ppm, 125 ppm, 62.5 ppm, 31.5 ppm) was mixed with 1900 µL of DPPH methanolic solution (0.1mM). After shaking, the tubes were placed in the dark at room temperature for 30 minutes. The reading was then taken by measuring absorbance at 517 nm. In the negative control, the different dilutions of extract were replaced by 100 µL of methanol and in the positive control by dilutions of antioxidant references.</w:t>
      </w:r>
    </w:p>
    <w:p w14:paraId="12E3704E" w14:textId="24F4FCBF" w:rsidR="001A5676" w:rsidRPr="001A5676" w:rsidRDefault="001A5676" w:rsidP="001A5676">
      <w:pPr>
        <w:pStyle w:val="Body"/>
        <w:spacing w:after="0"/>
        <w:rPr>
          <w:rFonts w:ascii="Arial" w:hAnsi="Arial" w:cs="Arial"/>
        </w:rPr>
      </w:pPr>
      <w:r w:rsidRPr="001A5676">
        <w:rPr>
          <w:rFonts w:ascii="Arial" w:hAnsi="Arial" w:cs="Arial"/>
        </w:rPr>
        <w:t xml:space="preserve">The percentage of inhibition (PI) was calculated using the following formula </w:t>
      </w:r>
      <w:r w:rsidRPr="001A5676">
        <w:rPr>
          <w:rFonts w:ascii="Arial" w:hAnsi="Arial" w:cs="Arial"/>
        </w:rPr>
        <w:fldChar w:fldCharType="begin"/>
      </w:r>
      <w:r w:rsidR="00CA16D7">
        <w:rPr>
          <w:rFonts w:ascii="Arial" w:hAnsi="Arial" w:cs="Arial"/>
        </w:rPr>
        <w:instrText xml:space="preserve"> ADDIN EN.CITE &lt;EndNote&gt;&lt;Cite&gt;&lt;Author&gt;Talbi&lt;/Author&gt;&lt;Year&gt;2014&lt;/Year&gt;&lt;RecNum&gt;58&lt;/RecNum&gt;&lt;DisplayText&gt;(Talbi, 2014)&lt;/DisplayText&gt;&lt;record&gt;&lt;rec-number&gt;58&lt;/rec-number&gt;&lt;foreign-keys&gt;&lt;key app="EN" db-id="xd20ava0ss0z06e9fzmxda9qwp2twsza5092" timestamp="1774870881"&gt;58&lt;/key&gt;&lt;/foreign-keys&gt;&lt;ref-type name="Journal Article"&gt;17&lt;/ref-type&gt;&lt;contributors&gt;&lt;authors&gt;&lt;author&gt;Talbi, H.&lt;/author&gt;&lt;/authors&gt;&lt;/contributors&gt;&lt;titles&gt;&lt;title&gt;Evaluation de l’activité antioxydante et la composition physico-chimique des extraits méthanoliques et aqueux de la Nigella sativa&lt;/title&gt;&lt;/titles&gt;&lt;pages&gt;1111-1117&lt;/pages&gt;&lt;volume&gt;6&lt;/volume&gt;&lt;number&gt;4&lt;/number&gt;&lt;dates&gt;&lt;year&gt;2014&lt;/year&gt;&lt;/dates&gt;&lt;urls&gt;&lt;/urls&gt;&lt;/record&gt;&lt;/Cite&gt;&lt;/EndNote&gt;</w:instrText>
      </w:r>
      <w:r w:rsidRPr="001A5676">
        <w:rPr>
          <w:rFonts w:ascii="Arial" w:hAnsi="Arial" w:cs="Arial"/>
        </w:rPr>
        <w:fldChar w:fldCharType="separate"/>
      </w:r>
      <w:r w:rsidR="00CA16D7">
        <w:rPr>
          <w:rFonts w:ascii="Arial" w:hAnsi="Arial" w:cs="Arial"/>
          <w:noProof/>
        </w:rPr>
        <w:t>(Talbi, 2014)</w:t>
      </w:r>
      <w:r w:rsidRPr="001A5676">
        <w:rPr>
          <w:rFonts w:ascii="Arial" w:hAnsi="Arial" w:cs="Arial"/>
        </w:rPr>
        <w:fldChar w:fldCharType="end"/>
      </w:r>
    </w:p>
    <w:p w14:paraId="3A580E58" w14:textId="77777777" w:rsidR="001A5676" w:rsidRPr="001A5676" w:rsidRDefault="001A5676" w:rsidP="001A5676">
      <w:pPr>
        <w:pStyle w:val="Body"/>
        <w:spacing w:after="0"/>
        <w:rPr>
          <w:rFonts w:ascii="Arial" w:hAnsi="Arial" w:cs="Arial"/>
        </w:rPr>
      </w:pPr>
      <m:oMathPara>
        <m:oMath>
          <m:r>
            <w:rPr>
              <w:rFonts w:ascii="Cambria Math" w:hAnsi="Cambria Math" w:cs="Arial"/>
            </w:rPr>
            <m:t>I</m:t>
          </m:r>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Absorbance of blank-Absorbance of test</m:t>
              </m:r>
            </m:num>
            <m:den>
              <m:r>
                <m:rPr>
                  <m:sty m:val="p"/>
                </m:rPr>
                <w:rPr>
                  <w:rFonts w:ascii="Cambria Math" w:hAnsi="Cambria Math" w:cs="Arial"/>
                </w:rPr>
                <m:t>Absorbance of blank</m:t>
              </m:r>
            </m:den>
          </m:f>
          <m:r>
            <m:rPr>
              <m:sty m:val="p"/>
            </m:rPr>
            <w:rPr>
              <w:rFonts w:ascii="Cambria Math" w:hAnsi="Cambria Math" w:cs="Arial"/>
            </w:rPr>
            <m:t>×100</m:t>
          </m:r>
        </m:oMath>
      </m:oMathPara>
    </w:p>
    <w:p w14:paraId="5F2B0DAC" w14:textId="43F2C848" w:rsidR="001A5676" w:rsidRPr="001A5676" w:rsidRDefault="001A5676" w:rsidP="001A5676">
      <w:pPr>
        <w:pStyle w:val="Body"/>
        <w:spacing w:after="0"/>
        <w:rPr>
          <w:rFonts w:ascii="Arial" w:hAnsi="Arial" w:cs="Arial"/>
        </w:rPr>
      </w:pPr>
      <w:r w:rsidRPr="001A5676">
        <w:rPr>
          <w:rFonts w:ascii="Arial" w:hAnsi="Arial" w:cs="Arial"/>
        </w:rPr>
        <w:t>The IC50 the concentration of extract required to scavenge 50% of DPPH radicals (EC</w:t>
      </w:r>
      <w:proofErr w:type="gramStart"/>
      <w:r w:rsidRPr="001A5676">
        <w:rPr>
          <w:rFonts w:ascii="Arial" w:hAnsi="Arial" w:cs="Arial"/>
        </w:rPr>
        <w:t>50 )</w:t>
      </w:r>
      <w:proofErr w:type="gramEnd"/>
      <w:r w:rsidRPr="001A5676">
        <w:rPr>
          <w:rFonts w:ascii="Arial" w:hAnsi="Arial" w:cs="Arial"/>
        </w:rPr>
        <w:t xml:space="preserve"> , expressed in mg of antioxidant/g of DPPH or in mg of antioxidant/mol of DPPH, was deduced by the formula below for pure molecules. The CI 50 was determined graphically using a regression equation of the form y = </w:t>
      </w:r>
      <w:proofErr w:type="spellStart"/>
      <w:r w:rsidRPr="001A5676">
        <w:rPr>
          <w:rFonts w:ascii="Arial" w:hAnsi="Arial" w:cs="Arial"/>
        </w:rPr>
        <w:t>alnx</w:t>
      </w:r>
      <w:proofErr w:type="spellEnd"/>
      <w:r w:rsidRPr="001A5676">
        <w:rPr>
          <w:rFonts w:ascii="Arial" w:hAnsi="Arial" w:cs="Arial"/>
        </w:rPr>
        <w:t xml:space="preserve"> + b; assuming each time that y= 50. The antiradical potential was determined according to the scale provided by Souris </w:t>
      </w:r>
      <w:r w:rsidRPr="001A5676">
        <w:rPr>
          <w:rFonts w:ascii="Arial" w:hAnsi="Arial" w:cs="Arial"/>
        </w:rPr>
        <w:fldChar w:fldCharType="begin"/>
      </w:r>
      <w:r w:rsidR="00CA16D7">
        <w:rPr>
          <w:rFonts w:ascii="Arial" w:hAnsi="Arial" w:cs="Arial"/>
        </w:rPr>
        <w:instrText xml:space="preserve"> ADDIN EN.CITE &lt;EndNote&gt;&lt;Cite&gt;&lt;Author&gt;Souris&lt;/Author&gt;&lt;Year&gt;2002&lt;/Year&gt;&lt;RecNum&gt;77&lt;/RecNum&gt;&lt;DisplayText&gt;(Souris, 2002)&lt;/DisplayText&gt;&lt;record&gt;&lt;rec-number&gt;77&lt;/rec-number&gt;&lt;foreign-keys&gt;&lt;key app="EN" db-id="xd20ava0ss0z06e9fzmxda9qwp2twsza5092" timestamp="1774872180"&gt;77&lt;/key&gt;&lt;/foreign-keys&gt;&lt;ref-type name="Thesis"&gt;32&lt;/ref-type&gt;&lt;contributors&gt;&lt;authors&gt;&lt;author&gt;Souris, J. S.&lt;/author&gt;&lt;/authors&gt;&lt;/contributors&gt;&lt;titles&gt;&lt;title&gt;Évaluation de l&amp;apos;activité antioxydante des extraits de plantes&lt;/title&gt;&lt;short-title&gt;Évaluation de l&amp;apos;activité antioxydante des extraits de plantes&lt;/short-title&gt;&lt;/titles&gt;&lt;dates&gt;&lt;year&gt;2002&lt;/year&gt;&lt;/dates&gt;&lt;pub-location&gt;Louvain&lt;/pub-location&gt;&lt;publisher&gt;Université Catholique de Louvain&lt;/publisher&gt;&lt;urls&gt;&lt;/urls&gt;&lt;/record&gt;&lt;/Cite&gt;&lt;/EndNote&gt;</w:instrText>
      </w:r>
      <w:r w:rsidRPr="001A5676">
        <w:rPr>
          <w:rFonts w:ascii="Arial" w:hAnsi="Arial" w:cs="Arial"/>
        </w:rPr>
        <w:fldChar w:fldCharType="separate"/>
      </w:r>
      <w:r w:rsidR="00CA16D7">
        <w:rPr>
          <w:rFonts w:ascii="Arial" w:hAnsi="Arial" w:cs="Arial"/>
          <w:noProof/>
        </w:rPr>
        <w:t>(Souris, 2002)</w:t>
      </w:r>
      <w:r w:rsidRPr="001A5676">
        <w:rPr>
          <w:rFonts w:ascii="Arial" w:hAnsi="Arial" w:cs="Arial"/>
        </w:rPr>
        <w:fldChar w:fldCharType="end"/>
      </w:r>
      <w:r w:rsidRPr="001A5676">
        <w:rPr>
          <w:rFonts w:ascii="Arial" w:hAnsi="Arial" w:cs="Arial"/>
        </w:rPr>
        <w:t>which stipulates that the antiradical potential of a plant is considered high when the IC 50 &lt; 20 µg/mL, moderate when 20 µg/mL ≤ the IC 50 ≤ 75 µg/mL and low when the IC 50 &gt; 75 µg/</w:t>
      </w:r>
      <w:proofErr w:type="spellStart"/>
      <w:r w:rsidRPr="001A5676">
        <w:rPr>
          <w:rFonts w:ascii="Arial" w:hAnsi="Arial" w:cs="Arial"/>
        </w:rPr>
        <w:t>mL.</w:t>
      </w:r>
      <w:proofErr w:type="spellEnd"/>
    </w:p>
    <w:p w14:paraId="11B8792C" w14:textId="3C6810FB" w:rsidR="001A5676" w:rsidRPr="001A5676" w:rsidRDefault="001A5676" w:rsidP="001A5676">
      <w:pPr>
        <w:pStyle w:val="Body"/>
        <w:spacing w:after="0"/>
        <w:rPr>
          <w:rFonts w:ascii="Arial" w:hAnsi="Arial" w:cs="Arial"/>
        </w:rPr>
      </w:pPr>
      <w:r w:rsidRPr="001A5676">
        <w:rPr>
          <w:rFonts w:ascii="Arial" w:hAnsi="Arial" w:cs="Arial"/>
        </w:rPr>
        <w:t xml:space="preserve">The calculation of the antiradical power (AP), equal to the inverse of the effective concentration, was also carried out. The higher it is, the more effective the antiradical agent is </w:t>
      </w:r>
      <w:r w:rsidRPr="001A5676">
        <w:rPr>
          <w:rFonts w:ascii="Arial" w:hAnsi="Arial" w:cs="Arial"/>
        </w:rPr>
        <w:fldChar w:fldCharType="begin"/>
      </w:r>
      <w:r w:rsidR="00CA16D7">
        <w:rPr>
          <w:rFonts w:ascii="Arial" w:hAnsi="Arial" w:cs="Arial"/>
        </w:rPr>
        <w:instrText xml:space="preserve"> ADDIN EN.CITE &lt;EndNote&gt;&lt;Cite&gt;&lt;Author&gt;Nyegue&lt;/Author&gt;&lt;Year&gt;2006&lt;/Year&gt;&lt;RecNum&gt;61&lt;/RecNum&gt;&lt;DisplayText&gt;(Nyegue, 2006)&lt;/DisplayText&gt;&lt;record&gt;&lt;rec-number&gt;61&lt;/rec-number&gt;&lt;foreign-keys&gt;&lt;key app="EN" db-id="xd20ava0ss0z06e9fzmxda9qwp2twsza5092" timestamp="1774870881"&gt;61&lt;/key&gt;&lt;/foreign-keys&gt;&lt;ref-type name="Thesis"&gt;32&lt;/ref-type&gt;&lt;contributors&gt;&lt;authors&gt;&lt;author&gt;Nyegue, M.&lt;/author&gt;&lt;/authors&gt;&lt;/contributors&gt;&lt;titles&gt;&lt;title&gt;Propriétés chimiques et biologiques des huiles essentielles de quelques plantes aromatiques et/ou médicinales du Cameroun : évaluation de leurs activités anti-radicalaires, anti-inflammatoires et antibactériennes&lt;/title&gt;&lt;short-title&gt;Thèse de Doctorat&lt;/short-title&gt;&lt;/titles&gt;&lt;dates&gt;&lt;year&gt;2006&lt;/year&gt;&lt;/dates&gt;&lt;publisher&gt;Université de Montpellier II et Yaoundé I&lt;/publisher&gt;&lt;urls&gt;&lt;/urls&gt;&lt;/record&gt;&lt;/Cite&gt;&lt;/EndNote&gt;</w:instrText>
      </w:r>
      <w:r w:rsidRPr="001A5676">
        <w:rPr>
          <w:rFonts w:ascii="Arial" w:hAnsi="Arial" w:cs="Arial"/>
        </w:rPr>
        <w:fldChar w:fldCharType="separate"/>
      </w:r>
      <w:r w:rsidR="00CA16D7">
        <w:rPr>
          <w:rFonts w:ascii="Arial" w:hAnsi="Arial" w:cs="Arial"/>
          <w:noProof/>
        </w:rPr>
        <w:t>(Nyegue, 2006)</w:t>
      </w:r>
      <w:r w:rsidRPr="001A5676">
        <w:rPr>
          <w:rFonts w:ascii="Arial" w:hAnsi="Arial" w:cs="Arial"/>
        </w:rPr>
        <w:fldChar w:fldCharType="end"/>
      </w:r>
      <w:r w:rsidRPr="001A5676">
        <w:rPr>
          <w:rFonts w:ascii="Arial" w:hAnsi="Arial" w:cs="Arial"/>
        </w:rPr>
        <w:t>.</w:t>
      </w:r>
    </w:p>
    <w:p w14:paraId="6D0D3FDC" w14:textId="77777777" w:rsidR="001A5676" w:rsidRPr="001A5676" w:rsidRDefault="0008078A" w:rsidP="001A5676">
      <w:pPr>
        <w:pStyle w:val="Body"/>
        <w:spacing w:after="0"/>
        <w:rPr>
          <w:rFonts w:ascii="Arial" w:hAnsi="Arial" w:cs="Arial"/>
        </w:rPr>
      </w:pPr>
      <m:oMathPara>
        <m:oMath>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I</m:t>
              </m:r>
              <m:sSub>
                <m:sSubPr>
                  <m:ctrlPr>
                    <w:rPr>
                      <w:rFonts w:ascii="Cambria Math" w:hAnsi="Cambria Math" w:cs="Arial"/>
                    </w:rPr>
                  </m:ctrlPr>
                </m:sSubPr>
                <m:e>
                  <m:r>
                    <w:rPr>
                      <w:rFonts w:ascii="Cambria Math" w:hAnsi="Cambria Math" w:cs="Arial"/>
                    </w:rPr>
                    <m:t>C</m:t>
                  </m:r>
                </m:e>
                <m:sub>
                  <m:r>
                    <m:rPr>
                      <m:sty m:val="p"/>
                    </m:rPr>
                    <w:rPr>
                      <w:rFonts w:ascii="Cambria Math" w:hAnsi="Cambria Math" w:cs="Arial"/>
                    </w:rPr>
                    <m:t>50</m:t>
                  </m:r>
                </m:sub>
              </m:sSub>
            </m:num>
            <m:den>
              <m:r>
                <m:rPr>
                  <m:sty m:val="p"/>
                </m:rPr>
                <w:rPr>
                  <w:rFonts w:ascii="Cambria Math" w:hAnsi="Cambria Math" w:cs="Arial"/>
                </w:rPr>
                <m:t>Concentration of the DPPH solution</m:t>
              </m:r>
            </m:den>
          </m:f>
          <m:r>
            <m:rPr>
              <m:sty m:val="p"/>
            </m:rPr>
            <w:rPr>
              <w:rFonts w:ascii="Cambria Math" w:hAnsi="Cambria Math" w:cs="Arial"/>
            </w:rPr>
            <m:t xml:space="preserve">            and               PA=1/</m:t>
          </m:r>
          <m:sSub>
            <m:sSubPr>
              <m:ctrlPr>
                <w:rPr>
                  <w:rFonts w:ascii="Cambria Math" w:hAnsi="Cambria Math" w:cs="Arial"/>
                </w:rPr>
              </m:ctrlPr>
            </m:sSubPr>
            <m:e>
              <m:r>
                <w:rPr>
                  <w:rFonts w:ascii="Cambria Math" w:hAnsi="Cambria Math" w:cs="Arial"/>
                </w:rPr>
                <m:t>CE</m:t>
              </m:r>
            </m:e>
            <m:sub>
              <m:r>
                <m:rPr>
                  <m:sty m:val="p"/>
                </m:rPr>
                <w:rPr>
                  <w:rFonts w:ascii="Cambria Math" w:hAnsi="Cambria Math" w:cs="Arial"/>
                </w:rPr>
                <m:t>50</m:t>
              </m:r>
            </m:sub>
          </m:sSub>
        </m:oMath>
      </m:oMathPara>
    </w:p>
    <w:p w14:paraId="3057C193" w14:textId="77777777" w:rsidR="001A5676" w:rsidRPr="001A5676" w:rsidRDefault="001A5676" w:rsidP="001A5676">
      <w:pPr>
        <w:pStyle w:val="Body"/>
        <w:spacing w:after="0"/>
        <w:rPr>
          <w:rFonts w:ascii="Arial" w:hAnsi="Arial" w:cs="Arial"/>
        </w:rPr>
      </w:pPr>
      <w:bookmarkStart w:id="16" w:name="_Toc137924728"/>
    </w:p>
    <w:p w14:paraId="31A9F88C" w14:textId="26DDB4A7" w:rsidR="001A5676" w:rsidRPr="001A5676" w:rsidRDefault="001A5676" w:rsidP="001A5676">
      <w:pPr>
        <w:pStyle w:val="Body"/>
        <w:spacing w:after="0"/>
        <w:rPr>
          <w:rFonts w:ascii="Arial" w:hAnsi="Arial" w:cs="Arial"/>
          <w:b/>
          <w:bCs/>
        </w:rPr>
      </w:pPr>
      <w:r w:rsidRPr="001A5676">
        <w:rPr>
          <w:rFonts w:ascii="Arial" w:hAnsi="Arial" w:cs="Arial"/>
          <w:b/>
          <w:bCs/>
        </w:rPr>
        <w:t>2.5. FRAP Method</w:t>
      </w:r>
      <w:bookmarkEnd w:id="16"/>
    </w:p>
    <w:p w14:paraId="60B0EC06" w14:textId="5F18BDD5" w:rsidR="001A5676" w:rsidRPr="001A5676" w:rsidRDefault="001A5676" w:rsidP="001A5676">
      <w:pPr>
        <w:pStyle w:val="Body"/>
        <w:spacing w:after="0"/>
        <w:rPr>
          <w:rFonts w:ascii="Arial" w:hAnsi="Arial" w:cs="Arial"/>
        </w:rPr>
      </w:pPr>
      <w:r w:rsidRPr="001A5676">
        <w:rPr>
          <w:rFonts w:ascii="Arial" w:hAnsi="Arial" w:cs="Arial"/>
        </w:rPr>
        <w:t xml:space="preserve">The FRAP evaluation is based on the reduction of the ferric ion (Fe³+) to the ferrous ion (Fe²+) by an antioxidant compound. For this method, the ferric ion is complexed with 2,4,6-tripyridyl-s-triazine (TPTZ), and following the reduction of iron, the complex becomes colored. The reaction is revealed by the yellow color change of the ferric iron, which turns blue in the presence of the antioxidant. The antioxidant capacity is determined by a simple measurement of the absorbance at 700 nm </w:t>
      </w:r>
      <w:r w:rsidRPr="001A5676">
        <w:rPr>
          <w:rFonts w:ascii="Arial" w:hAnsi="Arial" w:cs="Arial"/>
        </w:rPr>
        <w:fldChar w:fldCharType="begin"/>
      </w:r>
      <w:r w:rsidR="00CA16D7">
        <w:rPr>
          <w:rFonts w:ascii="Arial" w:hAnsi="Arial" w:cs="Arial"/>
        </w:rPr>
        <w:instrText xml:space="preserve"> ADDIN EN.CITE &lt;EndNote&gt;&lt;Cite&gt;&lt;Author&gt;Ksouri&lt;/Author&gt;&lt;Year&gt;2007&lt;/Year&gt;&lt;RecNum&gt;62&lt;/RecNum&gt;&lt;DisplayText&gt;(Ksouri &amp;amp; Megdiche, 2007)&lt;/DisplayText&gt;&lt;record&gt;&lt;rec-number&gt;62&lt;/rec-number&gt;&lt;foreign-keys&gt;&lt;key app="EN" db-id="xd20ava0ss0z06e9fzmxda9qwp2twsza5092" timestamp="1774870881"&gt;62&lt;/key&gt;&lt;/foreign-keys&gt;&lt;ref-type name="Journal Article"&gt;17&lt;/ref-type&gt;&lt;contributors&gt;&lt;authors&gt;&lt;author&gt;Ksouri, R.&lt;/author&gt;&lt;author&gt;Megdiche, W.&lt;/author&gt;&lt;/authors&gt;&lt;/contributors&gt;&lt;titles&gt;&lt;title&gt;Salinity effects on polyphenol content and antioxidant activities in leaves of the halophyte Cakile maritima&lt;/title&gt;&lt;secondary-title&gt;Plant Physiology Biochemestry&lt;/secondary-title&gt;&lt;/titles&gt;&lt;periodical&gt;&lt;full-title&gt;Plant Physiology Biochemestry&lt;/full-title&gt;&lt;/periodical&gt;&lt;pages&gt;244-249&lt;/pages&gt;&lt;dates&gt;&lt;year&gt;2007&lt;/year&gt;&lt;/dates&gt;&lt;urls&gt;&lt;/urls&gt;&lt;/record&gt;&lt;/Cite&gt;&lt;/EndNote&gt;</w:instrText>
      </w:r>
      <w:r w:rsidRPr="001A5676">
        <w:rPr>
          <w:rFonts w:ascii="Arial" w:hAnsi="Arial" w:cs="Arial"/>
        </w:rPr>
        <w:fldChar w:fldCharType="separate"/>
      </w:r>
      <w:r w:rsidR="00CA16D7">
        <w:rPr>
          <w:rFonts w:ascii="Arial" w:hAnsi="Arial" w:cs="Arial"/>
          <w:noProof/>
        </w:rPr>
        <w:t>(Ksouri &amp; Megdiche, 2007)</w:t>
      </w:r>
      <w:r w:rsidRPr="001A5676">
        <w:rPr>
          <w:rFonts w:ascii="Arial" w:hAnsi="Arial" w:cs="Arial"/>
        </w:rPr>
        <w:fldChar w:fldCharType="end"/>
      </w:r>
      <w:r w:rsidRPr="001A5676">
        <w:rPr>
          <w:rFonts w:ascii="Arial" w:hAnsi="Arial" w:cs="Arial"/>
        </w:rPr>
        <w:t>. The reducing power of the extracts is determined according to the protocol described by Oyaizu (1986) [64]. In six dry test tubes, 250 µL of each extract at all concentrations (1000 ppm, 500 ppm, 250 ppm, 125 ppm, 62.5 ppm, 31.5 ppm) was mixed with 625 µL of 0.2 M phosphate buffer solution, pH 6.6, and 625 µL of a 1% potassium ferricyanide (K3[</w:t>
      </w:r>
      <w:proofErr w:type="gramStart"/>
      <w:r w:rsidRPr="001A5676">
        <w:rPr>
          <w:rFonts w:ascii="Arial" w:hAnsi="Arial" w:cs="Arial"/>
        </w:rPr>
        <w:t>Fe(</w:t>
      </w:r>
      <w:proofErr w:type="gramEnd"/>
      <w:r w:rsidRPr="001A5676">
        <w:rPr>
          <w:rFonts w:ascii="Arial" w:hAnsi="Arial" w:cs="Arial"/>
        </w:rPr>
        <w:t xml:space="preserve">CN)6]) solution. The mixture was incubated in a water bath at 50°C for 20 minutes, after which 625 µL of 10% trichloroacetic acid (TCA) was added to stop the reaction. The tubes were centrifuged at 3000 rpm for 10 minutes using a SIGMA centrifuge. 625 µL of supernatant are mixed with 625 µL of distilled water and 125 µL of freshly prepared 0.1% iron (III) chloride (FeCl3) </w:t>
      </w:r>
      <w:proofErr w:type="gramStart"/>
      <w:r w:rsidRPr="001A5676">
        <w:rPr>
          <w:rFonts w:ascii="Arial" w:hAnsi="Arial" w:cs="Arial"/>
        </w:rPr>
        <w:t>solution .</w:t>
      </w:r>
      <w:proofErr w:type="gramEnd"/>
      <w:r w:rsidRPr="001A5676">
        <w:rPr>
          <w:rFonts w:ascii="Arial" w:hAnsi="Arial" w:cs="Arial"/>
        </w:rPr>
        <w:t xml:space="preserve"> The optical densities of the reaction medium were read at 700 nm against a blank similarly prepared by replacing the extract with distilled water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p>
    <w:p w14:paraId="7E5B81DC" w14:textId="77777777" w:rsidR="001A5676" w:rsidRDefault="001A5676" w:rsidP="001A5676">
      <w:pPr>
        <w:pStyle w:val="Body"/>
        <w:spacing w:after="0"/>
        <w:rPr>
          <w:rFonts w:ascii="Arial" w:hAnsi="Arial" w:cs="Arial"/>
        </w:rPr>
      </w:pPr>
      <w:r w:rsidRPr="001A5676">
        <w:rPr>
          <w:rFonts w:ascii="Arial" w:hAnsi="Arial" w:cs="Arial"/>
        </w:rPr>
        <w:t>The percentage of inhibition (PI), IC</w:t>
      </w:r>
      <w:proofErr w:type="gramStart"/>
      <w:r w:rsidRPr="001A5676">
        <w:rPr>
          <w:rFonts w:ascii="Arial" w:hAnsi="Arial" w:cs="Arial"/>
        </w:rPr>
        <w:t>50 ,</w:t>
      </w:r>
      <w:proofErr w:type="gramEnd"/>
      <w:r w:rsidRPr="001A5676">
        <w:rPr>
          <w:rFonts w:ascii="Arial" w:hAnsi="Arial" w:cs="Arial"/>
        </w:rPr>
        <w:t xml:space="preserve"> EC50, and the reducing power (PR) required to reduce 50% of the ferric complex, expressed in mg of antioxidant/g of FeCl3 or in mg of antioxidant/mol , were determined in the same way as befor</w:t>
      </w:r>
      <w:bookmarkStart w:id="17" w:name="_Toc137924729"/>
      <w:r w:rsidRPr="001A5676">
        <w:rPr>
          <w:rFonts w:ascii="Arial" w:hAnsi="Arial" w:cs="Arial"/>
        </w:rPr>
        <w:t>e.</w:t>
      </w:r>
    </w:p>
    <w:p w14:paraId="73E72727" w14:textId="77777777" w:rsidR="001A5676" w:rsidRPr="001A5676" w:rsidRDefault="001A5676" w:rsidP="001A5676">
      <w:pPr>
        <w:pStyle w:val="Body"/>
        <w:spacing w:after="0"/>
        <w:rPr>
          <w:rFonts w:ascii="Arial" w:hAnsi="Arial" w:cs="Arial"/>
        </w:rPr>
      </w:pPr>
    </w:p>
    <w:p w14:paraId="1791D367" w14:textId="13CC12BE" w:rsidR="001A5676" w:rsidRPr="001A5676" w:rsidRDefault="001A5676" w:rsidP="001A5676">
      <w:pPr>
        <w:pStyle w:val="Body"/>
        <w:spacing w:after="0"/>
        <w:rPr>
          <w:rFonts w:ascii="Arial" w:hAnsi="Arial" w:cs="Arial"/>
          <w:b/>
          <w:bCs/>
        </w:rPr>
      </w:pPr>
      <w:r w:rsidRPr="001A5676">
        <w:rPr>
          <w:rFonts w:ascii="Arial" w:hAnsi="Arial" w:cs="Arial"/>
          <w:b/>
          <w:bCs/>
        </w:rPr>
        <w:t xml:space="preserve">2.5. Antibacterial </w:t>
      </w:r>
      <w:bookmarkEnd w:id="17"/>
      <w:r w:rsidRPr="001A5676">
        <w:rPr>
          <w:rFonts w:ascii="Arial" w:hAnsi="Arial" w:cs="Arial"/>
          <w:b/>
          <w:bCs/>
        </w:rPr>
        <w:t>activities</w:t>
      </w:r>
    </w:p>
    <w:p w14:paraId="5067E145" w14:textId="74C1DAED" w:rsidR="001A5676" w:rsidRPr="001A5676" w:rsidRDefault="001A5676" w:rsidP="001A5676">
      <w:pPr>
        <w:pStyle w:val="Body"/>
        <w:spacing w:after="0"/>
        <w:rPr>
          <w:rFonts w:ascii="Arial" w:hAnsi="Arial" w:cs="Arial"/>
          <w:b/>
          <w:bCs/>
        </w:rPr>
      </w:pPr>
      <w:bookmarkStart w:id="18" w:name="_Toc137924732"/>
      <w:r w:rsidRPr="001A5676">
        <w:rPr>
          <w:rFonts w:ascii="Arial" w:hAnsi="Arial" w:cs="Arial"/>
          <w:b/>
          <w:bCs/>
        </w:rPr>
        <w:t>2.5.1. Antibacterial activity test of extracts</w:t>
      </w:r>
      <w:bookmarkEnd w:id="18"/>
      <w:r w:rsidRPr="001A5676">
        <w:rPr>
          <w:rFonts w:ascii="Arial" w:hAnsi="Arial" w:cs="Arial"/>
          <w:b/>
          <w:bCs/>
        </w:rPr>
        <w:t xml:space="preserve"> </w:t>
      </w:r>
    </w:p>
    <w:p w14:paraId="3C39FF84" w14:textId="6C4EBA61" w:rsidR="001A5676" w:rsidRDefault="001A5676" w:rsidP="001A5676">
      <w:pPr>
        <w:pStyle w:val="Body"/>
        <w:spacing w:after="0"/>
        <w:rPr>
          <w:rFonts w:ascii="Arial" w:hAnsi="Arial" w:cs="Arial"/>
          <w:b/>
          <w:bCs/>
        </w:rPr>
      </w:pPr>
      <w:bookmarkStart w:id="19" w:name="_Toc137924733"/>
      <w:r w:rsidRPr="001A5676">
        <w:rPr>
          <w:rFonts w:ascii="Arial" w:hAnsi="Arial" w:cs="Arial"/>
          <w:b/>
          <w:bCs/>
        </w:rPr>
        <w:t>2.5.1.1. Sterility test of the extract</w:t>
      </w:r>
      <w:bookmarkEnd w:id="19"/>
    </w:p>
    <w:p w14:paraId="733A3DB5" w14:textId="77777777" w:rsidR="001A5676" w:rsidRPr="001A5676" w:rsidRDefault="001A5676" w:rsidP="001A5676">
      <w:pPr>
        <w:pStyle w:val="Body"/>
        <w:spacing w:after="0"/>
        <w:rPr>
          <w:rFonts w:ascii="Arial" w:hAnsi="Arial" w:cs="Arial"/>
          <w:b/>
          <w:bCs/>
        </w:rPr>
      </w:pPr>
    </w:p>
    <w:p w14:paraId="180C3090" w14:textId="77777777" w:rsidR="001A5676" w:rsidRPr="001A5676" w:rsidRDefault="001A5676" w:rsidP="001A5676">
      <w:pPr>
        <w:pStyle w:val="Body"/>
        <w:spacing w:after="0"/>
        <w:rPr>
          <w:rFonts w:ascii="Arial" w:hAnsi="Arial" w:cs="Arial"/>
        </w:rPr>
      </w:pPr>
      <w:r w:rsidRPr="001A5676">
        <w:rPr>
          <w:rFonts w:ascii="Arial" w:hAnsi="Arial" w:cs="Arial"/>
        </w:rPr>
        <w:t>The purpose of this test was to ensure that the extracts were not contaminated by bacteria that could interfere with the interpretation of the results after incubation. Sterility was verified by inoculation onto Mueller-Hinton agar followed by incubation for 24 hours at 37°C. Extracts were declared sterile if no colonies were visible to the naked eye on the agar at the end of the incubation period.</w:t>
      </w:r>
    </w:p>
    <w:p w14:paraId="26AFD456" w14:textId="77777777" w:rsidR="001A5676" w:rsidRPr="001A5676" w:rsidRDefault="001A5676" w:rsidP="001A5676">
      <w:pPr>
        <w:pStyle w:val="Body"/>
        <w:spacing w:after="0"/>
        <w:rPr>
          <w:rFonts w:ascii="Arial" w:hAnsi="Arial" w:cs="Arial"/>
        </w:rPr>
      </w:pPr>
      <w:bookmarkStart w:id="20" w:name="_Toc137924734"/>
      <w:r w:rsidRPr="001A5676">
        <w:rPr>
          <w:rFonts w:ascii="Arial" w:hAnsi="Arial" w:cs="Arial"/>
        </w:rPr>
        <w:lastRenderedPageBreak/>
        <w:t>II.5.1.2 Antibacterial profile of the study strains</w:t>
      </w:r>
      <w:bookmarkEnd w:id="20"/>
    </w:p>
    <w:p w14:paraId="4271C0C8" w14:textId="77777777" w:rsidR="001A5676" w:rsidRDefault="001A5676" w:rsidP="001A5676">
      <w:pPr>
        <w:pStyle w:val="Body"/>
        <w:spacing w:after="0"/>
        <w:rPr>
          <w:rFonts w:ascii="Arial" w:hAnsi="Arial" w:cs="Arial"/>
        </w:rPr>
      </w:pPr>
      <w:r w:rsidRPr="001A5676">
        <w:rPr>
          <w:rFonts w:ascii="Arial" w:hAnsi="Arial" w:cs="Arial"/>
        </w:rPr>
        <w:t>The antibacterial profile of the study strains was performed to test, in vitro and on culture media, the susceptibility of the bacterial strains to known antibiotics. The antibacterial resistance profile of the strains of interest is recorded in Table 1.</w:t>
      </w:r>
    </w:p>
    <w:p w14:paraId="1CB901DA" w14:textId="77777777" w:rsidR="001A5676" w:rsidRPr="001A5676" w:rsidRDefault="001A5676" w:rsidP="001A5676">
      <w:pPr>
        <w:pStyle w:val="Body"/>
        <w:spacing w:after="0"/>
        <w:rPr>
          <w:rFonts w:ascii="Arial" w:hAnsi="Arial" w:cs="Arial"/>
        </w:rPr>
      </w:pPr>
    </w:p>
    <w:p w14:paraId="20FD94D2" w14:textId="77777777" w:rsidR="001A5676" w:rsidRPr="001A5676" w:rsidRDefault="001A5676" w:rsidP="001A5676">
      <w:pPr>
        <w:pStyle w:val="Body"/>
        <w:spacing w:after="0"/>
        <w:rPr>
          <w:rFonts w:ascii="Arial" w:hAnsi="Arial" w:cs="Arial"/>
          <w:b/>
          <w:bCs/>
        </w:rPr>
      </w:pPr>
      <w:bookmarkStart w:id="21" w:name="_Toc137921293"/>
      <w:bookmarkStart w:id="22" w:name="_Toc137923796"/>
      <w:r w:rsidRPr="001A5676">
        <w:rPr>
          <w:rFonts w:ascii="Arial" w:hAnsi="Arial" w:cs="Arial"/>
          <w:b/>
          <w:bCs/>
        </w:rPr>
        <w:t>Table 1: Antibacterial resistance profile of strains of interest</w:t>
      </w:r>
      <w:bookmarkEnd w:id="21"/>
      <w:bookmarkEnd w:id="22"/>
    </w:p>
    <w:tbl>
      <w:tblPr>
        <w:tblStyle w:val="MediumShading2"/>
        <w:tblW w:w="7624" w:type="dxa"/>
        <w:tblInd w:w="503" w:type="dxa"/>
        <w:tblLook w:val="0600" w:firstRow="0" w:lastRow="0" w:firstColumn="0" w:lastColumn="0" w:noHBand="1" w:noVBand="1"/>
      </w:tblPr>
      <w:tblGrid>
        <w:gridCol w:w="1444"/>
        <w:gridCol w:w="1236"/>
        <w:gridCol w:w="1236"/>
        <w:gridCol w:w="1236"/>
        <w:gridCol w:w="1236"/>
        <w:gridCol w:w="1236"/>
      </w:tblGrid>
      <w:tr w:rsidR="001A5676" w:rsidRPr="001A5676" w14:paraId="7C585370" w14:textId="77777777" w:rsidTr="00AD6FDB">
        <w:trPr>
          <w:trHeight w:hRule="exact" w:val="548"/>
        </w:trPr>
        <w:tc>
          <w:tcPr>
            <w:tcW w:w="1444" w:type="dxa"/>
            <w:tcBorders>
              <w:top w:val="single" w:sz="18" w:space="0" w:color="auto"/>
              <w:bottom w:val="single" w:sz="4" w:space="0" w:color="auto"/>
            </w:tcBorders>
          </w:tcPr>
          <w:p w14:paraId="3B42FFCD" w14:textId="77777777" w:rsidR="001A5676" w:rsidRPr="001A5676" w:rsidRDefault="001A5676" w:rsidP="001A5676">
            <w:pPr>
              <w:pStyle w:val="Body"/>
              <w:spacing w:after="0"/>
              <w:rPr>
                <w:rFonts w:ascii="Arial" w:eastAsia="Times New Roman" w:hAnsi="Arial" w:cs="Arial"/>
                <w:sz w:val="20"/>
                <w:szCs w:val="20"/>
                <w:lang w:val="en-US"/>
              </w:rPr>
            </w:pPr>
          </w:p>
        </w:tc>
        <w:tc>
          <w:tcPr>
            <w:tcW w:w="1236" w:type="dxa"/>
            <w:tcBorders>
              <w:top w:val="single" w:sz="18" w:space="0" w:color="auto"/>
              <w:bottom w:val="single" w:sz="4" w:space="0" w:color="auto"/>
            </w:tcBorders>
          </w:tcPr>
          <w:p w14:paraId="145C283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CIP</w:t>
            </w:r>
          </w:p>
        </w:tc>
        <w:tc>
          <w:tcPr>
            <w:tcW w:w="1236" w:type="dxa"/>
            <w:tcBorders>
              <w:top w:val="single" w:sz="18" w:space="0" w:color="auto"/>
              <w:bottom w:val="single" w:sz="4" w:space="0" w:color="auto"/>
            </w:tcBorders>
          </w:tcPr>
          <w:p w14:paraId="2E7F06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CEF</w:t>
            </w:r>
          </w:p>
        </w:tc>
        <w:tc>
          <w:tcPr>
            <w:tcW w:w="1236" w:type="dxa"/>
            <w:tcBorders>
              <w:top w:val="single" w:sz="18" w:space="0" w:color="auto"/>
              <w:bottom w:val="single" w:sz="4" w:space="0" w:color="auto"/>
            </w:tcBorders>
          </w:tcPr>
          <w:p w14:paraId="5A2415D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CEX</w:t>
            </w:r>
          </w:p>
        </w:tc>
        <w:tc>
          <w:tcPr>
            <w:tcW w:w="1236" w:type="dxa"/>
            <w:tcBorders>
              <w:top w:val="single" w:sz="18" w:space="0" w:color="auto"/>
              <w:bottom w:val="single" w:sz="4" w:space="0" w:color="auto"/>
            </w:tcBorders>
          </w:tcPr>
          <w:p w14:paraId="3565F2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AZT</w:t>
            </w:r>
          </w:p>
        </w:tc>
        <w:tc>
          <w:tcPr>
            <w:tcW w:w="1236" w:type="dxa"/>
            <w:tcBorders>
              <w:top w:val="single" w:sz="18" w:space="0" w:color="auto"/>
              <w:bottom w:val="single" w:sz="4" w:space="0" w:color="auto"/>
            </w:tcBorders>
          </w:tcPr>
          <w:p w14:paraId="231BCB7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AMC</w:t>
            </w:r>
          </w:p>
        </w:tc>
      </w:tr>
      <w:tr w:rsidR="001A5676" w:rsidRPr="001A5676" w14:paraId="27125EC0" w14:textId="77777777" w:rsidTr="00AD6FDB">
        <w:trPr>
          <w:trHeight w:hRule="exact" w:val="340"/>
        </w:trPr>
        <w:tc>
          <w:tcPr>
            <w:tcW w:w="1444" w:type="dxa"/>
            <w:tcBorders>
              <w:top w:val="single" w:sz="4" w:space="0" w:color="auto"/>
            </w:tcBorders>
          </w:tcPr>
          <w:p w14:paraId="6385E2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1236" w:type="dxa"/>
            <w:tcBorders>
              <w:top w:val="single" w:sz="4" w:space="0" w:color="auto"/>
            </w:tcBorders>
          </w:tcPr>
          <w:p w14:paraId="223D079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1A5874D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E87E9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4F0EE0F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Borders>
              <w:top w:val="single" w:sz="4" w:space="0" w:color="auto"/>
            </w:tcBorders>
          </w:tcPr>
          <w:p w14:paraId="08D9D02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r>
      <w:tr w:rsidR="001A5676" w:rsidRPr="001A5676" w14:paraId="062B79CD" w14:textId="77777777" w:rsidTr="00AD6FDB">
        <w:trPr>
          <w:trHeight w:hRule="exact" w:val="340"/>
        </w:trPr>
        <w:tc>
          <w:tcPr>
            <w:tcW w:w="1444" w:type="dxa"/>
          </w:tcPr>
          <w:p w14:paraId="06C9C0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1236" w:type="dxa"/>
          </w:tcPr>
          <w:p w14:paraId="04F04C1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1A2DEA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304462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A76D99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4C8785F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3B543C41" w14:textId="77777777" w:rsidTr="00AD6FDB">
        <w:trPr>
          <w:trHeight w:hRule="exact" w:val="340"/>
        </w:trPr>
        <w:tc>
          <w:tcPr>
            <w:tcW w:w="1444" w:type="dxa"/>
          </w:tcPr>
          <w:p w14:paraId="4CEC66D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1236" w:type="dxa"/>
          </w:tcPr>
          <w:p w14:paraId="243331B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B07C00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535EB8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3D3B03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1B1CCF9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r w:rsidR="001A5676" w:rsidRPr="001A5676" w14:paraId="49C7AD6E" w14:textId="77777777" w:rsidTr="00AD6FDB">
        <w:trPr>
          <w:trHeight w:hRule="exact" w:val="340"/>
        </w:trPr>
        <w:tc>
          <w:tcPr>
            <w:tcW w:w="1444" w:type="dxa"/>
          </w:tcPr>
          <w:p w14:paraId="29985B2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1236" w:type="dxa"/>
          </w:tcPr>
          <w:p w14:paraId="54ED19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6EB5D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w:t>
            </w:r>
          </w:p>
        </w:tc>
        <w:tc>
          <w:tcPr>
            <w:tcW w:w="1236" w:type="dxa"/>
          </w:tcPr>
          <w:p w14:paraId="2E5F06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C</w:t>
            </w:r>
          </w:p>
        </w:tc>
        <w:tc>
          <w:tcPr>
            <w:tcW w:w="1236" w:type="dxa"/>
          </w:tcPr>
          <w:p w14:paraId="0E83CA7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c>
          <w:tcPr>
            <w:tcW w:w="1236" w:type="dxa"/>
          </w:tcPr>
          <w:p w14:paraId="70FA34C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R</w:t>
            </w:r>
          </w:p>
        </w:tc>
      </w:tr>
    </w:tbl>
    <w:p w14:paraId="0C55279C" w14:textId="14A11A47" w:rsidR="001A5676" w:rsidRPr="001A5676" w:rsidRDefault="001A5676" w:rsidP="001A5676">
      <w:pPr>
        <w:pStyle w:val="Body"/>
        <w:spacing w:after="0"/>
        <w:rPr>
          <w:rFonts w:ascii="Arial" w:hAnsi="Arial" w:cs="Arial"/>
          <w:i/>
          <w:iCs/>
        </w:rPr>
      </w:pPr>
      <w:proofErr w:type="gramStart"/>
      <w:r w:rsidRPr="001A5676">
        <w:rPr>
          <w:rFonts w:ascii="Arial" w:hAnsi="Arial" w:cs="Arial"/>
          <w:i/>
          <w:iCs/>
        </w:rPr>
        <w:t>EB :</w:t>
      </w:r>
      <w:proofErr w:type="gramEnd"/>
      <w:r w:rsidRPr="001A5676">
        <w:rPr>
          <w:rFonts w:ascii="Arial" w:hAnsi="Arial" w:cs="Arial"/>
          <w:i/>
          <w:iCs/>
        </w:rPr>
        <w:t xml:space="preserve"> </w:t>
      </w:r>
      <w:r w:rsidR="00CA16D7" w:rsidRPr="00CA16D7">
        <w:rPr>
          <w:rFonts w:ascii="Arial" w:hAnsi="Arial" w:cs="Arial"/>
          <w:i/>
          <w:iCs/>
        </w:rPr>
        <w:t>Enterobacter cloacae</w:t>
      </w:r>
      <w:r w:rsidRPr="001A5676">
        <w:rPr>
          <w:rFonts w:ascii="Arial" w:hAnsi="Arial" w:cs="Arial"/>
          <w:i/>
          <w:iCs/>
        </w:rPr>
        <w:t xml:space="preserve"> ; EC : </w:t>
      </w:r>
      <w:r w:rsidR="00BF0CCB" w:rsidRPr="00BF0CCB">
        <w:rPr>
          <w:rFonts w:ascii="Arial" w:hAnsi="Arial" w:cs="Arial"/>
          <w:i/>
          <w:iCs/>
        </w:rPr>
        <w:t>Escherichia coli</w:t>
      </w:r>
      <w:r w:rsidRPr="001A5676">
        <w:rPr>
          <w:rFonts w:ascii="Arial" w:hAnsi="Arial" w:cs="Arial"/>
          <w:i/>
          <w:iCs/>
        </w:rPr>
        <w:t xml:space="preserve"> ; SA : </w:t>
      </w:r>
      <w:proofErr w:type="spellStart"/>
      <w:r w:rsidRPr="001A5676">
        <w:rPr>
          <w:rFonts w:ascii="Arial" w:hAnsi="Arial" w:cs="Arial"/>
          <w:i/>
          <w:iCs/>
        </w:rPr>
        <w:t>Staphyloccus</w:t>
      </w:r>
      <w:proofErr w:type="spellEnd"/>
      <w:r w:rsidRPr="001A5676">
        <w:rPr>
          <w:rFonts w:ascii="Arial" w:hAnsi="Arial" w:cs="Arial"/>
          <w:i/>
          <w:iCs/>
        </w:rPr>
        <w:t xml:space="preserve"> aureus ; PA : </w:t>
      </w:r>
      <w:r w:rsidR="00CA16D7" w:rsidRPr="00CA16D7">
        <w:rPr>
          <w:rFonts w:ascii="Arial" w:hAnsi="Arial" w:cs="Arial"/>
          <w:i/>
          <w:iCs/>
        </w:rPr>
        <w:t>Pseudomonas aeruginosa</w:t>
      </w:r>
      <w:r w:rsidRPr="001A5676">
        <w:rPr>
          <w:rFonts w:ascii="Arial" w:hAnsi="Arial" w:cs="Arial"/>
          <w:i/>
          <w:iCs/>
        </w:rPr>
        <w:t xml:space="preserve"> ; CIP : Ciprofloxacin ; CEF : Ceftriaxone ; CEX : Cefixime ; AZT : </w:t>
      </w:r>
      <w:proofErr w:type="spellStart"/>
      <w:r w:rsidRPr="001A5676">
        <w:rPr>
          <w:rFonts w:ascii="Arial" w:hAnsi="Arial" w:cs="Arial"/>
          <w:i/>
          <w:iCs/>
        </w:rPr>
        <w:t>Azythromycin</w:t>
      </w:r>
      <w:proofErr w:type="spellEnd"/>
      <w:r w:rsidRPr="001A5676">
        <w:rPr>
          <w:rFonts w:ascii="Arial" w:hAnsi="Arial" w:cs="Arial"/>
          <w:i/>
          <w:iCs/>
        </w:rPr>
        <w:t xml:space="preserve"> ; AMC : Amoxicillin/Clavulanic acid ; S : Sensitive ; R : Resistant ; C : Critical</w:t>
      </w:r>
    </w:p>
    <w:p w14:paraId="39DD4C8F" w14:textId="77777777" w:rsidR="001A5676" w:rsidRPr="001A5676" w:rsidRDefault="001A5676" w:rsidP="001A5676">
      <w:pPr>
        <w:pStyle w:val="Body"/>
        <w:spacing w:after="0"/>
        <w:rPr>
          <w:rFonts w:ascii="Arial" w:hAnsi="Arial" w:cs="Arial"/>
        </w:rPr>
      </w:pPr>
    </w:p>
    <w:p w14:paraId="79CEEF53" w14:textId="23BE8FA8" w:rsidR="001A5676" w:rsidRPr="001A5676" w:rsidRDefault="001A5676" w:rsidP="001A5676">
      <w:pPr>
        <w:pStyle w:val="Body"/>
        <w:spacing w:after="0"/>
        <w:rPr>
          <w:rFonts w:ascii="Arial" w:hAnsi="Arial" w:cs="Arial"/>
          <w:b/>
          <w:bCs/>
        </w:rPr>
      </w:pPr>
      <w:bookmarkStart w:id="23" w:name="_Toc126860805"/>
      <w:bookmarkStart w:id="24" w:name="_Toc137924735"/>
      <w:r w:rsidRPr="001A5676">
        <w:rPr>
          <w:rFonts w:ascii="Arial" w:hAnsi="Arial" w:cs="Arial"/>
          <w:b/>
          <w:bCs/>
        </w:rPr>
        <w:t>2.5.</w:t>
      </w:r>
      <w:proofErr w:type="gramStart"/>
      <w:r w:rsidR="00606948">
        <w:rPr>
          <w:rFonts w:ascii="Arial" w:hAnsi="Arial" w:cs="Arial"/>
          <w:b/>
          <w:bCs/>
        </w:rPr>
        <w:t>2</w:t>
      </w:r>
      <w:r w:rsidRPr="001A5676">
        <w:rPr>
          <w:rFonts w:ascii="Arial" w:hAnsi="Arial" w:cs="Arial"/>
          <w:b/>
          <w:bCs/>
        </w:rPr>
        <w:t>.Determination</w:t>
      </w:r>
      <w:proofErr w:type="gramEnd"/>
      <w:r w:rsidRPr="001A5676">
        <w:rPr>
          <w:rFonts w:ascii="Arial" w:hAnsi="Arial" w:cs="Arial"/>
          <w:b/>
          <w:bCs/>
        </w:rPr>
        <w:t xml:space="preserve"> of Minimum Inhibitory Concentration (MIC) </w:t>
      </w:r>
      <w:bookmarkEnd w:id="23"/>
      <w:r w:rsidRPr="001A5676">
        <w:rPr>
          <w:rFonts w:ascii="Arial" w:hAnsi="Arial" w:cs="Arial"/>
          <w:b/>
          <w:bCs/>
        </w:rPr>
        <w:t>by Broth Microdilution Method</w:t>
      </w:r>
      <w:bookmarkEnd w:id="24"/>
    </w:p>
    <w:p w14:paraId="12C03A24" w14:textId="3D51BE10" w:rsidR="001A5676" w:rsidRPr="001A5676" w:rsidRDefault="001A5676" w:rsidP="001A5676">
      <w:pPr>
        <w:pStyle w:val="Body"/>
        <w:spacing w:after="0"/>
        <w:rPr>
          <w:rFonts w:ascii="Arial" w:hAnsi="Arial" w:cs="Arial"/>
        </w:rPr>
      </w:pPr>
      <w:r w:rsidRPr="001A5676">
        <w:rPr>
          <w:rFonts w:ascii="Arial" w:hAnsi="Arial" w:cs="Arial"/>
        </w:rPr>
        <w:t xml:space="preserve">The protocol used was that described by </w:t>
      </w:r>
      <w:proofErr w:type="spellStart"/>
      <w:r w:rsidRPr="001A5676">
        <w:rPr>
          <w:rFonts w:ascii="Arial" w:hAnsi="Arial" w:cs="Arial"/>
        </w:rPr>
        <w:t>Valère</w:t>
      </w:r>
      <w:proofErr w:type="spellEnd"/>
      <w:r w:rsidRPr="001A5676">
        <w:rPr>
          <w:rFonts w:ascii="Arial" w:hAnsi="Arial" w:cs="Arial"/>
        </w:rPr>
        <w:t xml:space="preserve"> et al.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 xml:space="preserve">with some minor modifications. A 1 mL volume of Mueller-Hinton broth (MHB) was introduced into a series of ten (10) tubes and maintained at 37°C for each extract. The entire set was sterilized at 121°C for 15 minutes in an autoclave. After sterilization, 400 µL of the stock solution of each extract was introduced into the tubes containing the MHB. Following the arrangement of the tubes, successive serial dilutions in a 2:1 ratio were performed. After introducing the extracts, the tubes were removed from the water bath and then tilted at a 45° angle to create a slope. Five hours later, a calibrated platinum loop was used around a Bunsen burner to aspirate a volume of 0.5 McFarland standard inoculum, which was then used to streak the slope. The tubes were then incubated at 37°C for 24 hours in an incubator [65]. The Minimum Inhibitory Concentration (MIC) of each extract was recorded as the lowest concentration that prevented bacterial growth. Antimicrobial potential was determined according to the scale provided by </w:t>
      </w:r>
      <w:proofErr w:type="spellStart"/>
      <w:r w:rsidRPr="001A5676">
        <w:rPr>
          <w:rFonts w:ascii="Arial" w:hAnsi="Arial" w:cs="Arial"/>
        </w:rPr>
        <w:t>Kuete</w:t>
      </w:r>
      <w:proofErr w:type="spellEnd"/>
      <w:r w:rsidRPr="001A5676">
        <w:rPr>
          <w:rFonts w:ascii="Arial" w:hAnsi="Arial" w:cs="Arial"/>
        </w:rPr>
        <w:t xml:space="preserve">. [60], which stipulates that the antimicrobial potential of a plant is considered high when MIC ˂ 100 µg/ml, moderate when 100 µg/ml ≤ </w:t>
      </w:r>
      <w:proofErr w:type="gramStart"/>
      <w:r w:rsidRPr="001A5676">
        <w:rPr>
          <w:rFonts w:ascii="Arial" w:hAnsi="Arial" w:cs="Arial"/>
        </w:rPr>
        <w:t>MIC  ≤</w:t>
      </w:r>
      <w:proofErr w:type="gramEnd"/>
      <w:r w:rsidRPr="001A5676">
        <w:rPr>
          <w:rFonts w:ascii="Arial" w:hAnsi="Arial" w:cs="Arial"/>
        </w:rPr>
        <w:t xml:space="preserve"> 625 µg/ml and low when MIC &gt; 625µg/ml.</w:t>
      </w:r>
    </w:p>
    <w:p w14:paraId="73833BA2" w14:textId="77777777" w:rsidR="001A5676" w:rsidRPr="001A5676" w:rsidRDefault="001A5676" w:rsidP="001A5676">
      <w:pPr>
        <w:pStyle w:val="Body"/>
        <w:spacing w:after="0"/>
        <w:rPr>
          <w:rFonts w:ascii="Arial" w:hAnsi="Arial" w:cs="Arial"/>
        </w:rPr>
      </w:pPr>
    </w:p>
    <w:p w14:paraId="0C93BDC6" w14:textId="0CC640B0" w:rsidR="001A5676" w:rsidRPr="001A5676" w:rsidRDefault="001A5676" w:rsidP="001A5676">
      <w:pPr>
        <w:pStyle w:val="Body"/>
        <w:spacing w:after="0"/>
        <w:rPr>
          <w:rFonts w:ascii="Arial" w:hAnsi="Arial" w:cs="Arial"/>
          <w:b/>
          <w:bCs/>
        </w:rPr>
      </w:pPr>
      <w:bookmarkStart w:id="25" w:name="_Toc126860807"/>
      <w:bookmarkStart w:id="26" w:name="_Toc137924736"/>
      <w:r w:rsidRPr="001A5676">
        <w:rPr>
          <w:rFonts w:ascii="Arial" w:hAnsi="Arial" w:cs="Arial"/>
          <w:b/>
          <w:bCs/>
        </w:rPr>
        <w:t>2.5.3 Determination of the Minimum Bactericidal Concentration (MBC)</w:t>
      </w:r>
      <w:bookmarkEnd w:id="25"/>
      <w:bookmarkEnd w:id="26"/>
    </w:p>
    <w:p w14:paraId="1AE41B97" w14:textId="5CC600AC" w:rsidR="001A5676" w:rsidRPr="001A5676" w:rsidRDefault="001A5676" w:rsidP="001A5676">
      <w:pPr>
        <w:pStyle w:val="Body"/>
        <w:spacing w:after="0"/>
        <w:rPr>
          <w:rFonts w:ascii="Arial" w:hAnsi="Arial" w:cs="Arial"/>
        </w:rPr>
      </w:pPr>
      <w:r w:rsidRPr="001A5676">
        <w:rPr>
          <w:rFonts w:ascii="Arial" w:hAnsi="Arial" w:cs="Arial"/>
        </w:rPr>
        <w:t xml:space="preserve">In tubes showing no bacterial growth, 1 mL of sterile MHB was introduced and incubated for 24 hours, after which growth was indicated by turbidity of the broth. CMB was considered to have the lowest extract concentration among tubes without turbidity </w:t>
      </w:r>
      <w:r w:rsidRPr="001A5676">
        <w:rPr>
          <w:rFonts w:ascii="Arial" w:hAnsi="Arial" w:cs="Arial"/>
        </w:rPr>
        <w:fldChar w:fldCharType="begin"/>
      </w:r>
      <w:r w:rsidR="00CA16D7">
        <w:rPr>
          <w:rFonts w:ascii="Arial" w:hAnsi="Arial" w:cs="Arial"/>
        </w:rPr>
        <w:instrText xml:space="preserve"> ADDIN EN.CITE &lt;EndNote&gt;&lt;Cite&gt;&lt;Author&gt;Valère&lt;/Author&gt;&lt;Year&gt;2022&lt;/Year&gt;&lt;RecNum&gt;86&lt;/RecNum&gt;&lt;DisplayText&gt;(Valère, 2022)&lt;/DisplayText&gt;&lt;record&gt;&lt;rec-number&gt;86&lt;/rec-number&gt;&lt;foreign-keys&gt;&lt;key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Montagnes&lt;/publisher&gt;&lt;urls&gt;&lt;/urls&gt;&lt;/record&gt;&lt;/Cite&gt;&lt;/EndNote&gt;</w:instrText>
      </w:r>
      <w:r w:rsidRPr="001A5676">
        <w:rPr>
          <w:rFonts w:ascii="Arial" w:hAnsi="Arial" w:cs="Arial"/>
        </w:rPr>
        <w:fldChar w:fldCharType="separate"/>
      </w:r>
      <w:r w:rsidR="00CA16D7">
        <w:rPr>
          <w:rFonts w:ascii="Arial" w:hAnsi="Arial" w:cs="Arial"/>
          <w:noProof/>
        </w:rPr>
        <w:t>(Valère, 2022)</w:t>
      </w:r>
      <w:r w:rsidRPr="001A5676">
        <w:rPr>
          <w:rFonts w:ascii="Arial" w:hAnsi="Arial" w:cs="Arial"/>
        </w:rPr>
        <w:fldChar w:fldCharType="end"/>
      </w:r>
      <w:r w:rsidRPr="001A5676">
        <w:rPr>
          <w:rFonts w:ascii="Arial" w:hAnsi="Arial" w:cs="Arial"/>
        </w:rPr>
        <w:t>.</w:t>
      </w:r>
    </w:p>
    <w:p w14:paraId="3C032E59" w14:textId="77777777" w:rsidR="001A5676" w:rsidRPr="001A5676" w:rsidRDefault="001A5676" w:rsidP="001A5676">
      <w:pPr>
        <w:pStyle w:val="Body"/>
        <w:spacing w:after="0"/>
        <w:rPr>
          <w:rFonts w:ascii="Arial" w:hAnsi="Arial" w:cs="Arial"/>
        </w:rPr>
      </w:pPr>
      <w:bookmarkStart w:id="27" w:name="_Toc126860808"/>
      <w:bookmarkStart w:id="28" w:name="_Toc137924737"/>
      <w:r w:rsidRPr="001A5676">
        <w:rPr>
          <w:rFonts w:ascii="Arial" w:hAnsi="Arial" w:cs="Arial"/>
        </w:rPr>
        <w:t>II.5.3.5 Evaluation of the CMB/CMI report</w:t>
      </w:r>
      <w:bookmarkEnd w:id="27"/>
      <w:bookmarkEnd w:id="28"/>
    </w:p>
    <w:p w14:paraId="6115D28A" w14:textId="4101B5BB" w:rsidR="001A5676" w:rsidRDefault="001A5676" w:rsidP="001A5676">
      <w:pPr>
        <w:pStyle w:val="Body"/>
        <w:spacing w:after="0"/>
        <w:rPr>
          <w:rFonts w:ascii="Arial" w:hAnsi="Arial" w:cs="Arial"/>
        </w:rPr>
      </w:pPr>
      <w:r w:rsidRPr="001A5676">
        <w:rPr>
          <w:rFonts w:ascii="Arial" w:hAnsi="Arial" w:cs="Arial"/>
        </w:rPr>
        <w:t xml:space="preserve">The CMB/CMI ratio has been used to define the bacteriostatic or bactericidal properties of a substance. A ratio greater than or equal to 4 indicates that the substance is bacteriostatic; if this ratio is less than 4, the substance is said to be bactericidal. If it is equal to 1, then it is said to be "absolutely bactericidal" </w:t>
      </w:r>
      <w:r w:rsidRPr="001A5676">
        <w:rPr>
          <w:rFonts w:ascii="Arial" w:hAnsi="Arial" w:cs="Arial"/>
        </w:rPr>
        <w:fldChar w:fldCharType="begin"/>
      </w:r>
      <w:r w:rsidR="00CA16D7">
        <w:rPr>
          <w:rFonts w:ascii="Arial" w:hAnsi="Arial" w:cs="Arial"/>
        </w:rPr>
        <w:instrText xml:space="preserve"> ADDIN EN.CITE &lt;EndNote&gt;&lt;Cite&gt;&lt;Author&gt;Djeussi&lt;/Author&gt;&lt;Year&gt;2013&lt;/Year&gt;&lt;RecNum&gt;78&lt;/RecNum&gt;&lt;DisplayText&gt;(Djeussi et al., 2013)&lt;/DisplayText&gt;&lt;record&gt;&lt;rec-number&gt;78&lt;/rec-number&gt;&lt;foreign-keys&gt;&lt;key app="EN" db-id="xd20ava0ss0z06e9fzmxda9qwp2twsza5092" timestamp="1774872772"&gt;78&lt;/key&gt;&lt;/foreign-keys&gt;&lt;ref-type name="Journal Article"&gt;17&lt;/ref-type&gt;&lt;contributors&gt;&lt;authors&gt;&lt;author&gt;Djeussi, D. E.&lt;/author&gt;&lt;author&gt;Noumedem, J. A.&lt;/author&gt;&lt;author&gt;Seukep, J. A.&lt;/author&gt;&lt;author&gt;Fankam, A. G.&lt;/author&gt;&lt;author&gt;Voukeng, I. K.&lt;/author&gt;&lt;author&gt;Tankeo, S. B.&lt;/author&gt;&lt;author&gt;Nkuete, A. H. L.&lt;/author&gt;&lt;author&gt;Kuete, V.&lt;/author&gt;&lt;/authors&gt;&lt;/contributors&gt;&lt;titles&gt;&lt;title&gt;Antibacterial activities of selected edible plants extracts against multi-drug resistant Gram-negative bacteria&lt;/title&gt;&lt;secondary-title&gt;BMC Complementary and Alternative Medicine&lt;/secondary-title&gt;&lt;/titles&gt;&lt;periodical&gt;&lt;full-title&gt;BMC Complementary and Alternative Medicine&lt;/full-title&gt;&lt;/periodical&gt;&lt;pages&gt;164&lt;/pages&gt;&lt;volume&gt;13&lt;/volume&gt;&lt;number&gt;1&lt;/number&gt;&lt;dates&gt;&lt;year&gt;2013&lt;/year&gt;&lt;/dates&gt;&lt;isbn&gt;1472-6882&lt;/isbn&gt;&lt;urls&gt;&lt;related-urls&gt;&lt;url&gt;https://doi.org/10.1186/1472-6882-13-164&lt;/url&gt;&lt;/related-urls&gt;&lt;/urls&gt;&lt;/record&gt;&lt;/Cite&gt;&lt;/EndNote&gt;</w:instrText>
      </w:r>
      <w:r w:rsidRPr="001A5676">
        <w:rPr>
          <w:rFonts w:ascii="Arial" w:hAnsi="Arial" w:cs="Arial"/>
        </w:rPr>
        <w:fldChar w:fldCharType="separate"/>
      </w:r>
      <w:r w:rsidR="00CA16D7">
        <w:rPr>
          <w:rFonts w:ascii="Arial" w:hAnsi="Arial" w:cs="Arial"/>
          <w:noProof/>
        </w:rPr>
        <w:t>(Djeussi et al., 2013)</w:t>
      </w:r>
      <w:r w:rsidRPr="001A5676">
        <w:rPr>
          <w:rFonts w:ascii="Arial" w:hAnsi="Arial" w:cs="Arial"/>
        </w:rPr>
        <w:fldChar w:fldCharType="end"/>
      </w:r>
      <w:r w:rsidRPr="001A5676">
        <w:rPr>
          <w:rFonts w:ascii="Arial" w:hAnsi="Arial" w:cs="Arial"/>
        </w:rPr>
        <w:t>.</w:t>
      </w:r>
    </w:p>
    <w:p w14:paraId="30A3E09B" w14:textId="77777777" w:rsidR="001A5676" w:rsidRPr="001A5676" w:rsidRDefault="001A5676" w:rsidP="001A5676">
      <w:pPr>
        <w:pStyle w:val="Body"/>
        <w:spacing w:after="0"/>
        <w:rPr>
          <w:rFonts w:ascii="Arial" w:hAnsi="Arial" w:cs="Arial"/>
        </w:rPr>
      </w:pPr>
    </w:p>
    <w:p w14:paraId="1D3AD98B" w14:textId="61C39E56" w:rsidR="001A5676" w:rsidRDefault="001A5676" w:rsidP="001A5676">
      <w:pPr>
        <w:pStyle w:val="Body"/>
        <w:spacing w:after="0"/>
        <w:rPr>
          <w:rFonts w:ascii="Arial" w:hAnsi="Arial" w:cs="Arial"/>
          <w:b/>
          <w:bCs/>
        </w:rPr>
      </w:pPr>
      <w:bookmarkStart w:id="29" w:name="_Toc137924738"/>
      <w:r w:rsidRPr="001A5676">
        <w:rPr>
          <w:rFonts w:ascii="Arial" w:hAnsi="Arial" w:cs="Arial"/>
          <w:b/>
          <w:bCs/>
        </w:rPr>
        <w:t>2.5.4 Statistical Analysis of Data</w:t>
      </w:r>
      <w:bookmarkEnd w:id="29"/>
      <w:r w:rsidRPr="001A5676">
        <w:rPr>
          <w:rFonts w:ascii="Arial" w:hAnsi="Arial" w:cs="Arial"/>
          <w:b/>
          <w:bCs/>
        </w:rPr>
        <w:t xml:space="preserve"> </w:t>
      </w:r>
    </w:p>
    <w:p w14:paraId="6BCE5699" w14:textId="77777777" w:rsidR="001A5676" w:rsidRPr="001A5676" w:rsidRDefault="001A5676" w:rsidP="001A5676">
      <w:pPr>
        <w:pStyle w:val="Body"/>
        <w:spacing w:after="0"/>
        <w:rPr>
          <w:rFonts w:ascii="Arial" w:hAnsi="Arial" w:cs="Arial"/>
          <w:b/>
          <w:bCs/>
        </w:rPr>
      </w:pPr>
    </w:p>
    <w:p w14:paraId="75B86210" w14:textId="77777777" w:rsidR="001A5676" w:rsidRPr="001A5676" w:rsidRDefault="001A5676" w:rsidP="001A5676">
      <w:pPr>
        <w:pStyle w:val="Body"/>
        <w:spacing w:after="0"/>
        <w:rPr>
          <w:rFonts w:ascii="Arial" w:hAnsi="Arial" w:cs="Arial"/>
        </w:rPr>
      </w:pPr>
      <w:r w:rsidRPr="001A5676">
        <w:rPr>
          <w:rFonts w:ascii="Arial" w:hAnsi="Arial" w:cs="Arial"/>
        </w:rPr>
        <w:t xml:space="preserve">Data were analyzed using SPSS 22 for Windows (SPSS, Inc., Chicago, IL, USA). One-way ANOVA was used to compare the means of more than two groups. Subsequently, Duncan's post-hoc test was used for pairwise comparisons. Analysis of the experimental design data was performed using </w:t>
      </w:r>
      <w:proofErr w:type="spellStart"/>
      <w:r w:rsidRPr="001A5676">
        <w:rPr>
          <w:rFonts w:ascii="Arial" w:hAnsi="Arial" w:cs="Arial"/>
        </w:rPr>
        <w:t>Mintab</w:t>
      </w:r>
      <w:proofErr w:type="spellEnd"/>
      <w:r w:rsidRPr="001A5676">
        <w:rPr>
          <w:rFonts w:ascii="Arial" w:hAnsi="Arial" w:cs="Arial"/>
        </w:rPr>
        <w:t xml:space="preserve"> 19 Centurion software, version 17.1.8. The significance level was set at p &lt; 0.05.</w:t>
      </w:r>
    </w:p>
    <w:p w14:paraId="1AF48907" w14:textId="77777777" w:rsidR="00790ADA" w:rsidRPr="00502516" w:rsidRDefault="00790ADA" w:rsidP="00441B6F">
      <w:pPr>
        <w:pStyle w:val="Body"/>
        <w:spacing w:after="0"/>
        <w:rPr>
          <w:rFonts w:ascii="Arial" w:hAnsi="Arial" w:cs="Arial"/>
        </w:rPr>
      </w:pPr>
    </w:p>
    <w:p w14:paraId="0DD1911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3BB7D7DA" w14:textId="77777777" w:rsidR="00790ADA" w:rsidRPr="00FB3A86" w:rsidRDefault="00790ADA" w:rsidP="00441B6F">
      <w:pPr>
        <w:pStyle w:val="Head1"/>
        <w:spacing w:after="0"/>
        <w:jc w:val="both"/>
        <w:rPr>
          <w:rFonts w:ascii="Arial" w:hAnsi="Arial" w:cs="Arial"/>
        </w:rPr>
      </w:pPr>
    </w:p>
    <w:p w14:paraId="427C8B2B" w14:textId="72A971CE" w:rsidR="001A5676" w:rsidRPr="001A5676" w:rsidRDefault="001A5676" w:rsidP="001A5676">
      <w:pPr>
        <w:pStyle w:val="Body"/>
        <w:spacing w:after="0"/>
        <w:rPr>
          <w:rFonts w:ascii="Arial" w:hAnsi="Arial" w:cs="Arial"/>
          <w:b/>
          <w:bCs/>
        </w:rPr>
      </w:pPr>
      <w:bookmarkStart w:id="30" w:name="_Toc136377198"/>
      <w:bookmarkStart w:id="31" w:name="_Toc137924740"/>
      <w:r w:rsidRPr="001A5676">
        <w:rPr>
          <w:rFonts w:ascii="Arial" w:hAnsi="Arial" w:cs="Arial"/>
          <w:b/>
          <w:bCs/>
        </w:rPr>
        <w:t>3.1 Extraction Yield</w:t>
      </w:r>
      <w:bookmarkEnd w:id="30"/>
      <w:bookmarkEnd w:id="31"/>
    </w:p>
    <w:p w14:paraId="3EF3D9E5" w14:textId="77777777" w:rsidR="001A5676" w:rsidRPr="001A5676" w:rsidRDefault="001A5676" w:rsidP="001A5676">
      <w:pPr>
        <w:pStyle w:val="Body"/>
        <w:spacing w:after="0"/>
        <w:rPr>
          <w:rFonts w:ascii="Arial" w:hAnsi="Arial" w:cs="Arial"/>
        </w:rPr>
      </w:pPr>
      <w:r w:rsidRPr="001A5676">
        <w:rPr>
          <w:rFonts w:ascii="Arial" w:hAnsi="Arial" w:cs="Arial"/>
        </w:rPr>
        <w:t>The yields and characteristics of the different extracts obtained are recorded in Table 2.</w:t>
      </w:r>
    </w:p>
    <w:p w14:paraId="2BFB07E6" w14:textId="780DC1BC" w:rsidR="001A5676" w:rsidRPr="001A5676" w:rsidRDefault="001A5676" w:rsidP="001A5676">
      <w:pPr>
        <w:pStyle w:val="Body"/>
        <w:spacing w:after="0"/>
        <w:rPr>
          <w:rFonts w:ascii="Arial" w:hAnsi="Arial" w:cs="Arial"/>
        </w:rPr>
      </w:pPr>
      <w:bookmarkStart w:id="32" w:name="_Toc137921294"/>
      <w:bookmarkStart w:id="33" w:name="_Toc137923797"/>
      <w:r w:rsidRPr="001A5676">
        <w:rPr>
          <w:rFonts w:ascii="Arial" w:hAnsi="Arial" w:cs="Arial"/>
        </w:rPr>
        <w:t xml:space="preserve">Table 2: Extraction yields </w:t>
      </w:r>
      <w:bookmarkEnd w:id="32"/>
      <w:bookmarkEnd w:id="33"/>
      <w:r w:rsidRPr="001A5676">
        <w:rPr>
          <w:rFonts w:ascii="Arial" w:hAnsi="Arial" w:cs="Arial"/>
        </w:rPr>
        <w:t xml:space="preserve">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L.</w:t>
      </w:r>
      <w:proofErr w:type="gramEnd"/>
    </w:p>
    <w:tbl>
      <w:tblPr>
        <w:tblW w:w="9198" w:type="dxa"/>
        <w:tblBorders>
          <w:top w:val="single" w:sz="4" w:space="0" w:color="auto"/>
          <w:bottom w:val="single" w:sz="4" w:space="0" w:color="auto"/>
        </w:tblBorders>
        <w:tblLook w:val="04A0" w:firstRow="1" w:lastRow="0" w:firstColumn="1" w:lastColumn="0" w:noHBand="0" w:noVBand="1"/>
      </w:tblPr>
      <w:tblGrid>
        <w:gridCol w:w="1098"/>
        <w:gridCol w:w="1890"/>
        <w:gridCol w:w="1515"/>
        <w:gridCol w:w="1455"/>
        <w:gridCol w:w="3240"/>
      </w:tblGrid>
      <w:tr w:rsidR="001A5676" w:rsidRPr="001A5676" w14:paraId="5B414286" w14:textId="77777777" w:rsidTr="00AD6FDB">
        <w:tc>
          <w:tcPr>
            <w:tcW w:w="1098" w:type="dxa"/>
            <w:tcBorders>
              <w:top w:val="single" w:sz="4" w:space="0" w:color="auto"/>
              <w:bottom w:val="single" w:sz="4" w:space="0" w:color="auto"/>
            </w:tcBorders>
          </w:tcPr>
          <w:p w14:paraId="586AD6FF" w14:textId="77777777" w:rsidR="001A5676" w:rsidRPr="001A5676" w:rsidRDefault="001A5676" w:rsidP="001A5676">
            <w:pPr>
              <w:pStyle w:val="Body"/>
              <w:spacing w:after="0"/>
              <w:rPr>
                <w:rFonts w:ascii="Arial" w:hAnsi="Arial" w:cs="Arial"/>
              </w:rPr>
            </w:pPr>
            <w:r w:rsidRPr="001A5676">
              <w:rPr>
                <w:rFonts w:ascii="Arial" w:hAnsi="Arial" w:cs="Arial"/>
              </w:rPr>
              <w:t>Extracts</w:t>
            </w:r>
          </w:p>
        </w:tc>
        <w:tc>
          <w:tcPr>
            <w:tcW w:w="1890" w:type="dxa"/>
            <w:tcBorders>
              <w:top w:val="single" w:sz="4" w:space="0" w:color="auto"/>
              <w:bottom w:val="single" w:sz="4" w:space="0" w:color="auto"/>
            </w:tcBorders>
          </w:tcPr>
          <w:p w14:paraId="15C6E9AD" w14:textId="77777777" w:rsidR="001A5676" w:rsidRPr="001A5676" w:rsidRDefault="001A5676" w:rsidP="001A5676">
            <w:pPr>
              <w:pStyle w:val="Body"/>
              <w:spacing w:after="0"/>
              <w:rPr>
                <w:rFonts w:ascii="Arial" w:hAnsi="Arial" w:cs="Arial"/>
              </w:rPr>
            </w:pPr>
            <w:r w:rsidRPr="001A5676">
              <w:rPr>
                <w:rFonts w:ascii="Arial" w:hAnsi="Arial" w:cs="Arial"/>
              </w:rPr>
              <w:t>Initial masses</w:t>
            </w:r>
          </w:p>
          <w:p w14:paraId="0AFF610D" w14:textId="77777777" w:rsidR="001A5676" w:rsidRPr="001A5676" w:rsidRDefault="001A5676" w:rsidP="001A5676">
            <w:pPr>
              <w:pStyle w:val="Body"/>
              <w:spacing w:after="0"/>
              <w:rPr>
                <w:rFonts w:ascii="Arial" w:hAnsi="Arial" w:cs="Arial"/>
              </w:rPr>
            </w:pPr>
            <w:r w:rsidRPr="001A5676">
              <w:rPr>
                <w:rFonts w:ascii="Arial" w:hAnsi="Arial" w:cs="Arial"/>
              </w:rPr>
              <w:t>Powders (g)</w:t>
            </w:r>
          </w:p>
        </w:tc>
        <w:tc>
          <w:tcPr>
            <w:tcW w:w="1515" w:type="dxa"/>
            <w:tcBorders>
              <w:top w:val="single" w:sz="4" w:space="0" w:color="auto"/>
              <w:bottom w:val="single" w:sz="4" w:space="0" w:color="auto"/>
            </w:tcBorders>
          </w:tcPr>
          <w:p w14:paraId="023AE2FA" w14:textId="77777777" w:rsidR="001A5676" w:rsidRPr="001A5676" w:rsidRDefault="001A5676" w:rsidP="001A5676">
            <w:pPr>
              <w:pStyle w:val="Body"/>
              <w:spacing w:after="0"/>
              <w:rPr>
                <w:rFonts w:ascii="Arial" w:hAnsi="Arial" w:cs="Arial"/>
              </w:rPr>
            </w:pPr>
            <w:r w:rsidRPr="001A5676">
              <w:rPr>
                <w:rFonts w:ascii="Arial" w:hAnsi="Arial" w:cs="Arial"/>
              </w:rPr>
              <w:t>Mass of extracts (g)</w:t>
            </w:r>
          </w:p>
        </w:tc>
        <w:tc>
          <w:tcPr>
            <w:tcW w:w="1455" w:type="dxa"/>
            <w:tcBorders>
              <w:top w:val="single" w:sz="4" w:space="0" w:color="auto"/>
              <w:bottom w:val="single" w:sz="4" w:space="0" w:color="auto"/>
            </w:tcBorders>
          </w:tcPr>
          <w:p w14:paraId="28224D97" w14:textId="77777777" w:rsidR="001A5676" w:rsidRPr="001A5676" w:rsidRDefault="001A5676" w:rsidP="001A5676">
            <w:pPr>
              <w:pStyle w:val="Body"/>
              <w:spacing w:after="0"/>
              <w:rPr>
                <w:rFonts w:ascii="Arial" w:hAnsi="Arial" w:cs="Arial"/>
              </w:rPr>
            </w:pPr>
            <w:r w:rsidRPr="001A5676">
              <w:rPr>
                <w:rFonts w:ascii="Arial" w:hAnsi="Arial" w:cs="Arial"/>
              </w:rPr>
              <w:t>Yields (%)</w:t>
            </w:r>
          </w:p>
        </w:tc>
        <w:tc>
          <w:tcPr>
            <w:tcW w:w="3240" w:type="dxa"/>
            <w:tcBorders>
              <w:top w:val="single" w:sz="4" w:space="0" w:color="auto"/>
              <w:bottom w:val="single" w:sz="4" w:space="0" w:color="auto"/>
            </w:tcBorders>
          </w:tcPr>
          <w:p w14:paraId="4707593F" w14:textId="77777777" w:rsidR="001A5676" w:rsidRPr="001A5676" w:rsidRDefault="001A5676" w:rsidP="001A5676">
            <w:pPr>
              <w:pStyle w:val="Body"/>
              <w:spacing w:after="0"/>
              <w:rPr>
                <w:rFonts w:ascii="Arial" w:hAnsi="Arial" w:cs="Arial"/>
              </w:rPr>
            </w:pPr>
            <w:r w:rsidRPr="001A5676">
              <w:rPr>
                <w:rFonts w:ascii="Arial" w:hAnsi="Arial" w:cs="Arial"/>
              </w:rPr>
              <w:t>Features</w:t>
            </w:r>
          </w:p>
          <w:p w14:paraId="7FF7A9FD" w14:textId="77777777" w:rsidR="001A5676" w:rsidRPr="001A5676" w:rsidRDefault="001A5676" w:rsidP="001A5676">
            <w:pPr>
              <w:pStyle w:val="Body"/>
              <w:spacing w:after="0"/>
              <w:rPr>
                <w:rFonts w:ascii="Arial" w:hAnsi="Arial" w:cs="Arial"/>
              </w:rPr>
            </w:pPr>
            <w:r w:rsidRPr="001A5676">
              <w:rPr>
                <w:rFonts w:ascii="Arial" w:hAnsi="Arial" w:cs="Arial"/>
              </w:rPr>
              <w:t>Organoleptic characteristics</w:t>
            </w:r>
          </w:p>
        </w:tc>
      </w:tr>
      <w:tr w:rsidR="001A5676" w:rsidRPr="001A5676" w14:paraId="53366534" w14:textId="77777777" w:rsidTr="00AD6FDB">
        <w:tc>
          <w:tcPr>
            <w:tcW w:w="1098" w:type="dxa"/>
            <w:tcBorders>
              <w:top w:val="single" w:sz="4" w:space="0" w:color="auto"/>
            </w:tcBorders>
          </w:tcPr>
          <w:p w14:paraId="71A1F302"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DAq</w:t>
            </w:r>
            <w:proofErr w:type="spellEnd"/>
          </w:p>
        </w:tc>
        <w:tc>
          <w:tcPr>
            <w:tcW w:w="1890" w:type="dxa"/>
            <w:tcBorders>
              <w:top w:val="single" w:sz="4" w:space="0" w:color="auto"/>
            </w:tcBorders>
          </w:tcPr>
          <w:p w14:paraId="6CF475E1"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Borders>
              <w:top w:val="single" w:sz="4" w:space="0" w:color="auto"/>
            </w:tcBorders>
          </w:tcPr>
          <w:p w14:paraId="795B3724"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1455" w:type="dxa"/>
            <w:tcBorders>
              <w:top w:val="single" w:sz="4" w:space="0" w:color="auto"/>
            </w:tcBorders>
          </w:tcPr>
          <w:p w14:paraId="3B5F4A67" w14:textId="77777777" w:rsidR="001A5676" w:rsidRPr="001A5676" w:rsidRDefault="001A5676" w:rsidP="001A5676">
            <w:pPr>
              <w:pStyle w:val="Body"/>
              <w:spacing w:after="0"/>
              <w:rPr>
                <w:rFonts w:ascii="Arial" w:hAnsi="Arial" w:cs="Arial"/>
              </w:rPr>
            </w:pPr>
            <w:r w:rsidRPr="001A5676">
              <w:rPr>
                <w:rFonts w:ascii="Arial" w:hAnsi="Arial" w:cs="Arial"/>
              </w:rPr>
              <w:t>1.40</w:t>
            </w:r>
          </w:p>
        </w:tc>
        <w:tc>
          <w:tcPr>
            <w:tcW w:w="3240" w:type="dxa"/>
            <w:tcBorders>
              <w:top w:val="single" w:sz="4" w:space="0" w:color="auto"/>
            </w:tcBorders>
          </w:tcPr>
          <w:p w14:paraId="51B621AA" w14:textId="77777777" w:rsidR="001A5676" w:rsidRPr="001A5676" w:rsidRDefault="001A5676" w:rsidP="001A5676">
            <w:pPr>
              <w:pStyle w:val="Body"/>
              <w:spacing w:after="0"/>
              <w:rPr>
                <w:rFonts w:ascii="Arial" w:hAnsi="Arial" w:cs="Arial"/>
              </w:rPr>
            </w:pPr>
            <w:r w:rsidRPr="001A5676">
              <w:rPr>
                <w:rFonts w:ascii="Arial" w:hAnsi="Arial" w:cs="Arial"/>
              </w:rPr>
              <w:t>Chestnut in the form of chips</w:t>
            </w:r>
          </w:p>
        </w:tc>
      </w:tr>
      <w:tr w:rsidR="001A5676" w:rsidRPr="001A5676" w14:paraId="7064A1A9" w14:textId="77777777" w:rsidTr="00AD6FDB">
        <w:tc>
          <w:tcPr>
            <w:tcW w:w="1098" w:type="dxa"/>
          </w:tcPr>
          <w:p w14:paraId="68D54BB0"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1890" w:type="dxa"/>
          </w:tcPr>
          <w:p w14:paraId="59C589EF"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A497E5A"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1455" w:type="dxa"/>
          </w:tcPr>
          <w:p w14:paraId="40810515" w14:textId="77777777" w:rsidR="001A5676" w:rsidRPr="001A5676" w:rsidRDefault="001A5676" w:rsidP="001A5676">
            <w:pPr>
              <w:pStyle w:val="Body"/>
              <w:spacing w:after="0"/>
              <w:rPr>
                <w:rFonts w:ascii="Arial" w:hAnsi="Arial" w:cs="Arial"/>
              </w:rPr>
            </w:pPr>
            <w:r w:rsidRPr="001A5676">
              <w:rPr>
                <w:rFonts w:ascii="Arial" w:hAnsi="Arial" w:cs="Arial"/>
              </w:rPr>
              <w:t>2.76</w:t>
            </w:r>
          </w:p>
        </w:tc>
        <w:tc>
          <w:tcPr>
            <w:tcW w:w="3240" w:type="dxa"/>
          </w:tcPr>
          <w:p w14:paraId="30ACCDEC" w14:textId="77777777" w:rsidR="001A5676" w:rsidRPr="001A5676" w:rsidRDefault="001A5676" w:rsidP="001A5676">
            <w:pPr>
              <w:pStyle w:val="Body"/>
              <w:spacing w:after="0"/>
              <w:rPr>
                <w:rFonts w:ascii="Arial" w:hAnsi="Arial" w:cs="Arial"/>
              </w:rPr>
            </w:pPr>
            <w:r w:rsidRPr="001A5676">
              <w:rPr>
                <w:rFonts w:ascii="Arial" w:hAnsi="Arial" w:cs="Arial"/>
              </w:rPr>
              <w:t>Chestnut in chip form</w:t>
            </w:r>
          </w:p>
        </w:tc>
      </w:tr>
      <w:tr w:rsidR="001A5676" w:rsidRPr="001A5676" w14:paraId="2EFE2F3C" w14:textId="77777777" w:rsidTr="00AD6FDB">
        <w:tc>
          <w:tcPr>
            <w:tcW w:w="1098" w:type="dxa"/>
          </w:tcPr>
          <w:p w14:paraId="5F9AC2CF"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1890" w:type="dxa"/>
          </w:tcPr>
          <w:p w14:paraId="4F306720" w14:textId="77777777" w:rsidR="001A5676" w:rsidRPr="001A5676" w:rsidRDefault="001A5676" w:rsidP="001A5676">
            <w:pPr>
              <w:pStyle w:val="Body"/>
              <w:spacing w:after="0"/>
              <w:rPr>
                <w:rFonts w:ascii="Arial" w:hAnsi="Arial" w:cs="Arial"/>
              </w:rPr>
            </w:pPr>
            <w:r w:rsidRPr="001A5676">
              <w:rPr>
                <w:rFonts w:ascii="Arial" w:hAnsi="Arial" w:cs="Arial"/>
              </w:rPr>
              <w:t>100</w:t>
            </w:r>
          </w:p>
        </w:tc>
        <w:tc>
          <w:tcPr>
            <w:tcW w:w="1515" w:type="dxa"/>
          </w:tcPr>
          <w:p w14:paraId="0EF10DFF"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1455" w:type="dxa"/>
          </w:tcPr>
          <w:p w14:paraId="50B29B2B" w14:textId="77777777" w:rsidR="001A5676" w:rsidRPr="001A5676" w:rsidRDefault="001A5676" w:rsidP="001A5676">
            <w:pPr>
              <w:pStyle w:val="Body"/>
              <w:spacing w:after="0"/>
              <w:rPr>
                <w:rFonts w:ascii="Arial" w:hAnsi="Arial" w:cs="Arial"/>
              </w:rPr>
            </w:pPr>
            <w:r w:rsidRPr="001A5676">
              <w:rPr>
                <w:rFonts w:ascii="Arial" w:hAnsi="Arial" w:cs="Arial"/>
              </w:rPr>
              <w:t>1</w:t>
            </w:r>
          </w:p>
        </w:tc>
        <w:tc>
          <w:tcPr>
            <w:tcW w:w="3240" w:type="dxa"/>
          </w:tcPr>
          <w:p w14:paraId="6EF7AEEA" w14:textId="77777777" w:rsidR="001A5676" w:rsidRPr="001A5676" w:rsidRDefault="001A5676" w:rsidP="001A5676">
            <w:pPr>
              <w:pStyle w:val="Body"/>
              <w:spacing w:after="0"/>
              <w:rPr>
                <w:rFonts w:ascii="Arial" w:hAnsi="Arial" w:cs="Arial"/>
              </w:rPr>
            </w:pPr>
            <w:r w:rsidRPr="001A5676">
              <w:rPr>
                <w:rFonts w:ascii="Arial" w:hAnsi="Arial" w:cs="Arial"/>
              </w:rPr>
              <w:t>Brown, sticky, pasty</w:t>
            </w:r>
          </w:p>
        </w:tc>
      </w:tr>
    </w:tbl>
    <w:p w14:paraId="6866DDBF" w14:textId="77777777" w:rsidR="001A5676" w:rsidRPr="001A5676" w:rsidRDefault="001A5676" w:rsidP="001A5676">
      <w:pPr>
        <w:pStyle w:val="Body"/>
        <w:spacing w:after="0"/>
        <w:rPr>
          <w:rFonts w:ascii="Arial" w:hAnsi="Arial" w:cs="Arial"/>
        </w:rPr>
      </w:pPr>
      <w:proofErr w:type="spellStart"/>
      <w:proofErr w:type="gramStart"/>
      <w:r w:rsidRPr="001A5676">
        <w:rPr>
          <w:rFonts w:ascii="Arial" w:hAnsi="Arial" w:cs="Arial"/>
        </w:rPr>
        <w:t>DAq</w:t>
      </w:r>
      <w:proofErr w:type="spellEnd"/>
      <w:r w:rsidRPr="001A5676">
        <w:rPr>
          <w:rFonts w:ascii="Arial" w:hAnsi="Arial" w:cs="Arial"/>
        </w:rPr>
        <w:t xml:space="preserve"> :</w:t>
      </w:r>
      <w:proofErr w:type="gramEnd"/>
      <w:r w:rsidRPr="001A5676">
        <w:rPr>
          <w:rFonts w:ascii="Arial" w:hAnsi="Arial" w:cs="Arial"/>
        </w:rPr>
        <w:t xml:space="preserve"> Aqueous Decoction; </w:t>
      </w:r>
      <w:proofErr w:type="spellStart"/>
      <w:r w:rsidRPr="001A5676">
        <w:rPr>
          <w:rFonts w:ascii="Arial" w:hAnsi="Arial" w:cs="Arial"/>
        </w:rPr>
        <w:t>MHe</w:t>
      </w:r>
      <w:proofErr w:type="spellEnd"/>
      <w:r w:rsidRPr="001A5676">
        <w:rPr>
          <w:rFonts w:ascii="Arial" w:hAnsi="Arial" w:cs="Arial"/>
        </w:rPr>
        <w:t xml:space="preserve"> : Hydro-ethanolic Maceration; </w:t>
      </w:r>
      <w:proofErr w:type="spellStart"/>
      <w:r w:rsidRPr="001A5676">
        <w:rPr>
          <w:rFonts w:ascii="Arial" w:hAnsi="Arial" w:cs="Arial"/>
        </w:rPr>
        <w:t>MAq</w:t>
      </w:r>
      <w:proofErr w:type="spellEnd"/>
      <w:r w:rsidRPr="001A5676">
        <w:rPr>
          <w:rFonts w:ascii="Arial" w:hAnsi="Arial" w:cs="Arial"/>
        </w:rPr>
        <w:t xml:space="preserve"> : Aqueous Maceration.</w:t>
      </w:r>
    </w:p>
    <w:p w14:paraId="4D55D721" w14:textId="77777777" w:rsidR="001A5676" w:rsidRPr="001A5676" w:rsidRDefault="001A5676" w:rsidP="001A5676">
      <w:pPr>
        <w:pStyle w:val="Body"/>
        <w:spacing w:after="0"/>
        <w:rPr>
          <w:rFonts w:ascii="Arial" w:hAnsi="Arial" w:cs="Arial"/>
        </w:rPr>
      </w:pPr>
      <w:r w:rsidRPr="001A5676">
        <w:rPr>
          <w:rFonts w:ascii="Arial" w:hAnsi="Arial" w:cs="Arial"/>
        </w:rPr>
        <w:t>Table 2 shows that the highest yield was obtained by hydroethanolic maceration of the fruits with a value of 2.76% and the lowest was obtained by aqueous maceration with a value of 1%.</w:t>
      </w:r>
    </w:p>
    <w:p w14:paraId="712AF8A8" w14:textId="7FB225AC" w:rsidR="001A5676" w:rsidRPr="001A5676" w:rsidRDefault="001A5676" w:rsidP="001A5676">
      <w:pPr>
        <w:pStyle w:val="Body"/>
        <w:spacing w:after="0"/>
        <w:rPr>
          <w:rFonts w:ascii="Arial" w:hAnsi="Arial" w:cs="Arial"/>
          <w:b/>
          <w:bCs/>
        </w:rPr>
      </w:pPr>
      <w:bookmarkStart w:id="34" w:name="_Toc136377199"/>
      <w:bookmarkStart w:id="35" w:name="_Toc137924741"/>
      <w:r>
        <w:rPr>
          <w:rFonts w:ascii="Arial" w:hAnsi="Arial" w:cs="Arial"/>
          <w:b/>
          <w:bCs/>
        </w:rPr>
        <w:t>3</w:t>
      </w:r>
      <w:r w:rsidRPr="001A5676">
        <w:rPr>
          <w:rFonts w:ascii="Arial" w:hAnsi="Arial" w:cs="Arial"/>
          <w:b/>
          <w:bCs/>
        </w:rPr>
        <w:t>.2 Phytochemical composition</w:t>
      </w:r>
      <w:bookmarkEnd w:id="34"/>
      <w:bookmarkEnd w:id="35"/>
    </w:p>
    <w:p w14:paraId="189245E9" w14:textId="77777777" w:rsidR="001A5676" w:rsidRPr="001A5676" w:rsidRDefault="001A5676" w:rsidP="001A5676">
      <w:pPr>
        <w:pStyle w:val="Body"/>
        <w:spacing w:after="0"/>
        <w:rPr>
          <w:rFonts w:ascii="Arial" w:hAnsi="Arial" w:cs="Arial"/>
        </w:rPr>
      </w:pPr>
      <w:r w:rsidRPr="001A5676">
        <w:rPr>
          <w:rFonts w:ascii="Arial" w:hAnsi="Arial" w:cs="Arial"/>
        </w:rPr>
        <w:t>The results of the search for the different groups of secondary metabolites and their content in the different extracts are recorded in Tables 3 and 4.</w:t>
      </w:r>
    </w:p>
    <w:p w14:paraId="3E90BF4E" w14:textId="6C9DFD6F" w:rsidR="001A5676" w:rsidRPr="001A5676" w:rsidRDefault="001A5676" w:rsidP="001A5676">
      <w:pPr>
        <w:pStyle w:val="Body"/>
        <w:spacing w:after="0"/>
        <w:rPr>
          <w:rFonts w:ascii="Arial" w:hAnsi="Arial" w:cs="Arial"/>
        </w:rPr>
      </w:pPr>
      <w:bookmarkStart w:id="36" w:name="_Toc130190622"/>
      <w:bookmarkStart w:id="37" w:name="_Toc137921295"/>
      <w:bookmarkStart w:id="38" w:name="_Toc137923798"/>
      <w:r w:rsidRPr="001A5676">
        <w:rPr>
          <w:rFonts w:ascii="Arial" w:hAnsi="Arial" w:cs="Arial"/>
        </w:rPr>
        <w:t xml:space="preserve">Table </w:t>
      </w:r>
      <w:r w:rsidR="00606948">
        <w:rPr>
          <w:rFonts w:ascii="Arial" w:hAnsi="Arial" w:cs="Arial"/>
        </w:rPr>
        <w:t>3</w:t>
      </w:r>
      <w:r w:rsidRPr="001A5676">
        <w:rPr>
          <w:rFonts w:ascii="Arial" w:hAnsi="Arial" w:cs="Arial"/>
        </w:rPr>
        <w:t xml:space="preserve">: </w:t>
      </w:r>
      <w:bookmarkEnd w:id="36"/>
      <w:bookmarkEnd w:id="37"/>
      <w:bookmarkEnd w:id="38"/>
      <w:r w:rsidRPr="001A5676">
        <w:rPr>
          <w:rFonts w:ascii="Arial" w:hAnsi="Arial" w:cs="Arial"/>
        </w:rPr>
        <w:t xml:space="preserve">Composition phytochemicals 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L.</w:t>
      </w:r>
      <w:proofErr w:type="gramEnd"/>
      <w:r w:rsidRPr="001A5676">
        <w:rPr>
          <w:rFonts w:ascii="Arial" w:hAnsi="Arial" w:cs="Arial"/>
        </w:rPr>
        <w:t xml:space="preserve"> extracts.</w:t>
      </w:r>
    </w:p>
    <w:tbl>
      <w:tblPr>
        <w:tblW w:w="0" w:type="auto"/>
        <w:tblBorders>
          <w:top w:val="single" w:sz="4" w:space="0" w:color="auto"/>
          <w:bottom w:val="single" w:sz="4" w:space="0" w:color="auto"/>
        </w:tblBorders>
        <w:tblLook w:val="06A0" w:firstRow="1" w:lastRow="0" w:firstColumn="1" w:lastColumn="0" w:noHBand="1" w:noVBand="1"/>
      </w:tblPr>
      <w:tblGrid>
        <w:gridCol w:w="2196"/>
        <w:gridCol w:w="2004"/>
        <w:gridCol w:w="2004"/>
        <w:gridCol w:w="2004"/>
      </w:tblGrid>
      <w:tr w:rsidR="001A5676" w:rsidRPr="001A5676" w14:paraId="06434C80" w14:textId="77777777" w:rsidTr="00AD6FDB">
        <w:trPr>
          <w:trHeight w:hRule="exact" w:val="579"/>
        </w:trPr>
        <w:tc>
          <w:tcPr>
            <w:tcW w:w="2471" w:type="dxa"/>
            <w:tcBorders>
              <w:top w:val="single" w:sz="4" w:space="0" w:color="auto"/>
              <w:bottom w:val="single" w:sz="4" w:space="0" w:color="auto"/>
            </w:tcBorders>
          </w:tcPr>
          <w:p w14:paraId="5207EE00"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472" w:type="dxa"/>
            <w:tcBorders>
              <w:top w:val="single" w:sz="4" w:space="0" w:color="auto"/>
              <w:bottom w:val="single" w:sz="4" w:space="0" w:color="auto"/>
            </w:tcBorders>
          </w:tcPr>
          <w:p w14:paraId="1542479A"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DAq</w:t>
            </w:r>
            <w:proofErr w:type="spellEnd"/>
          </w:p>
        </w:tc>
        <w:tc>
          <w:tcPr>
            <w:tcW w:w="2472" w:type="dxa"/>
            <w:tcBorders>
              <w:top w:val="single" w:sz="4" w:space="0" w:color="auto"/>
              <w:bottom w:val="single" w:sz="4" w:space="0" w:color="auto"/>
            </w:tcBorders>
          </w:tcPr>
          <w:p w14:paraId="2AC18B01"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472" w:type="dxa"/>
            <w:tcBorders>
              <w:top w:val="single" w:sz="4" w:space="0" w:color="auto"/>
              <w:bottom w:val="single" w:sz="4" w:space="0" w:color="auto"/>
            </w:tcBorders>
          </w:tcPr>
          <w:p w14:paraId="5DFE77B5"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r>
      <w:tr w:rsidR="001A5676" w:rsidRPr="001A5676" w14:paraId="12F384C0" w14:textId="77777777" w:rsidTr="00AD6FDB">
        <w:trPr>
          <w:trHeight w:hRule="exact" w:val="340"/>
        </w:trPr>
        <w:tc>
          <w:tcPr>
            <w:tcW w:w="2471" w:type="dxa"/>
            <w:tcBorders>
              <w:top w:val="single" w:sz="4" w:space="0" w:color="auto"/>
            </w:tcBorders>
          </w:tcPr>
          <w:p w14:paraId="5EDA73A2" w14:textId="77777777" w:rsidR="001A5676" w:rsidRPr="001A5676" w:rsidRDefault="001A5676" w:rsidP="001A5676">
            <w:pPr>
              <w:pStyle w:val="Body"/>
              <w:spacing w:after="0"/>
              <w:rPr>
                <w:rFonts w:ascii="Arial" w:hAnsi="Arial" w:cs="Arial"/>
              </w:rPr>
            </w:pPr>
            <w:r w:rsidRPr="001A5676">
              <w:rPr>
                <w:rFonts w:ascii="Arial" w:hAnsi="Arial" w:cs="Arial"/>
              </w:rPr>
              <w:t>Alkaloids</w:t>
            </w:r>
          </w:p>
        </w:tc>
        <w:tc>
          <w:tcPr>
            <w:tcW w:w="2472" w:type="dxa"/>
            <w:tcBorders>
              <w:top w:val="single" w:sz="4" w:space="0" w:color="auto"/>
            </w:tcBorders>
          </w:tcPr>
          <w:p w14:paraId="7D930356"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0BF3F34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Borders>
              <w:top w:val="single" w:sz="4" w:space="0" w:color="auto"/>
            </w:tcBorders>
          </w:tcPr>
          <w:p w14:paraId="28C7C594"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F70CE4B" w14:textId="77777777" w:rsidTr="00AD6FDB">
        <w:trPr>
          <w:trHeight w:hRule="exact" w:val="340"/>
        </w:trPr>
        <w:tc>
          <w:tcPr>
            <w:tcW w:w="2471" w:type="dxa"/>
          </w:tcPr>
          <w:p w14:paraId="23388641" w14:textId="77777777" w:rsidR="001A5676" w:rsidRPr="001A5676" w:rsidRDefault="001A5676" w:rsidP="001A5676">
            <w:pPr>
              <w:pStyle w:val="Body"/>
              <w:spacing w:after="0"/>
              <w:rPr>
                <w:rFonts w:ascii="Arial" w:hAnsi="Arial" w:cs="Arial"/>
              </w:rPr>
            </w:pPr>
            <w:r w:rsidRPr="001A5676">
              <w:rPr>
                <w:rFonts w:ascii="Arial" w:hAnsi="Arial" w:cs="Arial"/>
              </w:rPr>
              <w:t>Tannins</w:t>
            </w:r>
          </w:p>
        </w:tc>
        <w:tc>
          <w:tcPr>
            <w:tcW w:w="2472" w:type="dxa"/>
          </w:tcPr>
          <w:p w14:paraId="4A83308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5EA48E5"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7FB5175"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3148EC66" w14:textId="77777777" w:rsidTr="00AD6FDB">
        <w:trPr>
          <w:trHeight w:hRule="exact" w:val="340"/>
        </w:trPr>
        <w:tc>
          <w:tcPr>
            <w:tcW w:w="2471" w:type="dxa"/>
          </w:tcPr>
          <w:p w14:paraId="55A6F673" w14:textId="77777777" w:rsidR="001A5676" w:rsidRPr="001A5676" w:rsidRDefault="001A5676" w:rsidP="001A5676">
            <w:pPr>
              <w:pStyle w:val="Body"/>
              <w:spacing w:after="0"/>
              <w:rPr>
                <w:rFonts w:ascii="Arial" w:hAnsi="Arial" w:cs="Arial"/>
              </w:rPr>
            </w:pPr>
            <w:r w:rsidRPr="001A5676">
              <w:rPr>
                <w:rFonts w:ascii="Arial" w:hAnsi="Arial" w:cs="Arial"/>
              </w:rPr>
              <w:t>Flavonoids</w:t>
            </w:r>
          </w:p>
        </w:tc>
        <w:tc>
          <w:tcPr>
            <w:tcW w:w="2472" w:type="dxa"/>
          </w:tcPr>
          <w:p w14:paraId="01498681"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CB9A57A"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790E3660"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62B559B6" w14:textId="77777777" w:rsidTr="00AD6FDB">
        <w:trPr>
          <w:trHeight w:hRule="exact" w:val="340"/>
        </w:trPr>
        <w:tc>
          <w:tcPr>
            <w:tcW w:w="2471" w:type="dxa"/>
          </w:tcPr>
          <w:p w14:paraId="55A1D1B5" w14:textId="77777777" w:rsidR="001A5676" w:rsidRPr="001A5676" w:rsidRDefault="001A5676" w:rsidP="001A5676">
            <w:pPr>
              <w:pStyle w:val="Body"/>
              <w:spacing w:after="0"/>
              <w:rPr>
                <w:rFonts w:ascii="Arial" w:hAnsi="Arial" w:cs="Arial"/>
              </w:rPr>
            </w:pPr>
            <w:r w:rsidRPr="001A5676">
              <w:rPr>
                <w:rFonts w:ascii="Arial" w:hAnsi="Arial" w:cs="Arial"/>
              </w:rPr>
              <w:t>Saponins</w:t>
            </w:r>
          </w:p>
        </w:tc>
        <w:tc>
          <w:tcPr>
            <w:tcW w:w="2472" w:type="dxa"/>
          </w:tcPr>
          <w:p w14:paraId="3BF6DFA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08EDD2E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26C15A63"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2FFA8ED2" w14:textId="77777777" w:rsidTr="00AD6FDB">
        <w:trPr>
          <w:trHeight w:hRule="exact" w:val="340"/>
        </w:trPr>
        <w:tc>
          <w:tcPr>
            <w:tcW w:w="2471" w:type="dxa"/>
          </w:tcPr>
          <w:p w14:paraId="623F7B79" w14:textId="77777777" w:rsidR="001A5676" w:rsidRPr="001A5676" w:rsidRDefault="001A5676" w:rsidP="001A5676">
            <w:pPr>
              <w:pStyle w:val="Body"/>
              <w:spacing w:after="0"/>
              <w:rPr>
                <w:rFonts w:ascii="Arial" w:hAnsi="Arial" w:cs="Arial"/>
              </w:rPr>
            </w:pPr>
            <w:r w:rsidRPr="001A5676">
              <w:rPr>
                <w:rFonts w:ascii="Arial" w:hAnsi="Arial" w:cs="Arial"/>
              </w:rPr>
              <w:t>Phenols</w:t>
            </w:r>
          </w:p>
        </w:tc>
        <w:tc>
          <w:tcPr>
            <w:tcW w:w="2472" w:type="dxa"/>
          </w:tcPr>
          <w:p w14:paraId="3870C16D"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8B93EB9"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5A82E06"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4F8565AA" w14:textId="77777777" w:rsidTr="00AD6FDB">
        <w:trPr>
          <w:trHeight w:hRule="exact" w:val="340"/>
        </w:trPr>
        <w:tc>
          <w:tcPr>
            <w:tcW w:w="2471" w:type="dxa"/>
          </w:tcPr>
          <w:p w14:paraId="3A45E4AF" w14:textId="77777777" w:rsidR="001A5676" w:rsidRPr="001A5676" w:rsidRDefault="001A5676" w:rsidP="001A5676">
            <w:pPr>
              <w:pStyle w:val="Body"/>
              <w:spacing w:after="0"/>
              <w:rPr>
                <w:rFonts w:ascii="Arial" w:hAnsi="Arial" w:cs="Arial"/>
              </w:rPr>
            </w:pPr>
            <w:r w:rsidRPr="001A5676">
              <w:rPr>
                <w:rFonts w:ascii="Arial" w:hAnsi="Arial" w:cs="Arial"/>
              </w:rPr>
              <w:t>Anthocyanins</w:t>
            </w:r>
          </w:p>
        </w:tc>
        <w:tc>
          <w:tcPr>
            <w:tcW w:w="2472" w:type="dxa"/>
          </w:tcPr>
          <w:p w14:paraId="2662D19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381024D0"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5E6122EA" w14:textId="77777777" w:rsidR="001A5676" w:rsidRPr="001A5676" w:rsidRDefault="001A5676" w:rsidP="001A5676">
            <w:pPr>
              <w:pStyle w:val="Body"/>
              <w:spacing w:after="0"/>
              <w:rPr>
                <w:rFonts w:ascii="Arial" w:hAnsi="Arial" w:cs="Arial"/>
              </w:rPr>
            </w:pPr>
            <w:r w:rsidRPr="001A5676">
              <w:rPr>
                <w:rFonts w:ascii="Arial" w:hAnsi="Arial" w:cs="Arial"/>
              </w:rPr>
              <w:t>+++</w:t>
            </w:r>
          </w:p>
        </w:tc>
      </w:tr>
      <w:tr w:rsidR="001A5676" w:rsidRPr="001A5676" w14:paraId="1DC646AA" w14:textId="77777777" w:rsidTr="00AD6FDB">
        <w:trPr>
          <w:trHeight w:hRule="exact" w:val="340"/>
        </w:trPr>
        <w:tc>
          <w:tcPr>
            <w:tcW w:w="2471" w:type="dxa"/>
          </w:tcPr>
          <w:p w14:paraId="4B9A11DC" w14:textId="77777777" w:rsidR="001A5676" w:rsidRPr="001A5676" w:rsidRDefault="001A5676" w:rsidP="001A5676">
            <w:pPr>
              <w:pStyle w:val="Body"/>
              <w:spacing w:after="0"/>
              <w:rPr>
                <w:rFonts w:ascii="Arial" w:hAnsi="Arial" w:cs="Arial"/>
              </w:rPr>
            </w:pPr>
            <w:r w:rsidRPr="001A5676">
              <w:rPr>
                <w:rFonts w:ascii="Arial" w:hAnsi="Arial" w:cs="Arial"/>
              </w:rPr>
              <w:t>Steroids</w:t>
            </w:r>
          </w:p>
        </w:tc>
        <w:tc>
          <w:tcPr>
            <w:tcW w:w="2472" w:type="dxa"/>
          </w:tcPr>
          <w:p w14:paraId="70ABFC5C"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10FD54A7" w14:textId="77777777" w:rsidR="001A5676" w:rsidRPr="001A5676" w:rsidRDefault="001A5676" w:rsidP="001A5676">
            <w:pPr>
              <w:pStyle w:val="Body"/>
              <w:spacing w:after="0"/>
              <w:rPr>
                <w:rFonts w:ascii="Arial" w:hAnsi="Arial" w:cs="Arial"/>
              </w:rPr>
            </w:pPr>
            <w:r w:rsidRPr="001A5676">
              <w:rPr>
                <w:rFonts w:ascii="Arial" w:hAnsi="Arial" w:cs="Arial"/>
              </w:rPr>
              <w:t>-</w:t>
            </w:r>
          </w:p>
        </w:tc>
        <w:tc>
          <w:tcPr>
            <w:tcW w:w="2472" w:type="dxa"/>
          </w:tcPr>
          <w:p w14:paraId="61A54EA0" w14:textId="77777777" w:rsidR="001A5676" w:rsidRPr="001A5676" w:rsidRDefault="001A5676" w:rsidP="001A5676">
            <w:pPr>
              <w:pStyle w:val="Body"/>
              <w:spacing w:after="0"/>
              <w:rPr>
                <w:rFonts w:ascii="Arial" w:hAnsi="Arial" w:cs="Arial"/>
              </w:rPr>
            </w:pPr>
            <w:r w:rsidRPr="001A5676">
              <w:rPr>
                <w:rFonts w:ascii="Arial" w:hAnsi="Arial" w:cs="Arial"/>
              </w:rPr>
              <w:t>-</w:t>
            </w:r>
          </w:p>
        </w:tc>
      </w:tr>
    </w:tbl>
    <w:p w14:paraId="5A91A8DF" w14:textId="77777777" w:rsidR="001A5676" w:rsidRPr="001A5676" w:rsidRDefault="001A5676" w:rsidP="001A5676">
      <w:pPr>
        <w:pStyle w:val="Body"/>
        <w:spacing w:after="0"/>
        <w:rPr>
          <w:rFonts w:ascii="Arial" w:hAnsi="Arial" w:cs="Arial"/>
          <w:i/>
          <w:iCs/>
        </w:rPr>
      </w:pPr>
      <w:proofErr w:type="gramStart"/>
      <w:r w:rsidRPr="001A5676">
        <w:rPr>
          <w:rFonts w:ascii="Arial" w:hAnsi="Arial" w:cs="Arial"/>
          <w:i/>
          <w:iCs/>
        </w:rPr>
        <w:t>- :</w:t>
      </w:r>
      <w:proofErr w:type="gramEnd"/>
      <w:r w:rsidRPr="001A5676">
        <w:rPr>
          <w:rFonts w:ascii="Arial" w:hAnsi="Arial" w:cs="Arial"/>
          <w:i/>
          <w:iCs/>
        </w:rPr>
        <w:t xml:space="preserve"> absent; + : low presence; ++ : moderate presence; +++ : high presence; ++++ : widespread presence;  </w:t>
      </w:r>
      <w:proofErr w:type="spellStart"/>
      <w:r w:rsidRPr="001A5676">
        <w:rPr>
          <w:rFonts w:ascii="Arial" w:hAnsi="Arial" w:cs="Arial"/>
          <w:i/>
          <w:iCs/>
        </w:rPr>
        <w:t>MAq</w:t>
      </w:r>
      <w:proofErr w:type="spellEnd"/>
      <w:r w:rsidRPr="001A5676">
        <w:rPr>
          <w:rFonts w:ascii="Arial" w:hAnsi="Arial" w:cs="Arial"/>
          <w:i/>
          <w:iCs/>
        </w:rPr>
        <w:t xml:space="preserve"> : Aqueous Maceration; </w:t>
      </w:r>
      <w:proofErr w:type="spellStart"/>
      <w:r w:rsidRPr="001A5676">
        <w:rPr>
          <w:rFonts w:ascii="Arial" w:hAnsi="Arial" w:cs="Arial"/>
          <w:i/>
          <w:iCs/>
        </w:rPr>
        <w:t>DAq</w:t>
      </w:r>
      <w:proofErr w:type="spellEnd"/>
      <w:r w:rsidRPr="001A5676">
        <w:rPr>
          <w:rFonts w:ascii="Arial" w:hAnsi="Arial" w:cs="Arial"/>
          <w:i/>
          <w:iCs/>
        </w:rPr>
        <w:t xml:space="preserve"> : Aqueous Decoction; </w:t>
      </w:r>
      <w:proofErr w:type="spellStart"/>
      <w:r w:rsidRPr="001A5676">
        <w:rPr>
          <w:rFonts w:ascii="Arial" w:hAnsi="Arial" w:cs="Arial"/>
          <w:i/>
          <w:iCs/>
        </w:rPr>
        <w:t>MHe</w:t>
      </w:r>
      <w:proofErr w:type="spellEnd"/>
      <w:r w:rsidRPr="001A5676">
        <w:rPr>
          <w:rFonts w:ascii="Arial" w:hAnsi="Arial" w:cs="Arial"/>
          <w:i/>
          <w:iCs/>
        </w:rPr>
        <w:t xml:space="preserve"> : Hydro-ethanolic Maceration.</w:t>
      </w:r>
    </w:p>
    <w:p w14:paraId="210846EF" w14:textId="77777777" w:rsidR="001A5676" w:rsidRPr="001A5676" w:rsidRDefault="001A5676" w:rsidP="001A5676">
      <w:pPr>
        <w:pStyle w:val="Body"/>
        <w:spacing w:after="0"/>
        <w:rPr>
          <w:rFonts w:ascii="Arial" w:hAnsi="Arial" w:cs="Arial"/>
        </w:rPr>
      </w:pPr>
    </w:p>
    <w:p w14:paraId="55960315" w14:textId="77777777" w:rsidR="001A5676" w:rsidRPr="001A5676" w:rsidRDefault="001A5676" w:rsidP="001A5676">
      <w:pPr>
        <w:pStyle w:val="Body"/>
        <w:spacing w:after="0"/>
        <w:rPr>
          <w:rFonts w:ascii="Arial" w:hAnsi="Arial" w:cs="Arial"/>
        </w:rPr>
      </w:pPr>
      <w:r w:rsidRPr="001A5676">
        <w:rPr>
          <w:rFonts w:ascii="Arial" w:hAnsi="Arial" w:cs="Arial"/>
        </w:rPr>
        <w:t>Table 3 shows that alkaloids, flavonoids, phenols, saponins, anthocyanins and tannins are present in all extracts while steroids are absent in all extracts.</w:t>
      </w:r>
      <w:bookmarkStart w:id="39" w:name="_Toc137921296"/>
      <w:bookmarkStart w:id="40" w:name="_Toc137923799"/>
    </w:p>
    <w:p w14:paraId="770128AC" w14:textId="77777777" w:rsidR="001A5676" w:rsidRPr="001A5676" w:rsidRDefault="001A5676" w:rsidP="001A5676">
      <w:pPr>
        <w:pStyle w:val="Body"/>
        <w:spacing w:after="0"/>
        <w:rPr>
          <w:rFonts w:ascii="Arial" w:hAnsi="Arial" w:cs="Arial"/>
        </w:rPr>
      </w:pPr>
    </w:p>
    <w:p w14:paraId="02824BD8" w14:textId="77777777" w:rsidR="001A5676" w:rsidRPr="001A5676" w:rsidRDefault="001A5676" w:rsidP="001A5676">
      <w:pPr>
        <w:pStyle w:val="Body"/>
        <w:spacing w:after="0"/>
        <w:rPr>
          <w:rFonts w:ascii="Arial" w:hAnsi="Arial" w:cs="Arial"/>
        </w:rPr>
      </w:pPr>
    </w:p>
    <w:p w14:paraId="5BA44C99" w14:textId="06C2F962" w:rsidR="001A5676" w:rsidRPr="00EE7F92" w:rsidRDefault="001A5676" w:rsidP="001A5676">
      <w:pPr>
        <w:pStyle w:val="Body"/>
        <w:spacing w:after="0"/>
        <w:rPr>
          <w:rFonts w:ascii="Arial" w:hAnsi="Arial" w:cs="Arial"/>
          <w:b/>
          <w:bCs/>
        </w:rPr>
      </w:pPr>
      <w:r w:rsidRPr="00EE7F92">
        <w:rPr>
          <w:rFonts w:ascii="Arial" w:hAnsi="Arial" w:cs="Arial"/>
          <w:b/>
          <w:bCs/>
        </w:rPr>
        <w:t xml:space="preserve">Table </w:t>
      </w:r>
      <w:proofErr w:type="gramStart"/>
      <w:r w:rsidRPr="00EE7F92">
        <w:rPr>
          <w:rFonts w:ascii="Arial" w:hAnsi="Arial" w:cs="Arial"/>
          <w:b/>
          <w:bCs/>
        </w:rPr>
        <w:t>4 :</w:t>
      </w:r>
      <w:proofErr w:type="gramEnd"/>
      <w:r w:rsidRPr="00EE7F92">
        <w:rPr>
          <w:rFonts w:ascii="Arial" w:hAnsi="Arial" w:cs="Arial"/>
          <w:b/>
          <w:bCs/>
        </w:rPr>
        <w:t xml:space="preserve"> Quantitative phytochemical composition </w:t>
      </w:r>
      <w:bookmarkEnd w:id="39"/>
      <w:bookmarkEnd w:id="40"/>
      <w:r w:rsidRPr="00EE7F92">
        <w:rPr>
          <w:rFonts w:ascii="Arial" w:hAnsi="Arial" w:cs="Arial"/>
          <w:b/>
          <w:bCs/>
        </w:rPr>
        <w:t xml:space="preserve">of </w:t>
      </w:r>
      <w:r w:rsidR="00CA16D7" w:rsidRPr="00CA16D7">
        <w:rPr>
          <w:rFonts w:ascii="Arial" w:hAnsi="Arial" w:cs="Arial"/>
          <w:b/>
          <w:bCs/>
          <w:i/>
          <w:iCs/>
        </w:rPr>
        <w:t xml:space="preserve">Garcinia </w:t>
      </w:r>
      <w:proofErr w:type="spell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rPr>
        <w:t xml:space="preserve"> L.</w:t>
      </w:r>
    </w:p>
    <w:tbl>
      <w:tblPr>
        <w:tblW w:w="9440" w:type="dxa"/>
        <w:tblBorders>
          <w:top w:val="single" w:sz="4" w:space="0" w:color="auto"/>
          <w:bottom w:val="single" w:sz="4" w:space="0" w:color="auto"/>
        </w:tblBorders>
        <w:tblLook w:val="06A0" w:firstRow="1" w:lastRow="0" w:firstColumn="1" w:lastColumn="0" w:noHBand="1" w:noVBand="1"/>
      </w:tblPr>
      <w:tblGrid>
        <w:gridCol w:w="2977"/>
        <w:gridCol w:w="2151"/>
        <w:gridCol w:w="2157"/>
        <w:gridCol w:w="2155"/>
      </w:tblGrid>
      <w:tr w:rsidR="001A5676" w:rsidRPr="001A5676" w14:paraId="63C1A2B8" w14:textId="77777777" w:rsidTr="00AD6FDB">
        <w:trPr>
          <w:trHeight w:hRule="exact" w:val="340"/>
        </w:trPr>
        <w:tc>
          <w:tcPr>
            <w:tcW w:w="2977" w:type="dxa"/>
            <w:tcBorders>
              <w:top w:val="single" w:sz="4" w:space="0" w:color="auto"/>
              <w:bottom w:val="single" w:sz="4" w:space="0" w:color="auto"/>
            </w:tcBorders>
          </w:tcPr>
          <w:p w14:paraId="491B6D17" w14:textId="77777777" w:rsidR="001A5676" w:rsidRPr="001A5676" w:rsidRDefault="001A5676" w:rsidP="001A5676">
            <w:pPr>
              <w:pStyle w:val="Body"/>
              <w:spacing w:after="0"/>
              <w:rPr>
                <w:rFonts w:ascii="Arial" w:hAnsi="Arial" w:cs="Arial"/>
              </w:rPr>
            </w:pPr>
            <w:r w:rsidRPr="001A5676">
              <w:rPr>
                <w:rFonts w:ascii="Arial" w:hAnsi="Arial" w:cs="Arial"/>
              </w:rPr>
              <w:t>Chemical groups</w:t>
            </w:r>
          </w:p>
        </w:tc>
        <w:tc>
          <w:tcPr>
            <w:tcW w:w="2151" w:type="dxa"/>
            <w:tcBorders>
              <w:top w:val="single" w:sz="4" w:space="0" w:color="auto"/>
              <w:bottom w:val="single" w:sz="4" w:space="0" w:color="auto"/>
            </w:tcBorders>
          </w:tcPr>
          <w:p w14:paraId="3C34DE3A"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Daq</w:t>
            </w:r>
            <w:proofErr w:type="spellEnd"/>
            <w:r w:rsidRPr="001A5676">
              <w:rPr>
                <w:rFonts w:ascii="Arial" w:hAnsi="Arial" w:cs="Arial"/>
              </w:rPr>
              <w:t xml:space="preserve"> (mg/ml)</w:t>
            </w:r>
          </w:p>
        </w:tc>
        <w:tc>
          <w:tcPr>
            <w:tcW w:w="2157" w:type="dxa"/>
            <w:tcBorders>
              <w:top w:val="single" w:sz="4" w:space="0" w:color="auto"/>
              <w:bottom w:val="single" w:sz="4" w:space="0" w:color="auto"/>
            </w:tcBorders>
          </w:tcPr>
          <w:p w14:paraId="533E2CDD"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r w:rsidRPr="001A5676">
              <w:rPr>
                <w:rFonts w:ascii="Arial" w:hAnsi="Arial" w:cs="Arial"/>
              </w:rPr>
              <w:t>(mg/ml)</w:t>
            </w:r>
          </w:p>
        </w:tc>
        <w:tc>
          <w:tcPr>
            <w:tcW w:w="2155" w:type="dxa"/>
            <w:tcBorders>
              <w:top w:val="single" w:sz="4" w:space="0" w:color="auto"/>
              <w:bottom w:val="single" w:sz="4" w:space="0" w:color="auto"/>
            </w:tcBorders>
          </w:tcPr>
          <w:p w14:paraId="134BF34E"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r w:rsidRPr="001A5676">
              <w:rPr>
                <w:rFonts w:ascii="Arial" w:hAnsi="Arial" w:cs="Arial"/>
              </w:rPr>
              <w:t xml:space="preserve"> (mg/ml)</w:t>
            </w:r>
          </w:p>
        </w:tc>
      </w:tr>
      <w:tr w:rsidR="001A5676" w:rsidRPr="001A5676" w14:paraId="4F539DAC" w14:textId="77777777" w:rsidTr="00AD6FDB">
        <w:trPr>
          <w:trHeight w:hRule="exact" w:val="340"/>
        </w:trPr>
        <w:tc>
          <w:tcPr>
            <w:tcW w:w="2977" w:type="dxa"/>
            <w:tcBorders>
              <w:top w:val="single" w:sz="4" w:space="0" w:color="auto"/>
            </w:tcBorders>
          </w:tcPr>
          <w:p w14:paraId="168C4D34" w14:textId="77777777" w:rsidR="001A5676" w:rsidRPr="001A5676" w:rsidRDefault="001A5676" w:rsidP="001A5676">
            <w:pPr>
              <w:pStyle w:val="Body"/>
              <w:spacing w:after="0"/>
              <w:rPr>
                <w:rFonts w:ascii="Arial" w:hAnsi="Arial" w:cs="Arial"/>
              </w:rPr>
            </w:pPr>
            <w:r w:rsidRPr="001A5676">
              <w:rPr>
                <w:rFonts w:ascii="Arial" w:hAnsi="Arial" w:cs="Arial"/>
              </w:rPr>
              <w:t>Phenols (GAE)</w:t>
            </w:r>
          </w:p>
        </w:tc>
        <w:tc>
          <w:tcPr>
            <w:tcW w:w="2151" w:type="dxa"/>
            <w:tcBorders>
              <w:top w:val="single" w:sz="4" w:space="0" w:color="auto"/>
            </w:tcBorders>
          </w:tcPr>
          <w:p w14:paraId="1F7A8DFF" w14:textId="77777777" w:rsidR="001A5676" w:rsidRPr="001A5676" w:rsidRDefault="001A5676" w:rsidP="001A5676">
            <w:pPr>
              <w:pStyle w:val="Body"/>
              <w:spacing w:after="0"/>
              <w:rPr>
                <w:rFonts w:ascii="Arial" w:hAnsi="Arial" w:cs="Arial"/>
              </w:rPr>
            </w:pPr>
            <w:r w:rsidRPr="001A5676">
              <w:rPr>
                <w:rFonts w:ascii="Arial" w:hAnsi="Arial" w:cs="Arial"/>
              </w:rPr>
              <w:t>1.48</w:t>
            </w:r>
          </w:p>
        </w:tc>
        <w:tc>
          <w:tcPr>
            <w:tcW w:w="2157" w:type="dxa"/>
            <w:tcBorders>
              <w:top w:val="single" w:sz="4" w:space="0" w:color="auto"/>
            </w:tcBorders>
          </w:tcPr>
          <w:p w14:paraId="3BA63BC4" w14:textId="77777777" w:rsidR="001A5676" w:rsidRPr="001A5676" w:rsidRDefault="001A5676" w:rsidP="001A5676">
            <w:pPr>
              <w:pStyle w:val="Body"/>
              <w:spacing w:after="0"/>
              <w:rPr>
                <w:rFonts w:ascii="Arial" w:hAnsi="Arial" w:cs="Arial"/>
              </w:rPr>
            </w:pPr>
            <w:r w:rsidRPr="001A5676">
              <w:rPr>
                <w:rFonts w:ascii="Arial" w:hAnsi="Arial" w:cs="Arial"/>
              </w:rPr>
              <w:t>1.16</w:t>
            </w:r>
          </w:p>
        </w:tc>
        <w:tc>
          <w:tcPr>
            <w:tcW w:w="2155" w:type="dxa"/>
            <w:tcBorders>
              <w:top w:val="single" w:sz="4" w:space="0" w:color="auto"/>
            </w:tcBorders>
          </w:tcPr>
          <w:p w14:paraId="734F96A8" w14:textId="77777777" w:rsidR="001A5676" w:rsidRPr="001A5676" w:rsidRDefault="001A5676" w:rsidP="001A5676">
            <w:pPr>
              <w:pStyle w:val="Body"/>
              <w:spacing w:after="0"/>
              <w:rPr>
                <w:rFonts w:ascii="Arial" w:hAnsi="Arial" w:cs="Arial"/>
              </w:rPr>
            </w:pPr>
            <w:r w:rsidRPr="001A5676">
              <w:rPr>
                <w:rFonts w:ascii="Arial" w:hAnsi="Arial" w:cs="Arial"/>
              </w:rPr>
              <w:t>1.85</w:t>
            </w:r>
          </w:p>
        </w:tc>
      </w:tr>
      <w:tr w:rsidR="001A5676" w:rsidRPr="001A5676" w14:paraId="3B4DEC39" w14:textId="77777777" w:rsidTr="00AD6FDB">
        <w:trPr>
          <w:trHeight w:hRule="exact" w:val="340"/>
        </w:trPr>
        <w:tc>
          <w:tcPr>
            <w:tcW w:w="2977" w:type="dxa"/>
          </w:tcPr>
          <w:p w14:paraId="55D4A607" w14:textId="77777777" w:rsidR="001A5676" w:rsidRPr="001A5676" w:rsidRDefault="001A5676" w:rsidP="001A5676">
            <w:pPr>
              <w:pStyle w:val="Body"/>
              <w:spacing w:after="0"/>
              <w:rPr>
                <w:rFonts w:ascii="Arial" w:hAnsi="Arial" w:cs="Arial"/>
              </w:rPr>
            </w:pPr>
            <w:r w:rsidRPr="001A5676">
              <w:rPr>
                <w:rFonts w:ascii="Arial" w:hAnsi="Arial" w:cs="Arial"/>
              </w:rPr>
              <w:t>Flavonoids QE</w:t>
            </w:r>
          </w:p>
        </w:tc>
        <w:tc>
          <w:tcPr>
            <w:tcW w:w="2151" w:type="dxa"/>
          </w:tcPr>
          <w:p w14:paraId="59F22C83" w14:textId="77777777" w:rsidR="001A5676" w:rsidRPr="001A5676" w:rsidRDefault="001A5676" w:rsidP="001A5676">
            <w:pPr>
              <w:pStyle w:val="Body"/>
              <w:spacing w:after="0"/>
              <w:rPr>
                <w:rFonts w:ascii="Arial" w:hAnsi="Arial" w:cs="Arial"/>
              </w:rPr>
            </w:pPr>
            <w:r w:rsidRPr="001A5676">
              <w:rPr>
                <w:rFonts w:ascii="Arial" w:hAnsi="Arial" w:cs="Arial"/>
              </w:rPr>
              <w:t>0.31</w:t>
            </w:r>
          </w:p>
        </w:tc>
        <w:tc>
          <w:tcPr>
            <w:tcW w:w="2157" w:type="dxa"/>
          </w:tcPr>
          <w:p w14:paraId="3AA292DA" w14:textId="77777777" w:rsidR="001A5676" w:rsidRPr="001A5676" w:rsidRDefault="001A5676" w:rsidP="001A5676">
            <w:pPr>
              <w:pStyle w:val="Body"/>
              <w:spacing w:after="0"/>
              <w:rPr>
                <w:rFonts w:ascii="Arial" w:hAnsi="Arial" w:cs="Arial"/>
              </w:rPr>
            </w:pPr>
            <w:r w:rsidRPr="001A5676">
              <w:rPr>
                <w:rFonts w:ascii="Arial" w:hAnsi="Arial" w:cs="Arial"/>
              </w:rPr>
              <w:t>0.25</w:t>
            </w:r>
          </w:p>
        </w:tc>
        <w:tc>
          <w:tcPr>
            <w:tcW w:w="2155" w:type="dxa"/>
          </w:tcPr>
          <w:p w14:paraId="09E8994E" w14:textId="77777777" w:rsidR="001A5676" w:rsidRPr="001A5676" w:rsidRDefault="001A5676" w:rsidP="001A5676">
            <w:pPr>
              <w:pStyle w:val="Body"/>
              <w:spacing w:after="0"/>
              <w:rPr>
                <w:rFonts w:ascii="Arial" w:hAnsi="Arial" w:cs="Arial"/>
              </w:rPr>
            </w:pPr>
            <w:r w:rsidRPr="001A5676">
              <w:rPr>
                <w:rFonts w:ascii="Arial" w:hAnsi="Arial" w:cs="Arial"/>
              </w:rPr>
              <w:t>0.47</w:t>
            </w:r>
          </w:p>
        </w:tc>
      </w:tr>
      <w:tr w:rsidR="001A5676" w:rsidRPr="001A5676" w14:paraId="71882548" w14:textId="77777777" w:rsidTr="00AD6FDB">
        <w:trPr>
          <w:trHeight w:hRule="exact" w:val="340"/>
        </w:trPr>
        <w:tc>
          <w:tcPr>
            <w:tcW w:w="2977" w:type="dxa"/>
          </w:tcPr>
          <w:p w14:paraId="376C2AF6" w14:textId="77777777" w:rsidR="001A5676" w:rsidRPr="001A5676" w:rsidRDefault="001A5676" w:rsidP="001A5676">
            <w:pPr>
              <w:pStyle w:val="Body"/>
              <w:spacing w:after="0"/>
              <w:rPr>
                <w:rFonts w:ascii="Arial" w:hAnsi="Arial" w:cs="Arial"/>
              </w:rPr>
            </w:pPr>
            <w:r w:rsidRPr="001A5676">
              <w:rPr>
                <w:rFonts w:ascii="Arial" w:hAnsi="Arial" w:cs="Arial"/>
              </w:rPr>
              <w:t>Tannins</w:t>
            </w:r>
            <w:r w:rsidRPr="001A5676">
              <w:rPr>
                <w:rFonts w:ascii="Arial" w:hAnsi="Arial" w:cs="Arial"/>
              </w:rPr>
              <w:tab/>
              <w:t>CE</w:t>
            </w:r>
          </w:p>
        </w:tc>
        <w:tc>
          <w:tcPr>
            <w:tcW w:w="2151" w:type="dxa"/>
          </w:tcPr>
          <w:p w14:paraId="4BB8FA8E" w14:textId="77777777" w:rsidR="001A5676" w:rsidRPr="001A5676" w:rsidRDefault="001A5676" w:rsidP="001A5676">
            <w:pPr>
              <w:pStyle w:val="Body"/>
              <w:spacing w:after="0"/>
              <w:rPr>
                <w:rFonts w:ascii="Arial" w:hAnsi="Arial" w:cs="Arial"/>
              </w:rPr>
            </w:pPr>
            <w:r w:rsidRPr="001A5676">
              <w:rPr>
                <w:rFonts w:ascii="Arial" w:hAnsi="Arial" w:cs="Arial"/>
              </w:rPr>
              <w:t>0.13</w:t>
            </w:r>
          </w:p>
        </w:tc>
        <w:tc>
          <w:tcPr>
            <w:tcW w:w="2157" w:type="dxa"/>
          </w:tcPr>
          <w:p w14:paraId="1270F59A" w14:textId="77777777" w:rsidR="001A5676" w:rsidRPr="001A5676" w:rsidRDefault="001A5676" w:rsidP="001A5676">
            <w:pPr>
              <w:pStyle w:val="Body"/>
              <w:spacing w:after="0"/>
              <w:rPr>
                <w:rFonts w:ascii="Arial" w:hAnsi="Arial" w:cs="Arial"/>
              </w:rPr>
            </w:pPr>
            <w:r w:rsidRPr="001A5676">
              <w:rPr>
                <w:rFonts w:ascii="Arial" w:hAnsi="Arial" w:cs="Arial"/>
              </w:rPr>
              <w:t>0.11</w:t>
            </w:r>
          </w:p>
        </w:tc>
        <w:tc>
          <w:tcPr>
            <w:tcW w:w="2155" w:type="dxa"/>
          </w:tcPr>
          <w:p w14:paraId="128ACA86" w14:textId="77777777" w:rsidR="001A5676" w:rsidRPr="001A5676" w:rsidRDefault="001A5676" w:rsidP="001A5676">
            <w:pPr>
              <w:pStyle w:val="Body"/>
              <w:spacing w:after="0"/>
              <w:rPr>
                <w:rFonts w:ascii="Arial" w:hAnsi="Arial" w:cs="Arial"/>
              </w:rPr>
            </w:pPr>
            <w:r w:rsidRPr="001A5676">
              <w:rPr>
                <w:rFonts w:ascii="Arial" w:hAnsi="Arial" w:cs="Arial"/>
              </w:rPr>
              <w:t>0.16</w:t>
            </w:r>
          </w:p>
        </w:tc>
      </w:tr>
    </w:tbl>
    <w:p w14:paraId="0F0B3A9D" w14:textId="77777777" w:rsidR="001A5676" w:rsidRPr="001A5676" w:rsidRDefault="001A5676" w:rsidP="001A5676">
      <w:pPr>
        <w:pStyle w:val="Body"/>
        <w:spacing w:after="0"/>
        <w:rPr>
          <w:rFonts w:ascii="Arial" w:hAnsi="Arial" w:cs="Arial"/>
          <w:i/>
          <w:iCs/>
        </w:rPr>
      </w:pPr>
      <w:proofErr w:type="spellStart"/>
      <w:proofErr w:type="gramStart"/>
      <w:r w:rsidRPr="001A5676">
        <w:rPr>
          <w:rFonts w:ascii="Arial" w:hAnsi="Arial" w:cs="Arial"/>
          <w:i/>
          <w:iCs/>
        </w:rPr>
        <w:t>Daq</w:t>
      </w:r>
      <w:proofErr w:type="spellEnd"/>
      <w:r w:rsidRPr="001A5676">
        <w:rPr>
          <w:rFonts w:ascii="Arial" w:hAnsi="Arial" w:cs="Arial"/>
          <w:i/>
          <w:iCs/>
        </w:rPr>
        <w:t xml:space="preserve"> :</w:t>
      </w:r>
      <w:proofErr w:type="gramEnd"/>
      <w:r w:rsidRPr="001A5676">
        <w:rPr>
          <w:rFonts w:ascii="Arial" w:hAnsi="Arial" w:cs="Arial"/>
          <w:i/>
          <w:iCs/>
        </w:rPr>
        <w:t xml:space="preserve"> Aqueous decoction;  </w:t>
      </w:r>
      <w:proofErr w:type="spellStart"/>
      <w:r w:rsidRPr="001A5676">
        <w:rPr>
          <w:rFonts w:ascii="Arial" w:hAnsi="Arial" w:cs="Arial"/>
          <w:i/>
          <w:iCs/>
        </w:rPr>
        <w:t>Maq</w:t>
      </w:r>
      <w:proofErr w:type="spellEnd"/>
      <w:r w:rsidRPr="001A5676">
        <w:rPr>
          <w:rFonts w:ascii="Arial" w:hAnsi="Arial" w:cs="Arial"/>
          <w:i/>
          <w:iCs/>
        </w:rPr>
        <w:t xml:space="preserve"> : Aqueous maceration;  </w:t>
      </w:r>
      <w:proofErr w:type="spellStart"/>
      <w:r w:rsidRPr="001A5676">
        <w:rPr>
          <w:rFonts w:ascii="Arial" w:hAnsi="Arial" w:cs="Arial"/>
          <w:i/>
          <w:iCs/>
        </w:rPr>
        <w:t>MHe</w:t>
      </w:r>
      <w:proofErr w:type="spellEnd"/>
      <w:r w:rsidRPr="001A5676">
        <w:rPr>
          <w:rFonts w:ascii="Arial" w:hAnsi="Arial" w:cs="Arial"/>
          <w:i/>
          <w:iCs/>
        </w:rPr>
        <w:t xml:space="preserve"> : Hydroethanolic maceration; GAE: mg/g gallic acid equivalent; QE: mg/g quercetin equivalent; CE: mg/g catechin equivalent ()</w:t>
      </w:r>
    </w:p>
    <w:p w14:paraId="3CD44B76" w14:textId="77777777" w:rsidR="001A5676" w:rsidRPr="001A5676" w:rsidRDefault="001A5676" w:rsidP="001A5676">
      <w:pPr>
        <w:pStyle w:val="Body"/>
        <w:spacing w:after="0"/>
        <w:rPr>
          <w:rFonts w:ascii="Arial" w:hAnsi="Arial" w:cs="Arial"/>
        </w:rPr>
      </w:pPr>
      <w:r w:rsidRPr="001A5676">
        <w:rPr>
          <w:rFonts w:ascii="Arial" w:hAnsi="Arial" w:cs="Arial"/>
        </w:rPr>
        <w:t>The aqueous extract obtained by decoction had a phenol concentration of 1.48 GAE, a flavonoid concentration of 0.31 QE, and a tannin concentration of 0.13 CE. The aqueous extract obtained by maceration had a phenol concentration of 1.16 mg/mL, a flavonoid concentration of 0.25 mg/mL, and a tannin concentration of 0.11 mg/</w:t>
      </w:r>
      <w:proofErr w:type="spellStart"/>
      <w:r w:rsidRPr="001A5676">
        <w:rPr>
          <w:rFonts w:ascii="Arial" w:hAnsi="Arial" w:cs="Arial"/>
        </w:rPr>
        <w:t>mL.</w:t>
      </w:r>
      <w:proofErr w:type="spellEnd"/>
      <w:r w:rsidRPr="001A5676">
        <w:rPr>
          <w:rFonts w:ascii="Arial" w:hAnsi="Arial" w:cs="Arial"/>
        </w:rPr>
        <w:t xml:space="preserve"> The hydroethanolic </w:t>
      </w:r>
      <w:r w:rsidRPr="001A5676">
        <w:rPr>
          <w:rFonts w:ascii="Arial" w:hAnsi="Arial" w:cs="Arial"/>
        </w:rPr>
        <w:lastRenderedPageBreak/>
        <w:t>extract had a phenol concentration of 1.85 mg/mL, a flavonoid concentration of 0.47 mg/mL, and a tannin concentration of 0.16 mg/</w:t>
      </w:r>
      <w:proofErr w:type="spellStart"/>
      <w:r w:rsidRPr="001A5676">
        <w:rPr>
          <w:rFonts w:ascii="Arial" w:hAnsi="Arial" w:cs="Arial"/>
        </w:rPr>
        <w:t>mL.</w:t>
      </w:r>
      <w:proofErr w:type="spellEnd"/>
    </w:p>
    <w:p w14:paraId="375FD113" w14:textId="77777777" w:rsidR="001A5676" w:rsidRPr="001A5676" w:rsidRDefault="001A5676" w:rsidP="001A5676">
      <w:pPr>
        <w:pStyle w:val="Body"/>
        <w:spacing w:after="0"/>
        <w:rPr>
          <w:rFonts w:ascii="Arial" w:hAnsi="Arial" w:cs="Arial"/>
        </w:rPr>
      </w:pPr>
    </w:p>
    <w:p w14:paraId="71E48C42" w14:textId="7EEA76C3" w:rsidR="001A5676" w:rsidRPr="00EE7F92" w:rsidRDefault="00EE7F92" w:rsidP="001A5676">
      <w:pPr>
        <w:pStyle w:val="Body"/>
        <w:spacing w:after="0"/>
        <w:rPr>
          <w:rFonts w:ascii="Arial" w:hAnsi="Arial" w:cs="Arial"/>
          <w:b/>
          <w:bCs/>
        </w:rPr>
      </w:pPr>
      <w:bookmarkStart w:id="41" w:name="_Toc136377200"/>
      <w:bookmarkStart w:id="42" w:name="_Toc137924742"/>
      <w:r w:rsidRPr="00EE7F92">
        <w:rPr>
          <w:rFonts w:ascii="Arial" w:hAnsi="Arial" w:cs="Arial"/>
          <w:b/>
          <w:bCs/>
        </w:rPr>
        <w:t>3</w:t>
      </w:r>
      <w:r w:rsidR="001A5676" w:rsidRPr="00EE7F92">
        <w:rPr>
          <w:rFonts w:ascii="Arial" w:hAnsi="Arial" w:cs="Arial"/>
          <w:b/>
          <w:bCs/>
        </w:rPr>
        <w:t xml:space="preserve">.3 Antioxidant </w:t>
      </w:r>
      <w:bookmarkEnd w:id="41"/>
      <w:bookmarkEnd w:id="42"/>
      <w:r w:rsidR="001A5676" w:rsidRPr="00EE7F92">
        <w:rPr>
          <w:rFonts w:ascii="Arial" w:hAnsi="Arial" w:cs="Arial"/>
          <w:b/>
          <w:bCs/>
        </w:rPr>
        <w:t>activities</w:t>
      </w:r>
    </w:p>
    <w:p w14:paraId="67E5AF51" w14:textId="77777777" w:rsidR="001A5676" w:rsidRDefault="001A5676" w:rsidP="001A5676">
      <w:pPr>
        <w:pStyle w:val="Body"/>
        <w:spacing w:after="0"/>
        <w:rPr>
          <w:rFonts w:ascii="Arial" w:hAnsi="Arial" w:cs="Arial"/>
        </w:rPr>
      </w:pPr>
      <w:r w:rsidRPr="001A5676">
        <w:rPr>
          <w:rFonts w:ascii="Arial" w:hAnsi="Arial" w:cs="Arial"/>
        </w:rPr>
        <w:t>The antioxidant activity of the extracts was evaluated by the DPPH test, the FRAP method and expressed as IC</w:t>
      </w:r>
      <w:proofErr w:type="gramStart"/>
      <w:r w:rsidRPr="001A5676">
        <w:rPr>
          <w:rFonts w:ascii="Arial" w:hAnsi="Arial" w:cs="Arial"/>
        </w:rPr>
        <w:t>50 .</w:t>
      </w:r>
      <w:proofErr w:type="gramEnd"/>
    </w:p>
    <w:p w14:paraId="23B9610D" w14:textId="77777777" w:rsidR="00EE7F92" w:rsidRPr="001A5676" w:rsidRDefault="00EE7F92" w:rsidP="001A5676">
      <w:pPr>
        <w:pStyle w:val="Body"/>
        <w:spacing w:after="0"/>
        <w:rPr>
          <w:rFonts w:ascii="Arial" w:hAnsi="Arial" w:cs="Arial"/>
        </w:rPr>
      </w:pPr>
    </w:p>
    <w:p w14:paraId="7183B3A1" w14:textId="15463D9D" w:rsidR="001A5676" w:rsidRPr="00EE7F92" w:rsidRDefault="00EE7F92" w:rsidP="001A5676">
      <w:pPr>
        <w:pStyle w:val="Body"/>
        <w:spacing w:after="0"/>
        <w:rPr>
          <w:rFonts w:ascii="Arial" w:hAnsi="Arial" w:cs="Arial"/>
          <w:b/>
          <w:bCs/>
        </w:rPr>
      </w:pPr>
      <w:bookmarkStart w:id="43" w:name="_Toc137924743"/>
      <w:r>
        <w:rPr>
          <w:rFonts w:ascii="Arial" w:hAnsi="Arial" w:cs="Arial"/>
          <w:b/>
          <w:bCs/>
        </w:rPr>
        <w:t>3</w:t>
      </w:r>
      <w:r w:rsidR="001A5676" w:rsidRPr="00EE7F92">
        <w:rPr>
          <w:rFonts w:ascii="Arial" w:hAnsi="Arial" w:cs="Arial"/>
          <w:b/>
          <w:bCs/>
        </w:rPr>
        <w:t>.3.1 FRAP (Ferric Reducing Antioxidant Power) Method</w:t>
      </w:r>
      <w:bookmarkEnd w:id="43"/>
    </w:p>
    <w:p w14:paraId="648F1555" w14:textId="77777777" w:rsidR="001A5676" w:rsidRPr="001A5676" w:rsidRDefault="001A5676" w:rsidP="001A5676">
      <w:pPr>
        <w:pStyle w:val="Body"/>
        <w:spacing w:after="0"/>
        <w:rPr>
          <w:rFonts w:ascii="Arial" w:hAnsi="Arial" w:cs="Arial"/>
        </w:rPr>
      </w:pPr>
      <w:r w:rsidRPr="001A5676">
        <w:rPr>
          <w:rFonts w:ascii="Arial" w:hAnsi="Arial" w:cs="Arial"/>
        </w:rPr>
        <w:t>The presence of molecules capable of reducing ferric iron (Fe3+) to ferrous iron (Fe2+) is indicated by a blue color change. Absorbance curves as a function of extract, BHT, and vitamin C concentration are summarized in Figure 1.</w:t>
      </w:r>
    </w:p>
    <w:p w14:paraId="603242CE"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091AB513" wp14:editId="60A15E63">
            <wp:extent cx="4661210" cy="2412008"/>
            <wp:effectExtent l="0" t="0" r="6350" b="7620"/>
            <wp:docPr id="30" name="Graphiqu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39CC61" w14:textId="0A800162" w:rsidR="001A5676" w:rsidRPr="00EE7F92" w:rsidRDefault="001A5676" w:rsidP="001A5676">
      <w:pPr>
        <w:pStyle w:val="Body"/>
        <w:spacing w:after="0"/>
        <w:rPr>
          <w:rFonts w:ascii="Arial" w:hAnsi="Arial" w:cs="Arial"/>
          <w:b/>
          <w:bCs/>
          <w:i/>
          <w:iCs/>
        </w:rPr>
      </w:pPr>
      <w:bookmarkStart w:id="44" w:name="_Toc138056793"/>
      <w:r w:rsidRPr="00EE7F92">
        <w:rPr>
          <w:rFonts w:ascii="Arial" w:hAnsi="Arial" w:cs="Arial"/>
          <w:b/>
          <w:bCs/>
          <w:i/>
          <w:iCs/>
        </w:rPr>
        <w:t xml:space="preserve">Figure 1: Variation in the percentage reduction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vitamin C, and BHT with respect to iron (Fr 3+ ) as a function of concentration</w:t>
      </w:r>
      <w:bookmarkEnd w:id="44"/>
    </w:p>
    <w:p w14:paraId="5B625C29" w14:textId="77777777" w:rsidR="001A5676" w:rsidRDefault="001A5676" w:rsidP="001A5676">
      <w:pPr>
        <w:pStyle w:val="Body"/>
        <w:spacing w:after="0"/>
        <w:rPr>
          <w:rFonts w:ascii="Arial" w:hAnsi="Arial" w:cs="Arial"/>
          <w:i/>
          <w:iCs/>
        </w:rPr>
      </w:pPr>
      <w:r w:rsidRPr="001A5676">
        <w:rPr>
          <w:rFonts w:ascii="Arial" w:hAnsi="Arial" w:cs="Arial"/>
          <w:i/>
          <w:iCs/>
        </w:rPr>
        <w:t xml:space="preserve">Dec </w:t>
      </w:r>
      <w:proofErr w:type="gramStart"/>
      <w:r w:rsidRPr="001A5676">
        <w:rPr>
          <w:rFonts w:ascii="Arial" w:hAnsi="Arial" w:cs="Arial"/>
          <w:i/>
          <w:iCs/>
        </w:rPr>
        <w:t>ED :</w:t>
      </w:r>
      <w:proofErr w:type="gramEnd"/>
      <w:r w:rsidRPr="001A5676">
        <w:rPr>
          <w:rFonts w:ascii="Arial" w:hAnsi="Arial" w:cs="Arial"/>
          <w:i/>
          <w:iCs/>
        </w:rPr>
        <w:t xml:space="preserve"> Aqueous decoction; Mac ED : Aqueous maceration; ED+AC : Hydroethanolic maceration; Vit C : Vitamin C; BHT : Butyl Hydroxy Toluene.</w:t>
      </w:r>
    </w:p>
    <w:p w14:paraId="163BD972" w14:textId="77777777" w:rsidR="001A5676" w:rsidRPr="001A5676" w:rsidRDefault="001A5676" w:rsidP="001A5676">
      <w:pPr>
        <w:pStyle w:val="Body"/>
        <w:spacing w:after="0"/>
        <w:rPr>
          <w:rFonts w:ascii="Arial" w:hAnsi="Arial" w:cs="Arial"/>
          <w:i/>
          <w:iCs/>
        </w:rPr>
      </w:pPr>
    </w:p>
    <w:p w14:paraId="67767034" w14:textId="2AE98D83" w:rsidR="001A5676" w:rsidRPr="001A5676" w:rsidRDefault="001A5676" w:rsidP="001A5676">
      <w:pPr>
        <w:pStyle w:val="Body"/>
        <w:spacing w:after="0"/>
        <w:rPr>
          <w:rFonts w:ascii="Arial" w:hAnsi="Arial" w:cs="Arial"/>
        </w:rPr>
      </w:pPr>
      <w:r w:rsidRPr="001A5676">
        <w:rPr>
          <w:rFonts w:ascii="Arial" w:hAnsi="Arial" w:cs="Arial"/>
        </w:rPr>
        <w:t xml:space="preserve">From Figure 1, we can see that the trapping percentages increase with extract concentrations. These percentages allowed us to obtain the IC50, EC50, and PA values, which are shown in Table </w:t>
      </w:r>
      <w:r w:rsidR="007C29E0">
        <w:rPr>
          <w:rFonts w:ascii="Arial" w:hAnsi="Arial" w:cs="Arial"/>
        </w:rPr>
        <w:t>5</w:t>
      </w:r>
      <w:r w:rsidRPr="001A5676">
        <w:rPr>
          <w:rFonts w:ascii="Arial" w:hAnsi="Arial" w:cs="Arial"/>
        </w:rPr>
        <w:t xml:space="preserve"> below.</w:t>
      </w:r>
    </w:p>
    <w:p w14:paraId="45BB6D88" w14:textId="77777777" w:rsidR="001A5676" w:rsidRPr="001A5676" w:rsidRDefault="001A5676" w:rsidP="001A5676">
      <w:pPr>
        <w:pStyle w:val="Body"/>
        <w:spacing w:after="0"/>
        <w:rPr>
          <w:rFonts w:ascii="Arial" w:hAnsi="Arial" w:cs="Arial"/>
        </w:rPr>
      </w:pPr>
      <w:bookmarkStart w:id="45" w:name="_Toc137923800"/>
    </w:p>
    <w:p w14:paraId="4265D0CC" w14:textId="049EE92C" w:rsidR="001A5676" w:rsidRPr="00EE7F92" w:rsidRDefault="001A5676" w:rsidP="001A5676">
      <w:pPr>
        <w:pStyle w:val="Body"/>
        <w:spacing w:after="0"/>
        <w:rPr>
          <w:rFonts w:ascii="Arial" w:hAnsi="Arial" w:cs="Arial"/>
          <w:b/>
          <w:bCs/>
        </w:rPr>
      </w:pPr>
      <w:r w:rsidRPr="00EE7F92">
        <w:rPr>
          <w:rFonts w:ascii="Arial" w:hAnsi="Arial" w:cs="Arial"/>
          <w:b/>
          <w:bCs/>
        </w:rPr>
        <w:t xml:space="preserve">Table 5: Antioxidant activities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rPr>
        <w:t xml:space="preserve"> L.</w:t>
      </w:r>
      <w:proofErr w:type="gramEnd"/>
      <w:r w:rsidRPr="00EE7F92">
        <w:rPr>
          <w:rFonts w:ascii="Arial" w:hAnsi="Arial" w:cs="Arial"/>
          <w:b/>
          <w:bCs/>
        </w:rPr>
        <w:t xml:space="preserve"> extracts : IC</w:t>
      </w:r>
      <w:r w:rsidRPr="006344FF">
        <w:rPr>
          <w:rFonts w:ascii="Arial" w:hAnsi="Arial" w:cs="Arial"/>
          <w:b/>
          <w:bCs/>
          <w:vertAlign w:val="subscript"/>
        </w:rPr>
        <w:t>50</w:t>
      </w:r>
      <w:r w:rsidRPr="00EE7F92">
        <w:rPr>
          <w:rFonts w:ascii="Arial" w:hAnsi="Arial" w:cs="Arial"/>
          <w:b/>
          <w:bCs/>
        </w:rPr>
        <w:t xml:space="preserve"> , EC</w:t>
      </w:r>
      <w:r w:rsidRPr="006344FF">
        <w:rPr>
          <w:rFonts w:ascii="Arial" w:hAnsi="Arial" w:cs="Arial"/>
          <w:b/>
          <w:bCs/>
          <w:vertAlign w:val="subscript"/>
        </w:rPr>
        <w:t>50</w:t>
      </w:r>
      <w:r w:rsidRPr="00EE7F92">
        <w:rPr>
          <w:rFonts w:ascii="Arial" w:hAnsi="Arial" w:cs="Arial"/>
          <w:b/>
          <w:bCs/>
        </w:rPr>
        <w:t xml:space="preserve"> and PA values obtained by the FRAP method</w:t>
      </w:r>
      <w:bookmarkEnd w:id="45"/>
    </w:p>
    <w:tbl>
      <w:tblPr>
        <w:tblW w:w="0" w:type="auto"/>
        <w:tblBorders>
          <w:top w:val="single" w:sz="4" w:space="0" w:color="auto"/>
          <w:bottom w:val="single" w:sz="4" w:space="0" w:color="auto"/>
        </w:tblBorders>
        <w:tblLook w:val="04A0" w:firstRow="1" w:lastRow="0" w:firstColumn="1" w:lastColumn="0" w:noHBand="0" w:noVBand="1"/>
      </w:tblPr>
      <w:tblGrid>
        <w:gridCol w:w="2070"/>
        <w:gridCol w:w="2050"/>
        <w:gridCol w:w="2060"/>
        <w:gridCol w:w="2028"/>
      </w:tblGrid>
      <w:tr w:rsidR="001A5676" w:rsidRPr="001A5676" w14:paraId="5CF77173" w14:textId="77777777" w:rsidTr="00AD6FDB">
        <w:trPr>
          <w:trHeight w:hRule="exact" w:val="447"/>
        </w:trPr>
        <w:tc>
          <w:tcPr>
            <w:tcW w:w="2224" w:type="dxa"/>
            <w:tcBorders>
              <w:top w:val="single" w:sz="4" w:space="0" w:color="auto"/>
              <w:bottom w:val="single" w:sz="4" w:space="0" w:color="auto"/>
            </w:tcBorders>
          </w:tcPr>
          <w:p w14:paraId="57080C82"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202" w:type="dxa"/>
            <w:tcBorders>
              <w:top w:val="single" w:sz="4" w:space="0" w:color="auto"/>
              <w:bottom w:val="single" w:sz="4" w:space="0" w:color="auto"/>
            </w:tcBorders>
          </w:tcPr>
          <w:p w14:paraId="6AD4AE5E"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199" w:type="dxa"/>
            <w:tcBorders>
              <w:top w:val="single" w:sz="4" w:space="0" w:color="auto"/>
              <w:bottom w:val="single" w:sz="4" w:space="0" w:color="auto"/>
            </w:tcBorders>
          </w:tcPr>
          <w:p w14:paraId="7C322F80"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163" w:type="dxa"/>
            <w:tcBorders>
              <w:top w:val="single" w:sz="4" w:space="0" w:color="auto"/>
              <w:bottom w:val="single" w:sz="4" w:space="0" w:color="auto"/>
            </w:tcBorders>
          </w:tcPr>
          <w:p w14:paraId="2C553C4F"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29CEA9D" w14:textId="77777777" w:rsidTr="00AD6FDB">
        <w:trPr>
          <w:trHeight w:hRule="exact" w:val="340"/>
        </w:trPr>
        <w:tc>
          <w:tcPr>
            <w:tcW w:w="2224" w:type="dxa"/>
            <w:tcBorders>
              <w:top w:val="single" w:sz="4" w:space="0" w:color="auto"/>
            </w:tcBorders>
          </w:tcPr>
          <w:p w14:paraId="1BC81EF3"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DAq</w:t>
            </w:r>
            <w:proofErr w:type="spellEnd"/>
          </w:p>
        </w:tc>
        <w:tc>
          <w:tcPr>
            <w:tcW w:w="2202" w:type="dxa"/>
            <w:tcBorders>
              <w:top w:val="single" w:sz="4" w:space="0" w:color="auto"/>
            </w:tcBorders>
          </w:tcPr>
          <w:p w14:paraId="6757FF68"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99" w:type="dxa"/>
            <w:tcBorders>
              <w:top w:val="single" w:sz="4" w:space="0" w:color="auto"/>
            </w:tcBorders>
          </w:tcPr>
          <w:p w14:paraId="35EE1C49" w14:textId="77777777" w:rsidR="001A5676" w:rsidRPr="001A5676" w:rsidRDefault="001A5676" w:rsidP="001A5676">
            <w:pPr>
              <w:pStyle w:val="Body"/>
              <w:spacing w:after="0"/>
              <w:rPr>
                <w:rFonts w:ascii="Arial" w:hAnsi="Arial" w:cs="Arial"/>
              </w:rPr>
            </w:pPr>
            <w:r w:rsidRPr="001A5676">
              <w:rPr>
                <w:rFonts w:ascii="Arial" w:hAnsi="Arial" w:cs="Arial"/>
              </w:rPr>
              <w:t>2248</w:t>
            </w:r>
          </w:p>
        </w:tc>
        <w:tc>
          <w:tcPr>
            <w:tcW w:w="2163" w:type="dxa"/>
            <w:tcBorders>
              <w:top w:val="single" w:sz="4" w:space="0" w:color="auto"/>
            </w:tcBorders>
          </w:tcPr>
          <w:p w14:paraId="0ABFFEC1" w14:textId="77777777" w:rsidR="001A5676" w:rsidRPr="001A5676" w:rsidRDefault="001A5676" w:rsidP="001A5676">
            <w:pPr>
              <w:pStyle w:val="Body"/>
              <w:spacing w:after="0"/>
              <w:rPr>
                <w:rFonts w:ascii="Arial" w:hAnsi="Arial" w:cs="Arial"/>
              </w:rPr>
            </w:pPr>
            <w:r w:rsidRPr="001A5676">
              <w:rPr>
                <w:rFonts w:ascii="Arial" w:hAnsi="Arial" w:cs="Arial"/>
              </w:rPr>
              <w:t>4,4 × 10-4</w:t>
            </w:r>
          </w:p>
        </w:tc>
      </w:tr>
      <w:tr w:rsidR="001A5676" w:rsidRPr="001A5676" w14:paraId="160DE4F7" w14:textId="77777777" w:rsidTr="00AD6FDB">
        <w:trPr>
          <w:trHeight w:hRule="exact" w:val="340"/>
        </w:trPr>
        <w:tc>
          <w:tcPr>
            <w:tcW w:w="2224" w:type="dxa"/>
          </w:tcPr>
          <w:p w14:paraId="58E13ADC"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202" w:type="dxa"/>
          </w:tcPr>
          <w:p w14:paraId="539C021C"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99" w:type="dxa"/>
          </w:tcPr>
          <w:p w14:paraId="2309C424" w14:textId="77777777" w:rsidR="001A5676" w:rsidRPr="001A5676" w:rsidRDefault="001A5676" w:rsidP="001A5676">
            <w:pPr>
              <w:pStyle w:val="Body"/>
              <w:spacing w:after="0"/>
              <w:rPr>
                <w:rFonts w:ascii="Arial" w:hAnsi="Arial" w:cs="Arial"/>
              </w:rPr>
            </w:pPr>
            <w:r w:rsidRPr="001A5676">
              <w:rPr>
                <w:rFonts w:ascii="Arial" w:hAnsi="Arial" w:cs="Arial"/>
              </w:rPr>
              <w:t>2125</w:t>
            </w:r>
          </w:p>
        </w:tc>
        <w:tc>
          <w:tcPr>
            <w:tcW w:w="2163" w:type="dxa"/>
          </w:tcPr>
          <w:p w14:paraId="48B655FF" w14:textId="77777777" w:rsidR="001A5676" w:rsidRPr="001A5676" w:rsidRDefault="001A5676" w:rsidP="001A5676">
            <w:pPr>
              <w:pStyle w:val="Body"/>
              <w:spacing w:after="0"/>
              <w:rPr>
                <w:rFonts w:ascii="Arial" w:hAnsi="Arial" w:cs="Arial"/>
              </w:rPr>
            </w:pPr>
            <w:r w:rsidRPr="001A5676">
              <w:rPr>
                <w:rFonts w:ascii="Arial" w:hAnsi="Arial" w:cs="Arial"/>
              </w:rPr>
              <w:t>4,7 × 10-4</w:t>
            </w:r>
          </w:p>
        </w:tc>
      </w:tr>
      <w:tr w:rsidR="001A5676" w:rsidRPr="001A5676" w14:paraId="65D07593" w14:textId="77777777" w:rsidTr="00AD6FDB">
        <w:trPr>
          <w:trHeight w:hRule="exact" w:val="340"/>
        </w:trPr>
        <w:tc>
          <w:tcPr>
            <w:tcW w:w="2224" w:type="dxa"/>
          </w:tcPr>
          <w:p w14:paraId="2E159C97"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2202" w:type="dxa"/>
          </w:tcPr>
          <w:p w14:paraId="0E2523ED"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99" w:type="dxa"/>
          </w:tcPr>
          <w:p w14:paraId="41DFF11F" w14:textId="77777777" w:rsidR="001A5676" w:rsidRPr="001A5676" w:rsidRDefault="001A5676" w:rsidP="001A5676">
            <w:pPr>
              <w:pStyle w:val="Body"/>
              <w:spacing w:after="0"/>
              <w:rPr>
                <w:rFonts w:ascii="Arial" w:hAnsi="Arial" w:cs="Arial"/>
              </w:rPr>
            </w:pPr>
            <w:r w:rsidRPr="001A5676">
              <w:rPr>
                <w:rFonts w:ascii="Arial" w:hAnsi="Arial" w:cs="Arial"/>
              </w:rPr>
              <w:t>1897</w:t>
            </w:r>
          </w:p>
        </w:tc>
        <w:tc>
          <w:tcPr>
            <w:tcW w:w="2163" w:type="dxa"/>
          </w:tcPr>
          <w:p w14:paraId="47320AAD" w14:textId="77777777" w:rsidR="001A5676" w:rsidRPr="001A5676" w:rsidRDefault="001A5676" w:rsidP="001A5676">
            <w:pPr>
              <w:pStyle w:val="Body"/>
              <w:spacing w:after="0"/>
              <w:rPr>
                <w:rFonts w:ascii="Arial" w:hAnsi="Arial" w:cs="Arial"/>
              </w:rPr>
            </w:pPr>
            <w:r w:rsidRPr="001A5676">
              <w:rPr>
                <w:rFonts w:ascii="Arial" w:hAnsi="Arial" w:cs="Arial"/>
              </w:rPr>
              <w:t>5,2 × 10-4</w:t>
            </w:r>
          </w:p>
        </w:tc>
      </w:tr>
      <w:tr w:rsidR="001A5676" w:rsidRPr="001A5676" w14:paraId="288313DA" w14:textId="77777777" w:rsidTr="00AD6FDB">
        <w:trPr>
          <w:trHeight w:hRule="exact" w:val="340"/>
        </w:trPr>
        <w:tc>
          <w:tcPr>
            <w:tcW w:w="2224" w:type="dxa"/>
          </w:tcPr>
          <w:p w14:paraId="093B635E"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202" w:type="dxa"/>
          </w:tcPr>
          <w:p w14:paraId="465FD441"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99" w:type="dxa"/>
          </w:tcPr>
          <w:p w14:paraId="655EA9E9" w14:textId="77777777" w:rsidR="001A5676" w:rsidRPr="001A5676" w:rsidRDefault="001A5676" w:rsidP="001A5676">
            <w:pPr>
              <w:pStyle w:val="Body"/>
              <w:spacing w:after="0"/>
              <w:rPr>
                <w:rFonts w:ascii="Arial" w:hAnsi="Arial" w:cs="Arial"/>
              </w:rPr>
            </w:pPr>
            <w:r w:rsidRPr="001A5676">
              <w:rPr>
                <w:rFonts w:ascii="Arial" w:hAnsi="Arial" w:cs="Arial"/>
              </w:rPr>
              <w:t>1582</w:t>
            </w:r>
          </w:p>
        </w:tc>
        <w:tc>
          <w:tcPr>
            <w:tcW w:w="2163" w:type="dxa"/>
          </w:tcPr>
          <w:p w14:paraId="7BA949D9" w14:textId="77777777" w:rsidR="001A5676" w:rsidRPr="001A5676" w:rsidRDefault="001A5676" w:rsidP="001A5676">
            <w:pPr>
              <w:pStyle w:val="Body"/>
              <w:spacing w:after="0"/>
              <w:rPr>
                <w:rFonts w:ascii="Arial" w:hAnsi="Arial" w:cs="Arial"/>
              </w:rPr>
            </w:pPr>
            <w:r w:rsidRPr="001A5676">
              <w:rPr>
                <w:rFonts w:ascii="Arial" w:hAnsi="Arial" w:cs="Arial"/>
              </w:rPr>
              <w:t>6,3 × 10-4</w:t>
            </w:r>
          </w:p>
        </w:tc>
      </w:tr>
      <w:tr w:rsidR="001A5676" w:rsidRPr="001A5676" w14:paraId="4EC1A6B0" w14:textId="77777777" w:rsidTr="00AD6FDB">
        <w:trPr>
          <w:trHeight w:hRule="exact" w:val="340"/>
        </w:trPr>
        <w:tc>
          <w:tcPr>
            <w:tcW w:w="2224" w:type="dxa"/>
          </w:tcPr>
          <w:p w14:paraId="479D5C26" w14:textId="77777777" w:rsidR="001A5676" w:rsidRPr="001A5676" w:rsidRDefault="001A5676" w:rsidP="001A5676">
            <w:pPr>
              <w:pStyle w:val="Body"/>
              <w:spacing w:after="0"/>
              <w:rPr>
                <w:rFonts w:ascii="Arial" w:hAnsi="Arial" w:cs="Arial"/>
              </w:rPr>
            </w:pPr>
            <w:r w:rsidRPr="001A5676">
              <w:rPr>
                <w:rFonts w:ascii="Arial" w:hAnsi="Arial" w:cs="Arial"/>
              </w:rPr>
              <w:t>Vit c</w:t>
            </w:r>
          </w:p>
        </w:tc>
        <w:tc>
          <w:tcPr>
            <w:tcW w:w="2202" w:type="dxa"/>
          </w:tcPr>
          <w:p w14:paraId="7AE5025B"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99" w:type="dxa"/>
          </w:tcPr>
          <w:p w14:paraId="3E98541F" w14:textId="77777777" w:rsidR="001A5676" w:rsidRPr="001A5676" w:rsidRDefault="001A5676" w:rsidP="001A5676">
            <w:pPr>
              <w:pStyle w:val="Body"/>
              <w:spacing w:after="0"/>
              <w:rPr>
                <w:rFonts w:ascii="Arial" w:hAnsi="Arial" w:cs="Arial"/>
              </w:rPr>
            </w:pPr>
            <w:r w:rsidRPr="001A5676">
              <w:rPr>
                <w:rFonts w:ascii="Arial" w:hAnsi="Arial" w:cs="Arial"/>
              </w:rPr>
              <w:t>1323</w:t>
            </w:r>
          </w:p>
        </w:tc>
        <w:tc>
          <w:tcPr>
            <w:tcW w:w="2163" w:type="dxa"/>
          </w:tcPr>
          <w:p w14:paraId="74DFF4DD" w14:textId="77777777" w:rsidR="001A5676" w:rsidRPr="001A5676" w:rsidRDefault="001A5676" w:rsidP="001A5676">
            <w:pPr>
              <w:pStyle w:val="Body"/>
              <w:spacing w:after="0"/>
              <w:rPr>
                <w:rFonts w:ascii="Arial" w:hAnsi="Arial" w:cs="Arial"/>
              </w:rPr>
            </w:pPr>
            <w:r w:rsidRPr="001A5676">
              <w:rPr>
                <w:rFonts w:ascii="Arial" w:hAnsi="Arial" w:cs="Arial"/>
              </w:rPr>
              <w:t>7,5 × 10-4</w:t>
            </w:r>
          </w:p>
        </w:tc>
      </w:tr>
    </w:tbl>
    <w:p w14:paraId="7624970F" w14:textId="77777777" w:rsidR="001A5676" w:rsidRDefault="001A5676" w:rsidP="001A5676">
      <w:pPr>
        <w:pStyle w:val="Body"/>
        <w:spacing w:after="0"/>
        <w:rPr>
          <w:rFonts w:ascii="Arial" w:hAnsi="Arial" w:cs="Arial"/>
          <w:i/>
          <w:iCs/>
        </w:rPr>
      </w:pPr>
      <w:r w:rsidRPr="00EE7F92">
        <w:rPr>
          <w:rFonts w:ascii="Arial" w:hAnsi="Arial" w:cs="Arial"/>
          <w:i/>
          <w:iCs/>
        </w:rPr>
        <w:t xml:space="preserve">Dec </w:t>
      </w:r>
      <w:proofErr w:type="gramStart"/>
      <w:r w:rsidRPr="00EE7F92">
        <w:rPr>
          <w:rFonts w:ascii="Arial" w:hAnsi="Arial" w:cs="Arial"/>
          <w:i/>
          <w:iCs/>
        </w:rPr>
        <w:t>ED :</w:t>
      </w:r>
      <w:proofErr w:type="gramEnd"/>
      <w:r w:rsidRPr="00EE7F92">
        <w:rPr>
          <w:rFonts w:ascii="Arial" w:hAnsi="Arial" w:cs="Arial"/>
          <w:i/>
          <w:iCs/>
        </w:rPr>
        <w:t xml:space="preserve"> Aqueous decoction; Mac ED : Aqueous maceration; ED+AC : Hydroethanolic maceration; Vit C : Vitamin C; BHT : Butyl Hydroxy Toluene.</w:t>
      </w:r>
    </w:p>
    <w:p w14:paraId="418D46D0" w14:textId="77777777" w:rsidR="00EE7F92" w:rsidRPr="00EE7F92" w:rsidRDefault="00EE7F92" w:rsidP="001A5676">
      <w:pPr>
        <w:pStyle w:val="Body"/>
        <w:spacing w:after="0"/>
        <w:rPr>
          <w:rFonts w:ascii="Arial" w:hAnsi="Arial" w:cs="Arial"/>
          <w:i/>
          <w:iCs/>
        </w:rPr>
      </w:pPr>
    </w:p>
    <w:p w14:paraId="74C41494" w14:textId="77777777" w:rsidR="001A5676" w:rsidRDefault="001A5676" w:rsidP="001A5676">
      <w:pPr>
        <w:pStyle w:val="Body"/>
        <w:spacing w:after="0"/>
        <w:rPr>
          <w:rFonts w:ascii="Arial" w:hAnsi="Arial" w:cs="Arial"/>
        </w:rPr>
      </w:pPr>
      <w:r w:rsidRPr="001A5676">
        <w:rPr>
          <w:rFonts w:ascii="Arial" w:hAnsi="Arial" w:cs="Arial"/>
        </w:rPr>
        <w:t xml:space="preserve">According to Table 5, the hydroethanolic extract with an IC50 &lt; 20 µg/ml exhibits strong antioxidant activity. Aqueous extracts with IC50 &lt; 20 µg/ml, on the other hand, have moderate </w:t>
      </w:r>
      <w:r w:rsidRPr="001A5676">
        <w:rPr>
          <w:rFonts w:ascii="Arial" w:hAnsi="Arial" w:cs="Arial"/>
        </w:rPr>
        <w:lastRenderedPageBreak/>
        <w:t>activity. The hydroethanolic extract demonstrates the best inhibition with an IC50 of 18.97 µg/ml compared to aqueous extracts including aqueous decoction (IC50 of 22.48) and aqueous maceration (IC50 of 21.25) respectively. Its free radical scavenging capacity is 1.18 times greater than that of the extract obtained by aqueous decoction and 1.12 times greater than that of the extract obtained by aqueous maceration. The hydroethanolic extract exhibits superior free radical scavenging activity compared to aqueous extracts. Since vitamin C and BHT are reference compounds, the free radical scavenging capacity of the hydroethanolic extract is closer to that of BHT.</w:t>
      </w:r>
    </w:p>
    <w:p w14:paraId="66A90AAF" w14:textId="77777777" w:rsidR="00EE7F92" w:rsidRPr="001A5676" w:rsidRDefault="00EE7F92" w:rsidP="001A5676">
      <w:pPr>
        <w:pStyle w:val="Body"/>
        <w:spacing w:after="0"/>
        <w:rPr>
          <w:rFonts w:ascii="Arial" w:hAnsi="Arial" w:cs="Arial"/>
        </w:rPr>
      </w:pPr>
    </w:p>
    <w:p w14:paraId="215674F8" w14:textId="4B7BDEEE" w:rsidR="001A5676" w:rsidRPr="00EE7F92" w:rsidRDefault="00EE7F92" w:rsidP="001A5676">
      <w:pPr>
        <w:pStyle w:val="Body"/>
        <w:spacing w:after="0"/>
        <w:rPr>
          <w:rFonts w:ascii="Arial" w:hAnsi="Arial" w:cs="Arial"/>
          <w:b/>
          <w:bCs/>
        </w:rPr>
      </w:pPr>
      <w:bookmarkStart w:id="46" w:name="_Toc137924744"/>
      <w:r>
        <w:rPr>
          <w:rFonts w:ascii="Arial" w:hAnsi="Arial" w:cs="Arial"/>
          <w:b/>
          <w:bCs/>
        </w:rPr>
        <w:t>3</w:t>
      </w:r>
      <w:r w:rsidR="001A5676" w:rsidRPr="00EE7F92">
        <w:rPr>
          <w:rFonts w:ascii="Arial" w:hAnsi="Arial" w:cs="Arial"/>
          <w:b/>
          <w:bCs/>
        </w:rPr>
        <w:t>.3.2. DPPH (1,1-diphenyl-2-picrylhydrazyl) radical trapping</w:t>
      </w:r>
      <w:bookmarkEnd w:id="46"/>
    </w:p>
    <w:p w14:paraId="0CD203AC" w14:textId="77777777" w:rsidR="001A5676" w:rsidRPr="001A5676" w:rsidRDefault="001A5676" w:rsidP="001A5676">
      <w:pPr>
        <w:pStyle w:val="Body"/>
        <w:spacing w:after="0"/>
        <w:rPr>
          <w:rFonts w:ascii="Arial" w:hAnsi="Arial" w:cs="Arial"/>
        </w:rPr>
      </w:pPr>
      <w:r w:rsidRPr="001A5676">
        <w:rPr>
          <w:rFonts w:ascii="Arial" w:hAnsi="Arial" w:cs="Arial"/>
        </w:rPr>
        <w:t>The free radical scavenging activity was determined by evaluating the percentages of DPPH scavenging as a function of different extract concentrations and references (vitamin C, BHT). The results obtained are shown in the figure below:</w:t>
      </w:r>
    </w:p>
    <w:p w14:paraId="6FE38C16" w14:textId="77777777" w:rsidR="001A5676" w:rsidRPr="001A5676" w:rsidRDefault="001A5676" w:rsidP="001A5676">
      <w:pPr>
        <w:pStyle w:val="Body"/>
        <w:spacing w:after="0"/>
        <w:rPr>
          <w:rFonts w:ascii="Arial" w:hAnsi="Arial" w:cs="Arial"/>
        </w:rPr>
      </w:pPr>
      <w:r w:rsidRPr="001A5676">
        <w:rPr>
          <w:rFonts w:ascii="Arial" w:hAnsi="Arial" w:cs="Arial"/>
          <w:noProof/>
        </w:rPr>
        <w:drawing>
          <wp:inline distT="0" distB="0" distL="0" distR="0" wp14:anchorId="29AED68E" wp14:editId="3369D037">
            <wp:extent cx="5280454" cy="2767330"/>
            <wp:effectExtent l="0" t="0" r="15875" b="13970"/>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822773" w14:textId="1A29183A" w:rsidR="001A5676" w:rsidRPr="00EE7F92" w:rsidRDefault="001A5676" w:rsidP="001A5676">
      <w:pPr>
        <w:pStyle w:val="Body"/>
        <w:spacing w:after="0"/>
        <w:rPr>
          <w:rFonts w:ascii="Arial" w:hAnsi="Arial" w:cs="Arial"/>
          <w:b/>
          <w:bCs/>
          <w:i/>
          <w:iCs/>
        </w:rPr>
      </w:pPr>
      <w:bookmarkStart w:id="47" w:name="_Toc138056794"/>
      <w:r w:rsidRPr="00EE7F92">
        <w:rPr>
          <w:rFonts w:ascii="Arial" w:hAnsi="Arial" w:cs="Arial"/>
          <w:b/>
          <w:bCs/>
          <w:i/>
          <w:iCs/>
        </w:rPr>
        <w:t xml:space="preserve">Figure 2: Variation in the percentage of DPPH scavenging as a function of the concentration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Vit C and BHT</w:t>
      </w:r>
      <w:bookmarkEnd w:id="47"/>
    </w:p>
    <w:p w14:paraId="27301935" w14:textId="77777777" w:rsidR="001A5676" w:rsidRPr="00EE7F92" w:rsidRDefault="001A5676" w:rsidP="001A5676">
      <w:pPr>
        <w:pStyle w:val="Body"/>
        <w:spacing w:after="0"/>
        <w:rPr>
          <w:rFonts w:ascii="Arial" w:hAnsi="Arial" w:cs="Arial"/>
          <w:i/>
          <w:iCs/>
        </w:rPr>
      </w:pPr>
      <w:r w:rsidRPr="00EE7F92">
        <w:rPr>
          <w:rFonts w:ascii="Arial" w:hAnsi="Arial" w:cs="Arial"/>
          <w:i/>
          <w:iCs/>
        </w:rPr>
        <w:t xml:space="preserve">Dec </w:t>
      </w:r>
      <w:proofErr w:type="gramStart"/>
      <w:r w:rsidRPr="00EE7F92">
        <w:rPr>
          <w:rFonts w:ascii="Arial" w:hAnsi="Arial" w:cs="Arial"/>
          <w:i/>
          <w:iCs/>
        </w:rPr>
        <w:t>ED :</w:t>
      </w:r>
      <w:proofErr w:type="gramEnd"/>
      <w:r w:rsidRPr="00EE7F92">
        <w:rPr>
          <w:rFonts w:ascii="Arial" w:hAnsi="Arial" w:cs="Arial"/>
          <w:i/>
          <w:iCs/>
        </w:rPr>
        <w:t xml:space="preserve"> Aqueous decoction; Mac ED : Aqueous maceration; ED+AC : Hydroethanolic maceration; Vit C : Vitamin C; BHT : Butyl Hydroxy Toluene.</w:t>
      </w:r>
    </w:p>
    <w:p w14:paraId="7B43C318" w14:textId="77777777" w:rsidR="001A5676" w:rsidRDefault="001A5676" w:rsidP="001A5676">
      <w:pPr>
        <w:pStyle w:val="Body"/>
        <w:spacing w:after="0"/>
        <w:rPr>
          <w:rFonts w:ascii="Arial" w:hAnsi="Arial" w:cs="Arial"/>
        </w:rPr>
      </w:pPr>
      <w:r w:rsidRPr="001A5676">
        <w:rPr>
          <w:rFonts w:ascii="Arial" w:hAnsi="Arial" w:cs="Arial"/>
        </w:rPr>
        <w:t>Figure 2 shows that the trapping percentages increase with extract concentrations. These inhibition percentages yielded the IC50, EC50, and PA values shown in Table 6.</w:t>
      </w:r>
    </w:p>
    <w:p w14:paraId="167F93B7" w14:textId="77777777" w:rsidR="00EE7F92" w:rsidRPr="001A5676" w:rsidRDefault="00EE7F92" w:rsidP="001A5676">
      <w:pPr>
        <w:pStyle w:val="Body"/>
        <w:spacing w:after="0"/>
        <w:rPr>
          <w:rFonts w:ascii="Arial" w:hAnsi="Arial" w:cs="Arial"/>
        </w:rPr>
      </w:pPr>
    </w:p>
    <w:p w14:paraId="3007241B" w14:textId="77777777" w:rsidR="001A5676" w:rsidRPr="00EE7F92" w:rsidRDefault="001A5676" w:rsidP="001A5676">
      <w:pPr>
        <w:pStyle w:val="Body"/>
        <w:spacing w:after="0"/>
        <w:rPr>
          <w:rFonts w:ascii="Arial" w:hAnsi="Arial" w:cs="Arial"/>
          <w:b/>
          <w:bCs/>
          <w:i/>
          <w:iCs/>
        </w:rPr>
      </w:pPr>
      <w:bookmarkStart w:id="48" w:name="_Toc137921297"/>
      <w:bookmarkStart w:id="49" w:name="_Toc137923801"/>
      <w:r w:rsidRPr="00EE7F92">
        <w:rPr>
          <w:rFonts w:ascii="Arial" w:hAnsi="Arial" w:cs="Arial"/>
          <w:b/>
          <w:bCs/>
          <w:i/>
          <w:iCs/>
        </w:rPr>
        <w:t>Table 6: IC50, EC50 and PA values obtained by the DPPH method</w:t>
      </w:r>
      <w:bookmarkEnd w:id="48"/>
      <w:bookmarkEnd w:id="49"/>
    </w:p>
    <w:tbl>
      <w:tblPr>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045"/>
        <w:gridCol w:w="2035"/>
        <w:gridCol w:w="2064"/>
        <w:gridCol w:w="2064"/>
      </w:tblGrid>
      <w:tr w:rsidR="001A5676" w:rsidRPr="001A5676" w14:paraId="22FDA869" w14:textId="77777777" w:rsidTr="00AD6FDB">
        <w:trPr>
          <w:trHeight w:val="308"/>
        </w:trPr>
        <w:tc>
          <w:tcPr>
            <w:tcW w:w="2471" w:type="dxa"/>
            <w:tcBorders>
              <w:top w:val="single" w:sz="4" w:space="0" w:color="auto"/>
              <w:bottom w:val="single" w:sz="4" w:space="0" w:color="auto"/>
            </w:tcBorders>
            <w:shd w:val="clear" w:color="auto" w:fill="FFFFFF" w:themeFill="background1"/>
          </w:tcPr>
          <w:p w14:paraId="1D00FD8C" w14:textId="77777777" w:rsidR="001A5676" w:rsidRPr="001A5676" w:rsidRDefault="001A5676" w:rsidP="001A5676">
            <w:pPr>
              <w:pStyle w:val="Body"/>
              <w:spacing w:after="0"/>
              <w:rPr>
                <w:rFonts w:ascii="Arial" w:hAnsi="Arial" w:cs="Arial"/>
              </w:rPr>
            </w:pPr>
            <w:r w:rsidRPr="001A5676">
              <w:rPr>
                <w:rFonts w:ascii="Arial" w:hAnsi="Arial" w:cs="Arial"/>
              </w:rPr>
              <w:t>Extract</w:t>
            </w:r>
          </w:p>
        </w:tc>
        <w:tc>
          <w:tcPr>
            <w:tcW w:w="2472" w:type="dxa"/>
            <w:tcBorders>
              <w:top w:val="single" w:sz="4" w:space="0" w:color="auto"/>
              <w:bottom w:val="single" w:sz="4" w:space="0" w:color="auto"/>
            </w:tcBorders>
            <w:shd w:val="clear" w:color="auto" w:fill="FFFFFF" w:themeFill="background1"/>
          </w:tcPr>
          <w:p w14:paraId="4A0BA040" w14:textId="77777777" w:rsidR="001A5676" w:rsidRPr="001A5676" w:rsidRDefault="001A5676" w:rsidP="001A5676">
            <w:pPr>
              <w:pStyle w:val="Body"/>
              <w:spacing w:after="0"/>
              <w:rPr>
                <w:rFonts w:ascii="Arial" w:hAnsi="Arial" w:cs="Arial"/>
              </w:rPr>
            </w:pPr>
            <w:r w:rsidRPr="001A5676">
              <w:rPr>
                <w:rFonts w:ascii="Arial" w:hAnsi="Arial" w:cs="Arial"/>
              </w:rPr>
              <w:t>IC 50 (µg/ml)</w:t>
            </w:r>
          </w:p>
        </w:tc>
        <w:tc>
          <w:tcPr>
            <w:tcW w:w="2472" w:type="dxa"/>
            <w:tcBorders>
              <w:top w:val="single" w:sz="4" w:space="0" w:color="auto"/>
              <w:bottom w:val="single" w:sz="4" w:space="0" w:color="auto"/>
            </w:tcBorders>
            <w:shd w:val="clear" w:color="auto" w:fill="FFFFFF" w:themeFill="background1"/>
          </w:tcPr>
          <w:p w14:paraId="3B0FA086" w14:textId="77777777" w:rsidR="001A5676" w:rsidRPr="001A5676" w:rsidRDefault="001A5676" w:rsidP="001A5676">
            <w:pPr>
              <w:pStyle w:val="Body"/>
              <w:spacing w:after="0"/>
              <w:rPr>
                <w:rFonts w:ascii="Arial" w:hAnsi="Arial" w:cs="Arial"/>
              </w:rPr>
            </w:pPr>
            <w:r w:rsidRPr="001A5676">
              <w:rPr>
                <w:rFonts w:ascii="Arial" w:hAnsi="Arial" w:cs="Arial"/>
              </w:rPr>
              <w:t>EC 50 (µg/mol)</w:t>
            </w:r>
          </w:p>
        </w:tc>
        <w:tc>
          <w:tcPr>
            <w:tcW w:w="2472" w:type="dxa"/>
            <w:tcBorders>
              <w:top w:val="single" w:sz="4" w:space="0" w:color="auto"/>
              <w:bottom w:val="single" w:sz="4" w:space="0" w:color="auto"/>
            </w:tcBorders>
            <w:shd w:val="clear" w:color="auto" w:fill="FFFFFF" w:themeFill="background1"/>
          </w:tcPr>
          <w:p w14:paraId="618E1662" w14:textId="77777777" w:rsidR="001A5676" w:rsidRPr="001A5676" w:rsidRDefault="001A5676" w:rsidP="001A5676">
            <w:pPr>
              <w:pStyle w:val="Body"/>
              <w:spacing w:after="0"/>
              <w:rPr>
                <w:rFonts w:ascii="Arial" w:hAnsi="Arial" w:cs="Arial"/>
              </w:rPr>
            </w:pPr>
            <w:r w:rsidRPr="001A5676">
              <w:rPr>
                <w:rFonts w:ascii="Arial" w:hAnsi="Arial" w:cs="Arial"/>
              </w:rPr>
              <w:t>PA (mol/µg)</w:t>
            </w:r>
          </w:p>
        </w:tc>
      </w:tr>
      <w:tr w:rsidR="001A5676" w:rsidRPr="001A5676" w14:paraId="0F60BD59" w14:textId="77777777" w:rsidTr="00AD6FDB">
        <w:tc>
          <w:tcPr>
            <w:tcW w:w="2471" w:type="dxa"/>
            <w:tcBorders>
              <w:top w:val="single" w:sz="4" w:space="0" w:color="auto"/>
            </w:tcBorders>
            <w:shd w:val="clear" w:color="auto" w:fill="FFFFFF" w:themeFill="background1"/>
          </w:tcPr>
          <w:p w14:paraId="783292D1"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DAq</w:t>
            </w:r>
            <w:proofErr w:type="spellEnd"/>
          </w:p>
        </w:tc>
        <w:tc>
          <w:tcPr>
            <w:tcW w:w="2472" w:type="dxa"/>
            <w:tcBorders>
              <w:top w:val="single" w:sz="4" w:space="0" w:color="auto"/>
            </w:tcBorders>
            <w:shd w:val="clear" w:color="auto" w:fill="FFFFFF" w:themeFill="background1"/>
          </w:tcPr>
          <w:p w14:paraId="4737517D" w14:textId="77777777" w:rsidR="001A5676" w:rsidRPr="001A5676" w:rsidRDefault="001A5676" w:rsidP="001A5676">
            <w:pPr>
              <w:pStyle w:val="Body"/>
              <w:spacing w:after="0"/>
              <w:rPr>
                <w:rFonts w:ascii="Arial" w:hAnsi="Arial" w:cs="Arial"/>
              </w:rPr>
            </w:pPr>
            <w:r w:rsidRPr="001A5676">
              <w:rPr>
                <w:rFonts w:ascii="Arial" w:hAnsi="Arial" w:cs="Arial"/>
              </w:rPr>
              <w:t>17.12</w:t>
            </w:r>
          </w:p>
        </w:tc>
        <w:tc>
          <w:tcPr>
            <w:tcW w:w="2472" w:type="dxa"/>
            <w:tcBorders>
              <w:top w:val="single" w:sz="4" w:space="0" w:color="auto"/>
            </w:tcBorders>
            <w:shd w:val="clear" w:color="auto" w:fill="FFFFFF" w:themeFill="background1"/>
          </w:tcPr>
          <w:p w14:paraId="303E021A" w14:textId="77777777" w:rsidR="001A5676" w:rsidRPr="001A5676" w:rsidRDefault="001A5676" w:rsidP="001A5676">
            <w:pPr>
              <w:pStyle w:val="Body"/>
              <w:spacing w:after="0"/>
              <w:rPr>
                <w:rFonts w:ascii="Arial" w:hAnsi="Arial" w:cs="Arial"/>
              </w:rPr>
            </w:pPr>
            <w:r w:rsidRPr="001A5676">
              <w:rPr>
                <w:rFonts w:ascii="Arial" w:hAnsi="Arial" w:cs="Arial"/>
              </w:rPr>
              <w:t>488</w:t>
            </w:r>
          </w:p>
        </w:tc>
        <w:tc>
          <w:tcPr>
            <w:tcW w:w="2472" w:type="dxa"/>
            <w:tcBorders>
              <w:top w:val="single" w:sz="4" w:space="0" w:color="auto"/>
            </w:tcBorders>
            <w:shd w:val="clear" w:color="auto" w:fill="FFFFFF" w:themeFill="background1"/>
          </w:tcPr>
          <w:p w14:paraId="55E3632E" w14:textId="77777777" w:rsidR="001A5676" w:rsidRPr="001A5676" w:rsidRDefault="001A5676" w:rsidP="001A5676">
            <w:pPr>
              <w:pStyle w:val="Body"/>
              <w:spacing w:after="0"/>
              <w:rPr>
                <w:rFonts w:ascii="Arial" w:hAnsi="Arial" w:cs="Arial"/>
              </w:rPr>
            </w:pPr>
            <w:r w:rsidRPr="001A5676">
              <w:rPr>
                <w:rFonts w:ascii="Arial" w:hAnsi="Arial" w:cs="Arial"/>
              </w:rPr>
              <w:t>2.3 × 10</w:t>
            </w:r>
            <w:r w:rsidRPr="001A5676">
              <w:rPr>
                <w:rFonts w:ascii="Cambria Math" w:hAnsi="Cambria Math" w:cs="Cambria Math"/>
              </w:rPr>
              <w:t>⁻</w:t>
            </w:r>
            <w:r w:rsidRPr="001A5676">
              <w:rPr>
                <w:rFonts w:ascii="Arial" w:hAnsi="Arial" w:cs="Arial"/>
              </w:rPr>
              <w:t>³</w:t>
            </w:r>
          </w:p>
        </w:tc>
      </w:tr>
      <w:tr w:rsidR="001A5676" w:rsidRPr="001A5676" w14:paraId="3B98C2CF" w14:textId="77777777" w:rsidTr="00AD6FDB">
        <w:tc>
          <w:tcPr>
            <w:tcW w:w="2471" w:type="dxa"/>
            <w:shd w:val="clear" w:color="auto" w:fill="FFFFFF" w:themeFill="background1"/>
          </w:tcPr>
          <w:p w14:paraId="0D4CA673"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MAq</w:t>
            </w:r>
            <w:proofErr w:type="spellEnd"/>
          </w:p>
        </w:tc>
        <w:tc>
          <w:tcPr>
            <w:tcW w:w="2472" w:type="dxa"/>
            <w:shd w:val="clear" w:color="auto" w:fill="FFFFFF" w:themeFill="background1"/>
          </w:tcPr>
          <w:p w14:paraId="509A3636" w14:textId="77777777" w:rsidR="001A5676" w:rsidRPr="001A5676" w:rsidRDefault="001A5676" w:rsidP="001A5676">
            <w:pPr>
              <w:pStyle w:val="Body"/>
              <w:spacing w:after="0"/>
              <w:rPr>
                <w:rFonts w:ascii="Arial" w:hAnsi="Arial" w:cs="Arial"/>
              </w:rPr>
            </w:pPr>
            <w:r w:rsidRPr="001A5676">
              <w:rPr>
                <w:rFonts w:ascii="Arial" w:hAnsi="Arial" w:cs="Arial"/>
              </w:rPr>
              <w:t>19.97</w:t>
            </w:r>
          </w:p>
        </w:tc>
        <w:tc>
          <w:tcPr>
            <w:tcW w:w="2472" w:type="dxa"/>
            <w:shd w:val="clear" w:color="auto" w:fill="FFFFFF" w:themeFill="background1"/>
          </w:tcPr>
          <w:p w14:paraId="471E8471" w14:textId="77777777" w:rsidR="001A5676" w:rsidRPr="001A5676" w:rsidRDefault="001A5676" w:rsidP="001A5676">
            <w:pPr>
              <w:pStyle w:val="Body"/>
              <w:spacing w:after="0"/>
              <w:rPr>
                <w:rFonts w:ascii="Arial" w:hAnsi="Arial" w:cs="Arial"/>
              </w:rPr>
            </w:pPr>
            <w:r w:rsidRPr="001A5676">
              <w:rPr>
                <w:rFonts w:ascii="Arial" w:hAnsi="Arial" w:cs="Arial"/>
              </w:rPr>
              <w:t>499.25</w:t>
            </w:r>
          </w:p>
        </w:tc>
        <w:tc>
          <w:tcPr>
            <w:tcW w:w="2472" w:type="dxa"/>
            <w:shd w:val="clear" w:color="auto" w:fill="FFFFFF" w:themeFill="background1"/>
          </w:tcPr>
          <w:p w14:paraId="78CBC02F" w14:textId="77777777" w:rsidR="001A5676" w:rsidRPr="001A5676" w:rsidRDefault="001A5676" w:rsidP="001A5676">
            <w:pPr>
              <w:pStyle w:val="Body"/>
              <w:spacing w:after="0"/>
              <w:rPr>
                <w:rFonts w:ascii="Arial" w:hAnsi="Arial" w:cs="Arial"/>
              </w:rPr>
            </w:pPr>
            <w:r w:rsidRPr="001A5676">
              <w:rPr>
                <w:rFonts w:ascii="Arial" w:hAnsi="Arial" w:cs="Arial"/>
              </w:rPr>
              <w:t>2 × 10</w:t>
            </w:r>
            <w:r w:rsidRPr="001A5676">
              <w:rPr>
                <w:rFonts w:ascii="Cambria Math" w:hAnsi="Cambria Math" w:cs="Cambria Math"/>
              </w:rPr>
              <w:t>⁻</w:t>
            </w:r>
            <w:r w:rsidRPr="001A5676">
              <w:rPr>
                <w:rFonts w:ascii="Arial" w:hAnsi="Arial" w:cs="Arial"/>
              </w:rPr>
              <w:t>³</w:t>
            </w:r>
          </w:p>
        </w:tc>
      </w:tr>
      <w:tr w:rsidR="001A5676" w:rsidRPr="001A5676" w14:paraId="650543D3" w14:textId="77777777" w:rsidTr="00AD6FDB">
        <w:tc>
          <w:tcPr>
            <w:tcW w:w="2471" w:type="dxa"/>
            <w:shd w:val="clear" w:color="auto" w:fill="FFFFFF" w:themeFill="background1"/>
          </w:tcPr>
          <w:p w14:paraId="6E76633A" w14:textId="77777777" w:rsidR="001A5676" w:rsidRPr="001A5676" w:rsidRDefault="001A5676" w:rsidP="001A5676">
            <w:pPr>
              <w:pStyle w:val="Body"/>
              <w:spacing w:after="0"/>
              <w:rPr>
                <w:rFonts w:ascii="Arial" w:hAnsi="Arial" w:cs="Arial"/>
              </w:rPr>
            </w:pPr>
            <w:proofErr w:type="spellStart"/>
            <w:r w:rsidRPr="001A5676">
              <w:rPr>
                <w:rFonts w:ascii="Arial" w:hAnsi="Arial" w:cs="Arial"/>
              </w:rPr>
              <w:t>MHe</w:t>
            </w:r>
            <w:proofErr w:type="spellEnd"/>
          </w:p>
        </w:tc>
        <w:tc>
          <w:tcPr>
            <w:tcW w:w="2472" w:type="dxa"/>
            <w:shd w:val="clear" w:color="auto" w:fill="FFFFFF" w:themeFill="background1"/>
          </w:tcPr>
          <w:p w14:paraId="4EC994B7" w14:textId="77777777" w:rsidR="001A5676" w:rsidRPr="001A5676" w:rsidRDefault="001A5676" w:rsidP="001A5676">
            <w:pPr>
              <w:pStyle w:val="Body"/>
              <w:spacing w:after="0"/>
              <w:rPr>
                <w:rFonts w:ascii="Arial" w:hAnsi="Arial" w:cs="Arial"/>
              </w:rPr>
            </w:pPr>
            <w:r w:rsidRPr="001A5676">
              <w:rPr>
                <w:rFonts w:ascii="Arial" w:hAnsi="Arial" w:cs="Arial"/>
              </w:rPr>
              <w:t>15.71</w:t>
            </w:r>
          </w:p>
        </w:tc>
        <w:tc>
          <w:tcPr>
            <w:tcW w:w="2472" w:type="dxa"/>
            <w:shd w:val="clear" w:color="auto" w:fill="FFFFFF" w:themeFill="background1"/>
          </w:tcPr>
          <w:p w14:paraId="265B1902" w14:textId="77777777" w:rsidR="001A5676" w:rsidRPr="001A5676" w:rsidRDefault="001A5676" w:rsidP="001A5676">
            <w:pPr>
              <w:pStyle w:val="Body"/>
              <w:spacing w:after="0"/>
              <w:rPr>
                <w:rFonts w:ascii="Arial" w:hAnsi="Arial" w:cs="Arial"/>
              </w:rPr>
            </w:pPr>
            <w:r w:rsidRPr="001A5676">
              <w:rPr>
                <w:rFonts w:ascii="Arial" w:hAnsi="Arial" w:cs="Arial"/>
              </w:rPr>
              <w:t>392.75</w:t>
            </w:r>
          </w:p>
        </w:tc>
        <w:tc>
          <w:tcPr>
            <w:tcW w:w="2472" w:type="dxa"/>
            <w:shd w:val="clear" w:color="auto" w:fill="FFFFFF" w:themeFill="background1"/>
          </w:tcPr>
          <w:p w14:paraId="0FDB241E" w14:textId="77777777" w:rsidR="001A5676" w:rsidRPr="001A5676" w:rsidRDefault="001A5676" w:rsidP="001A5676">
            <w:pPr>
              <w:pStyle w:val="Body"/>
              <w:spacing w:after="0"/>
              <w:rPr>
                <w:rFonts w:ascii="Arial" w:hAnsi="Arial" w:cs="Arial"/>
              </w:rPr>
            </w:pPr>
            <w:r w:rsidRPr="001A5676">
              <w:rPr>
                <w:rFonts w:ascii="Arial" w:hAnsi="Arial" w:cs="Arial"/>
              </w:rPr>
              <w:t>2.5 × 10</w:t>
            </w:r>
            <w:r w:rsidRPr="001A5676">
              <w:rPr>
                <w:rFonts w:ascii="Cambria Math" w:hAnsi="Cambria Math" w:cs="Cambria Math"/>
              </w:rPr>
              <w:t>⁻</w:t>
            </w:r>
            <w:r w:rsidRPr="001A5676">
              <w:rPr>
                <w:rFonts w:ascii="Arial" w:hAnsi="Arial" w:cs="Arial"/>
              </w:rPr>
              <w:t>³</w:t>
            </w:r>
          </w:p>
        </w:tc>
      </w:tr>
      <w:tr w:rsidR="001A5676" w:rsidRPr="001A5676" w14:paraId="5A97B922" w14:textId="77777777" w:rsidTr="00AD6FDB">
        <w:tc>
          <w:tcPr>
            <w:tcW w:w="2471" w:type="dxa"/>
            <w:shd w:val="clear" w:color="auto" w:fill="FFFFFF" w:themeFill="background1"/>
          </w:tcPr>
          <w:p w14:paraId="1607E6F2" w14:textId="77777777" w:rsidR="001A5676" w:rsidRPr="001A5676" w:rsidRDefault="001A5676" w:rsidP="001A5676">
            <w:pPr>
              <w:pStyle w:val="Body"/>
              <w:spacing w:after="0"/>
              <w:rPr>
                <w:rFonts w:ascii="Arial" w:hAnsi="Arial" w:cs="Arial"/>
              </w:rPr>
            </w:pPr>
            <w:r w:rsidRPr="001A5676">
              <w:rPr>
                <w:rFonts w:ascii="Arial" w:hAnsi="Arial" w:cs="Arial"/>
              </w:rPr>
              <w:t>BHT</w:t>
            </w:r>
          </w:p>
        </w:tc>
        <w:tc>
          <w:tcPr>
            <w:tcW w:w="2472" w:type="dxa"/>
            <w:shd w:val="clear" w:color="auto" w:fill="FFFFFF" w:themeFill="background1"/>
          </w:tcPr>
          <w:p w14:paraId="48339DF7" w14:textId="77777777" w:rsidR="001A5676" w:rsidRPr="001A5676" w:rsidRDefault="001A5676" w:rsidP="001A5676">
            <w:pPr>
              <w:pStyle w:val="Body"/>
              <w:spacing w:after="0"/>
              <w:rPr>
                <w:rFonts w:ascii="Arial" w:hAnsi="Arial" w:cs="Arial"/>
              </w:rPr>
            </w:pPr>
            <w:r w:rsidRPr="001A5676">
              <w:rPr>
                <w:rFonts w:ascii="Arial" w:hAnsi="Arial" w:cs="Arial"/>
              </w:rPr>
              <w:t>17.91</w:t>
            </w:r>
          </w:p>
        </w:tc>
        <w:tc>
          <w:tcPr>
            <w:tcW w:w="2472" w:type="dxa"/>
            <w:shd w:val="clear" w:color="auto" w:fill="FFFFFF" w:themeFill="background1"/>
          </w:tcPr>
          <w:p w14:paraId="7F3FF494" w14:textId="77777777" w:rsidR="001A5676" w:rsidRPr="001A5676" w:rsidRDefault="001A5676" w:rsidP="001A5676">
            <w:pPr>
              <w:pStyle w:val="Body"/>
              <w:spacing w:after="0"/>
              <w:rPr>
                <w:rFonts w:ascii="Arial" w:hAnsi="Arial" w:cs="Arial"/>
              </w:rPr>
            </w:pPr>
            <w:r w:rsidRPr="001A5676">
              <w:rPr>
                <w:rFonts w:ascii="Arial" w:hAnsi="Arial" w:cs="Arial"/>
              </w:rPr>
              <w:t>447.75</w:t>
            </w:r>
          </w:p>
        </w:tc>
        <w:tc>
          <w:tcPr>
            <w:tcW w:w="2472" w:type="dxa"/>
            <w:shd w:val="clear" w:color="auto" w:fill="FFFFFF" w:themeFill="background1"/>
          </w:tcPr>
          <w:p w14:paraId="5396C887" w14:textId="77777777" w:rsidR="001A5676" w:rsidRPr="001A5676" w:rsidRDefault="001A5676" w:rsidP="001A5676">
            <w:pPr>
              <w:pStyle w:val="Body"/>
              <w:spacing w:after="0"/>
              <w:rPr>
                <w:rFonts w:ascii="Arial" w:hAnsi="Arial" w:cs="Arial"/>
              </w:rPr>
            </w:pPr>
            <w:r w:rsidRPr="001A5676">
              <w:rPr>
                <w:rFonts w:ascii="Arial" w:hAnsi="Arial" w:cs="Arial"/>
              </w:rPr>
              <w:t>2.2 × 10</w:t>
            </w:r>
            <w:r w:rsidRPr="001A5676">
              <w:rPr>
                <w:rFonts w:ascii="Cambria Math" w:hAnsi="Cambria Math" w:cs="Cambria Math"/>
              </w:rPr>
              <w:t>⁻</w:t>
            </w:r>
            <w:r w:rsidRPr="001A5676">
              <w:rPr>
                <w:rFonts w:ascii="Arial" w:hAnsi="Arial" w:cs="Arial"/>
              </w:rPr>
              <w:t>³</w:t>
            </w:r>
          </w:p>
        </w:tc>
      </w:tr>
      <w:tr w:rsidR="001A5676" w:rsidRPr="001A5676" w14:paraId="4A2EB8E9" w14:textId="77777777" w:rsidTr="00AD6FDB">
        <w:tc>
          <w:tcPr>
            <w:tcW w:w="2471" w:type="dxa"/>
            <w:shd w:val="clear" w:color="auto" w:fill="FFFFFF" w:themeFill="background1"/>
          </w:tcPr>
          <w:p w14:paraId="09A6423E" w14:textId="77777777" w:rsidR="001A5676" w:rsidRPr="001A5676" w:rsidRDefault="001A5676" w:rsidP="001A5676">
            <w:pPr>
              <w:pStyle w:val="Body"/>
              <w:spacing w:after="0"/>
              <w:rPr>
                <w:rFonts w:ascii="Arial" w:hAnsi="Arial" w:cs="Arial"/>
              </w:rPr>
            </w:pPr>
            <w:r w:rsidRPr="001A5676">
              <w:rPr>
                <w:rFonts w:ascii="Arial" w:hAnsi="Arial" w:cs="Arial"/>
              </w:rPr>
              <w:t>Vitamin C</w:t>
            </w:r>
            <w:r w:rsidRPr="001A5676">
              <w:rPr>
                <w:rFonts w:ascii="Arial" w:hAnsi="Arial" w:cs="Arial"/>
              </w:rPr>
              <w:tab/>
            </w:r>
          </w:p>
        </w:tc>
        <w:tc>
          <w:tcPr>
            <w:tcW w:w="2472" w:type="dxa"/>
            <w:shd w:val="clear" w:color="auto" w:fill="FFFFFF" w:themeFill="background1"/>
          </w:tcPr>
          <w:p w14:paraId="4A4805C9" w14:textId="77777777" w:rsidR="001A5676" w:rsidRPr="001A5676" w:rsidRDefault="001A5676" w:rsidP="001A5676">
            <w:pPr>
              <w:pStyle w:val="Body"/>
              <w:spacing w:after="0"/>
              <w:rPr>
                <w:rFonts w:ascii="Arial" w:hAnsi="Arial" w:cs="Arial"/>
              </w:rPr>
            </w:pPr>
            <w:r w:rsidRPr="001A5676">
              <w:rPr>
                <w:rFonts w:ascii="Arial" w:hAnsi="Arial" w:cs="Arial"/>
              </w:rPr>
              <w:t>2.63</w:t>
            </w:r>
          </w:p>
        </w:tc>
        <w:tc>
          <w:tcPr>
            <w:tcW w:w="2472" w:type="dxa"/>
            <w:shd w:val="clear" w:color="auto" w:fill="FFFFFF" w:themeFill="background1"/>
          </w:tcPr>
          <w:p w14:paraId="4812D1E0" w14:textId="77777777" w:rsidR="001A5676" w:rsidRPr="001A5676" w:rsidRDefault="001A5676" w:rsidP="001A5676">
            <w:pPr>
              <w:pStyle w:val="Body"/>
              <w:spacing w:after="0"/>
              <w:rPr>
                <w:rFonts w:ascii="Arial" w:hAnsi="Arial" w:cs="Arial"/>
              </w:rPr>
            </w:pPr>
            <w:r w:rsidRPr="001A5676">
              <w:rPr>
                <w:rFonts w:ascii="Arial" w:hAnsi="Arial" w:cs="Arial"/>
              </w:rPr>
              <w:t>65.75</w:t>
            </w:r>
          </w:p>
        </w:tc>
        <w:tc>
          <w:tcPr>
            <w:tcW w:w="2472" w:type="dxa"/>
            <w:shd w:val="clear" w:color="auto" w:fill="FFFFFF" w:themeFill="background1"/>
          </w:tcPr>
          <w:p w14:paraId="150A60C2" w14:textId="77777777" w:rsidR="001A5676" w:rsidRPr="001A5676" w:rsidRDefault="001A5676" w:rsidP="001A5676">
            <w:pPr>
              <w:pStyle w:val="Body"/>
              <w:spacing w:after="0"/>
              <w:rPr>
                <w:rFonts w:ascii="Arial" w:hAnsi="Arial" w:cs="Arial"/>
              </w:rPr>
            </w:pPr>
            <w:r w:rsidRPr="001A5676">
              <w:rPr>
                <w:rFonts w:ascii="Arial" w:hAnsi="Arial" w:cs="Arial"/>
              </w:rPr>
              <w:t>1.5 × 10</w:t>
            </w:r>
            <w:r w:rsidRPr="001A5676">
              <w:rPr>
                <w:rFonts w:ascii="Cambria Math" w:hAnsi="Cambria Math" w:cs="Cambria Math"/>
              </w:rPr>
              <w:t>⁻</w:t>
            </w:r>
            <w:r w:rsidRPr="001A5676">
              <w:rPr>
                <w:rFonts w:ascii="Arial" w:hAnsi="Arial" w:cs="Arial"/>
              </w:rPr>
              <w:t>³</w:t>
            </w:r>
          </w:p>
        </w:tc>
      </w:tr>
    </w:tbl>
    <w:p w14:paraId="7D789297" w14:textId="77777777" w:rsidR="001A5676" w:rsidRDefault="001A5676" w:rsidP="001A5676">
      <w:pPr>
        <w:pStyle w:val="Body"/>
        <w:spacing w:after="0"/>
        <w:rPr>
          <w:rFonts w:ascii="Arial" w:hAnsi="Arial" w:cs="Arial"/>
          <w:i/>
          <w:iCs/>
        </w:rPr>
      </w:pPr>
      <w:r w:rsidRPr="00EE7F92">
        <w:rPr>
          <w:rFonts w:ascii="Arial" w:hAnsi="Arial" w:cs="Arial"/>
          <w:i/>
          <w:iCs/>
        </w:rPr>
        <w:t xml:space="preserve"> </w:t>
      </w:r>
      <w:proofErr w:type="spellStart"/>
      <w:proofErr w:type="gramStart"/>
      <w:r w:rsidRPr="00EE7F92">
        <w:rPr>
          <w:rFonts w:ascii="Arial" w:hAnsi="Arial" w:cs="Arial"/>
          <w:i/>
          <w:iCs/>
        </w:rPr>
        <w:t>DAq</w:t>
      </w:r>
      <w:proofErr w:type="spellEnd"/>
      <w:r w:rsidRPr="00EE7F92">
        <w:rPr>
          <w:rFonts w:ascii="Arial" w:hAnsi="Arial" w:cs="Arial"/>
          <w:i/>
          <w:iCs/>
        </w:rPr>
        <w:t xml:space="preserve"> :</w:t>
      </w:r>
      <w:proofErr w:type="gramEnd"/>
      <w:r w:rsidRPr="00EE7F92">
        <w:rPr>
          <w:rFonts w:ascii="Arial" w:hAnsi="Arial" w:cs="Arial"/>
          <w:i/>
          <w:iCs/>
        </w:rPr>
        <w:t xml:space="preserve"> Aqueous Decoction; </w:t>
      </w:r>
      <w:proofErr w:type="spellStart"/>
      <w:r w:rsidRPr="00EE7F92">
        <w:rPr>
          <w:rFonts w:ascii="Arial" w:hAnsi="Arial" w:cs="Arial"/>
          <w:i/>
          <w:iCs/>
        </w:rPr>
        <w:t>MAq</w:t>
      </w:r>
      <w:proofErr w:type="spellEnd"/>
      <w:r w:rsidRPr="00EE7F92">
        <w:rPr>
          <w:rFonts w:ascii="Arial" w:hAnsi="Arial" w:cs="Arial"/>
          <w:i/>
          <w:iCs/>
        </w:rPr>
        <w:t xml:space="preserve"> : Aqueous Maceration ; </w:t>
      </w:r>
      <w:proofErr w:type="spellStart"/>
      <w:r w:rsidRPr="00EE7F92">
        <w:rPr>
          <w:rFonts w:ascii="Arial" w:hAnsi="Arial" w:cs="Arial"/>
          <w:i/>
          <w:iCs/>
        </w:rPr>
        <w:t>MHe</w:t>
      </w:r>
      <w:proofErr w:type="spellEnd"/>
      <w:r w:rsidRPr="00EE7F92">
        <w:rPr>
          <w:rFonts w:ascii="Arial" w:hAnsi="Arial" w:cs="Arial"/>
          <w:i/>
          <w:iCs/>
        </w:rPr>
        <w:t xml:space="preserve"> : Hydroethanolic Maceration; BHT : Butyl Hydroxytoluene; Vit C : Vitamin C</w:t>
      </w:r>
    </w:p>
    <w:p w14:paraId="60109366" w14:textId="77777777" w:rsidR="00EE7F92" w:rsidRPr="00EE7F92" w:rsidRDefault="00EE7F92" w:rsidP="001A5676">
      <w:pPr>
        <w:pStyle w:val="Body"/>
        <w:spacing w:after="0"/>
        <w:rPr>
          <w:rFonts w:ascii="Arial" w:hAnsi="Arial" w:cs="Arial"/>
          <w:i/>
          <w:iCs/>
        </w:rPr>
      </w:pPr>
    </w:p>
    <w:p w14:paraId="159CA3CB" w14:textId="77777777" w:rsidR="001A5676" w:rsidRPr="001A5676" w:rsidRDefault="001A5676" w:rsidP="001A5676">
      <w:pPr>
        <w:pStyle w:val="Body"/>
        <w:spacing w:after="0"/>
        <w:rPr>
          <w:rFonts w:ascii="Arial" w:hAnsi="Arial" w:cs="Arial"/>
        </w:rPr>
      </w:pPr>
      <w:r w:rsidRPr="001A5676">
        <w:rPr>
          <w:rFonts w:ascii="Arial" w:hAnsi="Arial" w:cs="Arial"/>
        </w:rPr>
        <w:t xml:space="preserve">Table 6 shows that all extracts with an IC50 &lt;20 µg/ml exhibit strong </w:t>
      </w:r>
      <w:proofErr w:type="spellStart"/>
      <w:r w:rsidRPr="001A5676">
        <w:rPr>
          <w:rFonts w:ascii="Arial" w:hAnsi="Arial" w:cs="Arial"/>
        </w:rPr>
        <w:t>antioxydant</w:t>
      </w:r>
      <w:proofErr w:type="spellEnd"/>
      <w:r w:rsidRPr="001A5676">
        <w:rPr>
          <w:rFonts w:ascii="Arial" w:hAnsi="Arial" w:cs="Arial"/>
        </w:rPr>
        <w:t xml:space="preserve"> activity. The hydroethanolic extract, with an IC50 of 15.71 µg/ml, demonstrates the best inhibition. Its free radical scavenging capacity is 1.08 times greater than that of the extract obtained by aqueous decoction and 1.25 times greater than that of the extract obtained by aqueous maceration. </w:t>
      </w:r>
      <w:r w:rsidRPr="001A5676">
        <w:rPr>
          <w:rFonts w:ascii="Arial" w:hAnsi="Arial" w:cs="Arial"/>
        </w:rPr>
        <w:lastRenderedPageBreak/>
        <w:t>The hydroethanolic extract thus exhibits superior free radical scavenging activity compared to the other extracts.</w:t>
      </w:r>
    </w:p>
    <w:p w14:paraId="35445CD1" w14:textId="77777777" w:rsidR="001A5676" w:rsidRDefault="001A5676" w:rsidP="001A5676">
      <w:pPr>
        <w:pStyle w:val="Body"/>
        <w:spacing w:after="0"/>
        <w:rPr>
          <w:rFonts w:ascii="Arial" w:hAnsi="Arial" w:cs="Arial"/>
        </w:rPr>
      </w:pPr>
      <w:r w:rsidRPr="001A5676">
        <w:rPr>
          <w:rFonts w:ascii="Arial" w:hAnsi="Arial" w:cs="Arial"/>
        </w:rPr>
        <w:t>Since vitamin C and BHT are references, the hydroethanolic extract has an IC50 lower than that of BHT but higher than that of Vit C.</w:t>
      </w:r>
    </w:p>
    <w:p w14:paraId="0E031CA2" w14:textId="77777777" w:rsidR="00EE7F92" w:rsidRPr="001A5676" w:rsidRDefault="00EE7F92" w:rsidP="001A5676">
      <w:pPr>
        <w:pStyle w:val="Body"/>
        <w:spacing w:after="0"/>
        <w:rPr>
          <w:rFonts w:ascii="Arial" w:hAnsi="Arial" w:cs="Arial"/>
        </w:rPr>
      </w:pPr>
    </w:p>
    <w:p w14:paraId="1AA98F00" w14:textId="77C13508" w:rsidR="001A5676" w:rsidRPr="00EE7F92" w:rsidRDefault="00EE7F92" w:rsidP="001A5676">
      <w:pPr>
        <w:pStyle w:val="Body"/>
        <w:spacing w:after="0"/>
        <w:rPr>
          <w:rFonts w:ascii="Arial" w:hAnsi="Arial" w:cs="Arial"/>
          <w:b/>
          <w:bCs/>
        </w:rPr>
      </w:pPr>
      <w:bookmarkStart w:id="50" w:name="_Toc136377201"/>
      <w:bookmarkStart w:id="51" w:name="_Toc137924745"/>
      <w:r w:rsidRPr="00EE7F92">
        <w:rPr>
          <w:rFonts w:ascii="Arial" w:hAnsi="Arial" w:cs="Arial"/>
          <w:b/>
          <w:bCs/>
        </w:rPr>
        <w:t>3</w:t>
      </w:r>
      <w:r w:rsidR="001A5676" w:rsidRPr="00EE7F92">
        <w:rPr>
          <w:rFonts w:ascii="Arial" w:hAnsi="Arial" w:cs="Arial"/>
          <w:b/>
          <w:bCs/>
        </w:rPr>
        <w:t xml:space="preserve">.4 </w:t>
      </w:r>
      <w:bookmarkEnd w:id="50"/>
      <w:bookmarkEnd w:id="51"/>
      <w:r w:rsidR="001A5676" w:rsidRPr="00EE7F92">
        <w:rPr>
          <w:rFonts w:ascii="Arial" w:hAnsi="Arial" w:cs="Arial"/>
          <w:b/>
          <w:bCs/>
        </w:rPr>
        <w:t>Antibacterial Activity</w:t>
      </w:r>
    </w:p>
    <w:p w14:paraId="75DFBB01" w14:textId="2066EF82" w:rsidR="001A5676" w:rsidRPr="00EE7F92" w:rsidRDefault="00EE7F92" w:rsidP="001A5676">
      <w:pPr>
        <w:pStyle w:val="Body"/>
        <w:spacing w:after="0"/>
        <w:rPr>
          <w:rFonts w:ascii="Arial" w:hAnsi="Arial" w:cs="Arial"/>
          <w:b/>
          <w:bCs/>
        </w:rPr>
      </w:pPr>
      <w:bookmarkStart w:id="52" w:name="_Toc137924746"/>
      <w:r w:rsidRPr="00EE7F92">
        <w:rPr>
          <w:rFonts w:ascii="Arial" w:hAnsi="Arial" w:cs="Arial"/>
          <w:b/>
          <w:bCs/>
        </w:rPr>
        <w:t>3</w:t>
      </w:r>
      <w:r w:rsidR="001A5676" w:rsidRPr="00EE7F92">
        <w:rPr>
          <w:rFonts w:ascii="Arial" w:hAnsi="Arial" w:cs="Arial"/>
          <w:b/>
          <w:bCs/>
        </w:rPr>
        <w:t xml:space="preserve">.4.1 Study of the antibacterial activity of </w:t>
      </w:r>
      <w:r w:rsidR="00CA16D7" w:rsidRPr="00CA16D7">
        <w:rPr>
          <w:rFonts w:ascii="Arial" w:hAnsi="Arial" w:cs="Arial"/>
          <w:b/>
          <w:bCs/>
          <w:i/>
          <w:iCs/>
        </w:rPr>
        <w:t xml:space="preserve">G.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001A5676" w:rsidRPr="00EE7F92">
        <w:rPr>
          <w:rFonts w:ascii="Arial" w:hAnsi="Arial" w:cs="Arial"/>
          <w:b/>
          <w:bCs/>
        </w:rPr>
        <w:t xml:space="preserve"> extracts</w:t>
      </w:r>
      <w:bookmarkEnd w:id="52"/>
      <w:proofErr w:type="gramEnd"/>
    </w:p>
    <w:p w14:paraId="2316048F" w14:textId="261BC1FF" w:rsidR="001A5676" w:rsidRPr="001A5676" w:rsidRDefault="001A5676" w:rsidP="001A5676">
      <w:pPr>
        <w:pStyle w:val="Body"/>
        <w:spacing w:after="0"/>
        <w:rPr>
          <w:rFonts w:ascii="Arial" w:hAnsi="Arial" w:cs="Arial"/>
        </w:rPr>
      </w:pPr>
      <w:r w:rsidRPr="001A5676">
        <w:rPr>
          <w:rFonts w:ascii="Arial" w:hAnsi="Arial" w:cs="Arial"/>
        </w:rPr>
        <w:t xml:space="preserve">The results of the search for the different minimum inhibitory concentrations of the tested extracts are recorded in Table </w:t>
      </w:r>
      <w:r w:rsidR="007C29E0">
        <w:rPr>
          <w:rFonts w:ascii="Arial" w:hAnsi="Arial" w:cs="Arial"/>
        </w:rPr>
        <w:t>7</w:t>
      </w:r>
      <w:r w:rsidRPr="001A5676">
        <w:rPr>
          <w:rFonts w:ascii="Arial" w:hAnsi="Arial" w:cs="Arial"/>
        </w:rPr>
        <w:t>.</w:t>
      </w:r>
    </w:p>
    <w:p w14:paraId="1EB9AAB5" w14:textId="6C4A0406" w:rsidR="001A5676" w:rsidRPr="00EE7F92" w:rsidRDefault="001A5676" w:rsidP="001A5676">
      <w:pPr>
        <w:pStyle w:val="Body"/>
        <w:spacing w:after="0"/>
        <w:rPr>
          <w:rFonts w:ascii="Arial" w:hAnsi="Arial" w:cs="Arial"/>
          <w:b/>
          <w:bCs/>
          <w:i/>
          <w:iCs/>
        </w:rPr>
      </w:pPr>
      <w:bookmarkStart w:id="53" w:name="_Toc137923802"/>
      <w:r w:rsidRPr="00EE7F92">
        <w:rPr>
          <w:rFonts w:ascii="Arial" w:hAnsi="Arial" w:cs="Arial"/>
          <w:b/>
          <w:bCs/>
          <w:i/>
          <w:iCs/>
        </w:rPr>
        <w:t xml:space="preserve">Table 7: Antibacterial activities of </w:t>
      </w:r>
      <w:r w:rsidR="00CA16D7" w:rsidRPr="00CA16D7">
        <w:rPr>
          <w:rFonts w:ascii="Arial" w:hAnsi="Arial" w:cs="Arial"/>
          <w:b/>
          <w:bCs/>
          <w:i/>
          <w:iCs/>
        </w:rPr>
        <w:t xml:space="preserve">Garcinia </w:t>
      </w:r>
      <w:proofErr w:type="spellStart"/>
      <w:proofErr w:type="gram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w:t>
      </w:r>
      <w:proofErr w:type="gramEnd"/>
      <w:r w:rsidRPr="00EE7F92">
        <w:rPr>
          <w:rFonts w:ascii="Arial" w:hAnsi="Arial" w:cs="Arial"/>
          <w:b/>
          <w:bCs/>
          <w:i/>
          <w:iCs/>
        </w:rPr>
        <w:t xml:space="preserve"> extracts : MIC, MBC, and MBC/MIC ratios of each extract</w:t>
      </w:r>
      <w:bookmarkEnd w:id="53"/>
    </w:p>
    <w:tbl>
      <w:tblPr>
        <w:tblStyle w:val="MediumShading2"/>
        <w:tblW w:w="9774" w:type="dxa"/>
        <w:tblInd w:w="-576" w:type="dxa"/>
        <w:tblBorders>
          <w:top w:val="none" w:sz="0" w:space="0" w:color="auto"/>
          <w:bottom w:val="single" w:sz="4" w:space="0" w:color="auto"/>
        </w:tblBorders>
        <w:tblLayout w:type="fixed"/>
        <w:tblLook w:val="0600" w:firstRow="0" w:lastRow="0" w:firstColumn="0" w:lastColumn="0" w:noHBand="1" w:noVBand="1"/>
      </w:tblPr>
      <w:tblGrid>
        <w:gridCol w:w="684"/>
        <w:gridCol w:w="990"/>
        <w:gridCol w:w="900"/>
        <w:gridCol w:w="1260"/>
        <w:gridCol w:w="990"/>
        <w:gridCol w:w="810"/>
        <w:gridCol w:w="1260"/>
        <w:gridCol w:w="810"/>
        <w:gridCol w:w="810"/>
        <w:gridCol w:w="1260"/>
      </w:tblGrid>
      <w:tr w:rsidR="001A5676" w:rsidRPr="001A5676" w14:paraId="276F9059" w14:textId="77777777" w:rsidTr="00AD6FDB">
        <w:trPr>
          <w:trHeight w:val="327"/>
        </w:trPr>
        <w:tc>
          <w:tcPr>
            <w:tcW w:w="684" w:type="dxa"/>
            <w:tcBorders>
              <w:top w:val="single" w:sz="4" w:space="0" w:color="auto"/>
              <w:bottom w:val="single" w:sz="4" w:space="0" w:color="auto"/>
            </w:tcBorders>
            <w:vAlign w:val="center"/>
          </w:tcPr>
          <w:p w14:paraId="53D6A38A" w14:textId="77777777" w:rsidR="001A5676" w:rsidRPr="001A5676" w:rsidRDefault="001A5676" w:rsidP="001A5676">
            <w:pPr>
              <w:pStyle w:val="Body"/>
              <w:spacing w:after="0"/>
              <w:rPr>
                <w:rFonts w:ascii="Arial" w:eastAsia="Times New Roman" w:hAnsi="Arial" w:cs="Arial"/>
                <w:sz w:val="20"/>
                <w:szCs w:val="20"/>
                <w:lang w:val="en-US"/>
              </w:rPr>
            </w:pPr>
          </w:p>
        </w:tc>
        <w:tc>
          <w:tcPr>
            <w:tcW w:w="3150" w:type="dxa"/>
            <w:gridSpan w:val="3"/>
            <w:tcBorders>
              <w:top w:val="single" w:sz="4" w:space="0" w:color="auto"/>
              <w:bottom w:val="single" w:sz="4" w:space="0" w:color="auto"/>
            </w:tcBorders>
            <w:vAlign w:val="center"/>
          </w:tcPr>
          <w:p w14:paraId="6C4CD16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3060" w:type="dxa"/>
            <w:gridSpan w:val="3"/>
            <w:tcBorders>
              <w:top w:val="single" w:sz="4" w:space="0" w:color="auto"/>
              <w:bottom w:val="single" w:sz="4" w:space="0" w:color="auto"/>
            </w:tcBorders>
            <w:vAlign w:val="center"/>
          </w:tcPr>
          <w:p w14:paraId="5A0A48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880" w:type="dxa"/>
            <w:gridSpan w:val="3"/>
            <w:tcBorders>
              <w:top w:val="single" w:sz="4" w:space="0" w:color="auto"/>
              <w:bottom w:val="single" w:sz="4" w:space="0" w:color="auto"/>
            </w:tcBorders>
            <w:vAlign w:val="center"/>
          </w:tcPr>
          <w:p w14:paraId="5785147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37BF29BF" w14:textId="77777777" w:rsidTr="00AD6FDB">
        <w:trPr>
          <w:trHeight w:val="363"/>
        </w:trPr>
        <w:tc>
          <w:tcPr>
            <w:tcW w:w="684" w:type="dxa"/>
            <w:tcBorders>
              <w:top w:val="single" w:sz="4" w:space="0" w:color="auto"/>
              <w:bottom w:val="single" w:sz="4" w:space="0" w:color="auto"/>
            </w:tcBorders>
            <w:vAlign w:val="center"/>
          </w:tcPr>
          <w:p w14:paraId="7E015BC1"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1529E88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03C9A49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900" w:type="dxa"/>
            <w:tcBorders>
              <w:top w:val="single" w:sz="4" w:space="0" w:color="auto"/>
              <w:bottom w:val="single" w:sz="4" w:space="0" w:color="auto"/>
            </w:tcBorders>
            <w:vAlign w:val="center"/>
          </w:tcPr>
          <w:p w14:paraId="69BAD9E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(µg/mL)</w:t>
            </w:r>
          </w:p>
        </w:tc>
        <w:tc>
          <w:tcPr>
            <w:tcW w:w="1260" w:type="dxa"/>
            <w:tcBorders>
              <w:top w:val="single" w:sz="4" w:space="0" w:color="auto"/>
              <w:bottom w:val="single" w:sz="4" w:space="0" w:color="auto"/>
            </w:tcBorders>
            <w:vAlign w:val="center"/>
          </w:tcPr>
          <w:p w14:paraId="4046C94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76A4E935" w14:textId="77777777" w:rsidR="001A5676" w:rsidRPr="001A5676" w:rsidRDefault="001A5676" w:rsidP="001A5676">
            <w:pPr>
              <w:pStyle w:val="Body"/>
              <w:spacing w:after="0"/>
              <w:rPr>
                <w:rFonts w:ascii="Arial" w:eastAsia="Times New Roman" w:hAnsi="Arial" w:cs="Arial"/>
                <w:sz w:val="20"/>
                <w:szCs w:val="20"/>
                <w:lang w:val="en-US"/>
              </w:rPr>
            </w:pPr>
          </w:p>
        </w:tc>
        <w:tc>
          <w:tcPr>
            <w:tcW w:w="990" w:type="dxa"/>
            <w:tcBorders>
              <w:top w:val="single" w:sz="4" w:space="0" w:color="auto"/>
              <w:bottom w:val="single" w:sz="4" w:space="0" w:color="auto"/>
            </w:tcBorders>
            <w:vAlign w:val="center"/>
          </w:tcPr>
          <w:p w14:paraId="2F93817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48DAFC7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 xml:space="preserve"> (µg/mL)</w:t>
            </w:r>
          </w:p>
        </w:tc>
        <w:tc>
          <w:tcPr>
            <w:tcW w:w="810" w:type="dxa"/>
            <w:tcBorders>
              <w:top w:val="single" w:sz="4" w:space="0" w:color="auto"/>
              <w:bottom w:val="single" w:sz="4" w:space="0" w:color="auto"/>
            </w:tcBorders>
            <w:vAlign w:val="center"/>
          </w:tcPr>
          <w:p w14:paraId="14141E3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62D8450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1DDBF8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1AC9D4E4" w14:textId="77777777" w:rsidR="001A5676" w:rsidRPr="001A5676" w:rsidRDefault="001A5676" w:rsidP="001A5676">
            <w:pPr>
              <w:pStyle w:val="Body"/>
              <w:spacing w:after="0"/>
              <w:rPr>
                <w:rFonts w:ascii="Arial" w:eastAsia="Times New Roman" w:hAnsi="Arial" w:cs="Arial"/>
                <w:sz w:val="20"/>
                <w:szCs w:val="20"/>
                <w:lang w:val="en-US"/>
              </w:rPr>
            </w:pPr>
          </w:p>
        </w:tc>
        <w:tc>
          <w:tcPr>
            <w:tcW w:w="810" w:type="dxa"/>
            <w:tcBorders>
              <w:top w:val="single" w:sz="4" w:space="0" w:color="auto"/>
              <w:bottom w:val="single" w:sz="4" w:space="0" w:color="auto"/>
            </w:tcBorders>
            <w:vAlign w:val="center"/>
          </w:tcPr>
          <w:p w14:paraId="4BF8E154"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MIC</w:t>
            </w:r>
          </w:p>
          <w:p w14:paraId="25E93DB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810" w:type="dxa"/>
            <w:tcBorders>
              <w:top w:val="single" w:sz="4" w:space="0" w:color="auto"/>
              <w:bottom w:val="single" w:sz="4" w:space="0" w:color="auto"/>
            </w:tcBorders>
            <w:vAlign w:val="center"/>
          </w:tcPr>
          <w:p w14:paraId="7FF0718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w:t>
            </w:r>
          </w:p>
          <w:p w14:paraId="4640847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(µg/mL)</w:t>
            </w:r>
          </w:p>
        </w:tc>
        <w:tc>
          <w:tcPr>
            <w:tcW w:w="1260" w:type="dxa"/>
            <w:tcBorders>
              <w:top w:val="single" w:sz="4" w:space="0" w:color="auto"/>
              <w:bottom w:val="single" w:sz="4" w:space="0" w:color="auto"/>
            </w:tcBorders>
            <w:vAlign w:val="center"/>
          </w:tcPr>
          <w:p w14:paraId="342782A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MBC/ MIC</w:t>
            </w:r>
          </w:p>
          <w:p w14:paraId="6ACC394D" w14:textId="77777777" w:rsidR="001A5676" w:rsidRPr="001A5676" w:rsidRDefault="001A5676" w:rsidP="001A5676">
            <w:pPr>
              <w:pStyle w:val="Body"/>
              <w:spacing w:after="0"/>
              <w:rPr>
                <w:rFonts w:ascii="Arial" w:eastAsia="Times New Roman" w:hAnsi="Arial" w:cs="Arial"/>
                <w:sz w:val="20"/>
                <w:szCs w:val="20"/>
                <w:lang w:val="en-US"/>
              </w:rPr>
            </w:pPr>
          </w:p>
        </w:tc>
      </w:tr>
      <w:tr w:rsidR="001A5676" w:rsidRPr="001A5676" w14:paraId="121DCC54" w14:textId="77777777" w:rsidTr="00AD6FDB">
        <w:trPr>
          <w:trHeight w:val="497"/>
        </w:trPr>
        <w:tc>
          <w:tcPr>
            <w:tcW w:w="684" w:type="dxa"/>
            <w:tcBorders>
              <w:top w:val="single" w:sz="4" w:space="0" w:color="auto"/>
            </w:tcBorders>
            <w:vAlign w:val="center"/>
          </w:tcPr>
          <w:p w14:paraId="3BB15815"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990" w:type="dxa"/>
            <w:tcBorders>
              <w:top w:val="single" w:sz="4" w:space="0" w:color="auto"/>
            </w:tcBorders>
            <w:vAlign w:val="center"/>
          </w:tcPr>
          <w:p w14:paraId="1D8CF35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900" w:type="dxa"/>
            <w:tcBorders>
              <w:top w:val="single" w:sz="4" w:space="0" w:color="auto"/>
            </w:tcBorders>
            <w:vAlign w:val="center"/>
          </w:tcPr>
          <w:p w14:paraId="43606F6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tcBorders>
              <w:top w:val="single" w:sz="4" w:space="0" w:color="auto"/>
            </w:tcBorders>
            <w:vAlign w:val="center"/>
          </w:tcPr>
          <w:p w14:paraId="659DB21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tcBorders>
              <w:top w:val="single" w:sz="4" w:space="0" w:color="auto"/>
            </w:tcBorders>
            <w:vAlign w:val="center"/>
          </w:tcPr>
          <w:p w14:paraId="6DC695C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810" w:type="dxa"/>
            <w:tcBorders>
              <w:top w:val="single" w:sz="4" w:space="0" w:color="auto"/>
            </w:tcBorders>
            <w:vAlign w:val="center"/>
          </w:tcPr>
          <w:p w14:paraId="766D5A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tcBorders>
              <w:top w:val="single" w:sz="4" w:space="0" w:color="auto"/>
            </w:tcBorders>
            <w:vAlign w:val="center"/>
          </w:tcPr>
          <w:p w14:paraId="5C30CF3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tcBorders>
              <w:top w:val="single" w:sz="4" w:space="0" w:color="auto"/>
            </w:tcBorders>
            <w:vAlign w:val="center"/>
          </w:tcPr>
          <w:p w14:paraId="578B6A8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810" w:type="dxa"/>
            <w:tcBorders>
              <w:top w:val="single" w:sz="4" w:space="0" w:color="auto"/>
            </w:tcBorders>
            <w:vAlign w:val="center"/>
          </w:tcPr>
          <w:p w14:paraId="1A833B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0,16</w:t>
            </w:r>
          </w:p>
        </w:tc>
        <w:tc>
          <w:tcPr>
            <w:tcW w:w="1260" w:type="dxa"/>
            <w:tcBorders>
              <w:top w:val="single" w:sz="4" w:space="0" w:color="auto"/>
            </w:tcBorders>
            <w:vAlign w:val="center"/>
          </w:tcPr>
          <w:p w14:paraId="3788B1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r w:rsidR="001A5676" w:rsidRPr="001A5676" w14:paraId="54A1AC75" w14:textId="77777777" w:rsidTr="00AD6FDB">
        <w:tc>
          <w:tcPr>
            <w:tcW w:w="684" w:type="dxa"/>
            <w:vAlign w:val="center"/>
          </w:tcPr>
          <w:p w14:paraId="1C346B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990" w:type="dxa"/>
            <w:vAlign w:val="center"/>
          </w:tcPr>
          <w:p w14:paraId="21FD0A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900" w:type="dxa"/>
            <w:vAlign w:val="center"/>
          </w:tcPr>
          <w:p w14:paraId="037B47D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0,24</w:t>
            </w:r>
          </w:p>
        </w:tc>
        <w:tc>
          <w:tcPr>
            <w:tcW w:w="1260" w:type="dxa"/>
            <w:vAlign w:val="center"/>
          </w:tcPr>
          <w:p w14:paraId="2B80F75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990" w:type="dxa"/>
            <w:vAlign w:val="center"/>
          </w:tcPr>
          <w:p w14:paraId="0D9DFA29"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092AEC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164868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2DFDC0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2,57</w:t>
            </w:r>
          </w:p>
        </w:tc>
        <w:tc>
          <w:tcPr>
            <w:tcW w:w="810" w:type="dxa"/>
            <w:vAlign w:val="center"/>
          </w:tcPr>
          <w:p w14:paraId="11084EE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10,31</w:t>
            </w:r>
          </w:p>
        </w:tc>
        <w:tc>
          <w:tcPr>
            <w:tcW w:w="1260" w:type="dxa"/>
            <w:vAlign w:val="center"/>
          </w:tcPr>
          <w:p w14:paraId="06C87E4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4</w:t>
            </w:r>
          </w:p>
        </w:tc>
      </w:tr>
      <w:tr w:rsidR="001A5676" w:rsidRPr="001A5676" w14:paraId="3010827F" w14:textId="77777777" w:rsidTr="00AD6FDB">
        <w:trPr>
          <w:trHeight w:val="260"/>
        </w:trPr>
        <w:tc>
          <w:tcPr>
            <w:tcW w:w="684" w:type="dxa"/>
            <w:vAlign w:val="center"/>
          </w:tcPr>
          <w:p w14:paraId="5961DA9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SA</w:t>
            </w:r>
          </w:p>
        </w:tc>
        <w:tc>
          <w:tcPr>
            <w:tcW w:w="990" w:type="dxa"/>
            <w:vAlign w:val="center"/>
          </w:tcPr>
          <w:p w14:paraId="1A0BEE1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900" w:type="dxa"/>
            <w:vAlign w:val="center"/>
          </w:tcPr>
          <w:p w14:paraId="56BA696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1260" w:type="dxa"/>
            <w:vAlign w:val="center"/>
          </w:tcPr>
          <w:p w14:paraId="486BA92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65462C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810" w:type="dxa"/>
            <w:vAlign w:val="center"/>
          </w:tcPr>
          <w:p w14:paraId="50165B2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15,62</w:t>
            </w:r>
          </w:p>
        </w:tc>
        <w:tc>
          <w:tcPr>
            <w:tcW w:w="1260" w:type="dxa"/>
            <w:vAlign w:val="center"/>
          </w:tcPr>
          <w:p w14:paraId="04B3B71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c>
          <w:tcPr>
            <w:tcW w:w="810" w:type="dxa"/>
            <w:vAlign w:val="center"/>
          </w:tcPr>
          <w:p w14:paraId="7D84CC7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0,32</w:t>
            </w:r>
          </w:p>
        </w:tc>
        <w:tc>
          <w:tcPr>
            <w:tcW w:w="810" w:type="dxa"/>
            <w:vAlign w:val="center"/>
          </w:tcPr>
          <w:p w14:paraId="6AA4F7E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55C635F3"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r>
      <w:tr w:rsidR="001A5676" w:rsidRPr="001A5676" w14:paraId="73FE8C94" w14:textId="77777777" w:rsidTr="00AD6FDB">
        <w:trPr>
          <w:trHeight w:val="449"/>
        </w:trPr>
        <w:tc>
          <w:tcPr>
            <w:tcW w:w="684" w:type="dxa"/>
            <w:vAlign w:val="center"/>
          </w:tcPr>
          <w:p w14:paraId="046B061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990" w:type="dxa"/>
            <w:vAlign w:val="center"/>
          </w:tcPr>
          <w:p w14:paraId="18D5BD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3,90</w:t>
            </w:r>
          </w:p>
        </w:tc>
        <w:tc>
          <w:tcPr>
            <w:tcW w:w="900" w:type="dxa"/>
            <w:vAlign w:val="center"/>
          </w:tcPr>
          <w:p w14:paraId="5ACA4E1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7,81</w:t>
            </w:r>
          </w:p>
        </w:tc>
        <w:tc>
          <w:tcPr>
            <w:tcW w:w="1260" w:type="dxa"/>
            <w:vAlign w:val="center"/>
          </w:tcPr>
          <w:p w14:paraId="1E229C4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990" w:type="dxa"/>
            <w:vAlign w:val="center"/>
          </w:tcPr>
          <w:p w14:paraId="30D2140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31,25</w:t>
            </w:r>
          </w:p>
        </w:tc>
        <w:tc>
          <w:tcPr>
            <w:tcW w:w="810" w:type="dxa"/>
            <w:vAlign w:val="center"/>
          </w:tcPr>
          <w:p w14:paraId="065822C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62,5</w:t>
            </w:r>
          </w:p>
        </w:tc>
        <w:tc>
          <w:tcPr>
            <w:tcW w:w="1260" w:type="dxa"/>
            <w:vAlign w:val="center"/>
          </w:tcPr>
          <w:p w14:paraId="7E3AB68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2</w:t>
            </w:r>
          </w:p>
        </w:tc>
        <w:tc>
          <w:tcPr>
            <w:tcW w:w="810" w:type="dxa"/>
            <w:vAlign w:val="center"/>
          </w:tcPr>
          <w:p w14:paraId="2D7A615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810" w:type="dxa"/>
            <w:vAlign w:val="center"/>
          </w:tcPr>
          <w:p w14:paraId="4AF62FA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0.64</w:t>
            </w:r>
          </w:p>
        </w:tc>
        <w:tc>
          <w:tcPr>
            <w:tcW w:w="1260" w:type="dxa"/>
            <w:vAlign w:val="center"/>
          </w:tcPr>
          <w:p w14:paraId="619032E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1</w:t>
            </w:r>
          </w:p>
        </w:tc>
      </w:tr>
    </w:tbl>
    <w:p w14:paraId="07640BD8" w14:textId="71E630D7" w:rsidR="001A5676" w:rsidRDefault="001A5676" w:rsidP="001A5676">
      <w:pPr>
        <w:pStyle w:val="Body"/>
        <w:spacing w:after="0"/>
        <w:rPr>
          <w:rFonts w:ascii="Arial" w:hAnsi="Arial" w:cs="Arial"/>
        </w:rPr>
      </w:pPr>
      <w:proofErr w:type="gramStart"/>
      <w:r w:rsidRPr="001A5676">
        <w:rPr>
          <w:rFonts w:ascii="Arial" w:hAnsi="Arial" w:cs="Arial"/>
        </w:rPr>
        <w:t>EB :</w:t>
      </w:r>
      <w:proofErr w:type="gramEnd"/>
      <w:r w:rsidRPr="001A5676">
        <w:rPr>
          <w:rFonts w:ascii="Arial" w:hAnsi="Arial" w:cs="Arial"/>
        </w:rPr>
        <w:t xml:space="preserve"> </w:t>
      </w:r>
      <w:r w:rsidR="00CA16D7" w:rsidRPr="00CA16D7">
        <w:rPr>
          <w:rFonts w:ascii="Arial" w:hAnsi="Arial" w:cs="Arial"/>
          <w:i/>
          <w:iCs/>
        </w:rPr>
        <w:t>Enterobacter cloacae</w:t>
      </w:r>
      <w:r w:rsidRPr="001A5676">
        <w:rPr>
          <w:rFonts w:ascii="Arial" w:hAnsi="Arial" w:cs="Arial"/>
        </w:rPr>
        <w:t xml:space="preserve"> ; EC : </w:t>
      </w:r>
      <w:r w:rsidR="00BF0CCB" w:rsidRPr="00BF0CCB">
        <w:rPr>
          <w:rFonts w:ascii="Arial" w:hAnsi="Arial" w:cs="Arial"/>
          <w:i/>
          <w:iCs/>
        </w:rPr>
        <w:t>Escherichia coli</w:t>
      </w:r>
      <w:r w:rsidRPr="001A5676">
        <w:rPr>
          <w:rFonts w:ascii="Arial" w:hAnsi="Arial" w:cs="Arial"/>
        </w:rPr>
        <w:t xml:space="preserve"> ; SA : </w:t>
      </w:r>
      <w:proofErr w:type="spellStart"/>
      <w:r w:rsidRPr="001A5676">
        <w:rPr>
          <w:rFonts w:ascii="Arial" w:hAnsi="Arial" w:cs="Arial"/>
        </w:rPr>
        <w:t>Staphyloccus</w:t>
      </w:r>
      <w:proofErr w:type="spellEnd"/>
      <w:r w:rsidRPr="001A5676">
        <w:rPr>
          <w:rFonts w:ascii="Arial" w:hAnsi="Arial" w:cs="Arial"/>
        </w:rPr>
        <w:t xml:space="preserve"> aureus ; PA : </w:t>
      </w:r>
      <w:r w:rsidR="00CA16D7" w:rsidRPr="00CA16D7">
        <w:rPr>
          <w:rFonts w:ascii="Arial" w:hAnsi="Arial" w:cs="Arial"/>
          <w:i/>
          <w:iCs/>
        </w:rPr>
        <w:t>Pseudomonas aeruginosa</w:t>
      </w:r>
      <w:r w:rsidRPr="001A5676">
        <w:rPr>
          <w:rFonts w:ascii="Arial" w:hAnsi="Arial" w:cs="Arial"/>
        </w:rPr>
        <w:t xml:space="preserve"> MAQ : Aqueous maceration ; DAQ : Aqueous decoction; MHE : Hydroethanolic maceration</w:t>
      </w:r>
    </w:p>
    <w:p w14:paraId="05C07B68" w14:textId="77777777" w:rsidR="00EE7F92" w:rsidRPr="001A5676" w:rsidRDefault="00EE7F92" w:rsidP="001A5676">
      <w:pPr>
        <w:pStyle w:val="Body"/>
        <w:spacing w:after="0"/>
        <w:rPr>
          <w:rFonts w:ascii="Arial" w:hAnsi="Arial" w:cs="Arial"/>
        </w:rPr>
      </w:pPr>
    </w:p>
    <w:p w14:paraId="24271D89" w14:textId="5D838D28" w:rsidR="001A5676" w:rsidRDefault="001A5676" w:rsidP="001A5676">
      <w:pPr>
        <w:pStyle w:val="Body"/>
        <w:spacing w:after="0"/>
        <w:rPr>
          <w:rFonts w:ascii="Arial" w:hAnsi="Arial" w:cs="Arial"/>
        </w:rPr>
      </w:pPr>
      <w:r w:rsidRPr="001A5676">
        <w:rPr>
          <w:rFonts w:ascii="Arial" w:hAnsi="Arial" w:cs="Arial"/>
        </w:rPr>
        <w:t xml:space="preserve">According to Table 7, the hydroethanolic extract had a strong inhibitory effect on </w:t>
      </w:r>
      <w:r w:rsidR="00CA16D7" w:rsidRPr="00CA16D7">
        <w:rPr>
          <w:rFonts w:ascii="Arial" w:hAnsi="Arial" w:cs="Arial"/>
          <w:i/>
          <w:iCs/>
        </w:rPr>
        <w:t>Enterobacter cloacae</w:t>
      </w:r>
      <w:r w:rsidRPr="001A5676">
        <w:rPr>
          <w:rFonts w:ascii="Arial" w:hAnsi="Arial" w:cs="Arial"/>
        </w:rPr>
        <w:t xml:space="preserve"> (MIC of 0.16µg/ml), </w:t>
      </w:r>
      <w:r w:rsidR="00CA16D7" w:rsidRPr="00CA16D7">
        <w:rPr>
          <w:rFonts w:ascii="Arial" w:hAnsi="Arial" w:cs="Arial"/>
          <w:i/>
          <w:iCs/>
        </w:rPr>
        <w:t>S. aureus</w:t>
      </w:r>
      <w:r w:rsidRPr="001A5676">
        <w:rPr>
          <w:rFonts w:ascii="Arial" w:hAnsi="Arial" w:cs="Arial"/>
        </w:rPr>
        <w:t xml:space="preserve"> (0.32µg/ml), </w:t>
      </w:r>
      <w:r w:rsidR="00BF0CCB" w:rsidRPr="00BF0CCB">
        <w:rPr>
          <w:rFonts w:ascii="Arial" w:hAnsi="Arial" w:cs="Arial"/>
          <w:i/>
          <w:iCs/>
        </w:rPr>
        <w:t>Escherichia coli</w:t>
      </w:r>
      <w:r w:rsidRPr="001A5676">
        <w:rPr>
          <w:rFonts w:ascii="Arial" w:hAnsi="Arial" w:cs="Arial"/>
        </w:rPr>
        <w:t xml:space="preserve"> (0.64µg/</w:t>
      </w:r>
      <w:proofErr w:type="gramStart"/>
      <w:r w:rsidRPr="001A5676">
        <w:rPr>
          <w:rFonts w:ascii="Arial" w:hAnsi="Arial" w:cs="Arial"/>
        </w:rPr>
        <w:t>ml )</w:t>
      </w:r>
      <w:proofErr w:type="gramEnd"/>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With MICs ranging from 0.16 to 31.25 µg/ml, all are below 100 µg/ml, thus demonstrating the high antibacterial activity of each extract.</w:t>
      </w:r>
    </w:p>
    <w:p w14:paraId="6241E064" w14:textId="77777777" w:rsidR="00EE7F92" w:rsidRDefault="00EE7F92" w:rsidP="001A5676">
      <w:pPr>
        <w:pStyle w:val="Body"/>
        <w:spacing w:after="0"/>
        <w:rPr>
          <w:rFonts w:ascii="Arial" w:hAnsi="Arial" w:cs="Arial"/>
        </w:rPr>
      </w:pPr>
    </w:p>
    <w:p w14:paraId="177E8C21" w14:textId="77777777" w:rsidR="00EE7F92" w:rsidRPr="001A5676" w:rsidRDefault="00EE7F92" w:rsidP="001A5676">
      <w:pPr>
        <w:pStyle w:val="Body"/>
        <w:spacing w:after="0"/>
        <w:rPr>
          <w:rFonts w:ascii="Arial" w:hAnsi="Arial" w:cs="Arial"/>
        </w:rPr>
      </w:pPr>
    </w:p>
    <w:p w14:paraId="0BA4CFDD" w14:textId="77777777" w:rsidR="001A5676" w:rsidRPr="001A5676" w:rsidRDefault="001A5676" w:rsidP="001A5676">
      <w:pPr>
        <w:pStyle w:val="Body"/>
        <w:spacing w:after="0"/>
        <w:rPr>
          <w:rFonts w:ascii="Arial" w:hAnsi="Arial" w:cs="Arial"/>
        </w:rPr>
      </w:pPr>
    </w:p>
    <w:p w14:paraId="4CC70283" w14:textId="22C55CBC" w:rsidR="001A5676" w:rsidRPr="00EE7F92" w:rsidRDefault="001A5676" w:rsidP="001A5676">
      <w:pPr>
        <w:pStyle w:val="Body"/>
        <w:spacing w:after="0"/>
        <w:rPr>
          <w:rFonts w:ascii="Arial" w:hAnsi="Arial" w:cs="Arial"/>
          <w:b/>
          <w:bCs/>
          <w:i/>
          <w:iCs/>
        </w:rPr>
      </w:pPr>
      <w:bookmarkStart w:id="54" w:name="_Toc137923803"/>
      <w:r w:rsidRPr="00EE7F92">
        <w:rPr>
          <w:rFonts w:ascii="Arial" w:hAnsi="Arial" w:cs="Arial"/>
          <w:b/>
          <w:bCs/>
          <w:i/>
          <w:iCs/>
        </w:rPr>
        <w:t xml:space="preserve">Table </w:t>
      </w:r>
      <w:proofErr w:type="gramStart"/>
      <w:r w:rsidRPr="00EE7F92">
        <w:rPr>
          <w:rFonts w:ascii="Arial" w:hAnsi="Arial" w:cs="Arial"/>
          <w:b/>
          <w:bCs/>
          <w:i/>
          <w:iCs/>
        </w:rPr>
        <w:t>8 :</w:t>
      </w:r>
      <w:proofErr w:type="gramEnd"/>
      <w:r w:rsidRPr="00EE7F92">
        <w:rPr>
          <w:rFonts w:ascii="Arial" w:hAnsi="Arial" w:cs="Arial"/>
          <w:b/>
          <w:bCs/>
          <w:i/>
          <w:iCs/>
        </w:rPr>
        <w:t xml:space="preserve"> Effect of </w:t>
      </w:r>
      <w:r w:rsidR="00CA16D7" w:rsidRPr="00CA16D7">
        <w:rPr>
          <w:rFonts w:ascii="Arial" w:hAnsi="Arial" w:cs="Arial"/>
          <w:b/>
          <w:bCs/>
          <w:i/>
          <w:iCs/>
        </w:rPr>
        <w:t xml:space="preserve">Garcinia </w:t>
      </w:r>
      <w:proofErr w:type="spellStart"/>
      <w:r w:rsidR="00CA16D7" w:rsidRPr="00CA16D7">
        <w:rPr>
          <w:rFonts w:ascii="Arial" w:hAnsi="Arial" w:cs="Arial"/>
          <w:b/>
          <w:bCs/>
          <w:i/>
          <w:iCs/>
        </w:rPr>
        <w:t>mangostana</w:t>
      </w:r>
      <w:proofErr w:type="spellEnd"/>
      <w:r w:rsidR="00CA16D7" w:rsidRPr="00CA16D7">
        <w:rPr>
          <w:rFonts w:ascii="Arial" w:hAnsi="Arial" w:cs="Arial"/>
          <w:b/>
          <w:bCs/>
          <w:i/>
          <w:iCs/>
        </w:rPr>
        <w:t xml:space="preserve"> </w:t>
      </w:r>
      <w:r w:rsidRPr="00EE7F92">
        <w:rPr>
          <w:rFonts w:ascii="Arial" w:hAnsi="Arial" w:cs="Arial"/>
          <w:b/>
          <w:bCs/>
          <w:i/>
          <w:iCs/>
        </w:rPr>
        <w:t xml:space="preserve"> L. extracts on the organism of interest as a function of the CMB/MIC ratio</w:t>
      </w:r>
      <w:bookmarkEnd w:id="54"/>
    </w:p>
    <w:tbl>
      <w:tblPr>
        <w:tblStyle w:val="MediumShading2"/>
        <w:tblW w:w="0" w:type="auto"/>
        <w:tblLook w:val="0600" w:firstRow="0" w:lastRow="0" w:firstColumn="0" w:lastColumn="0" w:noHBand="1" w:noVBand="1"/>
      </w:tblPr>
      <w:tblGrid>
        <w:gridCol w:w="1880"/>
        <w:gridCol w:w="2088"/>
        <w:gridCol w:w="2088"/>
        <w:gridCol w:w="2152"/>
      </w:tblGrid>
      <w:tr w:rsidR="001A5676" w:rsidRPr="001A5676" w14:paraId="5CAE7A27" w14:textId="77777777" w:rsidTr="00AD6FDB">
        <w:tc>
          <w:tcPr>
            <w:tcW w:w="2471" w:type="dxa"/>
            <w:tcBorders>
              <w:top w:val="single" w:sz="18" w:space="0" w:color="auto"/>
              <w:bottom w:val="single" w:sz="4" w:space="0" w:color="auto"/>
            </w:tcBorders>
          </w:tcPr>
          <w:p w14:paraId="09B84265" w14:textId="77777777" w:rsidR="001A5676" w:rsidRPr="001A5676" w:rsidRDefault="001A5676" w:rsidP="001A5676">
            <w:pPr>
              <w:pStyle w:val="Body"/>
              <w:spacing w:after="0"/>
              <w:rPr>
                <w:rFonts w:ascii="Arial" w:eastAsia="Times New Roman" w:hAnsi="Arial" w:cs="Arial"/>
                <w:sz w:val="20"/>
                <w:szCs w:val="20"/>
                <w:lang w:val="en-US"/>
              </w:rPr>
            </w:pPr>
          </w:p>
        </w:tc>
        <w:tc>
          <w:tcPr>
            <w:tcW w:w="2472" w:type="dxa"/>
            <w:tcBorders>
              <w:top w:val="single" w:sz="18" w:space="0" w:color="auto"/>
              <w:bottom w:val="single" w:sz="4" w:space="0" w:color="auto"/>
            </w:tcBorders>
          </w:tcPr>
          <w:p w14:paraId="7CD7D84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DAQ</w:t>
            </w:r>
          </w:p>
        </w:tc>
        <w:tc>
          <w:tcPr>
            <w:tcW w:w="2472" w:type="dxa"/>
            <w:tcBorders>
              <w:top w:val="single" w:sz="18" w:space="0" w:color="auto"/>
              <w:bottom w:val="single" w:sz="4" w:space="0" w:color="auto"/>
            </w:tcBorders>
          </w:tcPr>
          <w:p w14:paraId="7F90455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MAQ</w:t>
            </w:r>
          </w:p>
        </w:tc>
        <w:tc>
          <w:tcPr>
            <w:tcW w:w="2472" w:type="dxa"/>
            <w:tcBorders>
              <w:top w:val="single" w:sz="18" w:space="0" w:color="auto"/>
              <w:bottom w:val="single" w:sz="4" w:space="0" w:color="auto"/>
            </w:tcBorders>
          </w:tcPr>
          <w:p w14:paraId="5CC069FA"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MHE</w:t>
            </w:r>
          </w:p>
        </w:tc>
      </w:tr>
      <w:tr w:rsidR="001A5676" w:rsidRPr="001A5676" w14:paraId="231CACDA" w14:textId="77777777" w:rsidTr="00AD6FDB">
        <w:tc>
          <w:tcPr>
            <w:tcW w:w="2471" w:type="dxa"/>
            <w:tcBorders>
              <w:top w:val="single" w:sz="4" w:space="0" w:color="auto"/>
            </w:tcBorders>
          </w:tcPr>
          <w:p w14:paraId="2C911E4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EB</w:t>
            </w:r>
          </w:p>
        </w:tc>
        <w:tc>
          <w:tcPr>
            <w:tcW w:w="2472" w:type="dxa"/>
            <w:tcBorders>
              <w:top w:val="single" w:sz="4" w:space="0" w:color="auto"/>
            </w:tcBorders>
          </w:tcPr>
          <w:p w14:paraId="56448501"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1DAF5C12"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Borders>
              <w:top w:val="single" w:sz="4" w:space="0" w:color="auto"/>
            </w:tcBorders>
          </w:tcPr>
          <w:p w14:paraId="6B6BD6CF"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r w:rsidR="001A5676" w:rsidRPr="001A5676" w14:paraId="62838342" w14:textId="77777777" w:rsidTr="00AD6FDB">
        <w:tc>
          <w:tcPr>
            <w:tcW w:w="2471" w:type="dxa"/>
          </w:tcPr>
          <w:p w14:paraId="1E1FDF2B"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PA</w:t>
            </w:r>
          </w:p>
        </w:tc>
        <w:tc>
          <w:tcPr>
            <w:tcW w:w="2472" w:type="dxa"/>
          </w:tcPr>
          <w:p w14:paraId="47C1426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C1D0B5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6149AD2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Bacteriostatic</w:t>
            </w:r>
          </w:p>
        </w:tc>
      </w:tr>
      <w:tr w:rsidR="001A5676" w:rsidRPr="001A5676" w14:paraId="676A3E30" w14:textId="77777777" w:rsidTr="00AD6FDB">
        <w:tc>
          <w:tcPr>
            <w:tcW w:w="2471" w:type="dxa"/>
          </w:tcPr>
          <w:p w14:paraId="6A4F64A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ITS</w:t>
            </w:r>
          </w:p>
        </w:tc>
        <w:tc>
          <w:tcPr>
            <w:tcW w:w="2472" w:type="dxa"/>
          </w:tcPr>
          <w:p w14:paraId="02D42C50"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20B4B8E7"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c>
          <w:tcPr>
            <w:tcW w:w="2472" w:type="dxa"/>
          </w:tcPr>
          <w:p w14:paraId="50264678"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r>
      <w:tr w:rsidR="001A5676" w:rsidRPr="001A5676" w14:paraId="4B040535" w14:textId="77777777" w:rsidTr="00AD6FDB">
        <w:tc>
          <w:tcPr>
            <w:tcW w:w="2471" w:type="dxa"/>
          </w:tcPr>
          <w:p w14:paraId="71E0940C"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EC</w:t>
            </w:r>
          </w:p>
        </w:tc>
        <w:tc>
          <w:tcPr>
            <w:tcW w:w="2472" w:type="dxa"/>
          </w:tcPr>
          <w:p w14:paraId="4F9C7DAE"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418E56A6"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Bactericide</w:t>
            </w:r>
          </w:p>
        </w:tc>
        <w:tc>
          <w:tcPr>
            <w:tcW w:w="2472" w:type="dxa"/>
          </w:tcPr>
          <w:p w14:paraId="0C9F015D" w14:textId="77777777" w:rsidR="001A5676" w:rsidRPr="001A5676" w:rsidRDefault="001A5676" w:rsidP="001A5676">
            <w:pPr>
              <w:pStyle w:val="Body"/>
              <w:spacing w:after="0"/>
              <w:rPr>
                <w:rFonts w:ascii="Arial" w:eastAsia="Times New Roman" w:hAnsi="Arial" w:cs="Arial"/>
                <w:sz w:val="20"/>
                <w:szCs w:val="20"/>
                <w:lang w:val="en-US"/>
              </w:rPr>
            </w:pPr>
            <w:r w:rsidRPr="001A5676">
              <w:rPr>
                <w:rFonts w:ascii="Arial" w:eastAsia="Times New Roman" w:hAnsi="Arial" w:cs="Arial"/>
                <w:sz w:val="20"/>
                <w:szCs w:val="20"/>
                <w:lang w:val="en-US"/>
              </w:rPr>
              <w:t>Absolute bactericide</w:t>
            </w:r>
          </w:p>
        </w:tc>
      </w:tr>
    </w:tbl>
    <w:p w14:paraId="0A1DE52D" w14:textId="77777777" w:rsidR="00EE7F92" w:rsidRDefault="00EE7F92" w:rsidP="001A5676">
      <w:pPr>
        <w:pStyle w:val="Body"/>
        <w:spacing w:after="0"/>
        <w:rPr>
          <w:rFonts w:ascii="Arial" w:hAnsi="Arial" w:cs="Arial"/>
        </w:rPr>
      </w:pPr>
    </w:p>
    <w:p w14:paraId="74489379" w14:textId="7B801A04" w:rsidR="001A5676" w:rsidRPr="001A5676" w:rsidRDefault="001A5676" w:rsidP="001A5676">
      <w:pPr>
        <w:pStyle w:val="Body"/>
        <w:spacing w:after="0"/>
        <w:rPr>
          <w:rFonts w:ascii="Arial" w:hAnsi="Arial" w:cs="Arial"/>
        </w:rPr>
      </w:pPr>
      <w:r w:rsidRPr="001A5676">
        <w:rPr>
          <w:rFonts w:ascii="Arial" w:hAnsi="Arial" w:cs="Arial"/>
        </w:rPr>
        <w:t xml:space="preserve">Table 8 shows that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extracts</w:t>
      </w:r>
      <w:proofErr w:type="gramEnd"/>
      <w:r w:rsidRPr="001A5676">
        <w:rPr>
          <w:rFonts w:ascii="Arial" w:hAnsi="Arial" w:cs="Arial"/>
        </w:rPr>
        <w:t xml:space="preserve"> have antimicrobial power against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S. aureus</w:t>
      </w:r>
      <w:r w:rsidRPr="001A5676">
        <w:rPr>
          <w:rFonts w:ascii="Arial" w:hAnsi="Arial" w:cs="Arial"/>
        </w:rPr>
        <w:t xml:space="preserve">, </w:t>
      </w:r>
      <w:r w:rsidR="00CA16D7" w:rsidRPr="00CA16D7">
        <w:rPr>
          <w:rFonts w:ascii="Arial" w:hAnsi="Arial" w:cs="Arial"/>
          <w:i/>
          <w:iCs/>
        </w:rPr>
        <w:t>Pseudomonas aeruginosa</w:t>
      </w:r>
      <w:r w:rsidRPr="001A5676">
        <w:rPr>
          <w:rFonts w:ascii="Arial" w:hAnsi="Arial" w:cs="Arial"/>
        </w:rPr>
        <w:t xml:space="preserve"> and </w:t>
      </w:r>
      <w:r w:rsidR="00CA16D7" w:rsidRPr="00CA16D7">
        <w:rPr>
          <w:rFonts w:ascii="Arial" w:hAnsi="Arial" w:cs="Arial"/>
          <w:i/>
          <w:iCs/>
        </w:rPr>
        <w:t>Enterobacter cloacae</w:t>
      </w:r>
      <w:r w:rsidRPr="001A5676">
        <w:rPr>
          <w:rFonts w:ascii="Arial" w:hAnsi="Arial" w:cs="Arial"/>
        </w:rPr>
        <w:t xml:space="preserve"> and can be bactericidal/bacteriostatic depending on the extraction method and the germ, except for aqueous maceration which was bactericidal against all germs and in particular absolute bactericidal against </w:t>
      </w:r>
      <w:r w:rsidR="00CA16D7" w:rsidRPr="00CA16D7">
        <w:rPr>
          <w:rFonts w:ascii="Arial" w:hAnsi="Arial" w:cs="Arial"/>
          <w:i/>
          <w:iCs/>
        </w:rPr>
        <w:t>S. aureus</w:t>
      </w:r>
      <w:r w:rsidRPr="001A5676">
        <w:rPr>
          <w:rFonts w:ascii="Arial" w:hAnsi="Arial" w:cs="Arial"/>
        </w:rPr>
        <w:t xml:space="preserve"> and </w:t>
      </w:r>
      <w:r w:rsidR="00CA16D7" w:rsidRPr="00CA16D7">
        <w:rPr>
          <w:rFonts w:ascii="Arial" w:hAnsi="Arial" w:cs="Arial"/>
          <w:i/>
          <w:iCs/>
        </w:rPr>
        <w:t>Pseudomonas aeruginosa</w:t>
      </w:r>
      <w:r w:rsidRPr="001A5676">
        <w:rPr>
          <w:rFonts w:ascii="Arial" w:hAnsi="Arial" w:cs="Arial"/>
        </w:rPr>
        <w:t>.</w:t>
      </w:r>
    </w:p>
    <w:p w14:paraId="74BF93EB" w14:textId="77777777" w:rsidR="00EE7F92" w:rsidRDefault="00EE7F92" w:rsidP="001A5676">
      <w:pPr>
        <w:pStyle w:val="Body"/>
        <w:spacing w:after="0"/>
        <w:rPr>
          <w:rFonts w:ascii="Arial" w:hAnsi="Arial" w:cs="Arial"/>
        </w:rPr>
      </w:pPr>
      <w:bookmarkStart w:id="55" w:name="_Toc137924747"/>
    </w:p>
    <w:p w14:paraId="225B425E" w14:textId="24DFAED5" w:rsidR="001A5676" w:rsidRPr="00EE7F92" w:rsidRDefault="00EE7F92" w:rsidP="001A5676">
      <w:pPr>
        <w:pStyle w:val="Body"/>
        <w:spacing w:after="0"/>
        <w:rPr>
          <w:rFonts w:ascii="Arial" w:hAnsi="Arial" w:cs="Arial"/>
          <w:b/>
          <w:bCs/>
        </w:rPr>
      </w:pPr>
      <w:r>
        <w:rPr>
          <w:rFonts w:ascii="Arial" w:hAnsi="Arial" w:cs="Arial"/>
          <w:b/>
          <w:bCs/>
        </w:rPr>
        <w:t xml:space="preserve">3.5. </w:t>
      </w:r>
      <w:r w:rsidR="001A5676" w:rsidRPr="00EE7F92">
        <w:rPr>
          <w:rFonts w:ascii="Arial" w:hAnsi="Arial" w:cs="Arial"/>
          <w:b/>
          <w:bCs/>
        </w:rPr>
        <w:t>DISCUSSION</w:t>
      </w:r>
      <w:bookmarkEnd w:id="55"/>
    </w:p>
    <w:p w14:paraId="220DE0A0" w14:textId="2535BFD8" w:rsidR="001A5676" w:rsidRPr="001A5676" w:rsidRDefault="001A5676" w:rsidP="001A5676">
      <w:pPr>
        <w:pStyle w:val="Body"/>
        <w:spacing w:after="0"/>
        <w:rPr>
          <w:rFonts w:ascii="Arial" w:hAnsi="Arial" w:cs="Arial"/>
        </w:rPr>
      </w:pPr>
      <w:r w:rsidRPr="001A5676">
        <w:rPr>
          <w:rFonts w:ascii="Arial" w:hAnsi="Arial" w:cs="Arial"/>
        </w:rPr>
        <w:t xml:space="preserve">This study investigated the antioxidant and antibacterial activities of the pericarp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fruit</w:t>
      </w:r>
      <w:proofErr w:type="gramEnd"/>
      <w:r w:rsidRPr="001A5676">
        <w:rPr>
          <w:rFonts w:ascii="Arial" w:hAnsi="Arial" w:cs="Arial"/>
        </w:rPr>
        <w:t xml:space="preserve"> . The plant material consisted of the fruit pericarp because this part is reported to have a high concentration of secondary metabolites with antioxidant and antibacterial potential </w:t>
      </w:r>
      <w:r w:rsidRPr="001A5676">
        <w:rPr>
          <w:rFonts w:ascii="Arial" w:hAnsi="Arial" w:cs="Arial"/>
        </w:rPr>
        <w:fldChar w:fldCharType="begin"/>
      </w:r>
      <w:r w:rsidR="00CA16D7">
        <w:rPr>
          <w:rFonts w:ascii="Arial" w:hAnsi="Arial" w:cs="Arial"/>
        </w:rPr>
        <w:instrText xml:space="preserve"> ADDIN EN.CITE &lt;EndNote&gt;&lt;Cite&gt;&lt;Author&gt;Trease&lt;/Author&gt;&lt;Year&gt;2002&lt;/Year&gt;&lt;RecNum&gt;66&lt;/RecNum&gt;&lt;DisplayText&gt;(Trease &amp;amp; Evans, 2002)&lt;/DisplayText&gt;&lt;record&gt;&lt;rec-number&gt;66&lt;/rec-number&gt;&lt;foreign-keys&gt;&lt;key app="EN" db-id="xd20ava0ss0z06e9fzmxda9qwp2twsza5092" timestamp="1774870881"&gt;66&lt;/key&gt;&lt;/foreign-keys&gt;&lt;ref-type name="Journal Article"&gt;17&lt;/ref-type&gt;&lt;contributors&gt;&lt;authors&gt;&lt;author&gt;Trease, G.&lt;/author&gt;&lt;author&gt;Evans, W.&lt;/author&gt;&lt;/authors&gt;&lt;/contributors&gt;&lt;titles&gt;&lt;title&gt;Chemistry and biochemistru of dietary polyphenols&lt;/title&gt;&lt;secondary-title&gt;Journal of Pharmacognosy&lt;/secondary-title&gt;&lt;/titles&gt;&lt;periodical&gt;&lt;full-title&gt;Journal of Pharmacognosy&lt;/full-title&gt;&lt;/periodical&gt;&lt;pages&gt;391-393&lt;/pages&gt;&lt;dates&gt;&lt;year&gt;2002&lt;/year&gt;&lt;/dates&gt;&lt;urls&gt;&lt;/urls&gt;&lt;/record&gt;&lt;/Cite&gt;&lt;/EndNote&gt;</w:instrText>
      </w:r>
      <w:r w:rsidRPr="001A5676">
        <w:rPr>
          <w:rFonts w:ascii="Arial" w:hAnsi="Arial" w:cs="Arial"/>
        </w:rPr>
        <w:fldChar w:fldCharType="separate"/>
      </w:r>
      <w:r w:rsidR="00CA16D7">
        <w:rPr>
          <w:rFonts w:ascii="Arial" w:hAnsi="Arial" w:cs="Arial"/>
          <w:noProof/>
        </w:rPr>
        <w:t>(Trease &amp; Evans, 2002)</w:t>
      </w:r>
      <w:r w:rsidRPr="001A5676">
        <w:rPr>
          <w:rFonts w:ascii="Arial" w:hAnsi="Arial" w:cs="Arial"/>
        </w:rPr>
        <w:fldChar w:fldCharType="end"/>
      </w:r>
      <w:r w:rsidRPr="001A5676">
        <w:rPr>
          <w:rFonts w:ascii="Arial" w:hAnsi="Arial" w:cs="Arial"/>
        </w:rPr>
        <w:t xml:space="preserve">. To carry out this work, extraction from the dry </w:t>
      </w:r>
      <w:r w:rsidRPr="001A5676">
        <w:rPr>
          <w:rFonts w:ascii="Arial" w:hAnsi="Arial" w:cs="Arial"/>
        </w:rPr>
        <w:lastRenderedPageBreak/>
        <w:t xml:space="preserve">powder of the pericarp was performed using solvents of different polarities: distilled water, ethanol, and an ethanol/ water mixture in a 70/30 (v/v) ratio. The extraction yields were 2.76%, 1.40%, and 1% for the extracts obtained by hydroethanolic maceration, aqueous decoction, and aqueous maceration, respectively. The hydroethanolic maceration, which showed the highest yield, demonstrates its greater extraction capacity compared to maceration and aqueous decoction. Our results are consistent with those reported in the literature and can be explained by the fact that using solvents with different polarities allows the compounds in the crude extract to be separated according to their degree of solubility in the extraction solvent. This method, carried out at room temperature, allows for the extraction of the maximum number of compounds and prevents their denaturation or probable modification due to high temperatures </w:t>
      </w:r>
      <w:r w:rsidRPr="001A5676">
        <w:rPr>
          <w:rFonts w:ascii="Arial" w:hAnsi="Arial" w:cs="Arial"/>
        </w:rPr>
        <w:fldChar w:fldCharType="begin"/>
      </w:r>
      <w:r w:rsidR="00CA16D7">
        <w:rPr>
          <w:rFonts w:ascii="Arial" w:hAnsi="Arial" w:cs="Arial"/>
        </w:rPr>
        <w:instrText xml:space="preserve"> ADDIN EN.CITE &lt;EndNote&gt;&lt;Cite&gt;&lt;Author&gt;Bourgou&lt;/Author&gt;&lt;Year&gt;2009&lt;/Year&gt;&lt;RecNum&gt;67&lt;/RecNum&gt;&lt;DisplayText&gt;(A. Bourgou &amp;amp; Cheng-Wu, 2009)&lt;/DisplayText&gt;&lt;record&gt;&lt;rec-number&gt;67&lt;/rec-number&gt;&lt;foreign-keys&gt;&lt;key app="EN" db-id="xd20ava0ss0z06e9fzmxda9qwp2twsza5092" timestamp="1774870881"&gt;67&lt;/key&gt;&lt;/foreign-keys&gt;&lt;ref-type name="Journal Article"&gt;17&lt;/ref-type&gt;&lt;contributors&gt;&lt;authors&gt;&lt;author&gt;Bourgou, A.&lt;/author&gt;&lt;author&gt;Cheng-Wu, Jin&lt;/author&gt;&lt;/authors&gt;&lt;/contributors&gt;&lt;titles&gt;&lt;title&gt;Antioxidant activity and quantitative estimation of azadirachtin and nimbin in Azadirachta Indica. Grown in foothills of Nepal&lt;/title&gt;&lt;/titles&gt;&lt;pages&gt;384-391&lt;/pages&gt;&lt;volume&gt;8&lt;/volume&gt;&lt;number&gt;13&lt;/number&gt;&lt;dates&gt;&lt;year&gt;2009&lt;/year&gt;&lt;/dates&gt;&lt;urls&gt;&lt;/urls&gt;&lt;/record&gt;&lt;/Cite&gt;&lt;/EndNote&gt;</w:instrText>
      </w:r>
      <w:r w:rsidRPr="001A5676">
        <w:rPr>
          <w:rFonts w:ascii="Arial" w:hAnsi="Arial" w:cs="Arial"/>
        </w:rPr>
        <w:fldChar w:fldCharType="separate"/>
      </w:r>
      <w:r w:rsidR="00CA16D7">
        <w:rPr>
          <w:rFonts w:ascii="Arial" w:hAnsi="Arial" w:cs="Arial"/>
          <w:noProof/>
        </w:rPr>
        <w:t>(A. Bourgou &amp; Cheng-Wu, 2009)</w:t>
      </w:r>
      <w:r w:rsidRPr="001A5676">
        <w:rPr>
          <w:rFonts w:ascii="Arial" w:hAnsi="Arial" w:cs="Arial"/>
        </w:rPr>
        <w:fldChar w:fldCharType="end"/>
      </w:r>
      <w:r w:rsidRPr="001A5676">
        <w:rPr>
          <w:rFonts w:ascii="Arial" w:hAnsi="Arial" w:cs="Arial"/>
        </w:rPr>
        <w:t xml:space="preserve">. According to the results of </w:t>
      </w:r>
      <w:proofErr w:type="spellStart"/>
      <w:r w:rsidRPr="001A5676">
        <w:rPr>
          <w:rFonts w:ascii="Arial" w:hAnsi="Arial" w:cs="Arial"/>
        </w:rPr>
        <w:t>Bourgou</w:t>
      </w:r>
      <w:proofErr w:type="spellEnd"/>
      <w:r w:rsidRPr="001A5676">
        <w:rPr>
          <w:rFonts w:ascii="Arial" w:hAnsi="Arial" w:cs="Arial"/>
        </w:rPr>
        <w:t xml:space="preserve"> et al . </w:t>
      </w:r>
      <w:r w:rsidRPr="001A5676">
        <w:rPr>
          <w:rFonts w:ascii="Arial" w:hAnsi="Arial" w:cs="Arial"/>
        </w:rPr>
        <w:fldChar w:fldCharType="begin"/>
      </w:r>
      <w:r w:rsidR="00CA16D7">
        <w:rPr>
          <w:rFonts w:ascii="Arial" w:hAnsi="Arial" w:cs="Arial"/>
        </w:rPr>
        <w:instrText xml:space="preserve"> ADDIN EN.CITE &lt;EndNote&gt;&lt;Cite&gt;&lt;Author&gt;Bourgou&lt;/Author&gt;&lt;Year&gt;2016&lt;/Year&gt;&lt;RecNum&gt;82&lt;/RecNum&gt;&lt;DisplayText&gt;(S. Bourgou, Beji, Medini, &amp;amp; Ksouri, 2016)&lt;/DisplayText&gt;&lt;record&gt;&lt;rec-number&gt;82&lt;/rec-number&gt;&lt;foreign-keys&gt;&lt;key app="EN" db-id="xd20ava0ss0z06e9fzmxda9qwp2twsza5092" timestamp="1774874021"&gt;82&lt;/key&gt;&lt;/foreign-keys&gt;&lt;ref-type name="Journal Article"&gt;17&lt;/ref-type&gt;&lt;contributors&gt;&lt;authors&gt;&lt;author&gt;Bourgou, S.&lt;/author&gt;&lt;author&gt;Beji, R. S.&lt;/author&gt;&lt;author&gt;Medini, F.&lt;/author&gt;&lt;author&gt;Ksouri, R.&lt;/author&gt;&lt;/authors&gt;&lt;/contributors&gt;&lt;titles&gt;&lt;title&gt;Effet du solvant et de la méthode d&amp;apos;extraction sur la teneur en composés phénoliques et les potentialités antioxydantes d&amp;apos;Euphorbia helioscopia&lt;/title&gt;&lt;secondary-title&gt;Journal of New Sciences, Agriculture and Biotechnology&lt;/secondary-title&gt;&lt;/titles&gt;&lt;periodical&gt;&lt;full-title&gt;Journal of New Sciences, Agriculture and Biotechnology&lt;/full-title&gt;&lt;/periodical&gt;&lt;pages&gt;1649-1655&lt;/pages&gt;&lt;volume&gt;28&lt;/volume&gt;&lt;number&gt;12&lt;/number&gt;&lt;dates&gt;&lt;year&gt;2016&lt;/year&gt;&lt;/dates&gt;&lt;isbn&gt;2286-5314&lt;/isbn&gt;&lt;urls&gt;&lt;/urls&gt;&lt;/record&gt;&lt;/Cite&gt;&lt;/EndNote&gt;</w:instrText>
      </w:r>
      <w:r w:rsidRPr="001A5676">
        <w:rPr>
          <w:rFonts w:ascii="Arial" w:hAnsi="Arial" w:cs="Arial"/>
        </w:rPr>
        <w:fldChar w:fldCharType="separate"/>
      </w:r>
      <w:r w:rsidR="00CA16D7">
        <w:rPr>
          <w:rFonts w:ascii="Arial" w:hAnsi="Arial" w:cs="Arial"/>
          <w:noProof/>
        </w:rPr>
        <w:t>(S. Bourgou, Beji, Medini, &amp; Ksouri, 2016)</w:t>
      </w:r>
      <w:r w:rsidRPr="001A5676">
        <w:rPr>
          <w:rFonts w:ascii="Arial" w:hAnsi="Arial" w:cs="Arial"/>
        </w:rPr>
        <w:fldChar w:fldCharType="end"/>
      </w:r>
      <w:r w:rsidRPr="001A5676">
        <w:rPr>
          <w:rFonts w:ascii="Arial" w:hAnsi="Arial" w:cs="Arial"/>
        </w:rPr>
        <w:t xml:space="preserve">, the extraction power of the solvent significantly influences the yield; the mixed solvent proves to be particularly effective. Subsequently, extracts of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underwent</w:t>
      </w:r>
      <w:proofErr w:type="gramEnd"/>
      <w:r w:rsidRPr="001A5676">
        <w:rPr>
          <w:rFonts w:ascii="Arial" w:hAnsi="Arial" w:cs="Arial"/>
        </w:rPr>
        <w:t xml:space="preserve"> phytochemical analysis tailored to the desired activities. This allowed for the qualitative and quantitative determination, through colorimetric tests and assays, of the different groups of secondary metabolites present in the plant, as well as their concentrations. The primary reason for identifying these metabolites lies in the fact that the majority of the plant's pharmacological effects are attributed to them. The results confirm the richness of the </w:t>
      </w:r>
      <w:r w:rsidR="00CA16D7" w:rsidRPr="00CA16D7">
        <w:rPr>
          <w:rFonts w:ascii="Arial" w:hAnsi="Arial" w:cs="Arial"/>
          <w:i/>
          <w:iCs/>
        </w:rPr>
        <w:t xml:space="preserve">G.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1A5676">
        <w:rPr>
          <w:rFonts w:ascii="Arial" w:hAnsi="Arial" w:cs="Arial"/>
        </w:rPr>
        <w:t xml:space="preserve"> fruit</w:t>
      </w:r>
      <w:proofErr w:type="gramEnd"/>
      <w:r w:rsidRPr="001A5676">
        <w:rPr>
          <w:rFonts w:ascii="Arial" w:hAnsi="Arial" w:cs="Arial"/>
        </w:rPr>
        <w:t xml:space="preserve">. </w:t>
      </w:r>
      <w:proofErr w:type="spellStart"/>
      <w:r w:rsidRPr="001A5676">
        <w:rPr>
          <w:rFonts w:ascii="Arial" w:hAnsi="Arial" w:cs="Arial"/>
        </w:rPr>
        <w:t>Mangostana</w:t>
      </w:r>
      <w:proofErr w:type="spellEnd"/>
      <w:r w:rsidRPr="001A5676">
        <w:rPr>
          <w:rFonts w:ascii="Arial" w:hAnsi="Arial" w:cs="Arial"/>
        </w:rPr>
        <w:t xml:space="preserve"> contains bioactive substances such as phenols, alkaloids, anthocyanins, saponins, flavonoids, and tannins, while steroids are absent in all extracts. Observation of the assay results reveals a variation in the levels of total phenols, total flavonoids, and total tannins depending on the solvent used, ranging from 1.16 to 1.85 mg/ml for total phenols, 0.25 to 0.47 mg/ml for total flavonoids, and 0.11 to 0.16 mg/ml for total tannins, with a higher concentration in each case in the hydroethanolic extract. These results are consistent with the work conducted by </w:t>
      </w:r>
      <w:proofErr w:type="spellStart"/>
      <w:r w:rsidRPr="001A5676">
        <w:rPr>
          <w:rFonts w:ascii="Arial" w:hAnsi="Arial" w:cs="Arial"/>
        </w:rPr>
        <w:t>Shela</w:t>
      </w:r>
      <w:proofErr w:type="spellEnd"/>
      <w:r w:rsidRPr="001A5676">
        <w:rPr>
          <w:rFonts w:ascii="Arial" w:hAnsi="Arial" w:cs="Arial"/>
        </w:rPr>
        <w:t xml:space="preserve"> et al. </w:t>
      </w:r>
      <w:r w:rsidRPr="001A5676">
        <w:rPr>
          <w:rFonts w:ascii="Arial" w:hAnsi="Arial" w:cs="Arial"/>
        </w:rPr>
        <w:fldChar w:fldCharType="begin"/>
      </w:r>
      <w:r w:rsidR="00CA16D7">
        <w:rPr>
          <w:rFonts w:ascii="Arial" w:hAnsi="Arial" w:cs="Arial"/>
        </w:rPr>
        <w:instrText xml:space="preserve"> ADDIN EN.CITE &lt;EndNote&gt;&lt;Cite&gt;&lt;Author&gt;Shela&lt;/Author&gt;&lt;Year&gt;2011&lt;/Year&gt;&lt;RecNum&gt;83&lt;/RecNum&gt;&lt;DisplayText&gt;(Shela, Mamta, &amp;amp; Shiwani, 2011)&lt;/DisplayText&gt;&lt;record&gt;&lt;rec-number&gt;83&lt;/rec-number&gt;&lt;foreign-keys&gt;&lt;key app="EN" db-id="xd20ava0ss0z06e9fzmxda9qwp2twsza5092" timestamp="1774874258"&gt;83&lt;/key&gt;&lt;/foreign-keys&gt;&lt;ref-type name="Journal Article"&gt;17&lt;/ref-type&gt;&lt;contributors&gt;&lt;authors&gt;&lt;author&gt;Shela, G.&lt;/author&gt;&lt;author&gt;Mamta, S.&lt;/author&gt;&lt;author&gt;Shiwani, G.&lt;/author&gt;&lt;/authors&gt;&lt;/contributors&gt;&lt;titles&gt;&lt;title&gt;Phytochemical screening and antioxidant activity of Cassia fistula L. leaf extracts&lt;/title&gt;&lt;secondary-title&gt;Journal of Chemical and Pharmaceutical Research&lt;/secondary-title&gt;&lt;/titles&gt;&lt;periodical&gt;&lt;full-title&gt;Journal of Chemical and Pharmaceutical Research&lt;/full-title&gt;&lt;/periodical&gt;&lt;pages&gt;194-199&lt;/pages&gt;&lt;volume&gt;3&lt;/volume&gt;&lt;number&gt;6&lt;/number&gt;&lt;dates&gt;&lt;year&gt;2011&lt;/year&gt;&lt;/dates&gt;&lt;urls&gt;&lt;/urls&gt;&lt;/record&gt;&lt;/Cite&gt;&lt;/EndNote&gt;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(Shela, Mamta, &amp; Shiwani, 2011)</w:t>
      </w:r>
      <w:r w:rsidRPr="001A5676">
        <w:rPr>
          <w:rFonts w:ascii="Arial" w:hAnsi="Arial" w:cs="Arial"/>
        </w:rPr>
        <w:fldChar w:fldCharType="end"/>
      </w:r>
      <w:r w:rsidRPr="001A5676">
        <w:rPr>
          <w:rFonts w:ascii="Arial" w:hAnsi="Arial" w:cs="Arial"/>
        </w:rPr>
        <w:t xml:space="preserve">who obtained a higher total polyphenol content in the hydroethanolic extract than in the other extracts. However, our results contradict in some respects those of the study by </w:t>
      </w:r>
      <w:proofErr w:type="spellStart"/>
      <w:r w:rsidRPr="001A5676">
        <w:rPr>
          <w:rFonts w:ascii="Arial" w:hAnsi="Arial" w:cs="Arial"/>
        </w:rPr>
        <w:t>Assemian</w:t>
      </w:r>
      <w:proofErr w:type="spellEnd"/>
      <w:r w:rsidRPr="001A5676">
        <w:rPr>
          <w:rFonts w:ascii="Arial" w:hAnsi="Arial" w:cs="Arial"/>
        </w:rPr>
        <w:t xml:space="preserve"> et al . </w:t>
      </w:r>
      <w:r w:rsidRPr="001A5676">
        <w:rPr>
          <w:rFonts w:ascii="Arial" w:hAnsi="Arial" w:cs="Arial"/>
        </w:rPr>
        <w:fldChar w:fldCharType="begin"/>
      </w:r>
      <w:r w:rsidR="00CA16D7">
        <w:rPr>
          <w:rFonts w:ascii="Arial" w:hAnsi="Arial" w:cs="Arial"/>
        </w:rPr>
        <w:instrText xml:space="preserve"> ADDIN EN.CITE &lt;EndNote&gt;&lt;Cite&gt;&lt;Author&gt;Assemian&lt;/Author&gt;&lt;Year&gt;2022&lt;/Year&gt;&lt;RecNum&gt;84&lt;/RecNum&gt;&lt;DisplayText&gt;(Assemian, Guessennd, Adou, &amp;amp; Dosso, 2022)&lt;/DisplayText&gt;&lt;record&gt;&lt;rec-number&gt;84&lt;/rec-number&gt;&lt;foreign-keys&gt;&lt;key app="EN" db-id="xd20ava0ss0z06e9fzmxda9qwp2twsza5092" timestamp="1774874258"&gt;84&lt;/key&gt;&lt;/foreign-keys&gt;&lt;ref-type name="Journal Article"&gt;17&lt;/ref-type&gt;&lt;contributors&gt;&lt;authors&gt;&lt;author&gt;Assemian, A. S.&lt;/author&gt;&lt;author&gt;Guessennd, N. K.&lt;/author&gt;&lt;author&gt;Adou, K. F.&lt;/author&gt;&lt;author&gt;Dosso, M.&lt;/author&gt;&lt;/authors&gt;&lt;/contributors&gt;&lt;titles&gt;&lt;title&gt;Étude phytochimique et activité antibactérienne des extraits de Crateva adansonii DC (Capparaceae) sur les souches de Staphylococcus aureus et Pseudomonas aeruginosa&lt;/title&gt;&lt;secondary-title&gt;Journal of Applied Biosciences&lt;/secondary-title&gt;&lt;/titles&gt;&lt;periodical&gt;&lt;full-title&gt;Journal of Applied Biosciences&lt;/full-title&gt;&lt;/periodical&gt;&lt;pages&gt;17891-17904&lt;/pages&gt;&lt;volume&gt;172&lt;/volume&gt;&lt;dates&gt;&lt;year&gt;2022&lt;/year&gt;&lt;/dates&gt;&lt;urls&gt;&lt;/urls&gt;&lt;/record&gt;&lt;/Cite&gt;&lt;/EndNote&gt;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(Assemian, Guessennd, Adou, &amp; Dosso, 2022)</w:t>
      </w:r>
      <w:r w:rsidRPr="001A5676">
        <w:rPr>
          <w:rFonts w:ascii="Arial" w:hAnsi="Arial" w:cs="Arial"/>
        </w:rPr>
        <w:fldChar w:fldCharType="end"/>
      </w:r>
      <w:r w:rsidRPr="001A5676">
        <w:rPr>
          <w:rFonts w:ascii="Arial" w:hAnsi="Arial" w:cs="Arial"/>
        </w:rPr>
        <w:t xml:space="preserve">who noted the presence of steroids in the hydroethanolic extract during the staining tests. Furthermore, according to the work of </w:t>
      </w:r>
      <w:proofErr w:type="spellStart"/>
      <w:r w:rsidRPr="001A5676">
        <w:rPr>
          <w:rFonts w:ascii="Arial" w:hAnsi="Arial" w:cs="Arial"/>
        </w:rPr>
        <w:t>Monrudee</w:t>
      </w:r>
      <w:proofErr w:type="spellEnd"/>
      <w:r w:rsidRPr="001A5676">
        <w:rPr>
          <w:rFonts w:ascii="Arial" w:hAnsi="Arial" w:cs="Arial"/>
        </w:rPr>
        <w:t xml:space="preserve"> et al. in </w:t>
      </w:r>
      <w:proofErr w:type="gramStart"/>
      <w:r w:rsidRPr="001A5676">
        <w:rPr>
          <w:rFonts w:ascii="Arial" w:hAnsi="Arial" w:cs="Arial"/>
        </w:rPr>
        <w:t>2011 ,</w:t>
      </w:r>
      <w:proofErr w:type="gramEnd"/>
      <w:r w:rsidRPr="001A5676">
        <w:rPr>
          <w:rFonts w:ascii="Arial" w:hAnsi="Arial" w:cs="Arial"/>
        </w:rPr>
        <w:t xml:space="preserve"> total tannins have a higher content than total flavonoids in all extracts, which is not the case in the present study. Indeed, the synthesis and accumulation of secondary metabolites vary according to biotic factors (related to the plant itself) and abiotic factors (related to the environment in which the plant grows). Biotic factors include the part of the plant used, the age of the plant at harvest or the stage of development while abiotic factors are climate, season, time and place of harvest, application of fertilizers, crop density </w:t>
      </w:r>
      <w:r w:rsidRPr="001A5676">
        <w:rPr>
          <w:rFonts w:ascii="Arial" w:hAnsi="Arial" w:cs="Arial"/>
        </w:rPr>
        <w:fldChar w:fldCharType="begin"/>
      </w:r>
      <w:r w:rsidR="00CA16D7">
        <w:rPr>
          <w:rFonts w:ascii="Arial" w:hAnsi="Arial" w:cs="Arial"/>
        </w:rPr>
        <w:instrText xml:space="preserve"> ADDIN EN.CITE &lt;EndNote&gt;&lt;Cite&gt;&lt;Author&gt;Monrudee&lt;/Author&gt;&lt;Year&gt;2011&lt;/Year&gt;&lt;RecNum&gt;69&lt;/RecNum&gt;&lt;DisplayText&gt;(Monrudee &amp;amp; Tanasait, 2011)&lt;/DisplayText&gt;&lt;record&gt;&lt;rec-number&gt;69&lt;/rec-number&gt;&lt;foreign-keys&gt;&lt;key app="EN" db-id="xd20ava0ss0z06e9fzmxda9qwp2twsza5092" timestamp="1774870881"&gt;69&lt;/key&gt;&lt;/foreign-keys&gt;&lt;ref-type name="Journal Article"&gt;17&lt;/ref-type&gt;&lt;contributors&gt;&lt;authors&gt;&lt;author&gt;Monrudee, S.&lt;/author&gt;&lt;author&gt;Tanasait, N.&lt;/author&gt;&lt;/authors&gt;&lt;/contributors&gt;&lt;titles&gt;&lt;title&gt;Antioxydant properties of squeezed mangosteen juice&lt;/title&gt;&lt;secondary-title&gt;Thai Journal Pharmaceutical Sciences&lt;/secondary-title&gt;&lt;/titles&gt;&lt;periodical&gt;&lt;full-title&gt;Thai Journal Pharmaceutical Sciences&lt;/full-title&gt;&lt;/periodical&gt;&lt;pages&gt;176-187&lt;/pages&gt;&lt;dates&gt;&lt;year&gt;2011&lt;/year&gt;&lt;/dates&gt;&lt;urls&gt;&lt;/urls&gt;&lt;/record&gt;&lt;/Cite&gt;&lt;/EndNote&gt;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(Monrudee &amp; Tanasait, 2011)</w:t>
      </w:r>
      <w:r w:rsidRPr="001A5676">
        <w:rPr>
          <w:rFonts w:ascii="Arial" w:hAnsi="Arial" w:cs="Arial"/>
        </w:rPr>
        <w:fldChar w:fldCharType="end"/>
      </w:r>
      <w:r w:rsidRPr="001A5676">
        <w:rPr>
          <w:rFonts w:ascii="Arial" w:hAnsi="Arial" w:cs="Arial"/>
        </w:rPr>
        <w:t>.</w:t>
      </w:r>
    </w:p>
    <w:p w14:paraId="096F10C0" w14:textId="185B5442" w:rsidR="001A5676" w:rsidRPr="001A5676" w:rsidRDefault="001A5676" w:rsidP="001A5676">
      <w:pPr>
        <w:pStyle w:val="Body"/>
        <w:spacing w:after="0"/>
        <w:rPr>
          <w:rFonts w:ascii="Arial" w:hAnsi="Arial" w:cs="Arial"/>
        </w:rPr>
      </w:pPr>
      <w:r w:rsidRPr="001A5676">
        <w:rPr>
          <w:rFonts w:ascii="Arial" w:hAnsi="Arial" w:cs="Arial"/>
        </w:rPr>
        <w:t xml:space="preserve">Regarding antioxidant activity, several methods can be used in </w:t>
      </w:r>
      <w:proofErr w:type="gramStart"/>
      <w:r w:rsidRPr="001A5676">
        <w:rPr>
          <w:rFonts w:ascii="Arial" w:hAnsi="Arial" w:cs="Arial"/>
        </w:rPr>
        <w:t>vitro .</w:t>
      </w:r>
      <w:proofErr w:type="gramEnd"/>
      <w:r w:rsidRPr="001A5676">
        <w:rPr>
          <w:rFonts w:ascii="Arial" w:hAnsi="Arial" w:cs="Arial"/>
        </w:rPr>
        <w:t xml:space="preserve"> The methods applied in our study are DPPH free radical scavenging and the FRAP method. These methods were chosen due to their simplicity, speed, sensitivity, and reproducibility</w:t>
      </w:r>
      <w:r w:rsidR="00777866">
        <w:rPr>
          <w:rFonts w:ascii="Arial" w:hAnsi="Arial" w:cs="Arial"/>
        </w:rPr>
        <w:fldChar w:fldCharType="begin"/>
      </w:r>
      <w:r w:rsidR="00777866">
        <w:rPr>
          <w:rFonts w:ascii="Arial" w:hAnsi="Arial" w:cs="Arial"/>
        </w:rPr>
        <w:instrText xml:space="preserve"> ADDIN EN.CITE &lt;EndNote&gt;&lt;Cite&gt;&lt;Author&gt;Gulcin&lt;/Author&gt;&lt;Year&gt;2020&lt;/Year&gt;&lt;RecNum&gt;95&lt;/RecNum&gt;&lt;DisplayText&gt;(Gulcin, 2020)&lt;/DisplayText&gt;&lt;record&gt;&lt;rec-number&gt;95&lt;/rec-number&gt;&lt;foreign-keys&gt;&lt;key app="EN" db-id="ppwefpzf5eefwrea9agvzetgp2s0rdew0rw0" timestamp="1777973980"&gt;95&lt;/key&gt;&lt;/foreign-keys&gt;&lt;ref-type name="Journal Article"&gt;17&lt;/ref-type&gt;&lt;contributors&gt;&lt;authors&gt;&lt;author&gt;Gulcin, İ&lt;/author&gt;&lt;/authors&gt;&lt;/contributors&gt;&lt;titles&gt;&lt;title&gt;Antioxidants and antioxidant methods: An updated overview&lt;/title&gt;&lt;secondary-title&gt;Archives of Toxicology&lt;/secondary-title&gt;&lt;/titles&gt;&lt;periodical&gt;&lt;full-title&gt;Archives of Toxicology&lt;/full-title&gt;&lt;/periodical&gt;&lt;pages&gt;651-715&lt;/pages&gt;&lt;volume&gt;94&lt;/volume&gt;&lt;number&gt;3&lt;/number&gt;&lt;dates&gt;&lt;year&gt;2020&lt;/year&gt;&lt;/dates&gt;&lt;urls&gt;&lt;/urls&gt;&lt;electronic-resource-num&gt;10.1007/s00204-020-02689-3&lt;/electronic-resource-num&gt;&lt;/record&gt;&lt;/Cite&gt;&lt;/EndNote&gt;</w:instrText>
      </w:r>
      <w:r w:rsidR="00777866">
        <w:rPr>
          <w:rFonts w:ascii="Arial" w:hAnsi="Arial" w:cs="Arial"/>
        </w:rPr>
        <w:fldChar w:fldCharType="separate"/>
      </w:r>
      <w:r w:rsidR="00777866">
        <w:rPr>
          <w:rFonts w:ascii="Arial" w:hAnsi="Arial" w:cs="Arial"/>
          <w:noProof/>
        </w:rPr>
        <w:t>(Gulcin, 2020)</w:t>
      </w:r>
      <w:r w:rsidR="00777866">
        <w:rPr>
          <w:rFonts w:ascii="Arial" w:hAnsi="Arial" w:cs="Arial"/>
        </w:rPr>
        <w:fldChar w:fldCharType="end"/>
      </w:r>
      <w:r w:rsidRPr="001A5676">
        <w:rPr>
          <w:rFonts w:ascii="Arial" w:hAnsi="Arial" w:cs="Arial"/>
        </w:rPr>
        <w:t>. Using the DPPH radical scavenging method, the IC50 values are approximately 19.97 µg/ml for the aqueous extract obtained by maceration, 17.12 µg/ml for the aqueous decoction extract, and 15.71 µg/ml for the hydroethanolic extract. The higher the IC</w:t>
      </w:r>
      <w:proofErr w:type="gramStart"/>
      <w:r w:rsidRPr="001A5676">
        <w:rPr>
          <w:rFonts w:ascii="Arial" w:hAnsi="Arial" w:cs="Arial"/>
        </w:rPr>
        <w:t>50 ,</w:t>
      </w:r>
      <w:proofErr w:type="gramEnd"/>
      <w:r w:rsidRPr="001A5676">
        <w:rPr>
          <w:rFonts w:ascii="Arial" w:hAnsi="Arial" w:cs="Arial"/>
        </w:rPr>
        <w:t xml:space="preserve"> the lower the free radical scavenging capacity and therefore the lower the antioxidant activity, as it represents the amount of antioxidant required to reduce the free radical concentration by 50%. That said, the hydroethanolic extract has a higher antioxidant capacity than the other extracts and the reference antioxidant (BHT), which has an IC50 of 17.91. These results are close to those of Abdul et al. </w:t>
      </w:r>
      <w:r w:rsidRPr="001A5676">
        <w:rPr>
          <w:rFonts w:ascii="Arial" w:hAnsi="Arial" w:cs="Arial"/>
        </w:rPr>
        <w:fldChar w:fldCharType="begin"/>
      </w:r>
      <w:r w:rsidR="00CA16D7">
        <w:rPr>
          <w:rFonts w:ascii="Arial" w:hAnsi="Arial" w:cs="Arial"/>
        </w:rPr>
        <w:instrText xml:space="preserve"> ADDIN EN.CITE &lt;EndNote&gt;&lt;Cite&gt;&lt;Author&gt;Abdul&lt;/Author&gt;&lt;Year&gt;2019&lt;/Year&gt;&lt;RecNum&gt;71&lt;/RecNum&gt;&lt;DisplayText&gt;(Abdul &amp;amp; Sophie, 2019)&lt;/DisplayText&gt;&lt;record&gt;&lt;rec-number&gt;71&lt;/rec-number&gt;&lt;foreign-keys&gt;&lt;key app="EN" db-id="xd20ava0ss0z06e9fzmxda9qwp2twsza5092" timestamp="1774870881"&gt;71&lt;/key&gt;&lt;/foreign-keys&gt;&lt;ref-type name="Journal Article"&gt;17&lt;/ref-type&gt;&lt;contributors&gt;&lt;authors&gt;&lt;author&gt;Abdul, Y.&lt;/author&gt;&lt;author&gt;Sophie, R.&lt;/author&gt;&lt;/authors&gt;&lt;/contributors&gt;&lt;titles&gt;&lt;title&gt;Metabolites Secondaires, Activites Antibacterienne Et Antiradicalaire Des Extraits De Lecorce De Tronc De Acacia Polyacantha Recoltee Au Benin&lt;/title&gt;&lt;secondary-title&gt;Int J Adv Res&lt;/secondary-title&gt;&lt;/titles&gt;&lt;periodical&gt;&lt;full-title&gt;Int J Adv Res&lt;/full-title&gt;&lt;/periodical&gt;&lt;pages&gt;1087-1092&lt;/pages&gt;&lt;volume&gt;7&lt;/volume&gt;&lt;number&gt;10&lt;/number&gt;&lt;dates&gt;&lt;year&gt;2019&lt;/year&gt;&lt;/dates&gt;&lt;urls&gt;&lt;/urls&gt;&lt;/record&gt;&lt;/Cite&gt;&lt;/EndNote&gt;</w:instrText>
      </w:r>
      <w:r w:rsidRPr="001A5676">
        <w:rPr>
          <w:rFonts w:ascii="Arial" w:hAnsi="Arial" w:cs="Arial"/>
        </w:rPr>
        <w:fldChar w:fldCharType="separate"/>
      </w:r>
      <w:r w:rsidR="00CA16D7">
        <w:rPr>
          <w:rFonts w:ascii="Arial" w:hAnsi="Arial" w:cs="Arial"/>
          <w:noProof/>
        </w:rPr>
        <w:t>(Abdul &amp; Sophie, 2019)</w:t>
      </w:r>
      <w:r w:rsidRPr="001A5676">
        <w:rPr>
          <w:rFonts w:ascii="Arial" w:hAnsi="Arial" w:cs="Arial"/>
        </w:rPr>
        <w:fldChar w:fldCharType="end"/>
      </w:r>
      <w:r w:rsidRPr="001A5676">
        <w:rPr>
          <w:rFonts w:ascii="Arial" w:hAnsi="Arial" w:cs="Arial"/>
        </w:rPr>
        <w:t xml:space="preserve">who obtained an IC50 of 18.81 µg/ml with the hydroethanolic extract and different from those of </w:t>
      </w:r>
      <w:proofErr w:type="spellStart"/>
      <w:r w:rsidRPr="001A5676">
        <w:rPr>
          <w:rFonts w:ascii="Arial" w:hAnsi="Arial" w:cs="Arial"/>
        </w:rPr>
        <w:t>Nuttavut</w:t>
      </w:r>
      <w:proofErr w:type="spellEnd"/>
      <w:r w:rsidRPr="001A5676">
        <w:rPr>
          <w:rFonts w:ascii="Arial" w:hAnsi="Arial" w:cs="Arial"/>
        </w:rPr>
        <w:t xml:space="preserve"> et al in 2007 who obtained for the hydroethanolic extract an IC50 of 11.40 µg/ml </w:t>
      </w:r>
      <w:r w:rsidRPr="001A5676">
        <w:rPr>
          <w:rFonts w:ascii="Arial" w:hAnsi="Arial" w:cs="Arial"/>
        </w:rPr>
        <w:fldChar w:fldCharType="begin"/>
      </w:r>
      <w:r w:rsidR="00777866">
        <w:rPr>
          <w:rFonts w:ascii="Arial" w:hAnsi="Arial" w:cs="Arial"/>
        </w:rPr>
        <w:instrText xml:space="preserve"> ADDIN EN.CITE &lt;EndNote&gt;&lt;Cite&gt;&lt;Author&gt;Nuttavet&lt;/Author&gt;&lt;Year&gt;2007&lt;/Year&gt;&lt;RecNum&gt;86&lt;/RecNum&gt;&lt;DisplayText&gt;(Nauman &amp;amp; Johnson, 2022; Nuttavet, Youn-Hee, &amp;amp; Primchanien, 2007)&lt;/DisplayText&gt;&lt;record&gt;&lt;rec-number&gt;86&lt;/rec-number&gt;&lt;foreign-keys&gt;&lt;key app="EN" db-id="xd20ava0ss0z06e9fzmxda9qwp2twsza5092" timestamp="1774897292"&gt;86&lt;/key&gt;&lt;/foreign-keys&gt;&lt;ref-type name="Journal Article"&gt;17&lt;/ref-type&gt;&lt;contributors&gt;&lt;authors&gt;&lt;author&gt;Nuttavet, K.&lt;/author&gt;&lt;author&gt;Youn-Hee, H.&lt;/author&gt;&lt;author&gt;Primchanien, M.&lt;/author&gt;&lt;/authors&gt;&lt;/contributors&gt;&lt;titles&gt;&lt;title&gt;Antioxidant and cytoprotective activities of methanolic extract from the fruit hull of Garcinia mangostana&lt;/title&gt;&lt;secondary-title&gt;Science Asia&lt;/secondary-title&gt;&lt;/titles&gt;&lt;periodical&gt;&lt;full-title&gt;Science Asia&lt;/full-title&gt;&lt;/periodical&gt;&lt;pages&gt;283-292&lt;/pages&gt;&lt;volume&gt;33&lt;/volume&gt;&lt;number&gt;1&lt;/number&gt;&lt;dates&gt;&lt;year&gt;2007&lt;/year&gt;&lt;/dates&gt;&lt;urls&gt;&lt;/urls&gt;&lt;/record&gt;&lt;/Cite&gt;&lt;Cite&gt;&lt;Author&gt;Nauman&lt;/Author&gt;&lt;Year&gt;2022&lt;/Year&gt;&lt;RecNum&gt;99&lt;/RecNum&gt;&lt;record&gt;&lt;rec-number&gt;99&lt;/rec-number&gt;&lt;foreign-keys&gt;&lt;key app="EN" db-id="ppwefpzf5eefwrea9agvzetgp2s0rdew0rw0" timestamp="1777973980"&gt;99&lt;/key&gt;&lt;/foreign-keys&gt;&lt;ref-type name="Journal Article"&gt;17&lt;/ref-type&gt;&lt;contributors&gt;&lt;authors&gt;&lt;author&gt;Nauman, M. C.&lt;/author&gt;&lt;author&gt;Johnson, J. J.&lt;/author&gt;&lt;/authors&gt;&lt;/contributors&gt;&lt;titles&gt;&lt;title&gt;The purple mangosteen (Garcinia mangostana): Defining the anticancer potential of selected xanthones&lt;/title&gt;&lt;secondary-title&gt;Pharmacological Research&lt;/secondary-title&gt;&lt;/titles&gt;&lt;periodical&gt;&lt;full-title&gt;Pharmacological Research&lt;/full-title&gt;&lt;/periodical&gt;&lt;pages&gt;106032&lt;/pages&gt;&lt;volume&gt;175&lt;/volume&gt;&lt;dates&gt;&lt;year&gt;2022&lt;/year&gt;&lt;/dates&gt;&lt;urls&gt;&lt;/urls&gt;&lt;electronic-resource-num&gt;10.1016/j.phrs.2021.106032&lt;/electronic-resource-num&gt;&lt;/record&gt;&lt;/Cite&gt;&lt;/EndNote&gt;</w:instrText>
      </w:r>
      <w:r w:rsidRPr="001A5676">
        <w:rPr>
          <w:rFonts w:ascii="Arial" w:hAnsi="Arial" w:cs="Arial"/>
        </w:rPr>
        <w:fldChar w:fldCharType="separate"/>
      </w:r>
      <w:r w:rsidR="00777866">
        <w:rPr>
          <w:rFonts w:ascii="Arial" w:hAnsi="Arial" w:cs="Arial"/>
          <w:noProof/>
        </w:rPr>
        <w:t>(Nauman &amp; Johnson, 2022; Nuttavet, Youn-Hee, &amp; Primchanien, 2007)</w:t>
      </w:r>
      <w:r w:rsidRPr="001A5676">
        <w:rPr>
          <w:rFonts w:ascii="Arial" w:hAnsi="Arial" w:cs="Arial"/>
        </w:rPr>
        <w:fldChar w:fldCharType="end"/>
      </w:r>
      <w:r w:rsidRPr="001A5676">
        <w:rPr>
          <w:rFonts w:ascii="Arial" w:hAnsi="Arial" w:cs="Arial"/>
        </w:rPr>
        <w:t>.</w:t>
      </w:r>
    </w:p>
    <w:p w14:paraId="04E25930" w14:textId="77777777" w:rsidR="001A5676" w:rsidRPr="001A5676" w:rsidRDefault="001A5676" w:rsidP="001A5676">
      <w:pPr>
        <w:pStyle w:val="Body"/>
        <w:spacing w:after="0"/>
        <w:rPr>
          <w:rFonts w:ascii="Arial" w:hAnsi="Arial" w:cs="Arial"/>
        </w:rPr>
      </w:pPr>
      <w:r w:rsidRPr="001A5676">
        <w:rPr>
          <w:rFonts w:ascii="Arial" w:hAnsi="Arial" w:cs="Arial"/>
        </w:rPr>
        <w:t xml:space="preserve">Regarding FRAP, according to the IC50 parameter, the hydroethanolic extract was once again the most active (18.97 µg/ml), followed by the aqueous extract obtained by maceration (21.25 µg/ml) and finally the aqueous extract obtained by decoction (22.42 µg/ml), all lower than </w:t>
      </w:r>
      <w:r w:rsidRPr="001A5676">
        <w:rPr>
          <w:rFonts w:ascii="Arial" w:hAnsi="Arial" w:cs="Arial"/>
        </w:rPr>
        <w:lastRenderedPageBreak/>
        <w:t xml:space="preserve">those of the vitamin C and BHT references. According to the work conducted by </w:t>
      </w:r>
      <w:proofErr w:type="spellStart"/>
      <w:r w:rsidRPr="001A5676">
        <w:rPr>
          <w:rFonts w:ascii="Arial" w:hAnsi="Arial" w:cs="Arial"/>
        </w:rPr>
        <w:t>Tanasit</w:t>
      </w:r>
      <w:proofErr w:type="spellEnd"/>
      <w:r w:rsidRPr="001A5676">
        <w:rPr>
          <w:rFonts w:ascii="Arial" w:hAnsi="Arial" w:cs="Arial"/>
        </w:rPr>
        <w:t xml:space="preserve"> et al. (2010), the extract obtained by aqueous maceration had better antioxidant activity than the hydroethanolic extract; these results differ from those of the present study.</w:t>
      </w:r>
    </w:p>
    <w:p w14:paraId="7A844C31" w14:textId="537D54CC" w:rsidR="001A5676" w:rsidRPr="001A5676" w:rsidRDefault="001A5676" w:rsidP="001A5676">
      <w:pPr>
        <w:pStyle w:val="Body"/>
        <w:spacing w:after="0"/>
        <w:rPr>
          <w:rFonts w:ascii="Arial" w:hAnsi="Arial" w:cs="Arial"/>
        </w:rPr>
      </w:pPr>
      <w:r w:rsidRPr="001A5676">
        <w:rPr>
          <w:rFonts w:ascii="Arial" w:hAnsi="Arial" w:cs="Arial"/>
        </w:rPr>
        <w:t xml:space="preserve">The different activities observed could be due to the diversity of secondary metabolites. The free radical scavenging effect of flavonoids depends on the presence of free OH groups, specifically the C2-C3 double bond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xml:space="preserve">. Furthermore, phenolic compounds, terpenoids, and ascorbic acid are potent antioxidants and free radical scavengers (ROS, hydroxyl radicals, and nitric oxide) that can act as electron donors, reducing agents, and metal chelators. In addition, polyphenols have been shown to possess very interesting lipid peroxidation inhibition properties, as well as free radical scavenging properties against superoxide anions </w:t>
      </w:r>
      <w:r w:rsidRPr="001A5676">
        <w:rPr>
          <w:rFonts w:ascii="Arial" w:hAnsi="Arial" w:cs="Arial"/>
        </w:rPr>
        <w:fldChar w:fldCharType="begin"/>
      </w:r>
      <w:r w:rsidR="00CA16D7">
        <w:rPr>
          <w:rFonts w:ascii="Arial" w:hAnsi="Arial" w:cs="Arial"/>
        </w:rPr>
        <w:instrText xml:space="preserve"> ADDIN EN.CITE &lt;EndNote&gt;&lt;Cite&gt;&lt;Author&gt;Neha&lt;/Author&gt;&lt;Year&gt;2022&lt;/Year&gt;&lt;RecNum&gt;48&lt;/RecNum&gt;&lt;DisplayText&gt;(Neha &amp;amp; Soumya, 2022)&lt;/DisplayText&gt;&lt;record&gt;&lt;rec-number&gt;48&lt;/rec-number&gt;&lt;foreign-keys&gt;&lt;key app="EN" db-id="xd20ava0ss0z06e9fzmxda9qwp2twsza5092" timestamp="1774870881"&gt;48&lt;/key&gt;&lt;/foreign-keys&gt;&lt;ref-type name="Journal Article"&gt;17&lt;/ref-type&gt;&lt;contributors&gt;&lt;authors&gt;&lt;author&gt;Neha, V.&lt;/author&gt;&lt;author&gt;Soumya, P.&lt;/author&gt;&lt;/authors&gt;&lt;/contributors&gt;&lt;titles&gt;&lt;title&gt;Mise à jour récente sur les molécules biologiques actives dans la génération du potentiel thérapeutique anticancéreux de Garcinia mangostana&lt;/title&gt;&lt;secondary-title&gt;Biochimie appliquée et biotechnologie&lt;/secondary-title&gt;&lt;/titles&gt;&lt;periodical&gt;&lt;full-title&gt;Biochimie appliquée et biotechnologie&lt;/full-title&gt;&lt;/periodical&gt;&lt;pages&gt;1-22&lt;/pages&gt;&lt;dates&gt;&lt;year&gt;2022&lt;/year&gt;&lt;/dates&gt;&lt;urls&gt;&lt;/urls&gt;&lt;/record&gt;&lt;/Cite&gt;&lt;/EndNote&gt;</w:instrText>
      </w:r>
      <w:r w:rsidRPr="001A5676">
        <w:rPr>
          <w:rFonts w:ascii="Arial" w:hAnsi="Arial" w:cs="Arial"/>
        </w:rPr>
        <w:fldChar w:fldCharType="separate"/>
      </w:r>
      <w:r w:rsidR="00CA16D7">
        <w:rPr>
          <w:rFonts w:ascii="Arial" w:hAnsi="Arial" w:cs="Arial"/>
          <w:noProof/>
        </w:rPr>
        <w:t>(Neha &amp; Soumya, 2022)</w:t>
      </w:r>
      <w:r w:rsidRPr="001A5676">
        <w:rPr>
          <w:rFonts w:ascii="Arial" w:hAnsi="Arial" w:cs="Arial"/>
        </w:rPr>
        <w:fldChar w:fldCharType="end"/>
      </w:r>
      <w:r w:rsidRPr="001A5676">
        <w:rPr>
          <w:rFonts w:ascii="Arial" w:hAnsi="Arial" w:cs="Arial"/>
        </w:rPr>
        <w:t>. Thus, the hydroethanolic extract, being richer in total polyphenols, exhibits more significant antioxidant activity</w:t>
      </w:r>
      <w:r w:rsidR="00777866">
        <w:rPr>
          <w:rFonts w:ascii="Arial" w:hAnsi="Arial" w:cs="Arial"/>
        </w:rPr>
        <w:fldChar w:fldCharType="begin"/>
      </w:r>
      <w:r w:rsidR="00777866">
        <w:rPr>
          <w:rFonts w:ascii="Arial" w:hAnsi="Arial" w:cs="Arial"/>
        </w:rPr>
        <w:instrText xml:space="preserve"> ADDIN EN.CITE &lt;EndNote&gt;&lt;Cite&gt;&lt;Author&gt;Shahidi&lt;/Author&gt;&lt;Year&gt;2023&lt;/Year&gt;&lt;RecNum&gt;102&lt;/RecNum&gt;&lt;DisplayText&gt;(Shahidi &amp;amp; Hossain, 2023)&lt;/DisplayText&gt;&lt;record&gt;&lt;rec-number&gt;102&lt;/rec-number&gt;&lt;foreign-keys&gt;&lt;key app="EN" db-id="ppwefpzf5eefwrea9agvzetgp2s0rdew0rw0" timestamp="1777973980"&gt;102&lt;/key&gt;&lt;/foreign-keys&gt;&lt;ref-type name="Journal Article"&gt;17&lt;/ref-type&gt;&lt;contributors&gt;&lt;authors&gt;&lt;author&gt;Shahidi, F.&lt;/author&gt;&lt;author&gt;Hossain, A.&lt;/author&gt;&lt;/authors&gt;&lt;/contributors&gt;&lt;titles&gt;&lt;title&gt;Importance of insoluble-bound phenolics to the antioxidant potential is dictated by source material&lt;/title&gt;&lt;secondary-title&gt;Antioxidants&lt;/secondary-title&gt;&lt;/titles&gt;&lt;periodical&gt;&lt;full-title&gt;Antioxidants&lt;/full-title&gt;&lt;/periodical&gt;&lt;pages&gt;203&lt;/pages&gt;&lt;volume&gt;12&lt;/volume&gt;&lt;number&gt;1&lt;/number&gt;&lt;dates&gt;&lt;year&gt;2023&lt;/year&gt;&lt;/dates&gt;&lt;urls&gt;&lt;/urls&gt;&lt;electronic-resource-num&gt;10.3390/antiox12010203&lt;/electronic-resource-num&gt;&lt;/record&gt;&lt;/Cite&gt;&lt;/EndNote&gt;</w:instrText>
      </w:r>
      <w:r w:rsidR="00777866">
        <w:rPr>
          <w:rFonts w:ascii="Arial" w:hAnsi="Arial" w:cs="Arial"/>
        </w:rPr>
        <w:fldChar w:fldCharType="separate"/>
      </w:r>
      <w:r w:rsidR="00777866">
        <w:rPr>
          <w:rFonts w:ascii="Arial" w:hAnsi="Arial" w:cs="Arial"/>
          <w:noProof/>
        </w:rPr>
        <w:t>(Shahidi &amp; Hossain, 2023)</w:t>
      </w:r>
      <w:r w:rsidR="00777866">
        <w:rPr>
          <w:rFonts w:ascii="Arial" w:hAnsi="Arial" w:cs="Arial"/>
        </w:rPr>
        <w:fldChar w:fldCharType="end"/>
      </w:r>
      <w:r w:rsidRPr="001A5676">
        <w:rPr>
          <w:rFonts w:ascii="Arial" w:hAnsi="Arial" w:cs="Arial"/>
        </w:rPr>
        <w:t>.</w:t>
      </w:r>
    </w:p>
    <w:p w14:paraId="57656BBF" w14:textId="2E1164FA" w:rsidR="00790ADA" w:rsidRDefault="001A5676" w:rsidP="00EE7F92">
      <w:pPr>
        <w:pStyle w:val="Body"/>
        <w:spacing w:after="0"/>
        <w:rPr>
          <w:rFonts w:ascii="Arial" w:hAnsi="Arial" w:cs="Arial"/>
        </w:rPr>
      </w:pPr>
      <w:r w:rsidRPr="001A5676">
        <w:rPr>
          <w:rFonts w:ascii="Arial" w:hAnsi="Arial" w:cs="Arial"/>
        </w:rPr>
        <w:t xml:space="preserve">Finally, the antibacterial activity of our extracts was demonstrated by the solid-state dilution method against four bacterial strains: </w:t>
      </w:r>
      <w:r w:rsidR="00CA16D7" w:rsidRPr="00CA16D7">
        <w:rPr>
          <w:rFonts w:ascii="Arial" w:hAnsi="Arial" w:cs="Arial"/>
          <w:i/>
          <w:iCs/>
        </w:rPr>
        <w:t>S. aureus</w:t>
      </w:r>
      <w:r w:rsidRPr="001A5676">
        <w:rPr>
          <w:rFonts w:ascii="Arial" w:hAnsi="Arial" w:cs="Arial"/>
        </w:rPr>
        <w:t xml:space="preserve">, </w:t>
      </w:r>
      <w:r w:rsidR="00BF0CCB" w:rsidRPr="00BF0CCB">
        <w:rPr>
          <w:rFonts w:ascii="Arial" w:hAnsi="Arial" w:cs="Arial"/>
          <w:i/>
          <w:iCs/>
        </w:rPr>
        <w:t>Escherichia coli</w:t>
      </w:r>
      <w:r w:rsidRPr="001A5676">
        <w:rPr>
          <w:rFonts w:ascii="Arial" w:hAnsi="Arial" w:cs="Arial"/>
        </w:rPr>
        <w:t xml:space="preserve">, </w:t>
      </w:r>
      <w:r w:rsidR="00CA16D7" w:rsidRPr="00CA16D7">
        <w:rPr>
          <w:rFonts w:ascii="Arial" w:hAnsi="Arial" w:cs="Arial"/>
          <w:i/>
          <w:iCs/>
        </w:rPr>
        <w:t xml:space="preserve">Pseudomonas </w:t>
      </w:r>
      <w:proofErr w:type="gramStart"/>
      <w:r w:rsidR="00CA16D7" w:rsidRPr="00CA16D7">
        <w:rPr>
          <w:rFonts w:ascii="Arial" w:hAnsi="Arial" w:cs="Arial"/>
          <w:i/>
          <w:iCs/>
        </w:rPr>
        <w:t>aeruginosa</w:t>
      </w:r>
      <w:r w:rsidRPr="001A5676">
        <w:rPr>
          <w:rFonts w:ascii="Arial" w:hAnsi="Arial" w:cs="Arial"/>
        </w:rPr>
        <w:t xml:space="preserve"> ,</w:t>
      </w:r>
      <w:proofErr w:type="gramEnd"/>
      <w:r w:rsidRPr="001A5676">
        <w:rPr>
          <w:rFonts w:ascii="Arial" w:hAnsi="Arial" w:cs="Arial"/>
        </w:rPr>
        <w:t xml:space="preserve"> and </w:t>
      </w:r>
      <w:r w:rsidR="00CA16D7" w:rsidRPr="00CA16D7">
        <w:rPr>
          <w:rFonts w:ascii="Arial" w:hAnsi="Arial" w:cs="Arial"/>
          <w:i/>
          <w:iCs/>
        </w:rPr>
        <w:t>Enterobacter cloacae</w:t>
      </w:r>
      <w:r w:rsidRPr="001A5676">
        <w:rPr>
          <w:rFonts w:ascii="Arial" w:hAnsi="Arial" w:cs="Arial"/>
        </w:rPr>
        <w:t xml:space="preserve">. The hydroethanolic extract exhibited strong inhibitory activity against </w:t>
      </w:r>
      <w:r w:rsidR="00CA16D7" w:rsidRPr="00CA16D7">
        <w:rPr>
          <w:rFonts w:ascii="Arial" w:hAnsi="Arial" w:cs="Arial"/>
          <w:i/>
          <w:iCs/>
        </w:rPr>
        <w:t>Enterobacter cloacae</w:t>
      </w:r>
      <w:r w:rsidRPr="001A5676">
        <w:rPr>
          <w:rFonts w:ascii="Arial" w:hAnsi="Arial" w:cs="Arial"/>
        </w:rPr>
        <w:t xml:space="preserve"> (MIC of 0.16 µg/ml), </w:t>
      </w:r>
      <w:r w:rsidR="00CA16D7" w:rsidRPr="00CA16D7">
        <w:rPr>
          <w:rFonts w:ascii="Arial" w:hAnsi="Arial" w:cs="Arial"/>
          <w:i/>
          <w:iCs/>
        </w:rPr>
        <w:t>S. aureus</w:t>
      </w:r>
      <w:r w:rsidRPr="001A5676">
        <w:rPr>
          <w:rFonts w:ascii="Arial" w:hAnsi="Arial" w:cs="Arial"/>
        </w:rPr>
        <w:t xml:space="preserve"> (0.32 µg/ml), and </w:t>
      </w:r>
      <w:r w:rsidR="00BF0CCB" w:rsidRPr="00BF0CCB">
        <w:rPr>
          <w:rFonts w:ascii="Arial" w:hAnsi="Arial" w:cs="Arial"/>
          <w:i/>
          <w:iCs/>
        </w:rPr>
        <w:t>Escherichia coli</w:t>
      </w:r>
      <w:r w:rsidRPr="001A5676">
        <w:rPr>
          <w:rFonts w:ascii="Arial" w:hAnsi="Arial" w:cs="Arial"/>
        </w:rPr>
        <w:t xml:space="preserve"> (0.64 µg/ml). </w:t>
      </w:r>
      <w:r w:rsidR="00CA16D7" w:rsidRPr="00CA16D7">
        <w:rPr>
          <w:rFonts w:ascii="Arial" w:hAnsi="Arial" w:cs="Arial"/>
          <w:i/>
          <w:iCs/>
        </w:rPr>
        <w:t>Pseudomonas aeruginosa</w:t>
      </w:r>
      <w:r w:rsidRPr="001A5676">
        <w:rPr>
          <w:rFonts w:ascii="Arial" w:hAnsi="Arial" w:cs="Arial"/>
        </w:rPr>
        <w:t xml:space="preserve"> (0.24 µg/ml) was inhibited with a lower concentration of aqueous decoction compared to the other extracts. Our MICs ranged from 0.16 µg/ml to 31.25 µg/ml. According to </w:t>
      </w:r>
      <w:proofErr w:type="spellStart"/>
      <w:r w:rsidRPr="001A5676">
        <w:rPr>
          <w:rFonts w:ascii="Arial" w:hAnsi="Arial" w:cs="Arial"/>
        </w:rPr>
        <w:t>Kuete's</w:t>
      </w:r>
      <w:proofErr w:type="spellEnd"/>
      <w:r w:rsidRPr="001A5676">
        <w:rPr>
          <w:rFonts w:ascii="Arial" w:hAnsi="Arial" w:cs="Arial"/>
        </w:rPr>
        <w:t xml:space="preserve"> (2010) classification, since all MICs were below 100 µg/ml, each extract demonstrated strong antibacterial activity. However, in general, the lowest MIC was that of the hydroethanolic </w:t>
      </w:r>
      <w:proofErr w:type="gramStart"/>
      <w:r w:rsidRPr="001A5676">
        <w:rPr>
          <w:rFonts w:ascii="Arial" w:hAnsi="Arial" w:cs="Arial"/>
        </w:rPr>
        <w:t>extract ,</w:t>
      </w:r>
      <w:proofErr w:type="gramEnd"/>
      <w:r w:rsidRPr="001A5676">
        <w:rPr>
          <w:rFonts w:ascii="Arial" w:hAnsi="Arial" w:cs="Arial"/>
        </w:rPr>
        <w:t xml:space="preserve"> which also had a greater effect on most of the bacteria. This extract proved superior to the others. These results are consistent with a previous study that demonstrated the antimicrobial effect of the hydroethanolic extract on </w:t>
      </w:r>
      <w:r w:rsidR="00BF0CCB" w:rsidRPr="00BF0CCB">
        <w:rPr>
          <w:rFonts w:ascii="Arial" w:hAnsi="Arial" w:cs="Arial"/>
          <w:i/>
          <w:iCs/>
        </w:rPr>
        <w:t>Escherichia coli</w:t>
      </w:r>
      <w:r w:rsidRPr="001A5676">
        <w:rPr>
          <w:rFonts w:ascii="Arial" w:hAnsi="Arial" w:cs="Arial"/>
        </w:rPr>
        <w:t xml:space="preserve"> </w:t>
      </w:r>
      <w:r w:rsidRPr="001A5676">
        <w:rPr>
          <w:rFonts w:ascii="Arial" w:hAnsi="Arial" w:cs="Arial"/>
        </w:rPr>
        <w:fldChar w:fldCharType="begin"/>
      </w:r>
      <w:r w:rsidR="00777866">
        <w:rPr>
          <w:rFonts w:ascii="Arial" w:hAnsi="Arial" w:cs="Arial"/>
        </w:rPr>
        <w:instrText xml:space="preserve"> ADDIN EN.CITE &lt;EndNote&gt;&lt;Cite&gt;&lt;Author&gt;Valère&lt;/Author&gt;&lt;Year&gt;2022&lt;/Year&gt;&lt;RecNum&gt;86&lt;/RecNum&gt;&lt;DisplayText&gt;(Valère, 2022; Vaou, Stavropoulou, Voidarou, Tsigalou, &amp;amp; Bezirtzoglou, 2021)&lt;/DisplayText&gt;&lt;record&gt;&lt;rec-number&gt;86&lt;/rec-number&gt;&lt;foreign-keys&gt;&lt;key app="EN" db-id="ppwefpzf5eefwrea9agvzetgp2s0rdew0rw0" timestamp="1777645568"&gt;86&lt;/key&gt;&lt;/foreign-keys&gt;&lt;ref-type name="Thesis"&gt;32&lt;/ref-type&gt;&lt;contributors&gt;&lt;authors&gt;&lt;author&gt;Valère, M.&lt;/author&gt;&lt;/authors&gt;&lt;/contributors&gt;&lt;titles&gt;&lt;title&gt;Evaluation in vitro de l’activité antioxydante et antibactérienne de l’écorce du tronc de canarium schweinfurthii&lt;/title&gt;&lt;/titles&gt;&lt;dates&gt;&lt;year&gt;2022&lt;/year&gt;&lt;/dates&gt;&lt;pub-location&gt;Bangangté&lt;/pub-location&gt;&lt;publisher&gt;Université des Montagnes&lt;/publisher&gt;&lt;urls&gt;&lt;/urls&gt;&lt;/record&gt;&lt;/Cite&gt;&lt;Cite&gt;&lt;Author&gt;Vaou&lt;/Author&gt;&lt;Year&gt;2021&lt;/Year&gt;&lt;RecNum&gt;104&lt;/RecNum&gt;&lt;record&gt;&lt;rec-number&gt;104&lt;/rec-number&gt;&lt;foreign-keys&gt;&lt;key app="EN" db-id="ppwefpzf5eefwrea9agvzetgp2s0rdew0rw0" timestamp="1777973980"&gt;104&lt;/key&gt;&lt;/foreign-keys&gt;&lt;ref-type name="Journal Article"&gt;17&lt;/ref-type&gt;&lt;contributors&gt;&lt;authors&gt;&lt;author&gt;Vaou, N.&lt;/author&gt;&lt;author&gt;Stavropoulou, E.&lt;/author&gt;&lt;author&gt;Voidarou, C.&lt;/author&gt;&lt;author&gt;Tsigalou, C.&lt;/author&gt;&lt;author&gt;Bezirtzoglou, E.&lt;/author&gt;&lt;/authors&gt;&lt;/contributors&gt;&lt;titles&gt;&lt;title&gt;Towards advances in medicinal plant antimicrobial activity: A review study on challenges and future perspectives&lt;/title&gt;&lt;secondary-title&gt;Microorganisms&lt;/secondary-title&gt;&lt;/titles&gt;&lt;periodical&gt;&lt;full-title&gt;Microorganisms&lt;/full-title&gt;&lt;/periodical&gt;&lt;pages&gt;2041&lt;/pages&gt;&lt;volume&gt;9&lt;/volume&gt;&lt;number&gt;10&lt;/number&gt;&lt;dates&gt;&lt;year&gt;2021&lt;/year&gt;&lt;/dates&gt;&lt;urls&gt;&lt;/urls&gt;&lt;electronic-resource-num&gt;10.3390/microorganisms9102041&lt;/electronic-resource-num&gt;&lt;/record&gt;&lt;/Cite&gt;&lt;/EndNote&gt;</w:instrText>
      </w:r>
      <w:r w:rsidRPr="001A5676">
        <w:rPr>
          <w:rFonts w:ascii="Arial" w:hAnsi="Arial" w:cs="Arial"/>
        </w:rPr>
        <w:fldChar w:fldCharType="separate"/>
      </w:r>
      <w:r w:rsidR="00777866">
        <w:rPr>
          <w:rFonts w:ascii="Arial" w:hAnsi="Arial" w:cs="Arial"/>
          <w:noProof/>
        </w:rPr>
        <w:t>(Valère, 2022; Vaou, Stavropoulou, Voidarou, Tsigalou, &amp; Bezirtzoglou, 2021)</w:t>
      </w:r>
      <w:r w:rsidRPr="001A5676">
        <w:rPr>
          <w:rFonts w:ascii="Arial" w:hAnsi="Arial" w:cs="Arial"/>
        </w:rPr>
        <w:fldChar w:fldCharType="end"/>
      </w:r>
      <w:r w:rsidRPr="001A5676">
        <w:rPr>
          <w:rFonts w:ascii="Arial" w:hAnsi="Arial" w:cs="Arial"/>
        </w:rPr>
        <w:t xml:space="preserve">. Similarly, Yin SZE et al. </w:t>
      </w:r>
      <w:r w:rsidRPr="001A5676">
        <w:rPr>
          <w:rFonts w:ascii="Arial" w:hAnsi="Arial" w:cs="Arial"/>
        </w:rPr>
        <w:fldChar w:fldCharType="begin"/>
      </w:r>
      <w:r w:rsidR="00CA16D7">
        <w:rPr>
          <w:rFonts w:ascii="Arial" w:hAnsi="Arial" w:cs="Arial"/>
        </w:rPr>
        <w:instrText xml:space="preserve"> ADDIN EN.CITE &lt;EndNote&gt;&lt;Cite&gt;&lt;Author&gt;Yin&lt;/Author&gt;&lt;Year&gt;2013&lt;/Year&gt;&lt;RecNum&gt;74&lt;/RecNum&gt;&lt;DisplayText&gt;(Yin &amp;amp; Stefanie, 2013)&lt;/DisplayText&gt;&lt;record&gt;&lt;rec-number&gt;74&lt;/rec-number&gt;&lt;foreign-keys&gt;&lt;key app="EN" db-id="xd20ava0ss0z06e9fzmxda9qwp2twsza5092" timestamp="1774870881"&gt;74&lt;/key&gt;&lt;/foreign-keys&gt;&lt;ref-type name="Journal Article"&gt;17&lt;/ref-type&gt;&lt;contributors&gt;&lt;authors&gt;&lt;author&gt;Yin, S.&lt;/author&gt;&lt;author&gt;Stefanie, S.&lt;/author&gt;&lt;/authors&gt;&lt;/contributors&gt;&lt;titles&gt;&lt;title&gt;Antioxydant capacity and antibacterial activity of differents parts pf mangoosteen (Garcinia mangostana Linn.) extracts&lt;/title&gt;&lt;secondary-title&gt;EDP sciences&lt;/secondary-title&gt;&lt;/titles&gt;&lt;periodical&gt;&lt;full-title&gt;EDP sciences&lt;/full-title&gt;&lt;/periodical&gt;&lt;dates&gt;&lt;year&gt;2013&lt;/year&gt;&lt;/dates&gt;&lt;urls&gt;&lt;/urls&gt;&lt;/record&gt;&lt;/Cite&gt;&lt;/EndNote&gt;</w:instrText>
      </w:r>
      <w:r w:rsidRPr="001A5676">
        <w:rPr>
          <w:rFonts w:ascii="Arial" w:hAnsi="Arial" w:cs="Arial"/>
        </w:rPr>
        <w:fldChar w:fldCharType="separate"/>
      </w:r>
      <w:r w:rsidR="00CA16D7">
        <w:rPr>
          <w:rFonts w:ascii="Arial" w:hAnsi="Arial" w:cs="Arial"/>
          <w:noProof/>
        </w:rPr>
        <w:t>(Yin &amp; Stefanie, 2013)</w:t>
      </w:r>
      <w:r w:rsidRPr="001A5676">
        <w:rPr>
          <w:rFonts w:ascii="Arial" w:hAnsi="Arial" w:cs="Arial"/>
        </w:rPr>
        <w:fldChar w:fldCharType="end"/>
      </w:r>
      <w:r w:rsidRPr="001A5676">
        <w:rPr>
          <w:rFonts w:ascii="Arial" w:hAnsi="Arial" w:cs="Arial"/>
        </w:rPr>
        <w:t xml:space="preserve">proved that </w:t>
      </w:r>
      <w:r w:rsidR="00CA16D7" w:rsidRPr="00CA16D7">
        <w:rPr>
          <w:rFonts w:ascii="Arial" w:hAnsi="Arial" w:cs="Arial"/>
          <w:i/>
          <w:iCs/>
        </w:rPr>
        <w:t>Pseudomonas aeruginosa</w:t>
      </w:r>
      <w:r w:rsidRPr="001A5676">
        <w:rPr>
          <w:rFonts w:ascii="Arial" w:hAnsi="Arial" w:cs="Arial"/>
        </w:rPr>
        <w:t xml:space="preserve"> was more sensitive to the aqueous decoction extract, as obtained in our results. These activities could be explained by the presence of phenolic compounds. The different classes of polyphenols, primarily tannins and flavonoids, can increase the toxicity of extracts towards microorganisms. This toxicity depends on the site and number of hydroxyl groups present on the phenolic compound. Furthermore, it is evident that increased hydroxylation leads to increased toxicity. The antimicrobial effect of these phenols can be explained by the inhibition of bacterial growth following their adsorption onto cell membranes, interaction with enzymes and effectors, or deprivation of substrates and metal ions. According to the work of </w:t>
      </w:r>
      <w:proofErr w:type="spellStart"/>
      <w:r w:rsidRPr="001A5676">
        <w:rPr>
          <w:rFonts w:ascii="Arial" w:hAnsi="Arial" w:cs="Arial"/>
        </w:rPr>
        <w:t>Cushnie</w:t>
      </w:r>
      <w:proofErr w:type="spellEnd"/>
      <w:r w:rsidRPr="001A5676">
        <w:rPr>
          <w:rFonts w:ascii="Arial" w:hAnsi="Arial" w:cs="Arial"/>
        </w:rPr>
        <w:t xml:space="preserve"> et al . </w:t>
      </w:r>
      <w:r w:rsidRPr="001A5676">
        <w:rPr>
          <w:rFonts w:ascii="Arial" w:hAnsi="Arial" w:cs="Arial"/>
        </w:rPr>
        <w:fldChar w:fldCharType="begin"/>
      </w:r>
      <w:r w:rsidR="00CA16D7">
        <w:rPr>
          <w:rFonts w:ascii="Arial" w:hAnsi="Arial" w:cs="Arial"/>
        </w:rPr>
        <w:instrText xml:space="preserve"> ADDIN EN.CITE &lt;EndNote&gt;&lt;Cite&gt;&lt;Author&gt;Cushnie&lt;/Author&gt;&lt;Year&gt;2011&lt;/Year&gt;&lt;RecNum&gt;75&lt;/RecNum&gt;&lt;DisplayText&gt;(Cushnie &amp;amp; Lamb, 2011)&lt;/DisplayText&gt;&lt;record&gt;&lt;rec-number&gt;75&lt;/rec-number&gt;&lt;foreign-keys&gt;&lt;key app="EN" db-id="xd20ava0ss0z06e9fzmxda9qwp2twsza5092" timestamp="1774870881"&gt;75&lt;/key&gt;&lt;/foreign-keys&gt;&lt;ref-type name="Journal Article"&gt;17&lt;/ref-type&gt;&lt;contributors&gt;&lt;authors&gt;&lt;author&gt;Cushnie, T.&lt;/author&gt;&lt;author&gt;Lamb, A.&lt;/author&gt;&lt;/authors&gt;&lt;/contributors&gt;&lt;titles&gt;&lt;title&gt;Recent advances in understanding the antibacterial properties of flavonoids&lt;/title&gt;&lt;secondary-title&gt;International Journal of Antimicrobial Agents&lt;/secondary-title&gt;&lt;/titles&gt;&lt;periodical&gt;&lt;full-title&gt;International Journal of Antimicrobial Agents&lt;/full-title&gt;&lt;/periodical&gt;&lt;pages&gt;99-107&lt;/pages&gt;&lt;volume&gt;38&lt;/volume&gt;&lt;number&gt;2&lt;/number&gt;&lt;dates&gt;&lt;year&gt;2011&lt;/year&gt;&lt;/dates&gt;&lt;urls&gt;&lt;/urls&gt;&lt;/record&gt;&lt;/Cite&gt;&lt;/EndNote&gt;</w:instrText>
      </w:r>
      <w:r w:rsidRPr="001A5676">
        <w:rPr>
          <w:rFonts w:ascii="Arial" w:hAnsi="Arial" w:cs="Arial"/>
        </w:rPr>
        <w:fldChar w:fldCharType="separate"/>
      </w:r>
      <w:r w:rsidR="00CA16D7">
        <w:rPr>
          <w:rFonts w:ascii="Arial" w:hAnsi="Arial" w:cs="Arial"/>
          <w:noProof/>
        </w:rPr>
        <w:t>(Cushnie &amp; Lamb, 2011)</w:t>
      </w:r>
      <w:r w:rsidRPr="001A5676">
        <w:rPr>
          <w:rFonts w:ascii="Arial" w:hAnsi="Arial" w:cs="Arial"/>
        </w:rPr>
        <w:fldChar w:fldCharType="end"/>
      </w:r>
      <w:r w:rsidRPr="001A5676">
        <w:rPr>
          <w:rFonts w:ascii="Arial" w:hAnsi="Arial" w:cs="Arial"/>
        </w:rPr>
        <w:t xml:space="preserve">, flavonoids act through various mechanisms such as: inhibition of topoisomerase synthesis; Inhibition of bacterial cell wall synthesis and inhibition by perforation of the plasma membrane. Furthermore, </w:t>
      </w:r>
      <w:proofErr w:type="spellStart"/>
      <w:r w:rsidRPr="001A5676">
        <w:rPr>
          <w:rFonts w:ascii="Arial" w:hAnsi="Arial" w:cs="Arial"/>
        </w:rPr>
        <w:t>Ngoupayo</w:t>
      </w:r>
      <w:proofErr w:type="spellEnd"/>
      <w:r w:rsidRPr="001A5676">
        <w:rPr>
          <w:rFonts w:ascii="Arial" w:hAnsi="Arial" w:cs="Arial"/>
        </w:rPr>
        <w:t xml:space="preserve"> and </w:t>
      </w:r>
      <w:proofErr w:type="spellStart"/>
      <w:r w:rsidRPr="001A5676">
        <w:rPr>
          <w:rFonts w:ascii="Arial" w:hAnsi="Arial" w:cs="Arial"/>
        </w:rPr>
        <w:t>Fouaguim</w:t>
      </w:r>
      <w:proofErr w:type="spellEnd"/>
      <w:r w:rsidRPr="001A5676">
        <w:rPr>
          <w:rFonts w:ascii="Arial" w:hAnsi="Arial" w:cs="Arial"/>
        </w:rPr>
        <w:t xml:space="preserve"> </w:t>
      </w:r>
      <w:r w:rsidRPr="001A5676">
        <w:rPr>
          <w:rFonts w:ascii="Arial" w:hAnsi="Arial" w:cs="Arial"/>
        </w:rPr>
        <w:fldChar w:fldCharType="begin"/>
      </w:r>
      <w:r w:rsidR="00CA16D7">
        <w:rPr>
          <w:rFonts w:ascii="Arial" w:hAnsi="Arial" w:cs="Arial"/>
        </w:rPr>
        <w:instrText xml:space="preserve"> ADDIN EN.CITE &lt;EndNote&gt;&lt;Cite&gt;&lt;Author&gt;Ngoupayo&lt;/Author&gt;&lt;Year&gt;2016&lt;/Year&gt;&lt;RecNum&gt;76&lt;/RecNum&gt;&lt;DisplayText&gt;(Ngoupayo &amp;amp; Fouaguim, 2016)&lt;/DisplayText&gt;&lt;record&gt;&lt;rec-number&gt;76&lt;/rec-number&gt;&lt;foreign-keys&gt;&lt;key app="EN" db-id="xd20ava0ss0z06e9fzmxda9qwp2twsza5092" timestamp="1774870881"&gt;76&lt;/key&gt;&lt;/foreign-keys&gt;&lt;ref-type name="Journal Article"&gt;17&lt;/ref-type&gt;&lt;contributors&gt;&lt;authors&gt;&lt;author&gt;Ngoupayo, J.&lt;/author&gt;&lt;author&gt;Fouaguim, A.&lt;/author&gt;&lt;/authors&gt;&lt;/contributors&gt;&lt;titles&gt;&lt;title&gt;Evaluation of the antimicrobial activity of tannin extracted from the barks of Erythrophleum guineensis (Caesalpiniaceae )&lt;/title&gt;&lt;/titles&gt;&lt;pages&gt;287-291&lt;/pages&gt;&lt;dates&gt;&lt;year&gt;2016&lt;/year&gt;&lt;/dates&gt;&lt;urls&gt;&lt;/urls&gt;&lt;/record&gt;&lt;/Cite&gt;&lt;/EndNote&gt;</w:instrText>
      </w:r>
      <w:r w:rsidRPr="001A5676">
        <w:rPr>
          <w:rFonts w:ascii="Arial" w:hAnsi="Arial" w:cs="Arial"/>
        </w:rPr>
        <w:fldChar w:fldCharType="separate"/>
      </w:r>
      <w:r w:rsidR="00CA16D7">
        <w:rPr>
          <w:rFonts w:ascii="Arial" w:hAnsi="Arial" w:cs="Arial"/>
          <w:noProof/>
        </w:rPr>
        <w:t>(Ngoupayo &amp; Fouaguim, 2016)</w:t>
      </w:r>
      <w:r w:rsidRPr="001A5676">
        <w:rPr>
          <w:rFonts w:ascii="Arial" w:hAnsi="Arial" w:cs="Arial"/>
        </w:rPr>
        <w:fldChar w:fldCharType="end"/>
      </w:r>
      <w:r w:rsidRPr="001A5676">
        <w:rPr>
          <w:rFonts w:ascii="Arial" w:hAnsi="Arial" w:cs="Arial"/>
        </w:rPr>
        <w:t>reported that tannins inhibit bacterial growth by complexing enzymes (permeases) and proteins of the outer membrane of bacteria; inhibition of these enzymes disrupts the vital functions of microorganisms</w:t>
      </w:r>
    </w:p>
    <w:p w14:paraId="1E44DCB7" w14:textId="77777777" w:rsidR="00EE7F92" w:rsidRPr="00FB3A86" w:rsidRDefault="00EE7F92" w:rsidP="00EE7F92">
      <w:pPr>
        <w:pStyle w:val="Body"/>
        <w:spacing w:after="0"/>
        <w:rPr>
          <w:rFonts w:ascii="Arial" w:hAnsi="Arial" w:cs="Arial"/>
        </w:rPr>
      </w:pPr>
    </w:p>
    <w:p w14:paraId="68E3553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5CDDA2" w14:textId="3BDD20B9" w:rsidR="00EE7F92" w:rsidRPr="00EE7F92" w:rsidRDefault="00EE7F92" w:rsidP="00EE7F92">
      <w:pPr>
        <w:pStyle w:val="Body"/>
        <w:spacing w:after="0"/>
        <w:rPr>
          <w:rFonts w:ascii="Arial" w:hAnsi="Arial" w:cs="Arial"/>
        </w:rPr>
      </w:pPr>
      <w:r w:rsidRPr="00EE7F92">
        <w:rPr>
          <w:rFonts w:ascii="Arial" w:hAnsi="Arial" w:cs="Arial"/>
        </w:rPr>
        <w:t xml:space="preserve">In summary, our work confirms that the pericarp of </w:t>
      </w:r>
      <w:r w:rsidR="00CA16D7" w:rsidRPr="00CA16D7">
        <w:rPr>
          <w:rFonts w:ascii="Arial" w:hAnsi="Arial" w:cs="Arial"/>
          <w:i/>
          <w:iCs/>
        </w:rPr>
        <w:t xml:space="preserve">Garcinia </w:t>
      </w:r>
      <w:proofErr w:type="spellStart"/>
      <w:proofErr w:type="gramStart"/>
      <w:r w:rsidR="00CA16D7" w:rsidRPr="00CA16D7">
        <w:rPr>
          <w:rFonts w:ascii="Arial" w:hAnsi="Arial" w:cs="Arial"/>
          <w:i/>
          <w:iCs/>
        </w:rPr>
        <w:t>mangostana</w:t>
      </w:r>
      <w:proofErr w:type="spellEnd"/>
      <w:r w:rsidR="00CA16D7" w:rsidRPr="00CA16D7">
        <w:rPr>
          <w:rFonts w:ascii="Arial" w:hAnsi="Arial" w:cs="Arial"/>
          <w:i/>
          <w:iCs/>
        </w:rPr>
        <w:t xml:space="preserve"> </w:t>
      </w:r>
      <w:r w:rsidRPr="00EE7F92">
        <w:rPr>
          <w:rFonts w:ascii="Arial" w:hAnsi="Arial" w:cs="Arial"/>
        </w:rPr>
        <w:t xml:space="preserve"> is</w:t>
      </w:r>
      <w:proofErr w:type="gramEnd"/>
      <w:r w:rsidRPr="00EE7F92">
        <w:rPr>
          <w:rFonts w:ascii="Arial" w:hAnsi="Arial" w:cs="Arial"/>
        </w:rPr>
        <w:t xml:space="preserve"> much more than a simple agricultural byproduct: it is a veritable reservoir of protective molecules, particularly polyphenols. The hydroethanolic extract proved particularly effective, exhibiting remarkable antioxidant activity and concrete antibacterial efficacy. These results provide a solid scientific basis for the traditional use of the plant and open up encouraging prospects for the development of natural solutions to the current challenges of antibiotic resistance</w:t>
      </w:r>
      <w:r w:rsidR="00777866">
        <w:rPr>
          <w:rFonts w:ascii="Arial" w:hAnsi="Arial" w:cs="Arial"/>
        </w:rPr>
        <w:fldChar w:fldCharType="begin"/>
      </w:r>
      <w:r w:rsidR="00777866">
        <w:rPr>
          <w:rFonts w:ascii="Arial" w:hAnsi="Arial" w:cs="Arial"/>
        </w:rPr>
        <w:instrText xml:space="preserve"> ADDIN EN.CITE &lt;EndNote&gt;&lt;Cite&gt;&lt;Author&gt;Salam&lt;/Author&gt;&lt;Year&gt;2023&lt;/Year&gt;&lt;RecNum&gt;101&lt;/RecNum&gt;&lt;DisplayText&gt;(Salam et al., 2023)&lt;/DisplayText&gt;&lt;record&gt;&lt;rec-number&gt;101&lt;/rec-number&gt;&lt;foreign-keys&gt;&lt;key app="EN" db-id="ppwefpzf5eefwrea9agvzetgp2s0rdew0rw0" timestamp="1777973980"&gt;101&lt;/key&gt;&lt;/foreign-keys&gt;&lt;ref-type name="Journal Article"&gt;17&lt;/ref-type&gt;&lt;contributors&gt;&lt;authors&gt;&lt;author&gt;Salam, M. A.&lt;/author&gt;&lt;author&gt;Al-Amin, M. Y.&lt;/author&gt;&lt;author&gt;Salam, M. T.&lt;/author&gt;&lt;author&gt;Pawar, J. S.&lt;/author&gt;&lt;author&gt;Akhter, N.&lt;/author&gt;&lt;author&gt;Rabaan, A. A.&lt;/author&gt;&lt;author&gt;Alqumber, M. A. A.&lt;/author&gt;&lt;/authors&gt;&lt;/contributors&gt;&lt;titles&gt;&lt;title&gt;Antimicrobial resistance: A growing serious threat for global public health&lt;/title&gt;&lt;secondary-title&gt;Healthcare&lt;/secondary-title&gt;&lt;/titles&gt;&lt;periodical&gt;&lt;full-title&gt;Healthcare&lt;/full-title&gt;&lt;/periodical&gt;&lt;pages&gt;1946&lt;/pages&gt;&lt;volume&gt;11&lt;/volume&gt;&lt;number&gt;13&lt;/number&gt;&lt;dates&gt;&lt;year&gt;2023&lt;/year&gt;&lt;/dates&gt;&lt;urls&gt;&lt;/urls&gt;&lt;electronic-resource-num&gt;10.3390/healthcare11131946&lt;/electronic-resource-num&gt;&lt;/record&gt;&lt;/Cite&gt;&lt;/EndNote&gt;</w:instrText>
      </w:r>
      <w:r w:rsidR="00777866">
        <w:rPr>
          <w:rFonts w:ascii="Arial" w:hAnsi="Arial" w:cs="Arial"/>
        </w:rPr>
        <w:fldChar w:fldCharType="separate"/>
      </w:r>
      <w:r w:rsidR="00777866">
        <w:rPr>
          <w:rFonts w:ascii="Arial" w:hAnsi="Arial" w:cs="Arial"/>
          <w:noProof/>
        </w:rPr>
        <w:t>(Salam et al., 2023)</w:t>
      </w:r>
      <w:r w:rsidR="00777866">
        <w:rPr>
          <w:rFonts w:ascii="Arial" w:hAnsi="Arial" w:cs="Arial"/>
        </w:rPr>
        <w:fldChar w:fldCharType="end"/>
      </w:r>
      <w:r w:rsidRPr="00EE7F92">
        <w:rPr>
          <w:rFonts w:ascii="Arial" w:hAnsi="Arial" w:cs="Arial"/>
        </w:rPr>
        <w:t>.</w:t>
      </w:r>
    </w:p>
    <w:p w14:paraId="74497FEA" w14:textId="77777777" w:rsidR="00790ADA" w:rsidRPr="00FB3A86" w:rsidRDefault="00790ADA" w:rsidP="00441B6F">
      <w:pPr>
        <w:pStyle w:val="ConcHead"/>
        <w:spacing w:after="0"/>
        <w:jc w:val="both"/>
        <w:rPr>
          <w:rFonts w:ascii="Arial" w:hAnsi="Arial" w:cs="Arial"/>
        </w:rPr>
      </w:pPr>
    </w:p>
    <w:p w14:paraId="6B6CBCB2" w14:textId="77777777" w:rsidR="00790ADA" w:rsidRPr="00FB3A86" w:rsidRDefault="00790ADA" w:rsidP="00441B6F">
      <w:pPr>
        <w:pStyle w:val="Body"/>
        <w:spacing w:after="0"/>
        <w:rPr>
          <w:rFonts w:ascii="Arial" w:hAnsi="Arial" w:cs="Arial"/>
        </w:rPr>
      </w:pPr>
    </w:p>
    <w:p w14:paraId="74F58FE2" w14:textId="77777777" w:rsidR="001133FF" w:rsidRDefault="001133FF" w:rsidP="00441B6F">
      <w:pPr>
        <w:pStyle w:val="ReferHead"/>
        <w:spacing w:after="0"/>
        <w:jc w:val="both"/>
        <w:rPr>
          <w:rFonts w:ascii="Arial" w:hAnsi="Arial" w:cs="Arial"/>
          <w:b w:val="0"/>
          <w:caps w:val="0"/>
          <w:sz w:val="20"/>
        </w:rPr>
      </w:pPr>
    </w:p>
    <w:p w14:paraId="7377A165" w14:textId="77777777" w:rsidR="001133FF" w:rsidRDefault="001133FF" w:rsidP="001133FF">
      <w:pPr>
        <w:pStyle w:val="DefAcrHead"/>
        <w:spacing w:after="0"/>
        <w:jc w:val="both"/>
        <w:rPr>
          <w:rFonts w:ascii="Arial" w:hAnsi="Arial" w:cs="Arial"/>
        </w:rPr>
      </w:pPr>
      <w:r w:rsidRPr="00FB3A86">
        <w:rPr>
          <w:rFonts w:ascii="Arial" w:hAnsi="Arial" w:cs="Arial"/>
        </w:rPr>
        <w:t>Abbreviations</w:t>
      </w:r>
    </w:p>
    <w:p w14:paraId="4F77A5BD" w14:textId="77777777" w:rsidR="001133FF" w:rsidRDefault="001133FF" w:rsidP="001133FF">
      <w:r>
        <w:t>AMC: Amoxicillin/Clavulanic acid</w:t>
      </w:r>
    </w:p>
    <w:p w14:paraId="3C1E1BDA" w14:textId="77777777" w:rsidR="001133FF" w:rsidRDefault="001133FF" w:rsidP="001133FF">
      <w:r>
        <w:lastRenderedPageBreak/>
        <w:t>AZT: Azithromycin</w:t>
      </w:r>
    </w:p>
    <w:p w14:paraId="6A1F4C04" w14:textId="77777777" w:rsidR="001133FF" w:rsidRDefault="001133FF" w:rsidP="001133FF">
      <w:r>
        <w:t>BHT: Butylated hydroxytoluene</w:t>
      </w:r>
    </w:p>
    <w:p w14:paraId="4DB41CC7" w14:textId="77777777" w:rsidR="001133FF" w:rsidRDefault="001133FF" w:rsidP="001133FF">
      <w:r>
        <w:t>CE: Catechin equivalent</w:t>
      </w:r>
    </w:p>
    <w:p w14:paraId="11C0EAA4" w14:textId="77777777" w:rsidR="001133FF" w:rsidRDefault="001133FF" w:rsidP="001133FF">
      <w:r>
        <w:t>CEF: Ceftriaxone</w:t>
      </w:r>
    </w:p>
    <w:p w14:paraId="30F66215" w14:textId="77777777" w:rsidR="001133FF" w:rsidRDefault="001133FF" w:rsidP="001133FF">
      <w:r>
        <w:t>CEX: Cefixime</w:t>
      </w:r>
    </w:p>
    <w:p w14:paraId="771D848F" w14:textId="77777777" w:rsidR="001133FF" w:rsidRDefault="001133FF" w:rsidP="001133FF">
      <w:r>
        <w:t>CIP: Ciprofloxacin</w:t>
      </w:r>
    </w:p>
    <w:p w14:paraId="42736659" w14:textId="77777777" w:rsidR="001133FF" w:rsidRDefault="001133FF" w:rsidP="001133FF">
      <w:proofErr w:type="spellStart"/>
      <w:r>
        <w:t>DAq</w:t>
      </w:r>
      <w:proofErr w:type="spellEnd"/>
      <w:r>
        <w:t>: Aqueous Decoction</w:t>
      </w:r>
    </w:p>
    <w:p w14:paraId="602A3CAC" w14:textId="77777777" w:rsidR="001133FF" w:rsidRDefault="001133FF" w:rsidP="001133FF">
      <w:r>
        <w:t>DPPH: 2,2-diphenyl-1-picrylhydrazyl</w:t>
      </w:r>
    </w:p>
    <w:p w14:paraId="4F66723E" w14:textId="77777777" w:rsidR="001133FF" w:rsidRDefault="001133FF" w:rsidP="001133FF">
      <w:r>
        <w:t xml:space="preserve">EB: </w:t>
      </w:r>
      <w:r w:rsidRPr="00CA16D7">
        <w:rPr>
          <w:i/>
          <w:iCs/>
        </w:rPr>
        <w:t>Enterobacter cloacae</w:t>
      </w:r>
    </w:p>
    <w:p w14:paraId="2839939C" w14:textId="77777777" w:rsidR="001133FF" w:rsidRDefault="001133FF" w:rsidP="001133FF">
      <w:r>
        <w:t xml:space="preserve">EC: </w:t>
      </w:r>
      <w:r w:rsidRPr="00BF0CCB">
        <w:rPr>
          <w:i/>
          <w:iCs/>
        </w:rPr>
        <w:t>Escherichia coli</w:t>
      </w:r>
    </w:p>
    <w:p w14:paraId="43E08E67" w14:textId="77777777" w:rsidR="001133FF" w:rsidRDefault="001133FF" w:rsidP="001133FF">
      <w:r>
        <w:t>EC50: Effective concentration 50%</w:t>
      </w:r>
    </w:p>
    <w:p w14:paraId="18C3F13E" w14:textId="77777777" w:rsidR="001133FF" w:rsidRDefault="001133FF" w:rsidP="001133FF">
      <w:r>
        <w:t>FRAP: Ferric Reducing Antioxidant Power</w:t>
      </w:r>
    </w:p>
    <w:p w14:paraId="300A999D" w14:textId="77777777" w:rsidR="001133FF" w:rsidRDefault="001133FF" w:rsidP="001133FF">
      <w:r>
        <w:t>GAE: Gallic acid equivalent</w:t>
      </w:r>
    </w:p>
    <w:p w14:paraId="21B3D775" w14:textId="77777777" w:rsidR="001133FF" w:rsidRDefault="001133FF" w:rsidP="001133FF">
      <w:r>
        <w:t>IC50: Half-maximal inhibitory concentration</w:t>
      </w:r>
    </w:p>
    <w:p w14:paraId="0B5D588F" w14:textId="77777777" w:rsidR="001133FF" w:rsidRDefault="001133FF" w:rsidP="001133FF">
      <w:proofErr w:type="spellStart"/>
      <w:r>
        <w:t>MAq</w:t>
      </w:r>
      <w:proofErr w:type="spellEnd"/>
      <w:r>
        <w:t>: Aqueous Maceration</w:t>
      </w:r>
    </w:p>
    <w:p w14:paraId="171B0A24" w14:textId="77777777" w:rsidR="001133FF" w:rsidRDefault="001133FF" w:rsidP="001133FF">
      <w:r>
        <w:t>MBC: Minimum Bactericidal Concentration</w:t>
      </w:r>
    </w:p>
    <w:p w14:paraId="0360D6A8" w14:textId="77777777" w:rsidR="001133FF" w:rsidRDefault="001133FF" w:rsidP="001133FF">
      <w:r>
        <w:t>MHB: Mueller-Hinton broth</w:t>
      </w:r>
    </w:p>
    <w:p w14:paraId="35179AC3" w14:textId="77777777" w:rsidR="001133FF" w:rsidRDefault="001133FF" w:rsidP="001133FF">
      <w:proofErr w:type="spellStart"/>
      <w:r>
        <w:t>MHe</w:t>
      </w:r>
      <w:proofErr w:type="spellEnd"/>
      <w:r>
        <w:t>: Hydroethanolic Maceration</w:t>
      </w:r>
    </w:p>
    <w:p w14:paraId="6598F95D" w14:textId="77777777" w:rsidR="001133FF" w:rsidRPr="00947FA0" w:rsidRDefault="001133FF" w:rsidP="001133FF">
      <w:pPr>
        <w:rPr>
          <w:lang w:val="fr-FR"/>
        </w:rPr>
      </w:pPr>
      <w:proofErr w:type="gramStart"/>
      <w:r w:rsidRPr="00947FA0">
        <w:rPr>
          <w:lang w:val="fr-FR"/>
        </w:rPr>
        <w:t>MIC:</w:t>
      </w:r>
      <w:proofErr w:type="gramEnd"/>
      <w:r w:rsidRPr="00947FA0">
        <w:rPr>
          <w:lang w:val="fr-FR"/>
        </w:rPr>
        <w:t xml:space="preserve"> Minimum </w:t>
      </w:r>
      <w:proofErr w:type="spellStart"/>
      <w:r w:rsidRPr="00947FA0">
        <w:rPr>
          <w:lang w:val="fr-FR"/>
        </w:rPr>
        <w:t>Inhibitory</w:t>
      </w:r>
      <w:proofErr w:type="spellEnd"/>
      <w:r w:rsidRPr="00947FA0">
        <w:rPr>
          <w:lang w:val="fr-FR"/>
        </w:rPr>
        <w:t xml:space="preserve"> Concentration</w:t>
      </w:r>
    </w:p>
    <w:p w14:paraId="38A34C69" w14:textId="77777777" w:rsidR="001133FF" w:rsidRPr="00947FA0" w:rsidRDefault="001133FF" w:rsidP="001133FF">
      <w:pPr>
        <w:rPr>
          <w:lang w:val="fr-FR"/>
        </w:rPr>
      </w:pPr>
      <w:proofErr w:type="gramStart"/>
      <w:r w:rsidRPr="00947FA0">
        <w:rPr>
          <w:lang w:val="fr-FR"/>
        </w:rPr>
        <w:t>PA:</w:t>
      </w:r>
      <w:proofErr w:type="gramEnd"/>
      <w:r w:rsidRPr="00947FA0">
        <w:rPr>
          <w:lang w:val="fr-FR"/>
        </w:rPr>
        <w:t xml:space="preserve"> </w:t>
      </w:r>
      <w:r w:rsidRPr="00947FA0">
        <w:rPr>
          <w:i/>
          <w:iCs/>
          <w:lang w:val="fr-FR"/>
        </w:rPr>
        <w:t xml:space="preserve">Pseudomonas </w:t>
      </w:r>
      <w:proofErr w:type="spellStart"/>
      <w:r w:rsidRPr="00947FA0">
        <w:rPr>
          <w:i/>
          <w:iCs/>
          <w:lang w:val="fr-FR"/>
        </w:rPr>
        <w:t>aeruginosa</w:t>
      </w:r>
      <w:proofErr w:type="spellEnd"/>
    </w:p>
    <w:p w14:paraId="6BB73A00" w14:textId="77777777" w:rsidR="001133FF" w:rsidRPr="00947FA0" w:rsidRDefault="001133FF" w:rsidP="001133FF">
      <w:pPr>
        <w:rPr>
          <w:lang w:val="fr-FR"/>
        </w:rPr>
      </w:pPr>
      <w:proofErr w:type="gramStart"/>
      <w:r w:rsidRPr="00947FA0">
        <w:rPr>
          <w:lang w:val="fr-FR"/>
        </w:rPr>
        <w:t>QE:</w:t>
      </w:r>
      <w:proofErr w:type="gramEnd"/>
      <w:r w:rsidRPr="00947FA0">
        <w:rPr>
          <w:lang w:val="fr-FR"/>
        </w:rPr>
        <w:t xml:space="preserve"> </w:t>
      </w:r>
      <w:proofErr w:type="spellStart"/>
      <w:r w:rsidRPr="00947FA0">
        <w:rPr>
          <w:lang w:val="fr-FR"/>
        </w:rPr>
        <w:t>Quercetin</w:t>
      </w:r>
      <w:proofErr w:type="spellEnd"/>
      <w:r w:rsidRPr="00947FA0">
        <w:rPr>
          <w:lang w:val="fr-FR"/>
        </w:rPr>
        <w:t xml:space="preserve"> </w:t>
      </w:r>
      <w:proofErr w:type="spellStart"/>
      <w:r w:rsidRPr="00947FA0">
        <w:rPr>
          <w:lang w:val="fr-FR"/>
        </w:rPr>
        <w:t>equivalent</w:t>
      </w:r>
      <w:proofErr w:type="spellEnd"/>
    </w:p>
    <w:p w14:paraId="6F38F461" w14:textId="3A41FC41" w:rsidR="001133FF" w:rsidRPr="00947FA0" w:rsidRDefault="001133FF" w:rsidP="001133FF">
      <w:pPr>
        <w:rPr>
          <w:i/>
          <w:iCs/>
          <w:lang w:val="fr-FR"/>
        </w:rPr>
      </w:pPr>
      <w:proofErr w:type="gramStart"/>
      <w:r w:rsidRPr="00947FA0">
        <w:rPr>
          <w:lang w:val="fr-FR"/>
        </w:rPr>
        <w:t>SA:</w:t>
      </w:r>
      <w:proofErr w:type="gramEnd"/>
      <w:r w:rsidRPr="00947FA0">
        <w:rPr>
          <w:lang w:val="fr-FR"/>
        </w:rPr>
        <w:t xml:space="preserve"> </w:t>
      </w:r>
      <w:r w:rsidRPr="00947FA0">
        <w:rPr>
          <w:i/>
          <w:iCs/>
          <w:lang w:val="fr-FR"/>
        </w:rPr>
        <w:t>S. aureus</w:t>
      </w:r>
    </w:p>
    <w:p w14:paraId="774094A1" w14:textId="77777777" w:rsidR="00B53638" w:rsidRPr="00947FA0" w:rsidRDefault="00B53638" w:rsidP="00B53638">
      <w:pPr>
        <w:rPr>
          <w:rFonts w:asciiTheme="minorHAnsi" w:hAnsiTheme="minorHAnsi"/>
          <w:b/>
          <w:highlight w:val="yellow"/>
          <w:lang w:val="fr-FR"/>
        </w:rPr>
      </w:pPr>
      <w:r w:rsidRPr="00947FA0">
        <w:rPr>
          <w:b/>
          <w:highlight w:val="yellow"/>
          <w:lang w:val="fr-FR"/>
        </w:rPr>
        <w:t>Disclaimer (</w:t>
      </w:r>
      <w:proofErr w:type="spellStart"/>
      <w:r w:rsidRPr="00947FA0">
        <w:rPr>
          <w:b/>
          <w:highlight w:val="yellow"/>
          <w:lang w:val="fr-FR"/>
        </w:rPr>
        <w:t>Artificial</w:t>
      </w:r>
      <w:proofErr w:type="spellEnd"/>
      <w:r w:rsidRPr="00947FA0">
        <w:rPr>
          <w:b/>
          <w:highlight w:val="yellow"/>
          <w:lang w:val="fr-FR"/>
        </w:rPr>
        <w:t xml:space="preserve"> intelligence)</w:t>
      </w:r>
    </w:p>
    <w:p w14:paraId="0392E9CA" w14:textId="77777777" w:rsidR="00B53638" w:rsidRDefault="00B53638" w:rsidP="00B5363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0770FC0" w14:textId="77777777" w:rsidR="00B53638" w:rsidRDefault="00B53638" w:rsidP="001133FF"/>
    <w:p w14:paraId="372FDEDF" w14:textId="77777777" w:rsidR="001133FF" w:rsidRDefault="001133FF" w:rsidP="00441B6F">
      <w:pPr>
        <w:pStyle w:val="ReferHead"/>
        <w:spacing w:after="0"/>
        <w:jc w:val="both"/>
        <w:rPr>
          <w:rFonts w:ascii="Arial" w:hAnsi="Arial" w:cs="Arial"/>
        </w:rPr>
      </w:pPr>
    </w:p>
    <w:p w14:paraId="218840E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32E1CF6" w14:textId="77777777" w:rsidR="00790ADA" w:rsidRPr="00FB3A86" w:rsidRDefault="00790ADA" w:rsidP="00441B6F">
      <w:pPr>
        <w:pStyle w:val="ReferHead"/>
        <w:spacing w:after="0"/>
        <w:jc w:val="both"/>
        <w:rPr>
          <w:rFonts w:ascii="Arial" w:hAnsi="Arial" w:cs="Arial"/>
        </w:rPr>
      </w:pPr>
    </w:p>
    <w:p w14:paraId="7E90CD01" w14:textId="77777777" w:rsidR="00CA16D7" w:rsidRDefault="00CA16D7" w:rsidP="00441B6F">
      <w:pPr>
        <w:pStyle w:val="Body"/>
        <w:spacing w:after="0"/>
      </w:pPr>
    </w:p>
    <w:p w14:paraId="4A41C99C" w14:textId="77777777" w:rsidR="006344FF" w:rsidRPr="006344FF" w:rsidRDefault="00BF0CCB" w:rsidP="00EC01F3">
      <w:pPr>
        <w:pStyle w:val="EndNoteBibliography"/>
        <w:numPr>
          <w:ilvl w:val="0"/>
          <w:numId w:val="31"/>
        </w:numPr>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sidR="006344FF" w:rsidRPr="006344FF">
        <w:t xml:space="preserve">Abdul, Y., &amp; Sophie, R. (2019). Metabolites Secondaires, Activites Antibacterienne Et Antiradicalaire Des Extraits De Lecorce De Tronc De Acacia Polyacantha Recoltee Au Benin. </w:t>
      </w:r>
      <w:r w:rsidR="006344FF" w:rsidRPr="006344FF">
        <w:rPr>
          <w:i/>
        </w:rPr>
        <w:t>Int J Adv Res, 7</w:t>
      </w:r>
      <w:r w:rsidR="006344FF" w:rsidRPr="006344FF">
        <w:t xml:space="preserve">(10), 1087-1092. </w:t>
      </w:r>
    </w:p>
    <w:p w14:paraId="1243FD9A" w14:textId="77777777" w:rsidR="006344FF" w:rsidRPr="006344FF" w:rsidRDefault="006344FF" w:rsidP="00EC01F3">
      <w:pPr>
        <w:pStyle w:val="EndNoteBibliography"/>
        <w:numPr>
          <w:ilvl w:val="0"/>
          <w:numId w:val="31"/>
        </w:numPr>
      </w:pPr>
      <w:r w:rsidRPr="006344FF">
        <w:t xml:space="preserve">Álvarez-Martínez, F. J., Barrajón-Catalán, E., Herranz-López, M., &amp; Micol, V. (2021). Antibacterial plant compounds, extracts and essential oils: An updated review on their effects and putative mechanisms of action. </w:t>
      </w:r>
      <w:r w:rsidRPr="006344FF">
        <w:rPr>
          <w:i/>
        </w:rPr>
        <w:t>Phytomedicine, 90</w:t>
      </w:r>
      <w:r w:rsidRPr="006344FF">
        <w:t>, 153626. doi:10.1016/j.phymed.2021.153626</w:t>
      </w:r>
    </w:p>
    <w:p w14:paraId="58C210F4" w14:textId="77777777" w:rsidR="006344FF" w:rsidRPr="006344FF" w:rsidRDefault="006344FF" w:rsidP="00EC01F3">
      <w:pPr>
        <w:pStyle w:val="EndNoteBibliography"/>
        <w:numPr>
          <w:ilvl w:val="0"/>
          <w:numId w:val="31"/>
        </w:numPr>
      </w:pPr>
      <w:r w:rsidRPr="006344FF">
        <w:t xml:space="preserve">Assemian, A. S., Guessennd, N. K., Adou, K. F., &amp; Dosso, M. (2022). Étude phytochimique et activité antibactérienne des extraits de Crateva adansonii DC (Capparaceae) sur les souches de Staphylococcus aureus et Pseudomonas aeruginosa. </w:t>
      </w:r>
      <w:r w:rsidRPr="006344FF">
        <w:rPr>
          <w:i/>
        </w:rPr>
        <w:t>Journal of Applied Biosciences, 172</w:t>
      </w:r>
      <w:r w:rsidRPr="006344FF">
        <w:t xml:space="preserve">, 17891-17904. </w:t>
      </w:r>
    </w:p>
    <w:p w14:paraId="38EEC77E" w14:textId="77777777" w:rsidR="006344FF" w:rsidRPr="006344FF" w:rsidRDefault="006344FF" w:rsidP="00EC01F3">
      <w:pPr>
        <w:pStyle w:val="EndNoteBibliography"/>
        <w:numPr>
          <w:ilvl w:val="0"/>
          <w:numId w:val="31"/>
        </w:numPr>
      </w:pPr>
      <w:r w:rsidRPr="006344FF">
        <w:t xml:space="preserve">Augustin, C. (1947). Produits médicinaux fournis par les plantes de la famille des Guttifères vivant dans les colonies françaises. </w:t>
      </w:r>
      <w:r w:rsidRPr="006344FF">
        <w:rPr>
          <w:i/>
        </w:rPr>
        <w:t>Journal d’agriculture traditionnelle et de botanique appliquée, 20</w:t>
      </w:r>
      <w:r w:rsidRPr="006344FF">
        <w:t xml:space="preserve">, 88-97. </w:t>
      </w:r>
    </w:p>
    <w:p w14:paraId="0693351E" w14:textId="77777777" w:rsidR="006344FF" w:rsidRPr="006344FF" w:rsidRDefault="006344FF" w:rsidP="00EC01F3">
      <w:pPr>
        <w:pStyle w:val="EndNoteBibliography"/>
        <w:numPr>
          <w:ilvl w:val="0"/>
          <w:numId w:val="31"/>
        </w:numPr>
      </w:pPr>
      <w:r w:rsidRPr="006344FF">
        <w:t xml:space="preserve">Blé Marcel, Y. (2010). Rôle de l’anthropologue dans la revalorisation de la médecine traditionnelle Africaine. </w:t>
      </w:r>
      <w:r w:rsidRPr="006344FF">
        <w:rPr>
          <w:i/>
        </w:rPr>
        <w:t>Recherches qualitatives, 29</w:t>
      </w:r>
      <w:r w:rsidRPr="006344FF">
        <w:t xml:space="preserve">(2), 57-67. </w:t>
      </w:r>
    </w:p>
    <w:p w14:paraId="060AAC0A" w14:textId="77777777" w:rsidR="006344FF" w:rsidRPr="006344FF" w:rsidRDefault="006344FF" w:rsidP="00EC01F3">
      <w:pPr>
        <w:pStyle w:val="EndNoteBibliography"/>
        <w:numPr>
          <w:ilvl w:val="0"/>
          <w:numId w:val="31"/>
        </w:numPr>
      </w:pPr>
      <w:r w:rsidRPr="006344FF">
        <w:t>Bourgou, A., &amp; Cheng-Wu, J. (2009). Antioxidant activity and quantitative estimation of azadirachtin and nimbin in Azadirachta Indica. Grown in foothills of Nepal.</w:t>
      </w:r>
      <w:r w:rsidRPr="006344FF">
        <w:rPr>
          <w:i/>
        </w:rPr>
        <w:t xml:space="preserve"> 8</w:t>
      </w:r>
      <w:r w:rsidRPr="006344FF">
        <w:t xml:space="preserve">(13), 384-391. </w:t>
      </w:r>
    </w:p>
    <w:p w14:paraId="29183CCE" w14:textId="77777777" w:rsidR="006344FF" w:rsidRPr="006344FF" w:rsidRDefault="006344FF" w:rsidP="00EC01F3">
      <w:pPr>
        <w:pStyle w:val="EndNoteBibliography"/>
        <w:numPr>
          <w:ilvl w:val="0"/>
          <w:numId w:val="31"/>
        </w:numPr>
      </w:pPr>
      <w:r w:rsidRPr="006344FF">
        <w:lastRenderedPageBreak/>
        <w:t xml:space="preserve">Bourgou, S., Beji, R. S., Medini, F., &amp; Ksouri, R. (2016). Effet du solvant et de la méthode d'extraction sur la teneur en composés phénoliques et les potentialités antioxydantes d'Euphorbia helioscopia. </w:t>
      </w:r>
      <w:r w:rsidRPr="006344FF">
        <w:rPr>
          <w:i/>
        </w:rPr>
        <w:t>Journal of New Sciences, Agriculture and Biotechnology, 28</w:t>
      </w:r>
      <w:r w:rsidRPr="006344FF">
        <w:t xml:space="preserve">(12), 1649-1655. </w:t>
      </w:r>
    </w:p>
    <w:p w14:paraId="5F33A5FD" w14:textId="77777777" w:rsidR="006344FF" w:rsidRPr="006344FF" w:rsidRDefault="006344FF" w:rsidP="00EC01F3">
      <w:pPr>
        <w:pStyle w:val="EndNoteBibliography"/>
        <w:numPr>
          <w:ilvl w:val="0"/>
          <w:numId w:val="31"/>
        </w:numPr>
      </w:pPr>
      <w:r w:rsidRPr="006344FF">
        <w:t xml:space="preserve">Cushnie, T., &amp; Lamb, A. (2011). Recent advances in understanding the antibacterial properties of flavonoids. </w:t>
      </w:r>
      <w:r w:rsidRPr="006344FF">
        <w:rPr>
          <w:i/>
        </w:rPr>
        <w:t>International Journal of Antimicrobial Agents, 38</w:t>
      </w:r>
      <w:r w:rsidRPr="006344FF">
        <w:t xml:space="preserve">(2), 99-107. </w:t>
      </w:r>
    </w:p>
    <w:p w14:paraId="642CD066" w14:textId="77777777" w:rsidR="006344FF" w:rsidRPr="006344FF" w:rsidRDefault="006344FF" w:rsidP="00EC01F3">
      <w:pPr>
        <w:pStyle w:val="EndNoteBibliography"/>
        <w:numPr>
          <w:ilvl w:val="0"/>
          <w:numId w:val="31"/>
        </w:numPr>
      </w:pPr>
      <w:r w:rsidRPr="006344FF">
        <w:t xml:space="preserve">Djeussi, D. E., Noumedem, J. A., Seukep, J. A., Fankam, A. G., Voukeng, I. K., Tankeo, S. B., . . . Kuete, V. (2013). Antibacterial activities of selected edible plants extracts against multi-drug resistant Gram-negative bacteria. </w:t>
      </w:r>
      <w:r w:rsidRPr="006344FF">
        <w:rPr>
          <w:i/>
        </w:rPr>
        <w:t>BMC Complementary and Alternative Medicine, 13</w:t>
      </w:r>
      <w:r w:rsidRPr="006344FF">
        <w:t xml:space="preserve">(1), 164. </w:t>
      </w:r>
    </w:p>
    <w:p w14:paraId="12829B35" w14:textId="77777777" w:rsidR="006344FF" w:rsidRPr="006344FF" w:rsidRDefault="006344FF" w:rsidP="00EC01F3">
      <w:pPr>
        <w:pStyle w:val="EndNoteBibliography"/>
        <w:numPr>
          <w:ilvl w:val="0"/>
          <w:numId w:val="31"/>
        </w:numPr>
      </w:pPr>
      <w:r w:rsidRPr="006344FF">
        <w:t xml:space="preserve">Favier, A. (2003). Stress oxydant et pathologies humaines. </w:t>
      </w:r>
      <w:r w:rsidRPr="006344FF">
        <w:rPr>
          <w:i/>
        </w:rPr>
        <w:t>Annales Pharmaceutiques Françaises, 64</w:t>
      </w:r>
      <w:r w:rsidRPr="006344FF">
        <w:t xml:space="preserve">, 390-396. </w:t>
      </w:r>
    </w:p>
    <w:p w14:paraId="52F68C59" w14:textId="77777777" w:rsidR="006344FF" w:rsidRPr="006344FF" w:rsidRDefault="006344FF" w:rsidP="00EC01F3">
      <w:pPr>
        <w:pStyle w:val="EndNoteBibliography"/>
        <w:numPr>
          <w:ilvl w:val="0"/>
          <w:numId w:val="31"/>
        </w:numPr>
      </w:pPr>
      <w:r w:rsidRPr="006344FF">
        <w:t xml:space="preserve">Gulcin, İ. (2020). Antioxidants and antioxidant methods: An updated overview. </w:t>
      </w:r>
      <w:r w:rsidRPr="006344FF">
        <w:rPr>
          <w:i/>
        </w:rPr>
        <w:t>Archives of Toxicology, 94</w:t>
      </w:r>
      <w:r w:rsidRPr="006344FF">
        <w:t>(3), 651-715. doi:10.1007/s00204-020-02689-3</w:t>
      </w:r>
    </w:p>
    <w:p w14:paraId="75E2CBEB" w14:textId="77777777" w:rsidR="006344FF" w:rsidRPr="006344FF" w:rsidRDefault="006344FF" w:rsidP="00EC01F3">
      <w:pPr>
        <w:pStyle w:val="EndNoteBibliography"/>
        <w:numPr>
          <w:ilvl w:val="0"/>
          <w:numId w:val="31"/>
        </w:numPr>
      </w:pPr>
      <w:r w:rsidRPr="006344FF">
        <w:t xml:space="preserve">Ksouri, R., &amp; Megdiche, W. (2007). Salinity effects on polyphenol content and antioxidant activities in leaves of the halophyte Cakile maritima. </w:t>
      </w:r>
      <w:r w:rsidRPr="006344FF">
        <w:rPr>
          <w:i/>
        </w:rPr>
        <w:t>Plant Physiology Biochemestry</w:t>
      </w:r>
      <w:r w:rsidRPr="006344FF">
        <w:t xml:space="preserve">, 244-249. </w:t>
      </w:r>
    </w:p>
    <w:p w14:paraId="31AE5D0D" w14:textId="77777777" w:rsidR="006344FF" w:rsidRPr="006344FF" w:rsidRDefault="006344FF" w:rsidP="00EC01F3">
      <w:pPr>
        <w:pStyle w:val="EndNoteBibliography"/>
        <w:numPr>
          <w:ilvl w:val="0"/>
          <w:numId w:val="31"/>
        </w:numPr>
      </w:pPr>
      <w:r w:rsidRPr="006344FF">
        <w:t xml:space="preserve">Molyneux. (2004). The use of stable free radical diphenylpicryl-hydrazyl (DPPH) for estimating antioxidant activity Songklanakarin. </w:t>
      </w:r>
      <w:r w:rsidRPr="006344FF">
        <w:rPr>
          <w:i/>
        </w:rPr>
        <w:t>Journal Science Technology, 26</w:t>
      </w:r>
      <w:r w:rsidRPr="006344FF">
        <w:t xml:space="preserve">(2), 211-219. </w:t>
      </w:r>
    </w:p>
    <w:p w14:paraId="02512CB8" w14:textId="77777777" w:rsidR="006344FF" w:rsidRPr="006344FF" w:rsidRDefault="006344FF" w:rsidP="00EC01F3">
      <w:pPr>
        <w:pStyle w:val="EndNoteBibliography"/>
        <w:numPr>
          <w:ilvl w:val="0"/>
          <w:numId w:val="31"/>
        </w:numPr>
      </w:pPr>
      <w:r w:rsidRPr="006344FF">
        <w:t xml:space="preserve">Monrudee, S., &amp; Tanasait, N. (2011). Antioxydant properties of squeezed mangosteen juice. </w:t>
      </w:r>
      <w:r w:rsidRPr="006344FF">
        <w:rPr>
          <w:i/>
        </w:rPr>
        <w:t>Thai Journal Pharmaceutical Sciences</w:t>
      </w:r>
      <w:r w:rsidRPr="006344FF">
        <w:t xml:space="preserve">, 176-187. </w:t>
      </w:r>
    </w:p>
    <w:p w14:paraId="034558C6" w14:textId="77777777" w:rsidR="006344FF" w:rsidRPr="006344FF" w:rsidRDefault="006344FF" w:rsidP="00EC01F3">
      <w:pPr>
        <w:pStyle w:val="EndNoteBibliography"/>
        <w:numPr>
          <w:ilvl w:val="0"/>
          <w:numId w:val="31"/>
        </w:numPr>
      </w:pPr>
      <w:r w:rsidRPr="006344FF">
        <w:t xml:space="preserve">Munteanu, I. G., &amp; Apetrei, C. (2021). Analytical methods used in determining antioxidant activity: A review. </w:t>
      </w:r>
      <w:r w:rsidRPr="006344FF">
        <w:rPr>
          <w:i/>
        </w:rPr>
        <w:t>International Journal of Molecular Sciences, 22</w:t>
      </w:r>
      <w:r w:rsidRPr="006344FF">
        <w:t>(7), 3380. doi:10.3390/ijms22073380</w:t>
      </w:r>
    </w:p>
    <w:p w14:paraId="7A21D957" w14:textId="77777777" w:rsidR="006344FF" w:rsidRPr="006344FF" w:rsidRDefault="006344FF" w:rsidP="00EC01F3">
      <w:pPr>
        <w:pStyle w:val="EndNoteBibliography"/>
        <w:numPr>
          <w:ilvl w:val="0"/>
          <w:numId w:val="31"/>
        </w:numPr>
      </w:pPr>
      <w:r w:rsidRPr="006344FF">
        <w:t xml:space="preserve">Murray, C. J. L., Ikuta, K. S., Sharara, F., Swetschinski, L., Robles Aguilar, G., Gray, A., &amp; Naghavi, M. (2022). Global burden of bacterial antimicrobial resistance in 2019: a systematic analysis. </w:t>
      </w:r>
      <w:r w:rsidRPr="006344FF">
        <w:rPr>
          <w:i/>
        </w:rPr>
        <w:t>The Lancet, 399</w:t>
      </w:r>
      <w:r w:rsidRPr="006344FF">
        <w:t>(10325), 629-655. doi:10.1016/S0140-6736(21)02724-0</w:t>
      </w:r>
    </w:p>
    <w:p w14:paraId="468FCE99" w14:textId="77777777" w:rsidR="006344FF" w:rsidRPr="006344FF" w:rsidRDefault="006344FF" w:rsidP="00EC01F3">
      <w:pPr>
        <w:pStyle w:val="EndNoteBibliography"/>
        <w:numPr>
          <w:ilvl w:val="0"/>
          <w:numId w:val="31"/>
        </w:numPr>
      </w:pPr>
      <w:r w:rsidRPr="006344FF">
        <w:t xml:space="preserve">Nakagawa, Y., Tayama, K., Nakao, T., &amp; Hiraga, K. (1984). On the mechanism of butylated hydroxytoluene-induced hepatic toxicity in rats. </w:t>
      </w:r>
      <w:r w:rsidRPr="006344FF">
        <w:rPr>
          <w:i/>
        </w:rPr>
        <w:t>Biochemical pharmacology, 33</w:t>
      </w:r>
      <w:r w:rsidRPr="006344FF">
        <w:t xml:space="preserve">(16), 2669-2674. </w:t>
      </w:r>
    </w:p>
    <w:p w14:paraId="084C94B8" w14:textId="77777777" w:rsidR="006344FF" w:rsidRPr="006344FF" w:rsidRDefault="006344FF" w:rsidP="00EC01F3">
      <w:pPr>
        <w:pStyle w:val="EndNoteBibliography"/>
        <w:numPr>
          <w:ilvl w:val="0"/>
          <w:numId w:val="31"/>
        </w:numPr>
      </w:pPr>
      <w:r w:rsidRPr="006344FF">
        <w:t xml:space="preserve">Nauman, M. C., &amp; Johnson, J. J. (2022). The purple mangosteen (Garcinia mangostana): Defining the anticancer potential of selected xanthones. </w:t>
      </w:r>
      <w:r w:rsidRPr="006344FF">
        <w:rPr>
          <w:i/>
        </w:rPr>
        <w:t>Pharmacological Research, 175</w:t>
      </w:r>
      <w:r w:rsidRPr="006344FF">
        <w:t>, 106032. doi:10.1016/j.phrs.2021.106032</w:t>
      </w:r>
    </w:p>
    <w:p w14:paraId="05FA569B" w14:textId="77777777" w:rsidR="006344FF" w:rsidRPr="006344FF" w:rsidRDefault="006344FF" w:rsidP="00EC01F3">
      <w:pPr>
        <w:pStyle w:val="EndNoteBibliography"/>
        <w:numPr>
          <w:ilvl w:val="0"/>
          <w:numId w:val="31"/>
        </w:numPr>
      </w:pPr>
      <w:r w:rsidRPr="006344FF">
        <w:t xml:space="preserve">Neha, V., &amp; Soumya, P. (2022). Mise à jour récente sur les molécules biologiques actives dans la génération du potentiel thérapeutique anticancéreux de Garcinia mangostana. </w:t>
      </w:r>
      <w:r w:rsidRPr="006344FF">
        <w:rPr>
          <w:i/>
        </w:rPr>
        <w:t>Biochimie appliquée et biotechnologie</w:t>
      </w:r>
      <w:r w:rsidRPr="006344FF">
        <w:t xml:space="preserve">, 1-22. </w:t>
      </w:r>
    </w:p>
    <w:p w14:paraId="77F620C2" w14:textId="77777777" w:rsidR="006344FF" w:rsidRPr="006344FF" w:rsidRDefault="006344FF" w:rsidP="00EC01F3">
      <w:pPr>
        <w:pStyle w:val="EndNoteBibliography"/>
        <w:numPr>
          <w:ilvl w:val="0"/>
          <w:numId w:val="31"/>
        </w:numPr>
      </w:pPr>
      <w:r w:rsidRPr="006344FF">
        <w:t xml:space="preserve">Ngoupayo, J., &amp; Fouaguim, A. (2016). Evaluation of the antimicrobial activity of tannin extracted from the barks of Erythrophleum guineensis (Caesalpiniaceae ). 287-291. </w:t>
      </w:r>
    </w:p>
    <w:p w14:paraId="787F93BD" w14:textId="77777777" w:rsidR="006344FF" w:rsidRPr="006344FF" w:rsidRDefault="006344FF" w:rsidP="00EC01F3">
      <w:pPr>
        <w:pStyle w:val="EndNoteBibliography"/>
        <w:numPr>
          <w:ilvl w:val="0"/>
          <w:numId w:val="31"/>
        </w:numPr>
      </w:pPr>
      <w:r w:rsidRPr="006344FF">
        <w:t xml:space="preserve">Nuttavet, K., Youn-Hee, H., &amp; Primchanien, M. (2007). Antioxidant and cytoprotective activities of methanolic extract from the fruit hull of Garcinia mangostana. </w:t>
      </w:r>
      <w:r w:rsidRPr="006344FF">
        <w:rPr>
          <w:i/>
        </w:rPr>
        <w:t>Science Asia, 33</w:t>
      </w:r>
      <w:r w:rsidRPr="006344FF">
        <w:t xml:space="preserve">(1), 283-292. </w:t>
      </w:r>
    </w:p>
    <w:p w14:paraId="60ABB2E0" w14:textId="77777777" w:rsidR="006344FF" w:rsidRPr="006344FF" w:rsidRDefault="006344FF" w:rsidP="00EC01F3">
      <w:pPr>
        <w:pStyle w:val="EndNoteBibliography"/>
        <w:numPr>
          <w:ilvl w:val="0"/>
          <w:numId w:val="31"/>
        </w:numPr>
      </w:pPr>
      <w:r w:rsidRPr="006344FF">
        <w:t xml:space="preserve">Nyegue, M. (2006). </w:t>
      </w:r>
      <w:r w:rsidRPr="006344FF">
        <w:rPr>
          <w:i/>
        </w:rPr>
        <w:t xml:space="preserve">Propriétés chimiques et biologiques des huiles essentielles de quelques plantes aromatiques et/ou médicinales du </w:t>
      </w:r>
      <w:r w:rsidRPr="006344FF">
        <w:rPr>
          <w:i/>
        </w:rPr>
        <w:lastRenderedPageBreak/>
        <w:t>Cameroun : évaluation de leurs activités anti-radicalaires, anti-inflammatoires et antibactériennes.</w:t>
      </w:r>
      <w:r w:rsidRPr="006344FF">
        <w:t xml:space="preserve"> Université de Montpellier II et Yaoundé I, </w:t>
      </w:r>
    </w:p>
    <w:p w14:paraId="6C5AFC2A" w14:textId="77777777" w:rsidR="006344FF" w:rsidRPr="006344FF" w:rsidRDefault="006344FF" w:rsidP="00EC01F3">
      <w:pPr>
        <w:pStyle w:val="EndNoteBibliography"/>
        <w:numPr>
          <w:ilvl w:val="0"/>
          <w:numId w:val="31"/>
        </w:numPr>
      </w:pPr>
      <w:r w:rsidRPr="006344FF">
        <w:t xml:space="preserve">Omer Sheriff, S., &amp; Haresh Kumar, K. (2022). Le potentiel de l’α-mangostine de Garcinia mangostana en tant qu’agent antibactérien efficace-Une revue systématique et une méta-analayse. </w:t>
      </w:r>
      <w:r w:rsidRPr="006344FF">
        <w:rPr>
          <w:i/>
        </w:rPr>
        <w:t>Antibiotiques, 11</w:t>
      </w:r>
      <w:r w:rsidRPr="006344FF">
        <w:t xml:space="preserve">(6), 717. </w:t>
      </w:r>
    </w:p>
    <w:p w14:paraId="3ED435C3" w14:textId="77777777" w:rsidR="006344FF" w:rsidRPr="006344FF" w:rsidRDefault="006344FF" w:rsidP="00EC01F3">
      <w:pPr>
        <w:pStyle w:val="EndNoteBibliography"/>
        <w:numPr>
          <w:ilvl w:val="0"/>
          <w:numId w:val="31"/>
        </w:numPr>
      </w:pPr>
      <w:r w:rsidRPr="006344FF">
        <w:t xml:space="preserve">Radia, L. (2014). </w:t>
      </w:r>
      <w:r w:rsidRPr="006344FF">
        <w:rPr>
          <w:i/>
        </w:rPr>
        <w:t>Evaluation in-vitro des activités anti-oxydante et anti-inflammatoire des huiles essentielles d' Origanum glandulosum et Rosmarinus officinalis seules et en combinaison.</w:t>
      </w:r>
      <w:r w:rsidRPr="006344FF">
        <w:t xml:space="preserve"> Université Abderrahmane Mira de Béjaia, Algérie. </w:t>
      </w:r>
    </w:p>
    <w:p w14:paraId="4030CA89" w14:textId="77777777" w:rsidR="006344FF" w:rsidRPr="006344FF" w:rsidRDefault="006344FF" w:rsidP="00EC01F3">
      <w:pPr>
        <w:pStyle w:val="EndNoteBibliography"/>
        <w:numPr>
          <w:ilvl w:val="0"/>
          <w:numId w:val="31"/>
        </w:numPr>
      </w:pPr>
      <w:r w:rsidRPr="006344FF">
        <w:t xml:space="preserve">Ribereau-gayon, P., &amp; Stonestreet, E. (1996). Chimie des plantes. </w:t>
      </w:r>
      <w:r w:rsidRPr="006344FF">
        <w:rPr>
          <w:i/>
        </w:rPr>
        <w:t>Annales de Chimie</w:t>
      </w:r>
      <w:r w:rsidRPr="006344FF">
        <w:t xml:space="preserve">, 188-196. </w:t>
      </w:r>
    </w:p>
    <w:p w14:paraId="0AB1A932" w14:textId="77777777" w:rsidR="006344FF" w:rsidRPr="006344FF" w:rsidRDefault="006344FF" w:rsidP="00EC01F3">
      <w:pPr>
        <w:pStyle w:val="EndNoteBibliography"/>
        <w:numPr>
          <w:ilvl w:val="0"/>
          <w:numId w:val="31"/>
        </w:numPr>
      </w:pPr>
      <w:r w:rsidRPr="006344FF">
        <w:t xml:space="preserve">Roersch, C. (2010). Piper umbellatum L. A comparative cross-cultural analysis of its medicinal uses and an ethnopharmacological evaluation. </w:t>
      </w:r>
      <w:r w:rsidRPr="006344FF">
        <w:rPr>
          <w:i/>
        </w:rPr>
        <w:t>Journal of ethnopharmacology, 131</w:t>
      </w:r>
      <w:r w:rsidRPr="006344FF">
        <w:t xml:space="preserve">(2), 522-537. </w:t>
      </w:r>
    </w:p>
    <w:p w14:paraId="0D37E8D0" w14:textId="77777777" w:rsidR="006344FF" w:rsidRPr="006344FF" w:rsidRDefault="006344FF" w:rsidP="00EC01F3">
      <w:pPr>
        <w:pStyle w:val="EndNoteBibliography"/>
        <w:numPr>
          <w:ilvl w:val="0"/>
          <w:numId w:val="31"/>
        </w:numPr>
      </w:pPr>
      <w:r w:rsidRPr="006344FF">
        <w:t xml:space="preserve">Rolland, Y. (2004). Antioxydants naturels végétaux. </w:t>
      </w:r>
      <w:r w:rsidRPr="006344FF">
        <w:rPr>
          <w:i/>
        </w:rPr>
        <w:t>Oilseeds and fats, Crops and Lipids, 11</w:t>
      </w:r>
      <w:r w:rsidRPr="006344FF">
        <w:t xml:space="preserve">(6), 41. </w:t>
      </w:r>
    </w:p>
    <w:p w14:paraId="3EA6E0E3" w14:textId="77777777" w:rsidR="006344FF" w:rsidRPr="006344FF" w:rsidRDefault="006344FF" w:rsidP="00EC01F3">
      <w:pPr>
        <w:pStyle w:val="EndNoteBibliography"/>
        <w:numPr>
          <w:ilvl w:val="0"/>
          <w:numId w:val="31"/>
        </w:numPr>
      </w:pPr>
      <w:r w:rsidRPr="006344FF">
        <w:t xml:space="preserve">Salam, M. A., Al-Amin, M. Y., Salam, M. T., Pawar, J. S., Akhter, N., Rabaan, A. A., &amp; Alqumber, M. A. A. (2023). Antimicrobial resistance: A growing serious threat for global public health. </w:t>
      </w:r>
      <w:r w:rsidRPr="006344FF">
        <w:rPr>
          <w:i/>
        </w:rPr>
        <w:t>Healthcare, 11</w:t>
      </w:r>
      <w:r w:rsidRPr="006344FF">
        <w:t>(13), 1946. doi:10.3390/healthcare11131946</w:t>
      </w:r>
    </w:p>
    <w:p w14:paraId="44768E17" w14:textId="77777777" w:rsidR="006344FF" w:rsidRPr="006344FF" w:rsidRDefault="006344FF" w:rsidP="00EC01F3">
      <w:pPr>
        <w:pStyle w:val="EndNoteBibliography"/>
        <w:numPr>
          <w:ilvl w:val="0"/>
          <w:numId w:val="31"/>
        </w:numPr>
      </w:pPr>
      <w:r w:rsidRPr="006344FF">
        <w:t xml:space="preserve">Shahidi, F., &amp; Hossain, A. (2023). Importance of insoluble-bound phenolics to the antioxidant potential is dictated by source material. </w:t>
      </w:r>
      <w:r w:rsidRPr="006344FF">
        <w:rPr>
          <w:i/>
        </w:rPr>
        <w:t>Antioxidants, 12</w:t>
      </w:r>
      <w:r w:rsidRPr="006344FF">
        <w:t>(1), 203. doi:10.3390/antiox12010203</w:t>
      </w:r>
    </w:p>
    <w:p w14:paraId="788814D0" w14:textId="77777777" w:rsidR="006344FF" w:rsidRPr="006344FF" w:rsidRDefault="006344FF" w:rsidP="00EC01F3">
      <w:pPr>
        <w:pStyle w:val="EndNoteBibliography"/>
        <w:numPr>
          <w:ilvl w:val="0"/>
          <w:numId w:val="31"/>
        </w:numPr>
      </w:pPr>
      <w:r w:rsidRPr="006344FF">
        <w:t xml:space="preserve">Shela, G., Mamta, S., &amp; Shiwani, G. (2011). Phytochemical screening and antioxidant activity of Cassia fistula L. leaf extracts. </w:t>
      </w:r>
      <w:r w:rsidRPr="006344FF">
        <w:rPr>
          <w:i/>
        </w:rPr>
        <w:t>Journal of Chemical and Pharmaceutical Research, 3</w:t>
      </w:r>
      <w:r w:rsidRPr="006344FF">
        <w:t xml:space="preserve">(6), 194-199. </w:t>
      </w:r>
    </w:p>
    <w:p w14:paraId="0BB280B8" w14:textId="77777777" w:rsidR="006344FF" w:rsidRPr="006344FF" w:rsidRDefault="006344FF" w:rsidP="00EC01F3">
      <w:pPr>
        <w:pStyle w:val="EndNoteBibliography"/>
        <w:numPr>
          <w:ilvl w:val="0"/>
          <w:numId w:val="31"/>
        </w:numPr>
      </w:pPr>
      <w:r w:rsidRPr="006344FF">
        <w:t xml:space="preserve">Siddiqui, N., &amp; Abdur, R. (2017). Secondary metabolits in plants. </w:t>
      </w:r>
      <w:r w:rsidRPr="006344FF">
        <w:rPr>
          <w:i/>
        </w:rPr>
        <w:t>Journal of Taibah University Medical Sciences, 12</w:t>
      </w:r>
      <w:r w:rsidRPr="006344FF">
        <w:t xml:space="preserve">(4), 360-363. </w:t>
      </w:r>
    </w:p>
    <w:p w14:paraId="260ECE6E" w14:textId="77777777" w:rsidR="006344FF" w:rsidRPr="006344FF" w:rsidRDefault="006344FF" w:rsidP="00EC01F3">
      <w:pPr>
        <w:pStyle w:val="EndNoteBibliography"/>
        <w:numPr>
          <w:ilvl w:val="0"/>
          <w:numId w:val="31"/>
        </w:numPr>
      </w:pPr>
      <w:r w:rsidRPr="006344FF">
        <w:t xml:space="preserve">Souris, J. S. (2002). </w:t>
      </w:r>
      <w:r w:rsidRPr="006344FF">
        <w:rPr>
          <w:i/>
        </w:rPr>
        <w:t>Évaluation de l'activité antioxydante des extraits de plantes.</w:t>
      </w:r>
      <w:r w:rsidRPr="006344FF">
        <w:t xml:space="preserve"> Université Catholique de Louvain, Louvain. </w:t>
      </w:r>
    </w:p>
    <w:p w14:paraId="2BDE32A2" w14:textId="77777777" w:rsidR="006344FF" w:rsidRPr="006344FF" w:rsidRDefault="006344FF" w:rsidP="00EC01F3">
      <w:pPr>
        <w:pStyle w:val="EndNoteBibliography"/>
        <w:numPr>
          <w:ilvl w:val="0"/>
          <w:numId w:val="31"/>
        </w:numPr>
      </w:pPr>
      <w:r w:rsidRPr="006344FF">
        <w:t>Talbi, H. (2014). Evaluation de l’activité antioxydante et la composition physico-chimique des extraits méthanoliques et aqueux de la Nigella sativa.</w:t>
      </w:r>
      <w:r w:rsidRPr="006344FF">
        <w:rPr>
          <w:i/>
        </w:rPr>
        <w:t xml:space="preserve"> 6</w:t>
      </w:r>
      <w:r w:rsidRPr="006344FF">
        <w:t xml:space="preserve">(4), 1111-1117. </w:t>
      </w:r>
    </w:p>
    <w:p w14:paraId="436D295D" w14:textId="77777777" w:rsidR="006344FF" w:rsidRPr="006344FF" w:rsidRDefault="006344FF" w:rsidP="00EC01F3">
      <w:pPr>
        <w:pStyle w:val="EndNoteBibliography"/>
        <w:numPr>
          <w:ilvl w:val="0"/>
          <w:numId w:val="31"/>
        </w:numPr>
      </w:pPr>
      <w:r w:rsidRPr="006344FF">
        <w:t xml:space="preserve">Trease, G., &amp; Evans, W. (2002). Chemistry and biochemistru of dietary polyphenols. </w:t>
      </w:r>
      <w:r w:rsidRPr="006344FF">
        <w:rPr>
          <w:i/>
        </w:rPr>
        <w:t>Journal of Pharmacognosy</w:t>
      </w:r>
      <w:r w:rsidRPr="006344FF">
        <w:t xml:space="preserve">, 391-393. </w:t>
      </w:r>
    </w:p>
    <w:p w14:paraId="7113634A" w14:textId="77777777" w:rsidR="006344FF" w:rsidRPr="006344FF" w:rsidRDefault="006344FF" w:rsidP="00EC01F3">
      <w:pPr>
        <w:pStyle w:val="EndNoteBibliography"/>
        <w:numPr>
          <w:ilvl w:val="0"/>
          <w:numId w:val="31"/>
        </w:numPr>
      </w:pPr>
      <w:r w:rsidRPr="006344FF">
        <w:t xml:space="preserve">Valère, M. (2022). </w:t>
      </w:r>
      <w:r w:rsidRPr="006344FF">
        <w:rPr>
          <w:i/>
        </w:rPr>
        <w:t>Evaluation in vitro de l’activité antioxydante et antibactérienne de l’écorce du tronc de canarium schweinfurthii.</w:t>
      </w:r>
      <w:r w:rsidRPr="006344FF">
        <w:t xml:space="preserve"> Université des Montagnes, Bangangté. </w:t>
      </w:r>
    </w:p>
    <w:p w14:paraId="49396AF2" w14:textId="77777777" w:rsidR="006344FF" w:rsidRPr="006344FF" w:rsidRDefault="006344FF" w:rsidP="00EC01F3">
      <w:pPr>
        <w:pStyle w:val="EndNoteBibliography"/>
        <w:numPr>
          <w:ilvl w:val="0"/>
          <w:numId w:val="31"/>
        </w:numPr>
      </w:pPr>
      <w:r w:rsidRPr="006344FF">
        <w:t xml:space="preserve">Vaou, N., Stavropoulou, E., Voidarou, C., Tsigalou, C., &amp; Bezirtzoglou, E. (2021). Towards advances in medicinal plant antimicrobial activity: A review study on challenges and future perspectives. </w:t>
      </w:r>
      <w:r w:rsidRPr="006344FF">
        <w:rPr>
          <w:i/>
        </w:rPr>
        <w:t>Microorganisms, 9</w:t>
      </w:r>
      <w:r w:rsidRPr="006344FF">
        <w:t>(10), 2041. doi:10.3390/microorganisms9102041</w:t>
      </w:r>
    </w:p>
    <w:p w14:paraId="3FC1E879" w14:textId="77777777" w:rsidR="006344FF" w:rsidRPr="006344FF" w:rsidRDefault="006344FF" w:rsidP="00EC01F3">
      <w:pPr>
        <w:pStyle w:val="EndNoteBibliography"/>
        <w:numPr>
          <w:ilvl w:val="0"/>
          <w:numId w:val="31"/>
        </w:numPr>
      </w:pPr>
      <w:r w:rsidRPr="006344FF">
        <w:t xml:space="preserve">Yin, S., &amp; Stefanie, S. (2013). Antioxydant capacity and antibacterial activity of differents parts pf mangoosteen (Garcinia mangostana Linn.) extracts. </w:t>
      </w:r>
      <w:r w:rsidRPr="006344FF">
        <w:rPr>
          <w:i/>
        </w:rPr>
        <w:t>EDP sciences</w:t>
      </w:r>
      <w:r w:rsidRPr="006344FF">
        <w:t xml:space="preserve">. </w:t>
      </w:r>
    </w:p>
    <w:p w14:paraId="08818ED4" w14:textId="3AC8ADD7" w:rsidR="00441B6F" w:rsidRDefault="00BF0CCB" w:rsidP="006344FF">
      <w:pPr>
        <w:pStyle w:val="Body"/>
        <w:spacing w:after="0"/>
      </w:pPr>
      <w:r>
        <w:rPr>
          <w:rFonts w:ascii="Arial" w:hAnsi="Arial" w:cs="Arial"/>
          <w:b/>
        </w:rPr>
        <w:fldChar w:fldCharType="end"/>
      </w:r>
    </w:p>
    <w:p w14:paraId="688ED690" w14:textId="77777777" w:rsidR="00790ADA" w:rsidRPr="00FB3A86" w:rsidRDefault="00790ADA" w:rsidP="00441B6F">
      <w:pPr>
        <w:pStyle w:val="Body"/>
        <w:spacing w:after="0"/>
        <w:rPr>
          <w:rFonts w:ascii="Arial" w:hAnsi="Arial" w:cs="Arial"/>
        </w:rPr>
      </w:pPr>
    </w:p>
    <w:p w14:paraId="3EE6A559" w14:textId="77777777" w:rsidR="00C33EC5" w:rsidRDefault="00C33EC5" w:rsidP="00C33EC5">
      <w:pPr>
        <w:pStyle w:val="Appendix"/>
        <w:spacing w:after="0"/>
        <w:jc w:val="both"/>
        <w:rPr>
          <w:rFonts w:ascii="Arial" w:hAnsi="Arial" w:cs="Arial"/>
        </w:rPr>
      </w:pPr>
    </w:p>
    <w:p w14:paraId="0DFE3D06" w14:textId="77777777" w:rsidR="00C33EC5" w:rsidRDefault="00C33EC5" w:rsidP="00C33EC5">
      <w:pPr>
        <w:pStyle w:val="Appendix"/>
        <w:spacing w:after="0"/>
        <w:jc w:val="both"/>
        <w:rPr>
          <w:rFonts w:ascii="Arial" w:hAnsi="Arial" w:cs="Arial"/>
        </w:rPr>
      </w:pPr>
    </w:p>
    <w:p w14:paraId="4ACA3D3C" w14:textId="6395F2D5" w:rsidR="00C33EC5" w:rsidRPr="00C33EC5" w:rsidRDefault="00C33EC5" w:rsidP="00C33EC5">
      <w:pPr>
        <w:pStyle w:val="Appendix"/>
        <w:spacing w:after="0"/>
        <w:jc w:val="both"/>
        <w:rPr>
          <w:rFonts w:ascii="Arial" w:hAnsi="Arial" w:cs="Arial"/>
        </w:rPr>
        <w:sectPr w:rsidR="00C33EC5" w:rsidRPr="00C33EC5" w:rsidSect="007502A8">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156DBE73" w14:textId="77777777" w:rsidR="00CA16D7" w:rsidRDefault="00CA16D7" w:rsidP="00441B6F">
      <w:pPr>
        <w:pStyle w:val="Appendix"/>
        <w:spacing w:after="0"/>
        <w:jc w:val="both"/>
        <w:rPr>
          <w:rFonts w:ascii="Arial" w:hAnsi="Arial" w:cs="Arial"/>
          <w:b w:val="0"/>
        </w:rPr>
      </w:pPr>
    </w:p>
    <w:p w14:paraId="02815D89" w14:textId="77777777" w:rsidR="00CA16D7" w:rsidRDefault="00CA16D7" w:rsidP="00441B6F">
      <w:pPr>
        <w:pStyle w:val="Appendix"/>
        <w:spacing w:after="0"/>
        <w:jc w:val="both"/>
        <w:rPr>
          <w:rFonts w:ascii="Arial" w:hAnsi="Arial" w:cs="Arial"/>
          <w:b w:val="0"/>
        </w:rPr>
      </w:pPr>
    </w:p>
    <w:p w14:paraId="4B9C085A" w14:textId="098B6F0C" w:rsidR="00B01FCD" w:rsidRPr="00FB3A86" w:rsidRDefault="00B01FCD" w:rsidP="00CA16D7">
      <w:pPr>
        <w:pStyle w:val="Appendix"/>
        <w:spacing w:after="0"/>
        <w:jc w:val="both"/>
        <w:rPr>
          <w:rFonts w:ascii="Arial" w:hAnsi="Arial" w:cs="Arial"/>
          <w:b w:val="0"/>
        </w:rPr>
      </w:pPr>
    </w:p>
    <w:sectPr w:rsidR="00B01FCD" w:rsidRPr="00FB3A86" w:rsidSect="007502A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CBCFB" w14:textId="77777777" w:rsidR="00DA121B" w:rsidRDefault="00DA121B" w:rsidP="00C37E61">
      <w:r>
        <w:separator/>
      </w:r>
    </w:p>
  </w:endnote>
  <w:endnote w:type="continuationSeparator" w:id="0">
    <w:p w14:paraId="0ED9ED70" w14:textId="77777777" w:rsidR="00DA121B" w:rsidRDefault="00DA12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FD5D" w14:textId="77777777" w:rsidR="00AD6FDB" w:rsidRPr="00C37E61" w:rsidRDefault="00AD6FD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85F84" w14:textId="77777777" w:rsidR="00DA121B" w:rsidRDefault="00DA121B" w:rsidP="00C37E61">
      <w:r>
        <w:separator/>
      </w:r>
    </w:p>
  </w:footnote>
  <w:footnote w:type="continuationSeparator" w:id="0">
    <w:p w14:paraId="4B657083" w14:textId="77777777" w:rsidR="00DA121B" w:rsidRDefault="00DA12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F57E8" w14:textId="182D5B28" w:rsidR="00AD6FDB" w:rsidRDefault="0008078A">
    <w:pPr>
      <w:pStyle w:val="Header"/>
    </w:pPr>
    <w:r>
      <w:rPr>
        <w:noProof/>
      </w:rPr>
      <w:pict w14:anchorId="3F75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3878" w14:textId="63E4D9CD" w:rsidR="00AD6FDB" w:rsidRDefault="0008078A">
    <w:pPr>
      <w:pStyle w:val="Header"/>
    </w:pPr>
    <w:r>
      <w:rPr>
        <w:noProof/>
      </w:rPr>
      <w:pict w14:anchorId="1E4F5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3F22" w14:textId="10080C03" w:rsidR="00AD6FDB" w:rsidRPr="00296529" w:rsidRDefault="0008078A" w:rsidP="00296529">
    <w:pPr>
      <w:ind w:left="2160"/>
      <w:jc w:val="center"/>
      <w:rPr>
        <w:rFonts w:ascii="Times New Roman" w:eastAsia="Calibri" w:hAnsi="Times New Roman"/>
        <w:i/>
        <w:sz w:val="18"/>
        <w:szCs w:val="22"/>
      </w:rPr>
    </w:pPr>
    <w:r>
      <w:rPr>
        <w:noProof/>
      </w:rPr>
      <w:pict w14:anchorId="46539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7CD139" w14:textId="77777777" w:rsidR="00AD6FDB" w:rsidRPr="00296529" w:rsidRDefault="00AD6F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733154" w14:textId="77777777" w:rsidR="00AD6FDB" w:rsidRPr="00296529" w:rsidRDefault="00AD6F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383124" w14:textId="77777777" w:rsidR="00AD6FDB" w:rsidRPr="00296529" w:rsidRDefault="00AD6F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8C21E50" w14:textId="77777777" w:rsidR="00AD6FDB" w:rsidRDefault="00AD6F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11B856" w14:textId="77777777" w:rsidR="00AD6FDB" w:rsidRDefault="00AD6F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D9637A" w14:textId="77777777" w:rsidR="00AD6FDB" w:rsidRDefault="00AD6F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655C" w14:textId="0BD83EFD" w:rsidR="00AD6FDB" w:rsidRDefault="0008078A">
    <w:pPr>
      <w:pStyle w:val="Header"/>
    </w:pPr>
    <w:r>
      <w:rPr>
        <w:noProof/>
      </w:rPr>
      <w:pict w14:anchorId="1EC1C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7143" w14:textId="3893CF20" w:rsidR="00AD6FDB" w:rsidRDefault="0008078A">
    <w:pPr>
      <w:pStyle w:val="Header"/>
    </w:pPr>
    <w:r>
      <w:rPr>
        <w:noProof/>
      </w:rPr>
      <w:pict w14:anchorId="67DD87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96EAB" w14:textId="59C19154" w:rsidR="00AD6FDB" w:rsidRDefault="0008078A">
    <w:pPr>
      <w:pStyle w:val="Header"/>
    </w:pPr>
    <w:r>
      <w:rPr>
        <w:noProof/>
      </w:rPr>
      <w:pict w14:anchorId="2F68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34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FD035E"/>
    <w:multiLevelType w:val="hybridMultilevel"/>
    <w:tmpl w:val="9BD6D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pwefpzf5eefwrea9agvzetgp2s0rdew0rw0&quot;&gt;My EndNote Librarybn&lt;record-ids&gt;&lt;item&gt;86&lt;/item&gt;&lt;item&gt;93&lt;/item&gt;&lt;item&gt;95&lt;/item&gt;&lt;item&gt;97&lt;/item&gt;&lt;item&gt;98&lt;/item&gt;&lt;item&gt;99&lt;/item&gt;&lt;item&gt;101&lt;/item&gt;&lt;item&gt;102&lt;/item&gt;&lt;item&gt;104&lt;/item&gt;&lt;/record-ids&gt;&lt;/item&gt;&lt;/Libraries&gt;"/>
  </w:docVars>
  <w:rsids>
    <w:rsidRoot w:val="00AA6219"/>
    <w:rsid w:val="00000F8F"/>
    <w:rsid w:val="00030174"/>
    <w:rsid w:val="0004579C"/>
    <w:rsid w:val="0008078A"/>
    <w:rsid w:val="000A47FA"/>
    <w:rsid w:val="000A65D3"/>
    <w:rsid w:val="000B1E33"/>
    <w:rsid w:val="000D689F"/>
    <w:rsid w:val="000E7B7B"/>
    <w:rsid w:val="000E7D62"/>
    <w:rsid w:val="00103357"/>
    <w:rsid w:val="001133FF"/>
    <w:rsid w:val="00123C9F"/>
    <w:rsid w:val="00126190"/>
    <w:rsid w:val="00130F17"/>
    <w:rsid w:val="001320BF"/>
    <w:rsid w:val="00163BC4"/>
    <w:rsid w:val="00187DAB"/>
    <w:rsid w:val="00191062"/>
    <w:rsid w:val="00192B72"/>
    <w:rsid w:val="001A29D8"/>
    <w:rsid w:val="001A3A04"/>
    <w:rsid w:val="001A5676"/>
    <w:rsid w:val="001A5CAA"/>
    <w:rsid w:val="001B0427"/>
    <w:rsid w:val="001D3A51"/>
    <w:rsid w:val="001E10D2"/>
    <w:rsid w:val="001E200D"/>
    <w:rsid w:val="001E25B4"/>
    <w:rsid w:val="001E44FE"/>
    <w:rsid w:val="00200595"/>
    <w:rsid w:val="00204835"/>
    <w:rsid w:val="00231920"/>
    <w:rsid w:val="0023195C"/>
    <w:rsid w:val="0024282C"/>
    <w:rsid w:val="002460DC"/>
    <w:rsid w:val="00250985"/>
    <w:rsid w:val="002556F6"/>
    <w:rsid w:val="0026326E"/>
    <w:rsid w:val="00283105"/>
    <w:rsid w:val="00284C4C"/>
    <w:rsid w:val="00287E68"/>
    <w:rsid w:val="00296529"/>
    <w:rsid w:val="002B27FB"/>
    <w:rsid w:val="002B685A"/>
    <w:rsid w:val="002C57D2"/>
    <w:rsid w:val="002E0D56"/>
    <w:rsid w:val="00312B20"/>
    <w:rsid w:val="00315186"/>
    <w:rsid w:val="0033343E"/>
    <w:rsid w:val="003512C2"/>
    <w:rsid w:val="00371FB6"/>
    <w:rsid w:val="003763C1"/>
    <w:rsid w:val="00376BBE"/>
    <w:rsid w:val="0039224F"/>
    <w:rsid w:val="0039678C"/>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FA0"/>
    <w:rsid w:val="0053056E"/>
    <w:rsid w:val="00554FDA"/>
    <w:rsid w:val="005C784C"/>
    <w:rsid w:val="005D17F6"/>
    <w:rsid w:val="005E5539"/>
    <w:rsid w:val="005E5C87"/>
    <w:rsid w:val="00602BF5"/>
    <w:rsid w:val="00606948"/>
    <w:rsid w:val="00617FDD"/>
    <w:rsid w:val="00633614"/>
    <w:rsid w:val="00633F68"/>
    <w:rsid w:val="006344FF"/>
    <w:rsid w:val="00636EB2"/>
    <w:rsid w:val="006375B8"/>
    <w:rsid w:val="0066231F"/>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1C82"/>
    <w:rsid w:val="00746E59"/>
    <w:rsid w:val="007502A8"/>
    <w:rsid w:val="00754C9A"/>
    <w:rsid w:val="0075599A"/>
    <w:rsid w:val="007569CB"/>
    <w:rsid w:val="00761D52"/>
    <w:rsid w:val="0077749E"/>
    <w:rsid w:val="00777866"/>
    <w:rsid w:val="00790ADA"/>
    <w:rsid w:val="007928F9"/>
    <w:rsid w:val="007C29E0"/>
    <w:rsid w:val="007D2288"/>
    <w:rsid w:val="007E088F"/>
    <w:rsid w:val="007F7B32"/>
    <w:rsid w:val="00804BC2"/>
    <w:rsid w:val="0081431A"/>
    <w:rsid w:val="0083216F"/>
    <w:rsid w:val="00860000"/>
    <w:rsid w:val="00863BD3"/>
    <w:rsid w:val="008641ED"/>
    <w:rsid w:val="00866D66"/>
    <w:rsid w:val="008671C6"/>
    <w:rsid w:val="00875803"/>
    <w:rsid w:val="008A075F"/>
    <w:rsid w:val="008B459E"/>
    <w:rsid w:val="008E13AE"/>
    <w:rsid w:val="008E1506"/>
    <w:rsid w:val="008E710C"/>
    <w:rsid w:val="008F69D6"/>
    <w:rsid w:val="00902823"/>
    <w:rsid w:val="00915CA6"/>
    <w:rsid w:val="00927834"/>
    <w:rsid w:val="00947FA0"/>
    <w:rsid w:val="009500A6"/>
    <w:rsid w:val="00957C18"/>
    <w:rsid w:val="009659BA"/>
    <w:rsid w:val="009720FF"/>
    <w:rsid w:val="00983040"/>
    <w:rsid w:val="009B3FB9"/>
    <w:rsid w:val="009C2465"/>
    <w:rsid w:val="009D35A0"/>
    <w:rsid w:val="009D7EB7"/>
    <w:rsid w:val="009E048A"/>
    <w:rsid w:val="009E08E9"/>
    <w:rsid w:val="009E3DB9"/>
    <w:rsid w:val="009E6E35"/>
    <w:rsid w:val="009F0EDA"/>
    <w:rsid w:val="00A03B96"/>
    <w:rsid w:val="00A05B19"/>
    <w:rsid w:val="00A1134E"/>
    <w:rsid w:val="00A16C6B"/>
    <w:rsid w:val="00A24E7E"/>
    <w:rsid w:val="00A258C3"/>
    <w:rsid w:val="00A347C0"/>
    <w:rsid w:val="00A51431"/>
    <w:rsid w:val="00A539AD"/>
    <w:rsid w:val="00A94063"/>
    <w:rsid w:val="00AA6219"/>
    <w:rsid w:val="00AA74E0"/>
    <w:rsid w:val="00AB5A5D"/>
    <w:rsid w:val="00AB703F"/>
    <w:rsid w:val="00AC6BB8"/>
    <w:rsid w:val="00AC7561"/>
    <w:rsid w:val="00AD6FDB"/>
    <w:rsid w:val="00AE008F"/>
    <w:rsid w:val="00AE760B"/>
    <w:rsid w:val="00B01FCD"/>
    <w:rsid w:val="00B1776C"/>
    <w:rsid w:val="00B52583"/>
    <w:rsid w:val="00B52896"/>
    <w:rsid w:val="00B53638"/>
    <w:rsid w:val="00B84C17"/>
    <w:rsid w:val="00B95236"/>
    <w:rsid w:val="00B96BD9"/>
    <w:rsid w:val="00BA1B01"/>
    <w:rsid w:val="00BA2641"/>
    <w:rsid w:val="00BB37AA"/>
    <w:rsid w:val="00BC53A0"/>
    <w:rsid w:val="00BE62AD"/>
    <w:rsid w:val="00BF0CCB"/>
    <w:rsid w:val="00BF121F"/>
    <w:rsid w:val="00BF1F80"/>
    <w:rsid w:val="00C166EF"/>
    <w:rsid w:val="00C17EB0"/>
    <w:rsid w:val="00C27F5F"/>
    <w:rsid w:val="00C30A0F"/>
    <w:rsid w:val="00C33EC5"/>
    <w:rsid w:val="00C37E61"/>
    <w:rsid w:val="00C62E35"/>
    <w:rsid w:val="00C6318F"/>
    <w:rsid w:val="00C70F1B"/>
    <w:rsid w:val="00C71A47"/>
    <w:rsid w:val="00C7464C"/>
    <w:rsid w:val="00C85588"/>
    <w:rsid w:val="00CA16D7"/>
    <w:rsid w:val="00CD6755"/>
    <w:rsid w:val="00CD6856"/>
    <w:rsid w:val="00CE0089"/>
    <w:rsid w:val="00CE793C"/>
    <w:rsid w:val="00CF193C"/>
    <w:rsid w:val="00D173F1"/>
    <w:rsid w:val="00D74CB0"/>
    <w:rsid w:val="00D8295D"/>
    <w:rsid w:val="00DA121B"/>
    <w:rsid w:val="00DC2A65"/>
    <w:rsid w:val="00DE15F0"/>
    <w:rsid w:val="00DE5663"/>
    <w:rsid w:val="00DE78AA"/>
    <w:rsid w:val="00E053D0"/>
    <w:rsid w:val="00E07DAD"/>
    <w:rsid w:val="00E15994"/>
    <w:rsid w:val="00E3114E"/>
    <w:rsid w:val="00E31A70"/>
    <w:rsid w:val="00E35B02"/>
    <w:rsid w:val="00E66496"/>
    <w:rsid w:val="00E66B35"/>
    <w:rsid w:val="00E66E10"/>
    <w:rsid w:val="00E769F6"/>
    <w:rsid w:val="00E8407C"/>
    <w:rsid w:val="00E84F3C"/>
    <w:rsid w:val="00E876C4"/>
    <w:rsid w:val="00EA012C"/>
    <w:rsid w:val="00EC01F3"/>
    <w:rsid w:val="00EC6A55"/>
    <w:rsid w:val="00ED0288"/>
    <w:rsid w:val="00EE52CB"/>
    <w:rsid w:val="00EE7F92"/>
    <w:rsid w:val="00EF581D"/>
    <w:rsid w:val="00EF7FD8"/>
    <w:rsid w:val="00F06F59"/>
    <w:rsid w:val="00F17988"/>
    <w:rsid w:val="00F45C1D"/>
    <w:rsid w:val="00F469F0"/>
    <w:rsid w:val="00F53273"/>
    <w:rsid w:val="00F755E4"/>
    <w:rsid w:val="00F77D02"/>
    <w:rsid w:val="00FB3A86"/>
    <w:rsid w:val="00FC36C1"/>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1ECA39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A56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A56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A56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1A56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1A56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1A5676"/>
    <w:rPr>
      <w:rFonts w:asciiTheme="majorHAnsi" w:eastAsiaTheme="majorEastAsia" w:hAnsiTheme="majorHAnsi" w:cstheme="majorBidi"/>
      <w:i/>
      <w:iCs/>
      <w:color w:val="365F91" w:themeColor="accent1" w:themeShade="BF"/>
    </w:rPr>
  </w:style>
  <w:style w:type="paragraph" w:styleId="Caption">
    <w:name w:val="caption"/>
    <w:basedOn w:val="Normal"/>
    <w:next w:val="Normal"/>
    <w:link w:val="CaptionChar"/>
    <w:uiPriority w:val="35"/>
    <w:unhideWhenUsed/>
    <w:qFormat/>
    <w:rsid w:val="001A5676"/>
    <w:pPr>
      <w:spacing w:before="120" w:after="120" w:line="360" w:lineRule="auto"/>
    </w:pPr>
    <w:rPr>
      <w:rFonts w:ascii="Times New Roman" w:eastAsiaTheme="minorHAnsi" w:hAnsi="Times New Roman" w:cstheme="minorBidi"/>
      <w:iCs/>
      <w:color w:val="000000" w:themeColor="text1"/>
      <w:sz w:val="24"/>
      <w:szCs w:val="18"/>
      <w:lang w:val="en"/>
    </w:rPr>
  </w:style>
  <w:style w:type="character" w:customStyle="1" w:styleId="CaptionChar">
    <w:name w:val="Caption Char"/>
    <w:link w:val="Caption"/>
    <w:uiPriority w:val="35"/>
    <w:rsid w:val="001A5676"/>
    <w:rPr>
      <w:rFonts w:eastAsiaTheme="minorHAnsi" w:cstheme="minorBidi"/>
      <w:iCs/>
      <w:color w:val="000000" w:themeColor="text1"/>
      <w:sz w:val="24"/>
      <w:szCs w:val="18"/>
      <w:lang w:val="en"/>
    </w:rPr>
  </w:style>
  <w:style w:type="table" w:styleId="MediumShading2">
    <w:name w:val="Medium Shading 2"/>
    <w:basedOn w:val="TableNormal"/>
    <w:uiPriority w:val="64"/>
    <w:rsid w:val="001A5676"/>
    <w:rPr>
      <w:rFonts w:asciiTheme="minorHAnsi" w:eastAsiaTheme="minorHAnsi" w:hAnsiTheme="minorHAnsi" w:cstheme="minorBidi"/>
      <w:sz w:val="22"/>
      <w:szCs w:val="22"/>
      <w:lang w:val="e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ndNoteBibliographyTitle">
    <w:name w:val="EndNote Bibliography Title"/>
    <w:basedOn w:val="Normal"/>
    <w:link w:val="EndNoteBibliographyTitleCar"/>
    <w:rsid w:val="00CA16D7"/>
    <w:pPr>
      <w:jc w:val="center"/>
    </w:pPr>
    <w:rPr>
      <w:rFonts w:cs="Helvetica"/>
      <w:noProof/>
      <w:sz w:val="22"/>
    </w:rPr>
  </w:style>
  <w:style w:type="character" w:customStyle="1" w:styleId="BodyCar">
    <w:name w:val="Body Car"/>
    <w:basedOn w:val="DefaultParagraphFont"/>
    <w:link w:val="Body"/>
    <w:rsid w:val="00CA16D7"/>
    <w:rPr>
      <w:rFonts w:ascii="Helvetica" w:hAnsi="Helvetica"/>
    </w:rPr>
  </w:style>
  <w:style w:type="character" w:customStyle="1" w:styleId="EndNoteBibliographyTitleCar">
    <w:name w:val="EndNote Bibliography Title Car"/>
    <w:basedOn w:val="BodyCar"/>
    <w:link w:val="EndNoteBibliographyTitle"/>
    <w:rsid w:val="00CA16D7"/>
    <w:rPr>
      <w:rFonts w:ascii="Helvetica" w:hAnsi="Helvetica" w:cs="Helvetica"/>
      <w:noProof/>
      <w:sz w:val="22"/>
    </w:rPr>
  </w:style>
  <w:style w:type="paragraph" w:customStyle="1" w:styleId="EndNoteBibliography">
    <w:name w:val="EndNote Bibliography"/>
    <w:basedOn w:val="Normal"/>
    <w:link w:val="EndNoteBibliographyCar"/>
    <w:rsid w:val="00CA16D7"/>
    <w:pPr>
      <w:jc w:val="both"/>
    </w:pPr>
    <w:rPr>
      <w:rFonts w:cs="Helvetica"/>
      <w:noProof/>
      <w:sz w:val="22"/>
    </w:rPr>
  </w:style>
  <w:style w:type="character" w:customStyle="1" w:styleId="EndNoteBibliographyCar">
    <w:name w:val="EndNote Bibliography Car"/>
    <w:basedOn w:val="BodyCar"/>
    <w:link w:val="EndNoteBibliography"/>
    <w:rsid w:val="00CA16D7"/>
    <w:rPr>
      <w:rFonts w:ascii="Helvetica" w:hAnsi="Helvetica" w:cs="Helvetica"/>
      <w:noProof/>
      <w:sz w:val="22"/>
    </w:rPr>
  </w:style>
  <w:style w:type="paragraph" w:styleId="BodyText">
    <w:name w:val="Body Text"/>
    <w:basedOn w:val="Normal"/>
    <w:link w:val="BodyTextChar"/>
    <w:semiHidden/>
    <w:unhideWhenUsed/>
    <w:rsid w:val="00BF0CCB"/>
    <w:pPr>
      <w:spacing w:after="120"/>
    </w:pPr>
  </w:style>
  <w:style w:type="character" w:customStyle="1" w:styleId="BodyTextChar">
    <w:name w:val="Body Text Char"/>
    <w:basedOn w:val="DefaultParagraphFont"/>
    <w:link w:val="BodyText"/>
    <w:semiHidden/>
    <w:rsid w:val="00BF0CCB"/>
    <w:rPr>
      <w:rFonts w:ascii="Helvetica" w:hAnsi="Helvetica"/>
    </w:rPr>
  </w:style>
  <w:style w:type="character" w:customStyle="1" w:styleId="whitespace-normal">
    <w:name w:val="whitespace-normal"/>
    <w:basedOn w:val="DefaultParagraphFont"/>
    <w:rsid w:val="0060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672293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ESPACE-TEK\Desktop\LETTRE%20SYNTHIA\R&#233;sultats%20FRAP%20Synth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SPACE-TEK\Desktop\LETTRE%20SYNTHIA\R&#233;sultats%20DPPH%20Synth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FRAP</a:t>
            </a:r>
          </a:p>
          <a:p>
            <a:pPr>
              <a:defRPr sz="1400" b="0" i="0" u="none" strike="noStrike" kern="1200" spc="0" baseline="0">
                <a:solidFill>
                  <a:schemeClr val="tx1">
                    <a:lumMod val="65000"/>
                    <a:lumOff val="35000"/>
                  </a:schemeClr>
                </a:solidFill>
                <a:latin typeface="+mn-lt"/>
                <a:ea typeface="+mn-ea"/>
                <a:cs typeface="+mn-cs"/>
              </a:defRPr>
            </a:pPr>
            <a:endParaRPr lang="fr-FR"/>
          </a:p>
        </c:rich>
      </c:tx>
      <c:overlay val="0"/>
      <c:spPr>
        <a:noFill/>
        <a:ln>
          <a:noFill/>
        </a:ln>
        <a:effectLst/>
      </c:spPr>
    </c:title>
    <c:autoTitleDeleted val="0"/>
    <c:plotArea>
      <c:layout/>
      <c:scatterChart>
        <c:scatterStyle val="smoothMarker"/>
        <c:varyColors val="0"/>
        <c:ser>
          <c:idx val="0"/>
          <c:order val="0"/>
          <c:tx>
            <c:strRef>
              <c:f>Feuil1!$H$5</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Feuil1!$I$5:$P$5</c:f>
              <c:numCache>
                <c:formatCode>General</c:formatCode>
                <c:ptCount val="8"/>
                <c:pt idx="1">
                  <c:v>0</c:v>
                </c:pt>
                <c:pt idx="2">
                  <c:v>14.76</c:v>
                </c:pt>
                <c:pt idx="3">
                  <c:v>18.09</c:v>
                </c:pt>
                <c:pt idx="4">
                  <c:v>25.36</c:v>
                </c:pt>
                <c:pt idx="5">
                  <c:v>29.09</c:v>
                </c:pt>
                <c:pt idx="6">
                  <c:v>33.96</c:v>
                </c:pt>
                <c:pt idx="7">
                  <c:v>40.83</c:v>
                </c:pt>
              </c:numCache>
            </c:numRef>
          </c:yVal>
          <c:smooth val="1"/>
          <c:extLst>
            <c:ext xmlns:c16="http://schemas.microsoft.com/office/drawing/2014/chart" uri="{C3380CC4-5D6E-409C-BE32-E72D297353CC}">
              <c16:uniqueId val="{00000000-EEFD-4384-A5AE-4A0EBAF4B463}"/>
            </c:ext>
          </c:extLst>
        </c:ser>
        <c:ser>
          <c:idx val="1"/>
          <c:order val="1"/>
          <c:tx>
            <c:strRef>
              <c:f>Feuil1!$H$6</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Feuil1!$I$6:$P$6</c:f>
              <c:numCache>
                <c:formatCode>General</c:formatCode>
                <c:ptCount val="8"/>
                <c:pt idx="1">
                  <c:v>0</c:v>
                </c:pt>
                <c:pt idx="2">
                  <c:v>10.37</c:v>
                </c:pt>
                <c:pt idx="3">
                  <c:v>14.45</c:v>
                </c:pt>
                <c:pt idx="4">
                  <c:v>25.95</c:v>
                </c:pt>
                <c:pt idx="5">
                  <c:v>29.9</c:v>
                </c:pt>
                <c:pt idx="6">
                  <c:v>35.44</c:v>
                </c:pt>
                <c:pt idx="7">
                  <c:v>40.71</c:v>
                </c:pt>
              </c:numCache>
            </c:numRef>
          </c:yVal>
          <c:smooth val="1"/>
          <c:extLst>
            <c:ext xmlns:c16="http://schemas.microsoft.com/office/drawing/2014/chart" uri="{C3380CC4-5D6E-409C-BE32-E72D297353CC}">
              <c16:uniqueId val="{00000001-EEFD-4384-A5AE-4A0EBAF4B463}"/>
            </c:ext>
          </c:extLst>
        </c:ser>
        <c:ser>
          <c:idx val="2"/>
          <c:order val="2"/>
          <c:tx>
            <c:strRef>
              <c:f>Feuil1!$H$7</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Feuil1!$I$7:$P$7</c:f>
              <c:numCache>
                <c:formatCode>General</c:formatCode>
                <c:ptCount val="8"/>
                <c:pt idx="1">
                  <c:v>0</c:v>
                </c:pt>
                <c:pt idx="2">
                  <c:v>15.09</c:v>
                </c:pt>
                <c:pt idx="3">
                  <c:v>28.77</c:v>
                </c:pt>
                <c:pt idx="4">
                  <c:v>43.81</c:v>
                </c:pt>
                <c:pt idx="5">
                  <c:v>54.68</c:v>
                </c:pt>
                <c:pt idx="6">
                  <c:v>61.23</c:v>
                </c:pt>
                <c:pt idx="7">
                  <c:v>64.099999999999994</c:v>
                </c:pt>
              </c:numCache>
            </c:numRef>
          </c:yVal>
          <c:smooth val="1"/>
          <c:extLst>
            <c:ext xmlns:c16="http://schemas.microsoft.com/office/drawing/2014/chart" uri="{C3380CC4-5D6E-409C-BE32-E72D297353CC}">
              <c16:uniqueId val="{00000002-EEFD-4384-A5AE-4A0EBAF4B463}"/>
            </c:ext>
          </c:extLst>
        </c:ser>
        <c:ser>
          <c:idx val="3"/>
          <c:order val="3"/>
          <c:tx>
            <c:strRef>
              <c:f>Feuil1!$H$8</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Feuil1!$I$8:$P$8</c:f>
              <c:numCache>
                <c:formatCode>General</c:formatCode>
                <c:ptCount val="8"/>
                <c:pt idx="1">
                  <c:v>0</c:v>
                </c:pt>
                <c:pt idx="2">
                  <c:v>13.75</c:v>
                </c:pt>
                <c:pt idx="3">
                  <c:v>24.5</c:v>
                </c:pt>
                <c:pt idx="4">
                  <c:v>38.619999999999997</c:v>
                </c:pt>
                <c:pt idx="5">
                  <c:v>48.9</c:v>
                </c:pt>
                <c:pt idx="6">
                  <c:v>58.24</c:v>
                </c:pt>
                <c:pt idx="7">
                  <c:v>60.55</c:v>
                </c:pt>
              </c:numCache>
            </c:numRef>
          </c:yVal>
          <c:smooth val="1"/>
          <c:extLst>
            <c:ext xmlns:c16="http://schemas.microsoft.com/office/drawing/2014/chart" uri="{C3380CC4-5D6E-409C-BE32-E72D297353CC}">
              <c16:uniqueId val="{00000003-EEFD-4384-A5AE-4A0EBAF4B463}"/>
            </c:ext>
          </c:extLst>
        </c:ser>
        <c:ser>
          <c:idx val="4"/>
          <c:order val="4"/>
          <c:tx>
            <c:strRef>
              <c:f>Feuil1!$H$9</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Feuil1!$I$4:$P$4</c:f>
              <c:numCache>
                <c:formatCode>General</c:formatCode>
                <c:ptCount val="8"/>
                <c:pt idx="1">
                  <c:v>0</c:v>
                </c:pt>
                <c:pt idx="2">
                  <c:v>31.25</c:v>
                </c:pt>
                <c:pt idx="3">
                  <c:v>62.5</c:v>
                </c:pt>
                <c:pt idx="4">
                  <c:v>125</c:v>
                </c:pt>
                <c:pt idx="5">
                  <c:v>250</c:v>
                </c:pt>
                <c:pt idx="6">
                  <c:v>500</c:v>
                </c:pt>
                <c:pt idx="7">
                  <c:v>1000</c:v>
                </c:pt>
              </c:numCache>
            </c:numRef>
          </c:xVal>
          <c:yVal>
            <c:numRef>
              <c:f>Feuil1!$I$9:$P$9</c:f>
              <c:numCache>
                <c:formatCode>General</c:formatCode>
                <c:ptCount val="8"/>
                <c:pt idx="1">
                  <c:v>0</c:v>
                </c:pt>
                <c:pt idx="2">
                  <c:v>29.92</c:v>
                </c:pt>
                <c:pt idx="3">
                  <c:v>43.74</c:v>
                </c:pt>
                <c:pt idx="4">
                  <c:v>51.62</c:v>
                </c:pt>
                <c:pt idx="5">
                  <c:v>60.17</c:v>
                </c:pt>
                <c:pt idx="6">
                  <c:v>65.92</c:v>
                </c:pt>
                <c:pt idx="7">
                  <c:v>68.650000000000006</c:v>
                </c:pt>
              </c:numCache>
            </c:numRef>
          </c:yVal>
          <c:smooth val="1"/>
          <c:extLst>
            <c:ext xmlns:c16="http://schemas.microsoft.com/office/drawing/2014/chart" uri="{C3380CC4-5D6E-409C-BE32-E72D297353CC}">
              <c16:uniqueId val="{00000004-EEFD-4384-A5AE-4A0EBAF4B463}"/>
            </c:ext>
          </c:extLst>
        </c:ser>
        <c:dLbls>
          <c:showLegendKey val="0"/>
          <c:showVal val="0"/>
          <c:showCatName val="0"/>
          <c:showSerName val="0"/>
          <c:showPercent val="0"/>
          <c:showBubbleSize val="0"/>
        </c:dLbls>
        <c:axId val="249059672"/>
        <c:axId val="249059280"/>
      </c:scatterChart>
      <c:valAx>
        <c:axId val="249059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Concentration in µg/mL</a:t>
                </a:r>
                <a:endParaRPr lang="fr-FR" sz="1200">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280"/>
        <c:crosses val="autoZero"/>
        <c:crossBetween val="midCat"/>
      </c:valAx>
      <c:valAx>
        <c:axId val="24905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i="0" baseline="0">
                    <a:solidFill>
                      <a:schemeClr val="tx1"/>
                    </a:solidFill>
                    <a:effectLst/>
                    <a:latin typeface="Times New Roman" panose="02020603050405020304" pitchFamily="18" charset="0"/>
                    <a:cs typeface="Times New Roman" panose="02020603050405020304" pitchFamily="18" charset="0"/>
                  </a:rPr>
                  <a:t>Percentage of inhibition (%)</a:t>
                </a:r>
                <a:endParaRPr lang="fr-FR" sz="1200" b="1">
                  <a:solidFill>
                    <a:schemeClr val="tx1"/>
                  </a:solidFill>
                  <a:effectLst/>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96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
              <a:t>DPPH</a:t>
            </a:r>
          </a:p>
        </c:rich>
      </c:tx>
      <c:overlay val="0"/>
      <c:spPr>
        <a:noFill/>
        <a:ln>
          <a:noFill/>
        </a:ln>
        <a:effectLst/>
      </c:spPr>
    </c:title>
    <c:autoTitleDeleted val="0"/>
    <c:plotArea>
      <c:layout>
        <c:manualLayout>
          <c:layoutTarget val="inner"/>
          <c:xMode val="edge"/>
          <c:yMode val="edge"/>
          <c:x val="0.14308333333333334"/>
          <c:y val="5.3912219305920092E-2"/>
          <c:w val="0.72127712160979873"/>
          <c:h val="0.71590259550889468"/>
        </c:manualLayout>
      </c:layout>
      <c:scatterChart>
        <c:scatterStyle val="smoothMarker"/>
        <c:varyColors val="0"/>
        <c:ser>
          <c:idx val="0"/>
          <c:order val="0"/>
          <c:tx>
            <c:strRef>
              <c:f>Feuil1!$J$6</c:f>
              <c:strCache>
                <c:ptCount val="1"/>
                <c:pt idx="0">
                  <c:v>Dec ED</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Feuil1!$K$6:$R$6</c:f>
              <c:numCache>
                <c:formatCode>General</c:formatCode>
                <c:ptCount val="8"/>
                <c:pt idx="1">
                  <c:v>0</c:v>
                </c:pt>
                <c:pt idx="2">
                  <c:v>4.79</c:v>
                </c:pt>
                <c:pt idx="3">
                  <c:v>8.02</c:v>
                </c:pt>
                <c:pt idx="4">
                  <c:v>18.16</c:v>
                </c:pt>
                <c:pt idx="5">
                  <c:v>42.14</c:v>
                </c:pt>
                <c:pt idx="6">
                  <c:v>51.6</c:v>
                </c:pt>
                <c:pt idx="7">
                  <c:v>58.1</c:v>
                </c:pt>
              </c:numCache>
            </c:numRef>
          </c:yVal>
          <c:smooth val="1"/>
          <c:extLst>
            <c:ext xmlns:c16="http://schemas.microsoft.com/office/drawing/2014/chart" uri="{C3380CC4-5D6E-409C-BE32-E72D297353CC}">
              <c16:uniqueId val="{00000000-2B88-415D-8A49-3598BE1F878B}"/>
            </c:ext>
          </c:extLst>
        </c:ser>
        <c:ser>
          <c:idx val="1"/>
          <c:order val="1"/>
          <c:tx>
            <c:strRef>
              <c:f>Feuil1!$J$7</c:f>
              <c:strCache>
                <c:ptCount val="1"/>
                <c:pt idx="0">
                  <c:v>Mac ED</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Feuil1!$K$7:$R$7</c:f>
              <c:numCache>
                <c:formatCode>General</c:formatCode>
                <c:ptCount val="8"/>
                <c:pt idx="1">
                  <c:v>0</c:v>
                </c:pt>
                <c:pt idx="2">
                  <c:v>1.37</c:v>
                </c:pt>
                <c:pt idx="3">
                  <c:v>6.13</c:v>
                </c:pt>
                <c:pt idx="4">
                  <c:v>12.69</c:v>
                </c:pt>
                <c:pt idx="5">
                  <c:v>25.23</c:v>
                </c:pt>
                <c:pt idx="6">
                  <c:v>36.340000000000003</c:v>
                </c:pt>
                <c:pt idx="7">
                  <c:v>45.16</c:v>
                </c:pt>
              </c:numCache>
            </c:numRef>
          </c:yVal>
          <c:smooth val="1"/>
          <c:extLst>
            <c:ext xmlns:c16="http://schemas.microsoft.com/office/drawing/2014/chart" uri="{C3380CC4-5D6E-409C-BE32-E72D297353CC}">
              <c16:uniqueId val="{00000001-2B88-415D-8A49-3598BE1F878B}"/>
            </c:ext>
          </c:extLst>
        </c:ser>
        <c:ser>
          <c:idx val="2"/>
          <c:order val="2"/>
          <c:tx>
            <c:strRef>
              <c:f>Feuil1!$J$8</c:f>
              <c:strCache>
                <c:ptCount val="1"/>
                <c:pt idx="0">
                  <c:v>ED + AC</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Feuil1!$K$8:$R$8</c:f>
              <c:numCache>
                <c:formatCode>General</c:formatCode>
                <c:ptCount val="8"/>
                <c:pt idx="1">
                  <c:v>0</c:v>
                </c:pt>
                <c:pt idx="2">
                  <c:v>21.41</c:v>
                </c:pt>
                <c:pt idx="3">
                  <c:v>28.82</c:v>
                </c:pt>
                <c:pt idx="4">
                  <c:v>35.57</c:v>
                </c:pt>
                <c:pt idx="5">
                  <c:v>50.02</c:v>
                </c:pt>
                <c:pt idx="6">
                  <c:v>58.64</c:v>
                </c:pt>
                <c:pt idx="7">
                  <c:v>60.66</c:v>
                </c:pt>
              </c:numCache>
            </c:numRef>
          </c:yVal>
          <c:smooth val="1"/>
          <c:extLst>
            <c:ext xmlns:c16="http://schemas.microsoft.com/office/drawing/2014/chart" uri="{C3380CC4-5D6E-409C-BE32-E72D297353CC}">
              <c16:uniqueId val="{00000002-2B88-415D-8A49-3598BE1F878B}"/>
            </c:ext>
          </c:extLst>
        </c:ser>
        <c:ser>
          <c:idx val="3"/>
          <c:order val="3"/>
          <c:tx>
            <c:strRef>
              <c:f>Feuil1!$J$9</c:f>
              <c:strCache>
                <c:ptCount val="1"/>
                <c:pt idx="0">
                  <c:v>BHT</c:v>
                </c:pt>
              </c:strCache>
            </c:strRef>
          </c:tx>
          <c:spPr>
            <a:ln w="19050"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Feuil1!$K$9:$R$9</c:f>
              <c:numCache>
                <c:formatCode>General</c:formatCode>
                <c:ptCount val="8"/>
                <c:pt idx="1">
                  <c:v>0</c:v>
                </c:pt>
                <c:pt idx="2">
                  <c:v>1.6</c:v>
                </c:pt>
                <c:pt idx="3">
                  <c:v>6.14</c:v>
                </c:pt>
                <c:pt idx="4">
                  <c:v>15.02</c:v>
                </c:pt>
                <c:pt idx="5">
                  <c:v>38.590000000000003</c:v>
                </c:pt>
                <c:pt idx="6">
                  <c:v>45.03</c:v>
                </c:pt>
                <c:pt idx="7">
                  <c:v>53.59</c:v>
                </c:pt>
              </c:numCache>
            </c:numRef>
          </c:yVal>
          <c:smooth val="1"/>
          <c:extLst>
            <c:ext xmlns:c16="http://schemas.microsoft.com/office/drawing/2014/chart" uri="{C3380CC4-5D6E-409C-BE32-E72D297353CC}">
              <c16:uniqueId val="{00000003-2B88-415D-8A49-3598BE1F878B}"/>
            </c:ext>
          </c:extLst>
        </c:ser>
        <c:ser>
          <c:idx val="4"/>
          <c:order val="4"/>
          <c:tx>
            <c:strRef>
              <c:f>Feuil1!$J$10</c:f>
              <c:strCache>
                <c:ptCount val="1"/>
                <c:pt idx="0">
                  <c:v>Vit C</c:v>
                </c:pt>
              </c:strCache>
            </c:strRef>
          </c:tx>
          <c:spPr>
            <a:ln w="19050"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xVal>
            <c:numRef>
              <c:f>Feuil1!$K$5:$R$5</c:f>
              <c:numCache>
                <c:formatCode>General</c:formatCode>
                <c:ptCount val="8"/>
                <c:pt idx="1">
                  <c:v>0</c:v>
                </c:pt>
                <c:pt idx="2">
                  <c:v>31.25</c:v>
                </c:pt>
                <c:pt idx="3">
                  <c:v>62.5</c:v>
                </c:pt>
                <c:pt idx="4">
                  <c:v>125</c:v>
                </c:pt>
                <c:pt idx="5">
                  <c:v>250</c:v>
                </c:pt>
                <c:pt idx="6">
                  <c:v>500</c:v>
                </c:pt>
                <c:pt idx="7">
                  <c:v>1000</c:v>
                </c:pt>
              </c:numCache>
            </c:numRef>
          </c:xVal>
          <c:yVal>
            <c:numRef>
              <c:f>Feuil1!$K$10:$R$10</c:f>
              <c:numCache>
                <c:formatCode>General</c:formatCode>
                <c:ptCount val="8"/>
                <c:pt idx="1">
                  <c:v>0</c:v>
                </c:pt>
                <c:pt idx="2">
                  <c:v>57.47</c:v>
                </c:pt>
                <c:pt idx="3">
                  <c:v>59.94</c:v>
                </c:pt>
                <c:pt idx="4">
                  <c:v>60.98</c:v>
                </c:pt>
                <c:pt idx="5">
                  <c:v>62.48</c:v>
                </c:pt>
                <c:pt idx="6">
                  <c:v>62.78</c:v>
                </c:pt>
                <c:pt idx="7">
                  <c:v>64.41</c:v>
                </c:pt>
              </c:numCache>
            </c:numRef>
          </c:yVal>
          <c:smooth val="1"/>
          <c:extLst>
            <c:ext xmlns:c16="http://schemas.microsoft.com/office/drawing/2014/chart" uri="{C3380CC4-5D6E-409C-BE32-E72D297353CC}">
              <c16:uniqueId val="{00000004-2B88-415D-8A49-3598BE1F878B}"/>
            </c:ext>
          </c:extLst>
        </c:ser>
        <c:dLbls>
          <c:showLegendKey val="0"/>
          <c:showVal val="0"/>
          <c:showCatName val="0"/>
          <c:showSerName val="0"/>
          <c:showPercent val="0"/>
          <c:showBubbleSize val="0"/>
        </c:dLbls>
        <c:axId val="249056144"/>
        <c:axId val="425491832"/>
      </c:scatterChart>
      <c:valAx>
        <c:axId val="249056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Concentration </a:t>
                </a:r>
                <a:r>
                  <a:rPr lang="en" sz="1200" b="1" baseline="0">
                    <a:solidFill>
                      <a:schemeClr val="tx1"/>
                    </a:solidFill>
                    <a:latin typeface="Times New Roman" panose="02020603050405020304" pitchFamily="18" charset="0"/>
                    <a:cs typeface="Times New Roman" panose="02020603050405020304" pitchFamily="18" charset="0"/>
                  </a:rPr>
                  <a:t>in µg/mL</a:t>
                </a:r>
                <a:endParaRPr lang="fr-FR" sz="12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31791513560804902"/>
              <c:y val="0.8786803732866724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5491832"/>
        <c:crosses val="autoZero"/>
        <c:crossBetween val="midCat"/>
      </c:valAx>
      <c:valAx>
        <c:axId val="42549183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 sz="1200" b="1">
                    <a:solidFill>
                      <a:schemeClr val="tx1"/>
                    </a:solidFill>
                    <a:latin typeface="Times New Roman" panose="02020603050405020304" pitchFamily="18" charset="0"/>
                    <a:cs typeface="Times New Roman" panose="02020603050405020304" pitchFamily="18" charset="0"/>
                  </a:rPr>
                  <a:t>Percentage of inhibition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4905614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114E-40E1-4DB2-90E6-BC2A835D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15</Pages>
  <Words>6464</Words>
  <Characters>75148</Characters>
  <Application>Microsoft Office Word</Application>
  <DocSecurity>0</DocSecurity>
  <Lines>626</Lines>
  <Paragraphs>162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81450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21</cp:revision>
  <cp:lastPrinted>2026-05-05T09:08:00Z</cp:lastPrinted>
  <dcterms:created xsi:type="dcterms:W3CDTF">2026-05-01T18:32:00Z</dcterms:created>
  <dcterms:modified xsi:type="dcterms:W3CDTF">2026-05-06T07:11:00Z</dcterms:modified>
</cp:coreProperties>
</file>