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1FBD8" w14:textId="77777777" w:rsidR="00311459" w:rsidRPr="00275945" w:rsidRDefault="00311459" w:rsidP="00D2261F">
      <w:pPr>
        <w:jc w:val="both"/>
        <w:rPr>
          <w:b/>
        </w:rPr>
      </w:pPr>
      <w:r w:rsidRPr="00275945">
        <w:rPr>
          <w:b/>
        </w:rPr>
        <w:t>Evaluation of Fructose, Zinc, Citric Acid, and Sperm Quality in Infertile Male Subjects Attending Fertility Clinic in Lagos</w:t>
      </w:r>
      <w:r w:rsidR="00D2261F" w:rsidRPr="00275945">
        <w:rPr>
          <w:b/>
        </w:rPr>
        <w:t xml:space="preserve"> </w:t>
      </w:r>
      <w:r w:rsidRPr="00275945">
        <w:rPr>
          <w:b/>
        </w:rPr>
        <w:t>Metropolis</w:t>
      </w:r>
    </w:p>
    <w:p w14:paraId="2CD755B3" w14:textId="77777777" w:rsidR="00135812" w:rsidRPr="00275945" w:rsidRDefault="00135812" w:rsidP="006520BB">
      <w:pPr>
        <w:spacing w:line="276" w:lineRule="auto"/>
        <w:jc w:val="both"/>
        <w:rPr>
          <w:bCs/>
        </w:rPr>
      </w:pPr>
    </w:p>
    <w:p w14:paraId="057E49FE" w14:textId="77777777" w:rsidR="00C01614" w:rsidRPr="00275945" w:rsidRDefault="00C01614" w:rsidP="00311459">
      <w:pPr>
        <w:pStyle w:val="NormalWeb"/>
        <w:jc w:val="both"/>
        <w:rPr>
          <w:b/>
        </w:rPr>
      </w:pPr>
    </w:p>
    <w:p w14:paraId="1FFA0413" w14:textId="77777777" w:rsidR="00197F2A" w:rsidRDefault="004D02F4" w:rsidP="0053444F">
      <w:pPr>
        <w:pStyle w:val="NormalWeb"/>
        <w:jc w:val="both"/>
        <w:rPr>
          <w:b/>
        </w:rPr>
      </w:pPr>
      <w:r w:rsidRPr="00275945">
        <w:rPr>
          <w:b/>
        </w:rPr>
        <w:t>ABSTRACT</w:t>
      </w:r>
    </w:p>
    <w:p w14:paraId="2855E797" w14:textId="77777777" w:rsidR="00197F2A" w:rsidRDefault="00CA748F" w:rsidP="00197F2A">
      <w:pPr>
        <w:pStyle w:val="NormalWeb"/>
        <w:jc w:val="both"/>
      </w:pPr>
      <w:r w:rsidRPr="00275945">
        <w:rPr>
          <w:b/>
        </w:rPr>
        <w:t>Background:</w:t>
      </w:r>
      <w:r w:rsidRPr="00275945">
        <w:t xml:space="preserve"> </w:t>
      </w:r>
      <w:r w:rsidR="003069BF" w:rsidRPr="00275945">
        <w:t>Male infertility remains a significant reproductive health challenge. Seminal plasma biochemical markers such as fructose, zinc, and citric acid play essential roles in sperm metabolism, motility, and overall reproductive function. Their evaluation alongside sperm quality parameters may provide valuable clinical insight into male infertility.</w:t>
      </w:r>
    </w:p>
    <w:p w14:paraId="49B26006" w14:textId="1DCEF9E7" w:rsidR="00275A5A" w:rsidRPr="00197F2A" w:rsidRDefault="00CA748F" w:rsidP="00197F2A">
      <w:pPr>
        <w:pStyle w:val="NormalWeb"/>
        <w:jc w:val="both"/>
        <w:rPr>
          <w:b/>
        </w:rPr>
      </w:pPr>
      <w:r w:rsidRPr="00275945">
        <w:rPr>
          <w:b/>
        </w:rPr>
        <w:t>Aim:</w:t>
      </w:r>
      <w:r w:rsidR="003069BF" w:rsidRPr="00275945">
        <w:t xml:space="preserve"> This study aimed to evaluate seminal fructose, zinc, and citric acid levels and their relationship with sperm quality parameters among infertile male subjects attending fertility clinics in Lagos Metropolis.</w:t>
      </w:r>
    </w:p>
    <w:p w14:paraId="28CFC21A" w14:textId="66D40622" w:rsidR="00275A5A" w:rsidRPr="00275945" w:rsidRDefault="00CA748F" w:rsidP="00F937D5">
      <w:pPr>
        <w:spacing w:line="480" w:lineRule="auto"/>
        <w:jc w:val="both"/>
      </w:pPr>
      <w:r w:rsidRPr="00275945">
        <w:rPr>
          <w:b/>
        </w:rPr>
        <w:t>Methods:</w:t>
      </w:r>
      <w:r w:rsidRPr="00275945">
        <w:t xml:space="preserve"> A total of one hundred and fifty (150) male volunteers, aged between 25-45 years and comprising of one hundred infertile men as test subjects an</w:t>
      </w:r>
      <w:r w:rsidR="00834F6F" w:rsidRPr="00275945">
        <w:t xml:space="preserve">d fifty fertile men as </w:t>
      </w:r>
      <w:r w:rsidRPr="00275945">
        <w:t>control gave consent to participate in the study. Semen samples were collected in sterile plastic containers by masturbation after a minimum of 3 days of sexual abstinence. Semen analysis of all the samples was performed using Computer Assisted Semen Analyser (CASA).</w:t>
      </w:r>
      <w:r w:rsidRPr="00275945">
        <w:rPr>
          <w:rStyle w:val="Heading2Char"/>
          <w:rFonts w:ascii="Times New Roman" w:hAnsi="Times New Roman"/>
          <w:b/>
          <w:color w:val="auto"/>
          <w:sz w:val="24"/>
          <w:szCs w:val="24"/>
        </w:rPr>
        <w:t xml:space="preserve"> </w:t>
      </w:r>
      <w:r w:rsidRPr="00275945">
        <w:rPr>
          <w:rStyle w:val="Heading2Char"/>
          <w:rFonts w:ascii="Times New Roman" w:hAnsi="Times New Roman"/>
          <w:color w:val="auto"/>
          <w:sz w:val="24"/>
          <w:szCs w:val="24"/>
        </w:rPr>
        <w:t xml:space="preserve">Seminal </w:t>
      </w:r>
      <w:r w:rsidRPr="00275945">
        <w:rPr>
          <w:rStyle w:val="Strong"/>
          <w:b w:val="0"/>
        </w:rPr>
        <w:t>fructose</w:t>
      </w:r>
      <w:r w:rsidRPr="00275945">
        <w:rPr>
          <w:b/>
        </w:rPr>
        <w:t xml:space="preserve"> </w:t>
      </w:r>
      <w:r w:rsidRPr="00275945">
        <w:t xml:space="preserve">was measured using the resorcinol method, </w:t>
      </w:r>
      <w:r w:rsidRPr="00275945">
        <w:rPr>
          <w:rStyle w:val="Strong"/>
          <w:b w:val="0"/>
        </w:rPr>
        <w:t>zinc</w:t>
      </w:r>
      <w:r w:rsidRPr="00275945">
        <w:t xml:space="preserve"> was quantified by colorimetric method, and </w:t>
      </w:r>
      <w:r w:rsidRPr="00275945">
        <w:rPr>
          <w:rStyle w:val="Strong"/>
          <w:b w:val="0"/>
        </w:rPr>
        <w:t>citric acid</w:t>
      </w:r>
      <w:r w:rsidRPr="00275945">
        <w:t xml:space="preserve"> was assessed using enzymatic titration methods.</w:t>
      </w:r>
      <w:r w:rsidR="003069BF" w:rsidRPr="00275945">
        <w:t xml:space="preserve"> Data were analyzed using </w:t>
      </w:r>
      <w:r w:rsidR="003069BF" w:rsidRPr="00275945">
        <w:rPr>
          <w:rStyle w:val="Strong"/>
          <w:b w:val="0"/>
        </w:rPr>
        <w:t>Statistical Package for the Social Sciences (SPSS) version</w:t>
      </w:r>
      <w:r w:rsidR="003069BF" w:rsidRPr="00275945">
        <w:rPr>
          <w:rStyle w:val="Strong"/>
        </w:rPr>
        <w:t xml:space="preserve"> </w:t>
      </w:r>
      <w:r w:rsidR="003069BF" w:rsidRPr="00275945">
        <w:rPr>
          <w:rStyle w:val="Strong"/>
          <w:b w:val="0"/>
        </w:rPr>
        <w:t>26.0</w:t>
      </w:r>
      <w:r w:rsidR="003069BF" w:rsidRPr="00275945">
        <w:t xml:space="preserve">. </w:t>
      </w:r>
      <w:r w:rsidRPr="00275945">
        <w:rPr>
          <w:b/>
        </w:rPr>
        <w:t xml:space="preserve">Result: </w:t>
      </w:r>
      <w:r w:rsidR="00275A5A" w:rsidRPr="00275945">
        <w:t>Comparative analysis between infertile men and fertile controls revealed notable differences in seminal biochemical markers and sperm quality parameters. Mean seminal fructose level was lower in infertile men compared with fertile controls (7.14 ± 3.46 vs 8.79 ± 0.48 µmol/mL). Similarly, seminal zinc concentration was markedly reduced in infertile subjects (0.44 ± 0.13 vs 2.99 ± 0.46 µmol/mL), as well as citric acid level (12.71 ± 4.19 vs 58.26 ± 5.27 mmol/L). Sperm quality parameters also differed between the groups. Infertile men had lower sperm counts (64.84 ± 37.94 vs 101.80 ± 21.89 × 10</w:t>
      </w:r>
      <w:r w:rsidR="00275A5A" w:rsidRPr="00275945">
        <w:rPr>
          <w:rFonts w:eastAsia="MS Mincho"/>
        </w:rPr>
        <w:t>⁶</w:t>
      </w:r>
      <w:r w:rsidR="00275A5A" w:rsidRPr="00275945">
        <w:t xml:space="preserve">/mL) </w:t>
      </w:r>
      <w:r w:rsidR="00275A5A" w:rsidRPr="00275945">
        <w:lastRenderedPageBreak/>
        <w:t>and reduced sperm motility (29.20 ± 13.76 vs 40.50 ± 3.23%) compared with fertile controls. The reductions in seminal fructose, zinc, and citric acid concentrations observed in infertile men were statistically significant (</w:t>
      </w:r>
      <w:r w:rsidR="00275A5A" w:rsidRPr="00275945">
        <w:rPr>
          <w:rStyle w:val="Emphasis"/>
        </w:rPr>
        <w:t xml:space="preserve">P </w:t>
      </w:r>
      <w:r w:rsidR="00275A5A" w:rsidRPr="00275945">
        <w:t>&lt; .05).</w:t>
      </w:r>
      <w:r w:rsidR="00E654DD">
        <w:t xml:space="preserve"> </w:t>
      </w:r>
      <w:r w:rsidR="00275A5A" w:rsidRPr="00275945">
        <w:t>Correlation analysis demonstrated that seminal fructose showed weak positive correlations with all measured sperm quality parameters. Seminal zinc exhibited weak negative correlations with sperm count and sperm motility. In contrast, citric acid showed a positive correlation with zinc levels, while displaying weak negative correlations with both sperm count and sperm motility.</w:t>
      </w:r>
    </w:p>
    <w:p w14:paraId="45561ACA" w14:textId="77777777" w:rsidR="00F576D4" w:rsidRDefault="00CA748F" w:rsidP="00F576D4">
      <w:pPr>
        <w:spacing w:line="480" w:lineRule="auto"/>
        <w:jc w:val="both"/>
      </w:pPr>
      <w:r w:rsidRPr="00275945">
        <w:rPr>
          <w:b/>
        </w:rPr>
        <w:t>Conclusion:</w:t>
      </w:r>
      <w:r w:rsidR="00F32189" w:rsidRPr="00275945">
        <w:t xml:space="preserve"> This study demonstrates that seminal plasma fructose, zinc, and citric acid levels are significantly reduced in infertile men. These findings underscore the diagnostic value of seminal biochemical markers. Incorporating biochemical assessment of seminal plasma alongside conventional semen analysis may enhance the accuracy and completeness of male infertility evaluation.</w:t>
      </w:r>
    </w:p>
    <w:p w14:paraId="097AFA58" w14:textId="77777777" w:rsidR="00E654DD" w:rsidRDefault="00E654DD" w:rsidP="00F576D4">
      <w:pPr>
        <w:spacing w:line="480" w:lineRule="auto"/>
        <w:jc w:val="both"/>
      </w:pPr>
    </w:p>
    <w:p w14:paraId="0E2F3E64" w14:textId="23FC735D" w:rsidR="00E654DD" w:rsidRPr="00F937D5" w:rsidRDefault="00E654DD" w:rsidP="00F576D4">
      <w:pPr>
        <w:spacing w:line="480" w:lineRule="auto"/>
        <w:jc w:val="both"/>
        <w:rPr>
          <w:i/>
          <w:iCs/>
        </w:rPr>
      </w:pPr>
      <w:r w:rsidRPr="00F937D5">
        <w:rPr>
          <w:highlight w:val="yellow"/>
        </w:rPr>
        <w:t xml:space="preserve">Keywords: </w:t>
      </w:r>
      <w:r w:rsidRPr="00F937D5">
        <w:rPr>
          <w:i/>
          <w:iCs/>
          <w:highlight w:val="yellow"/>
        </w:rPr>
        <w:t>Male infertility, Fertility clinic, Sperm quality, Seminal fructose</w:t>
      </w:r>
      <w:r w:rsidRPr="00F937D5">
        <w:rPr>
          <w:b/>
          <w:highlight w:val="yellow"/>
        </w:rPr>
        <w:t xml:space="preserve">, </w:t>
      </w:r>
      <w:r w:rsidRPr="00F937D5">
        <w:rPr>
          <w:bCs/>
          <w:i/>
          <w:iCs/>
          <w:highlight w:val="yellow"/>
        </w:rPr>
        <w:t>Seminal zinc</w:t>
      </w:r>
      <w:r w:rsidRPr="00F937D5">
        <w:rPr>
          <w:b/>
          <w:highlight w:val="yellow"/>
        </w:rPr>
        <w:t xml:space="preserve">, </w:t>
      </w:r>
      <w:r w:rsidRPr="00F937D5">
        <w:rPr>
          <w:i/>
          <w:iCs/>
          <w:highlight w:val="yellow"/>
        </w:rPr>
        <w:t>Citric acid</w:t>
      </w:r>
      <w:r w:rsidRPr="00F937D5">
        <w:rPr>
          <w:i/>
          <w:iCs/>
        </w:rPr>
        <w:t xml:space="preserve"> </w:t>
      </w:r>
    </w:p>
    <w:p w14:paraId="134E8BD4" w14:textId="77777777" w:rsidR="00311459" w:rsidRPr="00275945" w:rsidRDefault="00311459" w:rsidP="00311459">
      <w:pPr>
        <w:pStyle w:val="NormalWeb"/>
        <w:jc w:val="both"/>
        <w:rPr>
          <w:b/>
        </w:rPr>
      </w:pPr>
      <w:r w:rsidRPr="00275945">
        <w:rPr>
          <w:b/>
        </w:rPr>
        <w:t>1.0 INTRODUCTION</w:t>
      </w:r>
    </w:p>
    <w:p w14:paraId="475712B1" w14:textId="40D6E4F4" w:rsidR="00311459" w:rsidRPr="00275945" w:rsidRDefault="00311459" w:rsidP="00F32189">
      <w:pPr>
        <w:pStyle w:val="NormalWeb"/>
        <w:spacing w:line="480" w:lineRule="auto"/>
        <w:jc w:val="both"/>
      </w:pPr>
      <w:r w:rsidRPr="00275945">
        <w:t>Infertility is a major reproductive health problem of global significance, affecting an estimated 10–15% of couples of reproductive age worldwide</w:t>
      </w:r>
      <w:r w:rsidR="005215D7" w:rsidRPr="00275945">
        <w:rPr>
          <w:shd w:val="clear" w:color="auto" w:fill="FFFFFF"/>
        </w:rPr>
        <w:t xml:space="preserve"> (Gedef </w:t>
      </w:r>
      <w:r w:rsidR="005215D7" w:rsidRPr="00275945">
        <w:rPr>
          <w:i/>
          <w:shd w:val="clear" w:color="auto" w:fill="FFFFFF"/>
        </w:rPr>
        <w:t>et al.,</w:t>
      </w:r>
      <w:r w:rsidR="005215D7" w:rsidRPr="00275945">
        <w:rPr>
          <w:shd w:val="clear" w:color="auto" w:fill="FFFFFF"/>
        </w:rPr>
        <w:t xml:space="preserve"> 2025)</w:t>
      </w:r>
      <w:r w:rsidRPr="00275945">
        <w:t>. Male-related factors contribute to approximately 40–50% of infertility cases, either as a sole cause or in combination with female factors (</w:t>
      </w:r>
      <w:r w:rsidR="00D361A0" w:rsidRPr="00275945">
        <w:rPr>
          <w:shd w:val="clear" w:color="auto" w:fill="FFFFFF"/>
        </w:rPr>
        <w:t>Esteves</w:t>
      </w:r>
      <w:r w:rsidR="00D2261F" w:rsidRPr="00275945">
        <w:t xml:space="preserve"> </w:t>
      </w:r>
      <w:r w:rsidR="00D361A0" w:rsidRPr="00275945">
        <w:rPr>
          <w:i/>
        </w:rPr>
        <w:t>et al.,</w:t>
      </w:r>
      <w:r w:rsidR="00D361A0" w:rsidRPr="00275945">
        <w:t xml:space="preserve"> 2024</w:t>
      </w:r>
      <w:r w:rsidR="00AB3B12" w:rsidRPr="00275945">
        <w:t>;</w:t>
      </w:r>
      <w:r w:rsidR="00D361A0" w:rsidRPr="00275945">
        <w:t xml:space="preserve"> </w:t>
      </w:r>
      <w:r w:rsidRPr="00275945">
        <w:t xml:space="preserve">Agarwal </w:t>
      </w:r>
      <w:r w:rsidRPr="00275945">
        <w:rPr>
          <w:i/>
        </w:rPr>
        <w:t>et al.,</w:t>
      </w:r>
      <w:r w:rsidRPr="00275945">
        <w:t xml:space="preserve"> 2015; Kumar &amp; Singh, 2015). Male infertility is a complex and multifactorial condition resulting from genetic abnormalities, hormonal imbalances, infections, environmental and occupational exposures, nutritional deficiencies, oxidative stress, and lifestyle factors</w:t>
      </w:r>
      <w:r w:rsidR="00AB3B12" w:rsidRPr="00275945">
        <w:t xml:space="preserve"> </w:t>
      </w:r>
      <w:r w:rsidR="00AB3B12" w:rsidRPr="00275945">
        <w:lastRenderedPageBreak/>
        <w:t>(</w:t>
      </w:r>
      <w:r w:rsidR="000F2992" w:rsidRPr="000F2992">
        <w:rPr>
          <w:highlight w:val="yellow"/>
        </w:rPr>
        <w:t>Agarwal et al., 2020</w:t>
      </w:r>
      <w:r w:rsidR="000F2992">
        <w:t xml:space="preserve">; </w:t>
      </w:r>
      <w:r w:rsidR="000F2992" w:rsidRPr="00275945">
        <w:t xml:space="preserve">Duvuru </w:t>
      </w:r>
      <w:r w:rsidR="000F2992" w:rsidRPr="00275945">
        <w:rPr>
          <w:i/>
        </w:rPr>
        <w:t>et al.,</w:t>
      </w:r>
      <w:r w:rsidR="000F2992" w:rsidRPr="00275945">
        <w:t xml:space="preserve"> 2022</w:t>
      </w:r>
      <w:r w:rsidR="000F2992">
        <w:t xml:space="preserve">; </w:t>
      </w:r>
      <w:r w:rsidR="00AB3B12" w:rsidRPr="00275945">
        <w:rPr>
          <w:shd w:val="clear" w:color="auto" w:fill="FFFFFF"/>
        </w:rPr>
        <w:t>Sciorio et al., 2025</w:t>
      </w:r>
      <w:r w:rsidR="00AB3B12" w:rsidRPr="00275945">
        <w:t>)</w:t>
      </w:r>
      <w:r w:rsidRPr="00275945">
        <w:t>. Clinically, it is commonly manifested by abnormalities in semen quality, including reduced sperm concentration, motil</w:t>
      </w:r>
      <w:r w:rsidR="00851174" w:rsidRPr="00275945">
        <w:t>ity, morphology, and vitality (WHO</w:t>
      </w:r>
      <w:r w:rsidRPr="00275945">
        <w:t>, 2021).</w:t>
      </w:r>
      <w:r w:rsidR="00113BF1">
        <w:t xml:space="preserve"> </w:t>
      </w:r>
      <w:r w:rsidR="00113BF1" w:rsidRPr="000F2992">
        <w:rPr>
          <w:highlight w:val="yellow"/>
        </w:rPr>
        <w:t>According to 2022 global infertility prevalence estimates, infertility is estimated to affect 17.5% of people worldwide during their lives (17.8% in high-income nations and 16.5% in low-and middle-income countries) (Navya et al., 2025).</w:t>
      </w:r>
    </w:p>
    <w:p w14:paraId="7274DF7F" w14:textId="0707806E" w:rsidR="00311459" w:rsidRPr="00275945" w:rsidRDefault="00311459" w:rsidP="00F32189">
      <w:pPr>
        <w:pStyle w:val="NormalWeb"/>
        <w:spacing w:line="480" w:lineRule="auto"/>
        <w:jc w:val="both"/>
      </w:pPr>
      <w:r w:rsidRPr="00275945">
        <w:t>In sub-Saharan Africa, infertility represents not only a medical condition but also a major social and psychological burden, particularly for men, who are often underdiagnosed or inadequately evaluated due to sociocultural perceptions that attribute infertility primarily to women (</w:t>
      </w:r>
      <w:r w:rsidR="00D07634" w:rsidRPr="00275945">
        <w:rPr>
          <w:shd w:val="clear" w:color="auto" w:fill="FFFFFF"/>
        </w:rPr>
        <w:t xml:space="preserve">Howe </w:t>
      </w:r>
      <w:r w:rsidR="00D07634" w:rsidRPr="00275945">
        <w:rPr>
          <w:i/>
          <w:shd w:val="clear" w:color="auto" w:fill="FFFFFF"/>
        </w:rPr>
        <w:t>et al.</w:t>
      </w:r>
      <w:r w:rsidR="00275A5A" w:rsidRPr="00275945">
        <w:rPr>
          <w:shd w:val="clear" w:color="auto" w:fill="FFFFFF"/>
        </w:rPr>
        <w:t>,</w:t>
      </w:r>
      <w:r w:rsidR="00D07634" w:rsidRPr="00275945">
        <w:rPr>
          <w:shd w:val="clear" w:color="auto" w:fill="FFFFFF"/>
        </w:rPr>
        <w:t xml:space="preserve"> 2024</w:t>
      </w:r>
      <w:r w:rsidR="00112C81" w:rsidRPr="00275945">
        <w:rPr>
          <w:shd w:val="clear" w:color="auto" w:fill="FFFFFF"/>
        </w:rPr>
        <w:t xml:space="preserve">; Roomaney </w:t>
      </w:r>
      <w:r w:rsidR="00112C81" w:rsidRPr="00275945">
        <w:rPr>
          <w:i/>
          <w:shd w:val="clear" w:color="auto" w:fill="FFFFFF"/>
        </w:rPr>
        <w:t>et al.,</w:t>
      </w:r>
      <w:r w:rsidR="00112C81" w:rsidRPr="00275945">
        <w:rPr>
          <w:shd w:val="clear" w:color="auto" w:fill="FFFFFF"/>
        </w:rPr>
        <w:t xml:space="preserve"> 2021</w:t>
      </w:r>
      <w:r w:rsidRPr="00275945">
        <w:t xml:space="preserve">). </w:t>
      </w:r>
      <w:r w:rsidR="00113BF1" w:rsidRPr="00F937D5">
        <w:rPr>
          <w:highlight w:val="yellow"/>
        </w:rPr>
        <w:t>In contrast to an average incidence rate of 10-15% in developed countries, the prevalence of infertility in Sub-Saharan Africa has been notably very varied, ranging from 20-46% (Igibah et al., 2023).</w:t>
      </w:r>
      <w:r w:rsidR="00113BF1" w:rsidRPr="00113BF1">
        <w:t xml:space="preserve"> </w:t>
      </w:r>
      <w:r w:rsidRPr="00275945">
        <w:t>In Nigeria, infertility remains a significant public health concern</w:t>
      </w:r>
      <w:r w:rsidR="00112C81" w:rsidRPr="00275945">
        <w:rPr>
          <w:shd w:val="clear" w:color="auto" w:fill="FFFFFF"/>
        </w:rPr>
        <w:t xml:space="preserve"> (Okafor </w:t>
      </w:r>
      <w:r w:rsidR="00112C81" w:rsidRPr="00275945">
        <w:rPr>
          <w:i/>
          <w:shd w:val="clear" w:color="auto" w:fill="FFFFFF"/>
        </w:rPr>
        <w:t>et al.,</w:t>
      </w:r>
      <w:r w:rsidR="00112C81" w:rsidRPr="00275945">
        <w:rPr>
          <w:shd w:val="clear" w:color="auto" w:fill="FFFFFF"/>
        </w:rPr>
        <w:t xml:space="preserve"> 2022; Adegbola </w:t>
      </w:r>
      <w:r w:rsidR="00112C81" w:rsidRPr="00275945">
        <w:rPr>
          <w:i/>
          <w:shd w:val="clear" w:color="auto" w:fill="FFFFFF"/>
        </w:rPr>
        <w:t>et al.,</w:t>
      </w:r>
      <w:r w:rsidR="00112C81" w:rsidRPr="00275945">
        <w:rPr>
          <w:shd w:val="clear" w:color="auto" w:fill="FFFFFF"/>
        </w:rPr>
        <w:t xml:space="preserve"> 2013)</w:t>
      </w:r>
      <w:r w:rsidRPr="00275945">
        <w:t xml:space="preserve">, with increasing </w:t>
      </w:r>
      <w:r w:rsidR="00D2261F" w:rsidRPr="00275945">
        <w:t>attendance at fertility clinics</w:t>
      </w:r>
      <w:r w:rsidRPr="00275945">
        <w:t>. Despite this rising burden, the evaluation of male infertility in many clinical settings remains limited largely to routine semen analysis, which, although essential, may not fully elucidate the underlying biochemical and functional defects contributing to impaired fertility.</w:t>
      </w:r>
    </w:p>
    <w:p w14:paraId="08AF0B1E" w14:textId="091BC706" w:rsidR="00311459" w:rsidRPr="00275945" w:rsidRDefault="006C1D52" w:rsidP="00F32189">
      <w:pPr>
        <w:pStyle w:val="NormalWeb"/>
        <w:spacing w:line="480" w:lineRule="auto"/>
        <w:jc w:val="both"/>
      </w:pPr>
      <w:r w:rsidRPr="00F937D5">
        <w:rPr>
          <w:highlight w:val="yellow"/>
        </w:rPr>
        <w:t>Poor semen quality remains a prominent issue in male reproductive health (Huang et al., 2023</w:t>
      </w:r>
      <w:r w:rsidR="0093356B" w:rsidRPr="00F937D5">
        <w:rPr>
          <w:highlight w:val="yellow"/>
        </w:rPr>
        <w:t>; Akang et al., 2023</w:t>
      </w:r>
      <w:r w:rsidRPr="00F937D5">
        <w:rPr>
          <w:highlight w:val="yellow"/>
        </w:rPr>
        <w:t>).</w:t>
      </w:r>
      <w:r w:rsidRPr="006C1D52">
        <w:t xml:space="preserve"> </w:t>
      </w:r>
      <w:r w:rsidR="00311459" w:rsidRPr="00275945">
        <w:t>Semen is composed of spermatozoa and seminal plasma, the latter accounting for approximately 95% of semen volume</w:t>
      </w:r>
      <w:r w:rsidR="002D1E8F" w:rsidRPr="00275945">
        <w:rPr>
          <w:shd w:val="clear" w:color="auto" w:fill="FFFFFF"/>
        </w:rPr>
        <w:t xml:space="preserve"> (</w:t>
      </w:r>
      <w:r w:rsidR="002D1E8F" w:rsidRPr="00275945">
        <w:t>WHO, 2021</w:t>
      </w:r>
      <w:r w:rsidR="002D1E8F" w:rsidRPr="00275945">
        <w:rPr>
          <w:shd w:val="clear" w:color="auto" w:fill="FFFFFF"/>
        </w:rPr>
        <w:t xml:space="preserve">; O'Donnell </w:t>
      </w:r>
      <w:r w:rsidR="002D1E8F" w:rsidRPr="00275945">
        <w:rPr>
          <w:i/>
          <w:shd w:val="clear" w:color="auto" w:fill="FFFFFF"/>
        </w:rPr>
        <w:t>et al</w:t>
      </w:r>
      <w:r w:rsidR="002D1E8F" w:rsidRPr="00275945">
        <w:rPr>
          <w:shd w:val="clear" w:color="auto" w:fill="FFFFFF"/>
        </w:rPr>
        <w:t>., 2017)</w:t>
      </w:r>
      <w:r w:rsidR="00311459" w:rsidRPr="00275945">
        <w:t>. Seminal plasma is derived mainl</w:t>
      </w:r>
      <w:r w:rsidR="002B42A8" w:rsidRPr="00275945">
        <w:t xml:space="preserve">y from the accessory sex glands, </w:t>
      </w:r>
      <w:r w:rsidR="00311459" w:rsidRPr="00275945">
        <w:t>the seminal vesicles,</w:t>
      </w:r>
      <w:r w:rsidR="002B42A8" w:rsidRPr="00275945">
        <w:t xml:space="preserve"> prostate gland, and epididymis, </w:t>
      </w:r>
      <w:r w:rsidR="00311459" w:rsidRPr="00275945">
        <w:t xml:space="preserve">and contains a wide range of biochemical </w:t>
      </w:r>
      <w:r w:rsidR="00311459" w:rsidRPr="00275945">
        <w:lastRenderedPageBreak/>
        <w:t>substances essential for sperm survival, metabolism, motility, protection against oxi</w:t>
      </w:r>
      <w:r w:rsidR="00D2261F" w:rsidRPr="00275945">
        <w:t xml:space="preserve">dative stress </w:t>
      </w:r>
      <w:r w:rsidR="002D1E8F" w:rsidRPr="00275945">
        <w:t>(</w:t>
      </w:r>
      <w:r w:rsidR="002D1E8F" w:rsidRPr="00275945">
        <w:rPr>
          <w:shd w:val="clear" w:color="auto" w:fill="FFFFFF"/>
        </w:rPr>
        <w:t xml:space="preserve">Wang </w:t>
      </w:r>
      <w:r w:rsidR="002D1E8F" w:rsidRPr="00275945">
        <w:rPr>
          <w:i/>
          <w:shd w:val="clear" w:color="auto" w:fill="FFFFFF"/>
        </w:rPr>
        <w:t>et al.,</w:t>
      </w:r>
      <w:r w:rsidR="002D1E8F" w:rsidRPr="00275945">
        <w:rPr>
          <w:shd w:val="clear" w:color="auto" w:fill="FFFFFF"/>
        </w:rPr>
        <w:t xml:space="preserve"> 2020).</w:t>
      </w:r>
      <w:r w:rsidR="00311459" w:rsidRPr="00275945">
        <w:t xml:space="preserve"> Therefore, assessment of seminal plasma constituents provides valuable information on the functional status of accessory sex glands and their contribution to male reproductive potential</w:t>
      </w:r>
      <w:r w:rsidR="00BB6C22" w:rsidRPr="00275945">
        <w:t xml:space="preserve"> </w:t>
      </w:r>
      <w:r w:rsidR="002D1E8F" w:rsidRPr="00275945">
        <w:t xml:space="preserve">(Wan </w:t>
      </w:r>
      <w:r w:rsidR="002D1E8F" w:rsidRPr="00275945">
        <w:rPr>
          <w:i/>
        </w:rPr>
        <w:t>et al.,</w:t>
      </w:r>
      <w:r w:rsidR="002D1E8F" w:rsidRPr="00275945">
        <w:t xml:space="preserve"> 2020)</w:t>
      </w:r>
      <w:r w:rsidR="00311459" w:rsidRPr="00275945">
        <w:t>.</w:t>
      </w:r>
    </w:p>
    <w:p w14:paraId="3E4A3AAA" w14:textId="5E8F1453" w:rsidR="005C4EE3" w:rsidRPr="00275945" w:rsidRDefault="00311459" w:rsidP="00F32189">
      <w:pPr>
        <w:pStyle w:val="NormalWeb"/>
        <w:spacing w:line="480" w:lineRule="auto"/>
        <w:jc w:val="both"/>
      </w:pPr>
      <w:r w:rsidRPr="00275945">
        <w:t>Among the numerous biochemical components of seminal plasma, fructose, zinc, and citric acid are of particular importance due to their direct involvement in sperm function and their roles as markers of accessory gland activity</w:t>
      </w:r>
      <w:r w:rsidR="002D1E8F" w:rsidRPr="00275945">
        <w:rPr>
          <w:shd w:val="clear" w:color="auto" w:fill="FFFFFF"/>
        </w:rPr>
        <w:t xml:space="preserve"> </w:t>
      </w:r>
      <w:r w:rsidR="00BB6C22" w:rsidRPr="00275945">
        <w:rPr>
          <w:shd w:val="clear" w:color="auto" w:fill="FFFFFF"/>
        </w:rPr>
        <w:t>(</w:t>
      </w:r>
      <w:r w:rsidR="00275A5A" w:rsidRPr="00275945">
        <w:t>Rochdi</w:t>
      </w:r>
      <w:r w:rsidR="002D1E8F" w:rsidRPr="00275945">
        <w:t xml:space="preserve"> </w:t>
      </w:r>
      <w:r w:rsidR="002D1E8F" w:rsidRPr="00275945">
        <w:rPr>
          <w:i/>
        </w:rPr>
        <w:t>et al.</w:t>
      </w:r>
      <w:r w:rsidR="002D1E8F" w:rsidRPr="00275945">
        <w:t>, 2025</w:t>
      </w:r>
      <w:r w:rsidR="005C4EE3" w:rsidRPr="00275945">
        <w:t>a</w:t>
      </w:r>
      <w:r w:rsidR="002D1E8F" w:rsidRPr="00275945">
        <w:t xml:space="preserve">; </w:t>
      </w:r>
      <w:r w:rsidR="002D1E8F" w:rsidRPr="00275945">
        <w:rPr>
          <w:shd w:val="clear" w:color="auto" w:fill="FFFFFF"/>
        </w:rPr>
        <w:t xml:space="preserve">Yuan </w:t>
      </w:r>
      <w:r w:rsidR="002D1E8F" w:rsidRPr="00275945">
        <w:rPr>
          <w:i/>
          <w:shd w:val="clear" w:color="auto" w:fill="FFFFFF"/>
        </w:rPr>
        <w:t>et al.,</w:t>
      </w:r>
      <w:r w:rsidR="002D1E8F" w:rsidRPr="00275945">
        <w:rPr>
          <w:shd w:val="clear" w:color="auto" w:fill="FFFFFF"/>
        </w:rPr>
        <w:t xml:space="preserve"> 2024)</w:t>
      </w:r>
      <w:r w:rsidRPr="00275945">
        <w:t xml:space="preserve">. </w:t>
      </w:r>
      <w:r w:rsidR="0093356B" w:rsidRPr="00F937D5">
        <w:rPr>
          <w:highlight w:val="yellow"/>
        </w:rPr>
        <w:t>Sperm supplementation with seminal plasma before insemination is beneficial since it increases the ability of sperm to penetrate the cervical mucus, thereby improving the probability of pregnancy (Turunen et al., 2022).</w:t>
      </w:r>
      <w:r w:rsidR="0093356B">
        <w:t xml:space="preserve"> Fructose</w:t>
      </w:r>
      <w:r w:rsidRPr="00275945">
        <w:t xml:space="preserve"> is secreted predominantly by the seminal vesicles and serves as the principal energy source for spermatozoa, supporting sperm motility and viability</w:t>
      </w:r>
      <w:r w:rsidR="005C4EE3" w:rsidRPr="00275945">
        <w:rPr>
          <w:shd w:val="clear" w:color="auto" w:fill="FFFFFF"/>
        </w:rPr>
        <w:t xml:space="preserve"> (Rochdi </w:t>
      </w:r>
      <w:r w:rsidR="005C4EE3" w:rsidRPr="00275945">
        <w:rPr>
          <w:i/>
          <w:shd w:val="clear" w:color="auto" w:fill="FFFFFF"/>
        </w:rPr>
        <w:t>et al.,</w:t>
      </w:r>
      <w:r w:rsidR="005C4EE3" w:rsidRPr="00275945">
        <w:rPr>
          <w:shd w:val="clear" w:color="auto" w:fill="FFFFFF"/>
        </w:rPr>
        <w:t xml:space="preserve"> 2025b; Echeverría </w:t>
      </w:r>
      <w:r w:rsidR="005C4EE3" w:rsidRPr="00275945">
        <w:rPr>
          <w:i/>
          <w:shd w:val="clear" w:color="auto" w:fill="FFFFFF"/>
        </w:rPr>
        <w:t>et al.,</w:t>
      </w:r>
      <w:r w:rsidR="005C4EE3" w:rsidRPr="00275945">
        <w:rPr>
          <w:shd w:val="clear" w:color="auto" w:fill="FFFFFF"/>
        </w:rPr>
        <w:t xml:space="preserve"> 202</w:t>
      </w:r>
      <w:r w:rsidR="0044673B">
        <w:rPr>
          <w:shd w:val="clear" w:color="auto" w:fill="FFFFFF"/>
        </w:rPr>
        <w:t>4</w:t>
      </w:r>
      <w:r w:rsidR="005C4EE3" w:rsidRPr="00275945">
        <w:rPr>
          <w:shd w:val="clear" w:color="auto" w:fill="FFFFFF"/>
        </w:rPr>
        <w:t>)</w:t>
      </w:r>
      <w:r w:rsidRPr="00275945">
        <w:t>. Reduced seminal fructose concentration has been associated with seminal vesicle dysfunction, ejaculatory duct obstruction, and impaired sperm motility, all of which contribute to male infertility (</w:t>
      </w:r>
      <w:r w:rsidR="005C4EE3" w:rsidRPr="00275945">
        <w:rPr>
          <w:shd w:val="clear" w:color="auto" w:fill="FFFFFF"/>
        </w:rPr>
        <w:t xml:space="preserve">Rochdi </w:t>
      </w:r>
      <w:r w:rsidR="005C4EE3" w:rsidRPr="00275945">
        <w:rPr>
          <w:i/>
          <w:shd w:val="clear" w:color="auto" w:fill="FFFFFF"/>
        </w:rPr>
        <w:t>et al</w:t>
      </w:r>
      <w:r w:rsidR="005C4EE3" w:rsidRPr="00275945">
        <w:rPr>
          <w:shd w:val="clear" w:color="auto" w:fill="FFFFFF"/>
        </w:rPr>
        <w:t>., 2025a)</w:t>
      </w:r>
    </w:p>
    <w:p w14:paraId="40B97183" w14:textId="77777777" w:rsidR="00311459" w:rsidRPr="00275945" w:rsidRDefault="00311459" w:rsidP="00F32189">
      <w:pPr>
        <w:pStyle w:val="NormalWeb"/>
        <w:spacing w:line="480" w:lineRule="auto"/>
        <w:jc w:val="both"/>
      </w:pPr>
      <w:r w:rsidRPr="00275945">
        <w:t>Zinc is an essential trace element present in high concentrations in seminal plasma, particularly in prostatic secretions</w:t>
      </w:r>
      <w:r w:rsidR="005C4EE3" w:rsidRPr="00275945">
        <w:rPr>
          <w:shd w:val="clear" w:color="auto" w:fill="FFFFFF"/>
        </w:rPr>
        <w:t xml:space="preserve"> (Zhao </w:t>
      </w:r>
      <w:r w:rsidR="005C4EE3" w:rsidRPr="00275945">
        <w:rPr>
          <w:i/>
          <w:shd w:val="clear" w:color="auto" w:fill="FFFFFF"/>
        </w:rPr>
        <w:t>et al.,</w:t>
      </w:r>
      <w:r w:rsidR="005C4EE3" w:rsidRPr="00275945">
        <w:rPr>
          <w:shd w:val="clear" w:color="auto" w:fill="FFFFFF"/>
        </w:rPr>
        <w:t xml:space="preserve"> 2016)</w:t>
      </w:r>
      <w:r w:rsidRPr="00275945">
        <w:t>. It plays a critical role in spermatogenesis, sperm membrane stabilization, chromatin condensation, acrosomal reaction, and antioxidant defense mechanisms (</w:t>
      </w:r>
      <w:r w:rsidR="005C4EE3" w:rsidRPr="00275945">
        <w:rPr>
          <w:shd w:val="clear" w:color="auto" w:fill="FFFFFF"/>
        </w:rPr>
        <w:t>Bouhadana et al., 2025</w:t>
      </w:r>
      <w:r w:rsidRPr="00275945">
        <w:t>). Adequate zinc levels are necessary to protect spermatozoa from oxidative damage and DNA fragmentation</w:t>
      </w:r>
      <w:r w:rsidR="00174AB7" w:rsidRPr="00275945">
        <w:t xml:space="preserve"> (Fallah </w:t>
      </w:r>
      <w:r w:rsidR="00174AB7" w:rsidRPr="00275945">
        <w:rPr>
          <w:i/>
        </w:rPr>
        <w:t>et al</w:t>
      </w:r>
      <w:r w:rsidR="00174AB7" w:rsidRPr="00275945">
        <w:t>., 2018).</w:t>
      </w:r>
      <w:r w:rsidRPr="00275945">
        <w:t xml:space="preserve"> Conversely, zinc deficiency has been associated with </w:t>
      </w:r>
      <w:r w:rsidRPr="00275945">
        <w:lastRenderedPageBreak/>
        <w:t>poor semen quality, including reduced sperm count, motility, and normal morphology, as well as increased oxidative stress and in</w:t>
      </w:r>
      <w:r w:rsidR="005C4EE3" w:rsidRPr="00275945">
        <w:t>fertility (</w:t>
      </w:r>
      <w:r w:rsidRPr="00275945">
        <w:t xml:space="preserve">Fallah </w:t>
      </w:r>
      <w:r w:rsidRPr="00275945">
        <w:rPr>
          <w:i/>
        </w:rPr>
        <w:t>et al.,</w:t>
      </w:r>
      <w:r w:rsidRPr="00275945">
        <w:t xml:space="preserve"> 2018).</w:t>
      </w:r>
    </w:p>
    <w:p w14:paraId="25447BB1" w14:textId="77777777" w:rsidR="00311459" w:rsidRPr="00275945" w:rsidRDefault="00311459" w:rsidP="00F32189">
      <w:pPr>
        <w:pStyle w:val="NormalWeb"/>
        <w:spacing w:line="480" w:lineRule="auto"/>
        <w:jc w:val="both"/>
      </w:pPr>
      <w:r w:rsidRPr="00275945">
        <w:t>Citric acid is produced primarily by the prostate gland and serves as an important marker of prostatic secretory function</w:t>
      </w:r>
      <w:r w:rsidR="00174AB7" w:rsidRPr="00275945">
        <w:rPr>
          <w:shd w:val="clear" w:color="auto" w:fill="FFFFFF"/>
        </w:rPr>
        <w:t xml:space="preserve"> (Hassan, </w:t>
      </w:r>
      <w:r w:rsidR="00174AB7" w:rsidRPr="00275945">
        <w:rPr>
          <w:i/>
          <w:shd w:val="clear" w:color="auto" w:fill="FFFFFF"/>
        </w:rPr>
        <w:t>et al</w:t>
      </w:r>
      <w:r w:rsidR="00174AB7" w:rsidRPr="00275945">
        <w:rPr>
          <w:shd w:val="clear" w:color="auto" w:fill="FFFFFF"/>
        </w:rPr>
        <w:t xml:space="preserve">., 2025; Kavanagh </w:t>
      </w:r>
      <w:r w:rsidR="00174AB7" w:rsidRPr="00275945">
        <w:rPr>
          <w:i/>
          <w:shd w:val="clear" w:color="auto" w:fill="FFFFFF"/>
        </w:rPr>
        <w:t>et al.,</w:t>
      </w:r>
      <w:r w:rsidR="00174AB7" w:rsidRPr="00275945">
        <w:rPr>
          <w:shd w:val="clear" w:color="auto" w:fill="FFFFFF"/>
        </w:rPr>
        <w:t xml:space="preserve"> 1994)</w:t>
      </w:r>
      <w:r w:rsidRPr="00275945">
        <w:t xml:space="preserve">. It contributes to semen liquefaction and influences sperm motility by regulating seminal plasma pH </w:t>
      </w:r>
      <w:r w:rsidR="004D02F4" w:rsidRPr="00275945">
        <w:t>(</w:t>
      </w:r>
      <w:r w:rsidR="00174AB7" w:rsidRPr="00275945">
        <w:rPr>
          <w:shd w:val="clear" w:color="auto" w:fill="FFFFFF"/>
        </w:rPr>
        <w:t>Tanni</w:t>
      </w:r>
      <w:r w:rsidR="00174AB7" w:rsidRPr="00275945">
        <w:t xml:space="preserve">  </w:t>
      </w:r>
      <w:r w:rsidR="00174AB7" w:rsidRPr="00275945">
        <w:rPr>
          <w:i/>
        </w:rPr>
        <w:t>et al.,</w:t>
      </w:r>
      <w:r w:rsidR="00174AB7" w:rsidRPr="00275945">
        <w:t xml:space="preserve"> 2022) </w:t>
      </w:r>
      <w:r w:rsidRPr="00275945">
        <w:t xml:space="preserve">and chelating divalent cations </w:t>
      </w:r>
      <w:r w:rsidR="00C6134B" w:rsidRPr="00275945">
        <w:t>(</w:t>
      </w:r>
      <w:r w:rsidRPr="00275945">
        <w:t>WHO, 2021). Abnormal seminal citric acid levels may indicate prostatic dysfunction and have been linked to altered semen parameters and reduced fertility potential (</w:t>
      </w:r>
      <w:r w:rsidR="00C6134B" w:rsidRPr="00275945">
        <w:t xml:space="preserve">Rochdi </w:t>
      </w:r>
      <w:r w:rsidR="00C6134B" w:rsidRPr="00275945">
        <w:rPr>
          <w:i/>
        </w:rPr>
        <w:t>et</w:t>
      </w:r>
      <w:r w:rsidR="00F21EE2" w:rsidRPr="00275945">
        <w:rPr>
          <w:i/>
        </w:rPr>
        <w:t xml:space="preserve"> </w:t>
      </w:r>
      <w:r w:rsidR="00C6134B" w:rsidRPr="00275945">
        <w:rPr>
          <w:i/>
        </w:rPr>
        <w:t>al</w:t>
      </w:r>
      <w:r w:rsidR="00C6134B" w:rsidRPr="00275945">
        <w:t>., 2025</w:t>
      </w:r>
      <w:r w:rsidRPr="00275945">
        <w:t>).</w:t>
      </w:r>
    </w:p>
    <w:p w14:paraId="4F4A0B9E" w14:textId="77777777" w:rsidR="00F32189" w:rsidRPr="00275945" w:rsidRDefault="00F32189" w:rsidP="00F32189">
      <w:pPr>
        <w:pStyle w:val="NormalWeb"/>
        <w:spacing w:line="480" w:lineRule="auto"/>
        <w:jc w:val="both"/>
      </w:pPr>
      <w:r w:rsidRPr="00275945">
        <w:t>Given the limitations of routine semen analysis and the increasing evidence supporting the diagnostic and prognostic relevance of seminal biochemical markers, comprehensive evaluation of seminal plasma constituents alongside conventional semen parameters is warranted.</w:t>
      </w:r>
    </w:p>
    <w:p w14:paraId="66AC8FD4" w14:textId="77777777" w:rsidR="009E39AD" w:rsidRPr="00275945" w:rsidRDefault="009E39AD" w:rsidP="00311459">
      <w:pPr>
        <w:jc w:val="both"/>
        <w:rPr>
          <w:b/>
        </w:rPr>
      </w:pPr>
    </w:p>
    <w:p w14:paraId="05169348" w14:textId="77777777" w:rsidR="00311459" w:rsidRPr="00275945" w:rsidRDefault="00311459" w:rsidP="00311459">
      <w:pPr>
        <w:jc w:val="both"/>
        <w:rPr>
          <w:b/>
        </w:rPr>
      </w:pPr>
      <w:r w:rsidRPr="00275945">
        <w:rPr>
          <w:b/>
        </w:rPr>
        <w:t>2.0 MATERIALS AND METHODS</w:t>
      </w:r>
    </w:p>
    <w:p w14:paraId="4E1CEDC6" w14:textId="77777777" w:rsidR="00311459" w:rsidRPr="00275945" w:rsidRDefault="00311459" w:rsidP="00311459">
      <w:pPr>
        <w:jc w:val="both"/>
      </w:pPr>
    </w:p>
    <w:p w14:paraId="46DA9CBF" w14:textId="77777777" w:rsidR="00311459" w:rsidRPr="00275945" w:rsidRDefault="00311459" w:rsidP="00311459">
      <w:pPr>
        <w:jc w:val="both"/>
        <w:rPr>
          <w:b/>
        </w:rPr>
      </w:pPr>
      <w:r w:rsidRPr="00275945">
        <w:rPr>
          <w:b/>
        </w:rPr>
        <w:t>2.1 Study Area</w:t>
      </w:r>
    </w:p>
    <w:p w14:paraId="4BBC20BB" w14:textId="77777777" w:rsidR="00311459" w:rsidRPr="00275945" w:rsidRDefault="00311459" w:rsidP="00311459">
      <w:pPr>
        <w:jc w:val="both"/>
      </w:pPr>
    </w:p>
    <w:p w14:paraId="0B407B81" w14:textId="77777777" w:rsidR="00311459" w:rsidRPr="00275945" w:rsidRDefault="00311459" w:rsidP="00C41D2D">
      <w:pPr>
        <w:spacing w:line="480" w:lineRule="auto"/>
        <w:jc w:val="both"/>
      </w:pPr>
      <w:r w:rsidRPr="00275945">
        <w:t>Lagos Metropolis is located in the south-western region of Nigeria and is the country’s largest urban and economic hub. Lagos Metropolis hosts numerous public and private healthcare facilities, including specialized fertility clinics that serve a large and diverse population of individuals seeking reproductive health services. These characteristics make Lagos Metropolis a suitable and relevant setting for investigating biochemical and sperm quality parameters among infertile male subjects, as the findings are likely to reflect the reproductive health challenges faced by men in highly urbanized Nigerian settings.</w:t>
      </w:r>
    </w:p>
    <w:p w14:paraId="43CEC7F9" w14:textId="77777777" w:rsidR="00851174" w:rsidRPr="00275945" w:rsidRDefault="00851174" w:rsidP="00311459">
      <w:pPr>
        <w:jc w:val="both"/>
        <w:rPr>
          <w:b/>
        </w:rPr>
      </w:pPr>
    </w:p>
    <w:p w14:paraId="6EDA7990" w14:textId="77777777" w:rsidR="00311459" w:rsidRPr="00275945" w:rsidRDefault="00311459" w:rsidP="00311459">
      <w:pPr>
        <w:jc w:val="both"/>
        <w:rPr>
          <w:b/>
        </w:rPr>
      </w:pPr>
      <w:r w:rsidRPr="00275945">
        <w:rPr>
          <w:b/>
        </w:rPr>
        <w:t>2.2 Study Design</w:t>
      </w:r>
    </w:p>
    <w:p w14:paraId="4E768EE9" w14:textId="77777777" w:rsidR="007F689E" w:rsidRPr="00275945" w:rsidRDefault="007F689E" w:rsidP="00311459">
      <w:pPr>
        <w:jc w:val="both"/>
        <w:rPr>
          <w:b/>
        </w:rPr>
      </w:pPr>
    </w:p>
    <w:p w14:paraId="35555564" w14:textId="77777777" w:rsidR="00D361A0" w:rsidRPr="00275945" w:rsidRDefault="00FB7934" w:rsidP="00F21EE2">
      <w:pPr>
        <w:spacing w:line="480" w:lineRule="auto"/>
        <w:jc w:val="both"/>
        <w:rPr>
          <w:b/>
        </w:rPr>
      </w:pPr>
      <w:r w:rsidRPr="00275945">
        <w:t>This hospital-based cross-sectional analytical study involved 100 infertile men as the test group and 50 fertile men as the control group. Participants were recruited as volunteers from selected fertility clinics within the Lagos Metropolis. Eligible subjects were males aged 25–45 years. The study was conducted over a five-month period, from February to June 2025.</w:t>
      </w:r>
    </w:p>
    <w:p w14:paraId="25B9A184" w14:textId="77777777" w:rsidR="006520BB" w:rsidRPr="00275945" w:rsidRDefault="006520BB" w:rsidP="002A55B2">
      <w:pPr>
        <w:rPr>
          <w:b/>
        </w:rPr>
      </w:pPr>
    </w:p>
    <w:p w14:paraId="5D7603AB" w14:textId="77777777" w:rsidR="002A55B2" w:rsidRPr="00275945" w:rsidRDefault="00F21EE2" w:rsidP="002A55B2">
      <w:pPr>
        <w:rPr>
          <w:b/>
        </w:rPr>
      </w:pPr>
      <w:r w:rsidRPr="00275945">
        <w:rPr>
          <w:b/>
        </w:rPr>
        <w:t>2.3</w:t>
      </w:r>
      <w:r w:rsidR="002A55B2" w:rsidRPr="00275945">
        <w:rPr>
          <w:b/>
        </w:rPr>
        <w:t xml:space="preserve"> Inclusion Criteria </w:t>
      </w:r>
    </w:p>
    <w:p w14:paraId="1377923D" w14:textId="77777777" w:rsidR="002A55B2" w:rsidRPr="00275945" w:rsidRDefault="002A55B2" w:rsidP="002A55B2">
      <w:pPr>
        <w:rPr>
          <w:b/>
        </w:rPr>
      </w:pPr>
    </w:p>
    <w:p w14:paraId="6D31DCD7" w14:textId="77777777" w:rsidR="005C28E5" w:rsidRPr="00275945" w:rsidRDefault="005C28E5" w:rsidP="005C28E5">
      <w:pPr>
        <w:spacing w:line="480" w:lineRule="auto"/>
        <w:jc w:val="both"/>
      </w:pPr>
      <w:r w:rsidRPr="00275945">
        <w:t>Men in stable heterosexual relationships who had been unable to achieve conception after at least 12 months of regular, unprotected sexual intercourse were included as study participants. Both infertile and fertile men who were willing and able to provide a semen sample by masturbation following a minimum of three days of sexual abstinence were eligible for inclusion.</w:t>
      </w:r>
    </w:p>
    <w:p w14:paraId="2CF2042A" w14:textId="77777777" w:rsidR="009E39AD" w:rsidRPr="00275945" w:rsidRDefault="009E39AD" w:rsidP="002A55B2">
      <w:pPr>
        <w:rPr>
          <w:b/>
        </w:rPr>
      </w:pPr>
    </w:p>
    <w:p w14:paraId="5B9693DA" w14:textId="77777777" w:rsidR="002A55B2" w:rsidRPr="00275945" w:rsidRDefault="00F21EE2" w:rsidP="002A55B2">
      <w:pPr>
        <w:rPr>
          <w:b/>
        </w:rPr>
      </w:pPr>
      <w:r w:rsidRPr="00275945">
        <w:rPr>
          <w:b/>
        </w:rPr>
        <w:t>2.4</w:t>
      </w:r>
      <w:r w:rsidR="002A55B2" w:rsidRPr="00275945">
        <w:rPr>
          <w:b/>
        </w:rPr>
        <w:t xml:space="preserve"> Excluded Criteria</w:t>
      </w:r>
    </w:p>
    <w:p w14:paraId="3AB2EECF" w14:textId="77777777" w:rsidR="002A55B2" w:rsidRPr="00275945" w:rsidRDefault="002A55B2" w:rsidP="002A55B2">
      <w:pPr>
        <w:rPr>
          <w:b/>
        </w:rPr>
      </w:pPr>
    </w:p>
    <w:p w14:paraId="7D804227" w14:textId="77777777" w:rsidR="002A55B2" w:rsidRPr="00275945" w:rsidRDefault="008B5B31" w:rsidP="008B5B31">
      <w:pPr>
        <w:spacing w:line="480" w:lineRule="auto"/>
        <w:jc w:val="both"/>
      </w:pPr>
      <w:r w:rsidRPr="00275945">
        <w:t>Men who consumed excessive amounts of alcohol, abused recreational drugs, or were current heavy smokers were excluded from the study, as were individuals with other underlying health conditions that could affect semen quality. Additionally, males younger than 25 years were excluded.</w:t>
      </w:r>
    </w:p>
    <w:p w14:paraId="3C76D2E5" w14:textId="77777777" w:rsidR="00F21EE2" w:rsidRPr="00275945" w:rsidRDefault="00F21EE2" w:rsidP="00F21EE2">
      <w:pPr>
        <w:jc w:val="both"/>
        <w:rPr>
          <w:b/>
        </w:rPr>
      </w:pPr>
    </w:p>
    <w:p w14:paraId="35857747" w14:textId="77777777" w:rsidR="00F21EE2" w:rsidRPr="00275945" w:rsidRDefault="00F21EE2" w:rsidP="00F21EE2">
      <w:pPr>
        <w:jc w:val="both"/>
        <w:rPr>
          <w:b/>
        </w:rPr>
      </w:pPr>
      <w:r w:rsidRPr="00275945">
        <w:rPr>
          <w:b/>
        </w:rPr>
        <w:t>2.5 Fertility Statuses</w:t>
      </w:r>
    </w:p>
    <w:p w14:paraId="5C3DC1B2" w14:textId="77777777" w:rsidR="00F21EE2" w:rsidRPr="00275945" w:rsidRDefault="00F21EE2" w:rsidP="00F21EE2">
      <w:pPr>
        <w:jc w:val="both"/>
        <w:rPr>
          <w:b/>
        </w:rPr>
      </w:pPr>
    </w:p>
    <w:p w14:paraId="483CC0E0" w14:textId="77777777" w:rsidR="00F21EE2" w:rsidRPr="00275945" w:rsidRDefault="00F21EE2" w:rsidP="00F21EE2">
      <w:pPr>
        <w:spacing w:line="480" w:lineRule="auto"/>
        <w:jc w:val="both"/>
      </w:pPr>
      <w:r w:rsidRPr="00275945">
        <w:t xml:space="preserve">The fertility statuses of the participants were obtained from their existing medical records. Also, Computer-assisted semen analyzer (CASA), were used to confirm their statuses </w:t>
      </w:r>
      <w:r w:rsidRPr="00275945">
        <w:lastRenderedPageBreak/>
        <w:t>andgrouped the participants into fertile and infertile groups (normospermic, oligospermic and azoospermic).</w:t>
      </w:r>
    </w:p>
    <w:p w14:paraId="5DC02AD6" w14:textId="77777777" w:rsidR="00F21EE2" w:rsidRPr="00275945" w:rsidRDefault="00F21EE2" w:rsidP="00F21EE2">
      <w:pPr>
        <w:jc w:val="both"/>
        <w:rPr>
          <w:b/>
        </w:rPr>
      </w:pPr>
    </w:p>
    <w:p w14:paraId="30384F4D" w14:textId="77777777" w:rsidR="00F21EE2" w:rsidRPr="00275945" w:rsidRDefault="00F21EE2" w:rsidP="00F21EE2">
      <w:pPr>
        <w:jc w:val="both"/>
        <w:rPr>
          <w:b/>
        </w:rPr>
      </w:pPr>
      <w:r w:rsidRPr="00275945">
        <w:rPr>
          <w:b/>
        </w:rPr>
        <w:t>2.6 Semen Collection</w:t>
      </w:r>
    </w:p>
    <w:p w14:paraId="7B47049A" w14:textId="77777777" w:rsidR="00F21EE2" w:rsidRPr="00275945" w:rsidRDefault="00F21EE2" w:rsidP="00F21EE2">
      <w:pPr>
        <w:jc w:val="both"/>
        <w:rPr>
          <w:b/>
        </w:rPr>
      </w:pPr>
    </w:p>
    <w:p w14:paraId="6E887AA8" w14:textId="77777777" w:rsidR="00F21EE2" w:rsidRPr="00275945" w:rsidRDefault="00F21EE2" w:rsidP="00F21EE2">
      <w:pPr>
        <w:spacing w:line="480" w:lineRule="auto"/>
        <w:jc w:val="both"/>
      </w:pPr>
      <w:r w:rsidRPr="00275945">
        <w:t>Semen samples were collected from volunteers by masturbation after a minimum of three days of sexual abstinence and into sterile plastic containers. Following complete liquefaction, all samples were analyzed within one hour of collection in accordance with standard laboratory procedures to ensure the accuracy and reliability of semen quality assessment.</w:t>
      </w:r>
    </w:p>
    <w:p w14:paraId="04D682D6" w14:textId="77777777" w:rsidR="00F21EE2" w:rsidRPr="00275945" w:rsidRDefault="00F21EE2" w:rsidP="00F21EE2">
      <w:pPr>
        <w:jc w:val="both"/>
      </w:pPr>
    </w:p>
    <w:p w14:paraId="3465EC56" w14:textId="77777777" w:rsidR="00F21EE2" w:rsidRPr="00275945" w:rsidRDefault="00F21EE2" w:rsidP="00F21EE2">
      <w:pPr>
        <w:rPr>
          <w:b/>
        </w:rPr>
      </w:pPr>
      <w:r w:rsidRPr="00275945">
        <w:rPr>
          <w:b/>
        </w:rPr>
        <w:t>2.7 Semen Analysis</w:t>
      </w:r>
    </w:p>
    <w:p w14:paraId="4528799B" w14:textId="77777777" w:rsidR="00F21EE2" w:rsidRPr="00275945" w:rsidRDefault="00F21EE2" w:rsidP="00F21EE2">
      <w:pPr>
        <w:rPr>
          <w:b/>
        </w:rPr>
      </w:pPr>
    </w:p>
    <w:p w14:paraId="3CCE0B65" w14:textId="77777777" w:rsidR="00F21EE2" w:rsidRPr="00275945" w:rsidRDefault="00F21EE2" w:rsidP="00F21EE2">
      <w:r w:rsidRPr="00275945">
        <w:t xml:space="preserve">Semen parameters were evaluated using a Computer-assisted semen analyzer. </w:t>
      </w:r>
    </w:p>
    <w:p w14:paraId="47980499" w14:textId="77777777" w:rsidR="008B5B31" w:rsidRPr="00275945" w:rsidRDefault="008B5B31" w:rsidP="002A55B2"/>
    <w:p w14:paraId="2DF5326E" w14:textId="77777777" w:rsidR="00F21EE2" w:rsidRPr="00275945" w:rsidRDefault="00F21EE2" w:rsidP="002A55B2">
      <w:pPr>
        <w:rPr>
          <w:b/>
        </w:rPr>
      </w:pPr>
    </w:p>
    <w:p w14:paraId="329C7F6D" w14:textId="77777777" w:rsidR="00F21EE2" w:rsidRPr="00275945" w:rsidRDefault="00F21EE2" w:rsidP="002A55B2">
      <w:pPr>
        <w:rPr>
          <w:b/>
        </w:rPr>
      </w:pPr>
    </w:p>
    <w:p w14:paraId="38D14DCB" w14:textId="77777777" w:rsidR="002A55B2" w:rsidRPr="00275945" w:rsidRDefault="00F21EE2" w:rsidP="002A55B2">
      <w:pPr>
        <w:rPr>
          <w:b/>
        </w:rPr>
      </w:pPr>
      <w:r w:rsidRPr="00275945">
        <w:rPr>
          <w:b/>
        </w:rPr>
        <w:t>2.8</w:t>
      </w:r>
      <w:r w:rsidR="002A55B2" w:rsidRPr="00275945">
        <w:rPr>
          <w:b/>
        </w:rPr>
        <w:t xml:space="preserve"> Biochemical Assays</w:t>
      </w:r>
    </w:p>
    <w:p w14:paraId="50A22C60" w14:textId="77777777" w:rsidR="00EF5947" w:rsidRPr="00275945" w:rsidRDefault="00EF5947" w:rsidP="00901804">
      <w:pPr>
        <w:pStyle w:val="NormalWeb"/>
        <w:spacing w:line="480" w:lineRule="auto"/>
        <w:jc w:val="both"/>
      </w:pPr>
      <w:r w:rsidRPr="00275945">
        <w:t xml:space="preserve">The concentrations of seminal plasma constituents were determined as follows: </w:t>
      </w:r>
      <w:r w:rsidRPr="00275945">
        <w:rPr>
          <w:rStyle w:val="Strong"/>
          <w:b w:val="0"/>
        </w:rPr>
        <w:t>fructose</w:t>
      </w:r>
      <w:r w:rsidRPr="00275945">
        <w:rPr>
          <w:b/>
        </w:rPr>
        <w:t xml:space="preserve"> </w:t>
      </w:r>
      <w:r w:rsidRPr="00275945">
        <w:t xml:space="preserve">was measured using the resorcinol method as described by Seliwanoff (1887), </w:t>
      </w:r>
      <w:r w:rsidRPr="00275945">
        <w:rPr>
          <w:rStyle w:val="Strong"/>
          <w:b w:val="0"/>
        </w:rPr>
        <w:t>zinc</w:t>
      </w:r>
      <w:r w:rsidRPr="00275945">
        <w:t xml:space="preserve"> was quantified by colorimetric analysis, and </w:t>
      </w:r>
      <w:r w:rsidRPr="00275945">
        <w:rPr>
          <w:rStyle w:val="Strong"/>
          <w:b w:val="0"/>
        </w:rPr>
        <w:t>citric acid</w:t>
      </w:r>
      <w:r w:rsidRPr="00275945">
        <w:t xml:space="preserve"> was assessed using enzymatic titration methods (Umohinyang </w:t>
      </w:r>
      <w:r w:rsidRPr="00275945">
        <w:rPr>
          <w:i/>
        </w:rPr>
        <w:t>et al</w:t>
      </w:r>
      <w:r w:rsidRPr="00275945">
        <w:t>., 2021).</w:t>
      </w:r>
    </w:p>
    <w:p w14:paraId="788D5196" w14:textId="77777777" w:rsidR="00EF5947" w:rsidRPr="00275945" w:rsidRDefault="00EF5947" w:rsidP="00311459">
      <w:pPr>
        <w:jc w:val="both"/>
      </w:pPr>
    </w:p>
    <w:p w14:paraId="607FEB37" w14:textId="77777777" w:rsidR="00EF5947" w:rsidRPr="00275945" w:rsidRDefault="00AE1F4B" w:rsidP="00EF5947">
      <w:pPr>
        <w:rPr>
          <w:b/>
        </w:rPr>
      </w:pPr>
      <w:r w:rsidRPr="00275945">
        <w:rPr>
          <w:b/>
        </w:rPr>
        <w:t>2.9</w:t>
      </w:r>
      <w:r w:rsidR="00EF5947" w:rsidRPr="00275945">
        <w:rPr>
          <w:b/>
        </w:rPr>
        <w:t xml:space="preserve"> Statistical Analysis</w:t>
      </w:r>
    </w:p>
    <w:p w14:paraId="266F8342" w14:textId="77777777" w:rsidR="00EF5947" w:rsidRPr="00275945" w:rsidRDefault="00EF5947" w:rsidP="00EF5947">
      <w:pPr>
        <w:rPr>
          <w:b/>
        </w:rPr>
      </w:pPr>
    </w:p>
    <w:p w14:paraId="1F0B527F" w14:textId="77777777" w:rsidR="00EF5947" w:rsidRPr="00275945" w:rsidRDefault="00EF5947" w:rsidP="00EF5947">
      <w:pPr>
        <w:spacing w:line="480" w:lineRule="auto"/>
        <w:jc w:val="both"/>
      </w:pPr>
      <w:r w:rsidRPr="00275945">
        <w:t>Data were analyzed using SPSS v</w:t>
      </w:r>
      <w:r w:rsidR="00F21EE2" w:rsidRPr="00275945">
        <w:t xml:space="preserve"> 26</w:t>
      </w:r>
      <w:r w:rsidRPr="00275945">
        <w:t xml:space="preserve">.0. Results were presented </w:t>
      </w:r>
      <w:r w:rsidR="00F21EE2" w:rsidRPr="00275945">
        <w:t xml:space="preserve">as mean ± SD and compared using student’s t </w:t>
      </w:r>
      <w:r w:rsidR="00AE1F4B" w:rsidRPr="00275945">
        <w:t xml:space="preserve">test and </w:t>
      </w:r>
      <w:r w:rsidRPr="00275945">
        <w:t>ANOVA</w:t>
      </w:r>
      <w:r w:rsidR="00AE1F4B" w:rsidRPr="00275945">
        <w:t xml:space="preserve"> where necessary</w:t>
      </w:r>
      <w:r w:rsidRPr="00275945">
        <w:t>. Pearson correlation assessed associations between biochemica</w:t>
      </w:r>
      <w:r w:rsidR="00F21EE2" w:rsidRPr="00275945">
        <w:t xml:space="preserve">l markers and sperm quality. A </w:t>
      </w:r>
      <w:r w:rsidR="00F21EE2" w:rsidRPr="00275945">
        <w:rPr>
          <w:i/>
        </w:rPr>
        <w:t>P</w:t>
      </w:r>
      <w:r w:rsidR="00F21EE2" w:rsidRPr="00275945">
        <w:t xml:space="preserve">-value &lt; </w:t>
      </w:r>
      <w:r w:rsidRPr="00275945">
        <w:t>.05 was considered statistically significant.</w:t>
      </w:r>
    </w:p>
    <w:p w14:paraId="10688B9C" w14:textId="77777777" w:rsidR="004636E8" w:rsidRPr="00275945" w:rsidRDefault="004636E8" w:rsidP="00370EA4">
      <w:pPr>
        <w:rPr>
          <w:b/>
        </w:rPr>
      </w:pPr>
    </w:p>
    <w:p w14:paraId="15C09F5D" w14:textId="77777777" w:rsidR="004636E8" w:rsidRPr="00275945" w:rsidRDefault="00EF5947" w:rsidP="004636E8">
      <w:pPr>
        <w:rPr>
          <w:b/>
        </w:rPr>
      </w:pPr>
      <w:r w:rsidRPr="00275945">
        <w:rPr>
          <w:b/>
        </w:rPr>
        <w:t>3. RESULTS</w:t>
      </w:r>
    </w:p>
    <w:p w14:paraId="19AE7566" w14:textId="77777777" w:rsidR="00185938" w:rsidRPr="00275945" w:rsidRDefault="00185938" w:rsidP="00EB0324">
      <w:pPr>
        <w:pStyle w:val="NormalWeb"/>
        <w:jc w:val="both"/>
        <w:rPr>
          <w:b/>
        </w:rPr>
      </w:pPr>
      <w:r w:rsidRPr="00275945">
        <w:rPr>
          <w:b/>
        </w:rPr>
        <w:t xml:space="preserve">3.1: </w:t>
      </w:r>
      <w:r w:rsidR="00EB0324" w:rsidRPr="00275945">
        <w:rPr>
          <w:b/>
        </w:rPr>
        <w:t>Comparisons</w:t>
      </w:r>
      <w:r w:rsidR="00EB0324" w:rsidRPr="00275945">
        <w:rPr>
          <w:rFonts w:eastAsia="DengXian"/>
          <w:b/>
          <w:lang w:eastAsia="zh-CN"/>
        </w:rPr>
        <w:t xml:space="preserve"> of Sperm Counts, Sperm Motility, Zinc, Citric Acid and Fructose Concentrations between </w:t>
      </w:r>
      <w:r w:rsidR="00FA7A42" w:rsidRPr="00275945">
        <w:rPr>
          <w:b/>
        </w:rPr>
        <w:t>Infertile and Fertile Males</w:t>
      </w:r>
      <w:r w:rsidRPr="00275945">
        <w:rPr>
          <w:b/>
        </w:rPr>
        <w:t xml:space="preserve"> Parameters </w:t>
      </w:r>
    </w:p>
    <w:p w14:paraId="54DA8FE3" w14:textId="77777777" w:rsidR="00915254" w:rsidRPr="00275945" w:rsidRDefault="006916C2" w:rsidP="009B4514">
      <w:pPr>
        <w:spacing w:line="480" w:lineRule="auto"/>
        <w:jc w:val="both"/>
        <w:rPr>
          <w:b/>
        </w:rPr>
      </w:pPr>
      <w:r w:rsidRPr="00275945">
        <w:t>The mean age of infertile men was comparable to that of fertile controls, with no statistically si</w:t>
      </w:r>
      <w:r w:rsidR="00F21EE2" w:rsidRPr="00275945">
        <w:t xml:space="preserve">gnificant difference observed (P </w:t>
      </w:r>
      <w:r w:rsidR="00F21EE2" w:rsidRPr="00275945">
        <w:rPr>
          <w:i/>
        </w:rPr>
        <w:t xml:space="preserve">&gt; </w:t>
      </w:r>
      <w:r w:rsidRPr="00275945">
        <w:t>.05). In contrast, infertile men exhibited significantly lower sperm count and sperm motility compared with fertile males (p &lt; 0.05). Seminal plasma zinc and citric acid concentrations were markedly reduced in infertile men relative to fertile controls, with these differences reac</w:t>
      </w:r>
      <w:r w:rsidR="00F21EE2" w:rsidRPr="00275945">
        <w:t>hing statistical significance (</w:t>
      </w:r>
      <w:r w:rsidR="00F21EE2" w:rsidRPr="00275945">
        <w:rPr>
          <w:i/>
        </w:rPr>
        <w:t>P</w:t>
      </w:r>
      <w:r w:rsidRPr="00275945">
        <w:rPr>
          <w:i/>
        </w:rPr>
        <w:t xml:space="preserve"> </w:t>
      </w:r>
      <w:r w:rsidRPr="00275945">
        <w:t>&lt;.05). Similarly, seminal fructose levels were significantly lower among infertile men</w:t>
      </w:r>
      <w:r w:rsidR="00F21EE2" w:rsidRPr="00275945">
        <w:t xml:space="preserve"> compared with fertile males (</w:t>
      </w:r>
      <w:r w:rsidR="00F21EE2" w:rsidRPr="00275945">
        <w:rPr>
          <w:i/>
        </w:rPr>
        <w:t>P</w:t>
      </w:r>
      <w:r w:rsidR="00F21EE2" w:rsidRPr="00275945">
        <w:t xml:space="preserve"> &lt; .</w:t>
      </w:r>
      <w:r w:rsidRPr="00275945">
        <w:t>05).</w:t>
      </w:r>
    </w:p>
    <w:p w14:paraId="5FCEDC64" w14:textId="77777777" w:rsidR="00915254" w:rsidRPr="00275945" w:rsidRDefault="00915254" w:rsidP="00370EA4">
      <w:pPr>
        <w:rPr>
          <w:b/>
        </w:rPr>
      </w:pPr>
    </w:p>
    <w:p w14:paraId="1DE9DBDF" w14:textId="035100E2" w:rsidR="00EB0324" w:rsidRPr="00275945" w:rsidRDefault="00370EA4" w:rsidP="00FA7A42">
      <w:pPr>
        <w:jc w:val="both"/>
        <w:rPr>
          <w:b/>
        </w:rPr>
      </w:pPr>
      <w:r w:rsidRPr="00275945">
        <w:rPr>
          <w:b/>
        </w:rPr>
        <w:t xml:space="preserve">Table 1: </w:t>
      </w:r>
      <w:r w:rsidR="00EB0324" w:rsidRPr="00275945">
        <w:rPr>
          <w:b/>
        </w:rPr>
        <w:t>Comparison of Some Semen Parameters</w:t>
      </w:r>
      <w:r w:rsidR="00FA7A42" w:rsidRPr="00275945">
        <w:rPr>
          <w:b/>
        </w:rPr>
        <w:t xml:space="preserve"> between Infertile and </w:t>
      </w:r>
    </w:p>
    <w:p w14:paraId="2FA4B0EF" w14:textId="77777777" w:rsidR="00EB0324" w:rsidRPr="00275945" w:rsidRDefault="00EB0324" w:rsidP="00FA7A42">
      <w:pPr>
        <w:jc w:val="both"/>
        <w:rPr>
          <w:b/>
        </w:rPr>
      </w:pPr>
      <w:r w:rsidRPr="00275945">
        <w:rPr>
          <w:b/>
        </w:rPr>
        <w:t xml:space="preserve">  </w:t>
      </w:r>
    </w:p>
    <w:p w14:paraId="5C24A022" w14:textId="77777777" w:rsidR="00FA7A42" w:rsidRPr="00275945" w:rsidRDefault="00FA7A42" w:rsidP="00FA7A42">
      <w:pPr>
        <w:jc w:val="both"/>
      </w:pPr>
      <w:r w:rsidRPr="00275945">
        <w:rPr>
          <w:b/>
        </w:rPr>
        <w:t xml:space="preserve">Fertile Males </w:t>
      </w:r>
    </w:p>
    <w:p w14:paraId="042013FE" w14:textId="77777777" w:rsidR="00EF5947" w:rsidRPr="00275945" w:rsidRDefault="00EF5947" w:rsidP="00370EA4">
      <w:pPr>
        <w:rPr>
          <w:b/>
        </w:rPr>
      </w:pPr>
    </w:p>
    <w:tbl>
      <w:tblPr>
        <w:tblStyle w:val="TableGrid"/>
        <w:tblW w:w="9900" w:type="dxa"/>
        <w:tblInd w:w="-432" w:type="dxa"/>
        <w:tblLook w:val="01E0" w:firstRow="1" w:lastRow="1" w:firstColumn="1" w:lastColumn="1" w:noHBand="0" w:noVBand="0"/>
      </w:tblPr>
      <w:tblGrid>
        <w:gridCol w:w="3060"/>
        <w:gridCol w:w="2160"/>
        <w:gridCol w:w="2160"/>
        <w:gridCol w:w="1260"/>
        <w:gridCol w:w="1260"/>
      </w:tblGrid>
      <w:tr w:rsidR="008D0FF0" w:rsidRPr="00275945" w14:paraId="204E1864" w14:textId="77777777" w:rsidTr="00215EFC">
        <w:tc>
          <w:tcPr>
            <w:tcW w:w="3060" w:type="dxa"/>
            <w:tcBorders>
              <w:left w:val="nil"/>
              <w:bottom w:val="single" w:sz="4" w:space="0" w:color="auto"/>
              <w:right w:val="nil"/>
            </w:tcBorders>
          </w:tcPr>
          <w:p w14:paraId="5DABB05E" w14:textId="77777777" w:rsidR="008D0FF0" w:rsidRPr="00275945" w:rsidRDefault="008D0FF0" w:rsidP="00311459">
            <w:pPr>
              <w:jc w:val="both"/>
              <w:rPr>
                <w:b/>
              </w:rPr>
            </w:pPr>
            <w:r w:rsidRPr="00275945">
              <w:rPr>
                <w:b/>
              </w:rPr>
              <w:t>Parameter</w:t>
            </w:r>
          </w:p>
        </w:tc>
        <w:tc>
          <w:tcPr>
            <w:tcW w:w="2160" w:type="dxa"/>
            <w:tcBorders>
              <w:left w:val="nil"/>
              <w:bottom w:val="single" w:sz="4" w:space="0" w:color="auto"/>
              <w:right w:val="nil"/>
            </w:tcBorders>
          </w:tcPr>
          <w:p w14:paraId="1E99EFBA" w14:textId="77777777" w:rsidR="008D0FF0" w:rsidRPr="00275945" w:rsidRDefault="009F4CEB" w:rsidP="00311459">
            <w:pPr>
              <w:jc w:val="both"/>
              <w:rPr>
                <w:b/>
              </w:rPr>
            </w:pPr>
            <w:r w:rsidRPr="00275945">
              <w:rPr>
                <w:b/>
              </w:rPr>
              <w:t xml:space="preserve">Infertile </w:t>
            </w:r>
            <w:r w:rsidR="008D0FF0" w:rsidRPr="00275945">
              <w:rPr>
                <w:b/>
              </w:rPr>
              <w:t>Male</w:t>
            </w:r>
            <w:r w:rsidRPr="00275945">
              <w:rPr>
                <w:b/>
              </w:rPr>
              <w:t>s</w:t>
            </w:r>
          </w:p>
          <w:p w14:paraId="128E636D" w14:textId="77777777" w:rsidR="001F4C50" w:rsidRPr="00275945" w:rsidRDefault="001F4C50" w:rsidP="00311459">
            <w:pPr>
              <w:jc w:val="both"/>
              <w:rPr>
                <w:b/>
              </w:rPr>
            </w:pPr>
            <w:r w:rsidRPr="00275945">
              <w:rPr>
                <w:b/>
              </w:rPr>
              <w:t>(n =100)</w:t>
            </w:r>
          </w:p>
        </w:tc>
        <w:tc>
          <w:tcPr>
            <w:tcW w:w="2160" w:type="dxa"/>
            <w:tcBorders>
              <w:left w:val="nil"/>
              <w:bottom w:val="single" w:sz="4" w:space="0" w:color="auto"/>
              <w:right w:val="nil"/>
            </w:tcBorders>
          </w:tcPr>
          <w:p w14:paraId="7B89108E" w14:textId="77777777" w:rsidR="008D0FF0" w:rsidRPr="00275945" w:rsidRDefault="008D0FF0" w:rsidP="00311459">
            <w:pPr>
              <w:jc w:val="both"/>
              <w:rPr>
                <w:b/>
              </w:rPr>
            </w:pPr>
            <w:r w:rsidRPr="00275945">
              <w:rPr>
                <w:b/>
              </w:rPr>
              <w:t>Fertile Male</w:t>
            </w:r>
            <w:r w:rsidR="009F4CEB" w:rsidRPr="00275945">
              <w:rPr>
                <w:b/>
              </w:rPr>
              <w:t>s</w:t>
            </w:r>
          </w:p>
          <w:p w14:paraId="544D0E1F" w14:textId="77777777" w:rsidR="001F4C50" w:rsidRPr="00275945" w:rsidRDefault="001F4C50" w:rsidP="00311459">
            <w:pPr>
              <w:jc w:val="both"/>
              <w:rPr>
                <w:b/>
              </w:rPr>
            </w:pPr>
            <w:r w:rsidRPr="00275945">
              <w:rPr>
                <w:b/>
              </w:rPr>
              <w:t>(n = 50)</w:t>
            </w:r>
          </w:p>
        </w:tc>
        <w:tc>
          <w:tcPr>
            <w:tcW w:w="1260" w:type="dxa"/>
            <w:tcBorders>
              <w:left w:val="nil"/>
              <w:bottom w:val="single" w:sz="4" w:space="0" w:color="auto"/>
              <w:right w:val="nil"/>
            </w:tcBorders>
          </w:tcPr>
          <w:p w14:paraId="2B23A2BD" w14:textId="77777777" w:rsidR="008D0FF0" w:rsidRPr="00275945" w:rsidRDefault="008D0FF0" w:rsidP="00311459">
            <w:pPr>
              <w:jc w:val="both"/>
              <w:rPr>
                <w:b/>
              </w:rPr>
            </w:pPr>
            <w:r w:rsidRPr="00275945">
              <w:rPr>
                <w:b/>
              </w:rPr>
              <w:t>p-value</w:t>
            </w:r>
          </w:p>
        </w:tc>
        <w:tc>
          <w:tcPr>
            <w:tcW w:w="1260" w:type="dxa"/>
            <w:tcBorders>
              <w:left w:val="nil"/>
              <w:bottom w:val="single" w:sz="4" w:space="0" w:color="auto"/>
              <w:right w:val="nil"/>
            </w:tcBorders>
          </w:tcPr>
          <w:p w14:paraId="11270095" w14:textId="77777777" w:rsidR="008D0FF0" w:rsidRPr="00275945" w:rsidRDefault="008D0FF0" w:rsidP="00311459">
            <w:pPr>
              <w:jc w:val="both"/>
              <w:rPr>
                <w:b/>
              </w:rPr>
            </w:pPr>
            <w:r w:rsidRPr="00275945">
              <w:rPr>
                <w:b/>
              </w:rPr>
              <w:t>Remark</w:t>
            </w:r>
          </w:p>
        </w:tc>
      </w:tr>
      <w:tr w:rsidR="008D0FF0" w:rsidRPr="00275945" w14:paraId="3430E16F" w14:textId="77777777" w:rsidTr="00215EFC">
        <w:tc>
          <w:tcPr>
            <w:tcW w:w="3060" w:type="dxa"/>
            <w:tcBorders>
              <w:left w:val="nil"/>
              <w:bottom w:val="nil"/>
              <w:right w:val="nil"/>
            </w:tcBorders>
          </w:tcPr>
          <w:p w14:paraId="6F0A7A02" w14:textId="77777777" w:rsidR="00083EC1" w:rsidRPr="00275945" w:rsidRDefault="00083EC1" w:rsidP="00311459">
            <w:pPr>
              <w:jc w:val="both"/>
            </w:pPr>
          </w:p>
          <w:p w14:paraId="7FF79C14" w14:textId="77777777" w:rsidR="008D0FF0" w:rsidRPr="00275945" w:rsidRDefault="008D0FF0" w:rsidP="00311459">
            <w:pPr>
              <w:jc w:val="both"/>
            </w:pPr>
            <w:r w:rsidRPr="00275945">
              <w:t>Age (Years)</w:t>
            </w:r>
          </w:p>
        </w:tc>
        <w:tc>
          <w:tcPr>
            <w:tcW w:w="2160" w:type="dxa"/>
            <w:tcBorders>
              <w:left w:val="nil"/>
              <w:bottom w:val="nil"/>
              <w:right w:val="nil"/>
            </w:tcBorders>
          </w:tcPr>
          <w:p w14:paraId="592BA71F" w14:textId="77777777" w:rsidR="00083EC1" w:rsidRPr="00275945" w:rsidRDefault="00083EC1" w:rsidP="00311459">
            <w:pPr>
              <w:jc w:val="both"/>
              <w:rPr>
                <w:lang w:val="pt-BR"/>
              </w:rPr>
            </w:pPr>
          </w:p>
          <w:p w14:paraId="7AB733D7" w14:textId="77777777" w:rsidR="008D0FF0" w:rsidRPr="00275945" w:rsidRDefault="008D0FF0" w:rsidP="00311459">
            <w:pPr>
              <w:jc w:val="both"/>
            </w:pPr>
            <w:r w:rsidRPr="00275945">
              <w:rPr>
                <w:lang w:val="pt-BR"/>
              </w:rPr>
              <w:t>37.05 ± 8.09</w:t>
            </w:r>
          </w:p>
        </w:tc>
        <w:tc>
          <w:tcPr>
            <w:tcW w:w="2160" w:type="dxa"/>
            <w:tcBorders>
              <w:left w:val="nil"/>
              <w:bottom w:val="nil"/>
              <w:right w:val="nil"/>
            </w:tcBorders>
          </w:tcPr>
          <w:p w14:paraId="614CA84E" w14:textId="77777777" w:rsidR="00083EC1" w:rsidRPr="00275945" w:rsidRDefault="00083EC1" w:rsidP="00311459">
            <w:pPr>
              <w:jc w:val="both"/>
              <w:rPr>
                <w:lang w:val="pt-BR"/>
              </w:rPr>
            </w:pPr>
          </w:p>
          <w:p w14:paraId="54E19313" w14:textId="77777777" w:rsidR="008D0FF0" w:rsidRPr="00275945" w:rsidRDefault="008D0FF0" w:rsidP="00311459">
            <w:pPr>
              <w:jc w:val="both"/>
            </w:pPr>
            <w:r w:rsidRPr="00275945">
              <w:rPr>
                <w:lang w:val="pt-BR"/>
              </w:rPr>
              <w:t>37.84 ± 10.14</w:t>
            </w:r>
          </w:p>
        </w:tc>
        <w:tc>
          <w:tcPr>
            <w:tcW w:w="1260" w:type="dxa"/>
            <w:tcBorders>
              <w:left w:val="nil"/>
              <w:bottom w:val="nil"/>
              <w:right w:val="nil"/>
            </w:tcBorders>
          </w:tcPr>
          <w:p w14:paraId="6CD41877" w14:textId="77777777" w:rsidR="00083EC1" w:rsidRPr="00275945" w:rsidRDefault="00083EC1" w:rsidP="00311459">
            <w:pPr>
              <w:jc w:val="both"/>
            </w:pPr>
          </w:p>
          <w:p w14:paraId="1FBB81E5" w14:textId="77777777" w:rsidR="008D0FF0" w:rsidRPr="00275945" w:rsidRDefault="008D0FF0" w:rsidP="00311459">
            <w:pPr>
              <w:jc w:val="both"/>
            </w:pPr>
            <w:r w:rsidRPr="00275945">
              <w:t>0.6257</w:t>
            </w:r>
          </w:p>
        </w:tc>
        <w:tc>
          <w:tcPr>
            <w:tcW w:w="1260" w:type="dxa"/>
            <w:tcBorders>
              <w:left w:val="nil"/>
              <w:bottom w:val="nil"/>
              <w:right w:val="nil"/>
            </w:tcBorders>
          </w:tcPr>
          <w:p w14:paraId="777300FC" w14:textId="77777777" w:rsidR="00083EC1" w:rsidRPr="00275945" w:rsidRDefault="00083EC1" w:rsidP="00311459">
            <w:pPr>
              <w:jc w:val="both"/>
            </w:pPr>
          </w:p>
          <w:p w14:paraId="11F9B8BD" w14:textId="77777777" w:rsidR="008D0FF0" w:rsidRPr="00275945" w:rsidRDefault="008D0FF0" w:rsidP="00311459">
            <w:pPr>
              <w:jc w:val="both"/>
            </w:pPr>
            <w:r w:rsidRPr="00275945">
              <w:t>NS</w:t>
            </w:r>
          </w:p>
        </w:tc>
      </w:tr>
      <w:tr w:rsidR="008D0FF0" w:rsidRPr="00275945" w14:paraId="7990515E" w14:textId="77777777" w:rsidTr="00215EFC">
        <w:tc>
          <w:tcPr>
            <w:tcW w:w="3060" w:type="dxa"/>
            <w:tcBorders>
              <w:top w:val="nil"/>
              <w:left w:val="nil"/>
              <w:bottom w:val="nil"/>
              <w:right w:val="nil"/>
            </w:tcBorders>
          </w:tcPr>
          <w:p w14:paraId="524530B2" w14:textId="77777777" w:rsidR="00083EC1" w:rsidRPr="00275945" w:rsidRDefault="00083EC1" w:rsidP="00311459">
            <w:pPr>
              <w:jc w:val="both"/>
            </w:pPr>
          </w:p>
          <w:p w14:paraId="436A008B" w14:textId="77777777" w:rsidR="008D0FF0" w:rsidRPr="00275945" w:rsidRDefault="00215EFC" w:rsidP="00311459">
            <w:pPr>
              <w:jc w:val="both"/>
            </w:pPr>
            <w:r w:rsidRPr="00275945">
              <w:t>Sperm Count x (10</w:t>
            </w:r>
            <w:r w:rsidRPr="00275945">
              <w:rPr>
                <w:vertAlign w:val="superscript"/>
              </w:rPr>
              <w:t>6</w:t>
            </w:r>
            <w:r w:rsidR="008D0FF0" w:rsidRPr="00275945">
              <w:t>/mL)</w:t>
            </w:r>
          </w:p>
        </w:tc>
        <w:tc>
          <w:tcPr>
            <w:tcW w:w="2160" w:type="dxa"/>
            <w:tcBorders>
              <w:top w:val="nil"/>
              <w:left w:val="nil"/>
              <w:bottom w:val="nil"/>
              <w:right w:val="nil"/>
            </w:tcBorders>
          </w:tcPr>
          <w:p w14:paraId="54A3B334" w14:textId="77777777" w:rsidR="00083EC1" w:rsidRPr="00275945" w:rsidRDefault="00083EC1" w:rsidP="00311459">
            <w:pPr>
              <w:jc w:val="both"/>
              <w:rPr>
                <w:lang w:val="pt-BR"/>
              </w:rPr>
            </w:pPr>
          </w:p>
          <w:p w14:paraId="271EC282" w14:textId="77777777" w:rsidR="008D0FF0" w:rsidRPr="00275945" w:rsidRDefault="008D0FF0" w:rsidP="00311459">
            <w:pPr>
              <w:jc w:val="both"/>
            </w:pPr>
            <w:r w:rsidRPr="00275945">
              <w:rPr>
                <w:lang w:val="pt-BR"/>
              </w:rPr>
              <w:t>64.84±37.94</w:t>
            </w:r>
          </w:p>
        </w:tc>
        <w:tc>
          <w:tcPr>
            <w:tcW w:w="2160" w:type="dxa"/>
            <w:tcBorders>
              <w:top w:val="nil"/>
              <w:left w:val="nil"/>
              <w:bottom w:val="nil"/>
              <w:right w:val="nil"/>
            </w:tcBorders>
          </w:tcPr>
          <w:p w14:paraId="6218CF4A" w14:textId="77777777" w:rsidR="00083EC1" w:rsidRPr="00275945" w:rsidRDefault="00083EC1" w:rsidP="00311459">
            <w:pPr>
              <w:jc w:val="both"/>
              <w:rPr>
                <w:lang w:val="pt-BR"/>
              </w:rPr>
            </w:pPr>
          </w:p>
          <w:p w14:paraId="6CD53075" w14:textId="77777777" w:rsidR="008D0FF0" w:rsidRPr="00275945" w:rsidRDefault="00BF58B0" w:rsidP="00311459">
            <w:pPr>
              <w:jc w:val="both"/>
            </w:pPr>
            <w:r w:rsidRPr="00275945">
              <w:rPr>
                <w:lang w:val="pt-BR"/>
              </w:rPr>
              <w:t>101.80</w:t>
            </w:r>
            <w:r w:rsidR="008D0FF0" w:rsidRPr="00275945">
              <w:rPr>
                <w:lang w:val="pt-BR"/>
              </w:rPr>
              <w:t>± 21.89</w:t>
            </w:r>
          </w:p>
        </w:tc>
        <w:tc>
          <w:tcPr>
            <w:tcW w:w="1260" w:type="dxa"/>
            <w:tcBorders>
              <w:top w:val="nil"/>
              <w:left w:val="nil"/>
              <w:bottom w:val="nil"/>
              <w:right w:val="nil"/>
            </w:tcBorders>
          </w:tcPr>
          <w:p w14:paraId="49B0EBE5" w14:textId="77777777" w:rsidR="00083EC1" w:rsidRPr="00275945" w:rsidRDefault="00083EC1" w:rsidP="00311459">
            <w:pPr>
              <w:jc w:val="both"/>
            </w:pPr>
          </w:p>
          <w:p w14:paraId="23567F8B" w14:textId="77777777" w:rsidR="008D0FF0" w:rsidRPr="00275945" w:rsidRDefault="008D0FF0" w:rsidP="00311459">
            <w:pPr>
              <w:jc w:val="both"/>
            </w:pPr>
            <w:r w:rsidRPr="00275945">
              <w:t>0.0008</w:t>
            </w:r>
          </w:p>
        </w:tc>
        <w:tc>
          <w:tcPr>
            <w:tcW w:w="1260" w:type="dxa"/>
            <w:tcBorders>
              <w:top w:val="nil"/>
              <w:left w:val="nil"/>
              <w:bottom w:val="nil"/>
              <w:right w:val="nil"/>
            </w:tcBorders>
          </w:tcPr>
          <w:p w14:paraId="4867B8AF" w14:textId="77777777" w:rsidR="00083EC1" w:rsidRPr="00275945" w:rsidRDefault="00083EC1" w:rsidP="00311459">
            <w:pPr>
              <w:jc w:val="both"/>
            </w:pPr>
          </w:p>
          <w:p w14:paraId="4E24EC76" w14:textId="77777777" w:rsidR="008D0FF0" w:rsidRPr="00275945" w:rsidRDefault="008D0FF0" w:rsidP="00311459">
            <w:pPr>
              <w:jc w:val="both"/>
            </w:pPr>
            <w:r w:rsidRPr="00275945">
              <w:t>S</w:t>
            </w:r>
          </w:p>
        </w:tc>
      </w:tr>
      <w:tr w:rsidR="008D0FF0" w:rsidRPr="00275945" w14:paraId="181D9BAF" w14:textId="77777777" w:rsidTr="00215EFC">
        <w:tc>
          <w:tcPr>
            <w:tcW w:w="3060" w:type="dxa"/>
            <w:tcBorders>
              <w:top w:val="nil"/>
              <w:left w:val="nil"/>
              <w:bottom w:val="nil"/>
              <w:right w:val="nil"/>
            </w:tcBorders>
          </w:tcPr>
          <w:p w14:paraId="308E6F92" w14:textId="77777777" w:rsidR="00083EC1" w:rsidRPr="00275945" w:rsidRDefault="00083EC1" w:rsidP="00311459">
            <w:pPr>
              <w:jc w:val="both"/>
            </w:pPr>
          </w:p>
          <w:p w14:paraId="635B0795" w14:textId="77777777" w:rsidR="008D0FF0" w:rsidRPr="00275945" w:rsidRDefault="008D0FF0" w:rsidP="00311459">
            <w:pPr>
              <w:jc w:val="both"/>
            </w:pPr>
            <w:r w:rsidRPr="00275945">
              <w:t>Sperm Motility (%)</w:t>
            </w:r>
          </w:p>
        </w:tc>
        <w:tc>
          <w:tcPr>
            <w:tcW w:w="2160" w:type="dxa"/>
            <w:tcBorders>
              <w:top w:val="nil"/>
              <w:left w:val="nil"/>
              <w:bottom w:val="nil"/>
              <w:right w:val="nil"/>
            </w:tcBorders>
          </w:tcPr>
          <w:p w14:paraId="363ECD46" w14:textId="77777777" w:rsidR="00083EC1" w:rsidRPr="00275945" w:rsidRDefault="00083EC1" w:rsidP="00311459">
            <w:pPr>
              <w:jc w:val="both"/>
              <w:rPr>
                <w:lang w:val="pt-BR"/>
              </w:rPr>
            </w:pPr>
          </w:p>
          <w:p w14:paraId="2255D0B8" w14:textId="77777777" w:rsidR="008D0FF0" w:rsidRPr="00275945" w:rsidRDefault="008D0FF0" w:rsidP="00311459">
            <w:pPr>
              <w:jc w:val="both"/>
            </w:pPr>
            <w:r w:rsidRPr="00275945">
              <w:rPr>
                <w:lang w:val="pt-BR"/>
              </w:rPr>
              <w:t>29.20±13.76</w:t>
            </w:r>
          </w:p>
        </w:tc>
        <w:tc>
          <w:tcPr>
            <w:tcW w:w="2160" w:type="dxa"/>
            <w:tcBorders>
              <w:top w:val="nil"/>
              <w:left w:val="nil"/>
              <w:bottom w:val="nil"/>
              <w:right w:val="nil"/>
            </w:tcBorders>
          </w:tcPr>
          <w:p w14:paraId="5134F7F6" w14:textId="77777777" w:rsidR="00083EC1" w:rsidRPr="00275945" w:rsidRDefault="00083EC1" w:rsidP="00311459">
            <w:pPr>
              <w:jc w:val="both"/>
              <w:rPr>
                <w:lang w:val="pt-BR"/>
              </w:rPr>
            </w:pPr>
          </w:p>
          <w:p w14:paraId="78197F64" w14:textId="77777777" w:rsidR="008D0FF0" w:rsidRPr="00275945" w:rsidRDefault="008D0FF0" w:rsidP="00311459">
            <w:pPr>
              <w:jc w:val="both"/>
            </w:pPr>
            <w:r w:rsidRPr="00275945">
              <w:rPr>
                <w:lang w:val="pt-BR"/>
              </w:rPr>
              <w:t>40.50 ± 3.23</w:t>
            </w:r>
          </w:p>
        </w:tc>
        <w:tc>
          <w:tcPr>
            <w:tcW w:w="1260" w:type="dxa"/>
            <w:tcBorders>
              <w:top w:val="nil"/>
              <w:left w:val="nil"/>
              <w:bottom w:val="nil"/>
              <w:right w:val="nil"/>
            </w:tcBorders>
          </w:tcPr>
          <w:p w14:paraId="0539162B" w14:textId="77777777" w:rsidR="00083EC1" w:rsidRPr="00275945" w:rsidRDefault="00083EC1" w:rsidP="00311459">
            <w:pPr>
              <w:jc w:val="both"/>
            </w:pPr>
          </w:p>
          <w:p w14:paraId="7A14263E" w14:textId="77777777" w:rsidR="008D0FF0" w:rsidRPr="00275945" w:rsidRDefault="008D0FF0" w:rsidP="00311459">
            <w:pPr>
              <w:jc w:val="both"/>
            </w:pPr>
            <w:r w:rsidRPr="00275945">
              <w:t>&lt;0.0001</w:t>
            </w:r>
          </w:p>
        </w:tc>
        <w:tc>
          <w:tcPr>
            <w:tcW w:w="1260" w:type="dxa"/>
            <w:tcBorders>
              <w:top w:val="nil"/>
              <w:left w:val="nil"/>
              <w:bottom w:val="nil"/>
              <w:right w:val="nil"/>
            </w:tcBorders>
          </w:tcPr>
          <w:p w14:paraId="720C0252" w14:textId="77777777" w:rsidR="00083EC1" w:rsidRPr="00275945" w:rsidRDefault="00083EC1" w:rsidP="00311459">
            <w:pPr>
              <w:jc w:val="both"/>
            </w:pPr>
          </w:p>
          <w:p w14:paraId="51C1EFE9" w14:textId="77777777" w:rsidR="008D0FF0" w:rsidRPr="00275945" w:rsidRDefault="008D0FF0" w:rsidP="00311459">
            <w:pPr>
              <w:jc w:val="both"/>
            </w:pPr>
            <w:r w:rsidRPr="00275945">
              <w:t>S</w:t>
            </w:r>
          </w:p>
        </w:tc>
      </w:tr>
      <w:tr w:rsidR="00F45899" w:rsidRPr="00275945" w14:paraId="1FA8F27A" w14:textId="77777777" w:rsidTr="00215EFC">
        <w:tc>
          <w:tcPr>
            <w:tcW w:w="3060" w:type="dxa"/>
            <w:tcBorders>
              <w:top w:val="nil"/>
              <w:left w:val="nil"/>
              <w:bottom w:val="nil"/>
              <w:right w:val="nil"/>
            </w:tcBorders>
          </w:tcPr>
          <w:p w14:paraId="42EA3A7A" w14:textId="77777777" w:rsidR="00F45899" w:rsidRPr="00275945" w:rsidRDefault="00F45899" w:rsidP="00F45899">
            <w:pPr>
              <w:jc w:val="both"/>
            </w:pPr>
          </w:p>
          <w:p w14:paraId="2ED2331D" w14:textId="77777777" w:rsidR="00F45899" w:rsidRPr="00275945" w:rsidRDefault="00F45899" w:rsidP="00F45899">
            <w:pPr>
              <w:jc w:val="both"/>
            </w:pPr>
            <w:r w:rsidRPr="00275945">
              <w:t>Fructose (µmol/mL)</w:t>
            </w:r>
          </w:p>
        </w:tc>
        <w:tc>
          <w:tcPr>
            <w:tcW w:w="2160" w:type="dxa"/>
            <w:tcBorders>
              <w:top w:val="nil"/>
              <w:left w:val="nil"/>
              <w:bottom w:val="nil"/>
              <w:right w:val="nil"/>
            </w:tcBorders>
          </w:tcPr>
          <w:p w14:paraId="50FF9C60" w14:textId="77777777" w:rsidR="00F45899" w:rsidRPr="00275945" w:rsidRDefault="00F45899" w:rsidP="00F45899">
            <w:pPr>
              <w:jc w:val="both"/>
              <w:rPr>
                <w:lang w:val="pt-BR"/>
              </w:rPr>
            </w:pPr>
          </w:p>
          <w:p w14:paraId="791EFB98" w14:textId="77777777" w:rsidR="00F45899" w:rsidRPr="00275945" w:rsidRDefault="00F45899" w:rsidP="00F45899">
            <w:pPr>
              <w:jc w:val="both"/>
            </w:pPr>
            <w:r w:rsidRPr="00275945">
              <w:rPr>
                <w:lang w:val="pt-BR"/>
              </w:rPr>
              <w:t>7.14 ± 3.46</w:t>
            </w:r>
          </w:p>
        </w:tc>
        <w:tc>
          <w:tcPr>
            <w:tcW w:w="2160" w:type="dxa"/>
            <w:tcBorders>
              <w:top w:val="nil"/>
              <w:left w:val="nil"/>
              <w:bottom w:val="nil"/>
              <w:right w:val="nil"/>
            </w:tcBorders>
          </w:tcPr>
          <w:p w14:paraId="34A6E590" w14:textId="77777777" w:rsidR="00F45899" w:rsidRPr="00275945" w:rsidRDefault="00F45899" w:rsidP="00F45899">
            <w:pPr>
              <w:jc w:val="both"/>
              <w:rPr>
                <w:lang w:val="pt-BR"/>
              </w:rPr>
            </w:pPr>
          </w:p>
          <w:p w14:paraId="01C19C02" w14:textId="77777777" w:rsidR="00F45899" w:rsidRPr="00275945" w:rsidRDefault="00F45899" w:rsidP="00F45899">
            <w:pPr>
              <w:jc w:val="both"/>
            </w:pPr>
            <w:r w:rsidRPr="00275945">
              <w:rPr>
                <w:lang w:val="pt-BR"/>
              </w:rPr>
              <w:t>8.79 ± 0.48</w:t>
            </w:r>
          </w:p>
        </w:tc>
        <w:tc>
          <w:tcPr>
            <w:tcW w:w="1260" w:type="dxa"/>
            <w:tcBorders>
              <w:top w:val="nil"/>
              <w:left w:val="nil"/>
              <w:bottom w:val="nil"/>
              <w:right w:val="nil"/>
            </w:tcBorders>
          </w:tcPr>
          <w:p w14:paraId="7B8AB245" w14:textId="77777777" w:rsidR="00F45899" w:rsidRPr="00275945" w:rsidRDefault="00F45899" w:rsidP="00F45899">
            <w:pPr>
              <w:jc w:val="both"/>
            </w:pPr>
          </w:p>
          <w:p w14:paraId="12E5EE18" w14:textId="77777777" w:rsidR="00F45899" w:rsidRPr="00275945" w:rsidRDefault="00F45899" w:rsidP="00F45899">
            <w:pPr>
              <w:jc w:val="both"/>
            </w:pPr>
            <w:r w:rsidRPr="00275945">
              <w:t>0.001</w:t>
            </w:r>
          </w:p>
        </w:tc>
        <w:tc>
          <w:tcPr>
            <w:tcW w:w="1260" w:type="dxa"/>
            <w:tcBorders>
              <w:top w:val="nil"/>
              <w:left w:val="nil"/>
              <w:bottom w:val="nil"/>
              <w:right w:val="nil"/>
            </w:tcBorders>
          </w:tcPr>
          <w:p w14:paraId="19EBBDDA" w14:textId="77777777" w:rsidR="00F45899" w:rsidRPr="00275945" w:rsidRDefault="00F45899" w:rsidP="00F45899">
            <w:pPr>
              <w:jc w:val="both"/>
            </w:pPr>
          </w:p>
          <w:p w14:paraId="03DF1157" w14:textId="77777777" w:rsidR="00F45899" w:rsidRPr="00275945" w:rsidRDefault="00F45899" w:rsidP="00F45899">
            <w:pPr>
              <w:jc w:val="both"/>
            </w:pPr>
            <w:r w:rsidRPr="00275945">
              <w:t>S</w:t>
            </w:r>
          </w:p>
        </w:tc>
      </w:tr>
      <w:tr w:rsidR="00F45899" w:rsidRPr="00275945" w14:paraId="4F2C7AEB" w14:textId="77777777" w:rsidTr="00215EFC">
        <w:tc>
          <w:tcPr>
            <w:tcW w:w="3060" w:type="dxa"/>
            <w:tcBorders>
              <w:top w:val="nil"/>
              <w:left w:val="nil"/>
              <w:bottom w:val="nil"/>
              <w:right w:val="nil"/>
            </w:tcBorders>
          </w:tcPr>
          <w:p w14:paraId="2F6AEAD1" w14:textId="77777777" w:rsidR="00F45899" w:rsidRPr="00275945" w:rsidRDefault="00F45899" w:rsidP="00311459">
            <w:pPr>
              <w:jc w:val="both"/>
            </w:pPr>
          </w:p>
          <w:p w14:paraId="33BF2C1E" w14:textId="77777777" w:rsidR="00F45899" w:rsidRPr="00275945" w:rsidRDefault="00F45899" w:rsidP="00311459">
            <w:pPr>
              <w:jc w:val="both"/>
            </w:pPr>
            <w:r w:rsidRPr="00275945">
              <w:t>Zinc (µmol/mL)</w:t>
            </w:r>
          </w:p>
        </w:tc>
        <w:tc>
          <w:tcPr>
            <w:tcW w:w="2160" w:type="dxa"/>
            <w:tcBorders>
              <w:top w:val="nil"/>
              <w:left w:val="nil"/>
              <w:bottom w:val="nil"/>
              <w:right w:val="nil"/>
            </w:tcBorders>
          </w:tcPr>
          <w:p w14:paraId="480C4CB8" w14:textId="77777777" w:rsidR="00F45899" w:rsidRPr="00275945" w:rsidRDefault="00F45899" w:rsidP="00311459">
            <w:pPr>
              <w:jc w:val="both"/>
              <w:rPr>
                <w:lang w:val="pt-BR"/>
              </w:rPr>
            </w:pPr>
          </w:p>
          <w:p w14:paraId="1AE8162C" w14:textId="77777777" w:rsidR="00F45899" w:rsidRPr="00275945" w:rsidRDefault="00F45899" w:rsidP="00311459">
            <w:pPr>
              <w:jc w:val="both"/>
            </w:pPr>
            <w:r w:rsidRPr="00275945">
              <w:rPr>
                <w:lang w:val="pt-BR"/>
              </w:rPr>
              <w:t>0.44 ± 0.13</w:t>
            </w:r>
          </w:p>
        </w:tc>
        <w:tc>
          <w:tcPr>
            <w:tcW w:w="2160" w:type="dxa"/>
            <w:tcBorders>
              <w:top w:val="nil"/>
              <w:left w:val="nil"/>
              <w:bottom w:val="nil"/>
              <w:right w:val="nil"/>
            </w:tcBorders>
          </w:tcPr>
          <w:p w14:paraId="54A75BF7" w14:textId="77777777" w:rsidR="00F45899" w:rsidRPr="00275945" w:rsidRDefault="00F45899" w:rsidP="00311459">
            <w:pPr>
              <w:jc w:val="both"/>
              <w:rPr>
                <w:lang w:val="pt-BR"/>
              </w:rPr>
            </w:pPr>
          </w:p>
          <w:p w14:paraId="33800599" w14:textId="77777777" w:rsidR="00F45899" w:rsidRPr="00275945" w:rsidRDefault="00F45899" w:rsidP="00311459">
            <w:pPr>
              <w:jc w:val="both"/>
            </w:pPr>
            <w:r w:rsidRPr="00275945">
              <w:rPr>
                <w:lang w:val="pt-BR"/>
              </w:rPr>
              <w:t>2.99 ± 0.46</w:t>
            </w:r>
          </w:p>
        </w:tc>
        <w:tc>
          <w:tcPr>
            <w:tcW w:w="1260" w:type="dxa"/>
            <w:tcBorders>
              <w:top w:val="nil"/>
              <w:left w:val="nil"/>
              <w:bottom w:val="nil"/>
              <w:right w:val="nil"/>
            </w:tcBorders>
          </w:tcPr>
          <w:p w14:paraId="51638384" w14:textId="77777777" w:rsidR="00F45899" w:rsidRPr="00275945" w:rsidRDefault="00F45899" w:rsidP="00311459">
            <w:pPr>
              <w:jc w:val="both"/>
            </w:pPr>
          </w:p>
          <w:p w14:paraId="71B93CFC" w14:textId="77777777" w:rsidR="00F45899" w:rsidRPr="00275945" w:rsidRDefault="00F45899" w:rsidP="00311459">
            <w:pPr>
              <w:jc w:val="both"/>
            </w:pPr>
            <w:r w:rsidRPr="00275945">
              <w:t>&lt;0.0001</w:t>
            </w:r>
          </w:p>
        </w:tc>
        <w:tc>
          <w:tcPr>
            <w:tcW w:w="1260" w:type="dxa"/>
            <w:tcBorders>
              <w:top w:val="nil"/>
              <w:left w:val="nil"/>
              <w:bottom w:val="nil"/>
              <w:right w:val="nil"/>
            </w:tcBorders>
          </w:tcPr>
          <w:p w14:paraId="6A658E2C" w14:textId="77777777" w:rsidR="00F45899" w:rsidRPr="00275945" w:rsidRDefault="00F45899" w:rsidP="00311459">
            <w:pPr>
              <w:jc w:val="both"/>
            </w:pPr>
          </w:p>
          <w:p w14:paraId="550C2D23" w14:textId="77777777" w:rsidR="00F45899" w:rsidRPr="00275945" w:rsidRDefault="00F45899" w:rsidP="00311459">
            <w:pPr>
              <w:jc w:val="both"/>
            </w:pPr>
            <w:r w:rsidRPr="00275945">
              <w:t>S</w:t>
            </w:r>
          </w:p>
        </w:tc>
      </w:tr>
      <w:tr w:rsidR="00F45899" w:rsidRPr="00275945" w14:paraId="5727DB88" w14:textId="77777777" w:rsidTr="00215EFC">
        <w:tc>
          <w:tcPr>
            <w:tcW w:w="3060" w:type="dxa"/>
            <w:tcBorders>
              <w:top w:val="nil"/>
              <w:left w:val="nil"/>
              <w:bottom w:val="single" w:sz="4" w:space="0" w:color="auto"/>
              <w:right w:val="nil"/>
            </w:tcBorders>
          </w:tcPr>
          <w:p w14:paraId="78747617" w14:textId="77777777" w:rsidR="00F45899" w:rsidRPr="00275945" w:rsidRDefault="00F45899" w:rsidP="00311459">
            <w:pPr>
              <w:jc w:val="both"/>
            </w:pPr>
          </w:p>
          <w:p w14:paraId="26E33FB3" w14:textId="77777777" w:rsidR="00F45899" w:rsidRPr="00275945" w:rsidRDefault="00F45899" w:rsidP="00311459">
            <w:pPr>
              <w:jc w:val="both"/>
            </w:pPr>
            <w:r w:rsidRPr="00275945">
              <w:t>Citric Acid (mmol/L)</w:t>
            </w:r>
          </w:p>
        </w:tc>
        <w:tc>
          <w:tcPr>
            <w:tcW w:w="2160" w:type="dxa"/>
            <w:tcBorders>
              <w:top w:val="nil"/>
              <w:left w:val="nil"/>
              <w:bottom w:val="single" w:sz="4" w:space="0" w:color="auto"/>
              <w:right w:val="nil"/>
            </w:tcBorders>
          </w:tcPr>
          <w:p w14:paraId="770F8CB7" w14:textId="77777777" w:rsidR="00F45899" w:rsidRPr="00275945" w:rsidRDefault="00F45899" w:rsidP="00311459">
            <w:pPr>
              <w:jc w:val="both"/>
              <w:rPr>
                <w:lang w:val="pt-BR"/>
              </w:rPr>
            </w:pPr>
          </w:p>
          <w:p w14:paraId="2A964EC1" w14:textId="77777777" w:rsidR="00F45899" w:rsidRPr="00275945" w:rsidRDefault="00F45899" w:rsidP="00311459">
            <w:pPr>
              <w:jc w:val="both"/>
            </w:pPr>
            <w:r w:rsidRPr="00275945">
              <w:rPr>
                <w:lang w:val="pt-BR"/>
              </w:rPr>
              <w:t>12.71± 4.19</w:t>
            </w:r>
          </w:p>
        </w:tc>
        <w:tc>
          <w:tcPr>
            <w:tcW w:w="2160" w:type="dxa"/>
            <w:tcBorders>
              <w:top w:val="nil"/>
              <w:left w:val="nil"/>
              <w:bottom w:val="single" w:sz="4" w:space="0" w:color="auto"/>
              <w:right w:val="nil"/>
            </w:tcBorders>
          </w:tcPr>
          <w:p w14:paraId="635808C5" w14:textId="77777777" w:rsidR="00F45899" w:rsidRPr="00275945" w:rsidRDefault="00F45899" w:rsidP="00311459">
            <w:pPr>
              <w:jc w:val="both"/>
              <w:rPr>
                <w:lang w:val="pt-BR"/>
              </w:rPr>
            </w:pPr>
          </w:p>
          <w:p w14:paraId="4355526C" w14:textId="77777777" w:rsidR="00F45899" w:rsidRPr="00275945" w:rsidRDefault="00F45899" w:rsidP="00311459">
            <w:pPr>
              <w:jc w:val="both"/>
            </w:pPr>
            <w:r w:rsidRPr="00275945">
              <w:rPr>
                <w:lang w:val="pt-BR"/>
              </w:rPr>
              <w:t>58.26 ±5.27</w:t>
            </w:r>
          </w:p>
        </w:tc>
        <w:tc>
          <w:tcPr>
            <w:tcW w:w="1260" w:type="dxa"/>
            <w:tcBorders>
              <w:top w:val="nil"/>
              <w:left w:val="nil"/>
              <w:bottom w:val="single" w:sz="4" w:space="0" w:color="auto"/>
              <w:right w:val="nil"/>
            </w:tcBorders>
          </w:tcPr>
          <w:p w14:paraId="3B47BF71" w14:textId="77777777" w:rsidR="00F45899" w:rsidRPr="00275945" w:rsidRDefault="00F45899" w:rsidP="00311459">
            <w:pPr>
              <w:jc w:val="both"/>
            </w:pPr>
          </w:p>
          <w:p w14:paraId="4A883375" w14:textId="77777777" w:rsidR="00F45899" w:rsidRPr="00275945" w:rsidRDefault="00F45899" w:rsidP="00311459">
            <w:pPr>
              <w:jc w:val="both"/>
            </w:pPr>
            <w:r w:rsidRPr="00275945">
              <w:t>&lt;0.0001</w:t>
            </w:r>
          </w:p>
        </w:tc>
        <w:tc>
          <w:tcPr>
            <w:tcW w:w="1260" w:type="dxa"/>
            <w:tcBorders>
              <w:top w:val="nil"/>
              <w:left w:val="nil"/>
              <w:bottom w:val="single" w:sz="4" w:space="0" w:color="auto"/>
              <w:right w:val="nil"/>
            </w:tcBorders>
          </w:tcPr>
          <w:p w14:paraId="662AEE70" w14:textId="77777777" w:rsidR="00F45899" w:rsidRPr="00275945" w:rsidRDefault="00F45899" w:rsidP="00311459">
            <w:pPr>
              <w:jc w:val="both"/>
            </w:pPr>
          </w:p>
          <w:p w14:paraId="180A1DD9" w14:textId="77777777" w:rsidR="00F45899" w:rsidRPr="00275945" w:rsidRDefault="00F45899" w:rsidP="00311459">
            <w:pPr>
              <w:jc w:val="both"/>
            </w:pPr>
            <w:r w:rsidRPr="00275945">
              <w:t>S</w:t>
            </w:r>
          </w:p>
        </w:tc>
      </w:tr>
    </w:tbl>
    <w:p w14:paraId="2F1DD81C" w14:textId="77777777" w:rsidR="00FA7A42" w:rsidRPr="00275945" w:rsidRDefault="00FA7A42" w:rsidP="00104C40">
      <w:pPr>
        <w:pStyle w:val="NormalWeb"/>
        <w:jc w:val="both"/>
      </w:pPr>
      <w:r w:rsidRPr="00275945">
        <w:t xml:space="preserve">Keys: S= Significant, </w:t>
      </w:r>
      <w:r w:rsidR="00F21EE2" w:rsidRPr="00275945">
        <w:rPr>
          <w:i/>
        </w:rPr>
        <w:t xml:space="preserve">P &lt; </w:t>
      </w:r>
      <w:r w:rsidRPr="00275945">
        <w:rPr>
          <w:i/>
        </w:rPr>
        <w:t>.05</w:t>
      </w:r>
      <w:r w:rsidRPr="00275945">
        <w:t xml:space="preserve"> =Significant </w:t>
      </w:r>
    </w:p>
    <w:p w14:paraId="26F86CA3" w14:textId="77777777" w:rsidR="00EF788A" w:rsidRPr="00275945" w:rsidRDefault="00EF788A" w:rsidP="00104C40">
      <w:pPr>
        <w:pStyle w:val="NormalWeb"/>
        <w:jc w:val="both"/>
        <w:rPr>
          <w:rFonts w:eastAsia="DengXian"/>
          <w:b/>
          <w:bCs/>
          <w:lang w:eastAsia="zh-CN"/>
        </w:rPr>
      </w:pPr>
    </w:p>
    <w:p w14:paraId="236C611D" w14:textId="77777777" w:rsidR="00FA7A42" w:rsidRPr="00275945" w:rsidRDefault="00EB0324" w:rsidP="00104C40">
      <w:pPr>
        <w:pStyle w:val="NormalWeb"/>
        <w:jc w:val="both"/>
      </w:pPr>
      <w:r w:rsidRPr="00275945">
        <w:rPr>
          <w:rFonts w:eastAsia="DengXian"/>
          <w:b/>
          <w:bCs/>
          <w:lang w:eastAsia="zh-CN"/>
        </w:rPr>
        <w:t>3.2: Comparison of Sperm Counts, Sperm Motility, Zinc, Citric Acid and Fructose Concentrations between</w:t>
      </w:r>
      <w:r w:rsidR="00FA7A42" w:rsidRPr="00275945">
        <w:rPr>
          <w:rFonts w:eastAsia="DengXian"/>
          <w:b/>
          <w:bCs/>
          <w:lang w:eastAsia="zh-CN"/>
        </w:rPr>
        <w:t xml:space="preserve"> Primary, Secondary Infertile and Fertile Men</w:t>
      </w:r>
    </w:p>
    <w:p w14:paraId="0FD65C58" w14:textId="77777777" w:rsidR="0073573F" w:rsidRPr="00275945" w:rsidRDefault="0073573F" w:rsidP="009B4514">
      <w:pPr>
        <w:pStyle w:val="NormalWeb"/>
        <w:spacing w:line="480" w:lineRule="auto"/>
        <w:jc w:val="both"/>
      </w:pPr>
      <w:r w:rsidRPr="00275945">
        <w:lastRenderedPageBreak/>
        <w:t>There was no significant difference in age among men with primary infertility, secondary infe</w:t>
      </w:r>
      <w:r w:rsidR="00F21EE2" w:rsidRPr="00275945">
        <w:t>rtility, and fertile controls (</w:t>
      </w:r>
      <w:r w:rsidR="00F21EE2" w:rsidRPr="00275945">
        <w:rPr>
          <w:i/>
        </w:rPr>
        <w:t>P</w:t>
      </w:r>
      <w:r w:rsidRPr="00275945">
        <w:rPr>
          <w:i/>
        </w:rPr>
        <w:t xml:space="preserve"> </w:t>
      </w:r>
      <w:r w:rsidRPr="00275945">
        <w:t>&gt;</w:t>
      </w:r>
      <w:r w:rsidR="00F21EE2" w:rsidRPr="00275945">
        <w:t xml:space="preserve"> </w:t>
      </w:r>
      <w:r w:rsidRPr="00275945">
        <w:t>0.05). In contrast, sperm count differed si</w:t>
      </w:r>
      <w:r w:rsidR="00F21EE2" w:rsidRPr="00275945">
        <w:t>gnificantly across the groups (</w:t>
      </w:r>
      <w:r w:rsidR="00F21EE2" w:rsidRPr="00275945">
        <w:rPr>
          <w:i/>
        </w:rPr>
        <w:t>P</w:t>
      </w:r>
      <w:r w:rsidR="00F21EE2" w:rsidRPr="00275945">
        <w:t xml:space="preserve"> &lt; </w:t>
      </w:r>
      <w:r w:rsidRPr="00275945">
        <w:t>.05), with both primary and secondary infertile men exhibiting significantly lower counts than fertile males, while no difference was observed between the two infertile groups.</w:t>
      </w:r>
    </w:p>
    <w:p w14:paraId="2DA16866" w14:textId="77777777" w:rsidR="0073573F" w:rsidRPr="00275945" w:rsidRDefault="0073573F" w:rsidP="009B4514">
      <w:pPr>
        <w:pStyle w:val="NormalWeb"/>
        <w:spacing w:line="480" w:lineRule="auto"/>
        <w:jc w:val="both"/>
      </w:pPr>
      <w:r w:rsidRPr="00275945">
        <w:t>Sperm motility also varied s</w:t>
      </w:r>
      <w:r w:rsidR="00F21EE2" w:rsidRPr="00275945">
        <w:t>ignificantly among the groups (</w:t>
      </w:r>
      <w:r w:rsidR="00F21EE2" w:rsidRPr="00275945">
        <w:rPr>
          <w:i/>
        </w:rPr>
        <w:t>P</w:t>
      </w:r>
      <w:r w:rsidR="00F21EE2" w:rsidRPr="00275945">
        <w:t xml:space="preserve"> &lt; </w:t>
      </w:r>
      <w:r w:rsidRPr="00275945">
        <w:t>.05). Primary infertile men had the lowest motility, which was significantly reduced, compared with both secondary infertile and fertile males; however, motility did not differ significantly between secondary infertile and fertile men.</w:t>
      </w:r>
    </w:p>
    <w:p w14:paraId="242ECF06" w14:textId="77777777" w:rsidR="0073573F" w:rsidRPr="00275945" w:rsidRDefault="0073573F" w:rsidP="009B4514">
      <w:pPr>
        <w:pStyle w:val="NormalWeb"/>
        <w:spacing w:line="480" w:lineRule="auto"/>
        <w:jc w:val="both"/>
      </w:pPr>
      <w:r w:rsidRPr="00275945">
        <w:t>Seminal plasma zinc concentrations sh</w:t>
      </w:r>
      <w:r w:rsidR="00F21EE2" w:rsidRPr="00275945">
        <w:t>owed marked group differences (</w:t>
      </w:r>
      <w:r w:rsidR="00F21EE2" w:rsidRPr="00275945">
        <w:rPr>
          <w:i/>
        </w:rPr>
        <w:t xml:space="preserve">P </w:t>
      </w:r>
      <w:r w:rsidR="00F21EE2" w:rsidRPr="00275945">
        <w:t xml:space="preserve">&lt; </w:t>
      </w:r>
      <w:r w:rsidRPr="00275945">
        <w:t xml:space="preserve">.05), with significantly lower levels in both primary and secondary infertile men compared with fertile controls, and no difference between the infertile groups. Similarly, citric acid concentrations were significantly reduced in primary and secondary infertile </w:t>
      </w:r>
      <w:r w:rsidR="00985DF4" w:rsidRPr="00275945">
        <w:t>men relative to fertile males (</w:t>
      </w:r>
      <w:r w:rsidR="00985DF4" w:rsidRPr="00275945">
        <w:rPr>
          <w:i/>
        </w:rPr>
        <w:t>P</w:t>
      </w:r>
      <w:r w:rsidR="00985DF4" w:rsidRPr="00275945">
        <w:t xml:space="preserve"> &lt; </w:t>
      </w:r>
      <w:r w:rsidRPr="00275945">
        <w:t>.05). Fructose levels also differed sign</w:t>
      </w:r>
      <w:r w:rsidR="00985DF4" w:rsidRPr="00275945">
        <w:t>ificantly among the groups (</w:t>
      </w:r>
      <w:r w:rsidR="00985DF4" w:rsidRPr="00275945">
        <w:rPr>
          <w:i/>
        </w:rPr>
        <w:t xml:space="preserve">P </w:t>
      </w:r>
      <w:r w:rsidRPr="00275945">
        <w:t>&lt; 0.05), being significantly lower in both primary and secondary infertile men compared with fertile controls, while no significant difference was observed between the two infertile groups.</w:t>
      </w:r>
    </w:p>
    <w:p w14:paraId="32C8D4F9" w14:textId="77777777" w:rsidR="00083EC1" w:rsidRPr="00275945" w:rsidRDefault="00083EC1" w:rsidP="00311459">
      <w:pPr>
        <w:jc w:val="both"/>
        <w:rPr>
          <w:rFonts w:eastAsia="DengXian"/>
          <w:bCs/>
          <w:lang w:eastAsia="zh-CN"/>
        </w:rPr>
      </w:pPr>
    </w:p>
    <w:p w14:paraId="5D9F2C59" w14:textId="4DFB779E" w:rsidR="003776DB" w:rsidRPr="00275945" w:rsidRDefault="00FA7A42" w:rsidP="00311459">
      <w:pPr>
        <w:jc w:val="both"/>
      </w:pPr>
      <w:r w:rsidRPr="00275945">
        <w:rPr>
          <w:rFonts w:eastAsia="DengXian"/>
          <w:b/>
          <w:bCs/>
          <w:lang w:eastAsia="zh-CN"/>
        </w:rPr>
        <w:t>Table 2: Comparison of Semen</w:t>
      </w:r>
      <w:r w:rsidR="00370EA4" w:rsidRPr="00275945">
        <w:rPr>
          <w:rFonts w:eastAsia="DengXian"/>
          <w:b/>
          <w:bCs/>
          <w:lang w:eastAsia="zh-CN"/>
        </w:rPr>
        <w:t xml:space="preserve"> Parameters in </w:t>
      </w:r>
      <w:r w:rsidRPr="00275945">
        <w:rPr>
          <w:rFonts w:eastAsia="DengXian"/>
          <w:b/>
          <w:bCs/>
          <w:lang w:eastAsia="zh-CN"/>
        </w:rPr>
        <w:t>between Primary, Secondary Infertile and Fertile Men</w:t>
      </w:r>
    </w:p>
    <w:tbl>
      <w:tblPr>
        <w:tblStyle w:val="TableGrid"/>
        <w:tblW w:w="9900" w:type="dxa"/>
        <w:tblInd w:w="-1152" w:type="dxa"/>
        <w:tblLook w:val="01E0" w:firstRow="1" w:lastRow="1" w:firstColumn="1" w:lastColumn="1" w:noHBand="0" w:noVBand="0"/>
      </w:tblPr>
      <w:tblGrid>
        <w:gridCol w:w="2160"/>
        <w:gridCol w:w="1965"/>
        <w:gridCol w:w="1796"/>
        <w:gridCol w:w="1791"/>
        <w:gridCol w:w="1091"/>
        <w:gridCol w:w="1097"/>
      </w:tblGrid>
      <w:tr w:rsidR="008D0FF0" w:rsidRPr="00275945" w14:paraId="31C861DA" w14:textId="77777777" w:rsidTr="00107520">
        <w:tc>
          <w:tcPr>
            <w:tcW w:w="2160" w:type="dxa"/>
            <w:tcBorders>
              <w:left w:val="nil"/>
              <w:bottom w:val="single" w:sz="4" w:space="0" w:color="auto"/>
              <w:right w:val="nil"/>
            </w:tcBorders>
          </w:tcPr>
          <w:p w14:paraId="3E752EA5" w14:textId="77777777" w:rsidR="008D0FF0" w:rsidRPr="00275945" w:rsidRDefault="008D0FF0" w:rsidP="00311459">
            <w:pPr>
              <w:jc w:val="both"/>
              <w:rPr>
                <w:b/>
              </w:rPr>
            </w:pPr>
            <w:r w:rsidRPr="00275945">
              <w:rPr>
                <w:b/>
              </w:rPr>
              <w:t>Parameter</w:t>
            </w:r>
          </w:p>
        </w:tc>
        <w:tc>
          <w:tcPr>
            <w:tcW w:w="1965" w:type="dxa"/>
            <w:tcBorders>
              <w:left w:val="nil"/>
              <w:bottom w:val="single" w:sz="4" w:space="0" w:color="auto"/>
              <w:right w:val="nil"/>
            </w:tcBorders>
          </w:tcPr>
          <w:p w14:paraId="308B4164" w14:textId="77777777" w:rsidR="008D0FF0" w:rsidRPr="00275945" w:rsidRDefault="008D0FF0" w:rsidP="00311459">
            <w:pPr>
              <w:jc w:val="both"/>
              <w:rPr>
                <w:b/>
              </w:rPr>
            </w:pPr>
            <w:r w:rsidRPr="00275945">
              <w:rPr>
                <w:b/>
              </w:rPr>
              <w:t>Primary Infertility</w:t>
            </w:r>
          </w:p>
          <w:p w14:paraId="69585DCF" w14:textId="77777777" w:rsidR="00F271CE" w:rsidRPr="00275945" w:rsidRDefault="00F271CE" w:rsidP="00311459">
            <w:pPr>
              <w:jc w:val="both"/>
              <w:rPr>
                <w:b/>
              </w:rPr>
            </w:pPr>
            <w:r w:rsidRPr="00275945">
              <w:rPr>
                <w:b/>
              </w:rPr>
              <w:t>( n= 89)</w:t>
            </w:r>
          </w:p>
        </w:tc>
        <w:tc>
          <w:tcPr>
            <w:tcW w:w="1796" w:type="dxa"/>
            <w:tcBorders>
              <w:left w:val="nil"/>
              <w:bottom w:val="single" w:sz="4" w:space="0" w:color="auto"/>
              <w:right w:val="nil"/>
            </w:tcBorders>
          </w:tcPr>
          <w:p w14:paraId="7E13CF26" w14:textId="77777777" w:rsidR="008D0FF0" w:rsidRPr="00275945" w:rsidRDefault="008D0FF0" w:rsidP="00311459">
            <w:pPr>
              <w:jc w:val="both"/>
              <w:rPr>
                <w:b/>
              </w:rPr>
            </w:pPr>
            <w:r w:rsidRPr="00275945">
              <w:rPr>
                <w:b/>
              </w:rPr>
              <w:t>Secondary Infertility</w:t>
            </w:r>
          </w:p>
          <w:p w14:paraId="58FED5CC" w14:textId="77777777" w:rsidR="00F271CE" w:rsidRPr="00275945" w:rsidRDefault="00F271CE" w:rsidP="00311459">
            <w:pPr>
              <w:jc w:val="both"/>
              <w:rPr>
                <w:b/>
              </w:rPr>
            </w:pPr>
            <w:r w:rsidRPr="00275945">
              <w:rPr>
                <w:b/>
              </w:rPr>
              <w:t>( n= 11)</w:t>
            </w:r>
          </w:p>
        </w:tc>
        <w:tc>
          <w:tcPr>
            <w:tcW w:w="1791" w:type="dxa"/>
            <w:tcBorders>
              <w:left w:val="nil"/>
              <w:bottom w:val="single" w:sz="4" w:space="0" w:color="auto"/>
              <w:right w:val="nil"/>
            </w:tcBorders>
          </w:tcPr>
          <w:p w14:paraId="435CC9A7" w14:textId="77777777" w:rsidR="00F271CE" w:rsidRPr="00275945" w:rsidRDefault="008D0FF0" w:rsidP="00311459">
            <w:pPr>
              <w:jc w:val="both"/>
              <w:rPr>
                <w:b/>
              </w:rPr>
            </w:pPr>
            <w:r w:rsidRPr="00275945">
              <w:rPr>
                <w:b/>
              </w:rPr>
              <w:t>Fertile Male</w:t>
            </w:r>
          </w:p>
          <w:p w14:paraId="59B0DDA3" w14:textId="77777777" w:rsidR="00F271CE" w:rsidRPr="00275945" w:rsidRDefault="00F271CE" w:rsidP="00311459">
            <w:pPr>
              <w:jc w:val="both"/>
              <w:rPr>
                <w:b/>
              </w:rPr>
            </w:pPr>
            <w:r w:rsidRPr="00275945">
              <w:rPr>
                <w:b/>
              </w:rPr>
              <w:t>(n =50)</w:t>
            </w:r>
          </w:p>
        </w:tc>
        <w:tc>
          <w:tcPr>
            <w:tcW w:w="1091" w:type="dxa"/>
            <w:tcBorders>
              <w:left w:val="nil"/>
              <w:bottom w:val="single" w:sz="4" w:space="0" w:color="auto"/>
              <w:right w:val="nil"/>
            </w:tcBorders>
          </w:tcPr>
          <w:p w14:paraId="7133AB7A" w14:textId="77777777" w:rsidR="008D0FF0" w:rsidRPr="00275945" w:rsidRDefault="008D0FF0" w:rsidP="00311459">
            <w:pPr>
              <w:jc w:val="both"/>
              <w:rPr>
                <w:b/>
              </w:rPr>
            </w:pPr>
            <w:r w:rsidRPr="00275945">
              <w:rPr>
                <w:b/>
              </w:rPr>
              <w:t>p-value</w:t>
            </w:r>
          </w:p>
        </w:tc>
        <w:tc>
          <w:tcPr>
            <w:tcW w:w="1097" w:type="dxa"/>
            <w:tcBorders>
              <w:left w:val="nil"/>
              <w:bottom w:val="single" w:sz="4" w:space="0" w:color="auto"/>
              <w:right w:val="nil"/>
            </w:tcBorders>
          </w:tcPr>
          <w:p w14:paraId="66464B6C" w14:textId="77777777" w:rsidR="008D0FF0" w:rsidRPr="00275945" w:rsidRDefault="008D0FF0" w:rsidP="00311459">
            <w:pPr>
              <w:jc w:val="both"/>
              <w:rPr>
                <w:b/>
              </w:rPr>
            </w:pPr>
            <w:r w:rsidRPr="00275945">
              <w:rPr>
                <w:b/>
              </w:rPr>
              <w:t>Remark</w:t>
            </w:r>
          </w:p>
        </w:tc>
      </w:tr>
      <w:tr w:rsidR="008D0FF0" w:rsidRPr="00275945" w14:paraId="37866508" w14:textId="77777777" w:rsidTr="00083EC1">
        <w:tc>
          <w:tcPr>
            <w:tcW w:w="2160" w:type="dxa"/>
            <w:tcBorders>
              <w:left w:val="nil"/>
              <w:bottom w:val="nil"/>
              <w:right w:val="nil"/>
            </w:tcBorders>
          </w:tcPr>
          <w:p w14:paraId="6F5EA615" w14:textId="77777777" w:rsidR="008D0FF0" w:rsidRPr="00275945" w:rsidRDefault="008D0FF0" w:rsidP="00311459">
            <w:pPr>
              <w:jc w:val="both"/>
            </w:pPr>
            <w:r w:rsidRPr="00275945">
              <w:t>Age</w:t>
            </w:r>
          </w:p>
        </w:tc>
        <w:tc>
          <w:tcPr>
            <w:tcW w:w="1965" w:type="dxa"/>
            <w:tcBorders>
              <w:left w:val="nil"/>
              <w:bottom w:val="nil"/>
              <w:right w:val="nil"/>
            </w:tcBorders>
          </w:tcPr>
          <w:p w14:paraId="1D16752F" w14:textId="77777777" w:rsidR="008D0FF0" w:rsidRPr="00275945" w:rsidRDefault="008D0FF0" w:rsidP="00311459">
            <w:pPr>
              <w:jc w:val="both"/>
              <w:rPr>
                <w:b/>
                <w:vertAlign w:val="superscript"/>
              </w:rPr>
            </w:pPr>
            <w:r w:rsidRPr="00275945">
              <w:rPr>
                <w:rFonts w:eastAsia="DengXian"/>
                <w:lang w:eastAsia="zh-CN"/>
              </w:rPr>
              <w:t>38.91 ± 8.43</w:t>
            </w:r>
            <w:r w:rsidR="00C50F60" w:rsidRPr="00275945">
              <w:rPr>
                <w:rFonts w:eastAsia="DengXian"/>
                <w:vertAlign w:val="superscript"/>
                <w:lang w:eastAsia="zh-CN"/>
              </w:rPr>
              <w:t>a</w:t>
            </w:r>
          </w:p>
        </w:tc>
        <w:tc>
          <w:tcPr>
            <w:tcW w:w="1796" w:type="dxa"/>
            <w:tcBorders>
              <w:left w:val="nil"/>
              <w:bottom w:val="nil"/>
              <w:right w:val="nil"/>
            </w:tcBorders>
          </w:tcPr>
          <w:p w14:paraId="019A41CD" w14:textId="77777777" w:rsidR="008D0FF0" w:rsidRPr="00275945" w:rsidRDefault="008D0FF0" w:rsidP="00311459">
            <w:pPr>
              <w:jc w:val="both"/>
              <w:rPr>
                <w:b/>
                <w:vertAlign w:val="superscript"/>
              </w:rPr>
            </w:pPr>
            <w:r w:rsidRPr="00275945">
              <w:rPr>
                <w:rFonts w:eastAsia="DengXian"/>
                <w:lang w:eastAsia="zh-CN"/>
              </w:rPr>
              <w:t>36.82 ± 8.98</w:t>
            </w:r>
            <w:r w:rsidR="00C50F60" w:rsidRPr="00275945">
              <w:rPr>
                <w:rFonts w:eastAsia="DengXian"/>
                <w:vertAlign w:val="superscript"/>
                <w:lang w:eastAsia="zh-CN"/>
              </w:rPr>
              <w:t>a</w:t>
            </w:r>
          </w:p>
        </w:tc>
        <w:tc>
          <w:tcPr>
            <w:tcW w:w="1791" w:type="dxa"/>
            <w:tcBorders>
              <w:left w:val="nil"/>
              <w:bottom w:val="nil"/>
              <w:right w:val="nil"/>
            </w:tcBorders>
          </w:tcPr>
          <w:p w14:paraId="15DB1205" w14:textId="77777777" w:rsidR="008D0FF0" w:rsidRPr="00275945" w:rsidRDefault="008D0FF0" w:rsidP="00311459">
            <w:pPr>
              <w:jc w:val="both"/>
              <w:rPr>
                <w:b/>
                <w:vertAlign w:val="superscript"/>
              </w:rPr>
            </w:pPr>
            <w:r w:rsidRPr="00275945">
              <w:rPr>
                <w:rFonts w:eastAsia="DengXian"/>
                <w:lang w:val="pt-BR" w:eastAsia="zh-CN"/>
              </w:rPr>
              <w:t>37.84 ± 10.14</w:t>
            </w:r>
            <w:r w:rsidR="00C50F60" w:rsidRPr="00275945">
              <w:rPr>
                <w:rFonts w:eastAsia="DengXian"/>
                <w:vertAlign w:val="superscript"/>
                <w:lang w:val="pt-BR" w:eastAsia="zh-CN"/>
              </w:rPr>
              <w:t>a</w:t>
            </w:r>
          </w:p>
        </w:tc>
        <w:tc>
          <w:tcPr>
            <w:tcW w:w="1091" w:type="dxa"/>
            <w:tcBorders>
              <w:left w:val="nil"/>
              <w:bottom w:val="nil"/>
              <w:right w:val="nil"/>
            </w:tcBorders>
          </w:tcPr>
          <w:p w14:paraId="104EF44E" w14:textId="77777777" w:rsidR="008D0FF0" w:rsidRPr="00275945" w:rsidRDefault="008D0FF0" w:rsidP="00311459">
            <w:pPr>
              <w:jc w:val="both"/>
              <w:rPr>
                <w:b/>
              </w:rPr>
            </w:pPr>
            <w:r w:rsidRPr="00275945">
              <w:rPr>
                <w:rFonts w:eastAsia="DengXian"/>
                <w:lang w:eastAsia="zh-CN"/>
              </w:rPr>
              <w:t>0.6959</w:t>
            </w:r>
          </w:p>
        </w:tc>
        <w:tc>
          <w:tcPr>
            <w:tcW w:w="1097" w:type="dxa"/>
            <w:tcBorders>
              <w:left w:val="nil"/>
              <w:bottom w:val="nil"/>
              <w:right w:val="nil"/>
            </w:tcBorders>
          </w:tcPr>
          <w:p w14:paraId="3FFF12F0" w14:textId="77777777" w:rsidR="008D0FF0" w:rsidRPr="00275945" w:rsidRDefault="008D0FF0" w:rsidP="00311459">
            <w:pPr>
              <w:jc w:val="both"/>
            </w:pPr>
            <w:r w:rsidRPr="00275945">
              <w:t>NS</w:t>
            </w:r>
          </w:p>
        </w:tc>
      </w:tr>
      <w:tr w:rsidR="008D0FF0" w:rsidRPr="00275945" w14:paraId="110A452F" w14:textId="77777777" w:rsidTr="00083EC1">
        <w:tc>
          <w:tcPr>
            <w:tcW w:w="2160" w:type="dxa"/>
            <w:tcBorders>
              <w:top w:val="nil"/>
              <w:left w:val="nil"/>
              <w:bottom w:val="nil"/>
              <w:right w:val="nil"/>
            </w:tcBorders>
          </w:tcPr>
          <w:p w14:paraId="39DEABFD" w14:textId="77777777" w:rsidR="008D0FF0" w:rsidRPr="00275945" w:rsidRDefault="00083EC1" w:rsidP="00311459">
            <w:pPr>
              <w:jc w:val="both"/>
              <w:rPr>
                <w:b/>
              </w:rPr>
            </w:pPr>
            <w:r w:rsidRPr="00275945">
              <w:t xml:space="preserve">Sperm </w:t>
            </w:r>
            <w:r w:rsidR="00215EFC" w:rsidRPr="00275945">
              <w:t>Count x (10</w:t>
            </w:r>
            <w:r w:rsidR="00215EFC" w:rsidRPr="00275945">
              <w:rPr>
                <w:vertAlign w:val="superscript"/>
              </w:rPr>
              <w:t>6</w:t>
            </w:r>
            <w:r w:rsidR="008D0FF0" w:rsidRPr="00275945">
              <w:t>/mL)</w:t>
            </w:r>
          </w:p>
        </w:tc>
        <w:tc>
          <w:tcPr>
            <w:tcW w:w="1965" w:type="dxa"/>
            <w:tcBorders>
              <w:top w:val="nil"/>
              <w:left w:val="nil"/>
              <w:bottom w:val="nil"/>
              <w:right w:val="nil"/>
            </w:tcBorders>
          </w:tcPr>
          <w:p w14:paraId="2E78D8B6" w14:textId="77777777" w:rsidR="008D0FF0" w:rsidRPr="00275945" w:rsidRDefault="008D0FF0" w:rsidP="00311459">
            <w:pPr>
              <w:jc w:val="both"/>
              <w:rPr>
                <w:b/>
              </w:rPr>
            </w:pPr>
            <w:r w:rsidRPr="00275945">
              <w:rPr>
                <w:rFonts w:eastAsia="DengXian"/>
                <w:lang w:eastAsia="zh-CN"/>
              </w:rPr>
              <w:t>64.22± 27.68</w:t>
            </w:r>
            <w:r w:rsidRPr="00275945">
              <w:rPr>
                <w:rFonts w:eastAsia="DengXian"/>
                <w:vertAlign w:val="superscript"/>
                <w:lang w:eastAsia="zh-CN"/>
              </w:rPr>
              <w:t>b</w:t>
            </w:r>
          </w:p>
        </w:tc>
        <w:tc>
          <w:tcPr>
            <w:tcW w:w="1796" w:type="dxa"/>
            <w:tcBorders>
              <w:top w:val="nil"/>
              <w:left w:val="nil"/>
              <w:bottom w:val="nil"/>
              <w:right w:val="nil"/>
            </w:tcBorders>
          </w:tcPr>
          <w:p w14:paraId="6D1E82C0" w14:textId="77777777" w:rsidR="008D0FF0" w:rsidRPr="00275945" w:rsidRDefault="008D0FF0" w:rsidP="00311459">
            <w:pPr>
              <w:jc w:val="both"/>
              <w:rPr>
                <w:b/>
              </w:rPr>
            </w:pPr>
            <w:r w:rsidRPr="00275945">
              <w:rPr>
                <w:rFonts w:eastAsia="DengXian"/>
                <w:lang w:eastAsia="zh-CN"/>
              </w:rPr>
              <w:t>69.82± 50.30</w:t>
            </w:r>
            <w:r w:rsidRPr="00275945">
              <w:rPr>
                <w:rFonts w:eastAsia="DengXian"/>
                <w:vertAlign w:val="superscript"/>
                <w:lang w:eastAsia="zh-CN"/>
              </w:rPr>
              <w:t>b</w:t>
            </w:r>
          </w:p>
        </w:tc>
        <w:tc>
          <w:tcPr>
            <w:tcW w:w="1791" w:type="dxa"/>
            <w:tcBorders>
              <w:top w:val="nil"/>
              <w:left w:val="nil"/>
              <w:bottom w:val="nil"/>
              <w:right w:val="nil"/>
            </w:tcBorders>
          </w:tcPr>
          <w:p w14:paraId="468AE846" w14:textId="77777777" w:rsidR="008D0FF0" w:rsidRPr="00275945" w:rsidRDefault="008D0FF0" w:rsidP="00311459">
            <w:pPr>
              <w:jc w:val="both"/>
              <w:rPr>
                <w:b/>
                <w:vertAlign w:val="superscript"/>
              </w:rPr>
            </w:pPr>
            <w:r w:rsidRPr="00275945">
              <w:rPr>
                <w:rFonts w:eastAsia="DengXian"/>
                <w:lang w:val="pt-BR" w:eastAsia="zh-CN"/>
              </w:rPr>
              <w:t>101.80± 21.89</w:t>
            </w:r>
            <w:r w:rsidRPr="00275945">
              <w:rPr>
                <w:rFonts w:eastAsia="DengXian"/>
                <w:vertAlign w:val="superscript"/>
                <w:lang w:val="pt-BR" w:eastAsia="zh-CN"/>
              </w:rPr>
              <w:t>a</w:t>
            </w:r>
          </w:p>
        </w:tc>
        <w:tc>
          <w:tcPr>
            <w:tcW w:w="1091" w:type="dxa"/>
            <w:tcBorders>
              <w:top w:val="nil"/>
              <w:left w:val="nil"/>
              <w:bottom w:val="nil"/>
              <w:right w:val="nil"/>
            </w:tcBorders>
          </w:tcPr>
          <w:p w14:paraId="59FDAE41" w14:textId="77777777" w:rsidR="008D0FF0" w:rsidRPr="00275945" w:rsidRDefault="008D0FF0" w:rsidP="00311459">
            <w:pPr>
              <w:jc w:val="both"/>
              <w:rPr>
                <w:b/>
              </w:rPr>
            </w:pPr>
            <w:r w:rsidRPr="00275945">
              <w:rPr>
                <w:rFonts w:eastAsia="DengXian"/>
                <w:lang w:eastAsia="zh-CN"/>
              </w:rPr>
              <w:t>0.0037</w:t>
            </w:r>
          </w:p>
        </w:tc>
        <w:tc>
          <w:tcPr>
            <w:tcW w:w="1097" w:type="dxa"/>
            <w:tcBorders>
              <w:top w:val="nil"/>
              <w:left w:val="nil"/>
              <w:bottom w:val="nil"/>
              <w:right w:val="nil"/>
            </w:tcBorders>
          </w:tcPr>
          <w:p w14:paraId="7412D1DF" w14:textId="77777777" w:rsidR="008D0FF0" w:rsidRPr="00275945" w:rsidRDefault="008D0FF0" w:rsidP="00311459">
            <w:pPr>
              <w:jc w:val="both"/>
            </w:pPr>
            <w:r w:rsidRPr="00275945">
              <w:t>S</w:t>
            </w:r>
          </w:p>
        </w:tc>
      </w:tr>
      <w:tr w:rsidR="008D0FF0" w:rsidRPr="00275945" w14:paraId="5D0C7079" w14:textId="77777777" w:rsidTr="00083EC1">
        <w:tc>
          <w:tcPr>
            <w:tcW w:w="2160" w:type="dxa"/>
            <w:tcBorders>
              <w:top w:val="nil"/>
              <w:left w:val="nil"/>
              <w:bottom w:val="nil"/>
              <w:right w:val="nil"/>
            </w:tcBorders>
          </w:tcPr>
          <w:p w14:paraId="520CE893" w14:textId="77777777" w:rsidR="008D0FF0" w:rsidRPr="00275945" w:rsidRDefault="00083EC1" w:rsidP="00311459">
            <w:pPr>
              <w:jc w:val="both"/>
              <w:rPr>
                <w:b/>
              </w:rPr>
            </w:pPr>
            <w:r w:rsidRPr="00275945">
              <w:lastRenderedPageBreak/>
              <w:t xml:space="preserve">Sperm </w:t>
            </w:r>
            <w:r w:rsidR="008D0FF0" w:rsidRPr="00275945">
              <w:t>Motility (%)</w:t>
            </w:r>
          </w:p>
        </w:tc>
        <w:tc>
          <w:tcPr>
            <w:tcW w:w="1965" w:type="dxa"/>
            <w:tcBorders>
              <w:top w:val="nil"/>
              <w:left w:val="nil"/>
              <w:bottom w:val="nil"/>
              <w:right w:val="nil"/>
            </w:tcBorders>
          </w:tcPr>
          <w:p w14:paraId="54433AB3" w14:textId="77777777" w:rsidR="008D0FF0" w:rsidRPr="00275945" w:rsidRDefault="008D0FF0" w:rsidP="00311459">
            <w:pPr>
              <w:jc w:val="both"/>
              <w:rPr>
                <w:b/>
              </w:rPr>
            </w:pPr>
            <w:r w:rsidRPr="00275945">
              <w:rPr>
                <w:rFonts w:eastAsia="DengXian"/>
                <w:lang w:eastAsia="zh-CN"/>
              </w:rPr>
              <w:t>28.43 ± 3.66</w:t>
            </w:r>
            <w:r w:rsidRPr="00275945">
              <w:rPr>
                <w:rFonts w:eastAsia="DengXian"/>
                <w:vertAlign w:val="superscript"/>
                <w:lang w:eastAsia="zh-CN"/>
              </w:rPr>
              <w:t>ac</w:t>
            </w:r>
          </w:p>
        </w:tc>
        <w:tc>
          <w:tcPr>
            <w:tcW w:w="1796" w:type="dxa"/>
            <w:tcBorders>
              <w:top w:val="nil"/>
              <w:left w:val="nil"/>
              <w:bottom w:val="nil"/>
              <w:right w:val="nil"/>
            </w:tcBorders>
          </w:tcPr>
          <w:p w14:paraId="322FC310" w14:textId="77777777" w:rsidR="008D0FF0" w:rsidRPr="00275945" w:rsidRDefault="008D0FF0" w:rsidP="00311459">
            <w:pPr>
              <w:jc w:val="both"/>
              <w:rPr>
                <w:b/>
              </w:rPr>
            </w:pPr>
            <w:r w:rsidRPr="00275945">
              <w:rPr>
                <w:rFonts w:eastAsia="DengXian"/>
                <w:lang w:eastAsia="zh-CN"/>
              </w:rPr>
              <w:t>35.45 ± 13.50</w:t>
            </w:r>
            <w:r w:rsidRPr="00275945">
              <w:rPr>
                <w:rFonts w:eastAsia="DengXian"/>
                <w:vertAlign w:val="superscript"/>
                <w:lang w:eastAsia="zh-CN"/>
              </w:rPr>
              <w:t>b</w:t>
            </w:r>
          </w:p>
        </w:tc>
        <w:tc>
          <w:tcPr>
            <w:tcW w:w="1791" w:type="dxa"/>
            <w:tcBorders>
              <w:top w:val="nil"/>
              <w:left w:val="nil"/>
              <w:bottom w:val="nil"/>
              <w:right w:val="nil"/>
            </w:tcBorders>
          </w:tcPr>
          <w:p w14:paraId="6D5B1513" w14:textId="77777777" w:rsidR="008D0FF0" w:rsidRPr="00275945" w:rsidRDefault="008D0FF0" w:rsidP="00311459">
            <w:pPr>
              <w:jc w:val="both"/>
              <w:rPr>
                <w:b/>
              </w:rPr>
            </w:pPr>
            <w:r w:rsidRPr="00275945">
              <w:rPr>
                <w:rFonts w:eastAsia="DengXian"/>
                <w:lang w:val="pt-BR" w:eastAsia="zh-CN"/>
              </w:rPr>
              <w:t>40.50 ± 3.2</w:t>
            </w:r>
            <w:r w:rsidRPr="00275945">
              <w:rPr>
                <w:rFonts w:eastAsia="DengXian"/>
                <w:vertAlign w:val="superscript"/>
                <w:lang w:val="pt-BR" w:eastAsia="zh-CN"/>
              </w:rPr>
              <w:t>b</w:t>
            </w:r>
          </w:p>
        </w:tc>
        <w:tc>
          <w:tcPr>
            <w:tcW w:w="1091" w:type="dxa"/>
            <w:tcBorders>
              <w:top w:val="nil"/>
              <w:left w:val="nil"/>
              <w:bottom w:val="nil"/>
              <w:right w:val="nil"/>
            </w:tcBorders>
          </w:tcPr>
          <w:p w14:paraId="5A44790E" w14:textId="77777777" w:rsidR="008D0FF0" w:rsidRPr="00275945" w:rsidRDefault="008D0FF0" w:rsidP="00311459">
            <w:pPr>
              <w:jc w:val="both"/>
              <w:rPr>
                <w:b/>
              </w:rPr>
            </w:pPr>
            <w:r w:rsidRPr="00275945">
              <w:rPr>
                <w:rFonts w:eastAsia="DengXian"/>
                <w:lang w:eastAsia="zh-CN"/>
              </w:rPr>
              <w:t>&lt;0.0001</w:t>
            </w:r>
          </w:p>
        </w:tc>
        <w:tc>
          <w:tcPr>
            <w:tcW w:w="1097" w:type="dxa"/>
            <w:tcBorders>
              <w:top w:val="nil"/>
              <w:left w:val="nil"/>
              <w:bottom w:val="nil"/>
              <w:right w:val="nil"/>
            </w:tcBorders>
          </w:tcPr>
          <w:p w14:paraId="0FE4F15F" w14:textId="77777777" w:rsidR="008D0FF0" w:rsidRPr="00275945" w:rsidRDefault="008D0FF0" w:rsidP="00311459">
            <w:pPr>
              <w:jc w:val="both"/>
            </w:pPr>
            <w:r w:rsidRPr="00275945">
              <w:t>S</w:t>
            </w:r>
          </w:p>
        </w:tc>
      </w:tr>
      <w:tr w:rsidR="00107520" w:rsidRPr="00275945" w14:paraId="62CEB300" w14:textId="77777777" w:rsidTr="00083EC1">
        <w:tc>
          <w:tcPr>
            <w:tcW w:w="2160" w:type="dxa"/>
            <w:tcBorders>
              <w:top w:val="nil"/>
              <w:left w:val="nil"/>
              <w:bottom w:val="nil"/>
              <w:right w:val="nil"/>
            </w:tcBorders>
          </w:tcPr>
          <w:p w14:paraId="4143BD2E" w14:textId="77777777" w:rsidR="00107520" w:rsidRPr="00275945" w:rsidRDefault="00107520" w:rsidP="00190959">
            <w:pPr>
              <w:jc w:val="both"/>
            </w:pPr>
            <w:r w:rsidRPr="00275945">
              <w:t>Fructose (µmol/mL)</w:t>
            </w:r>
          </w:p>
        </w:tc>
        <w:tc>
          <w:tcPr>
            <w:tcW w:w="1965" w:type="dxa"/>
            <w:tcBorders>
              <w:top w:val="nil"/>
              <w:left w:val="nil"/>
              <w:bottom w:val="nil"/>
              <w:right w:val="nil"/>
            </w:tcBorders>
          </w:tcPr>
          <w:p w14:paraId="5EBD64C7" w14:textId="77777777" w:rsidR="00107520" w:rsidRPr="00275945" w:rsidRDefault="00107520" w:rsidP="00190959">
            <w:pPr>
              <w:jc w:val="both"/>
              <w:rPr>
                <w:b/>
              </w:rPr>
            </w:pPr>
            <w:r w:rsidRPr="00275945">
              <w:rPr>
                <w:rFonts w:eastAsia="DengXian"/>
                <w:lang w:eastAsia="zh-CN"/>
              </w:rPr>
              <w:t>6.01±3.15</w:t>
            </w:r>
            <w:r w:rsidRPr="00275945">
              <w:rPr>
                <w:rFonts w:eastAsia="DengXian"/>
                <w:vertAlign w:val="superscript"/>
                <w:lang w:eastAsia="zh-CN"/>
              </w:rPr>
              <w:t>a</w:t>
            </w:r>
          </w:p>
        </w:tc>
        <w:tc>
          <w:tcPr>
            <w:tcW w:w="1796" w:type="dxa"/>
            <w:tcBorders>
              <w:top w:val="nil"/>
              <w:left w:val="nil"/>
              <w:bottom w:val="nil"/>
              <w:right w:val="nil"/>
            </w:tcBorders>
          </w:tcPr>
          <w:p w14:paraId="22D002AF" w14:textId="77777777" w:rsidR="00107520" w:rsidRPr="00275945" w:rsidRDefault="00107520" w:rsidP="00190959">
            <w:pPr>
              <w:rPr>
                <w:b/>
              </w:rPr>
            </w:pPr>
            <w:r w:rsidRPr="00275945">
              <w:rPr>
                <w:rFonts w:eastAsia="DengXian"/>
                <w:lang w:eastAsia="zh-CN"/>
              </w:rPr>
              <w:t>7.28±3.48</w:t>
            </w:r>
            <w:r w:rsidRPr="00275945">
              <w:rPr>
                <w:rFonts w:eastAsia="DengXian"/>
                <w:vertAlign w:val="superscript"/>
                <w:lang w:eastAsia="zh-CN"/>
              </w:rPr>
              <w:t>a</w:t>
            </w:r>
          </w:p>
        </w:tc>
        <w:tc>
          <w:tcPr>
            <w:tcW w:w="1791" w:type="dxa"/>
            <w:tcBorders>
              <w:top w:val="nil"/>
              <w:left w:val="nil"/>
              <w:bottom w:val="nil"/>
              <w:right w:val="nil"/>
            </w:tcBorders>
          </w:tcPr>
          <w:p w14:paraId="2103A5A1" w14:textId="77777777" w:rsidR="00107520" w:rsidRPr="00275945" w:rsidRDefault="00107520" w:rsidP="00190959">
            <w:pPr>
              <w:jc w:val="both"/>
              <w:rPr>
                <w:b/>
              </w:rPr>
            </w:pPr>
            <w:r w:rsidRPr="00275945">
              <w:rPr>
                <w:rFonts w:eastAsia="DengXian"/>
                <w:lang w:val="pt-BR" w:eastAsia="zh-CN"/>
              </w:rPr>
              <w:t>8.79 ± 0.48</w:t>
            </w:r>
            <w:r w:rsidRPr="00275945">
              <w:rPr>
                <w:rFonts w:eastAsia="DengXian"/>
                <w:vertAlign w:val="superscript"/>
                <w:lang w:val="pt-BR" w:eastAsia="zh-CN"/>
              </w:rPr>
              <w:t>b</w:t>
            </w:r>
          </w:p>
        </w:tc>
        <w:tc>
          <w:tcPr>
            <w:tcW w:w="1091" w:type="dxa"/>
            <w:tcBorders>
              <w:top w:val="nil"/>
              <w:left w:val="nil"/>
              <w:bottom w:val="nil"/>
              <w:right w:val="nil"/>
            </w:tcBorders>
          </w:tcPr>
          <w:p w14:paraId="23F5D1DB" w14:textId="77777777" w:rsidR="00107520" w:rsidRPr="00275945" w:rsidRDefault="00107520" w:rsidP="00190959">
            <w:pPr>
              <w:jc w:val="both"/>
              <w:rPr>
                <w:b/>
              </w:rPr>
            </w:pPr>
            <w:r w:rsidRPr="00275945">
              <w:rPr>
                <w:rFonts w:eastAsia="DengXian"/>
                <w:lang w:eastAsia="zh-CN"/>
              </w:rPr>
              <w:t>0.0017</w:t>
            </w:r>
          </w:p>
        </w:tc>
        <w:tc>
          <w:tcPr>
            <w:tcW w:w="1097" w:type="dxa"/>
            <w:tcBorders>
              <w:top w:val="nil"/>
              <w:left w:val="nil"/>
              <w:bottom w:val="nil"/>
              <w:right w:val="nil"/>
            </w:tcBorders>
          </w:tcPr>
          <w:p w14:paraId="28807329" w14:textId="77777777" w:rsidR="00107520" w:rsidRPr="00275945" w:rsidRDefault="00107520" w:rsidP="00190959">
            <w:pPr>
              <w:jc w:val="both"/>
            </w:pPr>
            <w:r w:rsidRPr="00275945">
              <w:t>S</w:t>
            </w:r>
          </w:p>
        </w:tc>
      </w:tr>
      <w:tr w:rsidR="00107520" w:rsidRPr="00275945" w14:paraId="709C8B0D" w14:textId="77777777" w:rsidTr="00083EC1">
        <w:tc>
          <w:tcPr>
            <w:tcW w:w="2160" w:type="dxa"/>
            <w:tcBorders>
              <w:top w:val="nil"/>
              <w:left w:val="nil"/>
              <w:bottom w:val="nil"/>
              <w:right w:val="nil"/>
            </w:tcBorders>
          </w:tcPr>
          <w:p w14:paraId="2EB5EF4D" w14:textId="77777777" w:rsidR="00107520" w:rsidRPr="00275945" w:rsidRDefault="00107520" w:rsidP="00311459">
            <w:pPr>
              <w:jc w:val="both"/>
              <w:rPr>
                <w:b/>
              </w:rPr>
            </w:pPr>
            <w:r w:rsidRPr="00275945">
              <w:t>Zinc (µmol/mL)</w:t>
            </w:r>
          </w:p>
        </w:tc>
        <w:tc>
          <w:tcPr>
            <w:tcW w:w="1965" w:type="dxa"/>
            <w:tcBorders>
              <w:top w:val="nil"/>
              <w:left w:val="nil"/>
              <w:bottom w:val="nil"/>
              <w:right w:val="nil"/>
            </w:tcBorders>
          </w:tcPr>
          <w:p w14:paraId="14AA30D2" w14:textId="77777777" w:rsidR="00107520" w:rsidRPr="00275945" w:rsidRDefault="00107520" w:rsidP="00311459">
            <w:pPr>
              <w:jc w:val="both"/>
              <w:rPr>
                <w:b/>
              </w:rPr>
            </w:pPr>
            <w:r w:rsidRPr="00275945">
              <w:rPr>
                <w:rFonts w:eastAsia="DengXian"/>
                <w:lang w:eastAsia="zh-CN"/>
              </w:rPr>
              <w:t>0.44 ± 0.13</w:t>
            </w:r>
            <w:r w:rsidRPr="00275945">
              <w:rPr>
                <w:rFonts w:eastAsia="DengXian"/>
                <w:vertAlign w:val="superscript"/>
                <w:lang w:eastAsia="zh-CN"/>
              </w:rPr>
              <w:t>a</w:t>
            </w:r>
          </w:p>
        </w:tc>
        <w:tc>
          <w:tcPr>
            <w:tcW w:w="1796" w:type="dxa"/>
            <w:tcBorders>
              <w:top w:val="nil"/>
              <w:left w:val="nil"/>
              <w:bottom w:val="nil"/>
              <w:right w:val="nil"/>
            </w:tcBorders>
          </w:tcPr>
          <w:p w14:paraId="601FA594" w14:textId="77777777" w:rsidR="00107520" w:rsidRPr="00275945" w:rsidRDefault="00107520" w:rsidP="00311459">
            <w:pPr>
              <w:jc w:val="both"/>
              <w:rPr>
                <w:b/>
              </w:rPr>
            </w:pPr>
            <w:r w:rsidRPr="00275945">
              <w:rPr>
                <w:rFonts w:eastAsia="DengXian"/>
                <w:lang w:eastAsia="zh-CN"/>
              </w:rPr>
              <w:t>0.44 ± 0.15</w:t>
            </w:r>
            <w:r w:rsidRPr="00275945">
              <w:rPr>
                <w:rFonts w:eastAsia="DengXian"/>
                <w:vertAlign w:val="superscript"/>
                <w:lang w:eastAsia="zh-CN"/>
              </w:rPr>
              <w:t>a</w:t>
            </w:r>
          </w:p>
        </w:tc>
        <w:tc>
          <w:tcPr>
            <w:tcW w:w="1791" w:type="dxa"/>
            <w:tcBorders>
              <w:top w:val="nil"/>
              <w:left w:val="nil"/>
              <w:bottom w:val="nil"/>
              <w:right w:val="nil"/>
            </w:tcBorders>
          </w:tcPr>
          <w:p w14:paraId="39200EEF" w14:textId="77777777" w:rsidR="00107520" w:rsidRPr="00275945" w:rsidRDefault="00107520" w:rsidP="00311459">
            <w:pPr>
              <w:jc w:val="both"/>
              <w:rPr>
                <w:b/>
              </w:rPr>
            </w:pPr>
            <w:r w:rsidRPr="00275945">
              <w:rPr>
                <w:rFonts w:eastAsia="DengXian"/>
                <w:lang w:val="pt-BR" w:eastAsia="zh-CN"/>
              </w:rPr>
              <w:t>2.99 ± 0.46</w:t>
            </w:r>
            <w:r w:rsidRPr="00275945">
              <w:rPr>
                <w:rFonts w:eastAsia="DengXian"/>
                <w:vertAlign w:val="superscript"/>
                <w:lang w:val="pt-BR" w:eastAsia="zh-CN"/>
              </w:rPr>
              <w:t>b</w:t>
            </w:r>
          </w:p>
        </w:tc>
        <w:tc>
          <w:tcPr>
            <w:tcW w:w="1091" w:type="dxa"/>
            <w:tcBorders>
              <w:top w:val="nil"/>
              <w:left w:val="nil"/>
              <w:bottom w:val="nil"/>
              <w:right w:val="nil"/>
            </w:tcBorders>
          </w:tcPr>
          <w:p w14:paraId="1DE9BD72" w14:textId="77777777" w:rsidR="00107520" w:rsidRPr="00275945" w:rsidRDefault="00107520" w:rsidP="00311459">
            <w:pPr>
              <w:jc w:val="both"/>
              <w:rPr>
                <w:b/>
              </w:rPr>
            </w:pPr>
            <w:r w:rsidRPr="00275945">
              <w:rPr>
                <w:rFonts w:eastAsia="DengXian"/>
                <w:lang w:eastAsia="zh-CN"/>
              </w:rPr>
              <w:t>&lt;0.0001</w:t>
            </w:r>
          </w:p>
        </w:tc>
        <w:tc>
          <w:tcPr>
            <w:tcW w:w="1097" w:type="dxa"/>
            <w:tcBorders>
              <w:top w:val="nil"/>
              <w:left w:val="nil"/>
              <w:bottom w:val="nil"/>
              <w:right w:val="nil"/>
            </w:tcBorders>
          </w:tcPr>
          <w:p w14:paraId="2B1570FE" w14:textId="77777777" w:rsidR="00107520" w:rsidRPr="00275945" w:rsidRDefault="00107520" w:rsidP="00311459">
            <w:pPr>
              <w:jc w:val="both"/>
            </w:pPr>
            <w:r w:rsidRPr="00275945">
              <w:t>S</w:t>
            </w:r>
          </w:p>
        </w:tc>
      </w:tr>
      <w:tr w:rsidR="00107520" w:rsidRPr="00275945" w14:paraId="76EF4225" w14:textId="77777777" w:rsidTr="00107520">
        <w:tc>
          <w:tcPr>
            <w:tcW w:w="2160" w:type="dxa"/>
            <w:tcBorders>
              <w:top w:val="nil"/>
              <w:left w:val="nil"/>
              <w:bottom w:val="single" w:sz="4" w:space="0" w:color="auto"/>
              <w:right w:val="nil"/>
            </w:tcBorders>
          </w:tcPr>
          <w:p w14:paraId="408F5634" w14:textId="77777777" w:rsidR="00107520" w:rsidRPr="00275945" w:rsidRDefault="00107520" w:rsidP="00311459">
            <w:pPr>
              <w:jc w:val="both"/>
              <w:rPr>
                <w:b/>
              </w:rPr>
            </w:pPr>
            <w:r w:rsidRPr="00275945">
              <w:t>Citric Acid (mmol/L)</w:t>
            </w:r>
          </w:p>
        </w:tc>
        <w:tc>
          <w:tcPr>
            <w:tcW w:w="1965" w:type="dxa"/>
            <w:tcBorders>
              <w:top w:val="nil"/>
              <w:left w:val="nil"/>
              <w:bottom w:val="single" w:sz="4" w:space="0" w:color="auto"/>
              <w:right w:val="nil"/>
            </w:tcBorders>
          </w:tcPr>
          <w:p w14:paraId="55EAD2B2" w14:textId="77777777" w:rsidR="00107520" w:rsidRPr="00275945" w:rsidRDefault="00107520" w:rsidP="00311459">
            <w:pPr>
              <w:jc w:val="both"/>
              <w:rPr>
                <w:b/>
              </w:rPr>
            </w:pPr>
            <w:r w:rsidRPr="00275945">
              <w:rPr>
                <w:rFonts w:eastAsia="DengXian"/>
                <w:lang w:eastAsia="zh-CN"/>
              </w:rPr>
              <w:t>12.47±4.09</w:t>
            </w:r>
            <w:r w:rsidRPr="00275945">
              <w:rPr>
                <w:rFonts w:eastAsia="DengXian"/>
                <w:vertAlign w:val="superscript"/>
                <w:lang w:eastAsia="zh-CN"/>
              </w:rPr>
              <w:t>a</w:t>
            </w:r>
          </w:p>
        </w:tc>
        <w:tc>
          <w:tcPr>
            <w:tcW w:w="1796" w:type="dxa"/>
            <w:tcBorders>
              <w:top w:val="nil"/>
              <w:left w:val="nil"/>
              <w:bottom w:val="single" w:sz="4" w:space="0" w:color="auto"/>
              <w:right w:val="nil"/>
            </w:tcBorders>
          </w:tcPr>
          <w:p w14:paraId="2CA1CD48" w14:textId="77777777" w:rsidR="00107520" w:rsidRPr="00275945" w:rsidRDefault="00107520" w:rsidP="00311459">
            <w:pPr>
              <w:jc w:val="both"/>
              <w:rPr>
                <w:b/>
              </w:rPr>
            </w:pPr>
            <w:r w:rsidRPr="00275945">
              <w:rPr>
                <w:rFonts w:eastAsia="DengXian"/>
                <w:lang w:eastAsia="zh-CN"/>
              </w:rPr>
              <w:t>14.65± 4.71</w:t>
            </w:r>
            <w:r w:rsidRPr="00275945">
              <w:rPr>
                <w:rFonts w:eastAsia="DengXian"/>
                <w:vertAlign w:val="superscript"/>
                <w:lang w:eastAsia="zh-CN"/>
              </w:rPr>
              <w:t>a</w:t>
            </w:r>
          </w:p>
        </w:tc>
        <w:tc>
          <w:tcPr>
            <w:tcW w:w="1791" w:type="dxa"/>
            <w:tcBorders>
              <w:top w:val="nil"/>
              <w:left w:val="nil"/>
              <w:bottom w:val="single" w:sz="4" w:space="0" w:color="auto"/>
              <w:right w:val="nil"/>
            </w:tcBorders>
          </w:tcPr>
          <w:p w14:paraId="564D1C18" w14:textId="77777777" w:rsidR="00107520" w:rsidRPr="00275945" w:rsidRDefault="00107520" w:rsidP="00311459">
            <w:pPr>
              <w:jc w:val="both"/>
              <w:rPr>
                <w:b/>
              </w:rPr>
            </w:pPr>
            <w:r w:rsidRPr="00275945">
              <w:rPr>
                <w:rFonts w:eastAsia="DengXian"/>
                <w:lang w:val="pt-BR" w:eastAsia="zh-CN"/>
              </w:rPr>
              <w:t>58.26 ±5.27</w:t>
            </w:r>
            <w:r w:rsidRPr="00275945">
              <w:rPr>
                <w:rFonts w:eastAsia="DengXian"/>
                <w:vertAlign w:val="superscript"/>
                <w:lang w:val="pt-BR" w:eastAsia="zh-CN"/>
              </w:rPr>
              <w:t>b</w:t>
            </w:r>
          </w:p>
        </w:tc>
        <w:tc>
          <w:tcPr>
            <w:tcW w:w="1091" w:type="dxa"/>
            <w:tcBorders>
              <w:top w:val="nil"/>
              <w:left w:val="nil"/>
              <w:bottom w:val="single" w:sz="4" w:space="0" w:color="auto"/>
              <w:right w:val="nil"/>
            </w:tcBorders>
          </w:tcPr>
          <w:p w14:paraId="673BB5DC" w14:textId="77777777" w:rsidR="00107520" w:rsidRPr="00275945" w:rsidRDefault="00107520" w:rsidP="00311459">
            <w:pPr>
              <w:jc w:val="both"/>
              <w:rPr>
                <w:b/>
              </w:rPr>
            </w:pPr>
            <w:r w:rsidRPr="00275945">
              <w:rPr>
                <w:rFonts w:eastAsia="DengXian"/>
                <w:lang w:eastAsia="zh-CN"/>
              </w:rPr>
              <w:t>&lt;0.0001</w:t>
            </w:r>
          </w:p>
        </w:tc>
        <w:tc>
          <w:tcPr>
            <w:tcW w:w="1097" w:type="dxa"/>
            <w:tcBorders>
              <w:top w:val="nil"/>
              <w:left w:val="nil"/>
              <w:bottom w:val="single" w:sz="4" w:space="0" w:color="auto"/>
              <w:right w:val="nil"/>
            </w:tcBorders>
          </w:tcPr>
          <w:p w14:paraId="78BC9D66" w14:textId="77777777" w:rsidR="00107520" w:rsidRPr="00275945" w:rsidRDefault="00107520" w:rsidP="00311459">
            <w:pPr>
              <w:jc w:val="both"/>
            </w:pPr>
            <w:r w:rsidRPr="00275945">
              <w:t>S</w:t>
            </w:r>
          </w:p>
        </w:tc>
      </w:tr>
    </w:tbl>
    <w:p w14:paraId="53C97B74" w14:textId="77777777" w:rsidR="002C3F07" w:rsidRPr="00275945" w:rsidRDefault="002C3F07" w:rsidP="002C3F07">
      <w:pPr>
        <w:keepNext/>
        <w:keepLines/>
        <w:spacing w:before="260" w:after="260"/>
        <w:jc w:val="both"/>
        <w:outlineLvl w:val="2"/>
        <w:rPr>
          <w:rFonts w:eastAsia="DengXian"/>
          <w:bCs/>
          <w:lang w:eastAsia="zh-CN"/>
        </w:rPr>
      </w:pPr>
      <w:r w:rsidRPr="00275945">
        <w:rPr>
          <w:rFonts w:eastAsia="DengXian"/>
          <w:b/>
          <w:bCs/>
          <w:lang w:eastAsia="zh-CN"/>
        </w:rPr>
        <w:t>Keys:</w:t>
      </w:r>
      <w:r w:rsidRPr="00275945">
        <w:rPr>
          <w:rFonts w:eastAsia="DengXian"/>
          <w:bCs/>
          <w:lang w:eastAsia="zh-CN"/>
        </w:rPr>
        <w:t xml:space="preserve"> Post hoc: values in the same rows with different superscripts are significantly different (</w:t>
      </w:r>
      <w:r w:rsidR="00985DF4" w:rsidRPr="00275945">
        <w:rPr>
          <w:rFonts w:eastAsia="DengXian"/>
          <w:bCs/>
          <w:i/>
          <w:lang w:eastAsia="zh-CN"/>
        </w:rPr>
        <w:t xml:space="preserve">P </w:t>
      </w:r>
      <w:r w:rsidRPr="00275945">
        <w:rPr>
          <w:rFonts w:eastAsia="DengXian"/>
          <w:bCs/>
          <w:i/>
          <w:lang w:eastAsia="zh-CN"/>
        </w:rPr>
        <w:t>&lt;</w:t>
      </w:r>
      <w:r w:rsidR="00985DF4" w:rsidRPr="00275945">
        <w:rPr>
          <w:rFonts w:eastAsia="DengXian"/>
          <w:bCs/>
          <w:i/>
          <w:lang w:eastAsia="zh-CN"/>
        </w:rPr>
        <w:t xml:space="preserve"> </w:t>
      </w:r>
      <w:r w:rsidRPr="00275945">
        <w:rPr>
          <w:rFonts w:eastAsia="DengXian"/>
          <w:bCs/>
          <w:i/>
          <w:lang w:eastAsia="zh-CN"/>
        </w:rPr>
        <w:t>0.05</w:t>
      </w:r>
      <w:r w:rsidRPr="00275945">
        <w:rPr>
          <w:rFonts w:eastAsia="DengXian"/>
          <w:bCs/>
          <w:lang w:eastAsia="zh-CN"/>
        </w:rPr>
        <w:t>), S = significant (</w:t>
      </w:r>
      <w:r w:rsidR="00985DF4" w:rsidRPr="00275945">
        <w:rPr>
          <w:rFonts w:eastAsia="DengXian"/>
          <w:bCs/>
          <w:i/>
          <w:lang w:eastAsia="zh-CN"/>
        </w:rPr>
        <w:t>P</w:t>
      </w:r>
      <w:r w:rsidRPr="00275945">
        <w:rPr>
          <w:rFonts w:eastAsia="DengXian"/>
          <w:bCs/>
          <w:lang w:eastAsia="zh-CN"/>
        </w:rPr>
        <w:t xml:space="preserve"> &lt;</w:t>
      </w:r>
      <w:r w:rsidR="00FA7A42" w:rsidRPr="00275945">
        <w:rPr>
          <w:rFonts w:eastAsia="DengXian"/>
          <w:bCs/>
          <w:lang w:eastAsia="zh-CN"/>
        </w:rPr>
        <w:t xml:space="preserve"> </w:t>
      </w:r>
      <w:r w:rsidRPr="00275945">
        <w:rPr>
          <w:rFonts w:eastAsia="DengXian"/>
          <w:bCs/>
          <w:lang w:eastAsia="zh-CN"/>
        </w:rPr>
        <w:t>.05)</w:t>
      </w:r>
    </w:p>
    <w:p w14:paraId="7391EE46" w14:textId="77777777" w:rsidR="00377C04" w:rsidRPr="00275945" w:rsidRDefault="00377C04" w:rsidP="00104C40">
      <w:pPr>
        <w:pStyle w:val="NormalWeb"/>
        <w:jc w:val="both"/>
        <w:rPr>
          <w:rFonts w:eastAsia="DengXian"/>
          <w:b/>
          <w:bCs/>
          <w:lang w:eastAsia="zh-CN"/>
        </w:rPr>
      </w:pPr>
    </w:p>
    <w:p w14:paraId="406EEB2A" w14:textId="77777777" w:rsidR="00FA7A42" w:rsidRPr="00275945" w:rsidRDefault="00377C04" w:rsidP="00104C40">
      <w:pPr>
        <w:pStyle w:val="NormalWeb"/>
        <w:jc w:val="both"/>
      </w:pPr>
      <w:r w:rsidRPr="00275945">
        <w:rPr>
          <w:rFonts w:eastAsia="DengXian"/>
          <w:b/>
          <w:bCs/>
          <w:lang w:eastAsia="zh-CN"/>
        </w:rPr>
        <w:t>3.3: Comparison of Sperm Counts, Sperm Motility, Zinc, Citric Acid and Fructose Concentrations between Normospermia, Oligospermia, Azoospermia Infertile and Normospermia Fertile men.</w:t>
      </w:r>
    </w:p>
    <w:p w14:paraId="7A408E22" w14:textId="77777777" w:rsidR="0073573F" w:rsidRPr="00275945" w:rsidRDefault="0073573F" w:rsidP="009B4514">
      <w:pPr>
        <w:pStyle w:val="NormalWeb"/>
        <w:spacing w:line="480" w:lineRule="auto"/>
        <w:jc w:val="both"/>
      </w:pPr>
      <w:r w:rsidRPr="00275945">
        <w:t xml:space="preserve">Sperm count declined progressively from the normospermic fertile group to normospermic infertile and oligospermic subjects, with complete absence in </w:t>
      </w:r>
      <w:r w:rsidR="00985DF4" w:rsidRPr="00275945">
        <w:t>azoospermic men (</w:t>
      </w:r>
      <w:r w:rsidR="00985DF4" w:rsidRPr="00275945">
        <w:rPr>
          <w:i/>
        </w:rPr>
        <w:t>P</w:t>
      </w:r>
      <w:r w:rsidR="00985DF4" w:rsidRPr="00275945">
        <w:t xml:space="preserve"> &lt; </w:t>
      </w:r>
      <w:r w:rsidRPr="00275945">
        <w:t>.05). A similar trend was observed for sperm motility, which was highest in fertile normospermic men and significantly reduced across infertile, oligosp</w:t>
      </w:r>
      <w:r w:rsidR="00985DF4" w:rsidRPr="00275945">
        <w:t>ermic, and azoospermic groups (</w:t>
      </w:r>
      <w:r w:rsidR="00985DF4" w:rsidRPr="00275945">
        <w:rPr>
          <w:i/>
        </w:rPr>
        <w:t>P</w:t>
      </w:r>
      <w:r w:rsidR="00985DF4" w:rsidRPr="00275945">
        <w:t xml:space="preserve"> &lt; </w:t>
      </w:r>
      <w:r w:rsidRPr="00275945">
        <w:t>.05).</w:t>
      </w:r>
      <w:r w:rsidR="009B4514" w:rsidRPr="00275945">
        <w:t xml:space="preserve"> </w:t>
      </w:r>
      <w:r w:rsidRPr="00275945">
        <w:t>Seminal plasma zinc and citric acid concentrations were significantly higher in normospermic fertile men compared with all infertile groups, including normospermic infertile, oligosper</w:t>
      </w:r>
      <w:r w:rsidR="00985DF4" w:rsidRPr="00275945">
        <w:t>mic, and azoospermic subjects (</w:t>
      </w:r>
      <w:r w:rsidR="00985DF4" w:rsidRPr="00275945">
        <w:rPr>
          <w:i/>
        </w:rPr>
        <w:t>P</w:t>
      </w:r>
      <w:r w:rsidR="00985DF4" w:rsidRPr="00275945">
        <w:t xml:space="preserve"> &lt; </w:t>
      </w:r>
      <w:r w:rsidRPr="00275945">
        <w:t>.05). Although azoospermic men exhibited slightly higher zinc levels than other infertile groups, these remained markedly lower than those of fertile controls.</w:t>
      </w:r>
      <w:r w:rsidR="009B4514" w:rsidRPr="00275945">
        <w:t xml:space="preserve"> </w:t>
      </w:r>
      <w:r w:rsidRPr="00275945">
        <w:t>Fructose concentration was highest in fertile normospermic men and comparable to levels in normospermic infertile subjects, but significantly reduced in oligospermic and azoospermic men. Overall, significant variations in seminal biochemical parameters were obs</w:t>
      </w:r>
      <w:r w:rsidR="00985DF4" w:rsidRPr="00275945">
        <w:t>erved across the study groups (</w:t>
      </w:r>
      <w:r w:rsidR="00985DF4" w:rsidRPr="00275945">
        <w:rPr>
          <w:i/>
        </w:rPr>
        <w:t>P</w:t>
      </w:r>
      <w:r w:rsidR="00985DF4" w:rsidRPr="00275945">
        <w:t xml:space="preserve"> &lt; </w:t>
      </w:r>
      <w:r w:rsidRPr="00275945">
        <w:t>.05).</w:t>
      </w:r>
    </w:p>
    <w:p w14:paraId="1999B36D" w14:textId="0F5F9C70" w:rsidR="00370EA4" w:rsidRPr="00275945" w:rsidRDefault="00EB0324" w:rsidP="007522B6">
      <w:pPr>
        <w:keepNext/>
        <w:keepLines/>
        <w:spacing w:before="260" w:after="260"/>
        <w:jc w:val="both"/>
        <w:outlineLvl w:val="2"/>
        <w:rPr>
          <w:rFonts w:eastAsia="DengXian"/>
          <w:lang w:eastAsia="zh-CN"/>
        </w:rPr>
      </w:pPr>
      <w:r w:rsidRPr="00275945">
        <w:rPr>
          <w:rFonts w:eastAsia="DengXian"/>
          <w:b/>
          <w:bCs/>
          <w:lang w:eastAsia="zh-CN"/>
        </w:rPr>
        <w:lastRenderedPageBreak/>
        <w:t>Table 3 Comparisons Some Semen Parameters in Infertile Normospermic, Oligospermic and Azoospermic and Fertile Normospermic Males</w:t>
      </w:r>
      <w:r w:rsidR="00D34995" w:rsidRPr="00275945">
        <w:rPr>
          <w:rFonts w:eastAsia="DengXian"/>
          <w:b/>
          <w:bCs/>
          <w:lang w:eastAsia="zh-CN"/>
        </w:rPr>
        <w:t xml:space="preserve"> </w:t>
      </w:r>
    </w:p>
    <w:tbl>
      <w:tblPr>
        <w:tblStyle w:val="TableGrid"/>
        <w:tblW w:w="11520" w:type="dxa"/>
        <w:tblInd w:w="-1152" w:type="dxa"/>
        <w:tblLayout w:type="fixed"/>
        <w:tblLook w:val="01E0" w:firstRow="1" w:lastRow="1" w:firstColumn="1" w:lastColumn="1" w:noHBand="0" w:noVBand="0"/>
      </w:tblPr>
      <w:tblGrid>
        <w:gridCol w:w="1620"/>
        <w:gridCol w:w="1980"/>
        <w:gridCol w:w="1980"/>
        <w:gridCol w:w="1800"/>
        <w:gridCol w:w="1620"/>
        <w:gridCol w:w="1260"/>
        <w:gridCol w:w="1260"/>
      </w:tblGrid>
      <w:tr w:rsidR="00915254" w:rsidRPr="00275945" w14:paraId="70AE3E6F" w14:textId="77777777" w:rsidTr="00190959">
        <w:trPr>
          <w:trHeight w:val="555"/>
        </w:trPr>
        <w:tc>
          <w:tcPr>
            <w:tcW w:w="1620" w:type="dxa"/>
            <w:tcBorders>
              <w:left w:val="nil"/>
              <w:bottom w:val="single" w:sz="4" w:space="0" w:color="auto"/>
              <w:right w:val="nil"/>
            </w:tcBorders>
          </w:tcPr>
          <w:p w14:paraId="388526DA" w14:textId="77777777" w:rsidR="00915254" w:rsidRPr="00275945" w:rsidRDefault="00915254" w:rsidP="00311459">
            <w:pPr>
              <w:jc w:val="both"/>
              <w:rPr>
                <w:b/>
              </w:rPr>
            </w:pPr>
            <w:r w:rsidRPr="00275945">
              <w:rPr>
                <w:b/>
              </w:rPr>
              <w:t>Parameter</w:t>
            </w:r>
          </w:p>
        </w:tc>
        <w:tc>
          <w:tcPr>
            <w:tcW w:w="1980" w:type="dxa"/>
            <w:tcBorders>
              <w:left w:val="nil"/>
              <w:bottom w:val="single" w:sz="4" w:space="0" w:color="auto"/>
              <w:right w:val="nil"/>
            </w:tcBorders>
          </w:tcPr>
          <w:p w14:paraId="67305342" w14:textId="77777777" w:rsidR="00DD4664" w:rsidRPr="00275945" w:rsidRDefault="00DD4664" w:rsidP="00311459">
            <w:pPr>
              <w:jc w:val="both"/>
              <w:rPr>
                <w:rFonts w:eastAsia="DengXian"/>
                <w:b/>
                <w:lang w:val="pt-BR" w:eastAsia="zh-CN"/>
              </w:rPr>
            </w:pPr>
            <w:r w:rsidRPr="00275945">
              <w:rPr>
                <w:rFonts w:eastAsia="DengXian"/>
                <w:b/>
                <w:lang w:val="pt-BR" w:eastAsia="zh-CN"/>
              </w:rPr>
              <w:t>Normospermia</w:t>
            </w:r>
          </w:p>
          <w:p w14:paraId="43F6F18E" w14:textId="77777777" w:rsidR="00915254" w:rsidRPr="00275945" w:rsidRDefault="00A62935" w:rsidP="00311459">
            <w:pPr>
              <w:jc w:val="both"/>
              <w:rPr>
                <w:rFonts w:eastAsia="DengXian"/>
                <w:b/>
                <w:lang w:val="pt-BR" w:eastAsia="zh-CN"/>
              </w:rPr>
            </w:pPr>
            <w:r w:rsidRPr="00275945">
              <w:rPr>
                <w:rFonts w:eastAsia="DengXian"/>
                <w:b/>
                <w:lang w:val="pt-BR" w:eastAsia="zh-CN"/>
              </w:rPr>
              <w:t>fertile</w:t>
            </w:r>
          </w:p>
          <w:p w14:paraId="739DA19C" w14:textId="77777777" w:rsidR="00A62935" w:rsidRPr="00275945" w:rsidRDefault="00A62935" w:rsidP="00311459">
            <w:pPr>
              <w:jc w:val="both"/>
              <w:rPr>
                <w:b/>
              </w:rPr>
            </w:pPr>
            <w:r w:rsidRPr="00275945">
              <w:rPr>
                <w:rFonts w:eastAsia="DengXian"/>
                <w:b/>
                <w:lang w:val="pt-BR" w:eastAsia="zh-CN"/>
              </w:rPr>
              <w:t>(n=50)</w:t>
            </w:r>
          </w:p>
        </w:tc>
        <w:tc>
          <w:tcPr>
            <w:tcW w:w="1980" w:type="dxa"/>
            <w:tcBorders>
              <w:left w:val="nil"/>
              <w:bottom w:val="single" w:sz="4" w:space="0" w:color="auto"/>
              <w:right w:val="nil"/>
            </w:tcBorders>
          </w:tcPr>
          <w:p w14:paraId="014DD363" w14:textId="77777777" w:rsidR="00915254" w:rsidRPr="00275945" w:rsidRDefault="00DD4664" w:rsidP="00311459">
            <w:pPr>
              <w:jc w:val="both"/>
              <w:rPr>
                <w:rFonts w:eastAsia="DengXian"/>
                <w:b/>
                <w:lang w:val="pt-BR" w:eastAsia="zh-CN"/>
              </w:rPr>
            </w:pPr>
            <w:r w:rsidRPr="00275945">
              <w:rPr>
                <w:rFonts w:eastAsia="DengXian"/>
                <w:b/>
                <w:lang w:val="pt-BR" w:eastAsia="zh-CN"/>
              </w:rPr>
              <w:t>Normospermia infertile</w:t>
            </w:r>
          </w:p>
          <w:p w14:paraId="21B33E3B" w14:textId="77777777" w:rsidR="00DD4664" w:rsidRPr="00275945" w:rsidRDefault="00DD4664" w:rsidP="00311459">
            <w:pPr>
              <w:jc w:val="both"/>
              <w:rPr>
                <w:rFonts w:eastAsia="DengXian"/>
                <w:b/>
                <w:lang w:val="pt-BR" w:eastAsia="zh-CN"/>
              </w:rPr>
            </w:pPr>
            <w:r w:rsidRPr="00275945">
              <w:rPr>
                <w:rFonts w:eastAsia="DengXian"/>
                <w:b/>
                <w:lang w:val="pt-BR" w:eastAsia="zh-CN"/>
              </w:rPr>
              <w:t>(n =71)</w:t>
            </w:r>
          </w:p>
          <w:p w14:paraId="746718ED" w14:textId="77777777" w:rsidR="00A62935" w:rsidRPr="00275945" w:rsidRDefault="00A62935" w:rsidP="00311459">
            <w:pPr>
              <w:jc w:val="both"/>
              <w:rPr>
                <w:b/>
              </w:rPr>
            </w:pPr>
          </w:p>
        </w:tc>
        <w:tc>
          <w:tcPr>
            <w:tcW w:w="1800" w:type="dxa"/>
            <w:tcBorders>
              <w:left w:val="nil"/>
              <w:bottom w:val="single" w:sz="4" w:space="0" w:color="auto"/>
              <w:right w:val="nil"/>
            </w:tcBorders>
          </w:tcPr>
          <w:p w14:paraId="323429FB" w14:textId="77777777" w:rsidR="00915254" w:rsidRPr="00275945" w:rsidRDefault="00915254" w:rsidP="00311459">
            <w:pPr>
              <w:jc w:val="both"/>
              <w:rPr>
                <w:rFonts w:eastAsia="DengXian"/>
                <w:b/>
                <w:lang w:val="pt-BR" w:eastAsia="zh-CN"/>
              </w:rPr>
            </w:pPr>
            <w:r w:rsidRPr="00275945">
              <w:rPr>
                <w:rFonts w:eastAsia="DengXian"/>
                <w:b/>
                <w:lang w:val="pt-BR" w:eastAsia="zh-CN"/>
              </w:rPr>
              <w:t>Oligospermia</w:t>
            </w:r>
          </w:p>
          <w:p w14:paraId="163B573B" w14:textId="77777777" w:rsidR="00DD4664" w:rsidRPr="00275945" w:rsidRDefault="00DD4664" w:rsidP="00311459">
            <w:pPr>
              <w:jc w:val="both"/>
              <w:rPr>
                <w:rFonts w:eastAsia="DengXian"/>
                <w:b/>
                <w:lang w:val="pt-BR" w:eastAsia="zh-CN"/>
              </w:rPr>
            </w:pPr>
            <w:r w:rsidRPr="00275945">
              <w:rPr>
                <w:rFonts w:eastAsia="DengXian"/>
                <w:b/>
                <w:lang w:val="pt-BR" w:eastAsia="zh-CN"/>
              </w:rPr>
              <w:t xml:space="preserve"> (n</w:t>
            </w:r>
            <w:r w:rsidR="00F271CE" w:rsidRPr="00275945">
              <w:rPr>
                <w:rFonts w:eastAsia="DengXian"/>
                <w:b/>
                <w:lang w:val="pt-BR" w:eastAsia="zh-CN"/>
              </w:rPr>
              <w:t xml:space="preserve"> =</w:t>
            </w:r>
            <w:r w:rsidRPr="00275945">
              <w:rPr>
                <w:rFonts w:eastAsia="DengXian"/>
                <w:b/>
                <w:lang w:val="pt-BR" w:eastAsia="zh-CN"/>
              </w:rPr>
              <w:t xml:space="preserve"> 20)</w:t>
            </w:r>
          </w:p>
        </w:tc>
        <w:tc>
          <w:tcPr>
            <w:tcW w:w="1620" w:type="dxa"/>
            <w:tcBorders>
              <w:left w:val="nil"/>
              <w:bottom w:val="single" w:sz="4" w:space="0" w:color="auto"/>
              <w:right w:val="nil"/>
            </w:tcBorders>
          </w:tcPr>
          <w:p w14:paraId="7D8E2C20" w14:textId="77777777" w:rsidR="00915254" w:rsidRPr="00275945" w:rsidRDefault="00915254" w:rsidP="00311459">
            <w:pPr>
              <w:jc w:val="both"/>
              <w:rPr>
                <w:rFonts w:eastAsia="DengXian"/>
                <w:b/>
                <w:lang w:val="pt-BR" w:eastAsia="zh-CN"/>
              </w:rPr>
            </w:pPr>
            <w:r w:rsidRPr="00275945">
              <w:rPr>
                <w:rFonts w:eastAsia="DengXian"/>
                <w:b/>
                <w:lang w:val="pt-BR" w:eastAsia="zh-CN"/>
              </w:rPr>
              <w:t>Azospermia</w:t>
            </w:r>
          </w:p>
          <w:p w14:paraId="523FC295" w14:textId="77777777" w:rsidR="00DD4664" w:rsidRPr="00275945" w:rsidRDefault="00DD4664" w:rsidP="00311459">
            <w:pPr>
              <w:jc w:val="both"/>
              <w:rPr>
                <w:b/>
              </w:rPr>
            </w:pPr>
            <w:r w:rsidRPr="00275945">
              <w:rPr>
                <w:rFonts w:eastAsia="DengXian"/>
                <w:b/>
                <w:lang w:val="pt-BR" w:eastAsia="zh-CN"/>
              </w:rPr>
              <w:t>(n =9)</w:t>
            </w:r>
          </w:p>
        </w:tc>
        <w:tc>
          <w:tcPr>
            <w:tcW w:w="1260" w:type="dxa"/>
            <w:tcBorders>
              <w:left w:val="nil"/>
              <w:bottom w:val="single" w:sz="4" w:space="0" w:color="auto"/>
              <w:right w:val="nil"/>
            </w:tcBorders>
          </w:tcPr>
          <w:p w14:paraId="7318AAD0" w14:textId="77777777" w:rsidR="00915254" w:rsidRPr="00275945" w:rsidRDefault="00915254" w:rsidP="00311459">
            <w:pPr>
              <w:jc w:val="both"/>
              <w:rPr>
                <w:b/>
              </w:rPr>
            </w:pPr>
            <w:r w:rsidRPr="00275945">
              <w:rPr>
                <w:b/>
              </w:rPr>
              <w:t>p-value</w:t>
            </w:r>
          </w:p>
        </w:tc>
        <w:tc>
          <w:tcPr>
            <w:tcW w:w="1260" w:type="dxa"/>
            <w:tcBorders>
              <w:left w:val="nil"/>
              <w:bottom w:val="single" w:sz="4" w:space="0" w:color="auto"/>
              <w:right w:val="nil"/>
            </w:tcBorders>
          </w:tcPr>
          <w:p w14:paraId="145DE1DB" w14:textId="77777777" w:rsidR="00915254" w:rsidRPr="00275945" w:rsidRDefault="00915254" w:rsidP="00311459">
            <w:pPr>
              <w:jc w:val="both"/>
              <w:rPr>
                <w:b/>
              </w:rPr>
            </w:pPr>
            <w:r w:rsidRPr="00275945">
              <w:rPr>
                <w:b/>
              </w:rPr>
              <w:t>Remark</w:t>
            </w:r>
          </w:p>
        </w:tc>
      </w:tr>
      <w:tr w:rsidR="00915254" w:rsidRPr="00275945" w14:paraId="4F569440" w14:textId="77777777" w:rsidTr="00B35F60">
        <w:trPr>
          <w:trHeight w:val="540"/>
        </w:trPr>
        <w:tc>
          <w:tcPr>
            <w:tcW w:w="1620" w:type="dxa"/>
            <w:tcBorders>
              <w:left w:val="nil"/>
              <w:bottom w:val="nil"/>
              <w:right w:val="nil"/>
            </w:tcBorders>
          </w:tcPr>
          <w:p w14:paraId="679E2B26" w14:textId="77777777" w:rsidR="00B35F60" w:rsidRPr="00275945" w:rsidRDefault="007C636D" w:rsidP="007C636D">
            <w:pPr>
              <w:jc w:val="both"/>
            </w:pPr>
            <w:r w:rsidRPr="00275945">
              <w:t>Sperm count</w:t>
            </w:r>
          </w:p>
          <w:p w14:paraId="39EA3030" w14:textId="77777777" w:rsidR="007C636D" w:rsidRPr="00275945" w:rsidRDefault="007C636D" w:rsidP="007C636D">
            <w:pPr>
              <w:jc w:val="both"/>
            </w:pPr>
            <w:r w:rsidRPr="00275945">
              <w:t>(10</w:t>
            </w:r>
            <w:r w:rsidRPr="00275945">
              <w:rPr>
                <w:vertAlign w:val="superscript"/>
              </w:rPr>
              <w:t>6</w:t>
            </w:r>
            <w:r w:rsidRPr="00275945">
              <w:t>/mL)</w:t>
            </w:r>
          </w:p>
        </w:tc>
        <w:tc>
          <w:tcPr>
            <w:tcW w:w="1980" w:type="dxa"/>
            <w:tcBorders>
              <w:left w:val="nil"/>
              <w:bottom w:val="nil"/>
              <w:right w:val="nil"/>
            </w:tcBorders>
          </w:tcPr>
          <w:p w14:paraId="6847840A" w14:textId="77777777" w:rsidR="00915254" w:rsidRPr="00275945" w:rsidRDefault="000F0495" w:rsidP="00311459">
            <w:pPr>
              <w:jc w:val="both"/>
              <w:rPr>
                <w:b/>
                <w:vertAlign w:val="superscript"/>
              </w:rPr>
            </w:pPr>
            <w:r w:rsidRPr="00275945">
              <w:rPr>
                <w:lang w:val="pt-BR"/>
              </w:rPr>
              <w:t>101.80 ± 21.89</w:t>
            </w:r>
            <w:r w:rsidR="00EB5341" w:rsidRPr="00275945">
              <w:rPr>
                <w:vertAlign w:val="superscript"/>
                <w:lang w:val="pt-BR"/>
              </w:rPr>
              <w:t>a</w:t>
            </w:r>
          </w:p>
        </w:tc>
        <w:tc>
          <w:tcPr>
            <w:tcW w:w="1980" w:type="dxa"/>
            <w:tcBorders>
              <w:left w:val="nil"/>
              <w:bottom w:val="nil"/>
              <w:right w:val="nil"/>
            </w:tcBorders>
          </w:tcPr>
          <w:p w14:paraId="1AA17556" w14:textId="77777777" w:rsidR="00915254" w:rsidRPr="00275945" w:rsidRDefault="00D800B6" w:rsidP="00311459">
            <w:pPr>
              <w:jc w:val="both"/>
              <w:rPr>
                <w:b/>
              </w:rPr>
            </w:pPr>
            <w:r w:rsidRPr="00275945">
              <w:rPr>
                <w:rFonts w:eastAsia="DengXian"/>
                <w:lang w:eastAsia="zh-CN"/>
              </w:rPr>
              <w:t>46.03± 35.71</w:t>
            </w:r>
            <w:r w:rsidR="000F0495" w:rsidRPr="00275945">
              <w:rPr>
                <w:rFonts w:eastAsia="DengXian"/>
                <w:vertAlign w:val="superscript"/>
                <w:lang w:eastAsia="zh-CN"/>
              </w:rPr>
              <w:t>b</w:t>
            </w:r>
          </w:p>
        </w:tc>
        <w:tc>
          <w:tcPr>
            <w:tcW w:w="1800" w:type="dxa"/>
            <w:tcBorders>
              <w:left w:val="nil"/>
              <w:bottom w:val="nil"/>
              <w:right w:val="nil"/>
            </w:tcBorders>
          </w:tcPr>
          <w:p w14:paraId="3F1F27D4" w14:textId="77777777" w:rsidR="00915254" w:rsidRPr="00275945" w:rsidRDefault="00D800B6" w:rsidP="00311459">
            <w:pPr>
              <w:jc w:val="both"/>
              <w:rPr>
                <w:b/>
              </w:rPr>
            </w:pPr>
            <w:r w:rsidRPr="00275945">
              <w:rPr>
                <w:rFonts w:eastAsia="DengXian"/>
                <w:lang w:eastAsia="zh-CN"/>
              </w:rPr>
              <w:t>12.96±10.06</w:t>
            </w:r>
            <w:r w:rsidRPr="00275945">
              <w:rPr>
                <w:rFonts w:eastAsia="DengXian"/>
                <w:vertAlign w:val="superscript"/>
                <w:lang w:eastAsia="zh-CN"/>
              </w:rPr>
              <w:t>c</w:t>
            </w:r>
          </w:p>
        </w:tc>
        <w:tc>
          <w:tcPr>
            <w:tcW w:w="1620" w:type="dxa"/>
            <w:tcBorders>
              <w:left w:val="nil"/>
              <w:bottom w:val="nil"/>
              <w:right w:val="nil"/>
            </w:tcBorders>
          </w:tcPr>
          <w:p w14:paraId="2947C3B6" w14:textId="77777777" w:rsidR="00915254" w:rsidRPr="00275945" w:rsidRDefault="00915254" w:rsidP="00311459">
            <w:pPr>
              <w:jc w:val="both"/>
              <w:rPr>
                <w:b/>
                <w:vertAlign w:val="superscript"/>
              </w:rPr>
            </w:pPr>
            <w:r w:rsidRPr="00275945">
              <w:rPr>
                <w:rFonts w:eastAsia="DengXian"/>
                <w:lang w:eastAsia="zh-CN"/>
              </w:rPr>
              <w:t>0.00±0.00</w:t>
            </w:r>
            <w:r w:rsidR="00D800B6" w:rsidRPr="00275945">
              <w:rPr>
                <w:rFonts w:eastAsia="DengXian"/>
                <w:vertAlign w:val="superscript"/>
                <w:lang w:eastAsia="zh-CN"/>
              </w:rPr>
              <w:t>d</w:t>
            </w:r>
          </w:p>
        </w:tc>
        <w:tc>
          <w:tcPr>
            <w:tcW w:w="1260" w:type="dxa"/>
            <w:tcBorders>
              <w:left w:val="nil"/>
              <w:bottom w:val="nil"/>
              <w:right w:val="nil"/>
            </w:tcBorders>
          </w:tcPr>
          <w:p w14:paraId="412BF2D6" w14:textId="77777777" w:rsidR="00915254" w:rsidRPr="00275945" w:rsidRDefault="00915254" w:rsidP="00311459">
            <w:pPr>
              <w:jc w:val="both"/>
              <w:rPr>
                <w:b/>
              </w:rPr>
            </w:pPr>
            <w:r w:rsidRPr="00275945">
              <w:rPr>
                <w:rFonts w:eastAsia="DengXian"/>
                <w:lang w:eastAsia="zh-CN"/>
              </w:rPr>
              <w:t>&lt;0.0001</w:t>
            </w:r>
          </w:p>
        </w:tc>
        <w:tc>
          <w:tcPr>
            <w:tcW w:w="1260" w:type="dxa"/>
            <w:tcBorders>
              <w:left w:val="nil"/>
              <w:bottom w:val="nil"/>
              <w:right w:val="nil"/>
            </w:tcBorders>
          </w:tcPr>
          <w:p w14:paraId="4E0FCDCA" w14:textId="77777777" w:rsidR="00915254" w:rsidRPr="00275945" w:rsidRDefault="00915254" w:rsidP="00311459">
            <w:pPr>
              <w:jc w:val="both"/>
            </w:pPr>
            <w:r w:rsidRPr="00275945">
              <w:t>S</w:t>
            </w:r>
          </w:p>
        </w:tc>
      </w:tr>
      <w:tr w:rsidR="007C636D" w:rsidRPr="00275945" w14:paraId="2B8604FD" w14:textId="77777777" w:rsidTr="00190959">
        <w:trPr>
          <w:trHeight w:val="540"/>
        </w:trPr>
        <w:tc>
          <w:tcPr>
            <w:tcW w:w="1620" w:type="dxa"/>
            <w:tcBorders>
              <w:top w:val="nil"/>
              <w:left w:val="nil"/>
              <w:bottom w:val="nil"/>
              <w:right w:val="nil"/>
            </w:tcBorders>
          </w:tcPr>
          <w:p w14:paraId="47823B3C" w14:textId="77777777" w:rsidR="007C636D" w:rsidRPr="00275945" w:rsidRDefault="007C636D" w:rsidP="00311459">
            <w:pPr>
              <w:jc w:val="both"/>
              <w:rPr>
                <w:rFonts w:eastAsia="DengXian"/>
                <w:lang w:eastAsia="zh-CN"/>
              </w:rPr>
            </w:pPr>
            <w:r w:rsidRPr="00275945">
              <w:rPr>
                <w:rFonts w:eastAsia="DengXian"/>
                <w:lang w:eastAsia="zh-CN"/>
              </w:rPr>
              <w:t>Sperm motility (%)</w:t>
            </w:r>
          </w:p>
        </w:tc>
        <w:tc>
          <w:tcPr>
            <w:tcW w:w="1980" w:type="dxa"/>
            <w:tcBorders>
              <w:top w:val="nil"/>
              <w:left w:val="nil"/>
              <w:bottom w:val="nil"/>
              <w:right w:val="nil"/>
            </w:tcBorders>
          </w:tcPr>
          <w:p w14:paraId="6A273A6C" w14:textId="77777777" w:rsidR="007C636D" w:rsidRPr="00275945" w:rsidRDefault="003F4FA2" w:rsidP="00311459">
            <w:pPr>
              <w:jc w:val="both"/>
              <w:rPr>
                <w:rFonts w:eastAsia="DengXian"/>
                <w:lang w:eastAsia="zh-CN"/>
              </w:rPr>
            </w:pPr>
            <w:r w:rsidRPr="00275945">
              <w:rPr>
                <w:rFonts w:eastAsia="DengXian"/>
                <w:lang w:eastAsia="zh-CN"/>
              </w:rPr>
              <w:t>40.50 ± 3.23</w:t>
            </w:r>
            <w:r w:rsidRPr="00275945">
              <w:rPr>
                <w:rFonts w:eastAsia="DengXian"/>
                <w:vertAlign w:val="superscript"/>
                <w:lang w:eastAsia="zh-CN"/>
              </w:rPr>
              <w:t>a</w:t>
            </w:r>
          </w:p>
        </w:tc>
        <w:tc>
          <w:tcPr>
            <w:tcW w:w="1980" w:type="dxa"/>
            <w:tcBorders>
              <w:top w:val="nil"/>
              <w:left w:val="nil"/>
              <w:bottom w:val="nil"/>
              <w:right w:val="nil"/>
            </w:tcBorders>
          </w:tcPr>
          <w:p w14:paraId="7DF921F7" w14:textId="77777777" w:rsidR="007C636D" w:rsidRPr="00275945" w:rsidRDefault="003F4FA2" w:rsidP="00311459">
            <w:pPr>
              <w:jc w:val="both"/>
              <w:rPr>
                <w:rFonts w:eastAsia="DengXian"/>
                <w:lang w:eastAsia="zh-CN"/>
              </w:rPr>
            </w:pPr>
            <w:r w:rsidRPr="00275945">
              <w:rPr>
                <w:rFonts w:eastAsia="DengXian"/>
                <w:lang w:eastAsia="zh-CN"/>
              </w:rPr>
              <w:t>34.08 ±1.23</w:t>
            </w:r>
            <w:r w:rsidRPr="00275945">
              <w:rPr>
                <w:rFonts w:eastAsia="DengXian"/>
                <w:vertAlign w:val="superscript"/>
                <w:lang w:eastAsia="zh-CN"/>
              </w:rPr>
              <w:t>b</w:t>
            </w:r>
          </w:p>
        </w:tc>
        <w:tc>
          <w:tcPr>
            <w:tcW w:w="1800" w:type="dxa"/>
            <w:tcBorders>
              <w:top w:val="nil"/>
              <w:left w:val="nil"/>
              <w:bottom w:val="nil"/>
              <w:right w:val="nil"/>
            </w:tcBorders>
          </w:tcPr>
          <w:p w14:paraId="5998EDAD" w14:textId="77777777" w:rsidR="007C636D" w:rsidRPr="00275945" w:rsidRDefault="003F4FA2" w:rsidP="00311459">
            <w:pPr>
              <w:jc w:val="both"/>
              <w:rPr>
                <w:rFonts w:eastAsia="DengXian"/>
                <w:lang w:eastAsia="zh-CN"/>
              </w:rPr>
            </w:pPr>
            <w:r w:rsidRPr="00275945">
              <w:rPr>
                <w:rFonts w:eastAsia="DengXian"/>
                <w:lang w:eastAsia="zh-CN"/>
              </w:rPr>
              <w:t>25.00 ±9.03</w:t>
            </w:r>
            <w:r w:rsidRPr="00275945">
              <w:rPr>
                <w:rFonts w:eastAsia="DengXian"/>
                <w:vertAlign w:val="superscript"/>
                <w:lang w:eastAsia="zh-CN"/>
              </w:rPr>
              <w:t>c</w:t>
            </w:r>
          </w:p>
        </w:tc>
        <w:tc>
          <w:tcPr>
            <w:tcW w:w="1620" w:type="dxa"/>
            <w:tcBorders>
              <w:top w:val="nil"/>
              <w:left w:val="nil"/>
              <w:bottom w:val="nil"/>
              <w:right w:val="nil"/>
            </w:tcBorders>
          </w:tcPr>
          <w:p w14:paraId="5AE2E3BB" w14:textId="77777777" w:rsidR="007C636D" w:rsidRPr="00275945" w:rsidRDefault="003F4FA2" w:rsidP="00311459">
            <w:pPr>
              <w:jc w:val="both"/>
              <w:rPr>
                <w:rFonts w:eastAsia="DengXian"/>
                <w:lang w:eastAsia="zh-CN"/>
              </w:rPr>
            </w:pPr>
            <w:r w:rsidRPr="00275945">
              <w:rPr>
                <w:rFonts w:eastAsia="DengXian"/>
                <w:lang w:eastAsia="zh-CN"/>
              </w:rPr>
              <w:t>0.00±0.00</w:t>
            </w:r>
          </w:p>
        </w:tc>
        <w:tc>
          <w:tcPr>
            <w:tcW w:w="1260" w:type="dxa"/>
            <w:tcBorders>
              <w:top w:val="nil"/>
              <w:left w:val="nil"/>
              <w:bottom w:val="nil"/>
              <w:right w:val="nil"/>
            </w:tcBorders>
          </w:tcPr>
          <w:p w14:paraId="4D476DA0" w14:textId="77777777" w:rsidR="007C636D" w:rsidRPr="00275945" w:rsidRDefault="007C636D" w:rsidP="00311459">
            <w:pPr>
              <w:jc w:val="both"/>
              <w:rPr>
                <w:rFonts w:eastAsia="DengXian"/>
                <w:lang w:eastAsia="zh-CN"/>
              </w:rPr>
            </w:pPr>
            <w:r w:rsidRPr="00275945">
              <w:rPr>
                <w:rFonts w:eastAsia="DengXian"/>
                <w:lang w:eastAsia="zh-CN"/>
              </w:rPr>
              <w:t>&lt;0.0001</w:t>
            </w:r>
          </w:p>
        </w:tc>
        <w:tc>
          <w:tcPr>
            <w:tcW w:w="1260" w:type="dxa"/>
            <w:tcBorders>
              <w:top w:val="nil"/>
              <w:left w:val="nil"/>
              <w:bottom w:val="nil"/>
              <w:right w:val="nil"/>
            </w:tcBorders>
          </w:tcPr>
          <w:p w14:paraId="48457428" w14:textId="77777777" w:rsidR="007C636D" w:rsidRPr="00275945" w:rsidRDefault="007C636D" w:rsidP="00311459">
            <w:pPr>
              <w:jc w:val="both"/>
            </w:pPr>
            <w:r w:rsidRPr="00275945">
              <w:t>S</w:t>
            </w:r>
          </w:p>
        </w:tc>
      </w:tr>
      <w:tr w:rsidR="00190959" w:rsidRPr="00275945" w14:paraId="0A00DEED" w14:textId="77777777" w:rsidTr="00190959">
        <w:trPr>
          <w:trHeight w:val="540"/>
        </w:trPr>
        <w:tc>
          <w:tcPr>
            <w:tcW w:w="1620" w:type="dxa"/>
            <w:tcBorders>
              <w:top w:val="nil"/>
              <w:left w:val="nil"/>
              <w:bottom w:val="nil"/>
              <w:right w:val="nil"/>
            </w:tcBorders>
          </w:tcPr>
          <w:p w14:paraId="4F7A2B4F" w14:textId="77777777" w:rsidR="00190959" w:rsidRPr="00275945" w:rsidRDefault="00190959" w:rsidP="00190959">
            <w:pPr>
              <w:jc w:val="both"/>
            </w:pPr>
            <w:r w:rsidRPr="00275945">
              <w:rPr>
                <w:rFonts w:eastAsia="DengXian"/>
                <w:lang w:eastAsia="zh-CN"/>
              </w:rPr>
              <w:t>Fructose (µmol/mL</w:t>
            </w:r>
          </w:p>
        </w:tc>
        <w:tc>
          <w:tcPr>
            <w:tcW w:w="1980" w:type="dxa"/>
            <w:tcBorders>
              <w:top w:val="nil"/>
              <w:left w:val="nil"/>
              <w:bottom w:val="nil"/>
              <w:right w:val="nil"/>
            </w:tcBorders>
          </w:tcPr>
          <w:p w14:paraId="1CDC67E4" w14:textId="77777777" w:rsidR="00190959" w:rsidRPr="00275945" w:rsidRDefault="00190959" w:rsidP="00190959">
            <w:pPr>
              <w:jc w:val="both"/>
              <w:rPr>
                <w:b/>
              </w:rPr>
            </w:pPr>
            <w:r w:rsidRPr="00275945">
              <w:rPr>
                <w:rFonts w:eastAsia="DengXian"/>
                <w:lang w:val="pt-BR" w:eastAsia="zh-CN"/>
              </w:rPr>
              <w:t>8.79 ±0.48</w:t>
            </w:r>
            <w:r w:rsidRPr="00275945">
              <w:rPr>
                <w:rFonts w:eastAsia="DengXian"/>
                <w:vertAlign w:val="superscript"/>
                <w:lang w:val="pt-BR" w:eastAsia="zh-CN"/>
              </w:rPr>
              <w:t>a</w:t>
            </w:r>
          </w:p>
        </w:tc>
        <w:tc>
          <w:tcPr>
            <w:tcW w:w="1980" w:type="dxa"/>
            <w:tcBorders>
              <w:top w:val="nil"/>
              <w:left w:val="nil"/>
              <w:bottom w:val="nil"/>
              <w:right w:val="nil"/>
            </w:tcBorders>
          </w:tcPr>
          <w:p w14:paraId="4E8A68C6" w14:textId="77777777" w:rsidR="00190959" w:rsidRPr="00275945" w:rsidRDefault="00190959" w:rsidP="00190959">
            <w:pPr>
              <w:jc w:val="both"/>
              <w:rPr>
                <w:b/>
              </w:rPr>
            </w:pPr>
            <w:r w:rsidRPr="00275945">
              <w:rPr>
                <w:rFonts w:eastAsia="DengXian"/>
                <w:lang w:val="pt-BR" w:eastAsia="zh-CN"/>
              </w:rPr>
              <w:t>7.16 ± 3.47</w:t>
            </w:r>
            <w:r w:rsidRPr="00275945">
              <w:rPr>
                <w:rFonts w:eastAsia="DengXian"/>
                <w:vertAlign w:val="superscript"/>
                <w:lang w:val="pt-BR" w:eastAsia="zh-CN"/>
              </w:rPr>
              <w:t>a</w:t>
            </w:r>
          </w:p>
        </w:tc>
        <w:tc>
          <w:tcPr>
            <w:tcW w:w="1800" w:type="dxa"/>
            <w:tcBorders>
              <w:top w:val="nil"/>
              <w:left w:val="nil"/>
              <w:bottom w:val="nil"/>
              <w:right w:val="nil"/>
            </w:tcBorders>
          </w:tcPr>
          <w:p w14:paraId="2EE250B1" w14:textId="77777777" w:rsidR="00190959" w:rsidRPr="00275945" w:rsidRDefault="00190959" w:rsidP="00190959">
            <w:pPr>
              <w:jc w:val="both"/>
              <w:rPr>
                <w:rFonts w:eastAsia="DengXian"/>
                <w:vertAlign w:val="superscript"/>
                <w:lang w:val="pt-BR" w:eastAsia="zh-CN"/>
              </w:rPr>
            </w:pPr>
            <w:r w:rsidRPr="00275945">
              <w:rPr>
                <w:rFonts w:eastAsia="DengXian"/>
                <w:lang w:val="pt-BR" w:eastAsia="zh-CN"/>
              </w:rPr>
              <w:t>5.64 ±2.87</w:t>
            </w:r>
            <w:r w:rsidRPr="00275945">
              <w:rPr>
                <w:rFonts w:eastAsia="DengXian"/>
                <w:vertAlign w:val="superscript"/>
                <w:lang w:val="pt-BR" w:eastAsia="zh-CN"/>
              </w:rPr>
              <w:t>b</w:t>
            </w:r>
          </w:p>
        </w:tc>
        <w:tc>
          <w:tcPr>
            <w:tcW w:w="1620" w:type="dxa"/>
            <w:tcBorders>
              <w:top w:val="nil"/>
              <w:left w:val="nil"/>
              <w:bottom w:val="nil"/>
              <w:right w:val="nil"/>
            </w:tcBorders>
          </w:tcPr>
          <w:p w14:paraId="3B3E6B32" w14:textId="77777777" w:rsidR="00190959" w:rsidRPr="00275945" w:rsidRDefault="00190959" w:rsidP="00190959">
            <w:pPr>
              <w:jc w:val="both"/>
              <w:rPr>
                <w:b/>
              </w:rPr>
            </w:pPr>
            <w:r w:rsidRPr="00275945">
              <w:rPr>
                <w:rFonts w:eastAsia="DengXian"/>
                <w:lang w:val="pt-BR" w:eastAsia="zh-CN"/>
              </w:rPr>
              <w:t>6.72 ±3.88</w:t>
            </w:r>
            <w:r w:rsidRPr="00275945">
              <w:rPr>
                <w:rFonts w:eastAsia="DengXian"/>
                <w:vertAlign w:val="superscript"/>
                <w:lang w:val="pt-BR" w:eastAsia="zh-CN"/>
              </w:rPr>
              <w:t>b</w:t>
            </w:r>
          </w:p>
        </w:tc>
        <w:tc>
          <w:tcPr>
            <w:tcW w:w="1260" w:type="dxa"/>
            <w:tcBorders>
              <w:top w:val="nil"/>
              <w:left w:val="nil"/>
              <w:bottom w:val="nil"/>
              <w:right w:val="nil"/>
            </w:tcBorders>
          </w:tcPr>
          <w:p w14:paraId="64A32F49" w14:textId="77777777" w:rsidR="00190959" w:rsidRPr="00275945" w:rsidRDefault="00190959" w:rsidP="00190959">
            <w:pPr>
              <w:jc w:val="both"/>
              <w:rPr>
                <w:b/>
              </w:rPr>
            </w:pPr>
            <w:r w:rsidRPr="00275945">
              <w:rPr>
                <w:rFonts w:eastAsia="DengXian"/>
                <w:lang w:eastAsia="zh-CN"/>
              </w:rPr>
              <w:t>0.0003</w:t>
            </w:r>
          </w:p>
        </w:tc>
        <w:tc>
          <w:tcPr>
            <w:tcW w:w="1260" w:type="dxa"/>
            <w:tcBorders>
              <w:top w:val="nil"/>
              <w:left w:val="nil"/>
              <w:bottom w:val="nil"/>
              <w:right w:val="nil"/>
            </w:tcBorders>
          </w:tcPr>
          <w:p w14:paraId="6359E05B" w14:textId="77777777" w:rsidR="00190959" w:rsidRPr="00275945" w:rsidRDefault="00190959" w:rsidP="00190959">
            <w:pPr>
              <w:jc w:val="both"/>
            </w:pPr>
            <w:r w:rsidRPr="00275945">
              <w:t>S</w:t>
            </w:r>
          </w:p>
        </w:tc>
      </w:tr>
      <w:tr w:rsidR="00190959" w:rsidRPr="00275945" w14:paraId="19034761" w14:textId="77777777" w:rsidTr="00B35F60">
        <w:trPr>
          <w:trHeight w:val="555"/>
        </w:trPr>
        <w:tc>
          <w:tcPr>
            <w:tcW w:w="1620" w:type="dxa"/>
            <w:tcBorders>
              <w:top w:val="nil"/>
              <w:left w:val="nil"/>
              <w:bottom w:val="nil"/>
              <w:right w:val="nil"/>
            </w:tcBorders>
          </w:tcPr>
          <w:p w14:paraId="5E74D1BC" w14:textId="77777777" w:rsidR="00190959" w:rsidRPr="00275945" w:rsidRDefault="00190959" w:rsidP="00311459">
            <w:pPr>
              <w:jc w:val="both"/>
            </w:pPr>
            <w:r w:rsidRPr="00275945">
              <w:rPr>
                <w:rFonts w:eastAsia="DengXian"/>
                <w:lang w:eastAsia="zh-CN"/>
              </w:rPr>
              <w:t>Zinc (µmol/mL)</w:t>
            </w:r>
          </w:p>
        </w:tc>
        <w:tc>
          <w:tcPr>
            <w:tcW w:w="1980" w:type="dxa"/>
            <w:tcBorders>
              <w:top w:val="nil"/>
              <w:left w:val="nil"/>
              <w:bottom w:val="nil"/>
              <w:right w:val="nil"/>
            </w:tcBorders>
          </w:tcPr>
          <w:p w14:paraId="429EF682" w14:textId="77777777" w:rsidR="00190959" w:rsidRPr="00275945" w:rsidRDefault="00190959" w:rsidP="00311459">
            <w:pPr>
              <w:jc w:val="both"/>
              <w:rPr>
                <w:b/>
              </w:rPr>
            </w:pPr>
            <w:r w:rsidRPr="00275945">
              <w:rPr>
                <w:rFonts w:eastAsia="DengXian"/>
                <w:lang w:eastAsia="zh-CN"/>
              </w:rPr>
              <w:t>2.99 ±0.46</w:t>
            </w:r>
            <w:r w:rsidRPr="00275945">
              <w:rPr>
                <w:rFonts w:eastAsia="DengXian"/>
                <w:vertAlign w:val="superscript"/>
                <w:lang w:val="pt-BR" w:eastAsia="zh-CN"/>
              </w:rPr>
              <w:t>a</w:t>
            </w:r>
          </w:p>
        </w:tc>
        <w:tc>
          <w:tcPr>
            <w:tcW w:w="1980" w:type="dxa"/>
            <w:tcBorders>
              <w:top w:val="nil"/>
              <w:left w:val="nil"/>
              <w:bottom w:val="nil"/>
              <w:right w:val="nil"/>
            </w:tcBorders>
          </w:tcPr>
          <w:p w14:paraId="6763B191" w14:textId="77777777" w:rsidR="00190959" w:rsidRPr="00275945" w:rsidRDefault="00190959" w:rsidP="00311459">
            <w:pPr>
              <w:jc w:val="both"/>
              <w:rPr>
                <w:b/>
              </w:rPr>
            </w:pPr>
            <w:r w:rsidRPr="00275945">
              <w:rPr>
                <w:rFonts w:eastAsia="DengXian"/>
                <w:lang w:val="pt-BR" w:eastAsia="zh-CN"/>
              </w:rPr>
              <w:t>0.43±0.13</w:t>
            </w:r>
            <w:r w:rsidRPr="00275945">
              <w:rPr>
                <w:rFonts w:eastAsia="DengXian"/>
                <w:vertAlign w:val="superscript"/>
                <w:lang w:val="pt-BR" w:eastAsia="zh-CN"/>
              </w:rPr>
              <w:t>b</w:t>
            </w:r>
          </w:p>
        </w:tc>
        <w:tc>
          <w:tcPr>
            <w:tcW w:w="1800" w:type="dxa"/>
            <w:tcBorders>
              <w:top w:val="nil"/>
              <w:left w:val="nil"/>
              <w:bottom w:val="nil"/>
              <w:right w:val="nil"/>
            </w:tcBorders>
          </w:tcPr>
          <w:p w14:paraId="769FE76E" w14:textId="77777777" w:rsidR="00190959" w:rsidRPr="00275945" w:rsidRDefault="00190959" w:rsidP="00311459">
            <w:pPr>
              <w:jc w:val="both"/>
              <w:rPr>
                <w:b/>
              </w:rPr>
            </w:pPr>
            <w:r w:rsidRPr="00275945">
              <w:rPr>
                <w:rFonts w:eastAsia="DengXian"/>
                <w:lang w:val="pt-BR" w:eastAsia="zh-CN"/>
              </w:rPr>
              <w:t>0.44 ±0.13</w:t>
            </w:r>
            <w:r w:rsidRPr="00275945">
              <w:rPr>
                <w:rFonts w:eastAsia="DengXian"/>
                <w:vertAlign w:val="superscript"/>
                <w:lang w:val="pt-BR" w:eastAsia="zh-CN"/>
              </w:rPr>
              <w:t>b</w:t>
            </w:r>
          </w:p>
        </w:tc>
        <w:tc>
          <w:tcPr>
            <w:tcW w:w="1620" w:type="dxa"/>
            <w:tcBorders>
              <w:top w:val="nil"/>
              <w:left w:val="nil"/>
              <w:bottom w:val="nil"/>
              <w:right w:val="nil"/>
            </w:tcBorders>
          </w:tcPr>
          <w:p w14:paraId="6F7E6C68" w14:textId="77777777" w:rsidR="00190959" w:rsidRPr="00275945" w:rsidRDefault="00190959" w:rsidP="00311459">
            <w:pPr>
              <w:jc w:val="both"/>
              <w:rPr>
                <w:b/>
              </w:rPr>
            </w:pPr>
            <w:r w:rsidRPr="00275945">
              <w:rPr>
                <w:rFonts w:eastAsia="DengXian"/>
                <w:lang w:val="pt-BR" w:eastAsia="zh-CN"/>
              </w:rPr>
              <w:t>0.51 ±0.07</w:t>
            </w:r>
            <w:r w:rsidRPr="00275945">
              <w:rPr>
                <w:rFonts w:eastAsia="DengXian"/>
                <w:vertAlign w:val="superscript"/>
                <w:lang w:val="pt-BR" w:eastAsia="zh-CN"/>
              </w:rPr>
              <w:t>b</w:t>
            </w:r>
          </w:p>
        </w:tc>
        <w:tc>
          <w:tcPr>
            <w:tcW w:w="1260" w:type="dxa"/>
            <w:tcBorders>
              <w:top w:val="nil"/>
              <w:left w:val="nil"/>
              <w:bottom w:val="nil"/>
              <w:right w:val="nil"/>
            </w:tcBorders>
          </w:tcPr>
          <w:p w14:paraId="6011BEF3" w14:textId="77777777" w:rsidR="00190959" w:rsidRPr="00275945" w:rsidRDefault="00190959" w:rsidP="00311459">
            <w:pPr>
              <w:jc w:val="both"/>
              <w:rPr>
                <w:b/>
              </w:rPr>
            </w:pPr>
            <w:r w:rsidRPr="00275945">
              <w:rPr>
                <w:rFonts w:eastAsia="DengXian"/>
                <w:lang w:eastAsia="zh-CN"/>
              </w:rPr>
              <w:t>&lt;0.0001</w:t>
            </w:r>
          </w:p>
        </w:tc>
        <w:tc>
          <w:tcPr>
            <w:tcW w:w="1260" w:type="dxa"/>
            <w:tcBorders>
              <w:top w:val="nil"/>
              <w:left w:val="nil"/>
              <w:bottom w:val="nil"/>
              <w:right w:val="nil"/>
            </w:tcBorders>
          </w:tcPr>
          <w:p w14:paraId="23D76325" w14:textId="77777777" w:rsidR="00190959" w:rsidRPr="00275945" w:rsidRDefault="00190959" w:rsidP="00311459">
            <w:pPr>
              <w:jc w:val="both"/>
            </w:pPr>
            <w:r w:rsidRPr="00275945">
              <w:t>S</w:t>
            </w:r>
          </w:p>
        </w:tc>
      </w:tr>
      <w:tr w:rsidR="00190959" w:rsidRPr="00275945" w14:paraId="3ECE1C1D" w14:textId="77777777" w:rsidTr="00190959">
        <w:trPr>
          <w:trHeight w:val="540"/>
        </w:trPr>
        <w:tc>
          <w:tcPr>
            <w:tcW w:w="1620" w:type="dxa"/>
            <w:tcBorders>
              <w:top w:val="nil"/>
              <w:left w:val="nil"/>
              <w:bottom w:val="single" w:sz="4" w:space="0" w:color="auto"/>
              <w:right w:val="nil"/>
            </w:tcBorders>
          </w:tcPr>
          <w:p w14:paraId="2DD60BE9" w14:textId="77777777" w:rsidR="00190959" w:rsidRPr="00275945" w:rsidRDefault="00190959" w:rsidP="00311459">
            <w:pPr>
              <w:jc w:val="both"/>
            </w:pPr>
            <w:r w:rsidRPr="00275945">
              <w:rPr>
                <w:rFonts w:eastAsia="DengXian"/>
                <w:lang w:eastAsia="zh-CN"/>
              </w:rPr>
              <w:t>Citric Acid (mmol/L)</w:t>
            </w:r>
          </w:p>
        </w:tc>
        <w:tc>
          <w:tcPr>
            <w:tcW w:w="1980" w:type="dxa"/>
            <w:tcBorders>
              <w:top w:val="nil"/>
              <w:left w:val="nil"/>
              <w:bottom w:val="single" w:sz="4" w:space="0" w:color="auto"/>
              <w:right w:val="nil"/>
            </w:tcBorders>
          </w:tcPr>
          <w:p w14:paraId="0793C1EA" w14:textId="77777777" w:rsidR="00190959" w:rsidRPr="00275945" w:rsidRDefault="00190959" w:rsidP="00311459">
            <w:pPr>
              <w:jc w:val="both"/>
              <w:rPr>
                <w:b/>
              </w:rPr>
            </w:pPr>
            <w:r w:rsidRPr="00275945">
              <w:rPr>
                <w:rFonts w:eastAsia="DengXian"/>
                <w:lang w:val="pt-BR" w:eastAsia="zh-CN"/>
              </w:rPr>
              <w:t>58.26 ±5.27</w:t>
            </w:r>
            <w:r w:rsidRPr="00275945">
              <w:rPr>
                <w:rFonts w:eastAsia="DengXian"/>
                <w:vertAlign w:val="superscript"/>
                <w:lang w:val="pt-BR" w:eastAsia="zh-CN"/>
              </w:rPr>
              <w:t>a</w:t>
            </w:r>
          </w:p>
        </w:tc>
        <w:tc>
          <w:tcPr>
            <w:tcW w:w="1980" w:type="dxa"/>
            <w:tcBorders>
              <w:top w:val="nil"/>
              <w:left w:val="nil"/>
              <w:bottom w:val="single" w:sz="4" w:space="0" w:color="auto"/>
              <w:right w:val="nil"/>
            </w:tcBorders>
          </w:tcPr>
          <w:p w14:paraId="4A82E06F" w14:textId="77777777" w:rsidR="00190959" w:rsidRPr="00275945" w:rsidRDefault="00190959" w:rsidP="00311459">
            <w:pPr>
              <w:jc w:val="both"/>
              <w:rPr>
                <w:b/>
              </w:rPr>
            </w:pPr>
            <w:r w:rsidRPr="00275945">
              <w:rPr>
                <w:rFonts w:eastAsia="DengXian"/>
                <w:lang w:val="pt-BR" w:eastAsia="zh-CN"/>
              </w:rPr>
              <w:t>12.78 ± 0.51</w:t>
            </w:r>
            <w:r w:rsidRPr="00275945">
              <w:rPr>
                <w:rFonts w:eastAsia="DengXian"/>
                <w:vertAlign w:val="superscript"/>
                <w:lang w:val="pt-BR" w:eastAsia="zh-CN"/>
              </w:rPr>
              <w:t xml:space="preserve">b  </w:t>
            </w:r>
          </w:p>
        </w:tc>
        <w:tc>
          <w:tcPr>
            <w:tcW w:w="1800" w:type="dxa"/>
            <w:tcBorders>
              <w:top w:val="nil"/>
              <w:left w:val="nil"/>
              <w:bottom w:val="single" w:sz="4" w:space="0" w:color="auto"/>
              <w:right w:val="nil"/>
            </w:tcBorders>
          </w:tcPr>
          <w:p w14:paraId="19E8E588" w14:textId="77777777" w:rsidR="00190959" w:rsidRPr="00275945" w:rsidRDefault="00190959" w:rsidP="00311459">
            <w:pPr>
              <w:jc w:val="both"/>
              <w:rPr>
                <w:b/>
              </w:rPr>
            </w:pPr>
            <w:r w:rsidRPr="00275945">
              <w:rPr>
                <w:rFonts w:eastAsia="DengXian"/>
                <w:lang w:val="pt-BR" w:eastAsia="zh-CN"/>
              </w:rPr>
              <w:t>11.49 ± 3.68</w:t>
            </w:r>
            <w:r w:rsidRPr="00275945">
              <w:rPr>
                <w:rFonts w:eastAsia="DengXian"/>
                <w:vertAlign w:val="superscript"/>
                <w:lang w:val="pt-BR" w:eastAsia="zh-CN"/>
              </w:rPr>
              <w:t>b</w:t>
            </w:r>
          </w:p>
        </w:tc>
        <w:tc>
          <w:tcPr>
            <w:tcW w:w="1620" w:type="dxa"/>
            <w:tcBorders>
              <w:top w:val="nil"/>
              <w:left w:val="nil"/>
              <w:bottom w:val="single" w:sz="4" w:space="0" w:color="auto"/>
              <w:right w:val="nil"/>
            </w:tcBorders>
          </w:tcPr>
          <w:p w14:paraId="16BA58C4" w14:textId="77777777" w:rsidR="00190959" w:rsidRPr="00275945" w:rsidRDefault="00190959" w:rsidP="00311459">
            <w:pPr>
              <w:jc w:val="both"/>
              <w:rPr>
                <w:b/>
              </w:rPr>
            </w:pPr>
            <w:r w:rsidRPr="00275945">
              <w:rPr>
                <w:rFonts w:eastAsia="DengXian"/>
                <w:lang w:val="pt-BR" w:eastAsia="zh-CN"/>
              </w:rPr>
              <w:t>14.86 ± 2.34</w:t>
            </w:r>
            <w:r w:rsidRPr="00275945">
              <w:rPr>
                <w:rFonts w:eastAsia="DengXian"/>
                <w:vertAlign w:val="superscript"/>
                <w:lang w:val="pt-BR" w:eastAsia="zh-CN"/>
              </w:rPr>
              <w:t>b</w:t>
            </w:r>
          </w:p>
        </w:tc>
        <w:tc>
          <w:tcPr>
            <w:tcW w:w="1260" w:type="dxa"/>
            <w:tcBorders>
              <w:top w:val="nil"/>
              <w:left w:val="nil"/>
              <w:bottom w:val="single" w:sz="4" w:space="0" w:color="auto"/>
              <w:right w:val="nil"/>
            </w:tcBorders>
          </w:tcPr>
          <w:p w14:paraId="05EC2030" w14:textId="77777777" w:rsidR="00190959" w:rsidRPr="00275945" w:rsidRDefault="00190959" w:rsidP="00311459">
            <w:pPr>
              <w:jc w:val="both"/>
              <w:rPr>
                <w:b/>
              </w:rPr>
            </w:pPr>
            <w:r w:rsidRPr="00275945">
              <w:rPr>
                <w:rFonts w:eastAsia="DengXian"/>
                <w:lang w:eastAsia="zh-CN"/>
              </w:rPr>
              <w:t>&lt;0.0001</w:t>
            </w:r>
          </w:p>
        </w:tc>
        <w:tc>
          <w:tcPr>
            <w:tcW w:w="1260" w:type="dxa"/>
            <w:tcBorders>
              <w:top w:val="nil"/>
              <w:left w:val="nil"/>
              <w:bottom w:val="single" w:sz="4" w:space="0" w:color="auto"/>
              <w:right w:val="nil"/>
            </w:tcBorders>
          </w:tcPr>
          <w:p w14:paraId="4E9B81C4" w14:textId="77777777" w:rsidR="00190959" w:rsidRPr="00275945" w:rsidRDefault="00190959" w:rsidP="00311459">
            <w:pPr>
              <w:jc w:val="both"/>
            </w:pPr>
            <w:r w:rsidRPr="00275945">
              <w:t>S</w:t>
            </w:r>
          </w:p>
        </w:tc>
      </w:tr>
    </w:tbl>
    <w:p w14:paraId="04194B32" w14:textId="77777777" w:rsidR="00FD0B76" w:rsidRPr="00275945" w:rsidRDefault="00E42788" w:rsidP="00ED0BDC">
      <w:pPr>
        <w:keepNext/>
        <w:keepLines/>
        <w:spacing w:before="260" w:after="260"/>
        <w:jc w:val="both"/>
        <w:outlineLvl w:val="2"/>
        <w:rPr>
          <w:rFonts w:eastAsia="DengXian"/>
          <w:bCs/>
          <w:i/>
          <w:lang w:eastAsia="zh-CN"/>
        </w:rPr>
      </w:pPr>
      <w:r w:rsidRPr="00275945">
        <w:rPr>
          <w:rFonts w:eastAsia="DengXian"/>
          <w:bCs/>
          <w:i/>
          <w:lang w:eastAsia="zh-CN"/>
        </w:rPr>
        <w:t xml:space="preserve">Keys: </w:t>
      </w:r>
      <w:r w:rsidR="002C3F07" w:rsidRPr="00275945">
        <w:rPr>
          <w:rFonts w:eastAsia="DengXian"/>
          <w:bCs/>
          <w:i/>
          <w:lang w:eastAsia="zh-CN"/>
        </w:rPr>
        <w:t xml:space="preserve">Post hoc: </w:t>
      </w:r>
      <w:r w:rsidRPr="00275945">
        <w:rPr>
          <w:rFonts w:eastAsia="DengXian"/>
          <w:bCs/>
          <w:i/>
          <w:lang w:eastAsia="zh-CN"/>
        </w:rPr>
        <w:t>values in the same rows with different superscripts are significantly different (p&lt;0.05), S = significant (p &lt;0.05)</w:t>
      </w:r>
      <w:r w:rsidR="00EB0324" w:rsidRPr="00275945">
        <w:rPr>
          <w:rFonts w:eastAsia="DengXian"/>
          <w:bCs/>
          <w:i/>
          <w:lang w:eastAsia="zh-CN"/>
        </w:rPr>
        <w:t>,</w:t>
      </w:r>
    </w:p>
    <w:p w14:paraId="59667BA7" w14:textId="77777777" w:rsidR="00EB0324" w:rsidRPr="00275945" w:rsidRDefault="00EB0324" w:rsidP="00104C40">
      <w:pPr>
        <w:pStyle w:val="NormalWeb"/>
        <w:jc w:val="both"/>
      </w:pPr>
    </w:p>
    <w:p w14:paraId="4BA2A23D" w14:textId="77777777" w:rsidR="00EB0324" w:rsidRPr="00275945" w:rsidRDefault="00EB0324" w:rsidP="00EB0324">
      <w:pPr>
        <w:keepNext/>
        <w:keepLines/>
        <w:spacing w:before="260" w:after="260"/>
        <w:jc w:val="both"/>
        <w:outlineLvl w:val="2"/>
        <w:rPr>
          <w:rFonts w:eastAsia="DengXian"/>
          <w:b/>
          <w:bCs/>
          <w:lang w:eastAsia="zh-CN"/>
        </w:rPr>
      </w:pPr>
      <w:r w:rsidRPr="00275945">
        <w:rPr>
          <w:rFonts w:eastAsia="DengXian"/>
          <w:b/>
          <w:lang w:eastAsia="zh-CN"/>
        </w:rPr>
        <w:t>3.4: Comparison of Sperm Count, Zinc, and Citric Acid and Fructose Concentrations based on Sperm Motility</w:t>
      </w:r>
    </w:p>
    <w:p w14:paraId="3936DF91" w14:textId="77777777" w:rsidR="00104C40" w:rsidRPr="00275945" w:rsidRDefault="00043AB4" w:rsidP="00F32189">
      <w:pPr>
        <w:keepNext/>
        <w:keepLines/>
        <w:spacing w:before="260" w:after="260" w:line="480" w:lineRule="auto"/>
        <w:jc w:val="both"/>
        <w:outlineLvl w:val="2"/>
        <w:rPr>
          <w:rFonts w:eastAsia="DengXian"/>
          <w:b/>
          <w:bCs/>
          <w:lang w:eastAsia="zh-CN"/>
        </w:rPr>
      </w:pPr>
      <w:r w:rsidRPr="00275945">
        <w:t>Sperm motility and count were significantly lower in infertile men with non-progressive motility compared with those with progressive motility groups (17.56 ± 1.86% vs. 38.76 ± 0.52% and 43.29 ± 14.57 vs. 82.47 ± 5.74 × 10</w:t>
      </w:r>
      <w:r w:rsidRPr="00275945">
        <w:rPr>
          <w:rFonts w:eastAsia="MS Mincho"/>
        </w:rPr>
        <w:t>⁶</w:t>
      </w:r>
      <w:r w:rsidRPr="00275945">
        <w:t>/mL, respectively; p &lt; 0.001). Seminal plasma zinc and citric acid concentrations were comparable between the non-progressive and progressive groups, with no significant differences observed (p &gt; 0.05). In contrast, seminal fructose levels were significantly higher in men with progressive motility than in those with non-progressive motility (7.77 ±</w:t>
      </w:r>
      <w:r w:rsidR="00985DF4" w:rsidRPr="00275945">
        <w:t xml:space="preserve"> 0.47 vs. 6.38 ± 0.49 µmol/mL; </w:t>
      </w:r>
      <w:r w:rsidR="00985DF4" w:rsidRPr="00275945">
        <w:rPr>
          <w:i/>
        </w:rPr>
        <w:t>P</w:t>
      </w:r>
      <w:r w:rsidR="00985DF4" w:rsidRPr="00275945">
        <w:t xml:space="preserve"> &lt; </w:t>
      </w:r>
      <w:r w:rsidRPr="00275945">
        <w:t>.05).</w:t>
      </w:r>
    </w:p>
    <w:p w14:paraId="092B9C9D" w14:textId="77777777" w:rsidR="00104C40" w:rsidRPr="00275945" w:rsidRDefault="00104C40" w:rsidP="00ED0BDC">
      <w:pPr>
        <w:keepNext/>
        <w:keepLines/>
        <w:spacing w:before="260" w:after="260"/>
        <w:jc w:val="both"/>
        <w:outlineLvl w:val="2"/>
        <w:rPr>
          <w:rFonts w:eastAsia="DengXian"/>
          <w:b/>
          <w:bCs/>
          <w:lang w:eastAsia="zh-CN"/>
        </w:rPr>
      </w:pPr>
    </w:p>
    <w:p w14:paraId="6923EBD4" w14:textId="60B6AD34" w:rsidR="007522B6" w:rsidRPr="00275945" w:rsidRDefault="007522B6" w:rsidP="00ED0BDC">
      <w:pPr>
        <w:keepNext/>
        <w:keepLines/>
        <w:spacing w:before="260" w:after="260"/>
        <w:jc w:val="both"/>
        <w:outlineLvl w:val="2"/>
        <w:rPr>
          <w:rFonts w:eastAsia="DengXian"/>
          <w:b/>
          <w:bCs/>
          <w:lang w:eastAsia="zh-CN"/>
        </w:rPr>
      </w:pPr>
      <w:r w:rsidRPr="00275945">
        <w:rPr>
          <w:rFonts w:eastAsia="DengXian"/>
          <w:b/>
          <w:bCs/>
          <w:lang w:eastAsia="zh-CN"/>
        </w:rPr>
        <w:t xml:space="preserve">Table 4: Comparison of Sperm Count, Zinc, and </w:t>
      </w:r>
      <w:r w:rsidR="00EB0324" w:rsidRPr="00275945">
        <w:rPr>
          <w:rFonts w:eastAsia="DengXian"/>
          <w:b/>
          <w:bCs/>
          <w:lang w:eastAsia="zh-CN"/>
        </w:rPr>
        <w:t xml:space="preserve">Citric Acid and </w:t>
      </w:r>
      <w:r w:rsidRPr="00275945">
        <w:rPr>
          <w:rFonts w:eastAsia="DengXian"/>
          <w:b/>
          <w:bCs/>
          <w:lang w:eastAsia="zh-CN"/>
        </w:rPr>
        <w:t xml:space="preserve">Fructose Concentrations </w:t>
      </w:r>
      <w:r w:rsidR="00EB0324" w:rsidRPr="00275945">
        <w:rPr>
          <w:rFonts w:eastAsia="DengXian"/>
          <w:b/>
          <w:bCs/>
          <w:lang w:eastAsia="zh-CN"/>
        </w:rPr>
        <w:t>based on Sperm Motility</w:t>
      </w:r>
    </w:p>
    <w:tbl>
      <w:tblPr>
        <w:tblStyle w:val="TableGrid"/>
        <w:tblW w:w="10080" w:type="dxa"/>
        <w:tblInd w:w="-1152" w:type="dxa"/>
        <w:tblLook w:val="01E0" w:firstRow="1" w:lastRow="1" w:firstColumn="1" w:lastColumn="1" w:noHBand="0" w:noVBand="0"/>
      </w:tblPr>
      <w:tblGrid>
        <w:gridCol w:w="3240"/>
        <w:gridCol w:w="2340"/>
        <w:gridCol w:w="2160"/>
        <w:gridCol w:w="1243"/>
        <w:gridCol w:w="1097"/>
      </w:tblGrid>
      <w:tr w:rsidR="00557E99" w:rsidRPr="00275945" w14:paraId="798DC21E" w14:textId="77777777" w:rsidTr="00190959">
        <w:tc>
          <w:tcPr>
            <w:tcW w:w="3240" w:type="dxa"/>
            <w:tcBorders>
              <w:bottom w:val="single" w:sz="4" w:space="0" w:color="auto"/>
            </w:tcBorders>
          </w:tcPr>
          <w:p w14:paraId="221B1815" w14:textId="77777777" w:rsidR="00557E99" w:rsidRPr="00275945" w:rsidRDefault="00557E99" w:rsidP="00311459">
            <w:pPr>
              <w:jc w:val="both"/>
              <w:rPr>
                <w:b/>
              </w:rPr>
            </w:pPr>
            <w:r w:rsidRPr="00275945">
              <w:rPr>
                <w:b/>
              </w:rPr>
              <w:t>Parameter</w:t>
            </w:r>
          </w:p>
        </w:tc>
        <w:tc>
          <w:tcPr>
            <w:tcW w:w="2340" w:type="dxa"/>
            <w:tcBorders>
              <w:bottom w:val="single" w:sz="4" w:space="0" w:color="auto"/>
            </w:tcBorders>
          </w:tcPr>
          <w:p w14:paraId="04779EF8" w14:textId="77777777" w:rsidR="00557E99" w:rsidRPr="00275945" w:rsidRDefault="00557E99" w:rsidP="00311459">
            <w:pPr>
              <w:jc w:val="both"/>
              <w:rPr>
                <w:rFonts w:eastAsia="DengXian"/>
                <w:b/>
                <w:lang w:eastAsia="zh-CN"/>
              </w:rPr>
            </w:pPr>
            <w:r w:rsidRPr="00275945">
              <w:rPr>
                <w:rFonts w:eastAsia="DengXian"/>
                <w:b/>
                <w:lang w:eastAsia="zh-CN"/>
              </w:rPr>
              <w:t>Infertile Males</w:t>
            </w:r>
          </w:p>
          <w:p w14:paraId="7C1A528D" w14:textId="77777777" w:rsidR="00557E99" w:rsidRPr="00275945" w:rsidRDefault="00557E99" w:rsidP="00311459">
            <w:pPr>
              <w:jc w:val="both"/>
              <w:rPr>
                <w:rFonts w:eastAsia="DengXian"/>
                <w:b/>
                <w:lang w:eastAsia="zh-CN"/>
              </w:rPr>
            </w:pPr>
            <w:r w:rsidRPr="00275945">
              <w:rPr>
                <w:rFonts w:eastAsia="DengXian"/>
                <w:b/>
                <w:lang w:eastAsia="zh-CN"/>
              </w:rPr>
              <w:lastRenderedPageBreak/>
              <w:t xml:space="preserve">Non Progressive </w:t>
            </w:r>
          </w:p>
          <w:p w14:paraId="18DDEFD9" w14:textId="77777777" w:rsidR="00557E99" w:rsidRPr="00275945" w:rsidRDefault="00557E99" w:rsidP="00311459">
            <w:pPr>
              <w:jc w:val="both"/>
              <w:rPr>
                <w:rFonts w:eastAsia="DengXian"/>
                <w:b/>
                <w:lang w:eastAsia="zh-CN"/>
              </w:rPr>
            </w:pPr>
            <w:r w:rsidRPr="00275945">
              <w:rPr>
                <w:rFonts w:eastAsia="DengXian"/>
                <w:b/>
                <w:lang w:eastAsia="zh-CN"/>
              </w:rPr>
              <w:t xml:space="preserve"> (&lt;32%)</w:t>
            </w:r>
          </w:p>
          <w:p w14:paraId="15471EA4" w14:textId="77777777" w:rsidR="00557E99" w:rsidRPr="00275945" w:rsidRDefault="00557E99" w:rsidP="00311459">
            <w:pPr>
              <w:jc w:val="both"/>
              <w:rPr>
                <w:b/>
              </w:rPr>
            </w:pPr>
            <w:r w:rsidRPr="00275945">
              <w:rPr>
                <w:rFonts w:eastAsia="DengXian"/>
                <w:b/>
                <w:lang w:eastAsia="zh-CN"/>
              </w:rPr>
              <w:t>(n = 45)</w:t>
            </w:r>
          </w:p>
        </w:tc>
        <w:tc>
          <w:tcPr>
            <w:tcW w:w="2160" w:type="dxa"/>
            <w:tcBorders>
              <w:bottom w:val="single" w:sz="4" w:space="0" w:color="auto"/>
            </w:tcBorders>
          </w:tcPr>
          <w:p w14:paraId="646F4601" w14:textId="77777777" w:rsidR="00557E99" w:rsidRPr="00275945" w:rsidRDefault="00557E99" w:rsidP="00311459">
            <w:pPr>
              <w:jc w:val="both"/>
              <w:rPr>
                <w:rFonts w:eastAsia="DengXian"/>
                <w:b/>
                <w:lang w:val="pt-BR" w:eastAsia="zh-CN"/>
              </w:rPr>
            </w:pPr>
            <w:r w:rsidRPr="00275945">
              <w:rPr>
                <w:rFonts w:eastAsia="DengXian"/>
                <w:b/>
                <w:lang w:val="pt-BR" w:eastAsia="zh-CN"/>
              </w:rPr>
              <w:lastRenderedPageBreak/>
              <w:t>Infertile Males</w:t>
            </w:r>
          </w:p>
          <w:p w14:paraId="1BDD78B2" w14:textId="77777777" w:rsidR="00557E99" w:rsidRPr="00275945" w:rsidRDefault="00557E99" w:rsidP="00311459">
            <w:pPr>
              <w:jc w:val="both"/>
              <w:rPr>
                <w:rFonts w:eastAsia="DengXian"/>
                <w:b/>
                <w:lang w:val="pt-BR" w:eastAsia="zh-CN"/>
              </w:rPr>
            </w:pPr>
            <w:r w:rsidRPr="00275945">
              <w:rPr>
                <w:rFonts w:eastAsia="DengXian"/>
                <w:b/>
                <w:lang w:val="pt-BR" w:eastAsia="zh-CN"/>
              </w:rPr>
              <w:lastRenderedPageBreak/>
              <w:t>Progressive</w:t>
            </w:r>
          </w:p>
          <w:p w14:paraId="1A6C0076" w14:textId="77777777" w:rsidR="00557E99" w:rsidRPr="00275945" w:rsidRDefault="00557E99" w:rsidP="00311459">
            <w:pPr>
              <w:jc w:val="both"/>
              <w:rPr>
                <w:rFonts w:eastAsia="DengXian"/>
                <w:b/>
                <w:lang w:val="pt-BR" w:eastAsia="zh-CN"/>
              </w:rPr>
            </w:pPr>
            <w:r w:rsidRPr="00275945">
              <w:rPr>
                <w:rFonts w:eastAsia="DengXian"/>
                <w:b/>
                <w:lang w:val="pt-BR" w:eastAsia="zh-CN"/>
              </w:rPr>
              <w:t xml:space="preserve">  &gt; 32%</w:t>
            </w:r>
          </w:p>
          <w:p w14:paraId="3C5A6065" w14:textId="77777777" w:rsidR="00557E99" w:rsidRPr="00275945" w:rsidRDefault="00557E99" w:rsidP="00311459">
            <w:pPr>
              <w:jc w:val="both"/>
              <w:rPr>
                <w:b/>
              </w:rPr>
            </w:pPr>
            <w:r w:rsidRPr="00275945">
              <w:rPr>
                <w:b/>
              </w:rPr>
              <w:t>(n =55)</w:t>
            </w:r>
          </w:p>
        </w:tc>
        <w:tc>
          <w:tcPr>
            <w:tcW w:w="1243" w:type="dxa"/>
            <w:tcBorders>
              <w:bottom w:val="single" w:sz="4" w:space="0" w:color="auto"/>
            </w:tcBorders>
          </w:tcPr>
          <w:p w14:paraId="7230DF00" w14:textId="77777777" w:rsidR="00557E99" w:rsidRPr="00275945" w:rsidRDefault="00557E99" w:rsidP="00311459">
            <w:pPr>
              <w:jc w:val="both"/>
              <w:rPr>
                <w:b/>
              </w:rPr>
            </w:pPr>
            <w:r w:rsidRPr="00275945">
              <w:rPr>
                <w:b/>
              </w:rPr>
              <w:lastRenderedPageBreak/>
              <w:t>p-value</w:t>
            </w:r>
          </w:p>
        </w:tc>
        <w:tc>
          <w:tcPr>
            <w:tcW w:w="1097" w:type="dxa"/>
            <w:tcBorders>
              <w:bottom w:val="single" w:sz="4" w:space="0" w:color="auto"/>
            </w:tcBorders>
          </w:tcPr>
          <w:p w14:paraId="57E7FACF" w14:textId="77777777" w:rsidR="00557E99" w:rsidRPr="00275945" w:rsidRDefault="00557E99" w:rsidP="00311459">
            <w:pPr>
              <w:jc w:val="both"/>
              <w:rPr>
                <w:b/>
              </w:rPr>
            </w:pPr>
            <w:r w:rsidRPr="00275945">
              <w:rPr>
                <w:b/>
              </w:rPr>
              <w:t>Remark</w:t>
            </w:r>
          </w:p>
        </w:tc>
      </w:tr>
      <w:tr w:rsidR="00557E99" w:rsidRPr="00275945" w14:paraId="3B2E9570" w14:textId="77777777" w:rsidTr="00190959">
        <w:trPr>
          <w:trHeight w:val="377"/>
        </w:trPr>
        <w:tc>
          <w:tcPr>
            <w:tcW w:w="3240" w:type="dxa"/>
            <w:tcBorders>
              <w:left w:val="nil"/>
              <w:bottom w:val="nil"/>
              <w:right w:val="nil"/>
            </w:tcBorders>
          </w:tcPr>
          <w:p w14:paraId="4E5D00D1" w14:textId="77777777" w:rsidR="00557E99" w:rsidRPr="00275945" w:rsidRDefault="00557E99" w:rsidP="00311459">
            <w:pPr>
              <w:jc w:val="both"/>
            </w:pPr>
            <w:r w:rsidRPr="00275945">
              <w:rPr>
                <w:rFonts w:eastAsia="DengXian"/>
                <w:lang w:eastAsia="zh-CN"/>
              </w:rPr>
              <w:t>Sperm Motility (%)</w:t>
            </w:r>
          </w:p>
        </w:tc>
        <w:tc>
          <w:tcPr>
            <w:tcW w:w="2340" w:type="dxa"/>
            <w:tcBorders>
              <w:left w:val="nil"/>
              <w:bottom w:val="nil"/>
              <w:right w:val="nil"/>
            </w:tcBorders>
          </w:tcPr>
          <w:p w14:paraId="60F53ECB" w14:textId="77777777" w:rsidR="00557E99" w:rsidRPr="00275945" w:rsidRDefault="00557E99" w:rsidP="00311459">
            <w:pPr>
              <w:jc w:val="both"/>
              <w:rPr>
                <w:b/>
                <w:vertAlign w:val="superscript"/>
              </w:rPr>
            </w:pPr>
            <w:r w:rsidRPr="00275945">
              <w:rPr>
                <w:rFonts w:eastAsia="DengXian"/>
                <w:lang w:val="pt-BR" w:eastAsia="zh-CN"/>
              </w:rPr>
              <w:t>17.56 ± 1.86</w:t>
            </w:r>
          </w:p>
        </w:tc>
        <w:tc>
          <w:tcPr>
            <w:tcW w:w="2160" w:type="dxa"/>
            <w:tcBorders>
              <w:left w:val="nil"/>
              <w:bottom w:val="nil"/>
              <w:right w:val="nil"/>
            </w:tcBorders>
          </w:tcPr>
          <w:p w14:paraId="3B76EF07" w14:textId="77777777" w:rsidR="00557E99" w:rsidRPr="00275945" w:rsidRDefault="00557E99" w:rsidP="00311459">
            <w:pPr>
              <w:jc w:val="both"/>
              <w:rPr>
                <w:b/>
              </w:rPr>
            </w:pPr>
            <w:r w:rsidRPr="00275945">
              <w:rPr>
                <w:rFonts w:eastAsia="DengXian"/>
                <w:lang w:eastAsia="zh-CN"/>
              </w:rPr>
              <w:t>38.76 ± 0.52</w:t>
            </w:r>
          </w:p>
        </w:tc>
        <w:tc>
          <w:tcPr>
            <w:tcW w:w="1243" w:type="dxa"/>
            <w:tcBorders>
              <w:left w:val="nil"/>
              <w:bottom w:val="nil"/>
              <w:right w:val="nil"/>
            </w:tcBorders>
          </w:tcPr>
          <w:p w14:paraId="5CBCADFE" w14:textId="77777777" w:rsidR="00557E99" w:rsidRPr="00275945" w:rsidRDefault="00104C40" w:rsidP="00311459">
            <w:pPr>
              <w:jc w:val="both"/>
              <w:rPr>
                <w:b/>
              </w:rPr>
            </w:pPr>
            <w:r w:rsidRPr="00275945">
              <w:rPr>
                <w:rFonts w:eastAsia="DengXian"/>
                <w:lang w:eastAsia="zh-CN"/>
              </w:rPr>
              <w:t>&lt;0.00</w:t>
            </w:r>
            <w:r w:rsidR="00557E99" w:rsidRPr="00275945">
              <w:rPr>
                <w:rFonts w:eastAsia="DengXian"/>
                <w:lang w:eastAsia="zh-CN"/>
              </w:rPr>
              <w:t>1</w:t>
            </w:r>
          </w:p>
        </w:tc>
        <w:tc>
          <w:tcPr>
            <w:tcW w:w="1097" w:type="dxa"/>
            <w:tcBorders>
              <w:left w:val="nil"/>
              <w:bottom w:val="nil"/>
              <w:right w:val="nil"/>
            </w:tcBorders>
          </w:tcPr>
          <w:p w14:paraId="4D6BC9EE" w14:textId="77777777" w:rsidR="00557E99" w:rsidRPr="00275945" w:rsidRDefault="00557E99" w:rsidP="00311459">
            <w:pPr>
              <w:jc w:val="both"/>
            </w:pPr>
            <w:r w:rsidRPr="00275945">
              <w:t>S</w:t>
            </w:r>
          </w:p>
        </w:tc>
      </w:tr>
      <w:tr w:rsidR="00557E99" w:rsidRPr="00275945" w14:paraId="570F99C9" w14:textId="77777777" w:rsidTr="00190959">
        <w:tc>
          <w:tcPr>
            <w:tcW w:w="3240" w:type="dxa"/>
            <w:tcBorders>
              <w:top w:val="nil"/>
              <w:left w:val="nil"/>
              <w:bottom w:val="nil"/>
              <w:right w:val="nil"/>
            </w:tcBorders>
          </w:tcPr>
          <w:p w14:paraId="0527CBB3" w14:textId="77777777" w:rsidR="00557E99" w:rsidRPr="00275945" w:rsidRDefault="00557E99" w:rsidP="00311459">
            <w:pPr>
              <w:jc w:val="both"/>
            </w:pPr>
            <w:r w:rsidRPr="00275945">
              <w:rPr>
                <w:rFonts w:eastAsia="DengXian"/>
                <w:lang w:eastAsia="zh-CN"/>
              </w:rPr>
              <w:t>Sperm Count (10</w:t>
            </w:r>
            <w:r w:rsidRPr="00275945">
              <w:rPr>
                <w:rFonts w:eastAsia="DengXian"/>
                <w:vertAlign w:val="superscript"/>
                <w:lang w:eastAsia="zh-CN"/>
              </w:rPr>
              <w:t>6</w:t>
            </w:r>
            <w:r w:rsidRPr="00275945">
              <w:rPr>
                <w:rFonts w:eastAsia="DengXian"/>
                <w:lang w:eastAsia="zh-CN"/>
              </w:rPr>
              <w:t>/mL)</w:t>
            </w:r>
          </w:p>
        </w:tc>
        <w:tc>
          <w:tcPr>
            <w:tcW w:w="2340" w:type="dxa"/>
            <w:tcBorders>
              <w:top w:val="nil"/>
              <w:left w:val="nil"/>
              <w:bottom w:val="nil"/>
              <w:right w:val="nil"/>
            </w:tcBorders>
          </w:tcPr>
          <w:p w14:paraId="62BE359E" w14:textId="77777777" w:rsidR="00557E99" w:rsidRPr="00275945" w:rsidRDefault="00557E99" w:rsidP="00311459">
            <w:pPr>
              <w:jc w:val="both"/>
              <w:rPr>
                <w:b/>
              </w:rPr>
            </w:pPr>
            <w:r w:rsidRPr="00275945">
              <w:rPr>
                <w:rFonts w:eastAsia="DengXian"/>
                <w:lang w:eastAsia="zh-CN"/>
              </w:rPr>
              <w:t>43.29 ± 14.57</w:t>
            </w:r>
          </w:p>
        </w:tc>
        <w:tc>
          <w:tcPr>
            <w:tcW w:w="2160" w:type="dxa"/>
            <w:tcBorders>
              <w:top w:val="nil"/>
              <w:left w:val="nil"/>
              <w:bottom w:val="nil"/>
              <w:right w:val="nil"/>
            </w:tcBorders>
          </w:tcPr>
          <w:p w14:paraId="361BD2F4" w14:textId="77777777" w:rsidR="00557E99" w:rsidRPr="00275945" w:rsidRDefault="00557E99" w:rsidP="00311459">
            <w:pPr>
              <w:jc w:val="both"/>
              <w:rPr>
                <w:b/>
                <w:vertAlign w:val="superscript"/>
              </w:rPr>
            </w:pPr>
            <w:r w:rsidRPr="00275945">
              <w:rPr>
                <w:rFonts w:eastAsia="DengXian"/>
                <w:lang w:val="pt-BR" w:eastAsia="zh-CN"/>
              </w:rPr>
              <w:t xml:space="preserve">82.47 </w:t>
            </w:r>
            <w:r w:rsidRPr="00275945">
              <w:rPr>
                <w:rFonts w:eastAsia="DengXian"/>
                <w:b/>
                <w:lang w:val="pt-BR" w:eastAsia="zh-CN"/>
              </w:rPr>
              <w:t xml:space="preserve">± </w:t>
            </w:r>
            <w:r w:rsidRPr="00275945">
              <w:rPr>
                <w:rFonts w:eastAsia="DengXian"/>
                <w:lang w:val="pt-BR" w:eastAsia="zh-CN"/>
              </w:rPr>
              <w:t>5.74</w:t>
            </w:r>
          </w:p>
        </w:tc>
        <w:tc>
          <w:tcPr>
            <w:tcW w:w="1243" w:type="dxa"/>
            <w:tcBorders>
              <w:top w:val="nil"/>
              <w:left w:val="nil"/>
              <w:bottom w:val="nil"/>
              <w:right w:val="nil"/>
            </w:tcBorders>
          </w:tcPr>
          <w:p w14:paraId="6478AB56" w14:textId="77777777" w:rsidR="00557E99" w:rsidRPr="00275945" w:rsidRDefault="00104C40" w:rsidP="00311459">
            <w:pPr>
              <w:jc w:val="both"/>
              <w:rPr>
                <w:b/>
              </w:rPr>
            </w:pPr>
            <w:r w:rsidRPr="00275945">
              <w:rPr>
                <w:rFonts w:eastAsia="DengXian"/>
                <w:lang w:eastAsia="zh-CN"/>
              </w:rPr>
              <w:t>&lt;0.00</w:t>
            </w:r>
            <w:r w:rsidR="00557E99" w:rsidRPr="00275945">
              <w:rPr>
                <w:rFonts w:eastAsia="DengXian"/>
                <w:lang w:eastAsia="zh-CN"/>
              </w:rPr>
              <w:t>1</w:t>
            </w:r>
          </w:p>
        </w:tc>
        <w:tc>
          <w:tcPr>
            <w:tcW w:w="1097" w:type="dxa"/>
            <w:tcBorders>
              <w:top w:val="nil"/>
              <w:left w:val="nil"/>
              <w:bottom w:val="nil"/>
              <w:right w:val="nil"/>
            </w:tcBorders>
          </w:tcPr>
          <w:p w14:paraId="0451F423" w14:textId="77777777" w:rsidR="00557E99" w:rsidRPr="00275945" w:rsidRDefault="00557E99" w:rsidP="00311459">
            <w:pPr>
              <w:jc w:val="both"/>
            </w:pPr>
            <w:r w:rsidRPr="00275945">
              <w:t>S</w:t>
            </w:r>
          </w:p>
        </w:tc>
      </w:tr>
      <w:tr w:rsidR="00190959" w:rsidRPr="00275945" w14:paraId="7DBC6A50" w14:textId="77777777" w:rsidTr="00190959">
        <w:tc>
          <w:tcPr>
            <w:tcW w:w="3240" w:type="dxa"/>
            <w:tcBorders>
              <w:top w:val="nil"/>
              <w:left w:val="nil"/>
              <w:bottom w:val="nil"/>
              <w:right w:val="nil"/>
            </w:tcBorders>
          </w:tcPr>
          <w:p w14:paraId="0C8BA145" w14:textId="77777777" w:rsidR="00190959" w:rsidRPr="00275945" w:rsidRDefault="00190959" w:rsidP="00190959">
            <w:pPr>
              <w:jc w:val="both"/>
            </w:pPr>
            <w:r w:rsidRPr="00275945">
              <w:rPr>
                <w:rFonts w:eastAsia="DengXian"/>
                <w:lang w:eastAsia="zh-CN"/>
              </w:rPr>
              <w:t>Fructose (µmol/mL)</w:t>
            </w:r>
          </w:p>
        </w:tc>
        <w:tc>
          <w:tcPr>
            <w:tcW w:w="2340" w:type="dxa"/>
            <w:tcBorders>
              <w:top w:val="nil"/>
              <w:left w:val="nil"/>
              <w:bottom w:val="nil"/>
              <w:right w:val="nil"/>
            </w:tcBorders>
          </w:tcPr>
          <w:p w14:paraId="63B68119" w14:textId="77777777" w:rsidR="00190959" w:rsidRPr="00275945" w:rsidRDefault="00190959" w:rsidP="00190959">
            <w:pPr>
              <w:jc w:val="both"/>
              <w:rPr>
                <w:b/>
              </w:rPr>
            </w:pPr>
            <w:r w:rsidRPr="00275945">
              <w:rPr>
                <w:rFonts w:eastAsia="DengXian"/>
                <w:lang w:eastAsia="zh-CN"/>
              </w:rPr>
              <w:t>6.38 ± 0.49</w:t>
            </w:r>
          </w:p>
        </w:tc>
        <w:tc>
          <w:tcPr>
            <w:tcW w:w="2160" w:type="dxa"/>
            <w:tcBorders>
              <w:top w:val="nil"/>
              <w:left w:val="nil"/>
              <w:bottom w:val="nil"/>
              <w:right w:val="nil"/>
            </w:tcBorders>
          </w:tcPr>
          <w:p w14:paraId="6B837C4A" w14:textId="77777777" w:rsidR="00190959" w:rsidRPr="00275945" w:rsidRDefault="00190959" w:rsidP="00190959">
            <w:pPr>
              <w:jc w:val="both"/>
              <w:rPr>
                <w:b/>
              </w:rPr>
            </w:pPr>
            <w:r w:rsidRPr="00275945">
              <w:rPr>
                <w:rFonts w:eastAsia="DengXian"/>
                <w:lang w:val="pt-BR" w:eastAsia="zh-CN"/>
              </w:rPr>
              <w:t>7.77 ± 0.47</w:t>
            </w:r>
            <w:r w:rsidRPr="00275945">
              <w:rPr>
                <w:rFonts w:eastAsia="DengXian"/>
                <w:vertAlign w:val="superscript"/>
                <w:lang w:val="pt-BR" w:eastAsia="zh-CN"/>
              </w:rPr>
              <w:t>b</w:t>
            </w:r>
          </w:p>
        </w:tc>
        <w:tc>
          <w:tcPr>
            <w:tcW w:w="1243" w:type="dxa"/>
            <w:tcBorders>
              <w:top w:val="nil"/>
              <w:left w:val="nil"/>
              <w:bottom w:val="nil"/>
              <w:right w:val="nil"/>
            </w:tcBorders>
          </w:tcPr>
          <w:p w14:paraId="2E44056A" w14:textId="77777777" w:rsidR="00190959" w:rsidRPr="00275945" w:rsidRDefault="00190959" w:rsidP="00190959">
            <w:pPr>
              <w:jc w:val="both"/>
              <w:rPr>
                <w:b/>
              </w:rPr>
            </w:pPr>
            <w:r w:rsidRPr="00275945">
              <w:rPr>
                <w:rFonts w:eastAsia="DengXian"/>
                <w:lang w:eastAsia="zh-CN"/>
              </w:rPr>
              <w:t>&lt;0.043</w:t>
            </w:r>
          </w:p>
        </w:tc>
        <w:tc>
          <w:tcPr>
            <w:tcW w:w="1097" w:type="dxa"/>
            <w:tcBorders>
              <w:top w:val="nil"/>
              <w:left w:val="nil"/>
              <w:bottom w:val="nil"/>
              <w:right w:val="nil"/>
            </w:tcBorders>
          </w:tcPr>
          <w:p w14:paraId="029087F5" w14:textId="77777777" w:rsidR="00190959" w:rsidRPr="00275945" w:rsidRDefault="00190959" w:rsidP="00190959">
            <w:pPr>
              <w:jc w:val="both"/>
            </w:pPr>
            <w:r w:rsidRPr="00275945">
              <w:t>S</w:t>
            </w:r>
          </w:p>
        </w:tc>
      </w:tr>
      <w:tr w:rsidR="00190959" w:rsidRPr="00275945" w14:paraId="6F63E086" w14:textId="77777777" w:rsidTr="00190959">
        <w:tc>
          <w:tcPr>
            <w:tcW w:w="3240" w:type="dxa"/>
            <w:tcBorders>
              <w:top w:val="nil"/>
              <w:left w:val="nil"/>
              <w:bottom w:val="nil"/>
              <w:right w:val="nil"/>
            </w:tcBorders>
          </w:tcPr>
          <w:p w14:paraId="404774A1" w14:textId="77777777" w:rsidR="00190959" w:rsidRPr="00275945" w:rsidRDefault="00190959" w:rsidP="00311459">
            <w:pPr>
              <w:jc w:val="both"/>
            </w:pPr>
            <w:r w:rsidRPr="00275945">
              <w:rPr>
                <w:rFonts w:eastAsia="DengXian"/>
                <w:lang w:eastAsia="zh-CN"/>
              </w:rPr>
              <w:t>Zinc (µmol/mL)</w:t>
            </w:r>
          </w:p>
        </w:tc>
        <w:tc>
          <w:tcPr>
            <w:tcW w:w="2340" w:type="dxa"/>
            <w:tcBorders>
              <w:top w:val="nil"/>
              <w:left w:val="nil"/>
              <w:bottom w:val="nil"/>
              <w:right w:val="nil"/>
            </w:tcBorders>
          </w:tcPr>
          <w:p w14:paraId="10520EBF" w14:textId="77777777" w:rsidR="00190959" w:rsidRPr="00275945" w:rsidRDefault="00190959" w:rsidP="00311459">
            <w:pPr>
              <w:jc w:val="both"/>
              <w:rPr>
                <w:b/>
              </w:rPr>
            </w:pPr>
            <w:r w:rsidRPr="00275945">
              <w:rPr>
                <w:rFonts w:eastAsia="DengXian"/>
                <w:lang w:eastAsia="zh-CN"/>
              </w:rPr>
              <w:t>0.45 ± 0.02</w:t>
            </w:r>
          </w:p>
        </w:tc>
        <w:tc>
          <w:tcPr>
            <w:tcW w:w="2160" w:type="dxa"/>
            <w:tcBorders>
              <w:top w:val="nil"/>
              <w:left w:val="nil"/>
              <w:bottom w:val="nil"/>
              <w:right w:val="nil"/>
            </w:tcBorders>
          </w:tcPr>
          <w:p w14:paraId="370C6917" w14:textId="77777777" w:rsidR="00190959" w:rsidRPr="00275945" w:rsidRDefault="00190959" w:rsidP="00311459">
            <w:pPr>
              <w:jc w:val="both"/>
              <w:rPr>
                <w:b/>
                <w:vertAlign w:val="superscript"/>
              </w:rPr>
            </w:pPr>
            <w:r w:rsidRPr="00275945">
              <w:rPr>
                <w:rFonts w:eastAsia="DengXian"/>
                <w:lang w:val="pt-BR" w:eastAsia="zh-CN"/>
              </w:rPr>
              <w:t>0.43 ± 0.02</w:t>
            </w:r>
          </w:p>
        </w:tc>
        <w:tc>
          <w:tcPr>
            <w:tcW w:w="1243" w:type="dxa"/>
            <w:tcBorders>
              <w:top w:val="nil"/>
              <w:left w:val="nil"/>
              <w:bottom w:val="nil"/>
              <w:right w:val="nil"/>
            </w:tcBorders>
          </w:tcPr>
          <w:p w14:paraId="72285791" w14:textId="77777777" w:rsidR="00190959" w:rsidRPr="00275945" w:rsidRDefault="00190959" w:rsidP="00311459">
            <w:pPr>
              <w:jc w:val="both"/>
              <w:rPr>
                <w:b/>
              </w:rPr>
            </w:pPr>
            <w:r w:rsidRPr="00275945">
              <w:rPr>
                <w:rFonts w:eastAsia="DengXian"/>
                <w:lang w:eastAsia="zh-CN"/>
              </w:rPr>
              <w:t xml:space="preserve"> 2.56</w:t>
            </w:r>
          </w:p>
        </w:tc>
        <w:tc>
          <w:tcPr>
            <w:tcW w:w="1097" w:type="dxa"/>
            <w:tcBorders>
              <w:top w:val="nil"/>
              <w:left w:val="nil"/>
              <w:bottom w:val="nil"/>
              <w:right w:val="nil"/>
            </w:tcBorders>
          </w:tcPr>
          <w:p w14:paraId="10B44912" w14:textId="77777777" w:rsidR="00190959" w:rsidRPr="00275945" w:rsidRDefault="00190959" w:rsidP="00311459">
            <w:pPr>
              <w:jc w:val="both"/>
            </w:pPr>
            <w:r w:rsidRPr="00275945">
              <w:t>NS</w:t>
            </w:r>
          </w:p>
        </w:tc>
      </w:tr>
      <w:tr w:rsidR="00190959" w:rsidRPr="00275945" w14:paraId="35432603" w14:textId="77777777" w:rsidTr="00190959">
        <w:tc>
          <w:tcPr>
            <w:tcW w:w="3240" w:type="dxa"/>
            <w:tcBorders>
              <w:top w:val="nil"/>
              <w:left w:val="nil"/>
              <w:right w:val="nil"/>
            </w:tcBorders>
          </w:tcPr>
          <w:p w14:paraId="65A95C3B" w14:textId="77777777" w:rsidR="00190959" w:rsidRPr="00275945" w:rsidRDefault="00190959" w:rsidP="0077323B">
            <w:pPr>
              <w:jc w:val="both"/>
            </w:pPr>
            <w:r w:rsidRPr="00275945">
              <w:rPr>
                <w:rFonts w:eastAsia="DengXian"/>
                <w:lang w:eastAsia="zh-CN"/>
              </w:rPr>
              <w:t>Citric Acid (mmol/L)</w:t>
            </w:r>
          </w:p>
        </w:tc>
        <w:tc>
          <w:tcPr>
            <w:tcW w:w="2340" w:type="dxa"/>
            <w:tcBorders>
              <w:top w:val="nil"/>
              <w:left w:val="nil"/>
              <w:right w:val="nil"/>
            </w:tcBorders>
          </w:tcPr>
          <w:p w14:paraId="2D441E53" w14:textId="77777777" w:rsidR="00190959" w:rsidRPr="00275945" w:rsidRDefault="00190959" w:rsidP="0077323B">
            <w:pPr>
              <w:jc w:val="both"/>
              <w:rPr>
                <w:b/>
              </w:rPr>
            </w:pPr>
            <w:r w:rsidRPr="00275945">
              <w:rPr>
                <w:rFonts w:eastAsia="DengXian"/>
                <w:lang w:eastAsia="zh-CN"/>
              </w:rPr>
              <w:t>12.34 ± 0.61</w:t>
            </w:r>
          </w:p>
        </w:tc>
        <w:tc>
          <w:tcPr>
            <w:tcW w:w="2160" w:type="dxa"/>
            <w:tcBorders>
              <w:top w:val="nil"/>
              <w:left w:val="nil"/>
              <w:right w:val="nil"/>
            </w:tcBorders>
          </w:tcPr>
          <w:p w14:paraId="294C164B" w14:textId="77777777" w:rsidR="00190959" w:rsidRPr="00275945" w:rsidRDefault="00190959" w:rsidP="0077323B">
            <w:pPr>
              <w:jc w:val="both"/>
              <w:rPr>
                <w:b/>
              </w:rPr>
            </w:pPr>
            <w:r w:rsidRPr="00275945">
              <w:rPr>
                <w:rFonts w:eastAsia="DengXian"/>
                <w:lang w:val="pt-BR" w:eastAsia="zh-CN"/>
              </w:rPr>
              <w:t>13.01 ± 0.34</w:t>
            </w:r>
          </w:p>
        </w:tc>
        <w:tc>
          <w:tcPr>
            <w:tcW w:w="1243" w:type="dxa"/>
            <w:tcBorders>
              <w:top w:val="nil"/>
              <w:left w:val="nil"/>
              <w:right w:val="nil"/>
            </w:tcBorders>
          </w:tcPr>
          <w:p w14:paraId="6700014D" w14:textId="77777777" w:rsidR="00190959" w:rsidRPr="00275945" w:rsidRDefault="00190959" w:rsidP="0077323B">
            <w:pPr>
              <w:jc w:val="both"/>
              <w:rPr>
                <w:b/>
              </w:rPr>
            </w:pPr>
            <w:r w:rsidRPr="00275945">
              <w:rPr>
                <w:rFonts w:eastAsia="DengXian"/>
                <w:lang w:eastAsia="zh-CN"/>
              </w:rPr>
              <w:t>1.87</w:t>
            </w:r>
          </w:p>
        </w:tc>
        <w:tc>
          <w:tcPr>
            <w:tcW w:w="1097" w:type="dxa"/>
            <w:tcBorders>
              <w:top w:val="nil"/>
              <w:left w:val="nil"/>
              <w:right w:val="nil"/>
            </w:tcBorders>
          </w:tcPr>
          <w:p w14:paraId="063EE0CF" w14:textId="77777777" w:rsidR="00190959" w:rsidRPr="00275945" w:rsidRDefault="00190959" w:rsidP="0077323B">
            <w:pPr>
              <w:jc w:val="both"/>
            </w:pPr>
            <w:r w:rsidRPr="00275945">
              <w:t>NS</w:t>
            </w:r>
          </w:p>
        </w:tc>
      </w:tr>
    </w:tbl>
    <w:p w14:paraId="6C161F7F" w14:textId="77777777" w:rsidR="00C41D2D" w:rsidRPr="00275945" w:rsidRDefault="005533C6" w:rsidP="00311459">
      <w:pPr>
        <w:jc w:val="both"/>
        <w:rPr>
          <w:i/>
        </w:rPr>
      </w:pPr>
      <w:r w:rsidRPr="00275945">
        <w:rPr>
          <w:i/>
        </w:rPr>
        <w:t>Keys: NS = Non signific</w:t>
      </w:r>
      <w:r w:rsidR="00985DF4" w:rsidRPr="00275945">
        <w:rPr>
          <w:i/>
        </w:rPr>
        <w:t xml:space="preserve">ant (P &gt; 0.05), S = Significant (P </w:t>
      </w:r>
      <w:r w:rsidRPr="00275945">
        <w:rPr>
          <w:i/>
        </w:rPr>
        <w:t>&lt;</w:t>
      </w:r>
      <w:r w:rsidR="00985DF4" w:rsidRPr="00275945">
        <w:rPr>
          <w:i/>
        </w:rPr>
        <w:t xml:space="preserve"> </w:t>
      </w:r>
      <w:r w:rsidRPr="00275945">
        <w:rPr>
          <w:i/>
        </w:rPr>
        <w:t>0.05)</w:t>
      </w:r>
    </w:p>
    <w:p w14:paraId="27C3463F" w14:textId="77777777" w:rsidR="00EB0324" w:rsidRPr="00275945" w:rsidRDefault="00EB0324" w:rsidP="00316535">
      <w:pPr>
        <w:keepNext/>
        <w:keepLines/>
        <w:spacing w:before="260" w:after="260"/>
        <w:outlineLvl w:val="2"/>
        <w:rPr>
          <w:rFonts w:eastAsia="DengXian"/>
          <w:bCs/>
          <w:i/>
          <w:lang w:eastAsia="zh-CN"/>
        </w:rPr>
      </w:pPr>
    </w:p>
    <w:p w14:paraId="096AA326" w14:textId="77777777" w:rsidR="007164BF" w:rsidRPr="00275945" w:rsidRDefault="00316535" w:rsidP="00316535">
      <w:pPr>
        <w:keepNext/>
        <w:keepLines/>
        <w:spacing w:before="260" w:after="260"/>
        <w:outlineLvl w:val="2"/>
        <w:rPr>
          <w:rFonts w:eastAsia="DengXian"/>
          <w:b/>
          <w:bCs/>
          <w:lang w:eastAsia="zh-CN"/>
        </w:rPr>
      </w:pPr>
      <w:r w:rsidRPr="00275945">
        <w:rPr>
          <w:rFonts w:eastAsia="DengXian"/>
          <w:b/>
          <w:bCs/>
          <w:lang w:eastAsia="zh-CN"/>
        </w:rPr>
        <w:t>3.5: Correlation of Age, Sperm Count,</w:t>
      </w:r>
      <w:r w:rsidR="00D8329A" w:rsidRPr="00275945">
        <w:rPr>
          <w:rFonts w:eastAsia="DengXian"/>
          <w:b/>
          <w:bCs/>
          <w:lang w:eastAsia="zh-CN"/>
        </w:rPr>
        <w:t xml:space="preserve"> Sperm Motility,</w:t>
      </w:r>
      <w:r w:rsidRPr="00275945">
        <w:rPr>
          <w:rFonts w:eastAsia="DengXian"/>
          <w:b/>
          <w:bCs/>
          <w:lang w:eastAsia="zh-CN"/>
        </w:rPr>
        <w:t xml:space="preserve"> Zinc, Citric Acid and Fructose Concentrations in Seminal Fluid of </w:t>
      </w:r>
      <w:r w:rsidR="00D8329A" w:rsidRPr="00275945">
        <w:rPr>
          <w:rFonts w:eastAsia="DengXian"/>
          <w:b/>
          <w:bCs/>
          <w:lang w:eastAsia="zh-CN"/>
        </w:rPr>
        <w:t>I</w:t>
      </w:r>
      <w:r w:rsidRPr="00275945">
        <w:rPr>
          <w:rFonts w:eastAsia="DengXian"/>
          <w:b/>
          <w:bCs/>
          <w:lang w:eastAsia="zh-CN"/>
        </w:rPr>
        <w:t>nfertile Subjects</w:t>
      </w:r>
    </w:p>
    <w:p w14:paraId="5B01AE7D" w14:textId="77777777" w:rsidR="007164BF" w:rsidRPr="00275945" w:rsidRDefault="007164BF" w:rsidP="00F32189">
      <w:pPr>
        <w:pStyle w:val="NormalWeb"/>
        <w:spacing w:line="480" w:lineRule="auto"/>
        <w:jc w:val="both"/>
      </w:pPr>
      <w:r w:rsidRPr="00275945">
        <w:t>Correlation analysis revealed an inverse relationship between age and sperm count (r = −0.330), sperm motility (r = −0.184), zinc concentration (r = −0.629), and citric acid levels (r = −0.195). In contrast, age showed a weak positive correlation with seminal fructose concentration (r = 0.177).</w:t>
      </w:r>
      <w:r w:rsidR="00251ECD" w:rsidRPr="00275945">
        <w:t xml:space="preserve"> </w:t>
      </w:r>
      <w:r w:rsidRPr="00275945">
        <w:t>Sperm count demonstrated weak positive correlations with sperm motility (r = 0.080) and seminal fructose concentration (r = 0.132), but weak negative correlations with zinc (r = −0.183) and citric acid levels (r = −0.050).</w:t>
      </w:r>
      <w:r w:rsidR="00251ECD" w:rsidRPr="00275945">
        <w:t xml:space="preserve"> </w:t>
      </w:r>
      <w:r w:rsidRPr="00275945">
        <w:t>Sperm motility was weakly and negatively correlated with zinc (r = −0.103) and citric acid (r = −0.099), while showing a very weak positive association with fructose (r = 0.043).</w:t>
      </w:r>
      <w:r w:rsidR="00251ECD" w:rsidRPr="00275945">
        <w:t xml:space="preserve"> </w:t>
      </w:r>
      <w:r w:rsidRPr="00275945">
        <w:t>A moderate positive correlation was observed between seminal plasma zinc and citric acid concentrations (r = 0.424), suggesting a related secretory pattern. Zinc showed weak positive correlations with fructose (r = 0.096).</w:t>
      </w:r>
      <w:r w:rsidR="00251ECD" w:rsidRPr="00275945">
        <w:t xml:space="preserve"> </w:t>
      </w:r>
      <w:r w:rsidRPr="00275945">
        <w:t>Citric acid exhibited a weak positive correlation with fructose concentration (r = 0.062).</w:t>
      </w:r>
    </w:p>
    <w:p w14:paraId="6A8FC866" w14:textId="77777777" w:rsidR="008402EE" w:rsidRPr="00275945" w:rsidRDefault="008402EE" w:rsidP="00F32189">
      <w:pPr>
        <w:pStyle w:val="NormalWeb"/>
        <w:spacing w:line="480" w:lineRule="auto"/>
        <w:jc w:val="both"/>
      </w:pPr>
    </w:p>
    <w:p w14:paraId="2907ECD7" w14:textId="77777777" w:rsidR="00F42368" w:rsidRPr="00275945" w:rsidRDefault="00F42368" w:rsidP="00EB0324">
      <w:pPr>
        <w:keepNext/>
        <w:keepLines/>
        <w:spacing w:before="260" w:after="260"/>
        <w:outlineLvl w:val="2"/>
        <w:rPr>
          <w:rFonts w:eastAsia="DengXian"/>
          <w:b/>
          <w:lang w:eastAsia="zh-CN"/>
        </w:rPr>
      </w:pPr>
    </w:p>
    <w:p w14:paraId="3015AA48" w14:textId="77777777" w:rsidR="00F42368" w:rsidRPr="00275945" w:rsidRDefault="00F42368" w:rsidP="00EB0324">
      <w:pPr>
        <w:keepNext/>
        <w:keepLines/>
        <w:spacing w:before="260" w:after="260"/>
        <w:outlineLvl w:val="2"/>
        <w:rPr>
          <w:rFonts w:eastAsia="DengXian"/>
          <w:b/>
          <w:lang w:eastAsia="zh-CN"/>
        </w:rPr>
      </w:pPr>
    </w:p>
    <w:p w14:paraId="4A324C25" w14:textId="671DC771" w:rsidR="008402EE" w:rsidRPr="00275945" w:rsidRDefault="00EB0324" w:rsidP="00EB0324">
      <w:pPr>
        <w:keepNext/>
        <w:keepLines/>
        <w:spacing w:before="260" w:after="260"/>
        <w:outlineLvl w:val="2"/>
        <w:rPr>
          <w:rFonts w:eastAsia="DengXian"/>
          <w:b/>
          <w:bCs/>
          <w:lang w:eastAsia="zh-CN"/>
        </w:rPr>
      </w:pPr>
      <w:r w:rsidRPr="00275945">
        <w:rPr>
          <w:rFonts w:eastAsia="DengXian"/>
          <w:b/>
          <w:lang w:eastAsia="zh-CN"/>
        </w:rPr>
        <w:t>Table 5: Correlation of Age, Sperm Count, Zinc, Citric Acid and Fructose Concentrations in Seminal Fluid of Infertile Subjects</w:t>
      </w:r>
    </w:p>
    <w:tbl>
      <w:tblPr>
        <w:tblStyle w:val="TableGrid"/>
        <w:tblW w:w="10800" w:type="dxa"/>
        <w:tblInd w:w="-1152" w:type="dxa"/>
        <w:tblLayout w:type="fixed"/>
        <w:tblLook w:val="01E0" w:firstRow="1" w:lastRow="1" w:firstColumn="1" w:lastColumn="1" w:noHBand="0" w:noVBand="0"/>
      </w:tblPr>
      <w:tblGrid>
        <w:gridCol w:w="2160"/>
        <w:gridCol w:w="900"/>
        <w:gridCol w:w="1800"/>
        <w:gridCol w:w="1620"/>
        <w:gridCol w:w="1440"/>
        <w:gridCol w:w="1440"/>
        <w:gridCol w:w="1440"/>
      </w:tblGrid>
      <w:tr w:rsidR="001E5ED4" w:rsidRPr="00275945" w14:paraId="5AE19CF8" w14:textId="77777777" w:rsidTr="00D7046D">
        <w:tc>
          <w:tcPr>
            <w:tcW w:w="2160" w:type="dxa"/>
            <w:tcBorders>
              <w:left w:val="nil"/>
              <w:bottom w:val="single" w:sz="4" w:space="0" w:color="auto"/>
              <w:right w:val="nil"/>
            </w:tcBorders>
          </w:tcPr>
          <w:p w14:paraId="06A005EE" w14:textId="77777777" w:rsidR="001E5ED4" w:rsidRPr="00275945" w:rsidRDefault="001E5ED4" w:rsidP="00311459">
            <w:pPr>
              <w:jc w:val="both"/>
              <w:rPr>
                <w:b/>
              </w:rPr>
            </w:pPr>
            <w:r w:rsidRPr="00275945">
              <w:rPr>
                <w:b/>
              </w:rPr>
              <w:t>Parameter</w:t>
            </w:r>
          </w:p>
        </w:tc>
        <w:tc>
          <w:tcPr>
            <w:tcW w:w="900" w:type="dxa"/>
            <w:tcBorders>
              <w:left w:val="nil"/>
              <w:bottom w:val="single" w:sz="4" w:space="0" w:color="auto"/>
              <w:right w:val="nil"/>
            </w:tcBorders>
          </w:tcPr>
          <w:p w14:paraId="441030CF" w14:textId="77777777" w:rsidR="001E5ED4" w:rsidRPr="00275945" w:rsidRDefault="001E5ED4" w:rsidP="00311459">
            <w:pPr>
              <w:jc w:val="both"/>
              <w:rPr>
                <w:b/>
              </w:rPr>
            </w:pPr>
            <w:r w:rsidRPr="00275945">
              <w:rPr>
                <w:rFonts w:eastAsia="DengXian"/>
                <w:b/>
                <w:lang w:eastAsia="zh-CN"/>
              </w:rPr>
              <w:t>Age</w:t>
            </w:r>
          </w:p>
        </w:tc>
        <w:tc>
          <w:tcPr>
            <w:tcW w:w="1800" w:type="dxa"/>
            <w:tcBorders>
              <w:left w:val="nil"/>
              <w:bottom w:val="single" w:sz="4" w:space="0" w:color="auto"/>
              <w:right w:val="nil"/>
            </w:tcBorders>
          </w:tcPr>
          <w:p w14:paraId="3C2D5BA0" w14:textId="77777777" w:rsidR="001E5ED4" w:rsidRPr="00275945" w:rsidRDefault="001E5ED4" w:rsidP="00311459">
            <w:pPr>
              <w:jc w:val="both"/>
              <w:rPr>
                <w:rFonts w:eastAsia="DengXian"/>
                <w:b/>
                <w:lang w:eastAsia="zh-CN"/>
              </w:rPr>
            </w:pPr>
            <w:r w:rsidRPr="00275945">
              <w:rPr>
                <w:rFonts w:eastAsia="DengXian"/>
                <w:b/>
                <w:lang w:eastAsia="zh-CN"/>
              </w:rPr>
              <w:t>Sperm Count</w:t>
            </w:r>
          </w:p>
          <w:p w14:paraId="3320EE94" w14:textId="77777777" w:rsidR="001E5ED4" w:rsidRPr="00275945" w:rsidRDefault="001E5ED4" w:rsidP="00311459">
            <w:pPr>
              <w:jc w:val="both"/>
              <w:rPr>
                <w:b/>
              </w:rPr>
            </w:pPr>
            <w:r w:rsidRPr="00275945">
              <w:rPr>
                <w:rFonts w:eastAsia="DengXian"/>
                <w:b/>
                <w:lang w:eastAsia="zh-CN"/>
              </w:rPr>
              <w:t>(10</w:t>
            </w:r>
            <w:r w:rsidRPr="00275945">
              <w:rPr>
                <w:rFonts w:eastAsia="DengXian"/>
                <w:b/>
                <w:vertAlign w:val="superscript"/>
                <w:lang w:eastAsia="zh-CN"/>
              </w:rPr>
              <w:t>6</w:t>
            </w:r>
            <w:r w:rsidRPr="00275945">
              <w:rPr>
                <w:rFonts w:eastAsia="DengXian"/>
                <w:b/>
                <w:lang w:eastAsia="zh-CN"/>
              </w:rPr>
              <w:t>/mL)</w:t>
            </w:r>
          </w:p>
        </w:tc>
        <w:tc>
          <w:tcPr>
            <w:tcW w:w="1620" w:type="dxa"/>
            <w:tcBorders>
              <w:left w:val="nil"/>
              <w:bottom w:val="single" w:sz="4" w:space="0" w:color="auto"/>
              <w:right w:val="nil"/>
            </w:tcBorders>
          </w:tcPr>
          <w:p w14:paraId="116D7B5C" w14:textId="77777777" w:rsidR="00911906" w:rsidRPr="00275945" w:rsidRDefault="001E5ED4" w:rsidP="00311459">
            <w:pPr>
              <w:jc w:val="both"/>
              <w:rPr>
                <w:rFonts w:eastAsia="DengXian"/>
                <w:b/>
                <w:lang w:eastAsia="zh-CN"/>
              </w:rPr>
            </w:pPr>
            <w:r w:rsidRPr="00275945">
              <w:rPr>
                <w:rFonts w:eastAsia="DengXian"/>
                <w:b/>
                <w:lang w:eastAsia="zh-CN"/>
              </w:rPr>
              <w:t xml:space="preserve">Sperm </w:t>
            </w:r>
          </w:p>
          <w:p w14:paraId="302238DD" w14:textId="77777777" w:rsidR="001E5ED4" w:rsidRPr="00275945" w:rsidRDefault="00D7046D" w:rsidP="00311459">
            <w:pPr>
              <w:jc w:val="both"/>
              <w:rPr>
                <w:rFonts w:eastAsia="DengXian"/>
                <w:b/>
                <w:lang w:eastAsia="zh-CN"/>
              </w:rPr>
            </w:pPr>
            <w:r w:rsidRPr="00275945">
              <w:rPr>
                <w:rFonts w:eastAsia="DengXian"/>
                <w:b/>
                <w:lang w:eastAsia="zh-CN"/>
              </w:rPr>
              <w:t>Motility</w:t>
            </w:r>
            <w:r w:rsidR="001E5ED4" w:rsidRPr="00275945">
              <w:rPr>
                <w:rFonts w:eastAsia="DengXian"/>
                <w:b/>
                <w:lang w:eastAsia="zh-CN"/>
              </w:rPr>
              <w:t>(%)</w:t>
            </w:r>
          </w:p>
        </w:tc>
        <w:tc>
          <w:tcPr>
            <w:tcW w:w="1440" w:type="dxa"/>
            <w:tcBorders>
              <w:left w:val="nil"/>
              <w:bottom w:val="single" w:sz="4" w:space="0" w:color="auto"/>
              <w:right w:val="nil"/>
            </w:tcBorders>
          </w:tcPr>
          <w:p w14:paraId="2BEC31DB" w14:textId="77777777" w:rsidR="001E5ED4" w:rsidRPr="00275945" w:rsidRDefault="001E5ED4" w:rsidP="00311459">
            <w:pPr>
              <w:jc w:val="both"/>
              <w:rPr>
                <w:rFonts w:eastAsia="DengXian"/>
                <w:b/>
                <w:lang w:eastAsia="zh-CN"/>
              </w:rPr>
            </w:pPr>
            <w:r w:rsidRPr="00275945">
              <w:rPr>
                <w:rFonts w:eastAsia="DengXian"/>
                <w:b/>
                <w:lang w:eastAsia="zh-CN"/>
              </w:rPr>
              <w:t>Zinc</w:t>
            </w:r>
          </w:p>
          <w:p w14:paraId="1F41618C" w14:textId="77777777" w:rsidR="001E5ED4" w:rsidRPr="00275945" w:rsidRDefault="001E5ED4" w:rsidP="00311459">
            <w:pPr>
              <w:jc w:val="both"/>
              <w:rPr>
                <w:b/>
              </w:rPr>
            </w:pPr>
            <w:r w:rsidRPr="00275945">
              <w:rPr>
                <w:rFonts w:eastAsia="DengXian"/>
                <w:b/>
                <w:lang w:eastAsia="zh-CN"/>
              </w:rPr>
              <w:t>(µmol/mL)</w:t>
            </w:r>
          </w:p>
        </w:tc>
        <w:tc>
          <w:tcPr>
            <w:tcW w:w="1440" w:type="dxa"/>
            <w:tcBorders>
              <w:left w:val="nil"/>
              <w:bottom w:val="single" w:sz="4" w:space="0" w:color="auto"/>
              <w:right w:val="nil"/>
            </w:tcBorders>
          </w:tcPr>
          <w:p w14:paraId="2A47FA2C" w14:textId="77777777" w:rsidR="001E5ED4" w:rsidRPr="00275945" w:rsidRDefault="001E5ED4" w:rsidP="00311459">
            <w:pPr>
              <w:jc w:val="both"/>
              <w:rPr>
                <w:rFonts w:eastAsia="DengXian"/>
                <w:b/>
                <w:lang w:eastAsia="zh-CN"/>
              </w:rPr>
            </w:pPr>
            <w:r w:rsidRPr="00275945">
              <w:rPr>
                <w:rFonts w:eastAsia="DengXian"/>
                <w:b/>
                <w:lang w:eastAsia="zh-CN"/>
              </w:rPr>
              <w:t>Citric acid</w:t>
            </w:r>
          </w:p>
          <w:p w14:paraId="26553A4F" w14:textId="77777777" w:rsidR="001E5ED4" w:rsidRPr="00275945" w:rsidRDefault="001E5ED4" w:rsidP="00311459">
            <w:pPr>
              <w:jc w:val="both"/>
              <w:rPr>
                <w:b/>
              </w:rPr>
            </w:pPr>
            <w:r w:rsidRPr="00275945">
              <w:rPr>
                <w:rFonts w:eastAsia="DengXian"/>
                <w:b/>
                <w:lang w:eastAsia="zh-CN"/>
              </w:rPr>
              <w:t>(mmol/L)</w:t>
            </w:r>
          </w:p>
        </w:tc>
        <w:tc>
          <w:tcPr>
            <w:tcW w:w="1440" w:type="dxa"/>
            <w:tcBorders>
              <w:left w:val="nil"/>
              <w:bottom w:val="single" w:sz="4" w:space="0" w:color="auto"/>
              <w:right w:val="nil"/>
            </w:tcBorders>
          </w:tcPr>
          <w:p w14:paraId="2EAAB7C0" w14:textId="77777777" w:rsidR="001E5ED4" w:rsidRPr="00275945" w:rsidRDefault="001E5ED4" w:rsidP="00311459">
            <w:pPr>
              <w:jc w:val="both"/>
              <w:rPr>
                <w:rFonts w:eastAsia="DengXian"/>
                <w:b/>
                <w:lang w:eastAsia="zh-CN"/>
              </w:rPr>
            </w:pPr>
            <w:r w:rsidRPr="00275945">
              <w:rPr>
                <w:rFonts w:eastAsia="DengXian"/>
                <w:b/>
                <w:lang w:eastAsia="zh-CN"/>
              </w:rPr>
              <w:t>Fructose</w:t>
            </w:r>
          </w:p>
          <w:p w14:paraId="66580C6D" w14:textId="77777777" w:rsidR="001E5ED4" w:rsidRPr="00275945" w:rsidRDefault="001E5ED4" w:rsidP="00311459">
            <w:pPr>
              <w:jc w:val="both"/>
              <w:rPr>
                <w:b/>
              </w:rPr>
            </w:pPr>
            <w:r w:rsidRPr="00275945">
              <w:rPr>
                <w:rFonts w:eastAsia="DengXian"/>
                <w:b/>
                <w:lang w:eastAsia="zh-CN"/>
              </w:rPr>
              <w:t>(µmol/mL)</w:t>
            </w:r>
          </w:p>
        </w:tc>
      </w:tr>
      <w:tr w:rsidR="001E5ED4" w:rsidRPr="00275945" w14:paraId="70D4FF0F" w14:textId="77777777" w:rsidTr="00D7046D">
        <w:tc>
          <w:tcPr>
            <w:tcW w:w="2160" w:type="dxa"/>
            <w:tcBorders>
              <w:left w:val="nil"/>
              <w:bottom w:val="nil"/>
              <w:right w:val="nil"/>
            </w:tcBorders>
          </w:tcPr>
          <w:p w14:paraId="1C4FBB19" w14:textId="77777777" w:rsidR="001E5ED4" w:rsidRPr="00275945" w:rsidRDefault="001E5ED4" w:rsidP="00311459">
            <w:pPr>
              <w:jc w:val="both"/>
              <w:rPr>
                <w:b/>
              </w:rPr>
            </w:pPr>
            <w:r w:rsidRPr="00275945">
              <w:rPr>
                <w:rFonts w:eastAsia="DengXian"/>
                <w:b/>
                <w:lang w:eastAsia="zh-CN"/>
              </w:rPr>
              <w:t>Age</w:t>
            </w:r>
          </w:p>
        </w:tc>
        <w:tc>
          <w:tcPr>
            <w:tcW w:w="900" w:type="dxa"/>
            <w:tcBorders>
              <w:left w:val="nil"/>
              <w:bottom w:val="nil"/>
              <w:right w:val="nil"/>
            </w:tcBorders>
          </w:tcPr>
          <w:p w14:paraId="39C9823A" w14:textId="77777777" w:rsidR="001E5ED4" w:rsidRPr="00275945" w:rsidRDefault="001E5ED4" w:rsidP="00311459">
            <w:pPr>
              <w:jc w:val="both"/>
            </w:pPr>
            <w:r w:rsidRPr="00275945">
              <w:t>1</w:t>
            </w:r>
          </w:p>
        </w:tc>
        <w:tc>
          <w:tcPr>
            <w:tcW w:w="1800" w:type="dxa"/>
            <w:tcBorders>
              <w:left w:val="nil"/>
              <w:bottom w:val="nil"/>
              <w:right w:val="nil"/>
            </w:tcBorders>
          </w:tcPr>
          <w:p w14:paraId="0295C43D" w14:textId="77777777" w:rsidR="001E5ED4" w:rsidRPr="00275945" w:rsidRDefault="001E5ED4" w:rsidP="00311459">
            <w:pPr>
              <w:jc w:val="both"/>
              <w:rPr>
                <w:b/>
              </w:rPr>
            </w:pPr>
          </w:p>
        </w:tc>
        <w:tc>
          <w:tcPr>
            <w:tcW w:w="1620" w:type="dxa"/>
            <w:tcBorders>
              <w:left w:val="nil"/>
              <w:bottom w:val="nil"/>
              <w:right w:val="nil"/>
            </w:tcBorders>
          </w:tcPr>
          <w:p w14:paraId="4696117B" w14:textId="77777777" w:rsidR="001E5ED4" w:rsidRPr="00275945" w:rsidRDefault="001E5ED4" w:rsidP="00311459">
            <w:pPr>
              <w:jc w:val="both"/>
              <w:rPr>
                <w:b/>
              </w:rPr>
            </w:pPr>
          </w:p>
        </w:tc>
        <w:tc>
          <w:tcPr>
            <w:tcW w:w="1440" w:type="dxa"/>
            <w:tcBorders>
              <w:left w:val="nil"/>
              <w:bottom w:val="nil"/>
              <w:right w:val="nil"/>
            </w:tcBorders>
          </w:tcPr>
          <w:p w14:paraId="062973CE" w14:textId="77777777" w:rsidR="001E5ED4" w:rsidRPr="00275945" w:rsidRDefault="001E5ED4" w:rsidP="00311459">
            <w:pPr>
              <w:jc w:val="both"/>
              <w:rPr>
                <w:b/>
              </w:rPr>
            </w:pPr>
          </w:p>
        </w:tc>
        <w:tc>
          <w:tcPr>
            <w:tcW w:w="1440" w:type="dxa"/>
            <w:tcBorders>
              <w:left w:val="nil"/>
              <w:bottom w:val="nil"/>
              <w:right w:val="nil"/>
            </w:tcBorders>
          </w:tcPr>
          <w:p w14:paraId="7F4C6153" w14:textId="77777777" w:rsidR="001E5ED4" w:rsidRPr="00275945" w:rsidRDefault="001E5ED4" w:rsidP="00311459">
            <w:pPr>
              <w:jc w:val="both"/>
              <w:rPr>
                <w:b/>
              </w:rPr>
            </w:pPr>
          </w:p>
        </w:tc>
        <w:tc>
          <w:tcPr>
            <w:tcW w:w="1440" w:type="dxa"/>
            <w:tcBorders>
              <w:left w:val="nil"/>
              <w:bottom w:val="nil"/>
              <w:right w:val="nil"/>
            </w:tcBorders>
          </w:tcPr>
          <w:p w14:paraId="303EB5E6" w14:textId="77777777" w:rsidR="001E5ED4" w:rsidRPr="00275945" w:rsidRDefault="001E5ED4" w:rsidP="00311459">
            <w:pPr>
              <w:jc w:val="both"/>
              <w:rPr>
                <w:b/>
              </w:rPr>
            </w:pPr>
          </w:p>
        </w:tc>
      </w:tr>
      <w:tr w:rsidR="001E5ED4" w:rsidRPr="00275945" w14:paraId="3E10D5FA" w14:textId="77777777" w:rsidTr="00D7046D">
        <w:tc>
          <w:tcPr>
            <w:tcW w:w="2160" w:type="dxa"/>
            <w:tcBorders>
              <w:top w:val="nil"/>
              <w:left w:val="nil"/>
              <w:bottom w:val="nil"/>
              <w:right w:val="nil"/>
            </w:tcBorders>
          </w:tcPr>
          <w:p w14:paraId="3649DFBB" w14:textId="77777777" w:rsidR="001E5ED4" w:rsidRPr="00275945" w:rsidRDefault="00D7046D" w:rsidP="00311459">
            <w:pPr>
              <w:jc w:val="both"/>
              <w:rPr>
                <w:b/>
              </w:rPr>
            </w:pPr>
            <w:r w:rsidRPr="00275945">
              <w:rPr>
                <w:rFonts w:eastAsia="DengXian"/>
                <w:bCs/>
                <w:lang w:eastAsia="zh-CN"/>
              </w:rPr>
              <w:t xml:space="preserve">Sperm </w:t>
            </w:r>
            <w:r w:rsidR="001E5ED4" w:rsidRPr="00275945">
              <w:rPr>
                <w:rFonts w:eastAsia="DengXian"/>
                <w:bCs/>
                <w:lang w:eastAsia="zh-CN"/>
              </w:rPr>
              <w:t>Count</w:t>
            </w:r>
            <w:r w:rsidR="007A6272" w:rsidRPr="00275945">
              <w:rPr>
                <w:rFonts w:eastAsia="DengXian"/>
                <w:bCs/>
                <w:lang w:eastAsia="zh-CN"/>
              </w:rPr>
              <w:t xml:space="preserve"> </w:t>
            </w:r>
            <w:r w:rsidR="007A6272" w:rsidRPr="00275945">
              <w:rPr>
                <w:rFonts w:eastAsia="DengXian"/>
                <w:lang w:eastAsia="zh-CN"/>
              </w:rPr>
              <w:t>(10</w:t>
            </w:r>
            <w:r w:rsidR="007A6272" w:rsidRPr="00275945">
              <w:rPr>
                <w:rFonts w:eastAsia="DengXian"/>
                <w:vertAlign w:val="superscript"/>
                <w:lang w:eastAsia="zh-CN"/>
              </w:rPr>
              <w:t>6</w:t>
            </w:r>
            <w:r w:rsidR="007A6272" w:rsidRPr="00275945">
              <w:rPr>
                <w:rFonts w:eastAsia="DengXian"/>
                <w:lang w:eastAsia="zh-CN"/>
              </w:rPr>
              <w:t>/mL)</w:t>
            </w:r>
          </w:p>
        </w:tc>
        <w:tc>
          <w:tcPr>
            <w:tcW w:w="900" w:type="dxa"/>
            <w:tcBorders>
              <w:top w:val="nil"/>
              <w:left w:val="nil"/>
              <w:bottom w:val="nil"/>
              <w:right w:val="nil"/>
            </w:tcBorders>
          </w:tcPr>
          <w:p w14:paraId="4B18D762" w14:textId="77777777" w:rsidR="001E5ED4" w:rsidRPr="00275945" w:rsidRDefault="00D331FE" w:rsidP="00311459">
            <w:pPr>
              <w:jc w:val="both"/>
              <w:rPr>
                <w:b/>
              </w:rPr>
            </w:pPr>
            <w:r w:rsidRPr="00275945">
              <w:rPr>
                <w:rFonts w:eastAsia="DengXian"/>
                <w:bCs/>
                <w:lang w:eastAsia="zh-CN"/>
              </w:rPr>
              <w:t>-0.330</w:t>
            </w:r>
          </w:p>
        </w:tc>
        <w:tc>
          <w:tcPr>
            <w:tcW w:w="1800" w:type="dxa"/>
            <w:tcBorders>
              <w:top w:val="nil"/>
              <w:left w:val="nil"/>
              <w:bottom w:val="nil"/>
              <w:right w:val="nil"/>
            </w:tcBorders>
          </w:tcPr>
          <w:p w14:paraId="130BAB43" w14:textId="77777777" w:rsidR="001E5ED4" w:rsidRPr="00275945" w:rsidRDefault="00911906" w:rsidP="00311459">
            <w:pPr>
              <w:jc w:val="both"/>
              <w:rPr>
                <w:b/>
              </w:rPr>
            </w:pPr>
            <w:r w:rsidRPr="00275945">
              <w:rPr>
                <w:rFonts w:eastAsia="DengXian"/>
                <w:bCs/>
                <w:lang w:eastAsia="zh-CN"/>
              </w:rPr>
              <w:t>1</w:t>
            </w:r>
          </w:p>
        </w:tc>
        <w:tc>
          <w:tcPr>
            <w:tcW w:w="1620" w:type="dxa"/>
            <w:tcBorders>
              <w:top w:val="nil"/>
              <w:left w:val="nil"/>
              <w:bottom w:val="nil"/>
              <w:right w:val="nil"/>
            </w:tcBorders>
          </w:tcPr>
          <w:p w14:paraId="41B5E8F4" w14:textId="77777777" w:rsidR="001E5ED4" w:rsidRPr="00275945" w:rsidRDefault="001E5ED4" w:rsidP="00311459">
            <w:pPr>
              <w:jc w:val="both"/>
              <w:rPr>
                <w:b/>
              </w:rPr>
            </w:pPr>
          </w:p>
        </w:tc>
        <w:tc>
          <w:tcPr>
            <w:tcW w:w="1440" w:type="dxa"/>
            <w:tcBorders>
              <w:top w:val="nil"/>
              <w:left w:val="nil"/>
              <w:bottom w:val="nil"/>
              <w:right w:val="nil"/>
            </w:tcBorders>
          </w:tcPr>
          <w:p w14:paraId="7AB6BAA5" w14:textId="77777777" w:rsidR="001E5ED4" w:rsidRPr="00275945" w:rsidRDefault="001E5ED4" w:rsidP="00311459">
            <w:pPr>
              <w:jc w:val="both"/>
              <w:rPr>
                <w:b/>
              </w:rPr>
            </w:pPr>
          </w:p>
        </w:tc>
        <w:tc>
          <w:tcPr>
            <w:tcW w:w="1440" w:type="dxa"/>
            <w:tcBorders>
              <w:top w:val="nil"/>
              <w:left w:val="nil"/>
              <w:bottom w:val="nil"/>
              <w:right w:val="nil"/>
            </w:tcBorders>
          </w:tcPr>
          <w:p w14:paraId="4F233C42" w14:textId="77777777" w:rsidR="001E5ED4" w:rsidRPr="00275945" w:rsidRDefault="001E5ED4" w:rsidP="00311459">
            <w:pPr>
              <w:jc w:val="both"/>
              <w:rPr>
                <w:b/>
              </w:rPr>
            </w:pPr>
          </w:p>
        </w:tc>
        <w:tc>
          <w:tcPr>
            <w:tcW w:w="1440" w:type="dxa"/>
            <w:tcBorders>
              <w:top w:val="nil"/>
              <w:left w:val="nil"/>
              <w:bottom w:val="nil"/>
              <w:right w:val="nil"/>
            </w:tcBorders>
          </w:tcPr>
          <w:p w14:paraId="15CB949C" w14:textId="77777777" w:rsidR="001E5ED4" w:rsidRPr="00275945" w:rsidRDefault="001E5ED4" w:rsidP="00311459">
            <w:pPr>
              <w:jc w:val="both"/>
              <w:rPr>
                <w:b/>
              </w:rPr>
            </w:pPr>
          </w:p>
        </w:tc>
      </w:tr>
      <w:tr w:rsidR="001E5ED4" w:rsidRPr="00275945" w14:paraId="17F92614" w14:textId="77777777" w:rsidTr="00D7046D">
        <w:tc>
          <w:tcPr>
            <w:tcW w:w="2160" w:type="dxa"/>
            <w:tcBorders>
              <w:top w:val="nil"/>
              <w:left w:val="nil"/>
              <w:bottom w:val="nil"/>
              <w:right w:val="nil"/>
            </w:tcBorders>
          </w:tcPr>
          <w:p w14:paraId="26ED9F3B" w14:textId="77777777" w:rsidR="001E5ED4" w:rsidRPr="00275945" w:rsidRDefault="001E5ED4" w:rsidP="00311459">
            <w:pPr>
              <w:jc w:val="both"/>
              <w:rPr>
                <w:b/>
              </w:rPr>
            </w:pPr>
            <w:r w:rsidRPr="00275945">
              <w:rPr>
                <w:rFonts w:eastAsia="DengXian"/>
                <w:bCs/>
                <w:lang w:eastAsia="zh-CN"/>
              </w:rPr>
              <w:t>Sperm Motility (%)</w:t>
            </w:r>
          </w:p>
        </w:tc>
        <w:tc>
          <w:tcPr>
            <w:tcW w:w="900" w:type="dxa"/>
            <w:tcBorders>
              <w:top w:val="nil"/>
              <w:left w:val="nil"/>
              <w:bottom w:val="nil"/>
              <w:right w:val="nil"/>
            </w:tcBorders>
          </w:tcPr>
          <w:p w14:paraId="050251E2" w14:textId="77777777" w:rsidR="001E5ED4" w:rsidRPr="00275945" w:rsidRDefault="00D331FE" w:rsidP="00311459">
            <w:pPr>
              <w:jc w:val="both"/>
              <w:rPr>
                <w:b/>
              </w:rPr>
            </w:pPr>
            <w:r w:rsidRPr="00275945">
              <w:rPr>
                <w:rFonts w:eastAsia="DengXian"/>
                <w:bCs/>
                <w:lang w:eastAsia="zh-CN"/>
              </w:rPr>
              <w:t>-</w:t>
            </w:r>
            <w:r w:rsidRPr="00275945">
              <w:rPr>
                <w:bCs/>
                <w:lang w:eastAsia="zh-CN"/>
              </w:rPr>
              <w:t>0.184</w:t>
            </w:r>
          </w:p>
        </w:tc>
        <w:tc>
          <w:tcPr>
            <w:tcW w:w="1800" w:type="dxa"/>
            <w:tcBorders>
              <w:top w:val="nil"/>
              <w:left w:val="nil"/>
              <w:bottom w:val="nil"/>
              <w:right w:val="nil"/>
            </w:tcBorders>
          </w:tcPr>
          <w:p w14:paraId="450C0E76" w14:textId="77777777" w:rsidR="001E5ED4" w:rsidRPr="00275945" w:rsidRDefault="00911906" w:rsidP="00311459">
            <w:pPr>
              <w:jc w:val="both"/>
              <w:rPr>
                <w:b/>
              </w:rPr>
            </w:pPr>
            <w:r w:rsidRPr="00275945">
              <w:rPr>
                <w:bCs/>
                <w:lang w:eastAsia="zh-CN"/>
              </w:rPr>
              <w:t>0.080</w:t>
            </w:r>
          </w:p>
        </w:tc>
        <w:tc>
          <w:tcPr>
            <w:tcW w:w="1620" w:type="dxa"/>
            <w:tcBorders>
              <w:top w:val="nil"/>
              <w:left w:val="nil"/>
              <w:bottom w:val="nil"/>
              <w:right w:val="nil"/>
            </w:tcBorders>
          </w:tcPr>
          <w:p w14:paraId="7A93AA04" w14:textId="77777777" w:rsidR="001E5ED4" w:rsidRPr="00275945" w:rsidRDefault="00911906" w:rsidP="00311459">
            <w:pPr>
              <w:jc w:val="both"/>
              <w:rPr>
                <w:b/>
              </w:rPr>
            </w:pPr>
            <w:r w:rsidRPr="00275945">
              <w:rPr>
                <w:bCs/>
                <w:lang w:eastAsia="zh-CN"/>
              </w:rPr>
              <w:t>1</w:t>
            </w:r>
          </w:p>
        </w:tc>
        <w:tc>
          <w:tcPr>
            <w:tcW w:w="1440" w:type="dxa"/>
            <w:tcBorders>
              <w:top w:val="nil"/>
              <w:left w:val="nil"/>
              <w:bottom w:val="nil"/>
              <w:right w:val="nil"/>
            </w:tcBorders>
          </w:tcPr>
          <w:p w14:paraId="0DEE63E7" w14:textId="77777777" w:rsidR="001E5ED4" w:rsidRPr="00275945" w:rsidRDefault="001E5ED4" w:rsidP="00311459">
            <w:pPr>
              <w:jc w:val="both"/>
              <w:rPr>
                <w:b/>
              </w:rPr>
            </w:pPr>
          </w:p>
        </w:tc>
        <w:tc>
          <w:tcPr>
            <w:tcW w:w="1440" w:type="dxa"/>
            <w:tcBorders>
              <w:top w:val="nil"/>
              <w:left w:val="nil"/>
              <w:bottom w:val="nil"/>
              <w:right w:val="nil"/>
            </w:tcBorders>
          </w:tcPr>
          <w:p w14:paraId="0D7B3F8E" w14:textId="77777777" w:rsidR="001E5ED4" w:rsidRPr="00275945" w:rsidRDefault="001E5ED4" w:rsidP="00311459">
            <w:pPr>
              <w:jc w:val="both"/>
              <w:rPr>
                <w:b/>
              </w:rPr>
            </w:pPr>
          </w:p>
        </w:tc>
        <w:tc>
          <w:tcPr>
            <w:tcW w:w="1440" w:type="dxa"/>
            <w:tcBorders>
              <w:top w:val="nil"/>
              <w:left w:val="nil"/>
              <w:bottom w:val="nil"/>
              <w:right w:val="nil"/>
            </w:tcBorders>
          </w:tcPr>
          <w:p w14:paraId="4C41EBA0" w14:textId="77777777" w:rsidR="001E5ED4" w:rsidRPr="00275945" w:rsidRDefault="001E5ED4" w:rsidP="00311459">
            <w:pPr>
              <w:jc w:val="both"/>
              <w:rPr>
                <w:b/>
              </w:rPr>
            </w:pPr>
          </w:p>
        </w:tc>
      </w:tr>
      <w:tr w:rsidR="001E5ED4" w:rsidRPr="00275945" w14:paraId="0738D48B" w14:textId="77777777" w:rsidTr="00D7046D">
        <w:tc>
          <w:tcPr>
            <w:tcW w:w="2160" w:type="dxa"/>
            <w:tcBorders>
              <w:top w:val="nil"/>
              <w:left w:val="nil"/>
              <w:bottom w:val="nil"/>
              <w:right w:val="nil"/>
            </w:tcBorders>
          </w:tcPr>
          <w:p w14:paraId="4C3695A5" w14:textId="77777777" w:rsidR="001E5ED4" w:rsidRPr="00275945" w:rsidRDefault="001E5ED4" w:rsidP="00311459">
            <w:pPr>
              <w:jc w:val="both"/>
              <w:rPr>
                <w:b/>
              </w:rPr>
            </w:pPr>
            <w:r w:rsidRPr="00275945">
              <w:rPr>
                <w:rFonts w:eastAsia="DengXian"/>
                <w:bCs/>
                <w:lang w:eastAsia="zh-CN"/>
              </w:rPr>
              <w:t>Zinc (µmol/mL)</w:t>
            </w:r>
          </w:p>
        </w:tc>
        <w:tc>
          <w:tcPr>
            <w:tcW w:w="900" w:type="dxa"/>
            <w:tcBorders>
              <w:top w:val="nil"/>
              <w:left w:val="nil"/>
              <w:bottom w:val="nil"/>
              <w:right w:val="nil"/>
            </w:tcBorders>
          </w:tcPr>
          <w:p w14:paraId="6517C69D" w14:textId="77777777" w:rsidR="001E5ED4" w:rsidRPr="00275945" w:rsidRDefault="00D331FE" w:rsidP="00311459">
            <w:pPr>
              <w:jc w:val="both"/>
              <w:rPr>
                <w:b/>
              </w:rPr>
            </w:pPr>
            <w:r w:rsidRPr="00275945">
              <w:rPr>
                <w:rFonts w:eastAsia="DengXian"/>
                <w:bCs/>
                <w:lang w:eastAsia="zh-CN"/>
              </w:rPr>
              <w:t>-</w:t>
            </w:r>
            <w:r w:rsidRPr="00275945">
              <w:rPr>
                <w:bCs/>
                <w:lang w:eastAsia="zh-CN"/>
              </w:rPr>
              <w:t>0.629</w:t>
            </w:r>
          </w:p>
        </w:tc>
        <w:tc>
          <w:tcPr>
            <w:tcW w:w="1800" w:type="dxa"/>
            <w:tcBorders>
              <w:top w:val="nil"/>
              <w:left w:val="nil"/>
              <w:bottom w:val="nil"/>
              <w:right w:val="nil"/>
            </w:tcBorders>
          </w:tcPr>
          <w:p w14:paraId="5C2B4F8C" w14:textId="77777777" w:rsidR="001E5ED4" w:rsidRPr="00275945" w:rsidRDefault="00911906" w:rsidP="00311459">
            <w:pPr>
              <w:jc w:val="both"/>
              <w:rPr>
                <w:b/>
              </w:rPr>
            </w:pPr>
            <w:r w:rsidRPr="00275945">
              <w:rPr>
                <w:bCs/>
                <w:lang w:eastAsia="zh-CN"/>
              </w:rPr>
              <w:t>-0.183</w:t>
            </w:r>
          </w:p>
        </w:tc>
        <w:tc>
          <w:tcPr>
            <w:tcW w:w="1620" w:type="dxa"/>
            <w:tcBorders>
              <w:top w:val="nil"/>
              <w:left w:val="nil"/>
              <w:bottom w:val="nil"/>
              <w:right w:val="nil"/>
            </w:tcBorders>
          </w:tcPr>
          <w:p w14:paraId="049797E3" w14:textId="77777777" w:rsidR="001E5ED4" w:rsidRPr="00275945" w:rsidRDefault="00911906" w:rsidP="00311459">
            <w:pPr>
              <w:jc w:val="both"/>
              <w:rPr>
                <w:b/>
              </w:rPr>
            </w:pPr>
            <w:r w:rsidRPr="00275945">
              <w:rPr>
                <w:bCs/>
                <w:lang w:eastAsia="zh-CN"/>
              </w:rPr>
              <w:t>-0.103</w:t>
            </w:r>
          </w:p>
        </w:tc>
        <w:tc>
          <w:tcPr>
            <w:tcW w:w="1440" w:type="dxa"/>
            <w:tcBorders>
              <w:top w:val="nil"/>
              <w:left w:val="nil"/>
              <w:bottom w:val="nil"/>
              <w:right w:val="nil"/>
            </w:tcBorders>
          </w:tcPr>
          <w:p w14:paraId="46AA93C4" w14:textId="77777777" w:rsidR="001E5ED4" w:rsidRPr="00275945" w:rsidRDefault="00911906" w:rsidP="00311459">
            <w:pPr>
              <w:jc w:val="both"/>
              <w:rPr>
                <w:b/>
              </w:rPr>
            </w:pPr>
            <w:r w:rsidRPr="00275945">
              <w:rPr>
                <w:bCs/>
                <w:lang w:eastAsia="zh-CN"/>
              </w:rPr>
              <w:t>1</w:t>
            </w:r>
          </w:p>
        </w:tc>
        <w:tc>
          <w:tcPr>
            <w:tcW w:w="1440" w:type="dxa"/>
            <w:tcBorders>
              <w:top w:val="nil"/>
              <w:left w:val="nil"/>
              <w:bottom w:val="nil"/>
              <w:right w:val="nil"/>
            </w:tcBorders>
          </w:tcPr>
          <w:p w14:paraId="18F397CE" w14:textId="77777777" w:rsidR="001E5ED4" w:rsidRPr="00275945" w:rsidRDefault="001E5ED4" w:rsidP="00311459">
            <w:pPr>
              <w:jc w:val="both"/>
              <w:rPr>
                <w:b/>
              </w:rPr>
            </w:pPr>
          </w:p>
        </w:tc>
        <w:tc>
          <w:tcPr>
            <w:tcW w:w="1440" w:type="dxa"/>
            <w:tcBorders>
              <w:top w:val="nil"/>
              <w:left w:val="nil"/>
              <w:bottom w:val="nil"/>
              <w:right w:val="nil"/>
            </w:tcBorders>
          </w:tcPr>
          <w:p w14:paraId="541365E5" w14:textId="77777777" w:rsidR="001E5ED4" w:rsidRPr="00275945" w:rsidRDefault="001E5ED4" w:rsidP="00311459">
            <w:pPr>
              <w:jc w:val="both"/>
              <w:rPr>
                <w:b/>
              </w:rPr>
            </w:pPr>
          </w:p>
        </w:tc>
      </w:tr>
      <w:tr w:rsidR="001E5ED4" w:rsidRPr="00275945" w14:paraId="3802A51E" w14:textId="77777777" w:rsidTr="00D7046D">
        <w:tc>
          <w:tcPr>
            <w:tcW w:w="2160" w:type="dxa"/>
            <w:tcBorders>
              <w:top w:val="nil"/>
              <w:left w:val="nil"/>
              <w:bottom w:val="nil"/>
              <w:right w:val="nil"/>
            </w:tcBorders>
          </w:tcPr>
          <w:p w14:paraId="2A3E7D83" w14:textId="77777777" w:rsidR="00D331FE" w:rsidRPr="00275945" w:rsidRDefault="001E5ED4" w:rsidP="00311459">
            <w:pPr>
              <w:jc w:val="both"/>
              <w:rPr>
                <w:rFonts w:eastAsia="DengXian"/>
                <w:bCs/>
                <w:lang w:eastAsia="zh-CN"/>
              </w:rPr>
            </w:pPr>
            <w:r w:rsidRPr="00275945">
              <w:rPr>
                <w:rFonts w:eastAsia="DengXian"/>
                <w:bCs/>
                <w:lang w:eastAsia="zh-CN"/>
              </w:rPr>
              <w:t>Citric acid</w:t>
            </w:r>
          </w:p>
          <w:p w14:paraId="3A61DA17" w14:textId="77777777" w:rsidR="001E5ED4" w:rsidRPr="00275945" w:rsidRDefault="001E5ED4" w:rsidP="00311459">
            <w:pPr>
              <w:jc w:val="both"/>
              <w:rPr>
                <w:b/>
              </w:rPr>
            </w:pPr>
            <w:r w:rsidRPr="00275945">
              <w:rPr>
                <w:rFonts w:eastAsia="DengXian"/>
                <w:bCs/>
                <w:lang w:eastAsia="zh-CN"/>
              </w:rPr>
              <w:t>(mmol/l)</w:t>
            </w:r>
          </w:p>
        </w:tc>
        <w:tc>
          <w:tcPr>
            <w:tcW w:w="900" w:type="dxa"/>
            <w:tcBorders>
              <w:top w:val="nil"/>
              <w:left w:val="nil"/>
              <w:bottom w:val="nil"/>
              <w:right w:val="nil"/>
            </w:tcBorders>
          </w:tcPr>
          <w:p w14:paraId="56F8737B" w14:textId="77777777" w:rsidR="001E5ED4" w:rsidRPr="00275945" w:rsidRDefault="00D331FE" w:rsidP="00311459">
            <w:pPr>
              <w:jc w:val="both"/>
              <w:rPr>
                <w:b/>
              </w:rPr>
            </w:pPr>
            <w:r w:rsidRPr="00275945">
              <w:rPr>
                <w:rFonts w:eastAsia="DengXian"/>
                <w:bCs/>
                <w:lang w:eastAsia="zh-CN"/>
              </w:rPr>
              <w:t>-</w:t>
            </w:r>
            <w:r w:rsidRPr="00275945">
              <w:rPr>
                <w:bCs/>
                <w:lang w:eastAsia="zh-CN"/>
              </w:rPr>
              <w:t>0.195</w:t>
            </w:r>
          </w:p>
        </w:tc>
        <w:tc>
          <w:tcPr>
            <w:tcW w:w="1800" w:type="dxa"/>
            <w:tcBorders>
              <w:top w:val="nil"/>
              <w:left w:val="nil"/>
              <w:bottom w:val="nil"/>
              <w:right w:val="nil"/>
            </w:tcBorders>
          </w:tcPr>
          <w:p w14:paraId="14730855" w14:textId="77777777" w:rsidR="001E5ED4" w:rsidRPr="00275945" w:rsidRDefault="00911906" w:rsidP="00311459">
            <w:pPr>
              <w:jc w:val="both"/>
              <w:rPr>
                <w:b/>
              </w:rPr>
            </w:pPr>
            <w:r w:rsidRPr="00275945">
              <w:rPr>
                <w:bCs/>
                <w:lang w:eastAsia="zh-CN"/>
              </w:rPr>
              <w:t>-0.050</w:t>
            </w:r>
          </w:p>
        </w:tc>
        <w:tc>
          <w:tcPr>
            <w:tcW w:w="1620" w:type="dxa"/>
            <w:tcBorders>
              <w:top w:val="nil"/>
              <w:left w:val="nil"/>
              <w:bottom w:val="nil"/>
              <w:right w:val="nil"/>
            </w:tcBorders>
          </w:tcPr>
          <w:p w14:paraId="1C1365C5" w14:textId="77777777" w:rsidR="001E5ED4" w:rsidRPr="00275945" w:rsidRDefault="00911906" w:rsidP="00311459">
            <w:pPr>
              <w:jc w:val="both"/>
              <w:rPr>
                <w:b/>
              </w:rPr>
            </w:pPr>
            <w:r w:rsidRPr="00275945">
              <w:rPr>
                <w:bCs/>
                <w:lang w:eastAsia="zh-CN"/>
              </w:rPr>
              <w:t>- 0.099</w:t>
            </w:r>
          </w:p>
        </w:tc>
        <w:tc>
          <w:tcPr>
            <w:tcW w:w="1440" w:type="dxa"/>
            <w:tcBorders>
              <w:top w:val="nil"/>
              <w:left w:val="nil"/>
              <w:bottom w:val="nil"/>
              <w:right w:val="nil"/>
            </w:tcBorders>
          </w:tcPr>
          <w:p w14:paraId="2F33F595" w14:textId="77777777" w:rsidR="001E5ED4" w:rsidRPr="00275945" w:rsidRDefault="00911906" w:rsidP="00311459">
            <w:pPr>
              <w:jc w:val="both"/>
              <w:rPr>
                <w:b/>
              </w:rPr>
            </w:pPr>
            <w:r w:rsidRPr="00275945">
              <w:rPr>
                <w:bCs/>
                <w:lang w:eastAsia="zh-CN"/>
              </w:rPr>
              <w:t>0.424</w:t>
            </w:r>
          </w:p>
        </w:tc>
        <w:tc>
          <w:tcPr>
            <w:tcW w:w="1440" w:type="dxa"/>
            <w:tcBorders>
              <w:top w:val="nil"/>
              <w:left w:val="nil"/>
              <w:bottom w:val="nil"/>
              <w:right w:val="nil"/>
            </w:tcBorders>
          </w:tcPr>
          <w:p w14:paraId="776125C0" w14:textId="77777777" w:rsidR="001E5ED4" w:rsidRPr="00275945" w:rsidRDefault="00911906" w:rsidP="00311459">
            <w:pPr>
              <w:jc w:val="both"/>
              <w:rPr>
                <w:b/>
              </w:rPr>
            </w:pPr>
            <w:r w:rsidRPr="00275945">
              <w:rPr>
                <w:bCs/>
                <w:lang w:eastAsia="zh-CN"/>
              </w:rPr>
              <w:t>1</w:t>
            </w:r>
          </w:p>
        </w:tc>
        <w:tc>
          <w:tcPr>
            <w:tcW w:w="1440" w:type="dxa"/>
            <w:tcBorders>
              <w:top w:val="nil"/>
              <w:left w:val="nil"/>
              <w:bottom w:val="nil"/>
              <w:right w:val="nil"/>
            </w:tcBorders>
          </w:tcPr>
          <w:p w14:paraId="64F221AC" w14:textId="77777777" w:rsidR="001E5ED4" w:rsidRPr="00275945" w:rsidRDefault="001E5ED4" w:rsidP="00311459">
            <w:pPr>
              <w:jc w:val="both"/>
              <w:rPr>
                <w:b/>
              </w:rPr>
            </w:pPr>
          </w:p>
        </w:tc>
      </w:tr>
      <w:tr w:rsidR="001E5ED4" w:rsidRPr="00275945" w14:paraId="0106189A" w14:textId="77777777" w:rsidTr="00D7046D">
        <w:tc>
          <w:tcPr>
            <w:tcW w:w="2160" w:type="dxa"/>
            <w:tcBorders>
              <w:top w:val="nil"/>
              <w:left w:val="nil"/>
              <w:right w:val="nil"/>
            </w:tcBorders>
          </w:tcPr>
          <w:p w14:paraId="58853D60" w14:textId="77777777" w:rsidR="001E5ED4" w:rsidRPr="00275945" w:rsidRDefault="001E5ED4" w:rsidP="00311459">
            <w:pPr>
              <w:jc w:val="both"/>
              <w:rPr>
                <w:rFonts w:eastAsia="DengXian"/>
                <w:bCs/>
                <w:lang w:eastAsia="zh-CN"/>
              </w:rPr>
            </w:pPr>
            <w:r w:rsidRPr="00275945">
              <w:rPr>
                <w:rFonts w:eastAsia="DengXian"/>
                <w:bCs/>
                <w:lang w:eastAsia="zh-CN"/>
              </w:rPr>
              <w:t>Fructose (µmol/mL)</w:t>
            </w:r>
          </w:p>
        </w:tc>
        <w:tc>
          <w:tcPr>
            <w:tcW w:w="900" w:type="dxa"/>
            <w:tcBorders>
              <w:top w:val="nil"/>
              <w:left w:val="nil"/>
              <w:right w:val="nil"/>
            </w:tcBorders>
          </w:tcPr>
          <w:p w14:paraId="0A905EAD" w14:textId="77777777" w:rsidR="001E5ED4" w:rsidRPr="00275945" w:rsidRDefault="00D331FE" w:rsidP="00311459">
            <w:pPr>
              <w:jc w:val="both"/>
              <w:rPr>
                <w:b/>
              </w:rPr>
            </w:pPr>
            <w:r w:rsidRPr="00275945">
              <w:rPr>
                <w:bCs/>
                <w:lang w:eastAsia="zh-CN"/>
              </w:rPr>
              <w:t>0.177</w:t>
            </w:r>
          </w:p>
        </w:tc>
        <w:tc>
          <w:tcPr>
            <w:tcW w:w="1800" w:type="dxa"/>
            <w:tcBorders>
              <w:top w:val="nil"/>
              <w:left w:val="nil"/>
              <w:right w:val="nil"/>
            </w:tcBorders>
          </w:tcPr>
          <w:p w14:paraId="5F8CBB4F" w14:textId="77777777" w:rsidR="001E5ED4" w:rsidRPr="00275945" w:rsidRDefault="00911906" w:rsidP="00311459">
            <w:pPr>
              <w:jc w:val="both"/>
              <w:rPr>
                <w:b/>
              </w:rPr>
            </w:pPr>
            <w:r w:rsidRPr="00275945">
              <w:rPr>
                <w:bCs/>
                <w:lang w:eastAsia="zh-CN"/>
              </w:rPr>
              <w:t>0.132</w:t>
            </w:r>
          </w:p>
        </w:tc>
        <w:tc>
          <w:tcPr>
            <w:tcW w:w="1620" w:type="dxa"/>
            <w:tcBorders>
              <w:top w:val="nil"/>
              <w:left w:val="nil"/>
              <w:right w:val="nil"/>
            </w:tcBorders>
          </w:tcPr>
          <w:p w14:paraId="34FAA2D6" w14:textId="77777777" w:rsidR="001E5ED4" w:rsidRPr="00275945" w:rsidRDefault="00911906" w:rsidP="00311459">
            <w:pPr>
              <w:jc w:val="both"/>
              <w:rPr>
                <w:b/>
              </w:rPr>
            </w:pPr>
            <w:r w:rsidRPr="00275945">
              <w:rPr>
                <w:bCs/>
                <w:lang w:eastAsia="zh-CN"/>
              </w:rPr>
              <w:t>0.043</w:t>
            </w:r>
          </w:p>
        </w:tc>
        <w:tc>
          <w:tcPr>
            <w:tcW w:w="1440" w:type="dxa"/>
            <w:tcBorders>
              <w:top w:val="nil"/>
              <w:left w:val="nil"/>
              <w:right w:val="nil"/>
            </w:tcBorders>
          </w:tcPr>
          <w:p w14:paraId="0E45BD1E" w14:textId="77777777" w:rsidR="001E5ED4" w:rsidRPr="00275945" w:rsidRDefault="00911906" w:rsidP="00311459">
            <w:pPr>
              <w:jc w:val="both"/>
              <w:rPr>
                <w:b/>
              </w:rPr>
            </w:pPr>
            <w:r w:rsidRPr="00275945">
              <w:rPr>
                <w:bCs/>
                <w:lang w:eastAsia="zh-CN"/>
              </w:rPr>
              <w:t>0.096</w:t>
            </w:r>
          </w:p>
        </w:tc>
        <w:tc>
          <w:tcPr>
            <w:tcW w:w="1440" w:type="dxa"/>
            <w:tcBorders>
              <w:top w:val="nil"/>
              <w:left w:val="nil"/>
              <w:right w:val="nil"/>
            </w:tcBorders>
          </w:tcPr>
          <w:p w14:paraId="2474E56B" w14:textId="77777777" w:rsidR="001E5ED4" w:rsidRPr="00275945" w:rsidRDefault="00911906" w:rsidP="00311459">
            <w:pPr>
              <w:jc w:val="both"/>
              <w:rPr>
                <w:b/>
              </w:rPr>
            </w:pPr>
            <w:r w:rsidRPr="00275945">
              <w:rPr>
                <w:bCs/>
                <w:lang w:eastAsia="zh-CN"/>
              </w:rPr>
              <w:t>0.062</w:t>
            </w:r>
          </w:p>
        </w:tc>
        <w:tc>
          <w:tcPr>
            <w:tcW w:w="1440" w:type="dxa"/>
            <w:tcBorders>
              <w:top w:val="nil"/>
              <w:left w:val="nil"/>
              <w:right w:val="nil"/>
            </w:tcBorders>
          </w:tcPr>
          <w:p w14:paraId="3391F238" w14:textId="77777777" w:rsidR="001E5ED4" w:rsidRPr="00275945" w:rsidRDefault="00911906" w:rsidP="00311459">
            <w:pPr>
              <w:jc w:val="both"/>
            </w:pPr>
            <w:r w:rsidRPr="00275945">
              <w:t>1</w:t>
            </w:r>
          </w:p>
        </w:tc>
      </w:tr>
    </w:tbl>
    <w:p w14:paraId="61EA7FA5" w14:textId="77777777" w:rsidR="009E39AD" w:rsidRPr="00275945" w:rsidRDefault="009E39AD" w:rsidP="00FA38C2">
      <w:pPr>
        <w:pStyle w:val="NormalWeb"/>
        <w:rPr>
          <w:b/>
        </w:rPr>
      </w:pPr>
    </w:p>
    <w:p w14:paraId="7C2FC384" w14:textId="77777777" w:rsidR="0092631B" w:rsidRPr="00275945" w:rsidRDefault="0092631B" w:rsidP="00FA38C2">
      <w:pPr>
        <w:pStyle w:val="NormalWeb"/>
        <w:rPr>
          <w:b/>
        </w:rPr>
      </w:pPr>
      <w:r w:rsidRPr="00275945">
        <w:rPr>
          <w:b/>
        </w:rPr>
        <w:t>DISCUSSION</w:t>
      </w:r>
    </w:p>
    <w:p w14:paraId="4F6C9DCE" w14:textId="77777777" w:rsidR="00FA38C2" w:rsidRPr="00275945" w:rsidRDefault="00BB6C22" w:rsidP="00F42368">
      <w:pPr>
        <w:pStyle w:val="NormalWeb"/>
        <w:spacing w:line="480" w:lineRule="auto"/>
        <w:jc w:val="both"/>
      </w:pPr>
      <w:r w:rsidRPr="00275945">
        <w:t>In the</w:t>
      </w:r>
      <w:r w:rsidR="00FA38C2" w:rsidRPr="00275945">
        <w:t xml:space="preserve"> cross-sectional study</w:t>
      </w:r>
      <w:r w:rsidRPr="00275945">
        <w:t xml:space="preserve">, we </w:t>
      </w:r>
      <w:r w:rsidR="00FA38C2" w:rsidRPr="00275945">
        <w:t>assessed semen parameters and selected seminal plasma biochemical markers among infertile and fertile men attending fertility clinics in Lagos Metropolis. The findings demonstrated significant differences in sperm count, sperm motility,</w:t>
      </w:r>
      <w:r w:rsidR="006F1943" w:rsidRPr="00275945">
        <w:t xml:space="preserve"> fructose,</w:t>
      </w:r>
      <w:r w:rsidR="00FA38C2" w:rsidRPr="00275945">
        <w:t xml:space="preserve"> zinc, </w:t>
      </w:r>
      <w:r w:rsidR="006F1943" w:rsidRPr="00275945">
        <w:t xml:space="preserve">and citric acid, </w:t>
      </w:r>
      <w:r w:rsidR="00FA38C2" w:rsidRPr="00275945">
        <w:t xml:space="preserve">concentrations between infertile and fertile men. </w:t>
      </w:r>
    </w:p>
    <w:p w14:paraId="14EED59C" w14:textId="77777777" w:rsidR="00FA38C2" w:rsidRPr="00275945" w:rsidRDefault="00FA38C2" w:rsidP="00F42368">
      <w:pPr>
        <w:pStyle w:val="NormalWeb"/>
        <w:spacing w:line="480" w:lineRule="auto"/>
        <w:jc w:val="both"/>
      </w:pPr>
      <w:r w:rsidRPr="00275945">
        <w:t>The absence of a statistically significant difference in age between infertile and fertile subjects suggests that both groups were adequately age-matched. This minimizes the confounding effect of age on semen quality and supports the validity of the observed differences in seminal parameters. Similar findings have been reported in previous studies, where no significant age-related differences were observed between infertile and fertile men when appropriate matching was employed (</w:t>
      </w:r>
      <w:r w:rsidR="00B035C3" w:rsidRPr="00275945">
        <w:t xml:space="preserve">Okonofua </w:t>
      </w:r>
      <w:r w:rsidR="00B035C3" w:rsidRPr="00275945">
        <w:rPr>
          <w:i/>
        </w:rPr>
        <w:t>et al.,</w:t>
      </w:r>
      <w:r w:rsidR="00B035C3" w:rsidRPr="00275945">
        <w:t xml:space="preserve"> 2005</w:t>
      </w:r>
      <w:r w:rsidRPr="00275945">
        <w:t>).</w:t>
      </w:r>
    </w:p>
    <w:p w14:paraId="2985791F" w14:textId="463FD57D" w:rsidR="00FA38C2" w:rsidRPr="00275945" w:rsidRDefault="00FA38C2" w:rsidP="00F42368">
      <w:pPr>
        <w:pStyle w:val="NormalWeb"/>
        <w:spacing w:line="480" w:lineRule="auto"/>
        <w:jc w:val="both"/>
      </w:pPr>
      <w:r w:rsidRPr="00275945">
        <w:lastRenderedPageBreak/>
        <w:t>Sperm count was significantly lower among infertile men compared with fertile controls, confirming its central role in male infertility. This finding is consistent with previous studies that identified reduced sperm concentration as a major contributor to impaired fertility, often linked to defective spermatogenesis, testicular dysfunction, or</w:t>
      </w:r>
      <w:r w:rsidR="00B035C3" w:rsidRPr="00275945">
        <w:t xml:space="preserve"> hormonal imbalance </w:t>
      </w:r>
      <w:r w:rsidR="0044673B">
        <w:t>(</w:t>
      </w:r>
      <w:r w:rsidR="0044673B" w:rsidRPr="00275945">
        <w:t>Kumar &amp; Singh, 2015</w:t>
      </w:r>
      <w:r w:rsidRPr="00275945">
        <w:t>). Reduced sperm count directly limits the likelihood of fertilization and remains a critical diagnostic parameter in male infertility.</w:t>
      </w:r>
    </w:p>
    <w:p w14:paraId="00845DA0" w14:textId="77777777" w:rsidR="00FA38C2" w:rsidRPr="00275945" w:rsidRDefault="00FA38C2" w:rsidP="00F42368">
      <w:pPr>
        <w:pStyle w:val="NormalWeb"/>
        <w:spacing w:line="480" w:lineRule="auto"/>
        <w:jc w:val="both"/>
      </w:pPr>
      <w:r w:rsidRPr="00275945">
        <w:t>A progressive decline i</w:t>
      </w:r>
      <w:r w:rsidR="00B035C3" w:rsidRPr="00275945">
        <w:t>n sperm count was observed in</w:t>
      </w:r>
      <w:r w:rsidRPr="00275945">
        <w:t xml:space="preserve"> normospermia infertile and oligospermic men, with complete absence of spermatozoa in azoospermic subjects. This trend reflects increasing severity of spermatogenic impairment. Notably, the reduced sperm count observed in normospermia infertile men, despite values within reference limits, suggests that infertility in this group may involve factors beyond sperm concentration alone, including impaired sperm function or altered seminal plasma composition.</w:t>
      </w:r>
    </w:p>
    <w:p w14:paraId="710881EA" w14:textId="77777777" w:rsidR="00FA38C2" w:rsidRPr="00275945" w:rsidRDefault="00FA38C2" w:rsidP="00F42368">
      <w:pPr>
        <w:pStyle w:val="NormalWeb"/>
        <w:spacing w:line="480" w:lineRule="auto"/>
        <w:jc w:val="both"/>
      </w:pPr>
      <w:r w:rsidRPr="00275945">
        <w:t>In addition, infertile men with non-progressive sperm motility exhibited significantly lower sperm count and motility compared with those with progressive motility. This observation agrees with established evidence showing that reduced progressive motility is a strong predictor of subfertility</w:t>
      </w:r>
      <w:r w:rsidR="00C96909" w:rsidRPr="00275945">
        <w:t xml:space="preserve"> (</w:t>
      </w:r>
      <w:r w:rsidR="00C96909" w:rsidRPr="00275945">
        <w:rPr>
          <w:shd w:val="clear" w:color="auto" w:fill="FFFFFF"/>
        </w:rPr>
        <w:t>Dcunha</w:t>
      </w:r>
      <w:r w:rsidR="00C96909" w:rsidRPr="00275945">
        <w:t xml:space="preserve"> </w:t>
      </w:r>
      <w:r w:rsidR="00C96909" w:rsidRPr="00275945">
        <w:rPr>
          <w:i/>
        </w:rPr>
        <w:t>et al.,</w:t>
      </w:r>
      <w:r w:rsidR="00C96909" w:rsidRPr="00275945">
        <w:t xml:space="preserve"> 2020)</w:t>
      </w:r>
      <w:r w:rsidRPr="00275945">
        <w:t xml:space="preserve"> independent of sperm concentration</w:t>
      </w:r>
      <w:r w:rsidR="00C96909" w:rsidRPr="00275945">
        <w:t xml:space="preserve">. </w:t>
      </w:r>
      <w:r w:rsidRPr="00275945">
        <w:t>Progressive motility reflects the functional competence of spermatozoa and is essential for successful migration through the female reproductive tract and fertilization</w:t>
      </w:r>
      <w:r w:rsidR="00C96909" w:rsidRPr="00275945">
        <w:t xml:space="preserve"> (Xu, 2024</w:t>
      </w:r>
      <w:r w:rsidRPr="00275945">
        <w:t>).</w:t>
      </w:r>
    </w:p>
    <w:p w14:paraId="6E6CD016" w14:textId="77777777" w:rsidR="00FA38C2" w:rsidRPr="00275945" w:rsidRDefault="00FA38C2" w:rsidP="00F42368">
      <w:pPr>
        <w:pStyle w:val="NormalWeb"/>
        <w:spacing w:line="480" w:lineRule="auto"/>
        <w:jc w:val="both"/>
      </w:pPr>
      <w:r w:rsidRPr="00275945">
        <w:t>Sperm motility was markedly reduced among infertile men in the present study, underscoring its critical role in male fertility. Adequate motility is essential for the successful transport of spermatozoa through the female reproductive tract and subsequent penetration of the ovum</w:t>
      </w:r>
      <w:r w:rsidR="00C96909" w:rsidRPr="00275945">
        <w:t xml:space="preserve"> (Xu, 2024).</w:t>
      </w:r>
      <w:r w:rsidRPr="00275945">
        <w:t xml:space="preserve"> Further stratification revealed significant differences </w:t>
      </w:r>
      <w:r w:rsidRPr="00275945">
        <w:lastRenderedPageBreak/>
        <w:t>in sperm motility across infertility categories, with the lowest values observed in p</w:t>
      </w:r>
      <w:r w:rsidR="00C96909" w:rsidRPr="00275945">
        <w:t>rimary infertility, and lower</w:t>
      </w:r>
      <w:r w:rsidRPr="00275945">
        <w:t xml:space="preserve"> levels in secondary </w:t>
      </w:r>
      <w:r w:rsidR="00C96909" w:rsidRPr="00275945">
        <w:t>infertility when compared with the</w:t>
      </w:r>
      <w:r w:rsidRPr="00275945">
        <w:t xml:space="preserve"> fertile controls. This pattern suggests a greater degree of functional impairment in primary infertility, supporting previous findings that associate reduced motility with oxidative stress, mitochondrial dysfunction, and altered seminal plasma composition</w:t>
      </w:r>
      <w:r w:rsidR="008C60E3" w:rsidRPr="00275945">
        <w:t xml:space="preserve"> (</w:t>
      </w:r>
      <w:r w:rsidR="008C60E3" w:rsidRPr="00275945">
        <w:rPr>
          <w:shd w:val="clear" w:color="auto" w:fill="FFFFFF"/>
        </w:rPr>
        <w:t xml:space="preserve">Wang </w:t>
      </w:r>
      <w:r w:rsidR="008C60E3" w:rsidRPr="00275945">
        <w:rPr>
          <w:i/>
          <w:shd w:val="clear" w:color="auto" w:fill="FFFFFF"/>
        </w:rPr>
        <w:t>et a</w:t>
      </w:r>
      <w:r w:rsidR="006B5995" w:rsidRPr="00275945">
        <w:rPr>
          <w:i/>
          <w:shd w:val="clear" w:color="auto" w:fill="FFFFFF"/>
        </w:rPr>
        <w:t>l</w:t>
      </w:r>
      <w:r w:rsidR="008C60E3" w:rsidRPr="00275945">
        <w:rPr>
          <w:shd w:val="clear" w:color="auto" w:fill="FFFFFF"/>
        </w:rPr>
        <w:t>., 2025</w:t>
      </w:r>
      <w:r w:rsidRPr="00275945">
        <w:t>).</w:t>
      </w:r>
    </w:p>
    <w:p w14:paraId="5F77DEBE" w14:textId="77777777" w:rsidR="00FA38C2" w:rsidRPr="00275945" w:rsidRDefault="00FA38C2" w:rsidP="00F42368">
      <w:pPr>
        <w:pStyle w:val="NormalWeb"/>
        <w:spacing w:line="480" w:lineRule="auto"/>
        <w:jc w:val="both"/>
      </w:pPr>
      <w:r w:rsidRPr="00275945">
        <w:t>A similar progressive decline in sperm motility was evident across semen quality groups, being significantly highest in fertile normospermic men and significantly reduced in normospermia infertile and oligospermic subjects, with complete absence of motile sperm in azoospermic men. Reduced motility severely compromises the fertilizing capacity of spermatozoa and may reflect underlying metabolic insufficiency, oxidative damage, or disruption of seminal plasma constituents essential for energy production and membrane stability.</w:t>
      </w:r>
    </w:p>
    <w:p w14:paraId="14A8F784" w14:textId="77777777" w:rsidR="006B5995" w:rsidRPr="00275945" w:rsidRDefault="00FA38C2" w:rsidP="00F42368">
      <w:pPr>
        <w:pStyle w:val="NormalWeb"/>
        <w:spacing w:line="480" w:lineRule="auto"/>
        <w:jc w:val="both"/>
      </w:pPr>
      <w:r w:rsidRPr="00275945">
        <w:t>In addition, infertile men with non-progressive sperm motility exhibited significantly lower sperm motility and sperm count compared with those with progressive motility. This observation aligns with evidence indicating that progressive motility is one of the most reliable predictors of male subfertility</w:t>
      </w:r>
      <w:r w:rsidR="006B5995" w:rsidRPr="00275945">
        <w:t xml:space="preserve"> (Xu, 2024).</w:t>
      </w:r>
    </w:p>
    <w:p w14:paraId="312C4A49" w14:textId="77777777" w:rsidR="006B5995" w:rsidRPr="00275945" w:rsidRDefault="006B5995" w:rsidP="00F42368">
      <w:pPr>
        <w:pStyle w:val="NormalWeb"/>
        <w:spacing w:line="480" w:lineRule="auto"/>
        <w:jc w:val="both"/>
      </w:pPr>
      <w:r w:rsidRPr="00275945">
        <w:t>Seminal fructose concentration was significantly lower in infertile men compared wit</w:t>
      </w:r>
      <w:r w:rsidR="00D672C8" w:rsidRPr="00275945">
        <w:t xml:space="preserve">h fertile controls in the </w:t>
      </w:r>
      <w:r w:rsidRPr="00275945">
        <w:t xml:space="preserve">study. This finding is consistent with previous reports (Ahmed </w:t>
      </w:r>
      <w:r w:rsidRPr="00275945">
        <w:rPr>
          <w:i/>
        </w:rPr>
        <w:t>et al.,</w:t>
      </w:r>
      <w:r w:rsidRPr="00275945">
        <w:t xml:space="preserve"> 2010; Banjoko </w:t>
      </w:r>
      <w:r w:rsidRPr="00275945">
        <w:rPr>
          <w:i/>
        </w:rPr>
        <w:t>et al.,</w:t>
      </w:r>
      <w:r w:rsidRPr="00275945">
        <w:t xml:space="preserve"> 2013), although some studies have reported no significant differences, likely reflecting variations in infertility etiology and seminal vesicle function (</w:t>
      </w:r>
      <w:r w:rsidR="00E55B58" w:rsidRPr="00275945">
        <w:rPr>
          <w:shd w:val="clear" w:color="auto" w:fill="FFFFFF"/>
        </w:rPr>
        <w:t xml:space="preserve">Toragall </w:t>
      </w:r>
      <w:r w:rsidR="00E55B58" w:rsidRPr="00275945">
        <w:rPr>
          <w:i/>
          <w:shd w:val="clear" w:color="auto" w:fill="FFFFFF"/>
        </w:rPr>
        <w:t>et al.,</w:t>
      </w:r>
      <w:r w:rsidR="00E55B58" w:rsidRPr="00275945">
        <w:rPr>
          <w:shd w:val="clear" w:color="auto" w:fill="FFFFFF"/>
        </w:rPr>
        <w:t xml:space="preserve"> 2019</w:t>
      </w:r>
      <w:r w:rsidR="00921B75" w:rsidRPr="00275945">
        <w:t xml:space="preserve"> Al-Daghistani </w:t>
      </w:r>
      <w:r w:rsidR="00921B75" w:rsidRPr="00275945">
        <w:rPr>
          <w:i/>
        </w:rPr>
        <w:t>et al</w:t>
      </w:r>
      <w:r w:rsidR="005C7C58" w:rsidRPr="00275945">
        <w:rPr>
          <w:i/>
        </w:rPr>
        <w:t>.</w:t>
      </w:r>
      <w:r w:rsidR="00985DF4" w:rsidRPr="00275945">
        <w:rPr>
          <w:i/>
        </w:rPr>
        <w:t>,</w:t>
      </w:r>
      <w:r w:rsidR="00921B75" w:rsidRPr="00275945">
        <w:t xml:space="preserve"> 2010</w:t>
      </w:r>
      <w:r w:rsidRPr="00275945">
        <w:t>).</w:t>
      </w:r>
      <w:r w:rsidR="005C7C58" w:rsidRPr="00275945">
        <w:t xml:space="preserve"> However, Ali </w:t>
      </w:r>
      <w:r w:rsidR="005C7C58" w:rsidRPr="00275945">
        <w:rPr>
          <w:i/>
        </w:rPr>
        <w:t>et al.</w:t>
      </w:r>
      <w:r w:rsidR="00921B75" w:rsidRPr="00275945">
        <w:t xml:space="preserve"> (2010) reported signiciantly increased semen plasma concentration in infertile men.</w:t>
      </w:r>
    </w:p>
    <w:p w14:paraId="0B2AA95D" w14:textId="77777777" w:rsidR="006B5995" w:rsidRPr="00275945" w:rsidRDefault="006B5995" w:rsidP="00F42368">
      <w:pPr>
        <w:pStyle w:val="NormalWeb"/>
        <w:spacing w:line="480" w:lineRule="auto"/>
        <w:jc w:val="both"/>
      </w:pPr>
      <w:r w:rsidRPr="00275945">
        <w:lastRenderedPageBreak/>
        <w:t xml:space="preserve">When stratified by fertility status, fructose levels were higher in normospermia fertile and normospermia infertile men compared with oligospermic and azoospermic subjects. </w:t>
      </w:r>
      <w:r w:rsidR="00921B75" w:rsidRPr="00275945">
        <w:t xml:space="preserve">This </w:t>
      </w:r>
      <w:r w:rsidR="006F6E5C" w:rsidRPr="00275945">
        <w:t>finding</w:t>
      </w:r>
      <w:r w:rsidR="00921B75" w:rsidRPr="00275945">
        <w:t xml:space="preserve"> aligns with Ali </w:t>
      </w:r>
      <w:r w:rsidR="00921B75" w:rsidRPr="00275945">
        <w:rPr>
          <w:i/>
        </w:rPr>
        <w:t>et al</w:t>
      </w:r>
      <w:r w:rsidR="00921B75" w:rsidRPr="00275945">
        <w:t xml:space="preserve">. (2010) report. </w:t>
      </w:r>
      <w:r w:rsidRPr="00275945">
        <w:t>The lower fructose observed in oligospermia and azoospermia may contribute to poor motility due to insufficien</w:t>
      </w:r>
      <w:r w:rsidR="00921B75" w:rsidRPr="00275945">
        <w:t>t energy supply. T</w:t>
      </w:r>
      <w:r w:rsidRPr="00275945">
        <w:t>he comparable fructose levels between fertile and infertile normospermic men suggest that seminal vesicle function may be relatively preserved in normospermia infertile subjects, indicating that infertility in this group may be more closely related to sperm functional defects rather than energy availability alone.</w:t>
      </w:r>
    </w:p>
    <w:p w14:paraId="7EB01C43" w14:textId="77777777" w:rsidR="006B5995" w:rsidRPr="00275945" w:rsidRDefault="006B5995" w:rsidP="00F42368">
      <w:pPr>
        <w:pStyle w:val="NormalWeb"/>
        <w:spacing w:line="480" w:lineRule="auto"/>
        <w:jc w:val="both"/>
      </w:pPr>
      <w:r w:rsidRPr="00275945">
        <w:t>Further, infertile men with progressive sperm motility (&gt;32%)</w:t>
      </w:r>
      <w:r w:rsidR="005C7C58" w:rsidRPr="00275945">
        <w:t>,</w:t>
      </w:r>
      <w:r w:rsidRPr="00275945">
        <w:t xml:space="preserve"> exhibited significantly higher sperm count and fructose levels compared with those with non-progressive motility, while zinc and citric acid concentrations were similar between the groups. This pattern suggests that, within infertile cohorts, sperm motility may be more closely associated with energy metabolism and spermatogenic output than with accessory gland secretory function.</w:t>
      </w:r>
    </w:p>
    <w:p w14:paraId="4539417B" w14:textId="77777777" w:rsidR="00FA38C2" w:rsidRPr="00275945" w:rsidRDefault="00FA38C2" w:rsidP="00F42368">
      <w:pPr>
        <w:pStyle w:val="NormalWeb"/>
        <w:spacing w:line="480" w:lineRule="auto"/>
        <w:jc w:val="both"/>
      </w:pPr>
      <w:r w:rsidRPr="00275945">
        <w:t>Seminal plasma zinc was significantly lower in infertile men compared with fertile controls, consistent with studies linking zinc to sperm count, motility, (</w:t>
      </w:r>
      <w:r w:rsidR="005C7C58" w:rsidRPr="00275945">
        <w:rPr>
          <w:shd w:val="clear" w:color="auto" w:fill="FFFFFF"/>
        </w:rPr>
        <w:t xml:space="preserve">Veselinović </w:t>
      </w:r>
      <w:r w:rsidR="005C7C58" w:rsidRPr="00275945">
        <w:rPr>
          <w:i/>
          <w:shd w:val="clear" w:color="auto" w:fill="FFFFFF"/>
        </w:rPr>
        <w:t>et a</w:t>
      </w:r>
      <w:r w:rsidR="005C7C58" w:rsidRPr="00275945">
        <w:rPr>
          <w:shd w:val="clear" w:color="auto" w:fill="FFFFFF"/>
        </w:rPr>
        <w:t>l., 2025</w:t>
      </w:r>
      <w:r w:rsidR="00876457" w:rsidRPr="00275945">
        <w:t>)</w:t>
      </w:r>
      <w:r w:rsidRPr="00275945">
        <w:t>. Both primary and secondary infertile men had significantly reduced zinc levels, suggesting a common feature of impaired fertility.</w:t>
      </w:r>
    </w:p>
    <w:p w14:paraId="4091F15D" w14:textId="77777777" w:rsidR="00FA38C2" w:rsidRPr="00275945" w:rsidRDefault="00FA38C2" w:rsidP="00F42368">
      <w:pPr>
        <w:pStyle w:val="NormalWeb"/>
        <w:spacing w:line="480" w:lineRule="auto"/>
        <w:jc w:val="both"/>
      </w:pPr>
      <w:r w:rsidRPr="00275945">
        <w:t>Zinc was highest in fertile normospermic men and significantly lower</w:t>
      </w:r>
      <w:r w:rsidR="00E505A7" w:rsidRPr="00275945">
        <w:t>s</w:t>
      </w:r>
      <w:r w:rsidRPr="00275945">
        <w:t xml:space="preserve"> in normospermia infertile, oligospermic, and azoospermic subjects, likely reflecting impaired prostatic function or increased zinc utilization. Among infertile men, zinc levels did no</w:t>
      </w:r>
      <w:r w:rsidR="00E505A7" w:rsidRPr="00275945">
        <w:t xml:space="preserve">t differ </w:t>
      </w:r>
      <w:r w:rsidRPr="00275945">
        <w:t xml:space="preserve">significantly between non-progressive and progressive motility groups, aligning with </w:t>
      </w:r>
      <w:r w:rsidRPr="00275945">
        <w:lastRenderedPageBreak/>
        <w:t>reports that seminal zinc may not consistently predict motility (</w:t>
      </w:r>
      <w:r w:rsidR="00E505A7" w:rsidRPr="00275945">
        <w:rPr>
          <w:shd w:val="clear" w:color="auto" w:fill="FFFFFF"/>
        </w:rPr>
        <w:t>Allouche-Fitoussi and Breitbart, 2020</w:t>
      </w:r>
      <w:r w:rsidRPr="00275945">
        <w:t>).</w:t>
      </w:r>
    </w:p>
    <w:p w14:paraId="39E542EB" w14:textId="77777777" w:rsidR="00FA38C2" w:rsidRPr="00275945" w:rsidRDefault="00FA38C2" w:rsidP="00F42368">
      <w:pPr>
        <w:pStyle w:val="NormalWeb"/>
        <w:spacing w:line="480" w:lineRule="auto"/>
        <w:jc w:val="both"/>
      </w:pPr>
      <w:r w:rsidRPr="00275945">
        <w:t>Citric acid concentration was also significantly reduced among infertile men</w:t>
      </w:r>
      <w:r w:rsidR="00E505A7" w:rsidRPr="00275945">
        <w:t xml:space="preserve"> compared with fertile controls</w:t>
      </w:r>
      <w:r w:rsidRPr="00275945">
        <w:t>. Reduced citric acid levels have been associated with impaired semen liquefaction and reduced sperm motility</w:t>
      </w:r>
      <w:r w:rsidR="00E505A7" w:rsidRPr="00275945">
        <w:rPr>
          <w:shd w:val="clear" w:color="auto" w:fill="FFFFFF"/>
        </w:rPr>
        <w:t xml:space="preserve"> (van den Berg </w:t>
      </w:r>
      <w:r w:rsidR="00E505A7" w:rsidRPr="00275945">
        <w:rPr>
          <w:i/>
          <w:shd w:val="clear" w:color="auto" w:fill="FFFFFF"/>
        </w:rPr>
        <w:t>et al.,</w:t>
      </w:r>
      <w:r w:rsidR="00E505A7" w:rsidRPr="00275945">
        <w:rPr>
          <w:shd w:val="clear" w:color="auto" w:fill="FFFFFF"/>
        </w:rPr>
        <w:t xml:space="preserve"> 2024)</w:t>
      </w:r>
      <w:r w:rsidRPr="00275945">
        <w:t>. This finding is consistent with reports, who documented significantly lower seminal citric acid levels in infertile men</w:t>
      </w:r>
      <w:r w:rsidR="00E505A7" w:rsidRPr="00275945">
        <w:rPr>
          <w:shd w:val="clear" w:color="auto" w:fill="FFFFFF"/>
        </w:rPr>
        <w:t xml:space="preserve"> (Gruhl </w:t>
      </w:r>
      <w:r w:rsidR="00E505A7" w:rsidRPr="00275945">
        <w:rPr>
          <w:i/>
          <w:shd w:val="clear" w:color="auto" w:fill="FFFFFF"/>
        </w:rPr>
        <w:t>et al</w:t>
      </w:r>
      <w:r w:rsidR="00E505A7" w:rsidRPr="00275945">
        <w:rPr>
          <w:shd w:val="clear" w:color="auto" w:fill="FFFFFF"/>
        </w:rPr>
        <w:t>., 2023)</w:t>
      </w:r>
      <w:r w:rsidRPr="00275945">
        <w:t>, suggesting compromised prostatic secretory activity.</w:t>
      </w:r>
    </w:p>
    <w:p w14:paraId="2B450BD0" w14:textId="77777777" w:rsidR="00FA38C2" w:rsidRPr="00275945" w:rsidRDefault="00FA38C2" w:rsidP="00F42368">
      <w:pPr>
        <w:spacing w:line="480" w:lineRule="auto"/>
        <w:jc w:val="both"/>
        <w:rPr>
          <w:rStyle w:val="Strong"/>
          <w:b w:val="0"/>
          <w:bCs w:val="0"/>
        </w:rPr>
      </w:pPr>
      <w:r w:rsidRPr="00275945">
        <w:t>Citric acid, a key marker of prostatic function, was also significantly elevated in normospermia fertile men, whereas significantly lower concentrations were recorded in all infertile groups. Reduced citric acid levels may reflect compromised prostate gland activity, which can adversely affect semen l</w:t>
      </w:r>
      <w:r w:rsidR="003110BF" w:rsidRPr="00275945">
        <w:t xml:space="preserve">iquefaction and sperm motility. </w:t>
      </w:r>
      <w:r w:rsidRPr="00275945">
        <w:t>Citric acid levels were also significantly lower in both primary and secondary infertile men, relative to fertile men, suggesting compromised prostatic function irrespective of infertility type. This finding agrees with previous studies reporting reduced seminal citric acid in infertile men and its asso</w:t>
      </w:r>
      <w:r w:rsidR="003110BF" w:rsidRPr="00275945">
        <w:t>ciation with poor semen quality.</w:t>
      </w:r>
    </w:p>
    <w:p w14:paraId="12E2E742" w14:textId="77777777" w:rsidR="003110BF" w:rsidRPr="00275945" w:rsidRDefault="003110BF" w:rsidP="00F42368">
      <w:pPr>
        <w:spacing w:line="480" w:lineRule="auto"/>
        <w:jc w:val="both"/>
        <w:rPr>
          <w:rStyle w:val="Strong"/>
          <w:b w:val="0"/>
        </w:rPr>
      </w:pPr>
    </w:p>
    <w:p w14:paraId="25CE8766" w14:textId="77777777" w:rsidR="0092631B" w:rsidRPr="00275945" w:rsidRDefault="00B35F60" w:rsidP="00F42368">
      <w:pPr>
        <w:spacing w:line="480" w:lineRule="auto"/>
        <w:jc w:val="both"/>
      </w:pPr>
      <w:r w:rsidRPr="00275945">
        <w:rPr>
          <w:rStyle w:val="Strong"/>
          <w:b w:val="0"/>
        </w:rPr>
        <w:t>C</w:t>
      </w:r>
      <w:r w:rsidR="00FA38C2" w:rsidRPr="00275945">
        <w:rPr>
          <w:rStyle w:val="Strong"/>
          <w:b w:val="0"/>
        </w:rPr>
        <w:t>itric acid</w:t>
      </w:r>
      <w:r w:rsidR="00FA38C2" w:rsidRPr="00275945">
        <w:t xml:space="preserve"> levels did not differ significantly between the non-progressive and progressive sperm cells in infertile men. Citric acid, a major component of prostatic fluid, has been studied as a marker of prostate gland function. Although some studies report correlations between lower citric acid and impaired semen quality (</w:t>
      </w:r>
      <w:r w:rsidR="003110BF" w:rsidRPr="00275945">
        <w:t xml:space="preserve">Toragall </w:t>
      </w:r>
      <w:r w:rsidR="00FA38C2" w:rsidRPr="00275945">
        <w:rPr>
          <w:rStyle w:val="Emphasis"/>
        </w:rPr>
        <w:t>et al.</w:t>
      </w:r>
      <w:r w:rsidR="00FA38C2" w:rsidRPr="00275945">
        <w:t xml:space="preserve">, 2016), others indicate that changes in prostatic secretions may not be sufficiently large to distinguish between motility subgroups within infertile populations. This suggests that while citric acid </w:t>
      </w:r>
      <w:r w:rsidR="00FA38C2" w:rsidRPr="00275945">
        <w:lastRenderedPageBreak/>
        <w:t>reflects accessory gland function, it may not be sensitive enough as a standalone predictor of motility impairment.</w:t>
      </w:r>
    </w:p>
    <w:p w14:paraId="7F2D2546" w14:textId="77777777" w:rsidR="00EC5677" w:rsidRPr="00275945" w:rsidRDefault="00EC5677" w:rsidP="00F42368">
      <w:pPr>
        <w:pStyle w:val="NormalWeb"/>
        <w:spacing w:line="480" w:lineRule="auto"/>
        <w:jc w:val="both"/>
      </w:pPr>
      <w:r w:rsidRPr="00275945">
        <w:t xml:space="preserve">Correlation analysis of seminal parameters and biochemical markers revealed age showed a negative correlation with sperm count (r = -0.330) but a weaker correlation with motility (r = -0.184), suggesting that increasing age may primarily reduce sperm </w:t>
      </w:r>
      <w:r w:rsidR="00F9391B" w:rsidRPr="00275945">
        <w:t>production rather than motility</w:t>
      </w:r>
      <w:r w:rsidR="005857DF" w:rsidRPr="00275945">
        <w:t xml:space="preserve">. </w:t>
      </w:r>
      <w:r w:rsidRPr="00275945">
        <w:t>Sperm count and motility were weakly positively correlated (r = 0.080), indicating that although related, each parameter may be independently influenced by other physiological or environmental factors.</w:t>
      </w:r>
      <w:r w:rsidR="00F9391B" w:rsidRPr="00275945">
        <w:t xml:space="preserve"> Fructose displayed weak positive correlations with all measured parameters, suggesting that its concentration alone may not strongly influence sperm count or motility, though it remains essential for sperm energy metabolism.</w:t>
      </w:r>
      <w:r w:rsidRPr="00275945">
        <w:t xml:space="preserve"> Seminal zinc exhibited a strong negative correlation with age (r = -0.629), reflecting potential declines in prostatic secretory function over. Weak negative correlations with sperm count and motility suggest that zinc contributes to sperm quality but is not the sole determinant.</w:t>
      </w:r>
      <w:r w:rsidR="00BC3E71" w:rsidRPr="00275945">
        <w:t xml:space="preserve"> </w:t>
      </w:r>
      <w:r w:rsidR="00CA748F" w:rsidRPr="00275945">
        <w:t>Citric acid showed a weak</w:t>
      </w:r>
      <w:r w:rsidRPr="00275945">
        <w:t xml:space="preserve"> positive correlation with zinc (r = 0.424) and weak negative correlations with age and sperm parameters, highlighting its role in reflecting accessory gland activity rather than dire</w:t>
      </w:r>
      <w:r w:rsidR="005857DF" w:rsidRPr="00275945">
        <w:t xml:space="preserve">ctly affecting spermatogenesis. </w:t>
      </w:r>
    </w:p>
    <w:p w14:paraId="01FBEABD" w14:textId="77777777" w:rsidR="00A55B09" w:rsidRPr="00275945" w:rsidRDefault="0033062E" w:rsidP="00311459">
      <w:pPr>
        <w:jc w:val="both"/>
        <w:rPr>
          <w:b/>
        </w:rPr>
      </w:pPr>
      <w:r w:rsidRPr="00275945">
        <w:rPr>
          <w:b/>
        </w:rPr>
        <w:t>CONCLUSION</w:t>
      </w:r>
    </w:p>
    <w:p w14:paraId="38691553" w14:textId="77777777" w:rsidR="00C35C17" w:rsidRPr="00275945" w:rsidRDefault="00C35C17" w:rsidP="00311459">
      <w:pPr>
        <w:jc w:val="both"/>
        <w:rPr>
          <w:b/>
        </w:rPr>
      </w:pPr>
    </w:p>
    <w:p w14:paraId="3263E1A1" w14:textId="77777777" w:rsidR="00A55B09" w:rsidRPr="00275945" w:rsidRDefault="00C35C17" w:rsidP="00F42368">
      <w:pPr>
        <w:spacing w:line="480" w:lineRule="auto"/>
        <w:jc w:val="both"/>
        <w:rPr>
          <w:b/>
        </w:rPr>
      </w:pPr>
      <w:r w:rsidRPr="00275945">
        <w:t>The semen plasma fructose, zinc and citric acid were significantly lower in infertile men compared to the fertile men. The findings support the limitation of relying solely on routine semen analysis for infertility evaluation. Incorporating seminal plasma biochemical markers alongside conventional semen parameters may provide a more comprehensive understanding of male infertility and improve diagnostic accuracy, particularly in resource-</w:t>
      </w:r>
      <w:r w:rsidRPr="00275945">
        <w:lastRenderedPageBreak/>
        <w:t>limited settings where male infertility remains under-recognized and inadequately managed.</w:t>
      </w:r>
    </w:p>
    <w:p w14:paraId="38FEF91B" w14:textId="77777777" w:rsidR="002236E7" w:rsidRPr="002236E7" w:rsidRDefault="002236E7" w:rsidP="002236E7">
      <w:pPr>
        <w:rPr>
          <w:rFonts w:eastAsia="Calibri"/>
          <w:kern w:val="2"/>
          <w:sz w:val="22"/>
          <w:szCs w:val="22"/>
          <w:highlight w:val="yellow"/>
        </w:rPr>
      </w:pPr>
      <w:bookmarkStart w:id="0" w:name="_Hlk198031404"/>
      <w:bookmarkStart w:id="1" w:name="_Hlk219125673"/>
      <w:r w:rsidRPr="002236E7">
        <w:rPr>
          <w:rFonts w:eastAsia="Calibri"/>
          <w:kern w:val="2"/>
          <w:sz w:val="22"/>
          <w:szCs w:val="22"/>
          <w:highlight w:val="yellow"/>
        </w:rPr>
        <w:t>Disclaimer (Artificial intelligence)</w:t>
      </w:r>
    </w:p>
    <w:p w14:paraId="28A75BC6" w14:textId="77777777" w:rsidR="002236E7" w:rsidRPr="002236E7" w:rsidRDefault="002236E7" w:rsidP="002236E7">
      <w:pPr>
        <w:rPr>
          <w:rFonts w:eastAsia="Calibri"/>
          <w:kern w:val="2"/>
          <w:sz w:val="22"/>
          <w:szCs w:val="22"/>
          <w:highlight w:val="yellow"/>
        </w:rPr>
      </w:pPr>
    </w:p>
    <w:p w14:paraId="3778820A" w14:textId="77777777" w:rsidR="002236E7" w:rsidRPr="002236E7" w:rsidRDefault="002236E7" w:rsidP="002236E7">
      <w:pPr>
        <w:rPr>
          <w:rFonts w:eastAsia="Calibri"/>
          <w:kern w:val="2"/>
          <w:sz w:val="22"/>
          <w:szCs w:val="22"/>
          <w:highlight w:val="yellow"/>
        </w:rPr>
      </w:pPr>
      <w:r w:rsidRPr="002236E7">
        <w:rPr>
          <w:rFonts w:eastAsia="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25217B92" w14:textId="77777777" w:rsidR="002236E7" w:rsidRPr="002236E7" w:rsidRDefault="002236E7" w:rsidP="002236E7">
      <w:pPr>
        <w:spacing w:after="200" w:line="276" w:lineRule="auto"/>
        <w:rPr>
          <w:rFonts w:ascii="Calibri" w:eastAsia="Calibri" w:hAnsi="Calibri"/>
          <w:sz w:val="28"/>
          <w:szCs w:val="22"/>
        </w:rPr>
      </w:pPr>
    </w:p>
    <w:bookmarkEnd w:id="1"/>
    <w:p w14:paraId="29277B30" w14:textId="77777777" w:rsidR="00B47B18" w:rsidRPr="00275945" w:rsidRDefault="00B47B18" w:rsidP="00B47B18">
      <w:pPr>
        <w:pStyle w:val="Default"/>
        <w:rPr>
          <w:rFonts w:ascii="Times New Roman" w:hAnsi="Times New Roman" w:cs="Times New Roman"/>
          <w:color w:val="auto"/>
        </w:rPr>
      </w:pPr>
    </w:p>
    <w:p w14:paraId="6AADB15C" w14:textId="77777777" w:rsidR="00D7617F" w:rsidRPr="00275945" w:rsidRDefault="00D7617F" w:rsidP="00311459">
      <w:pPr>
        <w:jc w:val="both"/>
        <w:rPr>
          <w:b/>
        </w:rPr>
      </w:pPr>
    </w:p>
    <w:p w14:paraId="2479F6DB" w14:textId="77777777" w:rsidR="0007314A" w:rsidRPr="00275945" w:rsidRDefault="00B35F60" w:rsidP="0007314A">
      <w:pPr>
        <w:jc w:val="both"/>
        <w:rPr>
          <w:b/>
        </w:rPr>
      </w:pPr>
      <w:r w:rsidRPr="00275945">
        <w:rPr>
          <w:b/>
        </w:rPr>
        <w:t>REFERENCES</w:t>
      </w:r>
    </w:p>
    <w:p w14:paraId="760000A1" w14:textId="77777777" w:rsidR="0007314A" w:rsidRPr="00275945" w:rsidRDefault="0007314A" w:rsidP="0007314A">
      <w:pPr>
        <w:jc w:val="both"/>
        <w:rPr>
          <w:b/>
        </w:rPr>
      </w:pPr>
    </w:p>
    <w:p w14:paraId="79250EDB" w14:textId="77777777" w:rsidR="0007314A" w:rsidRPr="00275945" w:rsidRDefault="0007314A" w:rsidP="0007314A">
      <w:pPr>
        <w:ind w:left="720" w:hanging="720"/>
        <w:jc w:val="both"/>
        <w:rPr>
          <w:b/>
        </w:rPr>
      </w:pPr>
      <w:r w:rsidRPr="00275945">
        <w:t xml:space="preserve">Agarwal, A., Mulgund, A., Hamada, A., &amp; Chyatte, M. R. (2015). A unique view on male infertility around the globe. </w:t>
      </w:r>
      <w:r w:rsidRPr="00275945">
        <w:rPr>
          <w:rStyle w:val="Emphasis"/>
        </w:rPr>
        <w:t>Reproductive Biology and Endocrinology, 13</w:t>
      </w:r>
      <w:r w:rsidRPr="00275945">
        <w:t>, 37. https://doi.org/10.1186/s12958-015-0032-1</w:t>
      </w:r>
    </w:p>
    <w:p w14:paraId="1DB7D6D4" w14:textId="77777777" w:rsidR="0007314A" w:rsidRPr="00275945" w:rsidRDefault="0007314A" w:rsidP="0007314A">
      <w:pPr>
        <w:pStyle w:val="NormalWeb"/>
        <w:ind w:left="720" w:hanging="720"/>
        <w:jc w:val="both"/>
      </w:pPr>
      <w:r w:rsidRPr="00275945">
        <w:t xml:space="preserve">Al-Daghistani, H. I., Hamad, A.-W. R., Abdel-Dayem, M., Al-Swaifi, M., &amp; Abu Zaid, M. (2010). Evaluation of serum testosterone, progesterone, seminal antisperm antibody, and fructose levels among Jordanian males with a history of infertility. </w:t>
      </w:r>
      <w:r w:rsidRPr="00275945">
        <w:rPr>
          <w:rStyle w:val="Emphasis"/>
        </w:rPr>
        <w:t>Biochemistry Research International, 2010</w:t>
      </w:r>
      <w:r w:rsidRPr="00275945">
        <w:t>, 409640. https://doi.org/10.1155/2010/409640</w:t>
      </w:r>
    </w:p>
    <w:p w14:paraId="30B952D1" w14:textId="77777777" w:rsidR="0007314A" w:rsidRPr="00275945" w:rsidRDefault="0007314A" w:rsidP="0007314A">
      <w:pPr>
        <w:pStyle w:val="NormalWeb"/>
        <w:ind w:left="720" w:hanging="720"/>
        <w:jc w:val="both"/>
      </w:pPr>
      <w:r w:rsidRPr="00275945">
        <w:t xml:space="preserve">Ali, D. T., Al-Ani, A. W., Rzoqi, S. S., &amp; Hussain, N. K. (2011). A comparative study of fructose, zinc and copper levels in seminal plasma in fertile and infertile men. </w:t>
      </w:r>
      <w:r w:rsidRPr="00275945">
        <w:rPr>
          <w:rStyle w:val="Emphasis"/>
        </w:rPr>
        <w:t>Iraqi Journal of Medical Sciences, 9</w:t>
      </w:r>
      <w:r w:rsidRPr="00275945">
        <w:t>, 48–58.</w:t>
      </w:r>
    </w:p>
    <w:p w14:paraId="50AAE08F" w14:textId="77777777" w:rsidR="0007314A" w:rsidRPr="00275945" w:rsidRDefault="0007314A" w:rsidP="0007314A">
      <w:pPr>
        <w:pStyle w:val="NormalWeb"/>
        <w:ind w:left="720" w:hanging="720"/>
        <w:jc w:val="both"/>
      </w:pPr>
      <w:r w:rsidRPr="00275945">
        <w:t xml:space="preserve">Allouche-Fitoussi, D., &amp; Breitbart, H. (2020). The role of zinc in male fertility. </w:t>
      </w:r>
      <w:r w:rsidRPr="00275945">
        <w:rPr>
          <w:rStyle w:val="Emphasis"/>
        </w:rPr>
        <w:t>International Journal of Molecular Sciences, 21</w:t>
      </w:r>
      <w:r w:rsidRPr="00275945">
        <w:t xml:space="preserve">(20), 7796. </w:t>
      </w:r>
      <w:hyperlink r:id="rId6" w:tgtFrame="_new" w:history="1">
        <w:r w:rsidRPr="00275945">
          <w:rPr>
            <w:rStyle w:val="Hyperlink"/>
            <w:color w:val="auto"/>
            <w:u w:val="none"/>
          </w:rPr>
          <w:t>https://doi.org/10.3390/ijms21207796</w:t>
        </w:r>
      </w:hyperlink>
    </w:p>
    <w:p w14:paraId="4675B679" w14:textId="77777777" w:rsidR="0007314A" w:rsidRPr="00275945" w:rsidRDefault="0007314A" w:rsidP="0007314A">
      <w:pPr>
        <w:pStyle w:val="NormalWeb"/>
        <w:ind w:left="720" w:hanging="720"/>
        <w:jc w:val="both"/>
      </w:pPr>
      <w:r w:rsidRPr="00275945">
        <w:t xml:space="preserve">Bouhadana, D., Godin Pagé, M. H., Montjean, D., Bélanger, M. C., Benkhalifa, M., Miron, P., &amp; Petrella, F. (2025). The role of antioxidants in male fertility: A comprehensive review of mechanisms and clinical applications. </w:t>
      </w:r>
      <w:r w:rsidRPr="00275945">
        <w:rPr>
          <w:rStyle w:val="Emphasis"/>
        </w:rPr>
        <w:t>Antioxidants, 14</w:t>
      </w:r>
      <w:r w:rsidRPr="00275945">
        <w:t>(8), 1013. https://doi.org/10.3390/antiox14081013</w:t>
      </w:r>
    </w:p>
    <w:p w14:paraId="2CE628B5" w14:textId="77777777" w:rsidR="0007314A" w:rsidRPr="002236E7" w:rsidRDefault="0007314A" w:rsidP="0007314A">
      <w:pPr>
        <w:pStyle w:val="NormalWeb"/>
        <w:ind w:left="720" w:hanging="720"/>
        <w:jc w:val="both"/>
        <w:rPr>
          <w:lang w:val="fr-FR"/>
        </w:rPr>
      </w:pPr>
      <w:r w:rsidRPr="00275945">
        <w:t xml:space="preserve">Dcunha, R., Hussein, R. S., Ananda, H., Kumari, S., Adiga, S. K., Kannan, N., Zhao, Y., &amp; Kalthur, G. (2022). Current insights and latest updates in sperm motility and associated applications in assisted reproduction. </w:t>
      </w:r>
      <w:r w:rsidRPr="002236E7">
        <w:rPr>
          <w:rStyle w:val="Emphasis"/>
          <w:lang w:val="fr-FR"/>
        </w:rPr>
        <w:t>Reproductive Sciences, 29</w:t>
      </w:r>
      <w:r w:rsidRPr="002236E7">
        <w:rPr>
          <w:lang w:val="fr-FR"/>
        </w:rPr>
        <w:t>(1), 7–25. https://doi.org/10.1007/s43032-020-00408-y</w:t>
      </w:r>
    </w:p>
    <w:p w14:paraId="14B47F0C" w14:textId="77777777" w:rsidR="0007314A" w:rsidRPr="00E654DD" w:rsidRDefault="0007314A" w:rsidP="0007314A">
      <w:pPr>
        <w:pStyle w:val="NormalWeb"/>
        <w:ind w:left="720" w:hanging="720"/>
        <w:jc w:val="both"/>
        <w:rPr>
          <w:lang w:val="es-US"/>
        </w:rPr>
      </w:pPr>
      <w:r w:rsidRPr="002236E7">
        <w:rPr>
          <w:lang w:val="fr-FR"/>
        </w:rPr>
        <w:t xml:space="preserve">Duvuru, R., Halabi, M., Omolaoye, T. S., &amp; Du Plessis, S. S. (2022). </w:t>
      </w:r>
      <w:r w:rsidRPr="00275945">
        <w:t xml:space="preserve">The genetic causes of male infertility: A Middle East and North Africa perspective. </w:t>
      </w:r>
      <w:r w:rsidRPr="00E654DD">
        <w:rPr>
          <w:rStyle w:val="Emphasis"/>
          <w:lang w:val="es-US"/>
        </w:rPr>
        <w:t>F1000Research, 11</w:t>
      </w:r>
      <w:r w:rsidRPr="00E654DD">
        <w:rPr>
          <w:lang w:val="es-US"/>
        </w:rPr>
        <w:t>, 125. https://doi.org/10.12688/f1000research.109834.1</w:t>
      </w:r>
    </w:p>
    <w:p w14:paraId="6B7ABA49" w14:textId="77777777" w:rsidR="0007314A" w:rsidRPr="00E654DD" w:rsidRDefault="0007314A" w:rsidP="0007314A">
      <w:pPr>
        <w:pStyle w:val="NormalWeb"/>
        <w:ind w:left="720" w:hanging="720"/>
        <w:jc w:val="both"/>
        <w:rPr>
          <w:lang w:val="es-US"/>
        </w:rPr>
      </w:pPr>
      <w:r w:rsidRPr="00E654DD">
        <w:rPr>
          <w:lang w:val="es-US"/>
        </w:rPr>
        <w:lastRenderedPageBreak/>
        <w:t xml:space="preserve">Echeverría, C. E., Oyarzún, V. I., López-Cortés, A., Cancino, J., Sotomayor, P. C., Goncalves, M. D., &amp; Godoy, A. S. (2024). </w:t>
      </w:r>
      <w:r w:rsidRPr="00275945">
        <w:t xml:space="preserve">Biological role of fructose in the male reproductive system: Potential implications for prostate cancer. </w:t>
      </w:r>
      <w:r w:rsidRPr="00E654DD">
        <w:rPr>
          <w:rStyle w:val="Emphasis"/>
          <w:lang w:val="es-US"/>
        </w:rPr>
        <w:t>Prostate, 84</w:t>
      </w:r>
      <w:r w:rsidRPr="00E654DD">
        <w:rPr>
          <w:lang w:val="es-US"/>
        </w:rPr>
        <w:t>(1), 8–24. https://doi.org/10.1002/pros.24631</w:t>
      </w:r>
    </w:p>
    <w:p w14:paraId="4317DCC0" w14:textId="77777777" w:rsidR="0007314A" w:rsidRPr="00275945" w:rsidRDefault="0007314A" w:rsidP="0007314A">
      <w:pPr>
        <w:pStyle w:val="NormalWeb"/>
        <w:ind w:left="720" w:hanging="720"/>
        <w:jc w:val="both"/>
      </w:pPr>
      <w:r w:rsidRPr="0044673B">
        <w:rPr>
          <w:lang w:val="es-US"/>
        </w:rPr>
        <w:t xml:space="preserve">Esteves, S. C., Humaidan, P., Ubaldi, F. M., Alviggi, C., Antonio, L., Barratt, C. L. R., Behre, H. M., Jørgensen, N., Pacey, A. A., Simoni, M., &amp; Santi, D. (2024). </w:t>
      </w:r>
      <w:r w:rsidRPr="00275945">
        <w:t xml:space="preserve">APHRODITE criteria: Addressing male patients with hypogonadism and/or infertility owing to altered idiopathic testicular function. </w:t>
      </w:r>
      <w:r w:rsidRPr="00275945">
        <w:rPr>
          <w:rStyle w:val="Emphasis"/>
        </w:rPr>
        <w:t>Reproductive Biomedicine Online, 48</w:t>
      </w:r>
      <w:r w:rsidRPr="00275945">
        <w:t>(4), 103647. https://doi.org/10.1016/j.rbmo.2023.103647</w:t>
      </w:r>
    </w:p>
    <w:p w14:paraId="057C891F" w14:textId="77777777" w:rsidR="0007314A" w:rsidRPr="00275945" w:rsidRDefault="0007314A" w:rsidP="0007314A">
      <w:pPr>
        <w:pStyle w:val="NormalWeb"/>
        <w:ind w:left="720" w:hanging="720"/>
        <w:jc w:val="both"/>
      </w:pPr>
      <w:r w:rsidRPr="00275945">
        <w:t xml:space="preserve">Fallah, A., Mohammad-Hasani, A., &amp; Colagar, A. H. (2018). Zinc is an essential element for male fertility: A review of Zn roles in men's health, germination, sperm quality, and fertilization. </w:t>
      </w:r>
      <w:r w:rsidRPr="00275945">
        <w:rPr>
          <w:rStyle w:val="Emphasis"/>
        </w:rPr>
        <w:t>Journal of Reproduction and Infertility, 19</w:t>
      </w:r>
      <w:r w:rsidRPr="00275945">
        <w:t>(2), 69–81.</w:t>
      </w:r>
    </w:p>
    <w:p w14:paraId="15A515CC" w14:textId="77777777" w:rsidR="0007314A" w:rsidRPr="00275945" w:rsidRDefault="0007314A" w:rsidP="0007314A">
      <w:pPr>
        <w:pStyle w:val="NormalWeb"/>
        <w:ind w:left="720" w:hanging="720"/>
        <w:jc w:val="both"/>
      </w:pPr>
      <w:r w:rsidRPr="00275945">
        <w:t xml:space="preserve">Gedef, G. M., Taye, E. B., Mohammed, O. Y., Abegaz, M. Y., Asratie, M. H., &amp; Andualem, F. (2025). Prevalence of infertility and its risk factors in Sub-Saharan Africa: A systematic review and meta-analysis. </w:t>
      </w:r>
      <w:r w:rsidRPr="00275945">
        <w:rPr>
          <w:rStyle w:val="Emphasis"/>
        </w:rPr>
        <w:t>Contraception and Reproductive Medicine, 10</w:t>
      </w:r>
      <w:r w:rsidRPr="00275945">
        <w:t>(1), 73. https://doi.org/10.1186/s40834-025-00411-1</w:t>
      </w:r>
    </w:p>
    <w:p w14:paraId="7941FB0A" w14:textId="77777777" w:rsidR="0007314A" w:rsidRPr="00275945" w:rsidRDefault="0007314A" w:rsidP="0007314A">
      <w:pPr>
        <w:pStyle w:val="NormalWeb"/>
        <w:ind w:left="720" w:hanging="720"/>
        <w:jc w:val="both"/>
      </w:pPr>
      <w:r w:rsidRPr="00275945">
        <w:t xml:space="preserve">Gruhl, S. L., Ho, L. M., Sim, M. Y. X., Lee, S. N., Yu, S. L., Yong, T. T., Lim, L. S., &amp; Rajesh, H. (2023). Seminal biomarkers and their correlations to semen parameters in subfertile men. </w:t>
      </w:r>
      <w:r w:rsidRPr="00275945">
        <w:rPr>
          <w:rStyle w:val="Emphasis"/>
        </w:rPr>
        <w:t>European Journal of Obstetrics &amp; Gynecology and Reproductive Biology X, 19</w:t>
      </w:r>
      <w:r w:rsidRPr="00275945">
        <w:t xml:space="preserve">, 100229. </w:t>
      </w:r>
      <w:hyperlink r:id="rId7" w:tgtFrame="_new" w:history="1">
        <w:r w:rsidRPr="00275945">
          <w:rPr>
            <w:rStyle w:val="Hyperlink"/>
            <w:color w:val="auto"/>
            <w:u w:val="none"/>
          </w:rPr>
          <w:t>https://doi.org/10.1016/j.eurox.2023.100229</w:t>
        </w:r>
      </w:hyperlink>
    </w:p>
    <w:p w14:paraId="734896DB" w14:textId="77777777" w:rsidR="0007314A" w:rsidRPr="00275945" w:rsidRDefault="0007314A" w:rsidP="0007314A">
      <w:pPr>
        <w:pStyle w:val="NormalWeb"/>
        <w:ind w:left="720" w:hanging="720"/>
        <w:jc w:val="both"/>
      </w:pPr>
      <w:r w:rsidRPr="00275945">
        <w:t xml:space="preserve">Hassan, M., Flanagan, T. W., Eshaq, A. M., Altamimi, O. K., Altalag, H., Alsharif, M., Alshammari, N., Alkhalidi, T., Boulifa, A., El Jamal, S. M., Haikel, Y., &amp; Megahed, M. (2025). Reduction of prostate cancer risk: Role of frequent ejaculation-associated mechanisms. </w:t>
      </w:r>
      <w:r w:rsidRPr="00275945">
        <w:rPr>
          <w:rStyle w:val="Emphasis"/>
        </w:rPr>
        <w:t>Cancers, 17</w:t>
      </w:r>
      <w:r w:rsidRPr="00275945">
        <w:t xml:space="preserve">(5), 843. </w:t>
      </w:r>
      <w:hyperlink r:id="rId8" w:tgtFrame="_new" w:history="1">
        <w:r w:rsidRPr="00275945">
          <w:rPr>
            <w:rStyle w:val="Hyperlink"/>
            <w:color w:val="auto"/>
            <w:u w:val="none"/>
          </w:rPr>
          <w:t>https://doi.org/10.3390/cancers17050843</w:t>
        </w:r>
      </w:hyperlink>
    </w:p>
    <w:p w14:paraId="42D042E0" w14:textId="77777777" w:rsidR="0007314A" w:rsidRPr="00275945" w:rsidRDefault="0007314A" w:rsidP="0007314A">
      <w:pPr>
        <w:pStyle w:val="NormalWeb"/>
        <w:ind w:left="720" w:hanging="720"/>
        <w:jc w:val="both"/>
      </w:pPr>
      <w:r w:rsidRPr="00275945">
        <w:t xml:space="preserve">Howe, S., Zulu, J. M., Boivin, J., &amp; Gerrits, T. (2020). The social and cultural meanings of infertility for men and women in Zambia: Legacy, family and divine intervention. </w:t>
      </w:r>
      <w:r w:rsidRPr="00275945">
        <w:rPr>
          <w:rStyle w:val="Emphasis"/>
        </w:rPr>
        <w:t>Facts, Views &amp; Vision in ObGyn, 12</w:t>
      </w:r>
      <w:r w:rsidRPr="00275945">
        <w:t>(3), 185–193.</w:t>
      </w:r>
    </w:p>
    <w:p w14:paraId="4AA253D5" w14:textId="77777777" w:rsidR="0007314A" w:rsidRPr="00275945" w:rsidRDefault="0007314A" w:rsidP="0007314A">
      <w:pPr>
        <w:pStyle w:val="NormalWeb"/>
        <w:ind w:left="720" w:hanging="720"/>
        <w:jc w:val="both"/>
      </w:pPr>
      <w:r w:rsidRPr="00275945">
        <w:t xml:space="preserve">Kavanagh, J. P. (1994). Isocitric and citric acid in human prostatic and seminal fluid: Implications for prostatic metabolism and secretion. </w:t>
      </w:r>
      <w:r w:rsidRPr="00275945">
        <w:rPr>
          <w:rStyle w:val="Emphasis"/>
        </w:rPr>
        <w:t>Prostate, 24</w:t>
      </w:r>
      <w:r w:rsidRPr="00275945">
        <w:t>(3), 139–142. https://doi.org/10.1002/pros.2990240307</w:t>
      </w:r>
    </w:p>
    <w:p w14:paraId="5076DEA8" w14:textId="77777777" w:rsidR="0007314A" w:rsidRPr="00275945" w:rsidRDefault="0007314A" w:rsidP="0007314A">
      <w:pPr>
        <w:pStyle w:val="NormalWeb"/>
        <w:ind w:left="720" w:hanging="720"/>
        <w:jc w:val="both"/>
      </w:pPr>
      <w:r w:rsidRPr="00275945">
        <w:t xml:space="preserve">Kumar, N., &amp; Singh, A. K. (2015). Trends of male factor infertility, an important cause of infertility: A review of literature. </w:t>
      </w:r>
      <w:r w:rsidRPr="00275945">
        <w:rPr>
          <w:rStyle w:val="Emphasis"/>
        </w:rPr>
        <w:t>Journal of Human Reproductive Sciences, 8</w:t>
      </w:r>
      <w:r w:rsidRPr="00275945">
        <w:t>(4), 191–196. https://doi.org/10.4103/0974-1208.170370</w:t>
      </w:r>
    </w:p>
    <w:p w14:paraId="2D987EA2" w14:textId="77777777" w:rsidR="0007314A" w:rsidRPr="00275945" w:rsidRDefault="0007314A" w:rsidP="0007314A">
      <w:pPr>
        <w:pStyle w:val="NormalWeb"/>
        <w:ind w:left="720" w:hanging="720"/>
        <w:jc w:val="both"/>
      </w:pPr>
      <w:r w:rsidRPr="00275945">
        <w:t xml:space="preserve">O'Donnell, L., Stanton, P., &amp; de Kretser, D. M. (2017). Endocrinology of the male reproductive system and spermatogenesis. In K. R. Feingold, S. F. Ahmed, B. </w:t>
      </w:r>
      <w:r w:rsidRPr="00275945">
        <w:lastRenderedPageBreak/>
        <w:t xml:space="preserve">Anawalt, et al. (Eds.), </w:t>
      </w:r>
      <w:r w:rsidRPr="00275945">
        <w:rPr>
          <w:rStyle w:val="Emphasis"/>
        </w:rPr>
        <w:t>Endotext</w:t>
      </w:r>
      <w:r w:rsidRPr="00275945">
        <w:t xml:space="preserve"> [Internet]. South Dartmouth, MA: MDText.com, Inc. Retrieved from </w:t>
      </w:r>
      <w:hyperlink r:id="rId9" w:tgtFrame="_new" w:history="1">
        <w:r w:rsidRPr="00275945">
          <w:rPr>
            <w:rStyle w:val="Hyperlink"/>
            <w:color w:val="auto"/>
            <w:u w:val="none"/>
          </w:rPr>
          <w:t>https://www.ncbi.nlm.nih.gov/books/NBK279031/</w:t>
        </w:r>
      </w:hyperlink>
    </w:p>
    <w:p w14:paraId="4E3EE3FE" w14:textId="77777777" w:rsidR="0007314A" w:rsidRPr="00275945" w:rsidRDefault="0007314A" w:rsidP="0007314A">
      <w:pPr>
        <w:pStyle w:val="NormalWeb"/>
        <w:ind w:left="720" w:hanging="720"/>
        <w:jc w:val="both"/>
      </w:pPr>
      <w:r w:rsidRPr="00275945">
        <w:t xml:space="preserve">Okafor, I. A., Saanu, O. O., Olayemi, O., &amp; Omigbodun, A. O. (2022). Characterization of primary female infertility in a Nigerian tertiary hospital: A case-control study. </w:t>
      </w:r>
      <w:r w:rsidRPr="00275945">
        <w:rPr>
          <w:rStyle w:val="Emphasis"/>
        </w:rPr>
        <w:t>African Journal of Reproductive Health, 26</w:t>
      </w:r>
      <w:r w:rsidRPr="00275945">
        <w:t>(8), 66–82. https://doi.org/10.29063/ajrh2022/v26i8.7</w:t>
      </w:r>
    </w:p>
    <w:p w14:paraId="5DBD6AA0" w14:textId="77777777" w:rsidR="0007314A" w:rsidRPr="00275945" w:rsidRDefault="0007314A" w:rsidP="0007314A">
      <w:pPr>
        <w:pStyle w:val="NormalWeb"/>
        <w:ind w:left="720" w:hanging="720"/>
        <w:jc w:val="both"/>
      </w:pPr>
      <w:r w:rsidRPr="00275945">
        <w:rPr>
          <w:lang w:val="pt-BR"/>
        </w:rPr>
        <w:t xml:space="preserve">Okonofua, F., Menakaya, U., Onemu, S. O., Omo-Aghoja, L. O., &amp; Bergstrom, S. (2005). </w:t>
      </w:r>
      <w:r w:rsidRPr="00275945">
        <w:t xml:space="preserve">A case-control study of risk factors for male infertility in Nigeria. </w:t>
      </w:r>
      <w:r w:rsidRPr="00275945">
        <w:rPr>
          <w:rStyle w:val="Emphasis"/>
        </w:rPr>
        <w:t>Asian Journal of Andrology, 7</w:t>
      </w:r>
      <w:r w:rsidRPr="00275945">
        <w:t>(4), 351–361.</w:t>
      </w:r>
    </w:p>
    <w:p w14:paraId="46B076C8" w14:textId="77777777" w:rsidR="0007314A" w:rsidRPr="00275945" w:rsidRDefault="0007314A" w:rsidP="0007314A">
      <w:pPr>
        <w:pStyle w:val="NormalWeb"/>
        <w:ind w:left="720" w:hanging="720"/>
        <w:jc w:val="both"/>
      </w:pPr>
      <w:r w:rsidRPr="00275945">
        <w:t xml:space="preserve">Rochdi, C., Nasr, F. A., Elrherabi, A., Bellajdel, I., Taheri, H., Bouhrim, M., Al-Zharani, M., Qurtam, A. A., Saadi, H., Mimouni, A., &amp; Choukri, M. (2025a). Correlation between semen quality and the seminal biochemical markers: Alpha-glucosidase, fructose, and zinc in infertile men compared with a normal population of men. </w:t>
      </w:r>
      <w:r w:rsidRPr="00275945">
        <w:rPr>
          <w:rStyle w:val="Emphasis"/>
        </w:rPr>
        <w:t>Frontiers in Endocrinology, 16</w:t>
      </w:r>
      <w:r w:rsidRPr="00275945">
        <w:t>, 1583272. https://doi.org/10.3389/fendo.2025.1583272</w:t>
      </w:r>
    </w:p>
    <w:p w14:paraId="7AC9BDC1" w14:textId="77777777" w:rsidR="0007314A" w:rsidRPr="002236E7" w:rsidRDefault="0007314A" w:rsidP="0007314A">
      <w:pPr>
        <w:pStyle w:val="NormalWeb"/>
        <w:ind w:left="720" w:hanging="720"/>
        <w:jc w:val="both"/>
        <w:rPr>
          <w:lang w:val="fr-FR"/>
        </w:rPr>
      </w:pPr>
      <w:r w:rsidRPr="00275945">
        <w:t xml:space="preserve">Rochdi, C., Nasr, F. A., Elrherabi, A., Bellajdel, I., Taheri, H., Bouhrim, M., Al-Zharani, M., Qurtam, A. A., Saadi, H., Mimouni, A., &amp; Choukri, M. (2025b). Correlation between semen quality and the seminal biochemical markers: Alpha-glucosidase, fructose, and zinc in infertile men compared with a normal population of men. </w:t>
      </w:r>
      <w:r w:rsidRPr="002236E7">
        <w:rPr>
          <w:rStyle w:val="Emphasis"/>
          <w:lang w:val="fr-FR"/>
        </w:rPr>
        <w:t>Frontiers in Endocrinology, 16</w:t>
      </w:r>
      <w:r w:rsidRPr="002236E7">
        <w:rPr>
          <w:lang w:val="fr-FR"/>
        </w:rPr>
        <w:t>, 1583272. https://doi.org/10.3389/fendo.2025.1583272</w:t>
      </w:r>
    </w:p>
    <w:p w14:paraId="288192EB" w14:textId="77777777" w:rsidR="0007314A" w:rsidRPr="00275945" w:rsidRDefault="0007314A" w:rsidP="0007314A">
      <w:pPr>
        <w:pStyle w:val="NormalWeb"/>
        <w:ind w:left="720" w:hanging="720"/>
        <w:jc w:val="both"/>
        <w:rPr>
          <w:lang w:val="pt-BR"/>
        </w:rPr>
      </w:pPr>
      <w:r w:rsidRPr="002236E7">
        <w:rPr>
          <w:lang w:val="fr-FR"/>
        </w:rPr>
        <w:t xml:space="preserve">Roomaney, R., Salie, M., Jenkins, D., et al. </w:t>
      </w:r>
      <w:r w:rsidRPr="00275945">
        <w:t xml:space="preserve">(2024). A scoping review of the psychosocial aspects of infertility in African countries. </w:t>
      </w:r>
      <w:r w:rsidRPr="00275945">
        <w:rPr>
          <w:rStyle w:val="Emphasis"/>
          <w:lang w:val="pt-BR"/>
        </w:rPr>
        <w:t>Reproductive Health, 21</w:t>
      </w:r>
      <w:r w:rsidRPr="00275945">
        <w:rPr>
          <w:lang w:val="pt-BR"/>
        </w:rPr>
        <w:t>, 123. https://doi.org/10.1186/s12978-024-01761-2</w:t>
      </w:r>
    </w:p>
    <w:p w14:paraId="0DEE1A50" w14:textId="77777777" w:rsidR="0007314A" w:rsidRPr="00275945" w:rsidRDefault="0007314A" w:rsidP="0007314A">
      <w:pPr>
        <w:pStyle w:val="NormalWeb"/>
        <w:ind w:left="720" w:hanging="720"/>
        <w:jc w:val="both"/>
      </w:pPr>
      <w:r w:rsidRPr="00275945">
        <w:rPr>
          <w:lang w:val="pt-BR"/>
        </w:rPr>
        <w:t xml:space="preserve">Sciorio, R., De Paola, L., Notari, T., Ganduscio, S., Amato, P., Crifasi, L., Marotto, D., Billone, V., Cucinella, G., Perino, A., Tramontano, L., Marinelli, S., &amp; Gullo, G. (2025). </w:t>
      </w:r>
      <w:r w:rsidRPr="00275945">
        <w:t xml:space="preserve">Decoding the puzzle of male infertility: The role of infection, inflammation, and autoimmunity. </w:t>
      </w:r>
      <w:r w:rsidRPr="00275945">
        <w:rPr>
          <w:rStyle w:val="Emphasis"/>
        </w:rPr>
        <w:t>Diagnostics, 15</w:t>
      </w:r>
      <w:r w:rsidRPr="00275945">
        <w:t xml:space="preserve">(5), 547. </w:t>
      </w:r>
      <w:hyperlink r:id="rId10" w:tgtFrame="_new" w:history="1">
        <w:r w:rsidRPr="00275945">
          <w:rPr>
            <w:rStyle w:val="Hyperlink"/>
            <w:color w:val="auto"/>
            <w:u w:val="none"/>
          </w:rPr>
          <w:t>https://doi.org/10.3390/diagnostics15050547</w:t>
        </w:r>
      </w:hyperlink>
    </w:p>
    <w:p w14:paraId="027439D8" w14:textId="77777777" w:rsidR="0007314A" w:rsidRPr="00275945" w:rsidRDefault="0007314A" w:rsidP="0007314A">
      <w:pPr>
        <w:pStyle w:val="NormalWeb"/>
        <w:ind w:left="720" w:hanging="720"/>
        <w:jc w:val="both"/>
      </w:pPr>
      <w:r w:rsidRPr="00275945">
        <w:t xml:space="preserve">Seliwanoff, T. (1887). Notiz über eine Fruchtzuckerreaction. </w:t>
      </w:r>
      <w:r w:rsidRPr="00275945">
        <w:rPr>
          <w:rStyle w:val="Emphasis"/>
        </w:rPr>
        <w:t>Berichte der Deutschen Chemischen Gesellschaft, 20</w:t>
      </w:r>
      <w:r w:rsidRPr="00275945">
        <w:t>(1), 181–182. https://doi.org/10.1002/cber.18870200151</w:t>
      </w:r>
    </w:p>
    <w:p w14:paraId="3FDBD196" w14:textId="77777777" w:rsidR="0007314A" w:rsidRPr="00275945" w:rsidRDefault="0007314A" w:rsidP="0007314A">
      <w:pPr>
        <w:pStyle w:val="NormalWeb"/>
        <w:ind w:left="720" w:hanging="720"/>
        <w:jc w:val="both"/>
      </w:pPr>
      <w:r w:rsidRPr="002236E7">
        <w:rPr>
          <w:lang w:val="fr-FR"/>
        </w:rPr>
        <w:t xml:space="preserve">Tanni, B., Voundi, E. V., Omigbodun, A., &amp; Aimakhu, C. O. (2022). </w:t>
      </w:r>
      <w:r w:rsidRPr="00275945">
        <w:t xml:space="preserve">Seminal fructose and citric acid concentrations relative to sperm parameters among men for fertility evaluation in Yaoundé, Cameroon. </w:t>
      </w:r>
      <w:r w:rsidRPr="00275945">
        <w:rPr>
          <w:rStyle w:val="Emphasis"/>
        </w:rPr>
        <w:t>Exploratory Medicine, 3</w:t>
      </w:r>
      <w:r w:rsidRPr="00275945">
        <w:t>, 443–450.</w:t>
      </w:r>
    </w:p>
    <w:p w14:paraId="6F043139" w14:textId="77777777" w:rsidR="0007314A" w:rsidRPr="00275945" w:rsidRDefault="0007314A" w:rsidP="0007314A">
      <w:pPr>
        <w:pStyle w:val="NormalWeb"/>
        <w:ind w:left="720" w:hanging="720"/>
        <w:jc w:val="both"/>
      </w:pPr>
      <w:r w:rsidRPr="00275945">
        <w:t xml:space="preserve">Toragall, M. M., Satapathy, S. K., Kadadevaru, G. G., &amp; Hiremath, M. B. (2019). Evaluation of seminal fructose and citric acid levels in men with fertility problem. </w:t>
      </w:r>
      <w:r w:rsidRPr="00275945">
        <w:rPr>
          <w:rStyle w:val="Emphasis"/>
        </w:rPr>
        <w:lastRenderedPageBreak/>
        <w:t>Journal of Human Reproductive Sciences, 12</w:t>
      </w:r>
      <w:r w:rsidRPr="00275945">
        <w:t>(3), 199–203. https://doi.org/10.4103/jhrs.JHRS_155_18</w:t>
      </w:r>
    </w:p>
    <w:p w14:paraId="0EE13E5D" w14:textId="77777777" w:rsidR="0007314A" w:rsidRPr="00275945" w:rsidRDefault="0007314A" w:rsidP="0007314A">
      <w:pPr>
        <w:pStyle w:val="NormalWeb"/>
        <w:ind w:left="720" w:hanging="720"/>
        <w:jc w:val="both"/>
      </w:pPr>
      <w:r w:rsidRPr="00275945">
        <w:t xml:space="preserve">van den Berg, J. S., Molina, N. M., Altmäe, S., Arends, B., &amp; Steba, G. S. (2024). A systematic review identifying seminal plasma biomarkers and their predictive ability on IVF and ICSI outcomes. </w:t>
      </w:r>
      <w:r w:rsidRPr="00275945">
        <w:rPr>
          <w:rStyle w:val="Emphasis"/>
        </w:rPr>
        <w:t>Reproductive Biomedicine Online, 48</w:t>
      </w:r>
      <w:r w:rsidRPr="00275945">
        <w:t>(2), 103622. https://doi.org/10.1016/j.rbmo.2023.103622</w:t>
      </w:r>
    </w:p>
    <w:p w14:paraId="7222236A" w14:textId="77777777" w:rsidR="0007314A" w:rsidRPr="00275945" w:rsidRDefault="0007314A" w:rsidP="0007314A">
      <w:pPr>
        <w:pStyle w:val="NormalWeb"/>
        <w:ind w:left="720" w:hanging="720"/>
        <w:jc w:val="both"/>
      </w:pPr>
      <w:r w:rsidRPr="00275945">
        <w:t xml:space="preserve">Veselinović, A., Stojsavljević, A., Arsić, A., Bojović-Jović, D., Vučić, V., &amp; Golić, I. (2025). Serum and seminal plasma zinc levels and immunopositivity of the ZIP6 and ZIP14 transporters in men with normo- and teratozoospermia. </w:t>
      </w:r>
      <w:r w:rsidRPr="00275945">
        <w:rPr>
          <w:rStyle w:val="Emphasis"/>
        </w:rPr>
        <w:t>Current Issues in Molecular Biology, 47</w:t>
      </w:r>
      <w:r w:rsidRPr="00275945">
        <w:t xml:space="preserve">(2), 101. </w:t>
      </w:r>
      <w:hyperlink r:id="rId11" w:tgtFrame="_new" w:history="1">
        <w:r w:rsidRPr="00275945">
          <w:rPr>
            <w:rStyle w:val="Hyperlink"/>
            <w:color w:val="auto"/>
            <w:u w:val="none"/>
          </w:rPr>
          <w:t>https://doi.org/10.3390/cimb47020101</w:t>
        </w:r>
      </w:hyperlink>
    </w:p>
    <w:p w14:paraId="22B58B1A" w14:textId="77777777" w:rsidR="0007314A" w:rsidRPr="00275945" w:rsidRDefault="0007314A" w:rsidP="0007314A">
      <w:pPr>
        <w:pStyle w:val="NormalWeb"/>
        <w:ind w:left="720" w:hanging="720"/>
        <w:jc w:val="both"/>
      </w:pPr>
      <w:r w:rsidRPr="00275945">
        <w:t xml:space="preserve">Wang, F., Yang, W., Ouyang, S., &amp; Yuan, S. (2020). The vehicle determines the destination: The significance of seminal plasma factors for male fertility. </w:t>
      </w:r>
      <w:r w:rsidRPr="00275945">
        <w:rPr>
          <w:rStyle w:val="Emphasis"/>
        </w:rPr>
        <w:t>International Journal of Molecular Sciences, 21</w:t>
      </w:r>
      <w:r w:rsidRPr="00275945">
        <w:t>(22), 8499. https://doi.org/10.3390/ijms21228499</w:t>
      </w:r>
    </w:p>
    <w:p w14:paraId="29A62602" w14:textId="77777777" w:rsidR="0007314A" w:rsidRPr="00275945" w:rsidRDefault="0007314A" w:rsidP="0007314A">
      <w:pPr>
        <w:pStyle w:val="NormalWeb"/>
        <w:ind w:left="720" w:hanging="720"/>
        <w:jc w:val="both"/>
      </w:pPr>
      <w:r w:rsidRPr="00275945">
        <w:t xml:space="preserve">Wang, Y., Fu, X., &amp; Li, H. (2025). Mechanisms of oxidative stress-induced sperm dysfunction. </w:t>
      </w:r>
      <w:r w:rsidRPr="00275945">
        <w:rPr>
          <w:rStyle w:val="Emphasis"/>
        </w:rPr>
        <w:t>Frontiers in Endocrinology (Lausanne), 16</w:t>
      </w:r>
      <w:r w:rsidRPr="00275945">
        <w:t>, 1520835. https://doi.org/10.3389/fendo.2025.1520835</w:t>
      </w:r>
    </w:p>
    <w:p w14:paraId="660CF217" w14:textId="77777777" w:rsidR="0007314A" w:rsidRPr="00275945" w:rsidRDefault="0007314A" w:rsidP="0007314A">
      <w:pPr>
        <w:pStyle w:val="NormalWeb"/>
        <w:ind w:left="720" w:hanging="720"/>
        <w:jc w:val="both"/>
      </w:pPr>
      <w:r w:rsidRPr="00275945">
        <w:t xml:space="preserve">World Health Organization. (2021). </w:t>
      </w:r>
      <w:r w:rsidRPr="00275945">
        <w:rPr>
          <w:rStyle w:val="Emphasis"/>
        </w:rPr>
        <w:t>WHO laboratory manual for the examination and processing of human semen</w:t>
      </w:r>
      <w:r w:rsidRPr="00275945">
        <w:t xml:space="preserve"> (6th ed.). World Health Organization.</w:t>
      </w:r>
    </w:p>
    <w:p w14:paraId="19B0549E" w14:textId="77777777" w:rsidR="0007314A" w:rsidRPr="002236E7" w:rsidRDefault="0007314A" w:rsidP="0007314A">
      <w:pPr>
        <w:pStyle w:val="NormalWeb"/>
        <w:ind w:left="720" w:hanging="720"/>
        <w:jc w:val="both"/>
        <w:rPr>
          <w:lang w:val="fr-FR"/>
        </w:rPr>
      </w:pPr>
      <w:r w:rsidRPr="00275945">
        <w:t xml:space="preserve">Xu, X. (2024). Sperm motility assessment in assisted reproductive technologies. </w:t>
      </w:r>
      <w:r w:rsidRPr="002236E7">
        <w:rPr>
          <w:rStyle w:val="Emphasis"/>
          <w:lang w:val="fr-FR"/>
        </w:rPr>
        <w:t>Andrology, 13</w:t>
      </w:r>
      <w:r w:rsidRPr="002236E7">
        <w:rPr>
          <w:lang w:val="fr-FR"/>
        </w:rPr>
        <w:t>, 320. https://doi.org/10.1111/andr.320</w:t>
      </w:r>
    </w:p>
    <w:p w14:paraId="1CAAF955" w14:textId="77777777" w:rsidR="0007314A" w:rsidRPr="00275945" w:rsidRDefault="0007314A" w:rsidP="0007314A">
      <w:pPr>
        <w:pStyle w:val="NormalWeb"/>
        <w:ind w:left="720" w:hanging="720"/>
        <w:jc w:val="both"/>
      </w:pPr>
      <w:r w:rsidRPr="002236E7">
        <w:rPr>
          <w:lang w:val="fr-FR"/>
        </w:rPr>
        <w:t xml:space="preserve">Yuan, Q., Hong, R., Ni, Y., Jiang, M., Liu, J., Chen, Z., &amp; Yang, D. (2024). </w:t>
      </w:r>
      <w:r w:rsidRPr="00275945">
        <w:t xml:space="preserve">Correlation between seminal plasma biochemical markers and semen parameters in idiopathic oligoasthenoteratospermia: Identification of biomarkers for L-carnitine therapy. </w:t>
      </w:r>
      <w:r w:rsidRPr="00275945">
        <w:rPr>
          <w:rStyle w:val="Emphasis"/>
        </w:rPr>
        <w:t>Frontiers in Endocrinology (Lausanne), 15</w:t>
      </w:r>
      <w:r w:rsidRPr="00275945">
        <w:t>, 1330629.</w:t>
      </w:r>
    </w:p>
    <w:p w14:paraId="696279DA" w14:textId="77777777" w:rsidR="006C1D52" w:rsidRDefault="0007314A" w:rsidP="006C1D52">
      <w:pPr>
        <w:pStyle w:val="NormalWeb"/>
        <w:ind w:left="720" w:hanging="720"/>
        <w:jc w:val="both"/>
      </w:pPr>
      <w:r w:rsidRPr="00275945">
        <w:t xml:space="preserve">Zhao, J., Dong, X., Hu, X., et al. (2016). Zinc levels in seminal plasma and their correlation with male infertility: A systematic review and meta-analysis. </w:t>
      </w:r>
      <w:r w:rsidRPr="00275945">
        <w:rPr>
          <w:rStyle w:val="Emphasis"/>
        </w:rPr>
        <w:t>Scientific Reports, 6</w:t>
      </w:r>
      <w:r w:rsidRPr="00275945">
        <w:t xml:space="preserve">, 22386. </w:t>
      </w:r>
      <w:hyperlink r:id="rId12" w:tgtFrame="_new" w:history="1">
        <w:r w:rsidRPr="00275945">
          <w:rPr>
            <w:rStyle w:val="Hyperlink"/>
            <w:color w:val="auto"/>
            <w:u w:val="none"/>
          </w:rPr>
          <w:t>https://doi.org/10.1038/srep22386</w:t>
        </w:r>
      </w:hyperlink>
      <w:r w:rsidR="006C1D52">
        <w:t xml:space="preserve"> </w:t>
      </w:r>
    </w:p>
    <w:p w14:paraId="52BCFCCA" w14:textId="77777777" w:rsidR="0093356B" w:rsidRPr="00F937D5" w:rsidRDefault="006C1D52" w:rsidP="0093356B">
      <w:pPr>
        <w:pStyle w:val="NormalWeb"/>
        <w:ind w:left="720" w:hanging="720"/>
        <w:jc w:val="both"/>
        <w:rPr>
          <w:highlight w:val="yellow"/>
        </w:rPr>
      </w:pPr>
      <w:r w:rsidRPr="00F937D5">
        <w:rPr>
          <w:highlight w:val="yellow"/>
        </w:rPr>
        <w:t>Huang, B., Wang, Z., Kong, Y., Jin, M., &amp; Ma, L. (2023). Global, regional and national burden of male infertility in 204 countries and territories between 1990 and 2019: an analysis of global burden of disease study. </w:t>
      </w:r>
      <w:r w:rsidRPr="00F937D5">
        <w:rPr>
          <w:i/>
          <w:iCs/>
          <w:highlight w:val="yellow"/>
        </w:rPr>
        <w:t>BMC Public Health</w:t>
      </w:r>
      <w:r w:rsidRPr="00F937D5">
        <w:rPr>
          <w:highlight w:val="yellow"/>
        </w:rPr>
        <w:t>, </w:t>
      </w:r>
      <w:r w:rsidRPr="00F937D5">
        <w:rPr>
          <w:i/>
          <w:iCs/>
          <w:highlight w:val="yellow"/>
        </w:rPr>
        <w:t>23</w:t>
      </w:r>
      <w:r w:rsidRPr="00F937D5">
        <w:rPr>
          <w:highlight w:val="yellow"/>
        </w:rPr>
        <w:t xml:space="preserve">(1). </w:t>
      </w:r>
      <w:hyperlink r:id="rId13" w:history="1">
        <w:r w:rsidR="0093356B" w:rsidRPr="00F937D5">
          <w:rPr>
            <w:rStyle w:val="Hyperlink"/>
            <w:highlight w:val="yellow"/>
          </w:rPr>
          <w:t>https://doi.org/10.1186/s12889-023-16793-3</w:t>
        </w:r>
      </w:hyperlink>
      <w:r w:rsidR="0093356B" w:rsidRPr="00F937D5">
        <w:rPr>
          <w:highlight w:val="yellow"/>
        </w:rPr>
        <w:t xml:space="preserve"> </w:t>
      </w:r>
    </w:p>
    <w:p w14:paraId="35DDDEA5" w14:textId="77777777" w:rsidR="0093356B" w:rsidRPr="00F937D5" w:rsidRDefault="0093356B" w:rsidP="0093356B">
      <w:pPr>
        <w:pStyle w:val="NormalWeb"/>
        <w:ind w:left="720" w:hanging="720"/>
        <w:jc w:val="both"/>
        <w:rPr>
          <w:highlight w:val="yellow"/>
        </w:rPr>
      </w:pPr>
      <w:r w:rsidRPr="00F937D5">
        <w:rPr>
          <w:highlight w:val="yellow"/>
        </w:rPr>
        <w:t xml:space="preserve">Akang, E. N., Opuwari, C. S., Enyioma-Alozie, S., Moungala, L. W., Amatu, T. E., Wada, I., Ogbeche, R. O., Ajayi, O. O., Aderonmu, M. M., Shote, O. B., Akinola, L. A., Ashiru, O. A., &amp; Henkel, R. (2023). Trends in semen parameters of infertile men </w:t>
      </w:r>
      <w:r w:rsidRPr="00F937D5">
        <w:rPr>
          <w:highlight w:val="yellow"/>
        </w:rPr>
        <w:lastRenderedPageBreak/>
        <w:t>in South Africa and Nigeria. </w:t>
      </w:r>
      <w:r w:rsidRPr="00F937D5">
        <w:rPr>
          <w:i/>
          <w:iCs/>
          <w:highlight w:val="yellow"/>
        </w:rPr>
        <w:t>Scientific Reports</w:t>
      </w:r>
      <w:r w:rsidRPr="00F937D5">
        <w:rPr>
          <w:highlight w:val="yellow"/>
        </w:rPr>
        <w:t>, </w:t>
      </w:r>
      <w:r w:rsidRPr="00F937D5">
        <w:rPr>
          <w:i/>
          <w:iCs/>
          <w:highlight w:val="yellow"/>
        </w:rPr>
        <w:t>13</w:t>
      </w:r>
      <w:r w:rsidRPr="00F937D5">
        <w:rPr>
          <w:highlight w:val="yellow"/>
        </w:rPr>
        <w:t xml:space="preserve">(1). </w:t>
      </w:r>
      <w:hyperlink r:id="rId14" w:history="1">
        <w:r w:rsidRPr="00F937D5">
          <w:rPr>
            <w:rStyle w:val="Hyperlink"/>
            <w:highlight w:val="yellow"/>
          </w:rPr>
          <w:t>https://doi.org/10.1038/s41598-023-33648-4</w:t>
        </w:r>
      </w:hyperlink>
      <w:r w:rsidRPr="00F937D5">
        <w:rPr>
          <w:highlight w:val="yellow"/>
        </w:rPr>
        <w:t xml:space="preserve"> </w:t>
      </w:r>
    </w:p>
    <w:p w14:paraId="46702D4B" w14:textId="77777777" w:rsidR="00113BF1" w:rsidRPr="00F937D5" w:rsidRDefault="0093356B" w:rsidP="00113BF1">
      <w:pPr>
        <w:pStyle w:val="NormalWeb"/>
        <w:ind w:left="720" w:hanging="720"/>
        <w:jc w:val="both"/>
        <w:rPr>
          <w:highlight w:val="yellow"/>
        </w:rPr>
      </w:pPr>
      <w:r w:rsidRPr="00F937D5">
        <w:rPr>
          <w:highlight w:val="yellow"/>
        </w:rPr>
        <w:t>Turunen, T., Magris, M., Malinen, M., &amp; Kekäläinen, J. (2022). Seminal-Plasma-Mediated Effects on Sperm Performance in Humans. </w:t>
      </w:r>
      <w:r w:rsidRPr="00F937D5">
        <w:rPr>
          <w:i/>
          <w:iCs/>
          <w:highlight w:val="yellow"/>
        </w:rPr>
        <w:t>Cells</w:t>
      </w:r>
      <w:r w:rsidRPr="00F937D5">
        <w:rPr>
          <w:highlight w:val="yellow"/>
        </w:rPr>
        <w:t>, </w:t>
      </w:r>
      <w:r w:rsidRPr="00F937D5">
        <w:rPr>
          <w:i/>
          <w:iCs/>
          <w:highlight w:val="yellow"/>
        </w:rPr>
        <w:t>11</w:t>
      </w:r>
      <w:r w:rsidRPr="00F937D5">
        <w:rPr>
          <w:highlight w:val="yellow"/>
        </w:rPr>
        <w:t xml:space="preserve">(14), 2147. </w:t>
      </w:r>
      <w:hyperlink r:id="rId15" w:history="1">
        <w:r w:rsidR="00113BF1" w:rsidRPr="00F937D5">
          <w:rPr>
            <w:rStyle w:val="Hyperlink"/>
            <w:highlight w:val="yellow"/>
          </w:rPr>
          <w:t>https://doi.org/10.3390/cells11142147</w:t>
        </w:r>
      </w:hyperlink>
      <w:r w:rsidR="00113BF1" w:rsidRPr="00F937D5">
        <w:rPr>
          <w:highlight w:val="yellow"/>
        </w:rPr>
        <w:t xml:space="preserve"> </w:t>
      </w:r>
    </w:p>
    <w:p w14:paraId="101E10DA" w14:textId="77777777" w:rsidR="00113BF1" w:rsidRPr="00F937D5" w:rsidRDefault="00113BF1" w:rsidP="00113BF1">
      <w:pPr>
        <w:pStyle w:val="NormalWeb"/>
        <w:ind w:left="720" w:hanging="720"/>
        <w:jc w:val="both"/>
        <w:rPr>
          <w:highlight w:val="yellow"/>
        </w:rPr>
      </w:pPr>
      <w:r w:rsidRPr="00F937D5">
        <w:rPr>
          <w:highlight w:val="yellow"/>
        </w:rPr>
        <w:t>Igibah, C. O., Okoeguale, J., Amadi, S. C., Ilenbodiaye, T. N., Erah, F., Okocha, A. N., Abbey, M., Kua, P. L., Ononuju, C. N., &amp; Adewale, O. (2023). Abnormalities of semen parameters among male partners of infertile couples in a sub-urban tertiary hospital in Nigeria. </w:t>
      </w:r>
      <w:r w:rsidRPr="00F937D5">
        <w:rPr>
          <w:i/>
          <w:iCs/>
          <w:highlight w:val="yellow"/>
        </w:rPr>
        <w:t>International Journal of Reproduction, Contraception, Obstetrics and Gynecology</w:t>
      </w:r>
      <w:r w:rsidRPr="00F937D5">
        <w:rPr>
          <w:highlight w:val="yellow"/>
        </w:rPr>
        <w:t>, </w:t>
      </w:r>
      <w:r w:rsidRPr="00F937D5">
        <w:rPr>
          <w:i/>
          <w:iCs/>
          <w:highlight w:val="yellow"/>
        </w:rPr>
        <w:t>12</w:t>
      </w:r>
      <w:r w:rsidRPr="00F937D5">
        <w:rPr>
          <w:highlight w:val="yellow"/>
        </w:rPr>
        <w:t xml:space="preserve">(10), 2900–2905. </w:t>
      </w:r>
      <w:hyperlink r:id="rId16" w:history="1">
        <w:r w:rsidRPr="00F937D5">
          <w:rPr>
            <w:rStyle w:val="Hyperlink"/>
            <w:highlight w:val="yellow"/>
          </w:rPr>
          <w:t>https://doi.org/10.18203/2320-1770.ijrcog20232923</w:t>
        </w:r>
      </w:hyperlink>
      <w:r w:rsidRPr="00F937D5">
        <w:rPr>
          <w:highlight w:val="yellow"/>
        </w:rPr>
        <w:t xml:space="preserve"> </w:t>
      </w:r>
    </w:p>
    <w:p w14:paraId="29FAE1E2" w14:textId="77777777" w:rsidR="000F2992" w:rsidRDefault="00113BF1" w:rsidP="000F2992">
      <w:pPr>
        <w:pStyle w:val="NormalWeb"/>
        <w:ind w:left="720" w:hanging="720"/>
        <w:jc w:val="both"/>
      </w:pPr>
      <w:r w:rsidRPr="00F937D5">
        <w:rPr>
          <w:highlight w:val="yellow"/>
          <w:lang w:val="es-US"/>
        </w:rPr>
        <w:t xml:space="preserve">Navya, Kumar, D., &amp; Kumar, M. (2025). </w:t>
      </w:r>
      <w:r w:rsidRPr="00F937D5">
        <w:rPr>
          <w:highlight w:val="yellow"/>
        </w:rPr>
        <w:t>Women’s Perspectives on Infertility Awareness and Barriers in Chandigarh. </w:t>
      </w:r>
      <w:r w:rsidRPr="00F937D5">
        <w:rPr>
          <w:i/>
          <w:iCs/>
          <w:highlight w:val="yellow"/>
        </w:rPr>
        <w:t>Asian Journal of Education and Social Studies</w:t>
      </w:r>
      <w:r w:rsidRPr="00F937D5">
        <w:rPr>
          <w:highlight w:val="yellow"/>
        </w:rPr>
        <w:t>, </w:t>
      </w:r>
      <w:r w:rsidRPr="00F937D5">
        <w:rPr>
          <w:i/>
          <w:iCs/>
          <w:highlight w:val="yellow"/>
        </w:rPr>
        <w:t>51</w:t>
      </w:r>
      <w:r w:rsidRPr="00F937D5">
        <w:rPr>
          <w:highlight w:val="yellow"/>
        </w:rPr>
        <w:t xml:space="preserve">(9), 1329–1336. </w:t>
      </w:r>
      <w:hyperlink r:id="rId17" w:history="1">
        <w:r w:rsidR="000F2992" w:rsidRPr="005F7245">
          <w:rPr>
            <w:rStyle w:val="Hyperlink"/>
            <w:highlight w:val="yellow"/>
          </w:rPr>
          <w:t>https://doi.org/10.9734/ajess/2025/v51i92462</w:t>
        </w:r>
      </w:hyperlink>
      <w:r w:rsidR="000F2992">
        <w:t xml:space="preserve">  </w:t>
      </w:r>
    </w:p>
    <w:p w14:paraId="115CF377" w14:textId="273EA98A" w:rsidR="000F2992" w:rsidRPr="000F2992" w:rsidRDefault="000F2992" w:rsidP="000F2992">
      <w:pPr>
        <w:pStyle w:val="NormalWeb"/>
        <w:ind w:left="720" w:hanging="720"/>
        <w:jc w:val="both"/>
      </w:pPr>
      <w:r w:rsidRPr="000F2992">
        <w:rPr>
          <w:highlight w:val="yellow"/>
        </w:rPr>
        <w:t>Agarwal, A., Baskaran, S., Panner Selvam, M. K., Finelli, R., Barbarosie, C., Robert, K. A., Iovine, C., Master, K., &amp; Henkel, R. (2020). Scientific landscape of oxidative stress in male reproductive research: A scientometric study. </w:t>
      </w:r>
      <w:r w:rsidRPr="000F2992">
        <w:rPr>
          <w:i/>
          <w:iCs/>
          <w:highlight w:val="yellow"/>
        </w:rPr>
        <w:t>Free Radical Biology and Medicine</w:t>
      </w:r>
      <w:r w:rsidRPr="000F2992">
        <w:rPr>
          <w:highlight w:val="yellow"/>
        </w:rPr>
        <w:t>, </w:t>
      </w:r>
      <w:r w:rsidRPr="000F2992">
        <w:rPr>
          <w:i/>
          <w:iCs/>
          <w:highlight w:val="yellow"/>
        </w:rPr>
        <w:t>156</w:t>
      </w:r>
      <w:r w:rsidRPr="000F2992">
        <w:rPr>
          <w:highlight w:val="yellow"/>
        </w:rPr>
        <w:t>, 36–44. https://doi.org/10.1016/j.freeradbiomed.2020.05.008</w:t>
      </w:r>
    </w:p>
    <w:p w14:paraId="35F4CEF5" w14:textId="77777777" w:rsidR="000F2992" w:rsidRPr="000F2992" w:rsidRDefault="000F2992" w:rsidP="000F2992">
      <w:pPr>
        <w:pStyle w:val="NormalWeb"/>
        <w:ind w:left="720" w:hanging="720"/>
        <w:jc w:val="both"/>
      </w:pPr>
      <w:r w:rsidRPr="000F2992">
        <w:t>‌</w:t>
      </w:r>
    </w:p>
    <w:p w14:paraId="460E0859" w14:textId="0BB465B9" w:rsidR="00113BF1" w:rsidRPr="00113BF1" w:rsidRDefault="00113BF1" w:rsidP="00113BF1">
      <w:pPr>
        <w:pStyle w:val="NormalWeb"/>
        <w:ind w:left="720" w:hanging="720"/>
        <w:jc w:val="both"/>
      </w:pPr>
    </w:p>
    <w:p w14:paraId="5745C3EC" w14:textId="2363067D" w:rsidR="00113BF1" w:rsidRPr="00113BF1" w:rsidRDefault="00113BF1" w:rsidP="00113BF1">
      <w:pPr>
        <w:pStyle w:val="NormalWeb"/>
        <w:ind w:left="720" w:hanging="720"/>
        <w:jc w:val="both"/>
      </w:pPr>
    </w:p>
    <w:p w14:paraId="2A7A1E03" w14:textId="77777777" w:rsidR="00113BF1" w:rsidRPr="00113BF1" w:rsidRDefault="00113BF1" w:rsidP="00113BF1">
      <w:pPr>
        <w:pStyle w:val="NormalWeb"/>
        <w:ind w:left="720" w:hanging="720"/>
        <w:jc w:val="both"/>
      </w:pPr>
      <w:r w:rsidRPr="00113BF1">
        <w:t>‌</w:t>
      </w:r>
    </w:p>
    <w:p w14:paraId="041D796C" w14:textId="29DE146F" w:rsidR="0093356B" w:rsidRPr="0093356B" w:rsidRDefault="0093356B" w:rsidP="0093356B">
      <w:pPr>
        <w:pStyle w:val="NormalWeb"/>
        <w:ind w:left="720" w:hanging="720"/>
        <w:jc w:val="both"/>
      </w:pPr>
    </w:p>
    <w:p w14:paraId="79C7C919" w14:textId="77777777" w:rsidR="0093356B" w:rsidRPr="0093356B" w:rsidRDefault="0093356B" w:rsidP="0093356B">
      <w:pPr>
        <w:pStyle w:val="NormalWeb"/>
        <w:ind w:left="720" w:hanging="720"/>
        <w:jc w:val="both"/>
      </w:pPr>
      <w:r w:rsidRPr="0093356B">
        <w:t>‌</w:t>
      </w:r>
    </w:p>
    <w:p w14:paraId="3A0823A3" w14:textId="007AAC03" w:rsidR="006C1D52" w:rsidRPr="006C1D52" w:rsidRDefault="006C1D52" w:rsidP="006C1D52">
      <w:pPr>
        <w:pStyle w:val="NormalWeb"/>
        <w:ind w:left="720" w:hanging="720"/>
        <w:jc w:val="both"/>
      </w:pPr>
    </w:p>
    <w:p w14:paraId="654BF968" w14:textId="77777777" w:rsidR="006C1D52" w:rsidRPr="006C1D52" w:rsidRDefault="006C1D52" w:rsidP="006C1D52">
      <w:pPr>
        <w:pStyle w:val="NormalWeb"/>
        <w:ind w:left="720" w:hanging="720"/>
        <w:jc w:val="both"/>
      </w:pPr>
      <w:r w:rsidRPr="006C1D52">
        <w:t>‌</w:t>
      </w:r>
    </w:p>
    <w:p w14:paraId="662BF3BD" w14:textId="2EABF8C7" w:rsidR="0007314A" w:rsidRPr="00275945" w:rsidRDefault="0007314A" w:rsidP="0007314A">
      <w:pPr>
        <w:pStyle w:val="NormalWeb"/>
        <w:ind w:left="720" w:hanging="720"/>
        <w:jc w:val="both"/>
      </w:pPr>
    </w:p>
    <w:p w14:paraId="3F328CE6" w14:textId="77777777" w:rsidR="00B35F60" w:rsidRPr="0007314A" w:rsidRDefault="00B35F60" w:rsidP="00CA6E14">
      <w:pPr>
        <w:ind w:left="720" w:hanging="720"/>
        <w:jc w:val="both"/>
        <w:rPr>
          <w:rFonts w:ascii="Arial" w:hAnsi="Arial" w:cs="Arial"/>
          <w:b/>
        </w:rPr>
      </w:pPr>
    </w:p>
    <w:sectPr w:rsidR="00B35F60" w:rsidRPr="0007314A">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5890C" w14:textId="77777777" w:rsidR="00E71D6F" w:rsidRDefault="00E71D6F" w:rsidP="00EB12DC">
      <w:r>
        <w:separator/>
      </w:r>
    </w:p>
  </w:endnote>
  <w:endnote w:type="continuationSeparator" w:id="0">
    <w:p w14:paraId="0CD73B6A" w14:textId="77777777" w:rsidR="00E71D6F" w:rsidRDefault="00E71D6F" w:rsidP="00EB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685F" w14:textId="77777777" w:rsidR="00EB12DC" w:rsidRDefault="00EB1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E2AB" w14:textId="77777777" w:rsidR="00EB12DC" w:rsidRDefault="00EB12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5242" w14:textId="77777777" w:rsidR="00EB12DC" w:rsidRDefault="00EB1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CC51F" w14:textId="77777777" w:rsidR="00E71D6F" w:rsidRDefault="00E71D6F" w:rsidP="00EB12DC">
      <w:r>
        <w:separator/>
      </w:r>
    </w:p>
  </w:footnote>
  <w:footnote w:type="continuationSeparator" w:id="0">
    <w:p w14:paraId="5C34EBC1" w14:textId="77777777" w:rsidR="00E71D6F" w:rsidRDefault="00E71D6F" w:rsidP="00EB1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3553" w14:textId="41F7092A" w:rsidR="00EB12DC" w:rsidRDefault="004F4F1E">
    <w:pPr>
      <w:pStyle w:val="Header"/>
    </w:pPr>
    <w:r>
      <w:rPr>
        <w:noProof/>
      </w:rPr>
      <w:pict w14:anchorId="2E9FC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880219" o:spid="_x0000_s1026"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18CF" w14:textId="2A011A66" w:rsidR="00EB12DC" w:rsidRDefault="004F4F1E">
    <w:pPr>
      <w:pStyle w:val="Header"/>
    </w:pPr>
    <w:r>
      <w:rPr>
        <w:noProof/>
      </w:rPr>
      <w:pict w14:anchorId="0035C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880220" o:spid="_x0000_s1027"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D1C6" w14:textId="6A43E2E8" w:rsidR="00EB12DC" w:rsidRDefault="004F4F1E">
    <w:pPr>
      <w:pStyle w:val="Header"/>
    </w:pPr>
    <w:r>
      <w:rPr>
        <w:noProof/>
      </w:rPr>
      <w:pict w14:anchorId="67EC2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880218" o:spid="_x0000_s1025"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C0NDM0MTM0tjQ3MTdV0lEKTi0uzszPAykwqgUAP+E6SywAAAA="/>
  </w:docVars>
  <w:rsids>
    <w:rsidRoot w:val="00311459"/>
    <w:rsid w:val="000053BB"/>
    <w:rsid w:val="00032256"/>
    <w:rsid w:val="000364DE"/>
    <w:rsid w:val="000375FF"/>
    <w:rsid w:val="00043AB4"/>
    <w:rsid w:val="0005491B"/>
    <w:rsid w:val="000700E8"/>
    <w:rsid w:val="0007314A"/>
    <w:rsid w:val="00083EC1"/>
    <w:rsid w:val="00097BB0"/>
    <w:rsid w:val="000C4F5C"/>
    <w:rsid w:val="000C5B23"/>
    <w:rsid w:val="000D6ED4"/>
    <w:rsid w:val="000F0495"/>
    <w:rsid w:val="000F2992"/>
    <w:rsid w:val="00104C40"/>
    <w:rsid w:val="00107520"/>
    <w:rsid w:val="00112C81"/>
    <w:rsid w:val="00113BF1"/>
    <w:rsid w:val="00135812"/>
    <w:rsid w:val="00137159"/>
    <w:rsid w:val="00174AB7"/>
    <w:rsid w:val="00185938"/>
    <w:rsid w:val="00187EEB"/>
    <w:rsid w:val="00190959"/>
    <w:rsid w:val="00197F2A"/>
    <w:rsid w:val="001E5ED4"/>
    <w:rsid w:val="001F4C50"/>
    <w:rsid w:val="001F6388"/>
    <w:rsid w:val="001F755F"/>
    <w:rsid w:val="00215EFC"/>
    <w:rsid w:val="002236E7"/>
    <w:rsid w:val="00251D92"/>
    <w:rsid w:val="00251ECD"/>
    <w:rsid w:val="00272209"/>
    <w:rsid w:val="00275945"/>
    <w:rsid w:val="00275A5A"/>
    <w:rsid w:val="002A55B2"/>
    <w:rsid w:val="002B42A8"/>
    <w:rsid w:val="002C3F07"/>
    <w:rsid w:val="002D1E8F"/>
    <w:rsid w:val="002E1865"/>
    <w:rsid w:val="002F259F"/>
    <w:rsid w:val="003069BF"/>
    <w:rsid w:val="003110BF"/>
    <w:rsid w:val="00311459"/>
    <w:rsid w:val="00314EE7"/>
    <w:rsid w:val="00316535"/>
    <w:rsid w:val="0033062E"/>
    <w:rsid w:val="003324F7"/>
    <w:rsid w:val="00334896"/>
    <w:rsid w:val="00337563"/>
    <w:rsid w:val="00355451"/>
    <w:rsid w:val="00360A79"/>
    <w:rsid w:val="00370EA4"/>
    <w:rsid w:val="003752C6"/>
    <w:rsid w:val="003776DB"/>
    <w:rsid w:val="00377C04"/>
    <w:rsid w:val="00395CC8"/>
    <w:rsid w:val="003B7231"/>
    <w:rsid w:val="003C4EAE"/>
    <w:rsid w:val="003D620D"/>
    <w:rsid w:val="003F142E"/>
    <w:rsid w:val="003F4E73"/>
    <w:rsid w:val="003F4FA2"/>
    <w:rsid w:val="00400F8E"/>
    <w:rsid w:val="00425620"/>
    <w:rsid w:val="00425D7B"/>
    <w:rsid w:val="00431921"/>
    <w:rsid w:val="0044673B"/>
    <w:rsid w:val="004636E8"/>
    <w:rsid w:val="00477B3F"/>
    <w:rsid w:val="004D02F4"/>
    <w:rsid w:val="004E160E"/>
    <w:rsid w:val="004E6105"/>
    <w:rsid w:val="004F4F1E"/>
    <w:rsid w:val="00500463"/>
    <w:rsid w:val="00511BD9"/>
    <w:rsid w:val="00516517"/>
    <w:rsid w:val="00517D75"/>
    <w:rsid w:val="005215D7"/>
    <w:rsid w:val="0053111A"/>
    <w:rsid w:val="0053444F"/>
    <w:rsid w:val="00552DAE"/>
    <w:rsid w:val="005533C6"/>
    <w:rsid w:val="00556F91"/>
    <w:rsid w:val="00557E99"/>
    <w:rsid w:val="005857DF"/>
    <w:rsid w:val="00590699"/>
    <w:rsid w:val="005B67BE"/>
    <w:rsid w:val="005C28E5"/>
    <w:rsid w:val="005C4EE3"/>
    <w:rsid w:val="005C7C58"/>
    <w:rsid w:val="00613DB4"/>
    <w:rsid w:val="006520BB"/>
    <w:rsid w:val="006734DB"/>
    <w:rsid w:val="006916C2"/>
    <w:rsid w:val="006B5995"/>
    <w:rsid w:val="006C1D52"/>
    <w:rsid w:val="006F1943"/>
    <w:rsid w:val="006F6E5C"/>
    <w:rsid w:val="0070708A"/>
    <w:rsid w:val="00714E03"/>
    <w:rsid w:val="007164BF"/>
    <w:rsid w:val="0073573F"/>
    <w:rsid w:val="00750755"/>
    <w:rsid w:val="007522B6"/>
    <w:rsid w:val="0077323B"/>
    <w:rsid w:val="00784E81"/>
    <w:rsid w:val="007A6272"/>
    <w:rsid w:val="007C636D"/>
    <w:rsid w:val="007F5BD7"/>
    <w:rsid w:val="007F689E"/>
    <w:rsid w:val="008014D8"/>
    <w:rsid w:val="00834F6F"/>
    <w:rsid w:val="00836DBC"/>
    <w:rsid w:val="008402EE"/>
    <w:rsid w:val="00847B3F"/>
    <w:rsid w:val="00851174"/>
    <w:rsid w:val="0086242B"/>
    <w:rsid w:val="00876457"/>
    <w:rsid w:val="008B5B31"/>
    <w:rsid w:val="008C1CDF"/>
    <w:rsid w:val="008C60E3"/>
    <w:rsid w:val="008D0FF0"/>
    <w:rsid w:val="008E3EED"/>
    <w:rsid w:val="008F7734"/>
    <w:rsid w:val="00901804"/>
    <w:rsid w:val="00902FFE"/>
    <w:rsid w:val="00903B7F"/>
    <w:rsid w:val="00911906"/>
    <w:rsid w:val="00915254"/>
    <w:rsid w:val="00921B75"/>
    <w:rsid w:val="0092631B"/>
    <w:rsid w:val="0093356B"/>
    <w:rsid w:val="00936824"/>
    <w:rsid w:val="00937010"/>
    <w:rsid w:val="00985DF4"/>
    <w:rsid w:val="00996172"/>
    <w:rsid w:val="009B4514"/>
    <w:rsid w:val="009C148F"/>
    <w:rsid w:val="009E39AD"/>
    <w:rsid w:val="009E5057"/>
    <w:rsid w:val="009F4CEB"/>
    <w:rsid w:val="00A55B09"/>
    <w:rsid w:val="00A55EE6"/>
    <w:rsid w:val="00A62935"/>
    <w:rsid w:val="00A75573"/>
    <w:rsid w:val="00A772D2"/>
    <w:rsid w:val="00AB3B12"/>
    <w:rsid w:val="00AC0AFD"/>
    <w:rsid w:val="00AD332C"/>
    <w:rsid w:val="00AE1F4B"/>
    <w:rsid w:val="00B02B34"/>
    <w:rsid w:val="00B035C3"/>
    <w:rsid w:val="00B35F60"/>
    <w:rsid w:val="00B441BE"/>
    <w:rsid w:val="00B47B18"/>
    <w:rsid w:val="00B72A8E"/>
    <w:rsid w:val="00B902A6"/>
    <w:rsid w:val="00BB6C22"/>
    <w:rsid w:val="00BC3E71"/>
    <w:rsid w:val="00BE3FCB"/>
    <w:rsid w:val="00BF58B0"/>
    <w:rsid w:val="00C01614"/>
    <w:rsid w:val="00C043CD"/>
    <w:rsid w:val="00C16698"/>
    <w:rsid w:val="00C35C17"/>
    <w:rsid w:val="00C41D2D"/>
    <w:rsid w:val="00C431BC"/>
    <w:rsid w:val="00C50F60"/>
    <w:rsid w:val="00C6134B"/>
    <w:rsid w:val="00C65E11"/>
    <w:rsid w:val="00C95460"/>
    <w:rsid w:val="00C95DCD"/>
    <w:rsid w:val="00C96909"/>
    <w:rsid w:val="00CA0560"/>
    <w:rsid w:val="00CA6E14"/>
    <w:rsid w:val="00CA748F"/>
    <w:rsid w:val="00D00ABF"/>
    <w:rsid w:val="00D07634"/>
    <w:rsid w:val="00D2261F"/>
    <w:rsid w:val="00D331FE"/>
    <w:rsid w:val="00D34995"/>
    <w:rsid w:val="00D352C7"/>
    <w:rsid w:val="00D361A0"/>
    <w:rsid w:val="00D5632F"/>
    <w:rsid w:val="00D61D7A"/>
    <w:rsid w:val="00D672C8"/>
    <w:rsid w:val="00D7046D"/>
    <w:rsid w:val="00D7617F"/>
    <w:rsid w:val="00D769A2"/>
    <w:rsid w:val="00D77B7B"/>
    <w:rsid w:val="00D800B6"/>
    <w:rsid w:val="00D8329A"/>
    <w:rsid w:val="00DD03F3"/>
    <w:rsid w:val="00DD4664"/>
    <w:rsid w:val="00E20BEF"/>
    <w:rsid w:val="00E42788"/>
    <w:rsid w:val="00E505A7"/>
    <w:rsid w:val="00E55B58"/>
    <w:rsid w:val="00E654DD"/>
    <w:rsid w:val="00E71D6F"/>
    <w:rsid w:val="00EA036F"/>
    <w:rsid w:val="00EB0324"/>
    <w:rsid w:val="00EB12DC"/>
    <w:rsid w:val="00EB5341"/>
    <w:rsid w:val="00EC5677"/>
    <w:rsid w:val="00ED0BDC"/>
    <w:rsid w:val="00EF5947"/>
    <w:rsid w:val="00EF788A"/>
    <w:rsid w:val="00F21EE2"/>
    <w:rsid w:val="00F271CE"/>
    <w:rsid w:val="00F32189"/>
    <w:rsid w:val="00F42368"/>
    <w:rsid w:val="00F45899"/>
    <w:rsid w:val="00F576D4"/>
    <w:rsid w:val="00F71CB1"/>
    <w:rsid w:val="00F730FD"/>
    <w:rsid w:val="00F937D5"/>
    <w:rsid w:val="00F9391B"/>
    <w:rsid w:val="00FA38C2"/>
    <w:rsid w:val="00FA7A42"/>
    <w:rsid w:val="00FB7934"/>
    <w:rsid w:val="00FC15E0"/>
    <w:rsid w:val="00FC5761"/>
    <w:rsid w:val="00FD0B76"/>
    <w:rsid w:val="00FE5BBC"/>
    <w:rsid w:val="00FF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D03B5"/>
  <w15:chartTrackingRefBased/>
  <w15:docId w15:val="{5DAC7D29-685D-774D-97B6-C045CEF6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CA748F"/>
    <w:pPr>
      <w:keepNext/>
      <w:keepLines/>
      <w:spacing w:before="160" w:after="80" w:line="278" w:lineRule="auto"/>
      <w:outlineLvl w:val="1"/>
    </w:pPr>
    <w:rPr>
      <w:rFonts w:ascii="Aptos Display" w:hAnsi="Aptos Display"/>
      <w:color w:val="0F4761"/>
      <w:kern w:val="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1459"/>
    <w:pPr>
      <w:spacing w:before="100" w:beforeAutospacing="1" w:after="100" w:afterAutospacing="1"/>
    </w:pPr>
  </w:style>
  <w:style w:type="character" w:styleId="Strong">
    <w:name w:val="Strong"/>
    <w:basedOn w:val="DefaultParagraphFont"/>
    <w:qFormat/>
    <w:rsid w:val="00311459"/>
    <w:rPr>
      <w:b/>
      <w:bCs/>
    </w:rPr>
  </w:style>
  <w:style w:type="character" w:styleId="Emphasis">
    <w:name w:val="Emphasis"/>
    <w:basedOn w:val="DefaultParagraphFont"/>
    <w:qFormat/>
    <w:rsid w:val="00EF5947"/>
    <w:rPr>
      <w:i/>
      <w:iCs/>
    </w:rPr>
  </w:style>
  <w:style w:type="table" w:styleId="TableGrid">
    <w:name w:val="Table Grid"/>
    <w:basedOn w:val="TableNormal"/>
    <w:rsid w:val="00A77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7B18"/>
    <w:pPr>
      <w:autoSpaceDE w:val="0"/>
      <w:autoSpaceDN w:val="0"/>
      <w:adjustRightInd w:val="0"/>
    </w:pPr>
    <w:rPr>
      <w:rFonts w:ascii="Arial" w:hAnsi="Arial" w:cs="Arial"/>
      <w:color w:val="000000"/>
      <w:sz w:val="24"/>
      <w:szCs w:val="24"/>
    </w:rPr>
  </w:style>
  <w:style w:type="character" w:styleId="Hyperlink">
    <w:name w:val="Hyperlink"/>
    <w:basedOn w:val="DefaultParagraphFont"/>
    <w:rsid w:val="00CA6E14"/>
    <w:rPr>
      <w:color w:val="0000FF"/>
      <w:u w:val="single"/>
    </w:rPr>
  </w:style>
  <w:style w:type="character" w:customStyle="1" w:styleId="Heading2Char">
    <w:name w:val="Heading 2 Char"/>
    <w:basedOn w:val="DefaultParagraphFont"/>
    <w:link w:val="Heading2"/>
    <w:locked/>
    <w:rsid w:val="00CA748F"/>
    <w:rPr>
      <w:rFonts w:ascii="Aptos Display" w:hAnsi="Aptos Display"/>
      <w:color w:val="0F4761"/>
      <w:kern w:val="2"/>
      <w:sz w:val="32"/>
      <w:szCs w:val="32"/>
      <w:lang w:val="en-GB" w:eastAsia="en-US" w:bidi="ar-SA"/>
    </w:rPr>
  </w:style>
  <w:style w:type="paragraph" w:customStyle="1" w:styleId="placeholder">
    <w:name w:val="placeholder"/>
    <w:basedOn w:val="Normal"/>
    <w:rsid w:val="0007314A"/>
    <w:pPr>
      <w:spacing w:before="100" w:beforeAutospacing="1" w:after="100" w:afterAutospacing="1"/>
    </w:pPr>
  </w:style>
  <w:style w:type="paragraph" w:styleId="z-BottomofForm">
    <w:name w:val="HTML Bottom of Form"/>
    <w:basedOn w:val="Normal"/>
    <w:next w:val="Normal"/>
    <w:hidden/>
    <w:rsid w:val="0007314A"/>
    <w:pPr>
      <w:pBdr>
        <w:top w:val="single" w:sz="6" w:space="1" w:color="auto"/>
      </w:pBdr>
      <w:jc w:val="center"/>
    </w:pPr>
    <w:rPr>
      <w:rFonts w:ascii="Arial" w:hAnsi="Arial" w:cs="Arial"/>
      <w:vanish/>
      <w:sz w:val="16"/>
      <w:szCs w:val="16"/>
    </w:rPr>
  </w:style>
  <w:style w:type="character" w:styleId="UnresolvedMention">
    <w:name w:val="Unresolved Mention"/>
    <w:basedOn w:val="DefaultParagraphFont"/>
    <w:uiPriority w:val="99"/>
    <w:semiHidden/>
    <w:unhideWhenUsed/>
    <w:rsid w:val="00903B7F"/>
    <w:rPr>
      <w:color w:val="605E5C"/>
      <w:shd w:val="clear" w:color="auto" w:fill="E1DFDD"/>
    </w:rPr>
  </w:style>
  <w:style w:type="paragraph" w:styleId="Header">
    <w:name w:val="header"/>
    <w:basedOn w:val="Normal"/>
    <w:link w:val="HeaderChar"/>
    <w:rsid w:val="00EB12DC"/>
    <w:pPr>
      <w:tabs>
        <w:tab w:val="center" w:pos="4680"/>
        <w:tab w:val="right" w:pos="9360"/>
      </w:tabs>
    </w:pPr>
  </w:style>
  <w:style w:type="character" w:customStyle="1" w:styleId="HeaderChar">
    <w:name w:val="Header Char"/>
    <w:basedOn w:val="DefaultParagraphFont"/>
    <w:link w:val="Header"/>
    <w:rsid w:val="00EB12DC"/>
    <w:rPr>
      <w:sz w:val="24"/>
      <w:szCs w:val="24"/>
    </w:rPr>
  </w:style>
  <w:style w:type="paragraph" w:styleId="Footer">
    <w:name w:val="footer"/>
    <w:basedOn w:val="Normal"/>
    <w:link w:val="FooterChar"/>
    <w:rsid w:val="00EB12DC"/>
    <w:pPr>
      <w:tabs>
        <w:tab w:val="center" w:pos="4680"/>
        <w:tab w:val="right" w:pos="9360"/>
      </w:tabs>
    </w:pPr>
  </w:style>
  <w:style w:type="character" w:customStyle="1" w:styleId="FooterChar">
    <w:name w:val="Footer Char"/>
    <w:basedOn w:val="DefaultParagraphFont"/>
    <w:link w:val="Footer"/>
    <w:rsid w:val="00EB12DC"/>
    <w:rPr>
      <w:sz w:val="24"/>
      <w:szCs w:val="24"/>
    </w:rPr>
  </w:style>
  <w:style w:type="paragraph" w:styleId="Revision">
    <w:name w:val="Revision"/>
    <w:hidden/>
    <w:uiPriority w:val="99"/>
    <w:semiHidden/>
    <w:rsid w:val="00E654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5512">
      <w:bodyDiv w:val="1"/>
      <w:marLeft w:val="0"/>
      <w:marRight w:val="0"/>
      <w:marTop w:val="0"/>
      <w:marBottom w:val="0"/>
      <w:divBdr>
        <w:top w:val="none" w:sz="0" w:space="0" w:color="auto"/>
        <w:left w:val="none" w:sz="0" w:space="0" w:color="auto"/>
        <w:bottom w:val="none" w:sz="0" w:space="0" w:color="auto"/>
        <w:right w:val="none" w:sz="0" w:space="0" w:color="auto"/>
      </w:divBdr>
    </w:div>
    <w:div w:id="156505631">
      <w:bodyDiv w:val="1"/>
      <w:marLeft w:val="0"/>
      <w:marRight w:val="0"/>
      <w:marTop w:val="0"/>
      <w:marBottom w:val="0"/>
      <w:divBdr>
        <w:top w:val="none" w:sz="0" w:space="0" w:color="auto"/>
        <w:left w:val="none" w:sz="0" w:space="0" w:color="auto"/>
        <w:bottom w:val="none" w:sz="0" w:space="0" w:color="auto"/>
        <w:right w:val="none" w:sz="0" w:space="0" w:color="auto"/>
      </w:divBdr>
    </w:div>
    <w:div w:id="476073038">
      <w:bodyDiv w:val="1"/>
      <w:marLeft w:val="0"/>
      <w:marRight w:val="0"/>
      <w:marTop w:val="0"/>
      <w:marBottom w:val="0"/>
      <w:divBdr>
        <w:top w:val="none" w:sz="0" w:space="0" w:color="auto"/>
        <w:left w:val="none" w:sz="0" w:space="0" w:color="auto"/>
        <w:bottom w:val="none" w:sz="0" w:space="0" w:color="auto"/>
        <w:right w:val="none" w:sz="0" w:space="0" w:color="auto"/>
      </w:divBdr>
    </w:div>
    <w:div w:id="580680200">
      <w:bodyDiv w:val="1"/>
      <w:marLeft w:val="0"/>
      <w:marRight w:val="0"/>
      <w:marTop w:val="0"/>
      <w:marBottom w:val="0"/>
      <w:divBdr>
        <w:top w:val="none" w:sz="0" w:space="0" w:color="auto"/>
        <w:left w:val="none" w:sz="0" w:space="0" w:color="auto"/>
        <w:bottom w:val="none" w:sz="0" w:space="0" w:color="auto"/>
        <w:right w:val="none" w:sz="0" w:space="0" w:color="auto"/>
      </w:divBdr>
    </w:div>
    <w:div w:id="705302124">
      <w:bodyDiv w:val="1"/>
      <w:marLeft w:val="0"/>
      <w:marRight w:val="0"/>
      <w:marTop w:val="0"/>
      <w:marBottom w:val="0"/>
      <w:divBdr>
        <w:top w:val="none" w:sz="0" w:space="0" w:color="auto"/>
        <w:left w:val="none" w:sz="0" w:space="0" w:color="auto"/>
        <w:bottom w:val="none" w:sz="0" w:space="0" w:color="auto"/>
        <w:right w:val="none" w:sz="0" w:space="0" w:color="auto"/>
      </w:divBdr>
    </w:div>
    <w:div w:id="726298003">
      <w:bodyDiv w:val="1"/>
      <w:marLeft w:val="0"/>
      <w:marRight w:val="0"/>
      <w:marTop w:val="0"/>
      <w:marBottom w:val="0"/>
      <w:divBdr>
        <w:top w:val="none" w:sz="0" w:space="0" w:color="auto"/>
        <w:left w:val="none" w:sz="0" w:space="0" w:color="auto"/>
        <w:bottom w:val="none" w:sz="0" w:space="0" w:color="auto"/>
        <w:right w:val="none" w:sz="0" w:space="0" w:color="auto"/>
      </w:divBdr>
    </w:div>
    <w:div w:id="1078286537">
      <w:bodyDiv w:val="1"/>
      <w:marLeft w:val="0"/>
      <w:marRight w:val="0"/>
      <w:marTop w:val="0"/>
      <w:marBottom w:val="0"/>
      <w:divBdr>
        <w:top w:val="none" w:sz="0" w:space="0" w:color="auto"/>
        <w:left w:val="none" w:sz="0" w:space="0" w:color="auto"/>
        <w:bottom w:val="none" w:sz="0" w:space="0" w:color="auto"/>
        <w:right w:val="none" w:sz="0" w:space="0" w:color="auto"/>
      </w:divBdr>
    </w:div>
    <w:div w:id="1343388573">
      <w:bodyDiv w:val="1"/>
      <w:marLeft w:val="0"/>
      <w:marRight w:val="0"/>
      <w:marTop w:val="0"/>
      <w:marBottom w:val="0"/>
      <w:divBdr>
        <w:top w:val="none" w:sz="0" w:space="0" w:color="auto"/>
        <w:left w:val="none" w:sz="0" w:space="0" w:color="auto"/>
        <w:bottom w:val="none" w:sz="0" w:space="0" w:color="auto"/>
        <w:right w:val="none" w:sz="0" w:space="0" w:color="auto"/>
      </w:divBdr>
    </w:div>
    <w:div w:id="1350373547">
      <w:bodyDiv w:val="1"/>
      <w:marLeft w:val="0"/>
      <w:marRight w:val="0"/>
      <w:marTop w:val="0"/>
      <w:marBottom w:val="0"/>
      <w:divBdr>
        <w:top w:val="none" w:sz="0" w:space="0" w:color="auto"/>
        <w:left w:val="none" w:sz="0" w:space="0" w:color="auto"/>
        <w:bottom w:val="none" w:sz="0" w:space="0" w:color="auto"/>
        <w:right w:val="none" w:sz="0" w:space="0" w:color="auto"/>
      </w:divBdr>
    </w:div>
    <w:div w:id="1421638652">
      <w:bodyDiv w:val="1"/>
      <w:marLeft w:val="0"/>
      <w:marRight w:val="0"/>
      <w:marTop w:val="0"/>
      <w:marBottom w:val="0"/>
      <w:divBdr>
        <w:top w:val="none" w:sz="0" w:space="0" w:color="auto"/>
        <w:left w:val="none" w:sz="0" w:space="0" w:color="auto"/>
        <w:bottom w:val="none" w:sz="0" w:space="0" w:color="auto"/>
        <w:right w:val="none" w:sz="0" w:space="0" w:color="auto"/>
      </w:divBdr>
    </w:div>
    <w:div w:id="1479421716">
      <w:bodyDiv w:val="1"/>
      <w:marLeft w:val="0"/>
      <w:marRight w:val="0"/>
      <w:marTop w:val="0"/>
      <w:marBottom w:val="0"/>
      <w:divBdr>
        <w:top w:val="none" w:sz="0" w:space="0" w:color="auto"/>
        <w:left w:val="none" w:sz="0" w:space="0" w:color="auto"/>
        <w:bottom w:val="none" w:sz="0" w:space="0" w:color="auto"/>
        <w:right w:val="none" w:sz="0" w:space="0" w:color="auto"/>
      </w:divBdr>
      <w:divsChild>
        <w:div w:id="13893694">
          <w:marLeft w:val="0"/>
          <w:marRight w:val="0"/>
          <w:marTop w:val="0"/>
          <w:marBottom w:val="0"/>
          <w:divBdr>
            <w:top w:val="none" w:sz="0" w:space="0" w:color="auto"/>
            <w:left w:val="none" w:sz="0" w:space="0" w:color="auto"/>
            <w:bottom w:val="none" w:sz="0" w:space="0" w:color="auto"/>
            <w:right w:val="none" w:sz="0" w:space="0" w:color="auto"/>
          </w:divBdr>
          <w:divsChild>
            <w:div w:id="1714959524">
              <w:marLeft w:val="0"/>
              <w:marRight w:val="0"/>
              <w:marTop w:val="0"/>
              <w:marBottom w:val="0"/>
              <w:divBdr>
                <w:top w:val="none" w:sz="0" w:space="0" w:color="auto"/>
                <w:left w:val="none" w:sz="0" w:space="0" w:color="auto"/>
                <w:bottom w:val="none" w:sz="0" w:space="0" w:color="auto"/>
                <w:right w:val="none" w:sz="0" w:space="0" w:color="auto"/>
              </w:divBdr>
              <w:divsChild>
                <w:div w:id="1561550714">
                  <w:marLeft w:val="0"/>
                  <w:marRight w:val="0"/>
                  <w:marTop w:val="0"/>
                  <w:marBottom w:val="0"/>
                  <w:divBdr>
                    <w:top w:val="none" w:sz="0" w:space="0" w:color="auto"/>
                    <w:left w:val="none" w:sz="0" w:space="0" w:color="auto"/>
                    <w:bottom w:val="none" w:sz="0" w:space="0" w:color="auto"/>
                    <w:right w:val="none" w:sz="0" w:space="0" w:color="auto"/>
                  </w:divBdr>
                  <w:divsChild>
                    <w:div w:id="1922788358">
                      <w:marLeft w:val="0"/>
                      <w:marRight w:val="0"/>
                      <w:marTop w:val="0"/>
                      <w:marBottom w:val="0"/>
                      <w:divBdr>
                        <w:top w:val="none" w:sz="0" w:space="0" w:color="auto"/>
                        <w:left w:val="none" w:sz="0" w:space="0" w:color="auto"/>
                        <w:bottom w:val="none" w:sz="0" w:space="0" w:color="auto"/>
                        <w:right w:val="none" w:sz="0" w:space="0" w:color="auto"/>
                      </w:divBdr>
                      <w:divsChild>
                        <w:div w:id="142697872">
                          <w:marLeft w:val="0"/>
                          <w:marRight w:val="0"/>
                          <w:marTop w:val="0"/>
                          <w:marBottom w:val="0"/>
                          <w:divBdr>
                            <w:top w:val="none" w:sz="0" w:space="0" w:color="auto"/>
                            <w:left w:val="none" w:sz="0" w:space="0" w:color="auto"/>
                            <w:bottom w:val="none" w:sz="0" w:space="0" w:color="auto"/>
                            <w:right w:val="none" w:sz="0" w:space="0" w:color="auto"/>
                          </w:divBdr>
                          <w:divsChild>
                            <w:div w:id="391000328">
                              <w:marLeft w:val="0"/>
                              <w:marRight w:val="0"/>
                              <w:marTop w:val="0"/>
                              <w:marBottom w:val="0"/>
                              <w:divBdr>
                                <w:top w:val="none" w:sz="0" w:space="0" w:color="auto"/>
                                <w:left w:val="none" w:sz="0" w:space="0" w:color="auto"/>
                                <w:bottom w:val="none" w:sz="0" w:space="0" w:color="auto"/>
                                <w:right w:val="none" w:sz="0" w:space="0" w:color="auto"/>
                              </w:divBdr>
                              <w:divsChild>
                                <w:div w:id="27494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919879">
      <w:bodyDiv w:val="1"/>
      <w:marLeft w:val="0"/>
      <w:marRight w:val="0"/>
      <w:marTop w:val="0"/>
      <w:marBottom w:val="0"/>
      <w:divBdr>
        <w:top w:val="none" w:sz="0" w:space="0" w:color="auto"/>
        <w:left w:val="none" w:sz="0" w:space="0" w:color="auto"/>
        <w:bottom w:val="none" w:sz="0" w:space="0" w:color="auto"/>
        <w:right w:val="none" w:sz="0" w:space="0" w:color="auto"/>
      </w:divBdr>
    </w:div>
    <w:div w:id="1720933078">
      <w:bodyDiv w:val="1"/>
      <w:marLeft w:val="0"/>
      <w:marRight w:val="0"/>
      <w:marTop w:val="0"/>
      <w:marBottom w:val="0"/>
      <w:divBdr>
        <w:top w:val="none" w:sz="0" w:space="0" w:color="auto"/>
        <w:left w:val="none" w:sz="0" w:space="0" w:color="auto"/>
        <w:bottom w:val="none" w:sz="0" w:space="0" w:color="auto"/>
        <w:right w:val="none" w:sz="0" w:space="0" w:color="auto"/>
      </w:divBdr>
    </w:div>
    <w:div w:id="1836531897">
      <w:bodyDiv w:val="1"/>
      <w:marLeft w:val="0"/>
      <w:marRight w:val="0"/>
      <w:marTop w:val="0"/>
      <w:marBottom w:val="0"/>
      <w:divBdr>
        <w:top w:val="none" w:sz="0" w:space="0" w:color="auto"/>
        <w:left w:val="none" w:sz="0" w:space="0" w:color="auto"/>
        <w:bottom w:val="none" w:sz="0" w:space="0" w:color="auto"/>
        <w:right w:val="none" w:sz="0" w:space="0" w:color="auto"/>
      </w:divBdr>
    </w:div>
    <w:div w:id="1844011590">
      <w:bodyDiv w:val="1"/>
      <w:marLeft w:val="0"/>
      <w:marRight w:val="0"/>
      <w:marTop w:val="0"/>
      <w:marBottom w:val="0"/>
      <w:divBdr>
        <w:top w:val="none" w:sz="0" w:space="0" w:color="auto"/>
        <w:left w:val="none" w:sz="0" w:space="0" w:color="auto"/>
        <w:bottom w:val="none" w:sz="0" w:space="0" w:color="auto"/>
        <w:right w:val="none" w:sz="0" w:space="0" w:color="auto"/>
      </w:divBdr>
    </w:div>
    <w:div w:id="1935819653">
      <w:bodyDiv w:val="1"/>
      <w:marLeft w:val="0"/>
      <w:marRight w:val="0"/>
      <w:marTop w:val="0"/>
      <w:marBottom w:val="0"/>
      <w:divBdr>
        <w:top w:val="none" w:sz="0" w:space="0" w:color="auto"/>
        <w:left w:val="none" w:sz="0" w:space="0" w:color="auto"/>
        <w:bottom w:val="none" w:sz="0" w:space="0" w:color="auto"/>
        <w:right w:val="none" w:sz="0" w:space="0" w:color="auto"/>
      </w:divBdr>
    </w:div>
    <w:div w:id="2070610214">
      <w:bodyDiv w:val="1"/>
      <w:marLeft w:val="0"/>
      <w:marRight w:val="0"/>
      <w:marTop w:val="0"/>
      <w:marBottom w:val="0"/>
      <w:divBdr>
        <w:top w:val="none" w:sz="0" w:space="0" w:color="auto"/>
        <w:left w:val="none" w:sz="0" w:space="0" w:color="auto"/>
        <w:bottom w:val="none" w:sz="0" w:space="0" w:color="auto"/>
        <w:right w:val="none" w:sz="0" w:space="0" w:color="auto"/>
      </w:divBdr>
      <w:divsChild>
        <w:div w:id="27802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cancers17050843" TargetMode="External"/><Relationship Id="rId13" Type="http://schemas.openxmlformats.org/officeDocument/2006/relationships/hyperlink" Target="https://doi.org/10.1186/s12889-023-16793-3"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doi.org/10.1016/j.eurox.2023.100229" TargetMode="External"/><Relationship Id="rId12" Type="http://schemas.openxmlformats.org/officeDocument/2006/relationships/hyperlink" Target="https://doi.org/10.1038/srep22386" TargetMode="External"/><Relationship Id="rId17" Type="http://schemas.openxmlformats.org/officeDocument/2006/relationships/hyperlink" Target="https://doi.org/10.9734/ajess/2025/v51i92462"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8203/2320-1770.ijrcog20232923"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doi.org/10.3390/ijms21207796" TargetMode="External"/><Relationship Id="rId11" Type="http://schemas.openxmlformats.org/officeDocument/2006/relationships/hyperlink" Target="https://doi.org/10.3390/cimb47020101"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3390/cells11142147" TargetMode="External"/><Relationship Id="rId23" Type="http://schemas.openxmlformats.org/officeDocument/2006/relationships/footer" Target="footer3.xml"/><Relationship Id="rId10" Type="http://schemas.openxmlformats.org/officeDocument/2006/relationships/hyperlink" Target="https://doi.org/10.3390/diagnostics15050547"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ncbi.nlm.nih.gov/books/NBK279031/" TargetMode="External"/><Relationship Id="rId14" Type="http://schemas.openxmlformats.org/officeDocument/2006/relationships/hyperlink" Target="https://doi.org/10.1038/s41598-023-33648-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23</Pages>
  <Words>5722</Words>
  <Characters>35940</Characters>
  <Application>Microsoft Office Word</Application>
  <DocSecurity>0</DocSecurity>
  <Lines>299</Lines>
  <Paragraphs>83</Paragraphs>
  <ScaleCrop>false</ScaleCrop>
  <HeadingPairs>
    <vt:vector size="2" baseType="variant">
      <vt:variant>
        <vt:lpstr>Title</vt:lpstr>
      </vt:variant>
      <vt:variant>
        <vt:i4>1</vt:i4>
      </vt:variant>
    </vt:vector>
  </HeadingPairs>
  <TitlesOfParts>
    <vt:vector size="1" baseType="lpstr">
      <vt:lpstr>Evaluation of Fructose, Zinc, Citric Acid, and Sperm Quality in Infertile Male Subjects Attending Fertility Clinic in Lagos Metropolis</vt:lpstr>
    </vt:vector>
  </TitlesOfParts>
  <Company>Hewlett-Packard</Company>
  <LinksUpToDate>false</LinksUpToDate>
  <CharactersWithSpaces>41579</CharactersWithSpaces>
  <SharedDoc>false</SharedDoc>
  <HLinks>
    <vt:vector size="42" baseType="variant">
      <vt:variant>
        <vt:i4>1572933</vt:i4>
      </vt:variant>
      <vt:variant>
        <vt:i4>18</vt:i4>
      </vt:variant>
      <vt:variant>
        <vt:i4>0</vt:i4>
      </vt:variant>
      <vt:variant>
        <vt:i4>5</vt:i4>
      </vt:variant>
      <vt:variant>
        <vt:lpwstr>https://doi.org/10.1038/srep22386</vt:lpwstr>
      </vt:variant>
      <vt:variant>
        <vt:lpwstr/>
      </vt:variant>
      <vt:variant>
        <vt:i4>1441875</vt:i4>
      </vt:variant>
      <vt:variant>
        <vt:i4>15</vt:i4>
      </vt:variant>
      <vt:variant>
        <vt:i4>0</vt:i4>
      </vt:variant>
      <vt:variant>
        <vt:i4>5</vt:i4>
      </vt:variant>
      <vt:variant>
        <vt:lpwstr>https://doi.org/10.3390/cimb47020101</vt:lpwstr>
      </vt:variant>
      <vt:variant>
        <vt:lpwstr/>
      </vt:variant>
      <vt:variant>
        <vt:i4>7012462</vt:i4>
      </vt:variant>
      <vt:variant>
        <vt:i4>12</vt:i4>
      </vt:variant>
      <vt:variant>
        <vt:i4>0</vt:i4>
      </vt:variant>
      <vt:variant>
        <vt:i4>5</vt:i4>
      </vt:variant>
      <vt:variant>
        <vt:lpwstr>https://doi.org/10.3390/diagnostics15050547</vt:lpwstr>
      </vt:variant>
      <vt:variant>
        <vt:lpwstr/>
      </vt:variant>
      <vt:variant>
        <vt:i4>1769558</vt:i4>
      </vt:variant>
      <vt:variant>
        <vt:i4>9</vt:i4>
      </vt:variant>
      <vt:variant>
        <vt:i4>0</vt:i4>
      </vt:variant>
      <vt:variant>
        <vt:i4>5</vt:i4>
      </vt:variant>
      <vt:variant>
        <vt:lpwstr>https://www.ncbi.nlm.nih.gov/books/NBK279031/</vt:lpwstr>
      </vt:variant>
      <vt:variant>
        <vt:lpwstr/>
      </vt:variant>
      <vt:variant>
        <vt:i4>7143544</vt:i4>
      </vt:variant>
      <vt:variant>
        <vt:i4>6</vt:i4>
      </vt:variant>
      <vt:variant>
        <vt:i4>0</vt:i4>
      </vt:variant>
      <vt:variant>
        <vt:i4>5</vt:i4>
      </vt:variant>
      <vt:variant>
        <vt:lpwstr>https://doi.org/10.3390/cancers17050843</vt:lpwstr>
      </vt:variant>
      <vt:variant>
        <vt:lpwstr/>
      </vt:variant>
      <vt:variant>
        <vt:i4>3670133</vt:i4>
      </vt:variant>
      <vt:variant>
        <vt:i4>3</vt:i4>
      </vt:variant>
      <vt:variant>
        <vt:i4>0</vt:i4>
      </vt:variant>
      <vt:variant>
        <vt:i4>5</vt:i4>
      </vt:variant>
      <vt:variant>
        <vt:lpwstr>https://doi.org/10.1016/j.eurox.2023.100229</vt:lpwstr>
      </vt:variant>
      <vt:variant>
        <vt:lpwstr/>
      </vt:variant>
      <vt:variant>
        <vt:i4>65619</vt:i4>
      </vt:variant>
      <vt:variant>
        <vt:i4>0</vt:i4>
      </vt:variant>
      <vt:variant>
        <vt:i4>0</vt:i4>
      </vt:variant>
      <vt:variant>
        <vt:i4>5</vt:i4>
      </vt:variant>
      <vt:variant>
        <vt:lpwstr>https://doi.org/10.3390/ijms21207796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Fructose, Zinc, Citric Acid, and Sperm Quality in Infertile Male Subjects Attending Fertility Clinic in Lagos Metropolis</dc:title>
  <dc:subject/>
  <dc:creator>T. Prince</dc:creator>
  <cp:keywords/>
  <dc:description/>
  <cp:lastModifiedBy>Editor-17</cp:lastModifiedBy>
  <cp:revision>24</cp:revision>
  <dcterms:created xsi:type="dcterms:W3CDTF">2026-03-05T03:50:00Z</dcterms:created>
  <dcterms:modified xsi:type="dcterms:W3CDTF">2026-03-26T11:30:00Z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c9132a14-9d85-45ef-ab5d-54c3ff255ad8</vt:lpwstr>
  </property>
</Properties>
</file>