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document.xml" ContentType="application/vnd.openxmlformats-officedocument.wordprocessingml.document.main+xml"/>
  <Override PartName="/word/footer4.xml" ContentType="application/vnd.openxmlformats-officedocument.wordprocessingml.footer+xml"/>
  <Override PartName="/word/header2.xml" ContentType="application/vnd.openxmlformats-officedocument.wordprocessingml.header+xml"/>
  <Override PartName="/word/numbering.xml" ContentType="application/vnd.openxmlformats-officedocument.wordprocessingml.numbering+xml"/>
  <Override PartName="/word/header1.xml" ContentType="application/vnd.openxmlformats-officedocument.wordprocessingml.header+xml"/>
  <Override PartName="/word/footer3.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rPr>
          <w:rFonts w:ascii="Times New Roman" w:hAnsi="Times New Roman" w:eastAsia="Times New Roman" w:cs="Times New Roman"/>
          <w:color w:val="080809"/>
          <w:sz w:val="24"/>
          <w:szCs w:val="24"/>
        </w:rPr>
      </w:pPr>
      <w:r>
        <w:rPr>
          <w:rFonts w:eastAsia="Times New Roman" w:cs="Times New Roman" w:ascii="Times New Roman" w:hAnsi="Times New Roman"/>
          <w:b/>
          <w:bCs/>
          <w:sz w:val="24"/>
          <w:szCs w:val="24"/>
        </w:rPr>
        <w:t>National Landscape of Antimicrobial Resistance in the Philippines: A Systematic Review of Surveillance and Clinical Data</w:t>
      </w:r>
      <w:r>
        <w:rPr>
          <w:rFonts w:eastAsia="Times New Roman" w:cs="Times New Roman" w:ascii="Times New Roman" w:hAnsi="Times New Roman"/>
          <w:sz w:val="24"/>
          <w:szCs w:val="24"/>
        </w:rPr>
        <w:br/>
        <w:br/>
      </w:r>
    </w:p>
    <w:p>
      <w:pPr>
        <w:pStyle w:val="normal1"/>
        <w:rPr>
          <w:rFonts w:ascii="Times New Roman" w:hAnsi="Times New Roman" w:eastAsia="Times New Roman" w:cs="Times New Roman"/>
          <w:b/>
          <w:bCs/>
          <w:sz w:val="24"/>
          <w:szCs w:val="24"/>
        </w:rPr>
      </w:pPr>
      <w:r>
        <w:rPr>
          <w:rFonts w:eastAsia="Times New Roman" w:cs="Times New Roman" w:ascii="Times New Roman" w:hAnsi="Times New Roman"/>
          <w:sz w:val="24"/>
          <w:szCs w:val="24"/>
        </w:rPr>
        <w:br/>
      </w:r>
      <w:r>
        <w:rPr>
          <w:rFonts w:eastAsia="Times New Roman" w:cs="Times New Roman" w:ascii="Times New Roman" w:hAnsi="Times New Roman"/>
          <w:b/>
          <w:bCs/>
          <w:sz w:val="24"/>
          <w:szCs w:val="24"/>
        </w:rPr>
        <w:t>ABSTRACT</w:t>
      </w:r>
    </w:p>
    <w:p>
      <w:pPr>
        <w:pStyle w:val="Heading3"/>
        <w:keepNext w:val="false"/>
        <w:keepLines w:val="false"/>
        <w:spacing w:before="280" w:after="80"/>
        <w:jc w:val="both"/>
        <w:rPr>
          <w:rFonts w:ascii="Times New Roman" w:hAnsi="Times New Roman" w:eastAsia="Times New Roman" w:cs="Times New Roman"/>
          <w:color w:val="000000"/>
          <w:sz w:val="24"/>
          <w:szCs w:val="24"/>
        </w:rPr>
      </w:pPr>
      <w:bookmarkStart w:id="0" w:name="_pls2o5h80ake"/>
      <w:bookmarkEnd w:id="0"/>
      <w:r>
        <w:rPr>
          <w:rFonts w:eastAsia="Times New Roman" w:cs="Times New Roman" w:ascii="Times New Roman" w:hAnsi="Times New Roman"/>
          <w:b/>
          <w:bCs/>
          <w:color w:val="000000"/>
          <w:sz w:val="24"/>
          <w:szCs w:val="24"/>
        </w:rPr>
        <w:t>Background:</w:t>
      </w:r>
      <w:r>
        <w:rPr>
          <w:rFonts w:eastAsia="Times New Roman" w:cs="Times New Roman" w:ascii="Times New Roman" w:hAnsi="Times New Roman"/>
          <w:color w:val="000000"/>
          <w:sz w:val="24"/>
          <w:szCs w:val="24"/>
        </w:rPr>
        <w:t xml:space="preserve"> Antimicrobial resistance (AMR) is an escalating global public health threat that reduces the effectiveness of antimicrobial therapies and contributes to increased morbidity, mortality, and healthcare costs. In the Philippines, rising antibiotic consumption, self-medication, and inconsistent antimicrobial stewardship practices have accelerated the emergence of resistant pathogens. However, existing evidence remains fragmented across surveillance reports and clinical studies, limiting a comprehensive understanding of national resistance patterns.</w:t>
      </w:r>
    </w:p>
    <w:p>
      <w:pPr>
        <w:pStyle w:val="Heading3"/>
        <w:keepNext w:val="false"/>
        <w:keepLines w:val="false"/>
        <w:spacing w:before="280" w:after="80"/>
        <w:jc w:val="both"/>
        <w:rPr>
          <w:rFonts w:ascii="Times New Roman" w:hAnsi="Times New Roman" w:eastAsia="Times New Roman" w:cs="Times New Roman"/>
          <w:color w:val="000000"/>
          <w:sz w:val="24"/>
          <w:szCs w:val="24"/>
        </w:rPr>
      </w:pPr>
      <w:bookmarkStart w:id="1" w:name="_vztujexe97j2"/>
      <w:bookmarkEnd w:id="1"/>
      <w:r>
        <w:rPr>
          <w:rFonts w:eastAsia="Times New Roman" w:cs="Times New Roman" w:ascii="Times New Roman" w:hAnsi="Times New Roman"/>
          <w:b/>
          <w:bCs/>
          <w:color w:val="000000"/>
          <w:sz w:val="24"/>
          <w:szCs w:val="24"/>
        </w:rPr>
        <w:t xml:space="preserve">Methods: </w:t>
      </w:r>
      <w:r>
        <w:rPr>
          <w:rFonts w:eastAsia="Times New Roman" w:cs="Times New Roman" w:ascii="Times New Roman" w:hAnsi="Times New Roman"/>
          <w:color w:val="000000"/>
          <w:sz w:val="24"/>
          <w:szCs w:val="24"/>
        </w:rPr>
        <w:t>This study employed a systematic review design in accordance with PRISMA 2020 guidelines and was registered in the PROSPERO database (CRD420261360657). A comprehensive literature search was conducted using PubMed/MEDLINE, Scopus, and Web of Science, supplemented by national surveillance reports. Studies published from January 2008 to April 2026 reporting antimicrobial resistance data from human clinical isolates in the Philippines were included. Eligible studies were screened based on predefined criteria, and data were extracted and synthesized using a narrative descriptive approach.</w:t>
      </w:r>
    </w:p>
    <w:p>
      <w:pPr>
        <w:pStyle w:val="Heading3"/>
        <w:keepNext w:val="false"/>
        <w:keepLines w:val="false"/>
        <w:spacing w:before="280" w:after="80"/>
        <w:jc w:val="both"/>
        <w:rPr>
          <w:rFonts w:ascii="Times New Roman" w:hAnsi="Times New Roman" w:eastAsia="Times New Roman" w:cs="Times New Roman"/>
          <w:color w:val="000000"/>
          <w:sz w:val="24"/>
          <w:szCs w:val="24"/>
        </w:rPr>
      </w:pPr>
      <w:bookmarkStart w:id="2" w:name="_nyrpwnlkcbh8"/>
      <w:bookmarkEnd w:id="2"/>
      <w:r>
        <w:rPr>
          <w:rFonts w:eastAsia="Times New Roman" w:cs="Times New Roman" w:ascii="Times New Roman" w:hAnsi="Times New Roman"/>
          <w:b/>
          <w:bCs/>
          <w:color w:val="000000"/>
          <w:sz w:val="24"/>
          <w:szCs w:val="24"/>
        </w:rPr>
        <w:t xml:space="preserve">Results: </w:t>
      </w:r>
      <w:r>
        <w:rPr>
          <w:rFonts w:eastAsia="Times New Roman" w:cs="Times New Roman" w:ascii="Times New Roman" w:hAnsi="Times New Roman"/>
          <w:color w:val="000000"/>
          <w:sz w:val="24"/>
          <w:szCs w:val="24"/>
        </w:rPr>
        <w:t xml:space="preserve">A total of 14 studies met the inclusion criteria. Findings consistently identified Gram-negative pathogens, particularly </w:t>
      </w:r>
      <w:r>
        <w:rPr>
          <w:rFonts w:eastAsia="Times New Roman" w:cs="Times New Roman" w:ascii="Times New Roman" w:hAnsi="Times New Roman"/>
          <w:i/>
          <w:iCs/>
          <w:color w:val="000000"/>
          <w:sz w:val="24"/>
          <w:szCs w:val="24"/>
        </w:rPr>
        <w:t>Escherichia coli</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i/>
          <w:iCs/>
          <w:color w:val="000000"/>
          <w:sz w:val="24"/>
          <w:szCs w:val="24"/>
        </w:rPr>
        <w:t>Klebsiella pneumoniae</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i/>
          <w:iCs/>
          <w:color w:val="000000"/>
          <w:sz w:val="24"/>
          <w:szCs w:val="24"/>
        </w:rPr>
        <w:t>Acinetobacter baumannii</w:t>
      </w:r>
      <w:r>
        <w:rPr>
          <w:rFonts w:eastAsia="Times New Roman" w:cs="Times New Roman" w:ascii="Times New Roman" w:hAnsi="Times New Roman"/>
          <w:color w:val="000000"/>
          <w:sz w:val="24"/>
          <w:szCs w:val="24"/>
        </w:rPr>
        <w:t xml:space="preserve">, and </w:t>
      </w:r>
      <w:r>
        <w:rPr>
          <w:rFonts w:eastAsia="Times New Roman" w:cs="Times New Roman" w:ascii="Times New Roman" w:hAnsi="Times New Roman"/>
          <w:i/>
          <w:iCs/>
          <w:color w:val="000000"/>
          <w:sz w:val="24"/>
          <w:szCs w:val="24"/>
        </w:rPr>
        <w:t>Pseudomonas aeruginosa</w:t>
      </w:r>
      <w:r>
        <w:rPr>
          <w:rFonts w:eastAsia="Times New Roman" w:cs="Times New Roman" w:ascii="Times New Roman" w:hAnsi="Times New Roman"/>
          <w:color w:val="000000"/>
          <w:sz w:val="24"/>
          <w:szCs w:val="24"/>
        </w:rPr>
        <w:t xml:space="preserve">, as the primary contributors to antimicrobial resistance. High resistance rates to critical antibiotics, including carbapenems and third-generation cephalosporins, were observed, with </w:t>
      </w:r>
      <w:r>
        <w:rPr>
          <w:rFonts w:eastAsia="Times New Roman" w:cs="Times New Roman" w:ascii="Times New Roman" w:hAnsi="Times New Roman"/>
          <w:i/>
          <w:iCs/>
          <w:color w:val="000000"/>
          <w:sz w:val="24"/>
          <w:szCs w:val="24"/>
        </w:rPr>
        <w:t>Acinetobacter baumannii</w:t>
      </w:r>
      <w:r>
        <w:rPr>
          <w:rFonts w:eastAsia="Times New Roman" w:cs="Times New Roman" w:ascii="Times New Roman" w:hAnsi="Times New Roman"/>
          <w:color w:val="000000"/>
          <w:sz w:val="24"/>
          <w:szCs w:val="24"/>
        </w:rPr>
        <w:t xml:space="preserve"> demonstrating resistance levels of up to 56%. Increasing resistance trends were noted following the COVID-19 pandemic, alongside strong associations between antimicrobial consumption and resistance patterns. Molecular evidence revealed the role of clonal dissemination and horizontal gene transfer, with key resistance genes such as blaNDM (gene encoding New Delhi metallo-β-lactamase, an enzyme that confers resistance to carbapenem antibiotics) and blaOXA (gene encoding OXA-type β-lactamase enzymes, which confer resistance to β-lactam antibiotics, including carbapenems in some variants) identified. AMR was associated with substantial clinical burden, including mortality rates of up to 60% in severe infections.</w:t>
      </w:r>
    </w:p>
    <w:p>
      <w:pPr>
        <w:pStyle w:val="Heading3"/>
        <w:keepNext w:val="false"/>
        <w:keepLines w:val="false"/>
        <w:spacing w:before="280" w:after="80"/>
        <w:jc w:val="both"/>
        <w:rPr>
          <w:rFonts w:ascii="Times New Roman" w:hAnsi="Times New Roman" w:eastAsia="Times New Roman" w:cs="Times New Roman"/>
          <w:color w:val="000000"/>
          <w:sz w:val="24"/>
          <w:szCs w:val="24"/>
        </w:rPr>
      </w:pPr>
      <w:bookmarkStart w:id="3" w:name="_ylejie7192fz"/>
      <w:bookmarkEnd w:id="3"/>
      <w:r>
        <w:rPr>
          <w:rFonts w:eastAsia="Times New Roman" w:cs="Times New Roman" w:ascii="Times New Roman" w:hAnsi="Times New Roman"/>
          <w:b/>
          <w:bCs/>
          <w:color w:val="000000"/>
          <w:sz w:val="24"/>
          <w:szCs w:val="24"/>
        </w:rPr>
        <w:t xml:space="preserve">Conclusion: </w:t>
      </w:r>
      <w:r>
        <w:rPr>
          <w:rFonts w:eastAsia="Times New Roman" w:cs="Times New Roman" w:ascii="Times New Roman" w:hAnsi="Times New Roman"/>
          <w:color w:val="000000"/>
          <w:sz w:val="24"/>
          <w:szCs w:val="24"/>
        </w:rPr>
        <w:t>Antimicrobial resistance in the Philippines is a growing and significant public health concern predominantly driven by multidrug-resistant Gram-negative pathogens. Strengthening antimicrobial stewardship, enhancing surveillance systems, and reinforcing infection prevention and control measures are essential to mitigate the increasing burden of AMR.</w:t>
      </w:r>
    </w:p>
    <w:p>
      <w:pPr>
        <w:pStyle w:val="Heading3"/>
        <w:keepNext w:val="false"/>
        <w:keepLines w:val="false"/>
        <w:spacing w:before="280" w:after="80"/>
        <w:jc w:val="both"/>
        <w:rPr>
          <w:rFonts w:ascii="Times New Roman" w:hAnsi="Times New Roman" w:eastAsia="Times New Roman" w:cs="Times New Roman"/>
          <w:color w:val="000000"/>
          <w:sz w:val="24"/>
          <w:szCs w:val="24"/>
        </w:rPr>
      </w:pPr>
      <w:bookmarkStart w:id="4" w:name="_ydf0vsl6oyv7"/>
      <w:bookmarkEnd w:id="4"/>
      <w:r>
        <w:rPr>
          <w:rFonts w:eastAsia="Times New Roman" w:cs="Times New Roman" w:ascii="Times New Roman" w:hAnsi="Times New Roman"/>
          <w:b/>
          <w:bCs/>
          <w:color w:val="000000"/>
          <w:sz w:val="24"/>
          <w:szCs w:val="24"/>
        </w:rPr>
        <w:t xml:space="preserve">Keywords: </w:t>
      </w:r>
      <w:r>
        <w:rPr>
          <w:rFonts w:eastAsia="Times New Roman" w:cs="Times New Roman" w:ascii="Times New Roman" w:hAnsi="Times New Roman"/>
          <w:color w:val="000000"/>
          <w:sz w:val="24"/>
          <w:szCs w:val="24"/>
        </w:rPr>
        <w:t xml:space="preserve">Antimicrobial resistance, Philippines, multidrug-resistant bacteria, Gram-negative pathogens, antimicrobial stewardship,  surveillance, </w:t>
      </w:r>
    </w:p>
    <w:p>
      <w:pPr>
        <w:pStyle w:val="normal1"/>
        <w:rPr/>
      </w:pPr>
      <w:r>
        <w:rPr/>
      </w:r>
    </w:p>
    <w:p>
      <w:pPr>
        <w:pStyle w:val="normal1"/>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1"/>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INTRODUCTION</w:t>
      </w:r>
    </w:p>
    <w:p>
      <w:pPr>
        <w:pStyle w:val="normal1"/>
        <w:spacing w:lineRule="auto" w:line="240"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Antimicrobial resistance (AMR) is defined as the ability of microorganisms, including bacteria, viruses, fungi, and parasites, to survive or grow despite exposure to antimicrobial agents that would normally inhibit or kill them (World Health Organization [WHO], 2023). This phenomenon arises through genetic mutations or the acquisition of resistance genes via horizontal gene transfer mechanisms such as transformation, transduction, and conjugation (Belay et al., 2024). As a consequence, previously effective treatments become ineffective, leading to persistent infections, increased morbidity and mortality, prolonged hospital stays, and higher healthcare costs (Centers for Disease Control and Prevention [CDC], 2025; Coyne et al., 2020).</w:t>
      </w:r>
    </w:p>
    <w:p>
      <w:pPr>
        <w:pStyle w:val="normal1"/>
        <w:spacing w:lineRule="auto" w:line="240"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AMR is commonly classified according to the degree of resistance expressed by microorganisms. Multidrug-resistant (MDR) organisms are resistant to at least one agent in three or more antimicrobial categories (Connecticut Department of Public Health, 2026). Extensively drug-resistant (XDR) organisms remain susceptible to only one or two antimicrobial classes, and pan-drug-resistant (PDR) organisms exhibit resistance to all available antimicrobial agents (Cosentino et al., 2023). Clinically significant resistant pathogens include methicillin-resistant </w:t>
      </w:r>
      <w:r>
        <w:rPr>
          <w:rFonts w:eastAsia="Times New Roman" w:cs="Times New Roman" w:ascii="Times New Roman" w:hAnsi="Times New Roman"/>
          <w:i/>
          <w:iCs/>
          <w:sz w:val="24"/>
          <w:szCs w:val="24"/>
        </w:rPr>
        <w:t>Staphylococcus aureus</w:t>
      </w:r>
      <w:r>
        <w:rPr>
          <w:rFonts w:eastAsia="Times New Roman" w:cs="Times New Roman" w:ascii="Times New Roman" w:hAnsi="Times New Roman"/>
          <w:sz w:val="24"/>
          <w:szCs w:val="24"/>
        </w:rPr>
        <w:t xml:space="preserve"> (MRSA), extended-spectrum β-lactamase (ESBL)–producing Enterobacterales, carbapenem-resistant </w:t>
      </w:r>
      <w:r>
        <w:rPr>
          <w:rFonts w:eastAsia="Times New Roman" w:cs="Times New Roman" w:ascii="Times New Roman" w:hAnsi="Times New Roman"/>
          <w:i/>
          <w:iCs/>
          <w:sz w:val="24"/>
          <w:szCs w:val="24"/>
        </w:rPr>
        <w:t>Acinetobacter baumannii</w:t>
      </w:r>
      <w:r>
        <w:rPr>
          <w:rFonts w:eastAsia="Times New Roman" w:cs="Times New Roman" w:ascii="Times New Roman" w:hAnsi="Times New Roman"/>
          <w:sz w:val="24"/>
          <w:szCs w:val="24"/>
        </w:rPr>
        <w:t xml:space="preserve">, and carbapenem-resistant </w:t>
      </w:r>
      <w:r>
        <w:rPr>
          <w:rFonts w:eastAsia="Times New Roman" w:cs="Times New Roman" w:ascii="Times New Roman" w:hAnsi="Times New Roman"/>
          <w:i/>
          <w:iCs/>
          <w:sz w:val="24"/>
          <w:szCs w:val="24"/>
        </w:rPr>
        <w:t>Pseudomonas aeruginosa</w:t>
      </w:r>
      <w:r>
        <w:rPr>
          <w:rFonts w:eastAsia="Times New Roman" w:cs="Times New Roman" w:ascii="Times New Roman" w:hAnsi="Times New Roman"/>
          <w:sz w:val="24"/>
          <w:szCs w:val="24"/>
        </w:rPr>
        <w:t xml:space="preserve"> (Antochevis et al., 2025). These pathogens have been prioritized globally due to their capacity to cause severe infections and their limited therapeutic options (World Health Organization [WHO], 2024).</w:t>
      </w:r>
    </w:p>
    <w:p>
      <w:pPr>
        <w:pStyle w:val="normal1"/>
        <w:spacing w:lineRule="auto" w:line="240"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 assessment of AMR involves laboratory-based antimicrobial susceptibility testing (AST), surveillance systems, and molecular characterization techniques (Gandra et al., 2020). Conventional phenotypic methods such as disk diffusion (Kirby–Bauer), broth microdilution, and automated systems determine susceptibility patterns based on standardized interpretive criteria from organizations such as the Clinical and Laboratory Standards Institute (CLSI) and the European Committee on Antimicrobial Susceptibility Testing (EUCAST) (CLSI, 2023). Molecular approaches, including polymerase chain reaction (PCR) and whole-genome sequencing, are increasingly used to identify resistance genes and track transmission pathways within healthcare and community settings (Khehra et al., 2025). At the population level, national and international surveillance programs compile these data to monitor trends, detect emerging resistant strains, and guide antimicrobial stewardship interventions (Cantón et al., 2023).</w:t>
      </w:r>
    </w:p>
    <w:p>
      <w:pPr>
        <w:pStyle w:val="normal1"/>
        <w:spacing w:lineRule="auto" w:line="240"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Globally, AMR has become one of the most pressing public health threats of the 21st century. The World Health Organization estimates that antimicrobial-resistant infections contribute to millions of deaths annually and are projected to cause substantial economic losses if left unaddressed (WHO, 2023). Beyond healthcare settings, AMR also affects agriculture, environmental systems, and food safety, highlighting the importance of the One Health approach that integrates human, animal, and environmental health perspectives (Al-Khalaifah et al., 2025). Population-level surveillance and systematic analysis of resistance patterns are therefore essential for guiding clinical management, infection prevention strategies, and policy development.</w:t>
      </w:r>
    </w:p>
    <w:p>
      <w:pPr>
        <w:pStyle w:val="normal1"/>
        <w:spacing w:lineRule="auto" w:line="240"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In the Philippines, antimicrobial resistance has emerged as a significant public health concern due to increasing antibiotic consumption, self-medication, and inconsistent antimicrobial stewardship practices (Ng et al., 2025). The country has established national monitoring systems such as the Antimicrobial Resistance Surveillance Program (ARSP), coordinated by the Antimicrobial Resistance Surveillance Reference Laboratory (ARSRL) of the Research Institute for Tropical Medicine (RITM), which collects susceptibility data from sentinel hospitals nationwide (Department of Health,[DOH] 2022; Castro et al., 2022). These surveillance efforts have reported rising resistance among key pathogens, including ESBL-producing </w:t>
      </w:r>
      <w:r>
        <w:rPr>
          <w:rFonts w:eastAsia="Times New Roman" w:cs="Times New Roman" w:ascii="Times New Roman" w:hAnsi="Times New Roman"/>
          <w:i/>
          <w:iCs/>
          <w:sz w:val="24"/>
          <w:szCs w:val="24"/>
        </w:rPr>
        <w:t>Escherichia coli</w:t>
      </w:r>
      <w:r>
        <w:rPr>
          <w:rFonts w:eastAsia="Times New Roman" w:cs="Times New Roman" w:ascii="Times New Roman" w:hAnsi="Times New Roman"/>
          <w:sz w:val="24"/>
          <w:szCs w:val="24"/>
        </w:rPr>
        <w:t xml:space="preserve">, carbapenem-resistant </w:t>
      </w:r>
      <w:r>
        <w:rPr>
          <w:rFonts w:eastAsia="Times New Roman" w:cs="Times New Roman" w:ascii="Times New Roman" w:hAnsi="Times New Roman"/>
          <w:i/>
          <w:iCs/>
          <w:sz w:val="24"/>
          <w:szCs w:val="24"/>
        </w:rPr>
        <w:t>Acinetobacter baumannii</w:t>
      </w:r>
      <w:r>
        <w:rPr>
          <w:rFonts w:eastAsia="Times New Roman" w:cs="Times New Roman" w:ascii="Times New Roman" w:hAnsi="Times New Roman"/>
          <w:sz w:val="24"/>
          <w:szCs w:val="24"/>
        </w:rPr>
        <w:t xml:space="preserve">, and methicillin-resistant </w:t>
      </w:r>
      <w:r>
        <w:rPr>
          <w:rFonts w:eastAsia="Times New Roman" w:cs="Times New Roman" w:ascii="Times New Roman" w:hAnsi="Times New Roman"/>
          <w:i/>
          <w:iCs/>
          <w:sz w:val="24"/>
          <w:szCs w:val="24"/>
        </w:rPr>
        <w:t>Staphylococcus aureus</w:t>
      </w:r>
      <w:r>
        <w:rPr>
          <w:rFonts w:eastAsia="Times New Roman" w:cs="Times New Roman" w:ascii="Times New Roman" w:hAnsi="Times New Roman"/>
          <w:sz w:val="24"/>
          <w:szCs w:val="24"/>
        </w:rPr>
        <w:t xml:space="preserve"> (Chilam et al., 2021). Despite these monitoring initiatives, available data remain fragmented across clinical studies, hospital reports, and surveillance summaries (Department of Health [DOH] 2025).</w:t>
      </w:r>
    </w:p>
    <w:p>
      <w:pPr>
        <w:pStyle w:val="normal1"/>
        <w:spacing w:lineRule="auto" w:line="240"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Several studies conducted in the Philippines have examined antimicrobial resistance patterns in specific hospitals, patient populations, or bacterial pathogens. However, many of these investigations are limited in scope, focusing on single institutions or short surveillance periods. Furthermore, there remains a lack of comprehensive synthesis integrating both surveillance data and clinical research findings to provide a nationwide overview of AMR patterns and trends (Valenzuela et al., 2025). Without such synthesis, it becomes difficult to evaluate the true burden of antimicrobial resistance, identify priority pathogens, and guide national public health strategies.</w:t>
      </w:r>
    </w:p>
    <w:p>
      <w:pPr>
        <w:pStyle w:val="normal1"/>
        <w:spacing w:lineRule="auto" w:line="240"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Given these limitations, this study aims to systematically review and synthesize available surveillance reports and clinical research studies on antimicrobial resistance in the Philippines in order to provide a comprehensive national overview of resistance patterns. Specifically, the study seeks to identify the most frequently reported antimicrobial-resistant pathogens in the country, examine trends in antimicrobial resistance across different clinical settings and geographic regions, evaluate the laboratory methods and surveillance approaches used in AMR studies, and identify existing knowledge gaps and research priorities necessary to strengthen national antimicrobial resistance monitoring and control strategies.</w:t>
      </w:r>
    </w:p>
    <w:p>
      <w:pPr>
        <w:pStyle w:val="normal1"/>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1"/>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METHODOLOGY</w:t>
      </w:r>
    </w:p>
    <w:p>
      <w:pPr>
        <w:pStyle w:val="Heading2"/>
        <w:keepNext w:val="false"/>
        <w:keepLines w:val="false"/>
        <w:spacing w:before="360" w:after="80"/>
        <w:jc w:val="both"/>
        <w:rPr>
          <w:rFonts w:ascii="Times New Roman" w:hAnsi="Times New Roman" w:eastAsia="Times New Roman" w:cs="Times New Roman"/>
          <w:b/>
          <w:bCs/>
          <w:sz w:val="24"/>
          <w:szCs w:val="24"/>
        </w:rPr>
      </w:pPr>
      <w:bookmarkStart w:id="5" w:name="_qupzi5fb27zy"/>
      <w:bookmarkEnd w:id="5"/>
      <w:r>
        <w:rPr>
          <w:rFonts w:eastAsia="Times New Roman" w:cs="Times New Roman" w:ascii="Times New Roman" w:hAnsi="Times New Roman"/>
          <w:b/>
          <w:bCs/>
          <w:sz w:val="24"/>
          <w:szCs w:val="24"/>
        </w:rPr>
        <w:t>Study Design</w:t>
      </w:r>
    </w:p>
    <w:p>
      <w:pPr>
        <w:pStyle w:val="normal1"/>
        <w:spacing w:lineRule="auto" w:line="240"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This study employed a systematic review design to synthesize available evidence on antimicrobial resistance (AMR) patterns in the Philippines. The review was conducted in accordance with the Preferred Reporting Items for Systematic Reviews and Meta-Analyses (PRISMA 2020) guidelines, which provide a standardized framework for the identification, screening, and reporting of studies (Page et al., 2021). The review protocol was registered in the International Prospective Register of Systematic Reviews (PROSPERO) under the registration number CRD420261360657. The primary objective was to systematically identify, evaluate, and synthesize surveillance reports and clinical studies documenting antimicrobial resistance patterns in the country.</w:t>
      </w:r>
    </w:p>
    <w:p>
      <w:pPr>
        <w:pStyle w:val="Heading2"/>
        <w:keepNext w:val="false"/>
        <w:keepLines w:val="false"/>
        <w:spacing w:before="360" w:after="80"/>
        <w:jc w:val="both"/>
        <w:rPr>
          <w:rFonts w:ascii="Times New Roman" w:hAnsi="Times New Roman" w:eastAsia="Times New Roman" w:cs="Times New Roman"/>
          <w:b/>
          <w:bCs/>
          <w:sz w:val="24"/>
          <w:szCs w:val="24"/>
        </w:rPr>
      </w:pPr>
      <w:bookmarkStart w:id="6" w:name="_ull5vvlae3yp"/>
      <w:bookmarkEnd w:id="6"/>
      <w:r>
        <w:rPr>
          <w:rFonts w:eastAsia="Times New Roman" w:cs="Times New Roman" w:ascii="Times New Roman" w:hAnsi="Times New Roman"/>
          <w:b/>
          <w:bCs/>
          <w:sz w:val="24"/>
          <w:szCs w:val="24"/>
        </w:rPr>
        <w:t>Information Sources</w:t>
      </w:r>
    </w:p>
    <w:p>
      <w:pPr>
        <w:pStyle w:val="normal1"/>
        <w:spacing w:lineRule="auto" w:line="240"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 comprehensive literature search was conducted using three major electronic databases: PubMed/MEDLINE, Scopus, and Web of Science. These databases were selected due to their extensive coverage of biomedical and public health literature relevant to antimicrobial resistance surveillance and clinical microbiology. In addition, reference lists of eligible articles were manually screened to identify further relevant studies. National surveillance reports and publicly available documents, particularly those from the Department of Health (DOH) and the Antimicrobial Resistance Surveillance Program (ARSP) coordinated by the Research Institute for Tropical Medicine (RITM), were also included as supplementary sources .</w:t>
      </w:r>
    </w:p>
    <w:p>
      <w:pPr>
        <w:pStyle w:val="Heading2"/>
        <w:keepNext w:val="false"/>
        <w:keepLines w:val="false"/>
        <w:spacing w:before="360" w:after="80"/>
        <w:jc w:val="both"/>
        <w:rPr>
          <w:rFonts w:ascii="Times New Roman" w:hAnsi="Times New Roman" w:eastAsia="Times New Roman" w:cs="Times New Roman"/>
          <w:b/>
          <w:bCs/>
          <w:sz w:val="24"/>
          <w:szCs w:val="24"/>
        </w:rPr>
      </w:pPr>
      <w:bookmarkStart w:id="7" w:name="_yixllg2o8pds"/>
      <w:bookmarkEnd w:id="7"/>
      <w:r>
        <w:rPr>
          <w:rFonts w:eastAsia="Times New Roman" w:cs="Times New Roman" w:ascii="Times New Roman" w:hAnsi="Times New Roman"/>
          <w:b/>
          <w:bCs/>
          <w:sz w:val="24"/>
          <w:szCs w:val="24"/>
        </w:rPr>
        <w:t>Search Strategy</w:t>
      </w:r>
    </w:p>
    <w:p>
      <w:pPr>
        <w:pStyle w:val="normal1"/>
        <w:spacing w:lineRule="auto" w:line="240"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 structured search strategy combining controlled vocabulary and free-text keywords was developed to capture relevant studies. Boolean operators (AND, OR) were used to refine search queries. Key terms included “antimicrobial resistance,” “antibiotic resistance,” “drug-resistant bacteria,” “multidrug-resistant,” and “Philippines.” The search strategy was adapted for each database to maximize retrieval efficiency. Searches were limited to studies published in English from January 2008 to April 2026 to capture contemporary AMR trends .</w:t>
      </w:r>
    </w:p>
    <w:p>
      <w:pPr>
        <w:pStyle w:val="Heading2"/>
        <w:keepNext w:val="false"/>
        <w:keepLines w:val="false"/>
        <w:spacing w:before="360" w:after="8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bookmarkStart w:id="8" w:name="_9axurwngcvpt"/>
      <w:bookmarkStart w:id="9" w:name="_9axurwngcvpt"/>
      <w:bookmarkEnd w:id="9"/>
    </w:p>
    <w:p>
      <w:pPr>
        <w:pStyle w:val="Heading2"/>
        <w:keepNext w:val="false"/>
        <w:keepLines w:val="false"/>
        <w:spacing w:before="360" w:after="80"/>
        <w:jc w:val="both"/>
        <w:rPr>
          <w:rFonts w:ascii="Times New Roman" w:hAnsi="Times New Roman" w:eastAsia="Times New Roman" w:cs="Times New Roman"/>
          <w:b/>
          <w:bCs/>
          <w:sz w:val="24"/>
          <w:szCs w:val="24"/>
        </w:rPr>
      </w:pPr>
      <w:bookmarkStart w:id="10" w:name="_72k9fjual4ly"/>
      <w:bookmarkEnd w:id="10"/>
      <w:r>
        <w:rPr>
          <w:rFonts w:eastAsia="Times New Roman" w:cs="Times New Roman" w:ascii="Times New Roman" w:hAnsi="Times New Roman"/>
          <w:b/>
          <w:bCs/>
          <w:sz w:val="24"/>
          <w:szCs w:val="24"/>
        </w:rPr>
        <w:t>Eligibility Criteria</w:t>
      </w:r>
    </w:p>
    <w:p>
      <w:pPr>
        <w:pStyle w:val="normal1"/>
        <w:spacing w:lineRule="auto" w:line="240"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Studies were selected based on predefined inclusion and exclusion criteria. Eligible studies included original research articles reporting antimicrobial resistance data derived from human clinical isolates collected in the Philippines. Observational study designs, including cross-sectional studies, retrospective laboratory analyses, hospital-based surveillance studies, and national surveillance reports, were included. Studies were required to report antimicrobial susceptibility testing (AST) results or resistance patterns for bacterial pathogens isolated from clinical specimens.</w:t>
      </w:r>
    </w:p>
    <w:p>
      <w:pPr>
        <w:pStyle w:val="normal1"/>
        <w:spacing w:lineRule="auto" w:line="240"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Studies were excluded if they were review articles, commentaries, editorials, conference abstracts without primary data, or case reports lacking quantitative AMR data. Studies conducted outside the Philippines or those focusing on environmental, animal, or food isolates were also excluded. Additionally, studies without clearly described laboratory methodologies or without reported antimicrobial susceptibility outcomes were excluded from the final synthesis .</w:t>
      </w:r>
    </w:p>
    <w:p>
      <w:pPr>
        <w:pStyle w:val="Heading2"/>
        <w:keepNext w:val="false"/>
        <w:keepLines w:val="false"/>
        <w:spacing w:before="360" w:after="80"/>
        <w:jc w:val="both"/>
        <w:rPr>
          <w:rFonts w:ascii="Times New Roman" w:hAnsi="Times New Roman" w:eastAsia="Times New Roman" w:cs="Times New Roman"/>
          <w:b/>
          <w:bCs/>
          <w:sz w:val="24"/>
          <w:szCs w:val="24"/>
        </w:rPr>
      </w:pPr>
      <w:bookmarkStart w:id="11" w:name="_1gadgqviw8zs"/>
      <w:bookmarkEnd w:id="11"/>
      <w:r>
        <w:rPr>
          <w:rFonts w:eastAsia="Times New Roman" w:cs="Times New Roman" w:ascii="Times New Roman" w:hAnsi="Times New Roman"/>
          <w:b/>
          <w:bCs/>
          <w:sz w:val="24"/>
          <w:szCs w:val="24"/>
        </w:rPr>
        <w:t>Study Selection</w:t>
      </w:r>
    </w:p>
    <w:p>
      <w:pPr>
        <w:pStyle w:val="normal1"/>
        <w:spacing w:lineRule="auto" w:line="240"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All records retrieved from database searches were exported into a reference management system, where duplicate entries were identified and removed. The remaining records underwent a two-stage screening process. First, titles and abstracts were screened for relevance to the research question. </w:t>
      </w:r>
      <w:r>
        <w:rPr>
          <w:rFonts w:ascii="Times New Roman" w:hAnsi="Times New Roman"/>
          <w:shd w:fill="FFFF00" w:val="clear"/>
        </w:rPr>
        <w:t>In the second stage, full-text articles were independently assessed for eligibility based on the predefined inclusion and exclusion criteria. During this stage, studies were evaluated for study design, population, laboratory methodology, and availability of antimicrobial susceptibility data</w:t>
      </w:r>
      <w:r>
        <w:rPr>
          <w:rFonts w:eastAsia="Times New Roman" w:cs="Times New Roman" w:ascii="Times New Roman" w:hAnsi="Times New Roman"/>
          <w:sz w:val="24"/>
          <w:szCs w:val="24"/>
        </w:rPr>
        <w:t>. During this stage, each article was assessed against predefined eligibility criteria. Any uncertainties regarding study selection were resolved through detailed evaluation of study methodology and reported outcomes.</w:t>
      </w:r>
    </w:p>
    <w:p>
      <w:pPr>
        <w:pStyle w:val="normal1"/>
        <w:spacing w:lineRule="auto" w:line="240"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 total of 60 records were identified through database searches, with an additional 20 records obtained from other sources. After removal of duplicates, 70 records remained and were screened, of which 38 records were excluded. The remaining 32 full-text articles were assessed for eligibility, and 18 studies were excluded due to reasons such as non-clinical sample sources, lack of primary AMR data, or insufficient methodological detail. Ultimately, 14 studies met all eligibility criteria and were included in the final synthesis.</w:t>
      </w:r>
    </w:p>
    <w:p>
      <w:pPr>
        <w:pStyle w:val="Heading2"/>
        <w:keepNext w:val="false"/>
        <w:keepLines w:val="false"/>
        <w:spacing w:before="360" w:after="80"/>
        <w:jc w:val="both"/>
        <w:rPr>
          <w:rFonts w:ascii="Times New Roman" w:hAnsi="Times New Roman" w:eastAsia="Times New Roman" w:cs="Times New Roman"/>
          <w:b/>
          <w:bCs/>
          <w:sz w:val="24"/>
          <w:szCs w:val="24"/>
        </w:rPr>
      </w:pPr>
      <w:bookmarkStart w:id="12" w:name="_vdhv3jedt5v1"/>
      <w:bookmarkEnd w:id="12"/>
      <w:r>
        <w:rPr>
          <w:rFonts w:eastAsia="Times New Roman" w:cs="Times New Roman" w:ascii="Times New Roman" w:hAnsi="Times New Roman"/>
          <w:b/>
          <w:bCs/>
          <w:sz w:val="24"/>
          <w:szCs w:val="24"/>
        </w:rPr>
        <w:t>Data Extraction</w:t>
      </w:r>
    </w:p>
    <w:p>
      <w:pPr>
        <w:pStyle w:val="normal1"/>
        <w:spacing w:lineRule="auto" w:line="240"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Data from included studies were extracted using a standardized data extraction form to ensure consistency and completeness. Extracted variables included author and year of publication, study location, study design, clinical setting or population, pathogen investigated, sample size, specimen type, antimicrobial susceptibility testing method, antibiotics tested, and reported resistance patterns. Additional variables such as geographic distribution, surveillance involvement, and key findings were also recorded. Extracted data were organized into structured tables to facilitate comparison across studies .</w:t>
      </w:r>
    </w:p>
    <w:p>
      <w:pPr>
        <w:pStyle w:val="Heading2"/>
        <w:keepNext w:val="false"/>
        <w:keepLines w:val="false"/>
        <w:spacing w:before="360" w:after="80"/>
        <w:jc w:val="both"/>
        <w:rPr>
          <w:rFonts w:ascii="Times New Roman" w:hAnsi="Times New Roman" w:eastAsia="Times New Roman" w:cs="Times New Roman"/>
          <w:b/>
          <w:bCs/>
          <w:sz w:val="24"/>
          <w:szCs w:val="24"/>
        </w:rPr>
      </w:pPr>
      <w:bookmarkStart w:id="13" w:name="_1iebg12i377u"/>
      <w:bookmarkEnd w:id="13"/>
      <w:r>
        <w:rPr>
          <w:rFonts w:eastAsia="Times New Roman" w:cs="Times New Roman" w:ascii="Times New Roman" w:hAnsi="Times New Roman"/>
          <w:b/>
          <w:bCs/>
          <w:sz w:val="24"/>
          <w:szCs w:val="24"/>
        </w:rPr>
        <w:t>Quality Assessment</w:t>
      </w:r>
    </w:p>
    <w:p>
      <w:pPr>
        <w:pStyle w:val="normal1"/>
        <w:spacing w:lineRule="auto" w:line="240"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 methodological quality of included studies was evaluated using an appraisal approach adapted for observational microbiological research. Key domains assessed included study design clarity, sampling strategy, laboratory testing methods, adherence to standardized antimicrobial susceptibility testing guidelines (CLSI or EUCAST), and completeness of resistance reporting. Studies demonstrating robust methodology, adequate sample size, and transparent reporting were considered to be of higher quality .</w:t>
      </w:r>
    </w:p>
    <w:p>
      <w:pPr>
        <w:pStyle w:val="Heading2"/>
        <w:keepNext w:val="false"/>
        <w:keepLines w:val="false"/>
        <w:spacing w:before="360" w:after="80"/>
        <w:jc w:val="both"/>
        <w:rPr>
          <w:rFonts w:ascii="Times New Roman" w:hAnsi="Times New Roman" w:eastAsia="Times New Roman" w:cs="Times New Roman"/>
          <w:b/>
          <w:bCs/>
          <w:sz w:val="24"/>
          <w:szCs w:val="24"/>
        </w:rPr>
      </w:pPr>
      <w:bookmarkStart w:id="14" w:name="_agdkz0y8xaxk"/>
      <w:bookmarkEnd w:id="14"/>
      <w:r>
        <w:rPr>
          <w:rFonts w:eastAsia="Times New Roman" w:cs="Times New Roman" w:ascii="Times New Roman" w:hAnsi="Times New Roman"/>
          <w:b/>
          <w:bCs/>
          <w:sz w:val="24"/>
          <w:szCs w:val="24"/>
        </w:rPr>
        <w:t>Data Synthesis</w:t>
      </w:r>
    </w:p>
    <w:p>
      <w:pPr>
        <w:pStyle w:val="normal1"/>
        <w:spacing w:lineRule="auto" w:line="240"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Due to heterogeneity in study designs, geographic locations, pathogens, and antimicrobial susceptibility testing methods, a quantitative meta-analysis was not feasible. Instead, findings were synthesized using a narrative descriptive approach. Antimicrobial resistance patterns were summarized according to pathogen type, antimicrobial class, clinical setting, and geographic distribution within the Philippines. The synthesis focused on identifying common resistance trends, emerging pathogens, and variations across healthcare settings. Results were presented using summary tables and descriptive analysis.</w:t>
      </w:r>
    </w:p>
    <w:p>
      <w:pPr>
        <w:pStyle w:val="Heading2"/>
        <w:keepNext w:val="false"/>
        <w:keepLines w:val="false"/>
        <w:spacing w:before="360" w:after="80"/>
        <w:jc w:val="both"/>
        <w:rPr>
          <w:rFonts w:ascii="Times New Roman" w:hAnsi="Times New Roman" w:eastAsia="Times New Roman" w:cs="Times New Roman"/>
          <w:b/>
          <w:bCs/>
          <w:sz w:val="24"/>
          <w:szCs w:val="24"/>
        </w:rPr>
      </w:pPr>
      <w:bookmarkStart w:id="15" w:name="_zf1sqkrnk7tn"/>
      <w:bookmarkEnd w:id="15"/>
      <w:r>
        <w:rPr>
          <w:rFonts w:eastAsia="Times New Roman" w:cs="Times New Roman" w:ascii="Times New Roman" w:hAnsi="Times New Roman"/>
          <w:b/>
          <w:bCs/>
          <w:sz w:val="24"/>
          <w:szCs w:val="24"/>
        </w:rPr>
        <w:t>Ethical Considerations</w:t>
      </w:r>
    </w:p>
    <w:p>
      <w:pPr>
        <w:pStyle w:val="normal1"/>
        <w:spacing w:lineRule="auto" w:line="240"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This study utilized publicly available data from previously published studies and surveillance reports and did not involve direct human participants or access to identifiable personal data. As such, formal ethical approval was not required. However, the review was conducted in accordance with ethical standards for research integrity, including accurate reporting, proper citation of sources, and adherence to established systematic review guidelines</w:t>
      </w:r>
    </w:p>
    <w:p>
      <w:pPr>
        <w:pStyle w:val="normal1"/>
        <w:spacing w:lineRule="auto" w:line="240"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240" w:before="240" w:after="240"/>
        <w:jc w:val="both"/>
        <w:rPr>
          <w:rFonts w:ascii="Times New Roman" w:hAnsi="Times New Roman" w:eastAsia="Times New Roman" w:cs="Times New Roman"/>
          <w:sz w:val="24"/>
          <w:szCs w:val="24"/>
        </w:rPr>
      </w:pPr>
      <w:r>
        <w:rPr/>
        <w:drawing>
          <wp:inline distT="0" distB="0" distL="0" distR="0">
            <wp:extent cx="5943600" cy="4457700"/>
            <wp:effectExtent l="0" t="0" r="0" b="0"/>
            <wp:docPr id="1"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g"/>
                    <pic:cNvPicPr>
                      <a:picLocks noChangeAspect="1" noChangeArrowheads="1"/>
                    </pic:cNvPicPr>
                  </pic:nvPicPr>
                  <pic:blipFill>
                    <a:blip r:embed="rId2"/>
                    <a:stretch>
                      <a:fillRect/>
                    </a:stretch>
                  </pic:blipFill>
                  <pic:spPr bwMode="auto">
                    <a:xfrm>
                      <a:off x="0" y="0"/>
                      <a:ext cx="5943600" cy="4457700"/>
                    </a:xfrm>
                    <a:prstGeom prst="rect">
                      <a:avLst/>
                    </a:prstGeom>
                    <a:noFill/>
                  </pic:spPr>
                </pic:pic>
              </a:graphicData>
            </a:graphic>
          </wp:inline>
        </w:drawing>
      </w:r>
    </w:p>
    <w:p>
      <w:pPr>
        <w:pStyle w:val="normal1"/>
        <w:spacing w:lineRule="auto" w:line="240" w:before="240" w:after="24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Figure 1: PRISMA FLOW 2020</w:t>
      </w:r>
    </w:p>
    <w:p>
      <w:pPr>
        <w:pStyle w:val="normal1"/>
        <w:spacing w:lineRule="auto" w:line="240"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 total of 60 records were identified through database searches, with an additional 20 records obtained from other sources, yielding 80 initial records. After removal of duplicate entries, 70 unique records remained and were subjected to title and abstract screening. During this screening stage, 38 records were excluded for not meeting the inclusion criteria. The remaining 32 full-text articles were assessed for eligibility, of which 18 were excluded due to reasons such as inclusion of non-clinical samples, lack of primary antimicrobial resistance data, studies conducted outside the Philippines, or insufficient methodological detail. Ultimately, 14 studies met all eligibility criteria and were included in the final synthesis.</w:t>
      </w:r>
    </w:p>
    <w:p>
      <w:pPr>
        <w:pStyle w:val="normal1"/>
        <w:spacing w:lineRule="auto" w:line="240" w:before="240" w:after="24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1"/>
        <w:spacing w:lineRule="auto" w:line="240" w:before="240" w:after="24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RESULTS</w:t>
      </w:r>
    </w:p>
    <w:p>
      <w:pPr>
        <w:pStyle w:val="Heading1"/>
        <w:keepNext w:val="false"/>
        <w:keepLines w:val="false"/>
        <w:spacing w:before="240" w:after="240"/>
        <w:jc w:val="both"/>
        <w:rPr>
          <w:rFonts w:ascii="Times New Roman" w:hAnsi="Times New Roman" w:eastAsia="Times New Roman" w:cs="Times New Roman"/>
          <w:sz w:val="24"/>
          <w:szCs w:val="24"/>
        </w:rPr>
      </w:pPr>
      <w:bookmarkStart w:id="16" w:name="_umcoie1yfkwj"/>
      <w:bookmarkEnd w:id="16"/>
      <w:r>
        <w:rPr>
          <w:rFonts w:eastAsia="Times New Roman" w:cs="Times New Roman" w:ascii="Times New Roman" w:hAnsi="Times New Roman"/>
          <w:sz w:val="24"/>
          <w:szCs w:val="24"/>
        </w:rPr>
        <w:t>Following application of the predefined eligibility criteria, a total of 14 studies reporting antimicrobial resistance (AMR) data from human clinical isolates in the Philippines were included in the final synthesis. These comprised national surveillance reports, hospital-based observational studies, and molecular epidemiological investigations conducted across multiple healthcare settings (Argimón et al., 2019; Bacabac et al., 2025). Surveillance-based studies from national programs, including those coordinated by the Research Institute for Tropical Medicine (RITM), were retained as they provided standardized clinical AMR data across sentinel hospitals.</w:t>
      </w:r>
    </w:p>
    <w:p>
      <w:pPr>
        <w:pStyle w:val="Heading1"/>
        <w:keepNext w:val="false"/>
        <w:keepLines w:val="false"/>
        <w:spacing w:before="240" w:after="240"/>
        <w:jc w:val="both"/>
        <w:rPr>
          <w:rFonts w:ascii="Times New Roman" w:hAnsi="Times New Roman" w:eastAsia="Times New Roman" w:cs="Times New Roman"/>
          <w:sz w:val="24"/>
          <w:szCs w:val="24"/>
        </w:rPr>
      </w:pPr>
      <w:bookmarkStart w:id="17" w:name="_umcoie1yfkwj_Copy_1"/>
      <w:bookmarkEnd w:id="17"/>
      <w:r>
        <w:rPr>
          <w:rFonts w:eastAsia="Times New Roman" w:cs="Times New Roman" w:ascii="Times New Roman" w:hAnsi="Times New Roman"/>
          <w:sz w:val="24"/>
          <w:szCs w:val="24"/>
        </w:rPr>
        <w:t xml:space="preserve">Across the included studies, Gram-negative pathogens were consistently identified as the primary contributors to antimicrobial resistance, particularly </w:t>
      </w:r>
      <w:r>
        <w:rPr>
          <w:rFonts w:eastAsia="Times New Roman" w:cs="Times New Roman" w:ascii="Times New Roman" w:hAnsi="Times New Roman"/>
          <w:i/>
          <w:iCs/>
          <w:sz w:val="24"/>
          <w:szCs w:val="24"/>
        </w:rPr>
        <w:t>Escherichia coli</w:t>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Klebsiella pneumoniae</w:t>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Acinetobacter baumannii</w:t>
      </w:r>
      <w:r>
        <w:rPr>
          <w:rFonts w:eastAsia="Times New Roman" w:cs="Times New Roman" w:ascii="Times New Roman" w:hAnsi="Times New Roman"/>
          <w:sz w:val="24"/>
          <w:szCs w:val="24"/>
        </w:rPr>
        <w:t xml:space="preserve">, and </w:t>
      </w:r>
      <w:r>
        <w:rPr>
          <w:rFonts w:eastAsia="Times New Roman" w:cs="Times New Roman" w:ascii="Times New Roman" w:hAnsi="Times New Roman"/>
          <w:i/>
          <w:iCs/>
          <w:sz w:val="24"/>
          <w:szCs w:val="24"/>
        </w:rPr>
        <w:t>Pseudomonas aeruginosa</w:t>
      </w:r>
      <w:r>
        <w:rPr>
          <w:rFonts w:eastAsia="Times New Roman" w:cs="Times New Roman" w:ascii="Times New Roman" w:hAnsi="Times New Roman"/>
          <w:sz w:val="24"/>
          <w:szCs w:val="24"/>
        </w:rPr>
        <w:t xml:space="preserve"> (Argimón et al., 2019; Argimón et al., 2020). Resistance to critical antibiotics, including carbapenems and extended-spectrum cephalosporins, was frequently reported. </w:t>
      </w:r>
      <w:r>
        <w:rPr>
          <w:rFonts w:ascii="Times New Roman" w:hAnsi="Times New Roman"/>
          <w:sz w:val="24"/>
          <w:szCs w:val="24"/>
          <w:shd w:fill="FFFF00" w:val="clear"/>
        </w:rPr>
        <w:t xml:space="preserve">Carbapenem resistance was estimated at approximately 5% in E. coli and 11% in K. pneumoniae, while resistance rates of up to 56% were reported in Acinetobacter baumannii (Argimón et al., 2019). </w:t>
      </w:r>
    </w:p>
    <w:p>
      <w:pPr>
        <w:pStyle w:val="Heading1"/>
        <w:keepNext w:val="false"/>
        <w:keepLines w:val="false"/>
        <w:spacing w:before="240" w:after="240"/>
        <w:jc w:val="both"/>
        <w:rPr>
          <w:rFonts w:ascii="Times New Roman" w:hAnsi="Times New Roman" w:eastAsia="Times New Roman" w:cs="Times New Roman"/>
          <w:sz w:val="24"/>
          <w:szCs w:val="24"/>
        </w:rPr>
      </w:pPr>
      <w:bookmarkStart w:id="18" w:name="_umcoie1yfkwj_Copy_2"/>
      <w:bookmarkEnd w:id="18"/>
      <w:r>
        <w:rPr>
          <w:rFonts w:eastAsia="Times New Roman" w:cs="Times New Roman" w:ascii="Times New Roman" w:hAnsi="Times New Roman"/>
          <w:sz w:val="24"/>
          <w:szCs w:val="24"/>
        </w:rPr>
        <w:t xml:space="preserve">Among Gram-positive organisms, resistance levels were generally lower but remained clinically relevant. </w:t>
      </w:r>
      <w:r>
        <w:rPr>
          <w:rFonts w:eastAsia="Times New Roman" w:cs="Times New Roman" w:ascii="Times New Roman" w:hAnsi="Times New Roman"/>
          <w:i/>
          <w:iCs/>
          <w:sz w:val="24"/>
          <w:szCs w:val="24"/>
        </w:rPr>
        <w:t>Streptococcus pneumoniae</w:t>
      </w:r>
      <w:r>
        <w:rPr>
          <w:rFonts w:eastAsia="Times New Roman" w:cs="Times New Roman" w:ascii="Times New Roman" w:hAnsi="Times New Roman"/>
          <w:sz w:val="24"/>
          <w:szCs w:val="24"/>
        </w:rPr>
        <w:t xml:space="preserve"> exhibited low resistance to levofloxacin and moderate resistance to penicillin (Sia et al., 2021), while methicillin-resistant </w:t>
      </w:r>
      <w:r>
        <w:rPr>
          <w:rFonts w:eastAsia="Times New Roman" w:cs="Times New Roman" w:ascii="Times New Roman" w:hAnsi="Times New Roman"/>
          <w:i/>
          <w:iCs/>
          <w:sz w:val="24"/>
          <w:szCs w:val="24"/>
        </w:rPr>
        <w:t>Staphylococcus aureus</w:t>
      </w:r>
      <w:r>
        <w:rPr>
          <w:rFonts w:eastAsia="Times New Roman" w:cs="Times New Roman" w:ascii="Times New Roman" w:hAnsi="Times New Roman"/>
          <w:sz w:val="24"/>
          <w:szCs w:val="24"/>
        </w:rPr>
        <w:t xml:space="preserve"> (MRSA) demonstrated an increasing trend, with prevalence rising from 15% to 27% in the post-pandemic period (Bacabac et al., 2025).</w:t>
      </w:r>
    </w:p>
    <w:p>
      <w:pPr>
        <w:pStyle w:val="Heading1"/>
        <w:keepNext w:val="false"/>
        <w:keepLines w:val="false"/>
        <w:spacing w:before="240" w:after="240"/>
        <w:jc w:val="both"/>
        <w:rPr>
          <w:rFonts w:ascii="Times New Roman" w:hAnsi="Times New Roman" w:eastAsia="Times New Roman" w:cs="Times New Roman"/>
          <w:sz w:val="24"/>
          <w:szCs w:val="24"/>
        </w:rPr>
      </w:pPr>
      <w:bookmarkStart w:id="19" w:name="_umcoie1yfkwj_Copy_3"/>
      <w:bookmarkEnd w:id="19"/>
      <w:r>
        <w:rPr>
          <w:rFonts w:eastAsia="Times New Roman" w:cs="Times New Roman" w:ascii="Times New Roman" w:hAnsi="Times New Roman"/>
          <w:sz w:val="24"/>
          <w:szCs w:val="24"/>
        </w:rPr>
        <w:t xml:space="preserve">Temporal analysis revealed a progressive increase in antimicrobial resistance, particularly following the COVID-19 pandemic. Notable increases were observed in </w:t>
      </w:r>
      <w:r>
        <w:rPr>
          <w:rFonts w:eastAsia="Times New Roman" w:cs="Times New Roman" w:ascii="Times New Roman" w:hAnsi="Times New Roman"/>
          <w:i/>
          <w:iCs/>
          <w:sz w:val="24"/>
          <w:szCs w:val="24"/>
        </w:rPr>
        <w:t>Escherichia coli</w:t>
      </w:r>
      <w:r>
        <w:rPr>
          <w:rFonts w:eastAsia="Times New Roman" w:cs="Times New Roman" w:ascii="Times New Roman" w:hAnsi="Times New Roman"/>
          <w:sz w:val="24"/>
          <w:szCs w:val="24"/>
        </w:rPr>
        <w:t xml:space="preserve">, with ciprofloxacin resistance rising from 32% to 48% and ceftriaxone resistance from 28% to 43% (Bacabac et al., 2025). </w:t>
      </w:r>
      <w:r>
        <w:rPr>
          <w:rFonts w:ascii="Times New Roman" w:hAnsi="Times New Roman"/>
          <w:sz w:val="24"/>
          <w:szCs w:val="24"/>
        </w:rPr>
        <w:t xml:space="preserve">Regional variation was also reported, with higher resistance levels observed in Mindanao compared to Luzon and Visayas. </w:t>
      </w:r>
    </w:p>
    <w:p>
      <w:pPr>
        <w:pStyle w:val="Heading1"/>
        <w:keepNext w:val="false"/>
        <w:keepLines w:val="false"/>
        <w:spacing w:before="240" w:after="240"/>
        <w:jc w:val="both"/>
        <w:rPr>
          <w:rFonts w:ascii="Times New Roman" w:hAnsi="Times New Roman" w:eastAsia="Times New Roman" w:cs="Times New Roman"/>
          <w:sz w:val="24"/>
          <w:szCs w:val="24"/>
        </w:rPr>
      </w:pPr>
      <w:bookmarkStart w:id="20" w:name="_umcoie1yfkwj_Copy_4"/>
      <w:bookmarkEnd w:id="20"/>
      <w:r>
        <w:rPr>
          <w:rFonts w:eastAsia="Times New Roman" w:cs="Times New Roman" w:ascii="Times New Roman" w:hAnsi="Times New Roman"/>
          <w:sz w:val="24"/>
          <w:szCs w:val="24"/>
        </w:rPr>
        <w:t>A strong association between antimicrobial consumption and resistance patterns was identified across multiple studies. Significant correlations were observed betw</w:t>
      </w:r>
      <w:r>
        <w:rPr>
          <w:rFonts w:eastAsia="Times New Roman" w:cs="Times New Roman" w:ascii="Times New Roman" w:hAnsi="Times New Roman"/>
          <w:sz w:val="24"/>
          <w:szCs w:val="24"/>
        </w:rPr>
        <w:t xml:space="preserve">een ciprofloxacin use and </w:t>
      </w:r>
      <w:r>
        <w:rPr>
          <w:rFonts w:eastAsia="Times New Roman" w:cs="Times New Roman" w:ascii="Times New Roman" w:hAnsi="Times New Roman"/>
          <w:i/>
          <w:iCs/>
          <w:sz w:val="24"/>
          <w:szCs w:val="24"/>
        </w:rPr>
        <w:t>E. coli</w:t>
      </w:r>
      <w:r>
        <w:rPr>
          <w:rFonts w:eastAsia="Times New Roman" w:cs="Times New Roman" w:ascii="Times New Roman" w:hAnsi="Times New Roman"/>
          <w:sz w:val="24"/>
          <w:szCs w:val="24"/>
        </w:rPr>
        <w:t xml:space="preserve"> resistance (r = 0.90), ceftazidime use and </w:t>
      </w:r>
      <w:r>
        <w:rPr>
          <w:rFonts w:eastAsia="Times New Roman" w:cs="Times New Roman" w:ascii="Times New Roman" w:hAnsi="Times New Roman"/>
          <w:i/>
          <w:iCs/>
          <w:sz w:val="24"/>
          <w:szCs w:val="24"/>
        </w:rPr>
        <w:t>Acinetobacter baumannii</w:t>
      </w:r>
      <w:r>
        <w:rPr>
          <w:rFonts w:eastAsia="Times New Roman" w:cs="Times New Roman" w:ascii="Times New Roman" w:hAnsi="Times New Roman"/>
          <w:sz w:val="24"/>
          <w:szCs w:val="24"/>
        </w:rPr>
        <w:t xml:space="preserve"> resistance (r = 0.61), and levofloxacin use and </w:t>
      </w:r>
      <w:r>
        <w:rPr>
          <w:rFonts w:eastAsia="Times New Roman" w:cs="Times New Roman" w:ascii="Times New Roman" w:hAnsi="Times New Roman"/>
          <w:i/>
          <w:iCs/>
          <w:sz w:val="24"/>
          <w:szCs w:val="24"/>
        </w:rPr>
        <w:t>Pseudomonas aeruginosa</w:t>
      </w:r>
      <w:r>
        <w:rPr>
          <w:rFonts w:eastAsia="Times New Roman" w:cs="Times New Roman" w:ascii="Times New Roman" w:hAnsi="Times New Roman"/>
          <w:sz w:val="24"/>
          <w:szCs w:val="24"/>
        </w:rPr>
        <w:t xml:space="preserve"> resistance (r = 0.71) (Abeleda et al., 2024). </w:t>
      </w:r>
      <w:r>
        <w:rPr>
          <w:rFonts w:ascii="Times New Roman" w:hAnsi="Times New Roman"/>
          <w:sz w:val="24"/>
          <w:szCs w:val="24"/>
          <w:shd w:fill="FFFF00" w:val="clear"/>
        </w:rPr>
        <w:t>Healthcare facilities with established antimicrobial stewardship programs demonstrated smaller increases in resistance</w:t>
      </w:r>
      <w:r>
        <w:rPr>
          <w:rFonts w:eastAsia="Times New Roman" w:cs="Times New Roman" w:ascii="Times New Roman" w:hAnsi="Times New Roman"/>
          <w:sz w:val="24"/>
          <w:szCs w:val="24"/>
        </w:rPr>
        <w:t>.</w:t>
      </w:r>
    </w:p>
    <w:p>
      <w:pPr>
        <w:pStyle w:val="Heading1"/>
        <w:keepNext w:val="false"/>
        <w:keepLines w:val="false"/>
        <w:spacing w:before="240" w:after="240"/>
        <w:jc w:val="both"/>
        <w:rPr>
          <w:rFonts w:ascii="Times New Roman" w:hAnsi="Times New Roman" w:eastAsia="Times New Roman" w:cs="Times New Roman"/>
          <w:sz w:val="24"/>
          <w:szCs w:val="24"/>
        </w:rPr>
      </w:pPr>
      <w:bookmarkStart w:id="21" w:name="_umcoie1yfkwj_Copy_5"/>
      <w:bookmarkEnd w:id="21"/>
      <w:r>
        <w:rPr>
          <w:rFonts w:eastAsia="Times New Roman" w:cs="Times New Roman" w:ascii="Times New Roman" w:hAnsi="Times New Roman"/>
          <w:sz w:val="24"/>
          <w:szCs w:val="24"/>
        </w:rPr>
        <w:t xml:space="preserve">Molecular epidemiological studies further demonstrated that antimicrobial resistance in the Philippines is driven by both clonal dissemination and horizontal gene transfer mechanisms. Key resistance determinants identified included carbapenemase genes such as blaNDM-1, blaNDM-7, blaOXA-181, and blaOXA-23 (Argimón et al., 2019). </w:t>
      </w:r>
      <w:r>
        <w:rPr>
          <w:rFonts w:ascii="Times New Roman" w:hAnsi="Times New Roman"/>
          <w:sz w:val="24"/>
          <w:szCs w:val="24"/>
          <w:shd w:fill="FFFF00" w:val="clear"/>
        </w:rPr>
        <w:t>Genomic analyses revealed high concordance between phenotypic and genotypic resistance and identified the widespread distribution of high-risk clones of Acinetobacter baumannii, including sequence types ST195 and ST208, across healthcare facilities (Chilam et al., 2021)</w:t>
      </w:r>
      <w:r>
        <w:rPr>
          <w:rFonts w:eastAsia="Times New Roman" w:cs="Times New Roman" w:ascii="Times New Roman" w:hAnsi="Times New Roman"/>
          <w:sz w:val="24"/>
          <w:szCs w:val="24"/>
          <w:shd w:fill="FFFF00" w:val="clear"/>
        </w:rPr>
        <w:t>.</w:t>
      </w:r>
    </w:p>
    <w:p>
      <w:pPr>
        <w:pStyle w:val="Heading1"/>
        <w:keepNext w:val="false"/>
        <w:keepLines w:val="false"/>
        <w:spacing w:before="240" w:after="240"/>
        <w:jc w:val="both"/>
        <w:rPr>
          <w:rFonts w:ascii="Times New Roman" w:hAnsi="Times New Roman" w:eastAsia="Times New Roman" w:cs="Times New Roman"/>
          <w:sz w:val="24"/>
          <w:szCs w:val="24"/>
        </w:rPr>
      </w:pPr>
      <w:bookmarkStart w:id="22" w:name="_98l1mol52nmj"/>
      <w:bookmarkEnd w:id="22"/>
      <w:r>
        <w:rPr>
          <w:rFonts w:eastAsia="Times New Roman" w:cs="Times New Roman" w:ascii="Times New Roman" w:hAnsi="Times New Roman"/>
          <w:sz w:val="24"/>
          <w:szCs w:val="24"/>
        </w:rPr>
        <w:t xml:space="preserve">Clinical outcome data from included studies demonstrated the substantial burden of antimicrobial resistance on patient outcomes. Multidrug-resistant </w:t>
      </w:r>
      <w:r>
        <w:rPr>
          <w:rFonts w:eastAsia="Times New Roman" w:cs="Times New Roman" w:ascii="Times New Roman" w:hAnsi="Times New Roman"/>
          <w:i/>
          <w:iCs/>
          <w:sz w:val="24"/>
          <w:szCs w:val="24"/>
        </w:rPr>
        <w:t>Acinetobacter</w:t>
      </w:r>
      <w:r>
        <w:rPr>
          <w:rFonts w:eastAsia="Times New Roman" w:cs="Times New Roman" w:ascii="Times New Roman" w:hAnsi="Times New Roman"/>
          <w:sz w:val="24"/>
          <w:szCs w:val="24"/>
        </w:rPr>
        <w:t xml:space="preserve"> infections were associated with high mortality rates, reaching up to 60% in intensive care unit settings (Chua &amp; Alejandria, 2008). Similarly, treatment of multidrug-resistant Gram-negative infections using last-resort antibiotics such as colistin resulted in moderate clinical success (61.2%) but remained associated with high mortality (41.6%) and significant adverse effects, including nephrotoxicity (Li &amp; Abad, 2020). Mortality among patients with </w:t>
      </w:r>
      <w:r>
        <w:rPr>
          <w:rFonts w:eastAsia="Times New Roman" w:cs="Times New Roman" w:ascii="Times New Roman" w:hAnsi="Times New Roman"/>
          <w:i/>
          <w:iCs/>
          <w:sz w:val="24"/>
          <w:szCs w:val="24"/>
        </w:rPr>
        <w:t>Acinetobacter baumannii</w:t>
      </w:r>
      <w:r>
        <w:rPr>
          <w:rFonts w:eastAsia="Times New Roman" w:cs="Times New Roman" w:ascii="Times New Roman" w:hAnsi="Times New Roman"/>
          <w:sz w:val="24"/>
          <w:szCs w:val="24"/>
        </w:rPr>
        <w:t xml:space="preserve"> infections was also strongly associated with comorbidities and invasive procedures, with overall mortality reaching 46% (Agoncillo et al., 2020).</w:t>
      </w:r>
    </w:p>
    <w:p>
      <w:pPr>
        <w:pStyle w:val="Heading1"/>
        <w:keepNext w:val="false"/>
        <w:keepLines w:val="false"/>
        <w:spacing w:before="240" w:after="24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bookmarkStart w:id="23" w:name="_umcoie1yfkwj_Copy_6"/>
      <w:bookmarkStart w:id="24" w:name="_umcoie1yfkwj_Copy_6"/>
      <w:bookmarkEnd w:id="24"/>
    </w:p>
    <w:p>
      <w:pPr>
        <w:pStyle w:val="Heading1"/>
        <w:keepNext w:val="false"/>
        <w:keepLines w:val="false"/>
        <w:spacing w:before="480" w:after="120"/>
        <w:jc w:val="both"/>
        <w:rPr>
          <w:rFonts w:ascii="Times New Roman" w:hAnsi="Times New Roman" w:eastAsia="Times New Roman" w:cs="Times New Roman"/>
          <w:sz w:val="24"/>
          <w:szCs w:val="24"/>
        </w:rPr>
      </w:pPr>
      <w:bookmarkStart w:id="25" w:name="_kjjazoefyls8"/>
      <w:bookmarkEnd w:id="25"/>
      <w:r>
        <w:rPr>
          <w:rFonts w:eastAsia="Times New Roman" w:cs="Times New Roman" w:ascii="Times New Roman" w:hAnsi="Times New Roman"/>
          <w:b/>
          <w:bCs/>
          <w:sz w:val="24"/>
          <w:szCs w:val="24"/>
        </w:rPr>
        <w:t>DISCUSSION</w:t>
        <w:br/>
        <w:br/>
      </w:r>
      <w:r>
        <w:rPr>
          <w:rFonts w:eastAsia="Times New Roman" w:cs="Times New Roman" w:ascii="Times New Roman" w:hAnsi="Times New Roman"/>
          <w:sz w:val="24"/>
          <w:szCs w:val="24"/>
        </w:rPr>
        <w:t>This systematic review synthesizing 14 eligible studies provides a focused and methodologically robust assessment of antimicrobial resistance (AMR) in the Philippines. Although the number of included studies is relatively modest, this reflects the application of strict inclusion criteria restricting the analysis to studies reporting AMR data from human clinical isolates. This approach enhances the validity and comparability of findings by ensuring that only clinically relevant evidence is considered. The limited number of eligible studies also highlights gaps in standardized and nationwide clinical AMR research in the Philippines, particularly the scarcity of multi-center and longitudinal investigations (Argimón et al., 2019; Bacabac et al., 2025).</w:t>
      </w:r>
    </w:p>
    <w:p>
      <w:pPr>
        <w:pStyle w:val="Heading1"/>
        <w:keepNext w:val="false"/>
        <w:keepLines w:val="false"/>
        <w:spacing w:before="240" w:after="240"/>
        <w:jc w:val="both"/>
        <w:rPr>
          <w:rFonts w:ascii="Times New Roman" w:hAnsi="Times New Roman" w:eastAsia="Times New Roman" w:cs="Times New Roman"/>
          <w:sz w:val="24"/>
          <w:szCs w:val="24"/>
        </w:rPr>
      </w:pPr>
      <w:bookmarkStart w:id="26" w:name="_kjjazoefyls8_Copy_1"/>
      <w:bookmarkEnd w:id="26"/>
      <w:r>
        <w:rPr>
          <w:rFonts w:eastAsia="Times New Roman" w:cs="Times New Roman" w:ascii="Times New Roman" w:hAnsi="Times New Roman"/>
          <w:sz w:val="24"/>
          <w:szCs w:val="24"/>
        </w:rPr>
        <w:t xml:space="preserve">Despite the limited number of studies, the findings consistently demonstrate a substantial and increasing burden of antimicrobial resistance, particularly among Gram-negative pathogens. High resistance rates in </w:t>
      </w:r>
      <w:r>
        <w:rPr>
          <w:rFonts w:eastAsia="Times New Roman" w:cs="Times New Roman" w:ascii="Times New Roman" w:hAnsi="Times New Roman"/>
          <w:i/>
          <w:iCs/>
          <w:sz w:val="24"/>
          <w:szCs w:val="24"/>
        </w:rPr>
        <w:t>Acinetobacter baumannii</w:t>
      </w:r>
      <w:r>
        <w:rPr>
          <w:rFonts w:eastAsia="Times New Roman" w:cs="Times New Roman" w:ascii="Times New Roman" w:hAnsi="Times New Roman"/>
          <w:sz w:val="24"/>
          <w:szCs w:val="24"/>
        </w:rPr>
        <w:t xml:space="preserve"> and increasing carbapenem resistance among </w:t>
      </w:r>
      <w:r>
        <w:rPr>
          <w:rFonts w:eastAsia="Times New Roman" w:cs="Times New Roman" w:ascii="Times New Roman" w:hAnsi="Times New Roman"/>
          <w:i/>
          <w:iCs/>
          <w:sz w:val="24"/>
          <w:szCs w:val="24"/>
        </w:rPr>
        <w:t>Enterobacterales</w:t>
      </w:r>
      <w:r>
        <w:rPr>
          <w:rFonts w:eastAsia="Times New Roman" w:cs="Times New Roman" w:ascii="Times New Roman" w:hAnsi="Times New Roman"/>
          <w:sz w:val="24"/>
          <w:szCs w:val="24"/>
        </w:rPr>
        <w:t xml:space="preserve"> were consistently reported across studies, reflecting the growing challenge of managing hospital-acquired infections (Argimón et al., 2019; Chilam et al., 2021). These findings are consistent with global trends and emphasize the clinical significance of multidrug-resistant and extensively drug-resistant organisms in healthcare settings (WHO, 2023; Ng et al., 2025).</w:t>
      </w:r>
    </w:p>
    <w:p>
      <w:pPr>
        <w:pStyle w:val="Heading1"/>
        <w:keepNext w:val="false"/>
        <w:keepLines w:val="false"/>
        <w:spacing w:before="240" w:after="240"/>
        <w:jc w:val="both"/>
        <w:rPr>
          <w:rFonts w:ascii="Times New Roman" w:hAnsi="Times New Roman" w:eastAsia="Times New Roman" w:cs="Times New Roman"/>
          <w:sz w:val="24"/>
          <w:szCs w:val="24"/>
        </w:rPr>
      </w:pPr>
      <w:bookmarkStart w:id="27" w:name="_kjjazoefyls8_Copy_2"/>
      <w:bookmarkEnd w:id="27"/>
      <w:r>
        <w:rPr>
          <w:rFonts w:eastAsia="Times New Roman" w:cs="Times New Roman" w:ascii="Times New Roman" w:hAnsi="Times New Roman"/>
          <w:sz w:val="24"/>
          <w:szCs w:val="24"/>
        </w:rPr>
        <w:t xml:space="preserve">The observed increase in antimicrobial resistance following the COVID-19 pandemic, including rising resistance in </w:t>
      </w:r>
      <w:r>
        <w:rPr>
          <w:rFonts w:eastAsia="Times New Roman" w:cs="Times New Roman" w:ascii="Times New Roman" w:hAnsi="Times New Roman"/>
          <w:i/>
          <w:iCs/>
          <w:sz w:val="24"/>
          <w:szCs w:val="24"/>
        </w:rPr>
        <w:t>Escherichia coli</w:t>
      </w:r>
      <w:r>
        <w:rPr>
          <w:rFonts w:eastAsia="Times New Roman" w:cs="Times New Roman" w:ascii="Times New Roman" w:hAnsi="Times New Roman"/>
          <w:sz w:val="24"/>
          <w:szCs w:val="24"/>
        </w:rPr>
        <w:t xml:space="preserve"> and methicillin-resistant </w:t>
      </w:r>
      <w:r>
        <w:rPr>
          <w:rFonts w:eastAsia="Times New Roman" w:cs="Times New Roman" w:ascii="Times New Roman" w:hAnsi="Times New Roman"/>
          <w:i/>
          <w:iCs/>
          <w:sz w:val="24"/>
          <w:szCs w:val="24"/>
        </w:rPr>
        <w:t>Staphylococcus aureus</w:t>
      </w:r>
      <w:r>
        <w:rPr>
          <w:rFonts w:eastAsia="Times New Roman" w:cs="Times New Roman" w:ascii="Times New Roman" w:hAnsi="Times New Roman"/>
          <w:sz w:val="24"/>
          <w:szCs w:val="24"/>
        </w:rPr>
        <w:t xml:space="preserve"> (MRSA), suggests that pandemic-related disruptions may have accelerated resistance development. Increased empirical antibiotic use, reduced diagnostic capacity, and strained infection control practices likely contributed to this trend. These findings are supported by evidence of increased resistance rates reported in post-pandemic analyses (Bacabac et al., 2025) and broader reports describing disruptions in antimicrobial stewardship and surveillance systems during the pandemic (Boehme et al., 2022).</w:t>
      </w:r>
    </w:p>
    <w:p>
      <w:pPr>
        <w:pStyle w:val="Heading1"/>
        <w:keepNext w:val="false"/>
        <w:keepLines w:val="false"/>
        <w:spacing w:before="240" w:after="240"/>
        <w:jc w:val="both"/>
        <w:rPr>
          <w:rFonts w:ascii="Times New Roman" w:hAnsi="Times New Roman" w:eastAsia="Times New Roman" w:cs="Times New Roman"/>
          <w:sz w:val="24"/>
          <w:szCs w:val="24"/>
        </w:rPr>
      </w:pPr>
      <w:bookmarkStart w:id="28" w:name="_kjjazoefyls8_Copy_3"/>
      <w:bookmarkEnd w:id="28"/>
      <w:r>
        <w:rPr>
          <w:rFonts w:eastAsia="Times New Roman" w:cs="Times New Roman" w:ascii="Times New Roman" w:hAnsi="Times New Roman"/>
          <w:sz w:val="24"/>
          <w:szCs w:val="24"/>
        </w:rPr>
        <w:t xml:space="preserve">The strong association between antimicrobial consumption and resistance patterns identified in this review reinforces antimicrobial misuse as a key driver of resistance. Significant correlations between antibiotic use and resistance were observed across multiple pathogens, including </w:t>
      </w:r>
      <w:r>
        <w:rPr>
          <w:rFonts w:eastAsia="Times New Roman" w:cs="Times New Roman" w:ascii="Times New Roman" w:hAnsi="Times New Roman"/>
          <w:i/>
          <w:iCs/>
          <w:sz w:val="24"/>
          <w:szCs w:val="24"/>
        </w:rPr>
        <w:t>Escherichia coli</w:t>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Acinetobacter baumannii</w:t>
      </w:r>
      <w:r>
        <w:rPr>
          <w:rFonts w:eastAsia="Times New Roman" w:cs="Times New Roman" w:ascii="Times New Roman" w:hAnsi="Times New Roman"/>
          <w:sz w:val="24"/>
          <w:szCs w:val="24"/>
        </w:rPr>
        <w:t xml:space="preserve">, and </w:t>
      </w:r>
      <w:r>
        <w:rPr>
          <w:rFonts w:eastAsia="Times New Roman" w:cs="Times New Roman" w:ascii="Times New Roman" w:hAnsi="Times New Roman"/>
          <w:i/>
          <w:iCs/>
          <w:sz w:val="24"/>
          <w:szCs w:val="24"/>
        </w:rPr>
        <w:t>Pseudomonas aeruginosa</w:t>
      </w:r>
      <w:r>
        <w:rPr>
          <w:rFonts w:eastAsia="Times New Roman" w:cs="Times New Roman" w:ascii="Times New Roman" w:hAnsi="Times New Roman"/>
          <w:sz w:val="24"/>
          <w:szCs w:val="24"/>
        </w:rPr>
        <w:t xml:space="preserve"> (Abeleda et al., 2024). These findings are consistent with existing literature emphasizing the role of inappropriate prescribing, self-medication, and weak regulatory enforcement in accelerating AMR (Endale et al., 2023). The observed protective effect of antimicrobial stewardship programs further highlights the importance of structured interventions in reducing resistance trends (Bacabac et al., 2025).</w:t>
      </w:r>
    </w:p>
    <w:p>
      <w:pPr>
        <w:pStyle w:val="Heading1"/>
        <w:keepNext w:val="false"/>
        <w:keepLines w:val="false"/>
        <w:spacing w:before="240" w:after="240"/>
        <w:jc w:val="both"/>
        <w:rPr>
          <w:rFonts w:ascii="Times New Roman" w:hAnsi="Times New Roman" w:eastAsia="Times New Roman" w:cs="Times New Roman"/>
          <w:sz w:val="24"/>
          <w:szCs w:val="24"/>
        </w:rPr>
      </w:pPr>
      <w:bookmarkStart w:id="29" w:name="_kjjazoefyls8_Copy_4"/>
      <w:bookmarkEnd w:id="29"/>
      <w:r>
        <w:rPr>
          <w:rFonts w:eastAsia="Times New Roman" w:cs="Times New Roman" w:ascii="Times New Roman" w:hAnsi="Times New Roman"/>
          <w:sz w:val="24"/>
          <w:szCs w:val="24"/>
        </w:rPr>
        <w:t xml:space="preserve">Molecular epidemiological evidence demonstrates that antimicrobial resistance in the Philippines is driven by both clonal dissemination and horizontal gene transfer mechanisms. The detection of key resistance genes, including blaNDM and blaOXA variants, and the circulation of high-risk clones of </w:t>
      </w:r>
      <w:r>
        <w:rPr>
          <w:rFonts w:eastAsia="Times New Roman" w:cs="Times New Roman" w:ascii="Times New Roman" w:hAnsi="Times New Roman"/>
          <w:i/>
          <w:iCs/>
          <w:sz w:val="24"/>
          <w:szCs w:val="24"/>
        </w:rPr>
        <w:t>Acinetobacter baumannii</w:t>
      </w:r>
      <w:r>
        <w:rPr>
          <w:rFonts w:eastAsia="Times New Roman" w:cs="Times New Roman" w:ascii="Times New Roman" w:hAnsi="Times New Roman"/>
          <w:sz w:val="24"/>
          <w:szCs w:val="24"/>
        </w:rPr>
        <w:t xml:space="preserve"> across healthcare facilities highlight the complex dynamics of AMR transmission (Argimón et al., 2019; Chilam et al., 2021). High concordance between phenotypic and genotypic resistance further supports the reliability of molecular surveillance approaches in understanding resistance patterns.</w:t>
      </w:r>
    </w:p>
    <w:p>
      <w:pPr>
        <w:pStyle w:val="Heading1"/>
        <w:keepNext w:val="false"/>
        <w:keepLines w:val="false"/>
        <w:spacing w:before="240" w:after="240"/>
        <w:jc w:val="both"/>
        <w:rPr>
          <w:rFonts w:ascii="Times New Roman" w:hAnsi="Times New Roman" w:eastAsia="Times New Roman" w:cs="Times New Roman"/>
          <w:sz w:val="24"/>
          <w:szCs w:val="24"/>
        </w:rPr>
      </w:pPr>
      <w:bookmarkStart w:id="30" w:name="_kjjazoefyls8_Copy_5"/>
      <w:bookmarkEnd w:id="30"/>
      <w:r>
        <w:rPr>
          <w:rFonts w:eastAsia="Times New Roman" w:cs="Times New Roman" w:ascii="Times New Roman" w:hAnsi="Times New Roman"/>
          <w:sz w:val="24"/>
          <w:szCs w:val="24"/>
        </w:rPr>
        <w:t xml:space="preserve">The substantial clinical burden associated with antimicrobial resistance, including high mortality rates and limited treatment options, underscores the urgency of addressing this issue. Multidrug-resistant </w:t>
      </w:r>
      <w:r>
        <w:rPr>
          <w:rFonts w:eastAsia="Times New Roman" w:cs="Times New Roman" w:ascii="Times New Roman" w:hAnsi="Times New Roman"/>
          <w:i/>
          <w:iCs/>
          <w:sz w:val="24"/>
          <w:szCs w:val="24"/>
        </w:rPr>
        <w:t>Acinetobacter</w:t>
      </w:r>
      <w:r>
        <w:rPr>
          <w:rFonts w:eastAsia="Times New Roman" w:cs="Times New Roman" w:ascii="Times New Roman" w:hAnsi="Times New Roman"/>
          <w:sz w:val="24"/>
          <w:szCs w:val="24"/>
        </w:rPr>
        <w:t xml:space="preserve"> infections were associated with mortality rates of up to 60% in intensive care settings (Chua &amp; Alejandria, 2008), while treatment of multidrug-resistant Gram-negative infections using colistin demonstrated moderate clinical success but remained associated with high mortality and significant toxicity (Li &amp; Abad, 2020). Additionally, mortality among patients with </w:t>
      </w:r>
      <w:r>
        <w:rPr>
          <w:rFonts w:eastAsia="Times New Roman" w:cs="Times New Roman" w:ascii="Times New Roman" w:hAnsi="Times New Roman"/>
          <w:i/>
          <w:iCs/>
          <w:sz w:val="24"/>
          <w:szCs w:val="24"/>
        </w:rPr>
        <w:t>Acinetobacter baumannii</w:t>
      </w:r>
      <w:r>
        <w:rPr>
          <w:rFonts w:eastAsia="Times New Roman" w:cs="Times New Roman" w:ascii="Times New Roman" w:hAnsi="Times New Roman"/>
          <w:sz w:val="24"/>
          <w:szCs w:val="24"/>
        </w:rPr>
        <w:t xml:space="preserve"> infections was strongly associated with comorbidities and invasive procedures (Agoncillo et al., 2020), highlighting the clinical complexity of managing resistant infections.</w:t>
      </w:r>
    </w:p>
    <w:p>
      <w:pPr>
        <w:pStyle w:val="Heading1"/>
        <w:keepNext w:val="false"/>
        <w:keepLines w:val="false"/>
        <w:spacing w:before="240" w:after="240"/>
        <w:jc w:val="both"/>
        <w:rPr>
          <w:rFonts w:ascii="Times New Roman" w:hAnsi="Times New Roman" w:eastAsia="Times New Roman" w:cs="Times New Roman"/>
          <w:sz w:val="24"/>
          <w:szCs w:val="24"/>
        </w:rPr>
      </w:pPr>
      <w:bookmarkStart w:id="31" w:name="_6ffrd08ebidq"/>
      <w:bookmarkEnd w:id="31"/>
      <w:r>
        <w:rPr>
          <w:rFonts w:eastAsia="Times New Roman" w:cs="Times New Roman" w:ascii="Times New Roman" w:hAnsi="Times New Roman"/>
          <w:sz w:val="24"/>
          <w:szCs w:val="24"/>
        </w:rPr>
        <w:t>Overall, while the number of included studies is limited, the consistency of findings across surveillance, clinical, and molecular studies strengthens the reliability of this review. At the same time, the limited number of eligible studies underscores the need for more comprehensive, standardized, and geographically representative clinical AMR research in the Philippines to support evidence-based policy and intervention strategies.</w:t>
      </w:r>
    </w:p>
    <w:p>
      <w:pPr>
        <w:pStyle w:val="Heading1"/>
        <w:keepNext w:val="false"/>
        <w:keepLines w:val="false"/>
        <w:spacing w:before="480" w:after="1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bookmarkStart w:id="32" w:name="_iajevn49lotw"/>
      <w:bookmarkStart w:id="33" w:name="_iajevn49lotw"/>
      <w:bookmarkEnd w:id="33"/>
    </w:p>
    <w:p>
      <w:pPr>
        <w:pStyle w:val="normal1"/>
        <w:rPr/>
      </w:pPr>
      <w:r>
        <w:rPr/>
      </w:r>
    </w:p>
    <w:p>
      <w:pPr>
        <w:pStyle w:val="Heading2"/>
        <w:keepNext w:val="false"/>
        <w:keepLines w:val="false"/>
        <w:spacing w:before="360" w:after="80"/>
        <w:jc w:val="both"/>
        <w:rPr>
          <w:rFonts w:ascii="Times New Roman" w:hAnsi="Times New Roman" w:eastAsia="Times New Roman" w:cs="Times New Roman"/>
          <w:b/>
          <w:bCs/>
          <w:sz w:val="24"/>
          <w:szCs w:val="24"/>
        </w:rPr>
      </w:pPr>
      <w:bookmarkStart w:id="34" w:name="_rcnicots5yvq"/>
      <w:bookmarkEnd w:id="34"/>
      <w:r>
        <w:rPr>
          <w:rFonts w:eastAsia="Times New Roman" w:cs="Times New Roman" w:ascii="Times New Roman" w:hAnsi="Times New Roman"/>
          <w:b/>
          <w:bCs/>
          <w:sz w:val="24"/>
          <w:szCs w:val="24"/>
        </w:rPr>
        <w:t>CONCLUSION</w:t>
      </w:r>
    </w:p>
    <w:p>
      <w:pPr>
        <w:pStyle w:val="Heading1"/>
        <w:keepNext w:val="false"/>
        <w:keepLines w:val="false"/>
        <w:spacing w:before="240" w:after="240"/>
        <w:jc w:val="both"/>
        <w:rPr>
          <w:rFonts w:ascii="Times New Roman" w:hAnsi="Times New Roman" w:eastAsia="Times New Roman" w:cs="Times New Roman"/>
          <w:sz w:val="24"/>
          <w:szCs w:val="24"/>
        </w:rPr>
      </w:pPr>
      <w:bookmarkStart w:id="35" w:name="_7lyu1gf46d4f"/>
      <w:bookmarkEnd w:id="35"/>
      <w:r>
        <w:rPr>
          <w:rFonts w:eastAsia="Times New Roman" w:cs="Times New Roman" w:ascii="Times New Roman" w:hAnsi="Times New Roman"/>
          <w:sz w:val="24"/>
          <w:szCs w:val="24"/>
        </w:rPr>
        <w:t xml:space="preserve">This systematic review, synthesizing 14 studies reporting antimicrobial resistance (AMR) data from human clinical isolates, demonstrates that AMR in the Philippines is a growing and significant public health concern, predominantly driven by Gram-negative pathogens. High resistance rates observed in </w:t>
      </w:r>
      <w:r>
        <w:rPr>
          <w:rFonts w:eastAsia="Times New Roman" w:cs="Times New Roman" w:ascii="Times New Roman" w:hAnsi="Times New Roman"/>
          <w:i/>
          <w:iCs/>
          <w:sz w:val="24"/>
          <w:szCs w:val="24"/>
        </w:rPr>
        <w:t>Acinetobacter baumannii</w:t>
      </w:r>
      <w:r>
        <w:rPr>
          <w:rFonts w:eastAsia="Times New Roman" w:cs="Times New Roman" w:ascii="Times New Roman" w:hAnsi="Times New Roman"/>
          <w:sz w:val="24"/>
          <w:szCs w:val="24"/>
        </w:rPr>
        <w:t xml:space="preserve"> and increasing resistance to critical antibiotics, including carbapenems and third-generation cephalosporins, highlight the escalating difficulty in managing hospital-acquired infections and the narrowing range of effective therapeutic options (Argimón et al., 2019; Chilam et al., 2021).</w:t>
      </w:r>
    </w:p>
    <w:p>
      <w:pPr>
        <w:pStyle w:val="Heading1"/>
        <w:keepNext w:val="false"/>
        <w:keepLines w:val="false"/>
        <w:spacing w:before="240" w:after="240"/>
        <w:jc w:val="both"/>
        <w:rPr>
          <w:rFonts w:ascii="Times New Roman" w:hAnsi="Times New Roman" w:eastAsia="Times New Roman" w:cs="Times New Roman"/>
          <w:sz w:val="24"/>
          <w:szCs w:val="24"/>
        </w:rPr>
      </w:pPr>
      <w:bookmarkStart w:id="36" w:name="_7lyu1gf46d4f_Copy_1"/>
      <w:bookmarkEnd w:id="36"/>
      <w:r>
        <w:rPr>
          <w:rFonts w:eastAsia="Times New Roman" w:cs="Times New Roman" w:ascii="Times New Roman" w:hAnsi="Times New Roman"/>
          <w:sz w:val="24"/>
          <w:szCs w:val="24"/>
        </w:rPr>
        <w:t>The findings further indicate that antimicrobial resistance is strongly associated with patterns of antibiotic consumption, with evidence linking increased antimicrobial use to rising resistance rates across multiple pathogens (Abeleda et al., 2024; Bacabac et al., 2025). The observed increase in resistance following the COVID-19 pandemic underscores the impact of healthcare system disruptions, including increased empirical antibiotic use and reduced surveillance capacity, on resistance development (Bacabac et al., 2025; Boehme et al., 2022).</w:t>
      </w:r>
    </w:p>
    <w:p>
      <w:pPr>
        <w:pStyle w:val="Heading1"/>
        <w:keepNext w:val="false"/>
        <w:keepLines w:val="false"/>
        <w:spacing w:before="240" w:after="240"/>
        <w:jc w:val="both"/>
        <w:rPr>
          <w:rFonts w:ascii="Times New Roman" w:hAnsi="Times New Roman" w:eastAsia="Times New Roman" w:cs="Times New Roman"/>
          <w:sz w:val="24"/>
          <w:szCs w:val="24"/>
        </w:rPr>
      </w:pPr>
      <w:bookmarkStart w:id="37" w:name="_7lyu1gf46d4f_Copy_2"/>
      <w:bookmarkEnd w:id="37"/>
      <w:r>
        <w:rPr>
          <w:rFonts w:eastAsia="Times New Roman" w:cs="Times New Roman" w:ascii="Times New Roman" w:hAnsi="Times New Roman"/>
          <w:sz w:val="24"/>
          <w:szCs w:val="24"/>
        </w:rPr>
        <w:t>Molecular evidence also demonstrates that AMR in the Philippines is driven by both clonal dissemination and horizontal gene transfer, with the presence of key resistance genes and high-risk bacterial clones contributing to the spread of resistance within healthcare settings (Argimón et al., 2019; Chilam et al., 2021). The substantial clinical burden associated with AMR, including high mortality rates and reliance on last-resort antibiotics such as colistin, further emphasizes the urgency of addressing this issue (Chua &amp; Alejandria, 2008; Li &amp; Abad, 2020).</w:t>
      </w:r>
    </w:p>
    <w:p>
      <w:pPr>
        <w:pStyle w:val="Heading1"/>
        <w:keepNext w:val="false"/>
        <w:keepLines w:val="false"/>
        <w:spacing w:before="240" w:after="240"/>
        <w:jc w:val="both"/>
        <w:rPr>
          <w:rFonts w:ascii="Times New Roman" w:hAnsi="Times New Roman" w:eastAsia="Times New Roman" w:cs="Times New Roman"/>
          <w:sz w:val="24"/>
          <w:szCs w:val="24"/>
        </w:rPr>
      </w:pPr>
      <w:bookmarkStart w:id="38" w:name="_3lrj8bpcraxz"/>
      <w:bookmarkEnd w:id="38"/>
      <w:r>
        <w:rPr>
          <w:rFonts w:eastAsia="Times New Roman" w:cs="Times New Roman" w:ascii="Times New Roman" w:hAnsi="Times New Roman"/>
          <w:sz w:val="24"/>
          <w:szCs w:val="24"/>
        </w:rPr>
        <w:t>Although limited to a relatively small number of eligible studies, the consistency of findings across surveillance, clinical, and molecular investigations strengthens the validity of this review. At the same time, the limited number of studies highlights gaps in standardized and nationwide clinical AMR research in the Philippines. These findings underscore the urgent need for strengthened surveillance systems, improved antimicrobial stewardship, and enhanced infection prevention and control measures to mitigate the growing burden of antimicrobial resistance.</w:t>
      </w:r>
    </w:p>
    <w:p>
      <w:pPr>
        <w:pStyle w:val="normal1"/>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bookmarkStart w:id="39" w:name="_bpy2ix98r00q"/>
      <w:bookmarkStart w:id="40" w:name="_bpy2ix98r00q"/>
      <w:bookmarkEnd w:id="40"/>
    </w:p>
    <w:p>
      <w:pPr>
        <w:pStyle w:val="Heading2"/>
        <w:keepNext w:val="false"/>
        <w:keepLines w:val="false"/>
        <w:spacing w:before="360" w:after="80"/>
        <w:jc w:val="both"/>
        <w:rPr>
          <w:rFonts w:ascii="Times New Roman" w:hAnsi="Times New Roman" w:eastAsia="Times New Roman" w:cs="Times New Roman"/>
          <w:b/>
          <w:bCs/>
          <w:sz w:val="24"/>
          <w:szCs w:val="24"/>
        </w:rPr>
      </w:pPr>
      <w:bookmarkStart w:id="41" w:name="_xb010olrg1ml"/>
      <w:bookmarkEnd w:id="41"/>
      <w:r>
        <w:rPr>
          <w:rFonts w:eastAsia="Times New Roman" w:cs="Times New Roman" w:ascii="Times New Roman" w:hAnsi="Times New Roman"/>
          <w:b/>
          <w:bCs/>
          <w:sz w:val="24"/>
          <w:szCs w:val="24"/>
        </w:rPr>
        <w:t>RECOMMENDATIONS</w:t>
      </w:r>
    </w:p>
    <w:p>
      <w:pPr>
        <w:pStyle w:val="normal1"/>
        <w:rPr/>
      </w:pPr>
      <w:r>
        <w:rPr/>
      </w:r>
    </w:p>
    <w:p>
      <w:pPr>
        <w:pStyle w:val="normal1"/>
        <w:spacing w:lineRule="auto" w:line="240" w:before="240" w:after="240"/>
        <w:jc w:val="both"/>
        <w:rPr/>
      </w:pPr>
      <w:r>
        <w:rPr/>
        <w:t>Based on the findings of this systematic review, several key recommendations are proposed to address antimicrobial resistance in the Philippines.</w:t>
      </w:r>
    </w:p>
    <w:p>
      <w:pPr>
        <w:pStyle w:val="normal1"/>
        <w:spacing w:lineRule="auto" w:line="240" w:before="240" w:after="240"/>
        <w:jc w:val="both"/>
        <w:rPr/>
      </w:pPr>
      <w:r>
        <w:rPr/>
        <w:t>First, antimicrobial stewardship programs should be strengthened and expanded across all healthcare settings. Implementation of standardized prescribing guidelines, routine audit and feedback systems, and continuous training of healthcare professionals is essential to promote rational antibiotic use and reduce inappropriate prescribing practices.</w:t>
      </w:r>
    </w:p>
    <w:p>
      <w:pPr>
        <w:pStyle w:val="normal1"/>
        <w:spacing w:lineRule="auto" w:line="240" w:before="240" w:after="240"/>
        <w:jc w:val="both"/>
        <w:rPr>
          <w:color w:val="000000"/>
        </w:rPr>
      </w:pPr>
      <w:r>
        <w:rPr>
          <w:color w:val="000000"/>
        </w:rPr>
        <w:t>Second, national antimicrobial resistance surveillance systems should be enhanced and standardized. Efforts should focus on expanding geographic coverage, particularly in underrepresented regions, and ensuring that laboratory methodologies for detection and screening are consistently in place and readily available enabling the early identification of cases as they arise, thereby contributing to their timely confirmation and effective management. This includes the use of chromogenic agars in the isolation, modified Carbapenem isolation method (mCIM), EDTA-modified Carbapenem isolation method (eCIM), and Carbapenemase Nordmann-Poirel (CarbaNP) test. Integration of molecular surveillance approaches, such as whole-genome sequencing, should be supported to improve detection of resistance mechanisms and transmission dynamics.</w:t>
      </w:r>
    </w:p>
    <w:p>
      <w:pPr>
        <w:pStyle w:val="normal1"/>
        <w:spacing w:lineRule="auto" w:line="240" w:before="240" w:after="240"/>
        <w:jc w:val="both"/>
        <w:rPr/>
      </w:pPr>
      <w:r>
        <w:rPr/>
        <w:t>Third, infection prevention and control measures should be reinforced, particularly in hospital and intensive care settings where multidrug-resistant organisms are most prevalent. Strengthening hygiene protocols, surveillance of hospital-acquired infections, and adherence to infection control practices are critical to limiting the spread of resistant pathogens.</w:t>
      </w:r>
    </w:p>
    <w:p>
      <w:pPr>
        <w:pStyle w:val="normal1"/>
        <w:spacing w:lineRule="auto" w:line="240" w:before="240" w:after="240"/>
        <w:jc w:val="both"/>
        <w:rPr/>
      </w:pPr>
      <w:r>
        <w:rPr/>
        <w:t>Fourth, regulatory enforcement on antimicrobial use should be improved, particularly in clinical and community settings. Policies restricting over-the-counter access to antibiotics should be strictly implemented, and monitoring systems should be strengthened to ensure compliance with prescribing regulations.</w:t>
      </w:r>
    </w:p>
    <w:p>
      <w:pPr>
        <w:pStyle w:val="normal1"/>
        <w:spacing w:lineRule="auto" w:line="240" w:before="240" w:after="240"/>
        <w:jc w:val="both"/>
        <w:rPr/>
      </w:pPr>
      <w:r>
        <w:rPr/>
        <w:t>Finally, future research should prioritize multicenter, longitudinal, and molecular epidemiological studies to better understand resistance trends, transmission dynamics, and the effectiveness of interventions. Strengthening collaboration among healthcare institutions, government agencies, and research organizations will be essential to support evidence-based strategies for antimicrobial resistance control in the Philippines.</w:t>
      </w:r>
      <w:bookmarkStart w:id="42" w:name="_Hlk227151135"/>
      <w:bookmarkStart w:id="43" w:name="_Hlk219110679"/>
      <w:bookmarkStart w:id="44" w:name="_Hlk221270586"/>
    </w:p>
    <w:p>
      <w:pPr>
        <w:pStyle w:val="Normal"/>
        <w:suppressAutoHyphens w:val="false"/>
        <w:spacing w:lineRule="auto" w:line="240"/>
        <w:rPr>
          <w:rFonts w:eastAsia="Calibri"/>
          <w:highlight w:val="yellow"/>
          <w:lang w:val="en-GB" w:eastAsia="en-US" w:bidi="ar-SA"/>
        </w:rPr>
      </w:pPr>
      <w:bookmarkStart w:id="45" w:name="_Hlk198031404"/>
      <w:bookmarkEnd w:id="43"/>
      <w:bookmarkEnd w:id="44"/>
      <w:bookmarkEnd w:id="45"/>
      <w:r>
        <w:rPr>
          <w:rFonts w:eastAsia="Calibri"/>
          <w:highlight w:val="yellow"/>
          <w:lang w:val="en-GB" w:eastAsia="en-US" w:bidi="ar-SA"/>
        </w:rPr>
        <w:t>Disclaimer (Artificial intelligence)</w:t>
      </w:r>
    </w:p>
    <w:p>
      <w:pPr>
        <w:pStyle w:val="Normal"/>
        <w:suppressAutoHyphens w:val="false"/>
        <w:spacing w:lineRule="auto" w:line="240"/>
        <w:rPr>
          <w:rFonts w:eastAsia="Calibri"/>
          <w:highlight w:val="yellow"/>
          <w:lang w:val="en-GB" w:eastAsia="en-US" w:bidi="ar-SA"/>
        </w:rPr>
      </w:pPr>
      <w:r>
        <w:rPr>
          <w:rFonts w:eastAsia="Calibri"/>
          <w:highlight w:val="yellow"/>
          <w:lang w:val="en-GB" w:eastAsia="en-US" w:bidi="ar-SA"/>
        </w:rPr>
      </w:r>
    </w:p>
    <w:p>
      <w:pPr>
        <w:pStyle w:val="Normal"/>
        <w:suppressAutoHyphens w:val="false"/>
        <w:spacing w:lineRule="auto" w:line="240"/>
        <w:rPr>
          <w:rFonts w:eastAsia="Calibri"/>
          <w:highlight w:val="yellow"/>
          <w:lang w:val="en-GB" w:eastAsia="en-US" w:bidi="ar-SA"/>
        </w:rPr>
      </w:pPr>
      <w:bookmarkStart w:id="46" w:name="_Hlk198031404"/>
      <w:bookmarkEnd w:id="42"/>
      <w:bookmarkEnd w:id="46"/>
      <w:r>
        <w:rPr>
          <w:rFonts w:eastAsia="Calibri"/>
          <w:highlight w:val="yellow"/>
          <w:lang w:val="en-GB" w:eastAsia="en-US" w:bidi="ar-SA"/>
        </w:rPr>
        <w:t xml:space="preserve">The authors hereby declare that no generative artificial intelligence (AI) technologies, including Large Language Models (LLMs) such as ChatGPT, Copilot, or similar AI-assisted writing tools, as well as text-to-image generation technologies, were used in the conceptualization, writing, analysis, interpretation, or editing of this manuscript. </w:t>
      </w:r>
    </w:p>
    <w:p>
      <w:pPr>
        <w:pStyle w:val="Heading1"/>
        <w:keepNext w:val="false"/>
        <w:keepLines w:val="false"/>
        <w:spacing w:before="480" w:after="120"/>
        <w:jc w:val="both"/>
        <w:rPr>
          <w:rFonts w:ascii="Times New Roman" w:hAnsi="Times New Roman" w:eastAsia="Times New Roman" w:cs="Times New Roman"/>
          <w:b/>
          <w:bCs/>
          <w:sz w:val="46"/>
          <w:szCs w:val="46"/>
        </w:rPr>
      </w:pPr>
      <w:bookmarkStart w:id="47" w:name="_806qtydxdmey"/>
      <w:bookmarkEnd w:id="47"/>
      <w:r>
        <w:rPr>
          <w:rFonts w:eastAsia="Times New Roman" w:cs="Times New Roman" w:ascii="Times New Roman" w:hAnsi="Times New Roman"/>
          <w:b/>
          <w:bCs/>
          <w:sz w:val="24"/>
          <w:szCs w:val="24"/>
        </w:rPr>
        <w:t>REFERENCES</w:t>
      </w:r>
    </w:p>
    <w:p>
      <w:pPr>
        <w:pStyle w:val="normal1"/>
        <w:numPr>
          <w:ilvl w:val="0"/>
          <w:numId w:val="1"/>
        </w:numPr>
        <w:spacing w:lineRule="auto" w:line="240" w:before="240" w:after="0"/>
        <w:jc w:val="both"/>
        <w:rPr/>
      </w:pPr>
      <w:r>
        <w:rPr>
          <w:rFonts w:eastAsia="Times New Roman" w:cs="Times New Roman" w:ascii="Times New Roman" w:hAnsi="Times New Roman"/>
          <w:sz w:val="24"/>
          <w:szCs w:val="24"/>
        </w:rPr>
        <w:t xml:space="preserve">Abeleda, M. A., Peña, I., Salenga, R., Capule, F., Nacabu-an, S. M., &amp; Nala, P. (2024). Antimicrobial consumption and resistance of restricted antibiotics in a Level III government hospital. </w:t>
      </w:r>
      <w:r>
        <w:rPr>
          <w:rFonts w:eastAsia="Times New Roman" w:cs="Times New Roman" w:ascii="Times New Roman" w:hAnsi="Times New Roman"/>
          <w:i/>
          <w:iCs/>
          <w:sz w:val="24"/>
          <w:szCs w:val="24"/>
        </w:rPr>
        <w:t>Acta Medica Philippina, 58</w:t>
      </w:r>
      <w:r>
        <w:rPr>
          <w:rFonts w:eastAsia="Times New Roman" w:cs="Times New Roman" w:ascii="Times New Roman" w:hAnsi="Times New Roman"/>
          <w:sz w:val="24"/>
          <w:szCs w:val="24"/>
        </w:rPr>
        <w:t xml:space="preserve">(16), 68–76. https://doi.org/10.47895/amp.vi0.8056 </w:t>
      </w:r>
    </w:p>
    <w:p>
      <w:pPr>
        <w:pStyle w:val="normal1"/>
        <w:numPr>
          <w:ilvl w:val="0"/>
          <w:numId w:val="1"/>
        </w:numPr>
        <w:spacing w:lineRule="auto" w:line="240" w:before="240" w:after="0"/>
        <w:rPr/>
      </w:pPr>
      <w:r>
        <w:rPr>
          <w:rFonts w:eastAsia="Times New Roman" w:cs="Times New Roman" w:ascii="Times New Roman" w:hAnsi="Times New Roman"/>
          <w:sz w:val="24"/>
          <w:szCs w:val="24"/>
        </w:rPr>
        <w:t xml:space="preserve">Agoncillo, A. R., Andres, R. P., Bastona, J. N. C., &amp; Abu, C. T. (2020). Factors associated with mortality among </w:t>
      </w:r>
      <w:r>
        <w:rPr>
          <w:rFonts w:eastAsia="Times New Roman" w:cs="Times New Roman" w:ascii="Times New Roman" w:hAnsi="Times New Roman"/>
          <w:i/>
          <w:iCs/>
          <w:sz w:val="24"/>
          <w:szCs w:val="24"/>
        </w:rPr>
        <w:t>Acinetobacter baumannii</w:t>
      </w:r>
      <w:r>
        <w:rPr>
          <w:rFonts w:eastAsia="Times New Roman" w:cs="Times New Roman" w:ascii="Times New Roman" w:hAnsi="Times New Roman"/>
          <w:sz w:val="24"/>
          <w:szCs w:val="24"/>
        </w:rPr>
        <w:t xml:space="preserve"> infected patients in a tertiary hospital in the Philippines. </w:t>
      </w:r>
      <w:r>
        <w:rPr>
          <w:rFonts w:eastAsia="Times New Roman" w:cs="Times New Roman" w:ascii="Times New Roman" w:hAnsi="Times New Roman"/>
          <w:i/>
          <w:iCs/>
          <w:sz w:val="24"/>
          <w:szCs w:val="24"/>
        </w:rPr>
        <w:t>HERDIN Research Database</w:t>
      </w:r>
      <w:r>
        <w:rPr>
          <w:rFonts w:eastAsia="Times New Roman" w:cs="Times New Roman" w:ascii="Times New Roman" w:hAnsi="Times New Roman"/>
          <w:sz w:val="24"/>
          <w:szCs w:val="24"/>
        </w:rPr>
        <w:t>.</w:t>
      </w:r>
      <w:hyperlink r:id="rId3">
        <w:r>
          <w:rPr>
            <w:rStyle w:val="Style3"/>
            <w:rFonts w:eastAsia="Times New Roman" w:cs="Times New Roman" w:ascii="Times New Roman" w:hAnsi="Times New Roman"/>
            <w:sz w:val="24"/>
            <w:szCs w:val="24"/>
          </w:rPr>
          <w:t xml:space="preserve"> </w:t>
        </w:r>
      </w:hyperlink>
      <w:hyperlink r:id="rId4">
        <w:r>
          <w:rPr>
            <w:rStyle w:val="Style3"/>
            <w:rFonts w:eastAsia="Times New Roman" w:cs="Times New Roman" w:ascii="Times New Roman" w:hAnsi="Times New Roman"/>
            <w:sz w:val="24"/>
            <w:szCs w:val="24"/>
          </w:rPr>
          <w:t>https://www.herdin.ph/index.php?view=research&amp;cid=77312</w:t>
        </w:r>
      </w:hyperlink>
    </w:p>
    <w:p>
      <w:pPr>
        <w:pStyle w:val="normal1"/>
        <w:numPr>
          <w:ilvl w:val="0"/>
          <w:numId w:val="1"/>
        </w:numPr>
        <w:spacing w:lineRule="auto" w:line="240" w:before="240" w:after="0"/>
        <w:jc w:val="both"/>
        <w:rPr/>
      </w:pPr>
      <w:r>
        <w:rPr>
          <w:rFonts w:eastAsia="Times New Roman" w:cs="Times New Roman" w:ascii="Times New Roman" w:hAnsi="Times New Roman"/>
          <w:sz w:val="24"/>
          <w:szCs w:val="24"/>
        </w:rPr>
        <w:t xml:space="preserve">Al-Khalaifah, H., Rahman, M. H., Al-Surrayai, T., Al-Dhumair, A., &amp; Al-Hasan, M. (2025). A One-Health perspective of antimicrobial resistance (AMR): Human, animals and environmental health. </w:t>
      </w:r>
      <w:r>
        <w:rPr>
          <w:rFonts w:eastAsia="Times New Roman" w:cs="Times New Roman" w:ascii="Times New Roman" w:hAnsi="Times New Roman"/>
          <w:i/>
          <w:iCs/>
          <w:sz w:val="24"/>
          <w:szCs w:val="24"/>
        </w:rPr>
        <w:t>Life, 15</w:t>
      </w:r>
      <w:r>
        <w:rPr>
          <w:rFonts w:eastAsia="Times New Roman" w:cs="Times New Roman" w:ascii="Times New Roman" w:hAnsi="Times New Roman"/>
          <w:sz w:val="24"/>
          <w:szCs w:val="24"/>
        </w:rPr>
        <w:t>(10), 1598.</w:t>
      </w:r>
      <w:hyperlink r:id="rId5">
        <w:r>
          <w:rPr>
            <w:rStyle w:val="Style3"/>
            <w:rFonts w:eastAsia="Times New Roman" w:cs="Times New Roman" w:ascii="Times New Roman" w:hAnsi="Times New Roman"/>
            <w:sz w:val="24"/>
            <w:szCs w:val="24"/>
          </w:rPr>
          <w:t xml:space="preserve"> </w:t>
        </w:r>
      </w:hyperlink>
      <w:hyperlink r:id="rId6">
        <w:r>
          <w:rPr>
            <w:rStyle w:val="Style3"/>
            <w:rFonts w:eastAsia="Times New Roman" w:cs="Times New Roman" w:ascii="Times New Roman" w:hAnsi="Times New Roman"/>
            <w:sz w:val="24"/>
            <w:szCs w:val="24"/>
          </w:rPr>
          <w:t>https://doi.org/10.3390/life15101598</w:t>
        </w:r>
      </w:hyperlink>
    </w:p>
    <w:p>
      <w:pPr>
        <w:pStyle w:val="normal1"/>
        <w:numPr>
          <w:ilvl w:val="0"/>
          <w:numId w:val="1"/>
        </w:numPr>
        <w:spacing w:lineRule="auto" w:line="240" w:before="240" w:after="0"/>
        <w:jc w:val="both"/>
        <w:rPr/>
      </w:pPr>
      <w:r>
        <w:rPr>
          <w:rFonts w:eastAsia="Times New Roman" w:cs="Times New Roman" w:ascii="Times New Roman" w:hAnsi="Times New Roman"/>
          <w:sz w:val="24"/>
          <w:szCs w:val="24"/>
        </w:rPr>
        <w:t xml:space="preserve">Antochevis, L. C., et al. (2025). World Health Organization priority antimicrobial resistance in Enterobacterales, </w:t>
      </w:r>
      <w:r>
        <w:rPr>
          <w:rFonts w:eastAsia="Times New Roman" w:cs="Times New Roman" w:ascii="Times New Roman" w:hAnsi="Times New Roman"/>
          <w:i/>
          <w:iCs/>
          <w:sz w:val="24"/>
          <w:szCs w:val="24"/>
        </w:rPr>
        <w:t>Acinetobacter baumannii</w:t>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Pseudomonas aeruginosa</w:t>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Staphylococcus aureus</w:t>
      </w:r>
      <w:r>
        <w:rPr>
          <w:rFonts w:eastAsia="Times New Roman" w:cs="Times New Roman" w:ascii="Times New Roman" w:hAnsi="Times New Roman"/>
          <w:sz w:val="24"/>
          <w:szCs w:val="24"/>
        </w:rPr>
        <w:t xml:space="preserve"> and </w:t>
      </w:r>
      <w:r>
        <w:rPr>
          <w:rFonts w:eastAsia="Times New Roman" w:cs="Times New Roman" w:ascii="Times New Roman" w:hAnsi="Times New Roman"/>
          <w:i/>
          <w:iCs/>
          <w:sz w:val="24"/>
          <w:szCs w:val="24"/>
        </w:rPr>
        <w:t>Enterococcus faecium</w:t>
      </w:r>
      <w:r>
        <w:rPr>
          <w:rFonts w:eastAsia="Times New Roman" w:cs="Times New Roman" w:ascii="Times New Roman" w:hAnsi="Times New Roman"/>
          <w:sz w:val="24"/>
          <w:szCs w:val="24"/>
        </w:rPr>
        <w:t xml:space="preserve"> healthcare-associated bloodstream infections in Brazil (ASCENSION). </w:t>
      </w:r>
      <w:r>
        <w:rPr>
          <w:rFonts w:eastAsia="Times New Roman" w:cs="Times New Roman" w:ascii="Times New Roman" w:hAnsi="Times New Roman"/>
          <w:i/>
          <w:iCs/>
          <w:sz w:val="24"/>
          <w:szCs w:val="24"/>
        </w:rPr>
        <w:t>The Lancet Regional Health – Americas, 43</w:t>
      </w:r>
      <w:r>
        <w:rPr>
          <w:rFonts w:eastAsia="Times New Roman" w:cs="Times New Roman" w:ascii="Times New Roman" w:hAnsi="Times New Roman"/>
          <w:sz w:val="24"/>
          <w:szCs w:val="24"/>
        </w:rPr>
        <w:t>, 101004.</w:t>
      </w:r>
      <w:hyperlink r:id="rId7">
        <w:r>
          <w:rPr>
            <w:rStyle w:val="Style3"/>
            <w:rFonts w:eastAsia="Times New Roman" w:cs="Times New Roman" w:ascii="Times New Roman" w:hAnsi="Times New Roman"/>
            <w:sz w:val="24"/>
            <w:szCs w:val="24"/>
          </w:rPr>
          <w:t xml:space="preserve"> </w:t>
        </w:r>
      </w:hyperlink>
      <w:hyperlink r:id="rId8">
        <w:r>
          <w:rPr>
            <w:rStyle w:val="Style3"/>
            <w:rFonts w:eastAsia="Times New Roman" w:cs="Times New Roman" w:ascii="Times New Roman" w:hAnsi="Times New Roman"/>
            <w:sz w:val="24"/>
            <w:szCs w:val="24"/>
          </w:rPr>
          <w:t>https://doi.org/10.1016/j.lana.2025.101004</w:t>
        </w:r>
      </w:hyperlink>
    </w:p>
    <w:p>
      <w:pPr>
        <w:pStyle w:val="normal1"/>
        <w:numPr>
          <w:ilvl w:val="0"/>
          <w:numId w:val="1"/>
        </w:numPr>
        <w:spacing w:lineRule="auto" w:line="240" w:before="240" w:after="0"/>
        <w:jc w:val="both"/>
        <w:rPr/>
      </w:pPr>
      <w:r>
        <w:rPr>
          <w:rFonts w:eastAsia="Times New Roman" w:cs="Times New Roman" w:ascii="Times New Roman" w:hAnsi="Times New Roman"/>
          <w:sz w:val="24"/>
          <w:szCs w:val="24"/>
        </w:rPr>
        <w:t xml:space="preserve">Argimón, S., et al. (2019). Integrating whole-genome sequencing within the National Antimicrobial Resistance Surveillance Program in the Philippines. </w:t>
      </w:r>
      <w:r>
        <w:rPr>
          <w:rFonts w:eastAsia="Times New Roman" w:cs="Times New Roman" w:ascii="Times New Roman" w:hAnsi="Times New Roman"/>
          <w:i/>
          <w:iCs/>
          <w:sz w:val="24"/>
          <w:szCs w:val="24"/>
        </w:rPr>
        <w:t>Nature Communications, 10</w:t>
      </w:r>
      <w:r>
        <w:rPr>
          <w:rFonts w:eastAsia="Times New Roman" w:cs="Times New Roman" w:ascii="Times New Roman" w:hAnsi="Times New Roman"/>
          <w:sz w:val="24"/>
          <w:szCs w:val="24"/>
        </w:rPr>
        <w:t>, 1–15.</w:t>
      </w:r>
      <w:hyperlink r:id="rId9">
        <w:r>
          <w:rPr>
            <w:rStyle w:val="Style3"/>
            <w:rFonts w:eastAsia="Times New Roman" w:cs="Times New Roman" w:ascii="Times New Roman" w:hAnsi="Times New Roman"/>
            <w:sz w:val="24"/>
            <w:szCs w:val="24"/>
          </w:rPr>
          <w:t xml:space="preserve"> </w:t>
        </w:r>
      </w:hyperlink>
      <w:hyperlink r:id="rId10">
        <w:r>
          <w:rPr>
            <w:rStyle w:val="Style3"/>
            <w:rFonts w:eastAsia="Times New Roman" w:cs="Times New Roman" w:ascii="Times New Roman" w:hAnsi="Times New Roman"/>
            <w:sz w:val="24"/>
            <w:szCs w:val="24"/>
          </w:rPr>
          <w:t>https://doi.org/10.1038/s41467-019-13977-7</w:t>
        </w:r>
      </w:hyperlink>
    </w:p>
    <w:p>
      <w:pPr>
        <w:pStyle w:val="normal1"/>
        <w:numPr>
          <w:ilvl w:val="0"/>
          <w:numId w:val="1"/>
        </w:numPr>
        <w:spacing w:lineRule="auto" w:line="240" w:before="240" w:after="0"/>
        <w:jc w:val="both"/>
        <w:rPr/>
      </w:pPr>
      <w:r>
        <w:rPr>
          <w:rFonts w:eastAsia="Times New Roman" w:cs="Times New Roman" w:ascii="Times New Roman" w:hAnsi="Times New Roman"/>
          <w:sz w:val="24"/>
          <w:szCs w:val="24"/>
        </w:rPr>
        <w:t xml:space="preserve">Argimón, S., et al. (2020). Integrating whole-genome sequencing within the national antimicrobial resistance surveillance program in the Philippines. </w:t>
      </w:r>
      <w:r>
        <w:rPr>
          <w:rFonts w:eastAsia="Times New Roman" w:cs="Times New Roman" w:ascii="Times New Roman" w:hAnsi="Times New Roman"/>
          <w:i/>
          <w:iCs/>
          <w:sz w:val="24"/>
          <w:szCs w:val="24"/>
        </w:rPr>
        <w:t>Nature Communications, 11</w:t>
      </w:r>
      <w:r>
        <w:rPr>
          <w:rFonts w:eastAsia="Times New Roman" w:cs="Times New Roman" w:ascii="Times New Roman" w:hAnsi="Times New Roman"/>
          <w:sz w:val="24"/>
          <w:szCs w:val="24"/>
        </w:rPr>
        <w:t>, 2719.</w:t>
      </w:r>
      <w:hyperlink r:id="rId11">
        <w:r>
          <w:rPr>
            <w:rStyle w:val="Style3"/>
            <w:rFonts w:eastAsia="Times New Roman" w:cs="Times New Roman" w:ascii="Times New Roman" w:hAnsi="Times New Roman"/>
            <w:sz w:val="24"/>
            <w:szCs w:val="24"/>
          </w:rPr>
          <w:t xml:space="preserve"> </w:t>
        </w:r>
      </w:hyperlink>
      <w:hyperlink r:id="rId12">
        <w:r>
          <w:rPr>
            <w:rStyle w:val="Style3"/>
            <w:rFonts w:eastAsia="Times New Roman" w:cs="Times New Roman" w:ascii="Times New Roman" w:hAnsi="Times New Roman"/>
            <w:sz w:val="24"/>
            <w:szCs w:val="24"/>
          </w:rPr>
          <w:t>https://doi.org/10.1038/s41467-020-18459-2</w:t>
        </w:r>
      </w:hyperlink>
    </w:p>
    <w:p>
      <w:pPr>
        <w:pStyle w:val="normal1"/>
        <w:numPr>
          <w:ilvl w:val="0"/>
          <w:numId w:val="1"/>
        </w:numPr>
        <w:spacing w:lineRule="auto" w:line="240" w:before="240" w:after="0"/>
        <w:jc w:val="both"/>
        <w:rPr/>
      </w:pPr>
      <w:r>
        <w:rPr>
          <w:rFonts w:eastAsia="Times New Roman" w:cs="Times New Roman" w:ascii="Times New Roman" w:hAnsi="Times New Roman"/>
          <w:sz w:val="24"/>
          <w:szCs w:val="24"/>
        </w:rPr>
        <w:t xml:space="preserve">Bacabac, E. J., Gomez, R., Festin, P. C., Abesamis, F., &amp; Huttley, A. (2025). Antimicrobial resistance in </w:t>
      </w:r>
      <w:r>
        <w:rPr>
          <w:rFonts w:eastAsia="Times New Roman" w:cs="Times New Roman" w:ascii="Times New Roman" w:hAnsi="Times New Roman"/>
          <w:i/>
          <w:iCs/>
          <w:sz w:val="24"/>
          <w:szCs w:val="24"/>
        </w:rPr>
        <w:t>Escherichia coli</w:t>
      </w:r>
      <w:r>
        <w:rPr>
          <w:rFonts w:eastAsia="Times New Roman" w:cs="Times New Roman" w:ascii="Times New Roman" w:hAnsi="Times New Roman"/>
          <w:sz w:val="24"/>
          <w:szCs w:val="24"/>
        </w:rPr>
        <w:t xml:space="preserve"> and </w:t>
      </w:r>
      <w:r>
        <w:rPr>
          <w:rFonts w:eastAsia="Times New Roman" w:cs="Times New Roman" w:ascii="Times New Roman" w:hAnsi="Times New Roman"/>
          <w:i/>
          <w:iCs/>
          <w:sz w:val="24"/>
          <w:szCs w:val="24"/>
        </w:rPr>
        <w:t>Staphylococcus aureus</w:t>
      </w:r>
      <w:r>
        <w:rPr>
          <w:rFonts w:eastAsia="Times New Roman" w:cs="Times New Roman" w:ascii="Times New Roman" w:hAnsi="Times New Roman"/>
          <w:sz w:val="24"/>
          <w:szCs w:val="24"/>
        </w:rPr>
        <w:t xml:space="preserve"> after the COVID-19 pandemic. </w:t>
      </w:r>
      <w:r>
        <w:rPr>
          <w:rFonts w:eastAsia="Times New Roman" w:cs="Times New Roman" w:ascii="Times New Roman" w:hAnsi="Times New Roman"/>
          <w:i/>
          <w:iCs/>
          <w:sz w:val="24"/>
          <w:szCs w:val="24"/>
        </w:rPr>
        <w:t>Journal of Advances in Medicine and Pharmaceutical Sciences, 4</w:t>
      </w:r>
      <w:r>
        <w:rPr>
          <w:rFonts w:eastAsia="Times New Roman" w:cs="Times New Roman" w:ascii="Times New Roman" w:hAnsi="Times New Roman"/>
          <w:sz w:val="24"/>
          <w:szCs w:val="24"/>
        </w:rPr>
        <w:t>(2), 53–63.</w:t>
      </w:r>
      <w:hyperlink r:id="rId13">
        <w:r>
          <w:rPr>
            <w:rStyle w:val="Style3"/>
            <w:rFonts w:eastAsia="Times New Roman" w:cs="Times New Roman" w:ascii="Times New Roman" w:hAnsi="Times New Roman"/>
            <w:sz w:val="24"/>
            <w:szCs w:val="24"/>
          </w:rPr>
          <w:t xml:space="preserve"> </w:t>
        </w:r>
      </w:hyperlink>
      <w:hyperlink r:id="rId14">
        <w:r>
          <w:rPr>
            <w:rStyle w:val="Style3"/>
            <w:rFonts w:eastAsia="Times New Roman" w:cs="Times New Roman" w:ascii="Times New Roman" w:hAnsi="Times New Roman"/>
            <w:sz w:val="24"/>
            <w:szCs w:val="24"/>
          </w:rPr>
          <w:t>https://doi.org/10.36079/lamintang.jamaps-0402.921</w:t>
        </w:r>
      </w:hyperlink>
    </w:p>
    <w:p>
      <w:pPr>
        <w:pStyle w:val="normal1"/>
        <w:numPr>
          <w:ilvl w:val="0"/>
          <w:numId w:val="1"/>
        </w:numPr>
        <w:spacing w:lineRule="auto" w:line="240" w:before="240" w:after="0"/>
        <w:jc w:val="both"/>
        <w:rPr/>
      </w:pPr>
      <w:r>
        <w:rPr>
          <w:rFonts w:eastAsia="Times New Roman" w:cs="Times New Roman" w:ascii="Times New Roman" w:hAnsi="Times New Roman"/>
          <w:sz w:val="24"/>
          <w:szCs w:val="24"/>
        </w:rPr>
        <w:t xml:space="preserve">Belay, W. Y., et al. (2024). Mechanism of antibacterial resistance, strategies and next-generation antimicrobials to contain antimicrobial resistance: A review. </w:t>
      </w:r>
      <w:r>
        <w:rPr>
          <w:rFonts w:eastAsia="Times New Roman" w:cs="Times New Roman" w:ascii="Times New Roman" w:hAnsi="Times New Roman"/>
          <w:i/>
          <w:iCs/>
          <w:sz w:val="24"/>
          <w:szCs w:val="24"/>
        </w:rPr>
        <w:t>Frontiers in Pharmacology, 15</w:t>
      </w:r>
      <w:r>
        <w:rPr>
          <w:rFonts w:eastAsia="Times New Roman" w:cs="Times New Roman" w:ascii="Times New Roman" w:hAnsi="Times New Roman"/>
          <w:sz w:val="24"/>
          <w:szCs w:val="24"/>
        </w:rPr>
        <w:t>, 1444781.</w:t>
      </w:r>
      <w:hyperlink r:id="rId15">
        <w:r>
          <w:rPr>
            <w:rStyle w:val="Style3"/>
            <w:rFonts w:eastAsia="Times New Roman" w:cs="Times New Roman" w:ascii="Times New Roman" w:hAnsi="Times New Roman"/>
            <w:sz w:val="24"/>
            <w:szCs w:val="24"/>
          </w:rPr>
          <w:t xml:space="preserve"> </w:t>
        </w:r>
      </w:hyperlink>
      <w:hyperlink r:id="rId16">
        <w:r>
          <w:rPr>
            <w:rStyle w:val="Style3"/>
            <w:rFonts w:eastAsia="Times New Roman" w:cs="Times New Roman" w:ascii="Times New Roman" w:hAnsi="Times New Roman"/>
            <w:sz w:val="24"/>
            <w:szCs w:val="24"/>
          </w:rPr>
          <w:t>https://doi.org/10.3389/fphar.2024.1444781</w:t>
        </w:r>
      </w:hyperlink>
    </w:p>
    <w:p>
      <w:pPr>
        <w:pStyle w:val="normal1"/>
        <w:numPr>
          <w:ilvl w:val="0"/>
          <w:numId w:val="1"/>
        </w:numPr>
        <w:spacing w:lineRule="auto" w:line="240" w:before="240" w:after="0"/>
        <w:jc w:val="both"/>
        <w:rPr/>
      </w:pPr>
      <w:r>
        <w:rPr>
          <w:rFonts w:eastAsia="Times New Roman" w:cs="Times New Roman" w:ascii="Times New Roman" w:hAnsi="Times New Roman"/>
          <w:sz w:val="24"/>
          <w:szCs w:val="24"/>
        </w:rPr>
        <w:t xml:space="preserve">Boehme, K., Sia, S. B., Ablola, F., Gayeta, J., &amp; Alea, M. C. (2022). Operational challenges of the Philippine antimicrobial resistance surveillance program during the COVID-19 pandemic. </w:t>
      </w:r>
      <w:r>
        <w:rPr>
          <w:rFonts w:eastAsia="Times New Roman" w:cs="Times New Roman" w:ascii="Times New Roman" w:hAnsi="Times New Roman"/>
          <w:i/>
          <w:iCs/>
          <w:sz w:val="24"/>
          <w:szCs w:val="24"/>
        </w:rPr>
        <w:t>Western Pacific Surveillance and Response Journal, 13</w:t>
      </w:r>
      <w:r>
        <w:rPr>
          <w:rFonts w:eastAsia="Times New Roman" w:cs="Times New Roman" w:ascii="Times New Roman" w:hAnsi="Times New Roman"/>
          <w:sz w:val="24"/>
          <w:szCs w:val="24"/>
        </w:rPr>
        <w:t>(3), 1–6.</w:t>
      </w:r>
      <w:hyperlink r:id="rId17">
        <w:r>
          <w:rPr>
            <w:rStyle w:val="Style3"/>
            <w:rFonts w:eastAsia="Times New Roman" w:cs="Times New Roman" w:ascii="Times New Roman" w:hAnsi="Times New Roman"/>
            <w:sz w:val="24"/>
            <w:szCs w:val="24"/>
          </w:rPr>
          <w:t xml:space="preserve"> </w:t>
        </w:r>
      </w:hyperlink>
      <w:hyperlink r:id="rId18">
        <w:r>
          <w:rPr>
            <w:rStyle w:val="Style3"/>
            <w:rFonts w:eastAsia="Times New Roman" w:cs="Times New Roman" w:ascii="Times New Roman" w:hAnsi="Times New Roman"/>
            <w:sz w:val="24"/>
            <w:szCs w:val="24"/>
          </w:rPr>
          <w:t>https://doi.org/10.5365/wpsar.2022.13.3.917</w:t>
        </w:r>
      </w:hyperlink>
    </w:p>
    <w:p>
      <w:pPr>
        <w:pStyle w:val="normal1"/>
        <w:numPr>
          <w:ilvl w:val="0"/>
          <w:numId w:val="1"/>
        </w:numPr>
        <w:spacing w:lineRule="auto" w:line="240" w:before="240" w:after="0"/>
        <w:jc w:val="both"/>
        <w:rPr/>
      </w:pPr>
      <w:r>
        <w:rPr>
          <w:rFonts w:eastAsia="Times New Roman" w:cs="Times New Roman" w:ascii="Times New Roman" w:hAnsi="Times New Roman"/>
          <w:sz w:val="24"/>
          <w:szCs w:val="24"/>
        </w:rPr>
        <w:t xml:space="preserve">Cantón, R., et al. (2023). Antimicrobial surveillance: A 20-year history of the SMART approach to addressing global antimicrobial resistance into the future. </w:t>
      </w:r>
      <w:r>
        <w:rPr>
          <w:rFonts w:eastAsia="Times New Roman" w:cs="Times New Roman" w:ascii="Times New Roman" w:hAnsi="Times New Roman"/>
          <w:i/>
          <w:iCs/>
          <w:sz w:val="24"/>
          <w:szCs w:val="24"/>
        </w:rPr>
        <w:t>International Journal of Antimicrobial Agents, 62</w:t>
      </w:r>
      <w:r>
        <w:rPr>
          <w:rFonts w:eastAsia="Times New Roman" w:cs="Times New Roman" w:ascii="Times New Roman" w:hAnsi="Times New Roman"/>
          <w:sz w:val="24"/>
          <w:szCs w:val="24"/>
        </w:rPr>
        <w:t>(6), 107014.</w:t>
      </w:r>
      <w:hyperlink r:id="rId19">
        <w:r>
          <w:rPr>
            <w:rStyle w:val="Style3"/>
            <w:rFonts w:eastAsia="Times New Roman" w:cs="Times New Roman" w:ascii="Times New Roman" w:hAnsi="Times New Roman"/>
            <w:sz w:val="24"/>
            <w:szCs w:val="24"/>
          </w:rPr>
          <w:t xml:space="preserve"> </w:t>
        </w:r>
      </w:hyperlink>
      <w:hyperlink r:id="rId20">
        <w:r>
          <w:rPr>
            <w:rStyle w:val="Style3"/>
            <w:rFonts w:eastAsia="Times New Roman" w:cs="Times New Roman" w:ascii="Times New Roman" w:hAnsi="Times New Roman"/>
            <w:sz w:val="24"/>
            <w:szCs w:val="24"/>
          </w:rPr>
          <w:t>https://doi.org/10.1016/j.ijantimicag.2023.107014</w:t>
        </w:r>
      </w:hyperlink>
    </w:p>
    <w:p>
      <w:pPr>
        <w:pStyle w:val="normal1"/>
        <w:numPr>
          <w:ilvl w:val="0"/>
          <w:numId w:val="1"/>
        </w:numPr>
        <w:spacing w:lineRule="auto" w:line="240" w:before="240" w:after="0"/>
        <w:jc w:val="both"/>
        <w:rPr/>
      </w:pPr>
      <w:r>
        <w:rPr>
          <w:rFonts w:eastAsia="Times New Roman" w:cs="Times New Roman" w:ascii="Times New Roman" w:hAnsi="Times New Roman"/>
          <w:sz w:val="24"/>
          <w:szCs w:val="24"/>
        </w:rPr>
        <w:t xml:space="preserve">Castro, R. G., Legaspi, K. U., Simangan, E. Z. P., Tumaliuan, J. G. M., Utayde, M. J. D., &amp; Laureta, V. V. O. (2022). Healthcare provider related factors of antibiotic use. </w:t>
      </w:r>
      <w:r>
        <w:rPr>
          <w:rFonts w:eastAsia="Times New Roman" w:cs="Times New Roman" w:ascii="Times New Roman" w:hAnsi="Times New Roman"/>
          <w:i/>
          <w:iCs/>
          <w:sz w:val="24"/>
          <w:szCs w:val="24"/>
        </w:rPr>
        <w:t>Journal of Advances in Allied Health Sciences Research, IX</w:t>
      </w:r>
      <w:r>
        <w:rPr>
          <w:rFonts w:eastAsia="Times New Roman" w:cs="Times New Roman" w:ascii="Times New Roman" w:hAnsi="Times New Roman"/>
          <w:sz w:val="24"/>
          <w:szCs w:val="24"/>
        </w:rPr>
        <w:t>, 6.</w:t>
      </w:r>
    </w:p>
    <w:p>
      <w:pPr>
        <w:pStyle w:val="normal1"/>
        <w:numPr>
          <w:ilvl w:val="0"/>
          <w:numId w:val="1"/>
        </w:numPr>
        <w:spacing w:lineRule="auto" w:line="240" w:before="240" w:after="0"/>
        <w:jc w:val="both"/>
        <w:rPr/>
      </w:pPr>
      <w:r>
        <w:rPr>
          <w:rFonts w:eastAsia="Times New Roman" w:cs="Times New Roman" w:ascii="Times New Roman" w:hAnsi="Times New Roman"/>
          <w:sz w:val="24"/>
          <w:szCs w:val="24"/>
        </w:rPr>
        <w:t>Centers for Disease Control and Prevention. (2025). About antimicrobial resistance.</w:t>
      </w:r>
      <w:hyperlink r:id="rId21">
        <w:r>
          <w:rPr>
            <w:rStyle w:val="Style3"/>
            <w:rFonts w:eastAsia="Times New Roman" w:cs="Times New Roman" w:ascii="Times New Roman" w:hAnsi="Times New Roman"/>
            <w:sz w:val="24"/>
            <w:szCs w:val="24"/>
          </w:rPr>
          <w:t xml:space="preserve"> </w:t>
        </w:r>
      </w:hyperlink>
      <w:hyperlink r:id="rId22">
        <w:r>
          <w:rPr>
            <w:rStyle w:val="Style3"/>
            <w:rFonts w:eastAsia="Times New Roman" w:cs="Times New Roman" w:ascii="Times New Roman" w:hAnsi="Times New Roman"/>
            <w:sz w:val="24"/>
            <w:szCs w:val="24"/>
          </w:rPr>
          <w:t>https://www.cdc.gov/antimicrobial-resistance/about/index.html</w:t>
        </w:r>
      </w:hyperlink>
    </w:p>
    <w:p>
      <w:pPr>
        <w:pStyle w:val="normal1"/>
        <w:numPr>
          <w:ilvl w:val="0"/>
          <w:numId w:val="1"/>
        </w:numPr>
        <w:spacing w:lineRule="auto" w:line="240" w:before="240" w:after="0"/>
        <w:jc w:val="both"/>
        <w:rPr/>
      </w:pPr>
      <w:r>
        <w:rPr>
          <w:rFonts w:eastAsia="Times New Roman" w:cs="Times New Roman" w:ascii="Times New Roman" w:hAnsi="Times New Roman"/>
          <w:sz w:val="24"/>
          <w:szCs w:val="24"/>
        </w:rPr>
        <w:t xml:space="preserve">Chilam, J., et al. (2021). Genomic surveillance of </w:t>
      </w:r>
      <w:r>
        <w:rPr>
          <w:rFonts w:eastAsia="Times New Roman" w:cs="Times New Roman" w:ascii="Times New Roman" w:hAnsi="Times New Roman"/>
          <w:i/>
          <w:iCs/>
          <w:sz w:val="24"/>
          <w:szCs w:val="24"/>
        </w:rPr>
        <w:t>Acinetobacter baumannii</w:t>
      </w:r>
      <w:r>
        <w:rPr>
          <w:rFonts w:eastAsia="Times New Roman" w:cs="Times New Roman" w:ascii="Times New Roman" w:hAnsi="Times New Roman"/>
          <w:sz w:val="24"/>
          <w:szCs w:val="24"/>
        </w:rPr>
        <w:t xml:space="preserve"> in the Philippines, 2013–2014. </w:t>
      </w:r>
      <w:r>
        <w:rPr>
          <w:rFonts w:eastAsia="Times New Roman" w:cs="Times New Roman" w:ascii="Times New Roman" w:hAnsi="Times New Roman"/>
          <w:i/>
          <w:iCs/>
          <w:sz w:val="24"/>
          <w:szCs w:val="24"/>
        </w:rPr>
        <w:t>Western Pacific Surveillance and Response Journal, 12</w:t>
      </w:r>
      <w:r>
        <w:rPr>
          <w:rFonts w:eastAsia="Times New Roman" w:cs="Times New Roman" w:ascii="Times New Roman" w:hAnsi="Times New Roman"/>
          <w:sz w:val="24"/>
          <w:szCs w:val="24"/>
        </w:rPr>
        <w:t>(4), 1–15.</w:t>
      </w:r>
      <w:hyperlink r:id="rId23">
        <w:r>
          <w:rPr>
            <w:rStyle w:val="Style3"/>
            <w:rFonts w:eastAsia="Times New Roman" w:cs="Times New Roman" w:ascii="Times New Roman" w:hAnsi="Times New Roman"/>
            <w:sz w:val="24"/>
            <w:szCs w:val="24"/>
          </w:rPr>
          <w:t xml:space="preserve"> </w:t>
        </w:r>
      </w:hyperlink>
      <w:hyperlink r:id="rId24">
        <w:r>
          <w:rPr>
            <w:rStyle w:val="Style3"/>
            <w:rFonts w:eastAsia="Times New Roman" w:cs="Times New Roman" w:ascii="Times New Roman" w:hAnsi="Times New Roman"/>
            <w:sz w:val="24"/>
            <w:szCs w:val="24"/>
          </w:rPr>
          <w:t>https://doi.org/10.5365/wpsar.2021.12.4.863</w:t>
        </w:r>
      </w:hyperlink>
    </w:p>
    <w:p>
      <w:pPr>
        <w:pStyle w:val="normal1"/>
        <w:numPr>
          <w:ilvl w:val="0"/>
          <w:numId w:val="1"/>
        </w:numPr>
        <w:spacing w:lineRule="auto" w:line="240" w:before="240" w:after="0"/>
        <w:jc w:val="both"/>
        <w:rPr/>
      </w:pPr>
      <w:r>
        <w:rPr>
          <w:rFonts w:eastAsia="Times New Roman" w:cs="Times New Roman" w:ascii="Times New Roman" w:hAnsi="Times New Roman"/>
          <w:sz w:val="24"/>
          <w:szCs w:val="24"/>
        </w:rPr>
        <w:t>Chua, M. M.,  &amp; Alejandria, M. M.(2008).The epidemiology of Acinetobacter infections among critically ill adult patients admitted at the University of the Philippines - Philippine General Hospital. Philippine Journal of Microbiology and Infectious Diseases, 37(1), 38-53.</w:t>
      </w:r>
    </w:p>
    <w:p>
      <w:pPr>
        <w:pStyle w:val="normal1"/>
        <w:numPr>
          <w:ilvl w:val="0"/>
          <w:numId w:val="1"/>
        </w:numPr>
        <w:spacing w:lineRule="auto" w:line="240" w:before="240" w:after="0"/>
        <w:jc w:val="both"/>
        <w:rPr/>
      </w:pPr>
      <w:hyperlink r:id="rId25">
        <w:r>
          <w:rPr>
            <w:rStyle w:val="Style3"/>
            <w:rFonts w:eastAsia="Times New Roman" w:cs="Times New Roman" w:ascii="Times New Roman" w:hAnsi="Times New Roman"/>
            <w:sz w:val="24"/>
            <w:szCs w:val="24"/>
          </w:rPr>
          <w:t>Clinical and Laboratory Standards Institute</w:t>
        </w:r>
      </w:hyperlink>
      <w:r>
        <w:rPr>
          <w:rFonts w:eastAsia="Times New Roman" w:cs="Times New Roman" w:ascii="Times New Roman" w:hAnsi="Times New Roman"/>
          <w:sz w:val="24"/>
          <w:szCs w:val="24"/>
        </w:rPr>
        <w:t xml:space="preserve">. (2023, March 3). </w:t>
      </w:r>
      <w:r>
        <w:rPr>
          <w:rFonts w:eastAsia="Times New Roman" w:cs="Times New Roman" w:ascii="Times New Roman" w:hAnsi="Times New Roman"/>
          <w:i/>
          <w:iCs/>
          <w:sz w:val="24"/>
          <w:szCs w:val="24"/>
        </w:rPr>
        <w:t>CLSI publishes CLSI M100—Performance standards for antimicrobial susceptibility testing, 33rd edition</w:t>
      </w:r>
      <w:r>
        <w:rPr>
          <w:rFonts w:eastAsia="Times New Roman" w:cs="Times New Roman" w:ascii="Times New Roman" w:hAnsi="Times New Roman"/>
          <w:sz w:val="24"/>
          <w:szCs w:val="24"/>
        </w:rPr>
        <w:t>.</w:t>
      </w:r>
      <w:hyperlink r:id="rId26">
        <w:r>
          <w:rPr>
            <w:rStyle w:val="Style3"/>
            <w:rFonts w:eastAsia="Times New Roman" w:cs="Times New Roman" w:ascii="Times New Roman" w:hAnsi="Times New Roman"/>
            <w:sz w:val="24"/>
            <w:szCs w:val="24"/>
          </w:rPr>
          <w:t xml:space="preserve"> </w:t>
        </w:r>
      </w:hyperlink>
      <w:hyperlink r:id="rId27">
        <w:r>
          <w:rPr>
            <w:rStyle w:val="Style3"/>
            <w:rFonts w:eastAsia="Times New Roman" w:cs="Times New Roman" w:ascii="Times New Roman" w:hAnsi="Times New Roman"/>
            <w:sz w:val="24"/>
            <w:szCs w:val="24"/>
          </w:rPr>
          <w:t>https://clsi.org/about/news/clsi-publishes-m100-performance-standards-for-antimicrobial-susceptibility-testing-33rd-edition</w:t>
        </w:r>
      </w:hyperlink>
      <w:r>
        <w:rPr>
          <w:rFonts w:eastAsia="Times New Roman" w:cs="Times New Roman" w:ascii="Times New Roman" w:hAnsi="Times New Roman"/>
          <w:sz w:val="24"/>
          <w:szCs w:val="24"/>
        </w:rPr>
        <w:t xml:space="preserve"> </w:t>
      </w:r>
    </w:p>
    <w:p>
      <w:pPr>
        <w:pStyle w:val="normal1"/>
        <w:numPr>
          <w:ilvl w:val="0"/>
          <w:numId w:val="1"/>
        </w:numPr>
        <w:spacing w:lineRule="auto" w:line="240" w:before="240" w:after="0"/>
        <w:rPr/>
      </w:pPr>
      <w:r>
        <w:rPr>
          <w:rFonts w:eastAsia="Times New Roman" w:cs="Times New Roman" w:ascii="Times New Roman" w:hAnsi="Times New Roman"/>
          <w:sz w:val="24"/>
          <w:szCs w:val="24"/>
        </w:rPr>
        <w:t>Connecticut Department of Public Health. (2026). Multidrug-resistant organisms (MDROs): What are they? https://portal.ct.gov/dph/hai/multidrugresistant-organisms-mdros-what-are-they?language=en_US</w:t>
      </w:r>
    </w:p>
    <w:p>
      <w:pPr>
        <w:pStyle w:val="normal1"/>
        <w:numPr>
          <w:ilvl w:val="0"/>
          <w:numId w:val="1"/>
        </w:numPr>
        <w:spacing w:lineRule="auto" w:line="240" w:before="240" w:after="0"/>
        <w:jc w:val="both"/>
        <w:rPr/>
      </w:pPr>
      <w:r>
        <w:rPr>
          <w:rFonts w:eastAsia="Times New Roman" w:cs="Times New Roman" w:ascii="Times New Roman" w:hAnsi="Times New Roman"/>
          <w:sz w:val="24"/>
          <w:szCs w:val="24"/>
        </w:rPr>
        <w:t xml:space="preserve">Cosentino, F., Viale, P., &amp; Giannella, M. (2023). MDR/XDR/PDR or DTR? Which definition best fits the resistance profile of </w:t>
      </w:r>
      <w:r>
        <w:rPr>
          <w:rFonts w:eastAsia="Times New Roman" w:cs="Times New Roman" w:ascii="Times New Roman" w:hAnsi="Times New Roman"/>
          <w:i/>
          <w:iCs/>
          <w:sz w:val="24"/>
          <w:szCs w:val="24"/>
        </w:rPr>
        <w:t>Pseudomonas aeruginosa</w:t>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Current Opinion in Infectious Diseases, 36</w:t>
      </w:r>
      <w:r>
        <w:rPr>
          <w:rFonts w:eastAsia="Times New Roman" w:cs="Times New Roman" w:ascii="Times New Roman" w:hAnsi="Times New Roman"/>
          <w:sz w:val="24"/>
          <w:szCs w:val="24"/>
        </w:rPr>
        <w:t>(6), 564–571.</w:t>
      </w:r>
      <w:hyperlink r:id="rId28">
        <w:r>
          <w:rPr>
            <w:rStyle w:val="Style3"/>
            <w:rFonts w:eastAsia="Times New Roman" w:cs="Times New Roman" w:ascii="Times New Roman" w:hAnsi="Times New Roman"/>
            <w:sz w:val="24"/>
            <w:szCs w:val="24"/>
          </w:rPr>
          <w:t xml:space="preserve"> </w:t>
        </w:r>
      </w:hyperlink>
      <w:hyperlink r:id="rId29">
        <w:r>
          <w:rPr>
            <w:rStyle w:val="Style3"/>
            <w:rFonts w:eastAsia="Times New Roman" w:cs="Times New Roman" w:ascii="Times New Roman" w:hAnsi="Times New Roman"/>
            <w:sz w:val="24"/>
            <w:szCs w:val="24"/>
          </w:rPr>
          <w:t>https://doi.org/10.1097/QCO.0000000000000966</w:t>
        </w:r>
      </w:hyperlink>
    </w:p>
    <w:p>
      <w:pPr>
        <w:pStyle w:val="normal1"/>
        <w:numPr>
          <w:ilvl w:val="0"/>
          <w:numId w:val="1"/>
        </w:numPr>
        <w:spacing w:lineRule="auto" w:line="240" w:before="240" w:after="0"/>
        <w:jc w:val="both"/>
        <w:rPr/>
      </w:pPr>
      <w:r>
        <w:rPr>
          <w:rFonts w:eastAsia="Times New Roman" w:cs="Times New Roman" w:ascii="Times New Roman" w:hAnsi="Times New Roman"/>
          <w:sz w:val="24"/>
          <w:szCs w:val="24"/>
        </w:rPr>
        <w:t xml:space="preserve">Coyne, L., et al. (2020). The costs, benefits and human behaviours for antimicrobial use in small commercial broiler chicken systems. </w:t>
      </w:r>
      <w:r>
        <w:rPr>
          <w:rFonts w:eastAsia="Times New Roman" w:cs="Times New Roman" w:ascii="Times New Roman" w:hAnsi="Times New Roman"/>
          <w:i/>
          <w:iCs/>
          <w:sz w:val="24"/>
          <w:szCs w:val="24"/>
        </w:rPr>
        <w:t>Antibiotics, 9</w:t>
      </w:r>
      <w:r>
        <w:rPr>
          <w:rFonts w:eastAsia="Times New Roman" w:cs="Times New Roman" w:ascii="Times New Roman" w:hAnsi="Times New Roman"/>
          <w:sz w:val="24"/>
          <w:szCs w:val="24"/>
        </w:rPr>
        <w:t>(4), 154.</w:t>
      </w:r>
      <w:hyperlink r:id="rId30">
        <w:r>
          <w:rPr>
            <w:rStyle w:val="Style3"/>
            <w:rFonts w:eastAsia="Times New Roman" w:cs="Times New Roman" w:ascii="Times New Roman" w:hAnsi="Times New Roman"/>
            <w:sz w:val="24"/>
            <w:szCs w:val="24"/>
          </w:rPr>
          <w:t xml:space="preserve"> </w:t>
        </w:r>
      </w:hyperlink>
      <w:hyperlink r:id="rId31">
        <w:r>
          <w:rPr>
            <w:rStyle w:val="Style3"/>
            <w:rFonts w:eastAsia="Times New Roman" w:cs="Times New Roman" w:ascii="Times New Roman" w:hAnsi="Times New Roman"/>
            <w:sz w:val="24"/>
            <w:szCs w:val="24"/>
          </w:rPr>
          <w:t>https://doi.org/10.3390/antibiotics9040154</w:t>
        </w:r>
      </w:hyperlink>
    </w:p>
    <w:p>
      <w:pPr>
        <w:pStyle w:val="normal1"/>
        <w:numPr>
          <w:ilvl w:val="0"/>
          <w:numId w:val="1"/>
        </w:numPr>
        <w:spacing w:lineRule="auto" w:line="240" w:before="240" w:after="0"/>
        <w:rPr/>
      </w:pPr>
      <w:r>
        <w:rPr>
          <w:rFonts w:eastAsia="Times New Roman" w:cs="Times New Roman" w:ascii="Times New Roman" w:hAnsi="Times New Roman"/>
          <w:sz w:val="24"/>
          <w:szCs w:val="24"/>
        </w:rPr>
        <w:t xml:space="preserve">Department of Health (DOH). (2022). </w:t>
      </w:r>
      <w:r>
        <w:rPr>
          <w:rFonts w:eastAsia="Times New Roman" w:cs="Times New Roman" w:ascii="Times New Roman" w:hAnsi="Times New Roman"/>
          <w:i/>
          <w:iCs/>
          <w:sz w:val="24"/>
          <w:szCs w:val="24"/>
        </w:rPr>
        <w:t>Philippine antimicrobial resistance surveillance report 2022</w:t>
      </w:r>
      <w:r>
        <w:rPr>
          <w:rFonts w:eastAsia="Times New Roman" w:cs="Times New Roman" w:ascii="Times New Roman" w:hAnsi="Times New Roman"/>
          <w:sz w:val="24"/>
          <w:szCs w:val="24"/>
        </w:rPr>
        <w:t xml:space="preserve">. Research Institute for Tropical Medicine. </w:t>
      </w:r>
      <w:hyperlink r:id="rId32">
        <w:r>
          <w:rPr>
            <w:rStyle w:val="Style3"/>
            <w:rFonts w:eastAsia="Times New Roman" w:cs="Times New Roman" w:ascii="Times New Roman" w:hAnsi="Times New Roman"/>
            <w:sz w:val="24"/>
            <w:szCs w:val="24"/>
          </w:rPr>
          <w:t>https://arsp.com.ph/wp-content/uploads/2023/06/2022_annual_report_summary.pdf</w:t>
        </w:r>
      </w:hyperlink>
    </w:p>
    <w:p>
      <w:pPr>
        <w:pStyle w:val="normal1"/>
        <w:numPr>
          <w:ilvl w:val="0"/>
          <w:numId w:val="1"/>
        </w:numPr>
        <w:spacing w:lineRule="auto" w:line="240" w:before="240" w:after="0"/>
        <w:rPr/>
      </w:pPr>
      <w:r>
        <w:rPr>
          <w:rFonts w:eastAsia="Times New Roman" w:cs="Times New Roman" w:ascii="Times New Roman" w:hAnsi="Times New Roman"/>
          <w:sz w:val="24"/>
          <w:szCs w:val="24"/>
        </w:rPr>
        <w:t>Department of Health (DOH). (2025, November 24).</w:t>
      </w:r>
      <w:r>
        <w:rPr>
          <w:rFonts w:eastAsia="Times New Roman" w:cs="Times New Roman" w:ascii="Times New Roman" w:hAnsi="Times New Roman"/>
          <w:i/>
          <w:iCs/>
          <w:sz w:val="24"/>
          <w:szCs w:val="24"/>
        </w:rPr>
        <w:t>WAAW 2025: Raising awareness on the Antimicrobial Resistance Surveillance Program in the Philippines</w:t>
      </w:r>
      <w:r>
        <w:rPr>
          <w:rFonts w:eastAsia="Times New Roman" w:cs="Times New Roman" w:ascii="Times New Roman" w:hAnsi="Times New Roman"/>
          <w:sz w:val="24"/>
          <w:szCs w:val="24"/>
        </w:rPr>
        <w:t xml:space="preserve">. </w:t>
      </w:r>
      <w:hyperlink r:id="rId33">
        <w:r>
          <w:rPr>
            <w:rStyle w:val="Style3"/>
            <w:rFonts w:eastAsia="Times New Roman" w:cs="Times New Roman" w:ascii="Times New Roman" w:hAnsi="Times New Roman"/>
            <w:sz w:val="24"/>
            <w:szCs w:val="24"/>
          </w:rPr>
          <w:t>https://www.downtoearth.org.in/health/waaw-2025-raising-awareness-on-the-antimicrobial-resistance-surveillance-program-in-the-philippines</w:t>
        </w:r>
      </w:hyperlink>
    </w:p>
    <w:p>
      <w:pPr>
        <w:pStyle w:val="normal1"/>
        <w:numPr>
          <w:ilvl w:val="0"/>
          <w:numId w:val="1"/>
        </w:numPr>
        <w:spacing w:lineRule="auto" w:line="240" w:before="240" w:after="0"/>
        <w:jc w:val="both"/>
        <w:rPr/>
      </w:pPr>
      <w:r>
        <w:rPr>
          <w:rFonts w:eastAsia="Times New Roman" w:cs="Times New Roman" w:ascii="Times New Roman" w:hAnsi="Times New Roman"/>
          <w:sz w:val="24"/>
          <w:szCs w:val="24"/>
        </w:rPr>
        <w:t xml:space="preserve">Endale, H., Mathewos, M., &amp; Abdeta, D. (2023). Potential causes of spread of antimicrobial resistance and preventive measures in a One Health perspective. </w:t>
      </w:r>
      <w:r>
        <w:rPr>
          <w:rFonts w:eastAsia="Times New Roman" w:cs="Times New Roman" w:ascii="Times New Roman" w:hAnsi="Times New Roman"/>
          <w:i/>
          <w:iCs/>
          <w:sz w:val="24"/>
          <w:szCs w:val="24"/>
        </w:rPr>
        <w:t>Infection and Drug Resistance, 16</w:t>
      </w:r>
      <w:r>
        <w:rPr>
          <w:rFonts w:eastAsia="Times New Roman" w:cs="Times New Roman" w:ascii="Times New Roman" w:hAnsi="Times New Roman"/>
          <w:sz w:val="24"/>
          <w:szCs w:val="24"/>
        </w:rPr>
        <w:t>, 7515–7545.</w:t>
      </w:r>
      <w:hyperlink r:id="rId34">
        <w:r>
          <w:rPr>
            <w:rStyle w:val="Style3"/>
            <w:rFonts w:eastAsia="Times New Roman" w:cs="Times New Roman" w:ascii="Times New Roman" w:hAnsi="Times New Roman"/>
            <w:sz w:val="24"/>
            <w:szCs w:val="24"/>
          </w:rPr>
          <w:t xml:space="preserve"> </w:t>
        </w:r>
      </w:hyperlink>
      <w:hyperlink r:id="rId35">
        <w:r>
          <w:rPr>
            <w:rStyle w:val="Style3"/>
            <w:rFonts w:eastAsia="Times New Roman" w:cs="Times New Roman" w:ascii="Times New Roman" w:hAnsi="Times New Roman"/>
            <w:sz w:val="24"/>
            <w:szCs w:val="24"/>
          </w:rPr>
          <w:t>https://doi.org/10.2147/IDR.S428837</w:t>
        </w:r>
      </w:hyperlink>
    </w:p>
    <w:p>
      <w:pPr>
        <w:pStyle w:val="normal1"/>
        <w:numPr>
          <w:ilvl w:val="0"/>
          <w:numId w:val="1"/>
        </w:numPr>
        <w:spacing w:lineRule="auto" w:line="240" w:before="240" w:after="0"/>
        <w:jc w:val="both"/>
        <w:rPr/>
      </w:pPr>
      <w:r>
        <w:rPr>
          <w:rFonts w:eastAsia="Times New Roman" w:cs="Times New Roman" w:ascii="Times New Roman" w:hAnsi="Times New Roman"/>
          <w:sz w:val="24"/>
          <w:szCs w:val="24"/>
        </w:rPr>
        <w:t xml:space="preserve">Gandra, S., et al. (2020). Antimicrobial resistance surveillance in low- and middle-income countries. </w:t>
      </w:r>
      <w:r>
        <w:rPr>
          <w:rFonts w:eastAsia="Times New Roman" w:cs="Times New Roman" w:ascii="Times New Roman" w:hAnsi="Times New Roman"/>
          <w:i/>
          <w:iCs/>
          <w:sz w:val="24"/>
          <w:szCs w:val="24"/>
        </w:rPr>
        <w:t>Clinical Microbiology Reviews, 33</w:t>
      </w:r>
      <w:r>
        <w:rPr>
          <w:rFonts w:eastAsia="Times New Roman" w:cs="Times New Roman" w:ascii="Times New Roman" w:hAnsi="Times New Roman"/>
          <w:sz w:val="24"/>
          <w:szCs w:val="24"/>
        </w:rPr>
        <w:t>(3), e00048-19.</w:t>
      </w:r>
      <w:hyperlink r:id="rId36">
        <w:r>
          <w:rPr>
            <w:rStyle w:val="Style3"/>
            <w:rFonts w:eastAsia="Times New Roman" w:cs="Times New Roman" w:ascii="Times New Roman" w:hAnsi="Times New Roman"/>
            <w:sz w:val="24"/>
            <w:szCs w:val="24"/>
          </w:rPr>
          <w:t xml:space="preserve"> </w:t>
        </w:r>
      </w:hyperlink>
      <w:hyperlink r:id="rId37">
        <w:r>
          <w:rPr>
            <w:rStyle w:val="Style3"/>
            <w:rFonts w:eastAsia="Times New Roman" w:cs="Times New Roman" w:ascii="Times New Roman" w:hAnsi="Times New Roman"/>
            <w:sz w:val="24"/>
            <w:szCs w:val="24"/>
          </w:rPr>
          <w:t>https://doi.org/10.1128/CMR.00048-19</w:t>
        </w:r>
      </w:hyperlink>
    </w:p>
    <w:p>
      <w:pPr>
        <w:pStyle w:val="normal1"/>
        <w:numPr>
          <w:ilvl w:val="0"/>
          <w:numId w:val="1"/>
        </w:numPr>
        <w:spacing w:lineRule="auto" w:line="240" w:before="240" w:after="0"/>
        <w:jc w:val="both"/>
        <w:rPr/>
      </w:pPr>
      <w:r>
        <w:rPr>
          <w:rFonts w:eastAsia="Times New Roman" w:cs="Times New Roman" w:ascii="Times New Roman" w:hAnsi="Times New Roman"/>
          <w:sz w:val="24"/>
          <w:szCs w:val="24"/>
        </w:rPr>
        <w:t xml:space="preserve">Khehra, N., Padda, I. S., &amp; Zubair, M. (2025). </w:t>
      </w:r>
      <w:r>
        <w:rPr>
          <w:rFonts w:eastAsia="Times New Roman" w:cs="Times New Roman" w:ascii="Times New Roman" w:hAnsi="Times New Roman"/>
          <w:i/>
          <w:iCs/>
          <w:sz w:val="24"/>
          <w:szCs w:val="24"/>
        </w:rPr>
        <w:t>Polymerase chain reaction (PCR)</w:t>
      </w:r>
      <w:r>
        <w:rPr>
          <w:rFonts w:eastAsia="Times New Roman" w:cs="Times New Roman" w:ascii="Times New Roman" w:hAnsi="Times New Roman"/>
          <w:sz w:val="24"/>
          <w:szCs w:val="24"/>
        </w:rPr>
        <w:t>. StatPearls Publishing.</w:t>
      </w:r>
      <w:hyperlink r:id="rId38">
        <w:r>
          <w:rPr>
            <w:rStyle w:val="Style3"/>
            <w:rFonts w:eastAsia="Times New Roman" w:cs="Times New Roman" w:ascii="Times New Roman" w:hAnsi="Times New Roman"/>
            <w:sz w:val="24"/>
            <w:szCs w:val="24"/>
          </w:rPr>
          <w:t xml:space="preserve"> </w:t>
        </w:r>
      </w:hyperlink>
      <w:hyperlink r:id="rId39">
        <w:r>
          <w:rPr>
            <w:rStyle w:val="Style3"/>
            <w:rFonts w:eastAsia="Times New Roman" w:cs="Times New Roman" w:ascii="Times New Roman" w:hAnsi="Times New Roman"/>
            <w:color w:val="1155CC"/>
            <w:sz w:val="24"/>
            <w:szCs w:val="24"/>
          </w:rPr>
          <w:t>https://europepmc.org/article/NBK/nbk589663</w:t>
        </w:r>
      </w:hyperlink>
      <w:r>
        <w:rPr>
          <w:rFonts w:eastAsia="Times New Roman" w:cs="Times New Roman" w:ascii="Times New Roman" w:hAnsi="Times New Roman"/>
          <w:sz w:val="24"/>
          <w:szCs w:val="24"/>
        </w:rPr>
        <w:t xml:space="preserve"> </w:t>
      </w:r>
    </w:p>
    <w:p>
      <w:pPr>
        <w:pStyle w:val="normal1"/>
        <w:numPr>
          <w:ilvl w:val="0"/>
          <w:numId w:val="1"/>
        </w:numPr>
        <w:spacing w:lineRule="auto" w:line="240" w:before="240" w:after="0"/>
        <w:jc w:val="both"/>
        <w:rPr/>
      </w:pPr>
      <w:r>
        <w:rPr>
          <w:rFonts w:eastAsia="Times New Roman" w:cs="Times New Roman" w:ascii="Times New Roman" w:hAnsi="Times New Roman"/>
          <w:sz w:val="24"/>
          <w:szCs w:val="24"/>
        </w:rPr>
        <w:t xml:space="preserve">Li, K. L., &amp; Abad, C. L. R. (2020). The clinical profile and outcomes of adult patients given intravenous colistin. </w:t>
      </w:r>
      <w:r>
        <w:rPr>
          <w:rFonts w:eastAsia="Times New Roman" w:cs="Times New Roman" w:ascii="Times New Roman" w:hAnsi="Times New Roman"/>
          <w:i/>
          <w:iCs/>
          <w:sz w:val="24"/>
          <w:szCs w:val="24"/>
        </w:rPr>
        <w:t>International Journal of Infectious Diseases, 93</w:t>
      </w:r>
      <w:r>
        <w:rPr>
          <w:rFonts w:eastAsia="Times New Roman" w:cs="Times New Roman" w:ascii="Times New Roman" w:hAnsi="Times New Roman"/>
          <w:sz w:val="24"/>
          <w:szCs w:val="24"/>
        </w:rPr>
        <w:t>, 9–14.</w:t>
      </w:r>
      <w:hyperlink r:id="rId40">
        <w:r>
          <w:rPr>
            <w:rStyle w:val="Style3"/>
            <w:rFonts w:eastAsia="Times New Roman" w:cs="Times New Roman" w:ascii="Times New Roman" w:hAnsi="Times New Roman"/>
            <w:sz w:val="24"/>
            <w:szCs w:val="24"/>
          </w:rPr>
          <w:t xml:space="preserve"> </w:t>
        </w:r>
      </w:hyperlink>
      <w:hyperlink r:id="rId41">
        <w:r>
          <w:rPr>
            <w:rStyle w:val="Style3"/>
            <w:rFonts w:eastAsia="Times New Roman" w:cs="Times New Roman" w:ascii="Times New Roman" w:hAnsi="Times New Roman"/>
            <w:sz w:val="24"/>
            <w:szCs w:val="24"/>
          </w:rPr>
          <w:t>https://doi.org/10.1016/j.ijid.2020.01.022</w:t>
        </w:r>
      </w:hyperlink>
    </w:p>
    <w:p>
      <w:pPr>
        <w:pStyle w:val="normal1"/>
        <w:numPr>
          <w:ilvl w:val="0"/>
          <w:numId w:val="1"/>
        </w:numPr>
        <w:spacing w:lineRule="auto" w:line="240" w:before="240" w:after="0"/>
        <w:jc w:val="both"/>
        <w:rPr/>
      </w:pPr>
      <w:r>
        <w:rPr>
          <w:rFonts w:eastAsia="Times New Roman" w:cs="Times New Roman" w:ascii="Times New Roman" w:hAnsi="Times New Roman"/>
          <w:sz w:val="24"/>
          <w:szCs w:val="24"/>
        </w:rPr>
        <w:t xml:space="preserve">Ng, C., Abrazaldo, J., de Vera, P., Goh, S. G., &amp; Tan, B. F. (2025). Antibiotic resistance in the Philippines: Environmental reservoirs, spillovers, and One-Health research gaps. </w:t>
      </w:r>
      <w:r>
        <w:rPr>
          <w:rFonts w:eastAsia="Times New Roman" w:cs="Times New Roman" w:ascii="Times New Roman" w:hAnsi="Times New Roman"/>
          <w:i/>
          <w:iCs/>
          <w:sz w:val="24"/>
          <w:szCs w:val="24"/>
        </w:rPr>
        <w:t>Frontiers in Microbiology, 16</w:t>
      </w:r>
      <w:r>
        <w:rPr>
          <w:rFonts w:eastAsia="Times New Roman" w:cs="Times New Roman" w:ascii="Times New Roman" w:hAnsi="Times New Roman"/>
          <w:sz w:val="24"/>
          <w:szCs w:val="24"/>
        </w:rPr>
        <w:t>, 1711400.</w:t>
      </w:r>
      <w:hyperlink r:id="rId42">
        <w:r>
          <w:rPr>
            <w:rStyle w:val="Style3"/>
            <w:rFonts w:eastAsia="Times New Roman" w:cs="Times New Roman" w:ascii="Times New Roman" w:hAnsi="Times New Roman"/>
            <w:sz w:val="24"/>
            <w:szCs w:val="24"/>
          </w:rPr>
          <w:t xml:space="preserve"> </w:t>
        </w:r>
      </w:hyperlink>
      <w:hyperlink r:id="rId43">
        <w:r>
          <w:rPr>
            <w:rStyle w:val="Style3"/>
            <w:rFonts w:eastAsia="Times New Roman" w:cs="Times New Roman" w:ascii="Times New Roman" w:hAnsi="Times New Roman"/>
            <w:sz w:val="24"/>
            <w:szCs w:val="24"/>
          </w:rPr>
          <w:t>https://doi.org/10.3389/fmicb.2025.1711400</w:t>
        </w:r>
      </w:hyperlink>
    </w:p>
    <w:p>
      <w:pPr>
        <w:pStyle w:val="normal1"/>
        <w:numPr>
          <w:ilvl w:val="0"/>
          <w:numId w:val="1"/>
        </w:numPr>
        <w:spacing w:lineRule="auto" w:line="240" w:before="240" w:after="0"/>
        <w:jc w:val="both"/>
        <w:rPr/>
      </w:pPr>
      <w:r>
        <w:rPr>
          <w:rFonts w:eastAsia="Times New Roman" w:cs="Times New Roman" w:ascii="Times New Roman" w:hAnsi="Times New Roman"/>
          <w:sz w:val="24"/>
          <w:szCs w:val="24"/>
        </w:rPr>
        <w:t xml:space="preserve">Page, M. J., McKenzie, J. E., Bossuyt, P. M., Boutron, I., Hoffmann, T. C., Mulrow, C. D., Shamseer, L., Tetzlaff, J. M., Akl, E. A., Brennan, S. E., Chou, R., Glanville, J., Grimshaw, J. M., Hróbjartsson, A., Lalu, M. M., Li, T., Loder, E. W., Mayo-Wilson, E., McDonald, S., … Moher, D. (2021). </w:t>
      </w:r>
      <w:r>
        <w:rPr>
          <w:rFonts w:eastAsia="Times New Roman" w:cs="Times New Roman" w:ascii="Times New Roman" w:hAnsi="Times New Roman"/>
          <w:i/>
          <w:iCs/>
          <w:sz w:val="24"/>
          <w:szCs w:val="24"/>
        </w:rPr>
        <w:t>The PRISMA 2020 statement: An updated guideline for reporting systematic reviews</w:t>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BMJ, 372</w:t>
      </w:r>
      <w:r>
        <w:rPr>
          <w:rFonts w:eastAsia="Times New Roman" w:cs="Times New Roman" w:ascii="Times New Roman" w:hAnsi="Times New Roman"/>
          <w:sz w:val="24"/>
          <w:szCs w:val="24"/>
        </w:rPr>
        <w:t>, n71.</w:t>
      </w:r>
      <w:hyperlink r:id="rId44">
        <w:r>
          <w:rPr>
            <w:rStyle w:val="Style3"/>
            <w:rFonts w:eastAsia="Times New Roman" w:cs="Times New Roman" w:ascii="Times New Roman" w:hAnsi="Times New Roman"/>
            <w:sz w:val="24"/>
            <w:szCs w:val="24"/>
          </w:rPr>
          <w:t xml:space="preserve"> </w:t>
        </w:r>
      </w:hyperlink>
      <w:hyperlink r:id="rId45">
        <w:r>
          <w:rPr>
            <w:rStyle w:val="Style3"/>
            <w:rFonts w:eastAsia="Times New Roman" w:cs="Times New Roman" w:ascii="Times New Roman" w:hAnsi="Times New Roman"/>
            <w:color w:val="1155CC"/>
            <w:sz w:val="24"/>
            <w:szCs w:val="24"/>
          </w:rPr>
          <w:t>https://doi.org/10.1136/bmj.n71</w:t>
        </w:r>
      </w:hyperlink>
    </w:p>
    <w:p>
      <w:pPr>
        <w:pStyle w:val="normal1"/>
        <w:numPr>
          <w:ilvl w:val="0"/>
          <w:numId w:val="1"/>
        </w:numPr>
        <w:spacing w:lineRule="auto" w:line="240" w:before="240" w:after="0"/>
        <w:jc w:val="both"/>
        <w:rPr/>
      </w:pPr>
      <w:r>
        <w:rPr>
          <w:rFonts w:eastAsia="Times New Roman" w:cs="Times New Roman" w:ascii="Times New Roman" w:hAnsi="Times New Roman"/>
          <w:sz w:val="24"/>
          <w:szCs w:val="24"/>
        </w:rPr>
        <w:t xml:space="preserve">Sia, S., Lagrada, M., Olorosa, A., Limas, M., Jamoralin, M., Jr., Macaranas, P. K., Espiritu, H. G., Gayeta, J., Masim, M., Ablola, F., &amp; Carlos, C. (2020). </w:t>
      </w:r>
      <w:r>
        <w:rPr>
          <w:rFonts w:eastAsia="Times New Roman" w:cs="Times New Roman" w:ascii="Times New Roman" w:hAnsi="Times New Roman"/>
          <w:i/>
          <w:iCs/>
          <w:sz w:val="24"/>
          <w:szCs w:val="24"/>
        </w:rPr>
        <w:t>A fifteen-year report of serotype distribution and antimicrobial resistance of Salmonella in the Philippines</w:t>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Philippine Journal of Pathology</w:t>
      </w:r>
      <w:r>
        <w:rPr>
          <w:rFonts w:eastAsia="Times New Roman" w:cs="Times New Roman" w:ascii="Times New Roman" w:hAnsi="Times New Roman"/>
          <w:sz w:val="24"/>
          <w:szCs w:val="24"/>
        </w:rPr>
        <w:t>.</w:t>
      </w:r>
      <w:hyperlink r:id="rId46">
        <w:r>
          <w:rPr>
            <w:rStyle w:val="Style3"/>
            <w:rFonts w:eastAsia="Times New Roman" w:cs="Times New Roman" w:ascii="Times New Roman" w:hAnsi="Times New Roman"/>
            <w:sz w:val="24"/>
            <w:szCs w:val="24"/>
          </w:rPr>
          <w:t xml:space="preserve"> </w:t>
        </w:r>
      </w:hyperlink>
      <w:hyperlink r:id="rId47">
        <w:r>
          <w:rPr>
            <w:rStyle w:val="Style3"/>
            <w:rFonts w:eastAsia="Times New Roman" w:cs="Times New Roman" w:ascii="Times New Roman" w:hAnsi="Times New Roman"/>
            <w:color w:val="1155CC"/>
            <w:sz w:val="24"/>
            <w:szCs w:val="24"/>
          </w:rPr>
          <w:t>https://doi.org/10.21141/PJP.2020.03</w:t>
        </w:r>
      </w:hyperlink>
      <w:r>
        <w:rPr>
          <w:rFonts w:eastAsia="Times New Roman" w:cs="Times New Roman" w:ascii="Times New Roman" w:hAnsi="Times New Roman"/>
          <w:sz w:val="24"/>
          <w:szCs w:val="24"/>
        </w:rPr>
        <w:t xml:space="preserve">  </w:t>
      </w:r>
    </w:p>
    <w:p>
      <w:pPr>
        <w:pStyle w:val="normal1"/>
        <w:numPr>
          <w:ilvl w:val="0"/>
          <w:numId w:val="1"/>
        </w:numPr>
        <w:spacing w:lineRule="auto" w:line="240" w:before="240" w:after="0"/>
        <w:jc w:val="both"/>
        <w:rPr/>
      </w:pPr>
      <w:r>
        <w:rPr>
          <w:rFonts w:eastAsia="Times New Roman" w:cs="Times New Roman" w:ascii="Times New Roman" w:hAnsi="Times New Roman"/>
          <w:sz w:val="24"/>
          <w:szCs w:val="24"/>
        </w:rPr>
        <w:t xml:space="preserve">Sia, S. B., et al. (2021). Serotype distribution and antimicrobial resistance of </w:t>
      </w:r>
      <w:r>
        <w:rPr>
          <w:rFonts w:eastAsia="Times New Roman" w:cs="Times New Roman" w:ascii="Times New Roman" w:hAnsi="Times New Roman"/>
          <w:i/>
          <w:iCs/>
          <w:sz w:val="24"/>
          <w:szCs w:val="24"/>
        </w:rPr>
        <w:t>Streptococcus pneumoniae</w:t>
      </w:r>
      <w:r>
        <w:rPr>
          <w:rFonts w:eastAsia="Times New Roman" w:cs="Times New Roman" w:ascii="Times New Roman" w:hAnsi="Times New Roman"/>
          <w:sz w:val="24"/>
          <w:szCs w:val="24"/>
        </w:rPr>
        <w:t xml:space="preserve"> in the Philippines. </w:t>
      </w:r>
      <w:r>
        <w:rPr>
          <w:rFonts w:eastAsia="Times New Roman" w:cs="Times New Roman" w:ascii="Times New Roman" w:hAnsi="Times New Roman"/>
          <w:i/>
          <w:iCs/>
          <w:sz w:val="24"/>
          <w:szCs w:val="24"/>
        </w:rPr>
        <w:t>Western Pacific Surveillance and Response Journal, 12</w:t>
      </w:r>
      <w:r>
        <w:rPr>
          <w:rFonts w:eastAsia="Times New Roman" w:cs="Times New Roman" w:ascii="Times New Roman" w:hAnsi="Times New Roman"/>
          <w:sz w:val="24"/>
          <w:szCs w:val="24"/>
        </w:rPr>
        <w:t>(4).</w:t>
      </w:r>
      <w:hyperlink r:id="rId48">
        <w:r>
          <w:rPr>
            <w:rStyle w:val="Style3"/>
            <w:rFonts w:eastAsia="Times New Roman" w:cs="Times New Roman" w:ascii="Times New Roman" w:hAnsi="Times New Roman"/>
            <w:sz w:val="24"/>
            <w:szCs w:val="24"/>
          </w:rPr>
          <w:t xml:space="preserve"> </w:t>
        </w:r>
      </w:hyperlink>
      <w:hyperlink r:id="rId49">
        <w:r>
          <w:rPr>
            <w:rStyle w:val="Style3"/>
            <w:rFonts w:eastAsia="Times New Roman" w:cs="Times New Roman" w:ascii="Times New Roman" w:hAnsi="Times New Roman"/>
            <w:sz w:val="24"/>
            <w:szCs w:val="24"/>
          </w:rPr>
          <w:t>https://doi.org/10.5365/wpsar.2021.12.4.834</w:t>
        </w:r>
      </w:hyperlink>
    </w:p>
    <w:p>
      <w:pPr>
        <w:pStyle w:val="normal1"/>
        <w:numPr>
          <w:ilvl w:val="0"/>
          <w:numId w:val="1"/>
        </w:numPr>
        <w:spacing w:lineRule="auto" w:line="240" w:before="240" w:after="0"/>
        <w:rPr/>
      </w:pPr>
      <w:r>
        <w:rPr>
          <w:rFonts w:eastAsia="Times New Roman" w:cs="Times New Roman" w:ascii="Times New Roman" w:hAnsi="Times New Roman"/>
          <w:sz w:val="24"/>
          <w:szCs w:val="24"/>
        </w:rPr>
        <w:t xml:space="preserve">Valenzuela, S., et al. (2025). Situational analysis of antimicrobial resistance policies and program implementation in the Philippines. </w:t>
      </w:r>
      <w:r>
        <w:rPr>
          <w:rFonts w:eastAsia="Times New Roman" w:cs="Times New Roman" w:ascii="Times New Roman" w:hAnsi="Times New Roman"/>
          <w:i/>
          <w:iCs/>
          <w:sz w:val="24"/>
          <w:szCs w:val="24"/>
        </w:rPr>
        <w:t>One Health, 21</w:t>
      </w:r>
      <w:r>
        <w:rPr>
          <w:rFonts w:eastAsia="Times New Roman" w:cs="Times New Roman" w:ascii="Times New Roman" w:hAnsi="Times New Roman"/>
          <w:sz w:val="24"/>
          <w:szCs w:val="24"/>
        </w:rPr>
        <w:t>, 101255.</w:t>
      </w:r>
      <w:hyperlink r:id="rId50">
        <w:r>
          <w:rPr>
            <w:rStyle w:val="Style3"/>
            <w:rFonts w:eastAsia="Times New Roman" w:cs="Times New Roman" w:ascii="Times New Roman" w:hAnsi="Times New Roman"/>
            <w:sz w:val="24"/>
            <w:szCs w:val="24"/>
          </w:rPr>
          <w:t xml:space="preserve"> </w:t>
        </w:r>
      </w:hyperlink>
      <w:hyperlink r:id="rId51">
        <w:r>
          <w:rPr>
            <w:rStyle w:val="Style3"/>
            <w:rFonts w:eastAsia="Times New Roman" w:cs="Times New Roman" w:ascii="Times New Roman" w:hAnsi="Times New Roman"/>
            <w:sz w:val="24"/>
            <w:szCs w:val="24"/>
          </w:rPr>
          <w:t>https://doi.org/10.1016/j.onehlt.2025.101255</w:t>
        </w:r>
      </w:hyperlink>
    </w:p>
    <w:p>
      <w:pPr>
        <w:pStyle w:val="normal1"/>
        <w:numPr>
          <w:ilvl w:val="0"/>
          <w:numId w:val="1"/>
        </w:numPr>
        <w:spacing w:lineRule="auto" w:line="240" w:before="240" w:after="0"/>
        <w:rPr/>
      </w:pPr>
      <w:r>
        <w:rPr>
          <w:rFonts w:eastAsia="Times New Roman" w:cs="Times New Roman" w:ascii="Times New Roman" w:hAnsi="Times New Roman"/>
          <w:sz w:val="24"/>
          <w:szCs w:val="24"/>
        </w:rPr>
        <w:t>World Health Organization. (2023). Antimicrobial resistance. https://www.who.int/news-room/fact-sheets/detail/antimicrobial-resistance</w:t>
      </w:r>
    </w:p>
    <w:p>
      <w:pPr>
        <w:pStyle w:val="normal1"/>
        <w:numPr>
          <w:ilvl w:val="0"/>
          <w:numId w:val="1"/>
        </w:numPr>
        <w:spacing w:lineRule="auto" w:line="240" w:before="240" w:after="0"/>
        <w:rPr/>
      </w:pPr>
      <w:r>
        <w:rPr>
          <w:rFonts w:eastAsia="Times New Roman" w:cs="Times New Roman" w:ascii="Times New Roman" w:hAnsi="Times New Roman"/>
          <w:sz w:val="24"/>
          <w:szCs w:val="24"/>
        </w:rPr>
        <w:t>World Health Organization. (2024). WHO bacterial priority pathogens list. https://www.who.int/publications/i/item/9789240093461</w:t>
      </w:r>
    </w:p>
    <w:p>
      <w:pPr>
        <w:pStyle w:val="normal1"/>
        <w:numPr>
          <w:ilvl w:val="0"/>
          <w:numId w:val="0"/>
        </w:numPr>
        <w:spacing w:lineRule="auto" w:line="240" w:before="240" w:after="0"/>
        <w:ind w:hanging="0" w:start="7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240" w:before="240" w:after="80"/>
        <w:ind w:hanging="720" w:start="720"/>
        <w:jc w:val="both"/>
        <w:rPr>
          <w:rFonts w:ascii="Times New Roman" w:hAnsi="Times New Roman" w:eastAsia="Times New Roman" w:cs="Times New Roman"/>
          <w:sz w:val="24"/>
          <w:szCs w:val="24"/>
        </w:rPr>
        <w:sectPr>
          <w:headerReference w:type="even" r:id="rId52"/>
          <w:headerReference w:type="default" r:id="rId53"/>
          <w:headerReference w:type="first" r:id="rId54"/>
          <w:footerReference w:type="even" r:id="rId55"/>
          <w:footerReference w:type="default" r:id="rId56"/>
          <w:footerReference w:type="first" r:id="rId57"/>
          <w:type w:val="nextPage"/>
          <w:pgSz w:w="12240" w:h="15840"/>
          <w:pgMar w:left="1440" w:right="1440" w:gutter="0" w:header="720" w:top="1440" w:footer="0" w:bottom="1440"/>
          <w:pgNumType w:start="1" w:fmt="decimal"/>
          <w:formProt w:val="false"/>
          <w:textDirection w:val="lrTb"/>
          <w:docGrid w:type="default" w:linePitch="100" w:charSpace="0"/>
        </w:sectPr>
      </w:pPr>
      <w:r>
        <w:rPr>
          <w:rFonts w:eastAsia="Times New Roman" w:cs="Times New Roman" w:ascii="Times New Roman" w:hAnsi="Times New Roman"/>
          <w:sz w:val="24"/>
          <w:szCs w:val="24"/>
        </w:rPr>
      </w:r>
    </w:p>
    <w:p>
      <w:pPr>
        <w:pStyle w:val="Heading1"/>
        <w:keepNext w:val="false"/>
        <w:keepLines w:val="false"/>
        <w:spacing w:before="480" w:after="120"/>
        <w:rPr>
          <w:rFonts w:ascii="Times New Roman" w:hAnsi="Times New Roman" w:eastAsia="Times New Roman" w:cs="Times New Roman"/>
          <w:b/>
          <w:bCs/>
          <w:sz w:val="24"/>
          <w:szCs w:val="24"/>
        </w:rPr>
      </w:pPr>
      <w:bookmarkStart w:id="48" w:name="_m6d8vuqewolz"/>
      <w:bookmarkStart w:id="49" w:name="_hizdmvkc2kft"/>
      <w:bookmarkStart w:id="50" w:name="_ao1nws5bezdg"/>
      <w:bookmarkEnd w:id="48"/>
      <w:bookmarkEnd w:id="49"/>
      <w:bookmarkEnd w:id="50"/>
      <w:r>
        <w:rPr>
          <w:rFonts w:eastAsia="Times New Roman" w:cs="Times New Roman" w:ascii="Times New Roman" w:hAnsi="Times New Roman"/>
          <w:b/>
          <w:bCs/>
          <w:sz w:val="24"/>
          <w:szCs w:val="24"/>
        </w:rPr>
        <w:t>Table 1: Summary of Studies Synthesized (n = 14)</w:t>
      </w:r>
    </w:p>
    <w:tbl>
      <w:tblPr>
        <w:tblStyle w:val="TableNormal0"/>
        <w:tblW w:w="13470" w:type="dxa"/>
        <w:jc w:val="start"/>
        <w:tblInd w:w="-210" w:type="dxa"/>
        <w:tblLayout w:type="fixed"/>
        <w:tblCellMar>
          <w:top w:w="100" w:type="dxa"/>
          <w:start w:w="100" w:type="dxa"/>
          <w:bottom w:w="100" w:type="dxa"/>
          <w:end w:w="100" w:type="dxa"/>
        </w:tblCellMar>
        <w:tblLook w:firstRow="0" w:noVBand="1" w:lastRow="0" w:firstColumn="0" w:lastColumn="0" w:noHBand="1" w:val="0600"/>
      </w:tblPr>
      <w:tblGrid>
        <w:gridCol w:w="2055"/>
        <w:gridCol w:w="1875"/>
        <w:gridCol w:w="1560"/>
        <w:gridCol w:w="2295"/>
        <w:gridCol w:w="2100"/>
        <w:gridCol w:w="1409"/>
        <w:gridCol w:w="2176"/>
      </w:tblGrid>
      <w:tr>
        <w:trPr>
          <w:trHeight w:val="510" w:hRule="atLeast"/>
        </w:trPr>
        <w:tc>
          <w:tcPr>
            <w:tcW w:w="205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51" w:name="_lvm75kk5m3j2"/>
            <w:bookmarkEnd w:id="51"/>
            <w:r>
              <w:rPr>
                <w:rFonts w:eastAsia="Times New Roman" w:cs="Times New Roman" w:ascii="Times New Roman" w:hAnsi="Times New Roman"/>
                <w:kern w:val="0"/>
                <w:sz w:val="24"/>
                <w:szCs w:val="24"/>
                <w:lang w:val="en-US" w:eastAsia="zh-CN" w:bidi="hi-IN"/>
              </w:rPr>
              <w:t>Author (Year)</w:t>
            </w:r>
          </w:p>
        </w:tc>
        <w:tc>
          <w:tcPr>
            <w:tcW w:w="187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52" w:name="_lvm75kk5m3j2_Copy_1"/>
            <w:bookmarkEnd w:id="52"/>
            <w:r>
              <w:rPr>
                <w:rFonts w:eastAsia="Times New Roman" w:cs="Times New Roman" w:ascii="Times New Roman" w:hAnsi="Times New Roman"/>
                <w:kern w:val="0"/>
                <w:sz w:val="24"/>
                <w:szCs w:val="24"/>
                <w:lang w:val="en-US" w:eastAsia="zh-CN" w:bidi="hi-IN"/>
              </w:rPr>
              <w:t>Study Design</w:t>
            </w:r>
          </w:p>
        </w:tc>
        <w:tc>
          <w:tcPr>
            <w:tcW w:w="1560"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53" w:name="_lvm75kk5m3j2_Copy_2"/>
            <w:bookmarkEnd w:id="53"/>
            <w:r>
              <w:rPr>
                <w:rFonts w:eastAsia="Times New Roman" w:cs="Times New Roman" w:ascii="Times New Roman" w:hAnsi="Times New Roman"/>
                <w:kern w:val="0"/>
                <w:sz w:val="24"/>
                <w:szCs w:val="24"/>
                <w:lang w:val="en-US" w:eastAsia="zh-CN" w:bidi="hi-IN"/>
              </w:rPr>
              <w:t>Setting</w:t>
            </w:r>
          </w:p>
        </w:tc>
        <w:tc>
          <w:tcPr>
            <w:tcW w:w="229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54" w:name="_lvm75kk5m3j2_Copy_3"/>
            <w:bookmarkEnd w:id="54"/>
            <w:r>
              <w:rPr>
                <w:rFonts w:eastAsia="Times New Roman" w:cs="Times New Roman" w:ascii="Times New Roman" w:hAnsi="Times New Roman"/>
                <w:kern w:val="0"/>
                <w:sz w:val="24"/>
                <w:szCs w:val="24"/>
                <w:lang w:val="en-US" w:eastAsia="zh-CN" w:bidi="hi-IN"/>
              </w:rPr>
              <w:t>Pathogen(s)</w:t>
            </w:r>
          </w:p>
        </w:tc>
        <w:tc>
          <w:tcPr>
            <w:tcW w:w="2100"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55" w:name="_lvm75kk5m3j2_Copy_4"/>
            <w:bookmarkEnd w:id="55"/>
            <w:r>
              <w:rPr>
                <w:rFonts w:eastAsia="Times New Roman" w:cs="Times New Roman" w:ascii="Times New Roman" w:hAnsi="Times New Roman"/>
                <w:kern w:val="0"/>
                <w:sz w:val="24"/>
                <w:szCs w:val="24"/>
                <w:lang w:val="en-US" w:eastAsia="zh-CN" w:bidi="hi-IN"/>
              </w:rPr>
              <w:t>Sample Source</w:t>
            </w:r>
          </w:p>
        </w:tc>
        <w:tc>
          <w:tcPr>
            <w:tcW w:w="1409"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56" w:name="_lvm75kk5m3j2_Copy_5"/>
            <w:bookmarkEnd w:id="56"/>
            <w:r>
              <w:rPr>
                <w:rFonts w:eastAsia="Times New Roman" w:cs="Times New Roman" w:ascii="Times New Roman" w:hAnsi="Times New Roman"/>
                <w:kern w:val="0"/>
                <w:sz w:val="24"/>
                <w:szCs w:val="24"/>
                <w:lang w:val="en-US" w:eastAsia="zh-CN" w:bidi="hi-IN"/>
              </w:rPr>
              <w:t>Method(s)</w:t>
            </w:r>
          </w:p>
        </w:tc>
        <w:tc>
          <w:tcPr>
            <w:tcW w:w="2176"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57" w:name="_lvm75kk5m3j2_Copy_6"/>
            <w:bookmarkEnd w:id="57"/>
            <w:r>
              <w:rPr>
                <w:rFonts w:eastAsia="Times New Roman" w:cs="Times New Roman" w:ascii="Times New Roman" w:hAnsi="Times New Roman"/>
                <w:kern w:val="0"/>
                <w:sz w:val="24"/>
                <w:szCs w:val="24"/>
                <w:lang w:val="en-US" w:eastAsia="zh-CN" w:bidi="hi-IN"/>
              </w:rPr>
              <w:t>Key Findings</w:t>
            </w:r>
          </w:p>
        </w:tc>
      </w:tr>
      <w:tr>
        <w:trPr>
          <w:trHeight w:val="885" w:hRule="atLeast"/>
        </w:trPr>
        <w:tc>
          <w:tcPr>
            <w:tcW w:w="205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58" w:name="_lvm75kk5m3j2_Copy_7"/>
            <w:bookmarkEnd w:id="58"/>
            <w:r>
              <w:rPr>
                <w:rFonts w:eastAsia="Times New Roman" w:cs="Times New Roman" w:ascii="Times New Roman" w:hAnsi="Times New Roman"/>
                <w:kern w:val="0"/>
                <w:sz w:val="24"/>
                <w:szCs w:val="24"/>
                <w:lang w:val="en-US" w:eastAsia="zh-CN" w:bidi="hi-IN"/>
              </w:rPr>
              <w:t>Argimón et al. (2019)</w:t>
            </w:r>
          </w:p>
        </w:tc>
        <w:tc>
          <w:tcPr>
            <w:tcW w:w="187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59" w:name="_lvm75kk5m3j2_Copy_8"/>
            <w:bookmarkEnd w:id="59"/>
            <w:r>
              <w:rPr>
                <w:rFonts w:eastAsia="Times New Roman" w:cs="Times New Roman" w:ascii="Times New Roman" w:hAnsi="Times New Roman"/>
                <w:kern w:val="0"/>
                <w:sz w:val="24"/>
                <w:szCs w:val="24"/>
                <w:lang w:val="en-US" w:eastAsia="zh-CN" w:bidi="hi-IN"/>
              </w:rPr>
              <w:t>Surveillance / Molecular</w:t>
            </w:r>
          </w:p>
        </w:tc>
        <w:tc>
          <w:tcPr>
            <w:tcW w:w="1560"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60" w:name="_lvm75kk5m3j2_Copy_9"/>
            <w:bookmarkEnd w:id="60"/>
            <w:r>
              <w:rPr>
                <w:rFonts w:eastAsia="Times New Roman" w:cs="Times New Roman" w:ascii="Times New Roman" w:hAnsi="Times New Roman"/>
                <w:kern w:val="0"/>
                <w:sz w:val="24"/>
                <w:szCs w:val="24"/>
                <w:lang w:val="en-US" w:eastAsia="zh-CN" w:bidi="hi-IN"/>
              </w:rPr>
              <w:t>Multi-center</w:t>
            </w:r>
          </w:p>
        </w:tc>
        <w:tc>
          <w:tcPr>
            <w:tcW w:w="229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61" w:name="_lvm75kk5m3j2_Copy_10"/>
            <w:bookmarkEnd w:id="61"/>
            <w:r>
              <w:rPr>
                <w:rFonts w:eastAsia="Times New Roman" w:cs="Times New Roman" w:ascii="Times New Roman" w:hAnsi="Times New Roman"/>
                <w:i/>
                <w:iCs/>
                <w:kern w:val="0"/>
                <w:sz w:val="24"/>
                <w:szCs w:val="24"/>
                <w:lang w:val="en-US" w:eastAsia="zh-CN" w:bidi="hi-IN"/>
              </w:rPr>
              <w:t>E. coli</w:t>
            </w:r>
            <w:r>
              <w:rPr>
                <w:rFonts w:eastAsia="Times New Roman" w:cs="Times New Roman" w:ascii="Times New Roman" w:hAnsi="Times New Roman"/>
                <w:kern w:val="0"/>
                <w:sz w:val="24"/>
                <w:szCs w:val="24"/>
                <w:lang w:val="en-US" w:eastAsia="zh-CN" w:bidi="hi-IN"/>
              </w:rPr>
              <w:t xml:space="preserve">, </w:t>
            </w:r>
            <w:r>
              <w:rPr>
                <w:rFonts w:eastAsia="Times New Roman" w:cs="Times New Roman" w:ascii="Times New Roman" w:hAnsi="Times New Roman"/>
                <w:i/>
                <w:iCs/>
                <w:kern w:val="0"/>
                <w:sz w:val="24"/>
                <w:szCs w:val="24"/>
                <w:lang w:val="en-US" w:eastAsia="zh-CN" w:bidi="hi-IN"/>
              </w:rPr>
              <w:t>K. pneumoniae</w:t>
            </w:r>
            <w:r>
              <w:rPr>
                <w:rFonts w:eastAsia="Times New Roman" w:cs="Times New Roman" w:ascii="Times New Roman" w:hAnsi="Times New Roman"/>
                <w:kern w:val="0"/>
                <w:sz w:val="24"/>
                <w:szCs w:val="24"/>
                <w:lang w:val="en-US" w:eastAsia="zh-CN" w:bidi="hi-IN"/>
              </w:rPr>
              <w:t xml:space="preserve">, </w:t>
            </w:r>
            <w:r>
              <w:rPr>
                <w:rFonts w:eastAsia="Times New Roman" w:cs="Times New Roman" w:ascii="Times New Roman" w:hAnsi="Times New Roman"/>
                <w:i/>
                <w:iCs/>
                <w:kern w:val="0"/>
                <w:sz w:val="24"/>
                <w:szCs w:val="24"/>
                <w:lang w:val="en-US" w:eastAsia="zh-CN" w:bidi="hi-IN"/>
              </w:rPr>
              <w:t>A. baumannii</w:t>
            </w:r>
          </w:p>
        </w:tc>
        <w:tc>
          <w:tcPr>
            <w:tcW w:w="2100"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62" w:name="_lvm75kk5m3j2_Copy_11"/>
            <w:bookmarkEnd w:id="62"/>
            <w:r>
              <w:rPr>
                <w:rFonts w:eastAsia="Times New Roman" w:cs="Times New Roman" w:ascii="Times New Roman" w:hAnsi="Times New Roman"/>
                <w:kern w:val="0"/>
                <w:sz w:val="24"/>
                <w:szCs w:val="24"/>
                <w:lang w:val="en-US" w:eastAsia="zh-CN" w:bidi="hi-IN"/>
              </w:rPr>
              <w:t>Clinical isolates</w:t>
            </w:r>
          </w:p>
        </w:tc>
        <w:tc>
          <w:tcPr>
            <w:tcW w:w="1409"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63" w:name="_lvm75kk5m3j2_Copy_12"/>
            <w:bookmarkEnd w:id="63"/>
            <w:r>
              <w:rPr>
                <w:rFonts w:eastAsia="Times New Roman" w:cs="Times New Roman" w:ascii="Times New Roman" w:hAnsi="Times New Roman"/>
                <w:kern w:val="0"/>
                <w:sz w:val="24"/>
                <w:szCs w:val="24"/>
                <w:lang w:val="en-US" w:eastAsia="zh-CN" w:bidi="hi-IN"/>
              </w:rPr>
              <w:t>AST, WGS</w:t>
            </w:r>
          </w:p>
        </w:tc>
        <w:tc>
          <w:tcPr>
            <w:tcW w:w="2176"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64" w:name="_lvm75kk5m3j2_Copy_13"/>
            <w:bookmarkEnd w:id="64"/>
            <w:r>
              <w:rPr>
                <w:rFonts w:eastAsia="Times New Roman" w:cs="Times New Roman" w:ascii="Times New Roman" w:hAnsi="Times New Roman"/>
                <w:kern w:val="0"/>
                <w:sz w:val="24"/>
                <w:szCs w:val="24"/>
                <w:lang w:val="en-US" w:eastAsia="zh-CN" w:bidi="hi-IN"/>
              </w:rPr>
              <w:t>Carbapenem resistance; clonal dissemination</w:t>
            </w:r>
          </w:p>
        </w:tc>
      </w:tr>
      <w:tr>
        <w:trPr>
          <w:trHeight w:val="662" w:hRule="atLeast"/>
        </w:trPr>
        <w:tc>
          <w:tcPr>
            <w:tcW w:w="205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65" w:name="_lvm75kk5m3j2_Copy_14"/>
            <w:bookmarkEnd w:id="65"/>
            <w:r>
              <w:rPr>
                <w:rFonts w:eastAsia="Times New Roman" w:cs="Times New Roman" w:ascii="Times New Roman" w:hAnsi="Times New Roman"/>
                <w:kern w:val="0"/>
                <w:sz w:val="24"/>
                <w:szCs w:val="24"/>
                <w:lang w:val="en-US" w:eastAsia="zh-CN" w:bidi="hi-IN"/>
              </w:rPr>
              <w:t>Argimón et al. (2020)</w:t>
            </w:r>
          </w:p>
        </w:tc>
        <w:tc>
          <w:tcPr>
            <w:tcW w:w="187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66" w:name="_lvm75kk5m3j2_Copy_15"/>
            <w:bookmarkEnd w:id="66"/>
            <w:r>
              <w:rPr>
                <w:rFonts w:eastAsia="Times New Roman" w:cs="Times New Roman" w:ascii="Times New Roman" w:hAnsi="Times New Roman"/>
                <w:kern w:val="0"/>
                <w:sz w:val="24"/>
                <w:szCs w:val="24"/>
                <w:lang w:val="en-US" w:eastAsia="zh-CN" w:bidi="hi-IN"/>
              </w:rPr>
              <w:t>Molecular epidemiology</w:t>
            </w:r>
          </w:p>
        </w:tc>
        <w:tc>
          <w:tcPr>
            <w:tcW w:w="1560"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67" w:name="_lvm75kk5m3j2_Copy_16"/>
            <w:bookmarkEnd w:id="67"/>
            <w:r>
              <w:rPr>
                <w:rFonts w:eastAsia="Times New Roman" w:cs="Times New Roman" w:ascii="Times New Roman" w:hAnsi="Times New Roman"/>
                <w:kern w:val="0"/>
                <w:sz w:val="24"/>
                <w:szCs w:val="24"/>
                <w:lang w:val="en-US" w:eastAsia="zh-CN" w:bidi="hi-IN"/>
              </w:rPr>
              <w:t>National</w:t>
            </w:r>
          </w:p>
        </w:tc>
        <w:tc>
          <w:tcPr>
            <w:tcW w:w="229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68" w:name="_lvm75kk5m3j2_Copy_17"/>
            <w:bookmarkEnd w:id="68"/>
            <w:r>
              <w:rPr>
                <w:rFonts w:eastAsia="Times New Roman" w:cs="Times New Roman" w:ascii="Times New Roman" w:hAnsi="Times New Roman"/>
                <w:kern w:val="0"/>
                <w:sz w:val="24"/>
                <w:szCs w:val="24"/>
                <w:lang w:val="en-US" w:eastAsia="zh-CN" w:bidi="hi-IN"/>
              </w:rPr>
              <w:t>Gram-negative bacteria</w:t>
            </w:r>
          </w:p>
        </w:tc>
        <w:tc>
          <w:tcPr>
            <w:tcW w:w="2100"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69" w:name="_lvm75kk5m3j2_Copy_18"/>
            <w:bookmarkEnd w:id="69"/>
            <w:r>
              <w:rPr>
                <w:rFonts w:eastAsia="Times New Roman" w:cs="Times New Roman" w:ascii="Times New Roman" w:hAnsi="Times New Roman"/>
                <w:kern w:val="0"/>
                <w:sz w:val="24"/>
                <w:szCs w:val="24"/>
                <w:lang w:val="en-US" w:eastAsia="zh-CN" w:bidi="hi-IN"/>
              </w:rPr>
              <w:t>Clinical isolates</w:t>
            </w:r>
          </w:p>
        </w:tc>
        <w:tc>
          <w:tcPr>
            <w:tcW w:w="1409"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70" w:name="_lvm75kk5m3j2_Copy_19"/>
            <w:bookmarkEnd w:id="70"/>
            <w:r>
              <w:rPr>
                <w:rFonts w:eastAsia="Times New Roman" w:cs="Times New Roman" w:ascii="Times New Roman" w:hAnsi="Times New Roman"/>
                <w:kern w:val="0"/>
                <w:sz w:val="24"/>
                <w:szCs w:val="24"/>
                <w:lang w:val="en-US" w:eastAsia="zh-CN" w:bidi="hi-IN"/>
              </w:rPr>
              <w:t>WGS</w:t>
            </w:r>
          </w:p>
        </w:tc>
        <w:tc>
          <w:tcPr>
            <w:tcW w:w="2176"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71" w:name="_lvm75kk5m3j2_Copy_20"/>
            <w:bookmarkEnd w:id="71"/>
            <w:r>
              <w:rPr>
                <w:rFonts w:eastAsia="Times New Roman" w:cs="Times New Roman" w:ascii="Times New Roman" w:hAnsi="Times New Roman"/>
                <w:kern w:val="0"/>
                <w:sz w:val="24"/>
                <w:szCs w:val="24"/>
                <w:lang w:val="en-US" w:eastAsia="zh-CN" w:bidi="hi-IN"/>
              </w:rPr>
              <w:t>Horizontal gene transfer; resistance genes</w:t>
            </w:r>
          </w:p>
        </w:tc>
      </w:tr>
      <w:tr>
        <w:trPr>
          <w:trHeight w:val="557" w:hRule="atLeast"/>
        </w:trPr>
        <w:tc>
          <w:tcPr>
            <w:tcW w:w="205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72" w:name="_lvm75kk5m3j2_Copy_21"/>
            <w:bookmarkEnd w:id="72"/>
            <w:r>
              <w:rPr>
                <w:rFonts w:eastAsia="Times New Roman" w:cs="Times New Roman" w:ascii="Times New Roman" w:hAnsi="Times New Roman"/>
                <w:kern w:val="0"/>
                <w:sz w:val="24"/>
                <w:szCs w:val="24"/>
                <w:lang w:val="en-US" w:eastAsia="zh-CN" w:bidi="hi-IN"/>
              </w:rPr>
              <w:t>Bacabac et al. (2025)</w:t>
            </w:r>
          </w:p>
        </w:tc>
        <w:tc>
          <w:tcPr>
            <w:tcW w:w="187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73" w:name="_lvm75kk5m3j2_Copy_22"/>
            <w:bookmarkEnd w:id="73"/>
            <w:r>
              <w:rPr>
                <w:rFonts w:eastAsia="Times New Roman" w:cs="Times New Roman" w:ascii="Times New Roman" w:hAnsi="Times New Roman"/>
                <w:kern w:val="0"/>
                <w:sz w:val="24"/>
                <w:szCs w:val="24"/>
                <w:lang w:val="en-US" w:eastAsia="zh-CN" w:bidi="hi-IN"/>
              </w:rPr>
              <w:t>Retrospective</w:t>
            </w:r>
          </w:p>
        </w:tc>
        <w:tc>
          <w:tcPr>
            <w:tcW w:w="1560"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74" w:name="_lvm75kk5m3j2_Copy_23"/>
            <w:bookmarkEnd w:id="74"/>
            <w:r>
              <w:rPr>
                <w:rFonts w:eastAsia="Times New Roman" w:cs="Times New Roman" w:ascii="Times New Roman" w:hAnsi="Times New Roman"/>
                <w:kern w:val="0"/>
                <w:sz w:val="24"/>
                <w:szCs w:val="24"/>
                <w:lang w:val="en-US" w:eastAsia="zh-CN" w:bidi="hi-IN"/>
              </w:rPr>
              <w:t>Hospital</w:t>
            </w:r>
          </w:p>
        </w:tc>
        <w:tc>
          <w:tcPr>
            <w:tcW w:w="229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75" w:name="_lvm75kk5m3j2_Copy_24"/>
            <w:bookmarkEnd w:id="75"/>
            <w:r>
              <w:rPr>
                <w:rFonts w:eastAsia="Times New Roman" w:cs="Times New Roman" w:ascii="Times New Roman" w:hAnsi="Times New Roman"/>
                <w:i/>
                <w:iCs/>
                <w:kern w:val="0"/>
                <w:sz w:val="24"/>
                <w:szCs w:val="24"/>
                <w:lang w:val="en-US" w:eastAsia="zh-CN" w:bidi="hi-IN"/>
              </w:rPr>
              <w:t>E. coli</w:t>
            </w:r>
            <w:r>
              <w:rPr>
                <w:rFonts w:eastAsia="Times New Roman" w:cs="Times New Roman" w:ascii="Times New Roman" w:hAnsi="Times New Roman"/>
                <w:kern w:val="0"/>
                <w:sz w:val="24"/>
                <w:szCs w:val="24"/>
                <w:lang w:val="en-US" w:eastAsia="zh-CN" w:bidi="hi-IN"/>
              </w:rPr>
              <w:t>, MRSA</w:t>
            </w:r>
          </w:p>
        </w:tc>
        <w:tc>
          <w:tcPr>
            <w:tcW w:w="2100"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76" w:name="_lvm75kk5m3j2_Copy_25"/>
            <w:bookmarkEnd w:id="76"/>
            <w:r>
              <w:rPr>
                <w:rFonts w:eastAsia="Times New Roman" w:cs="Times New Roman" w:ascii="Times New Roman" w:hAnsi="Times New Roman"/>
                <w:kern w:val="0"/>
                <w:sz w:val="24"/>
                <w:szCs w:val="24"/>
                <w:lang w:val="en-US" w:eastAsia="zh-CN" w:bidi="hi-IN"/>
              </w:rPr>
              <w:t>Clinical samples</w:t>
            </w:r>
          </w:p>
        </w:tc>
        <w:tc>
          <w:tcPr>
            <w:tcW w:w="1409"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77" w:name="_lvm75kk5m3j2_Copy_26"/>
            <w:bookmarkEnd w:id="77"/>
            <w:r>
              <w:rPr>
                <w:rFonts w:eastAsia="Times New Roman" w:cs="Times New Roman" w:ascii="Times New Roman" w:hAnsi="Times New Roman"/>
                <w:kern w:val="0"/>
                <w:sz w:val="24"/>
                <w:szCs w:val="24"/>
                <w:lang w:val="en-US" w:eastAsia="zh-CN" w:bidi="hi-IN"/>
              </w:rPr>
              <w:t>AST</w:t>
            </w:r>
          </w:p>
        </w:tc>
        <w:tc>
          <w:tcPr>
            <w:tcW w:w="2176"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78" w:name="_lvm75kk5m3j2_Copy_27"/>
            <w:bookmarkEnd w:id="78"/>
            <w:r>
              <w:rPr>
                <w:rFonts w:eastAsia="Times New Roman" w:cs="Times New Roman" w:ascii="Times New Roman" w:hAnsi="Times New Roman"/>
                <w:kern w:val="0"/>
                <w:sz w:val="24"/>
                <w:szCs w:val="24"/>
                <w:lang w:val="en-US" w:eastAsia="zh-CN" w:bidi="hi-IN"/>
              </w:rPr>
              <w:t>Increased resistance post-COVID-19</w:t>
            </w:r>
          </w:p>
        </w:tc>
      </w:tr>
      <w:tr>
        <w:trPr>
          <w:trHeight w:val="707" w:hRule="atLeast"/>
        </w:trPr>
        <w:tc>
          <w:tcPr>
            <w:tcW w:w="205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79" w:name="_lvm75kk5m3j2_Copy_28"/>
            <w:bookmarkEnd w:id="79"/>
            <w:r>
              <w:rPr>
                <w:rFonts w:eastAsia="Times New Roman" w:cs="Times New Roman" w:ascii="Times New Roman" w:hAnsi="Times New Roman"/>
                <w:kern w:val="0"/>
                <w:sz w:val="24"/>
                <w:szCs w:val="24"/>
                <w:lang w:val="en-US" w:eastAsia="zh-CN" w:bidi="hi-IN"/>
              </w:rPr>
              <w:t>Sia et al. (2020)</w:t>
            </w:r>
          </w:p>
        </w:tc>
        <w:tc>
          <w:tcPr>
            <w:tcW w:w="187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80" w:name="_lvm75kk5m3j2_Copy_29"/>
            <w:bookmarkEnd w:id="80"/>
            <w:r>
              <w:rPr>
                <w:rFonts w:eastAsia="Times New Roman" w:cs="Times New Roman" w:ascii="Times New Roman" w:hAnsi="Times New Roman"/>
                <w:kern w:val="0"/>
                <w:sz w:val="24"/>
                <w:szCs w:val="24"/>
                <w:lang w:val="en-US" w:eastAsia="zh-CN" w:bidi="hi-IN"/>
              </w:rPr>
              <w:t>Surveillance</w:t>
            </w:r>
          </w:p>
        </w:tc>
        <w:tc>
          <w:tcPr>
            <w:tcW w:w="1560"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81" w:name="_lvm75kk5m3j2_Copy_30"/>
            <w:bookmarkEnd w:id="81"/>
            <w:r>
              <w:rPr>
                <w:rFonts w:eastAsia="Times New Roman" w:cs="Times New Roman" w:ascii="Times New Roman" w:hAnsi="Times New Roman"/>
                <w:kern w:val="0"/>
                <w:sz w:val="24"/>
                <w:szCs w:val="24"/>
                <w:lang w:val="en-US" w:eastAsia="zh-CN" w:bidi="hi-IN"/>
              </w:rPr>
              <w:t>National</w:t>
            </w:r>
          </w:p>
        </w:tc>
        <w:tc>
          <w:tcPr>
            <w:tcW w:w="229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82" w:name="_lvm75kk5m3j2_Copy_31"/>
            <w:bookmarkEnd w:id="82"/>
            <w:r>
              <w:rPr>
                <w:rFonts w:eastAsia="Times New Roman" w:cs="Times New Roman" w:ascii="Times New Roman" w:hAnsi="Times New Roman"/>
                <w:i/>
                <w:iCs/>
                <w:kern w:val="0"/>
                <w:sz w:val="24"/>
                <w:szCs w:val="24"/>
                <w:lang w:val="en-US" w:eastAsia="zh-CN" w:bidi="hi-IN"/>
              </w:rPr>
              <w:t>Salmonella spp.</w:t>
            </w:r>
          </w:p>
        </w:tc>
        <w:tc>
          <w:tcPr>
            <w:tcW w:w="2100"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83" w:name="_lvm75kk5m3j2_Copy_32"/>
            <w:bookmarkEnd w:id="83"/>
            <w:r>
              <w:rPr>
                <w:rFonts w:eastAsia="Times New Roman" w:cs="Times New Roman" w:ascii="Times New Roman" w:hAnsi="Times New Roman"/>
                <w:kern w:val="0"/>
                <w:sz w:val="24"/>
                <w:szCs w:val="24"/>
                <w:lang w:val="en-US" w:eastAsia="zh-CN" w:bidi="hi-IN"/>
              </w:rPr>
              <w:t>Blood/stool</w:t>
            </w:r>
          </w:p>
        </w:tc>
        <w:tc>
          <w:tcPr>
            <w:tcW w:w="1409"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84" w:name="_lvm75kk5m3j2_Copy_33"/>
            <w:bookmarkEnd w:id="84"/>
            <w:r>
              <w:rPr>
                <w:rFonts w:eastAsia="Times New Roman" w:cs="Times New Roman" w:ascii="Times New Roman" w:hAnsi="Times New Roman"/>
                <w:kern w:val="0"/>
                <w:sz w:val="24"/>
                <w:szCs w:val="24"/>
                <w:lang w:val="en-US" w:eastAsia="zh-CN" w:bidi="hi-IN"/>
              </w:rPr>
              <w:t>AST</w:t>
            </w:r>
          </w:p>
        </w:tc>
        <w:tc>
          <w:tcPr>
            <w:tcW w:w="2176"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85" w:name="_lvm75kk5m3j2_Copy_34"/>
            <w:bookmarkEnd w:id="85"/>
            <w:r>
              <w:rPr>
                <w:rFonts w:eastAsia="Times New Roman" w:cs="Times New Roman" w:ascii="Times New Roman" w:hAnsi="Times New Roman"/>
                <w:kern w:val="0"/>
                <w:sz w:val="24"/>
                <w:szCs w:val="24"/>
                <w:lang w:val="en-US" w:eastAsia="zh-CN" w:bidi="hi-IN"/>
              </w:rPr>
              <w:t xml:space="preserve">Low resistance in </w:t>
            </w:r>
            <w:r>
              <w:rPr>
                <w:rFonts w:eastAsia="Times New Roman" w:cs="Times New Roman" w:ascii="Times New Roman" w:hAnsi="Times New Roman"/>
                <w:i/>
                <w:iCs/>
                <w:kern w:val="0"/>
                <w:sz w:val="24"/>
                <w:szCs w:val="24"/>
                <w:lang w:val="en-US" w:eastAsia="zh-CN" w:bidi="hi-IN"/>
              </w:rPr>
              <w:t>S. Typhi</w:t>
            </w:r>
          </w:p>
        </w:tc>
      </w:tr>
      <w:tr>
        <w:trPr>
          <w:trHeight w:val="476" w:hRule="atLeast"/>
        </w:trPr>
        <w:tc>
          <w:tcPr>
            <w:tcW w:w="205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86" w:name="_lvm75kk5m3j2_Copy_35"/>
            <w:bookmarkEnd w:id="86"/>
            <w:r>
              <w:rPr>
                <w:rFonts w:eastAsia="Times New Roman" w:cs="Times New Roman" w:ascii="Times New Roman" w:hAnsi="Times New Roman"/>
                <w:kern w:val="0"/>
                <w:sz w:val="24"/>
                <w:szCs w:val="24"/>
                <w:lang w:val="en-US" w:eastAsia="zh-CN" w:bidi="hi-IN"/>
              </w:rPr>
              <w:t>Sia et al. (2021)</w:t>
            </w:r>
          </w:p>
        </w:tc>
        <w:tc>
          <w:tcPr>
            <w:tcW w:w="187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87" w:name="_lvm75kk5m3j2_Copy_36"/>
            <w:bookmarkEnd w:id="87"/>
            <w:r>
              <w:rPr>
                <w:rFonts w:eastAsia="Times New Roman" w:cs="Times New Roman" w:ascii="Times New Roman" w:hAnsi="Times New Roman"/>
                <w:kern w:val="0"/>
                <w:sz w:val="24"/>
                <w:szCs w:val="24"/>
                <w:lang w:val="en-US" w:eastAsia="zh-CN" w:bidi="hi-IN"/>
              </w:rPr>
              <w:t>Surveillance</w:t>
            </w:r>
          </w:p>
        </w:tc>
        <w:tc>
          <w:tcPr>
            <w:tcW w:w="1560"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88" w:name="_lvm75kk5m3j2_Copy_37"/>
            <w:bookmarkEnd w:id="88"/>
            <w:r>
              <w:rPr>
                <w:rFonts w:eastAsia="Times New Roman" w:cs="Times New Roman" w:ascii="Times New Roman" w:hAnsi="Times New Roman"/>
                <w:kern w:val="0"/>
                <w:sz w:val="24"/>
                <w:szCs w:val="24"/>
                <w:lang w:val="en-US" w:eastAsia="zh-CN" w:bidi="hi-IN"/>
              </w:rPr>
              <w:t>National</w:t>
            </w:r>
          </w:p>
        </w:tc>
        <w:tc>
          <w:tcPr>
            <w:tcW w:w="229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89" w:name="_lvm75kk5m3j2_Copy_38"/>
            <w:bookmarkEnd w:id="89"/>
            <w:r>
              <w:rPr>
                <w:rFonts w:eastAsia="Times New Roman" w:cs="Times New Roman" w:ascii="Times New Roman" w:hAnsi="Times New Roman"/>
                <w:i/>
                <w:iCs/>
                <w:kern w:val="0"/>
                <w:sz w:val="24"/>
                <w:szCs w:val="24"/>
                <w:lang w:val="en-US" w:eastAsia="zh-CN" w:bidi="hi-IN"/>
              </w:rPr>
              <w:t>S. pneumoniae</w:t>
            </w:r>
          </w:p>
        </w:tc>
        <w:tc>
          <w:tcPr>
            <w:tcW w:w="2100"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90" w:name="_lvm75kk5m3j2_Copy_39"/>
            <w:bookmarkEnd w:id="90"/>
            <w:r>
              <w:rPr>
                <w:rFonts w:eastAsia="Times New Roman" w:cs="Times New Roman" w:ascii="Times New Roman" w:hAnsi="Times New Roman"/>
                <w:kern w:val="0"/>
                <w:sz w:val="24"/>
                <w:szCs w:val="24"/>
                <w:lang w:val="en-US" w:eastAsia="zh-CN" w:bidi="hi-IN"/>
              </w:rPr>
              <w:t>Clinical isolates</w:t>
            </w:r>
          </w:p>
        </w:tc>
        <w:tc>
          <w:tcPr>
            <w:tcW w:w="1409"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91" w:name="_lvm75kk5m3j2_Copy_40"/>
            <w:bookmarkEnd w:id="91"/>
            <w:r>
              <w:rPr>
                <w:rFonts w:eastAsia="Times New Roman" w:cs="Times New Roman" w:ascii="Times New Roman" w:hAnsi="Times New Roman"/>
                <w:kern w:val="0"/>
                <w:sz w:val="24"/>
                <w:szCs w:val="24"/>
                <w:lang w:val="en-US" w:eastAsia="zh-CN" w:bidi="hi-IN"/>
              </w:rPr>
              <w:t>AST</w:t>
            </w:r>
          </w:p>
        </w:tc>
        <w:tc>
          <w:tcPr>
            <w:tcW w:w="2176"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92" w:name="_lvm75kk5m3j2_Copy_41"/>
            <w:bookmarkEnd w:id="92"/>
            <w:r>
              <w:rPr>
                <w:rFonts w:eastAsia="Times New Roman" w:cs="Times New Roman" w:ascii="Times New Roman" w:hAnsi="Times New Roman"/>
                <w:kern w:val="0"/>
                <w:sz w:val="24"/>
                <w:szCs w:val="24"/>
                <w:lang w:val="en-US" w:eastAsia="zh-CN" w:bidi="hi-IN"/>
              </w:rPr>
              <w:t>Low resistance rates overall</w:t>
            </w:r>
          </w:p>
        </w:tc>
      </w:tr>
      <w:tr>
        <w:trPr>
          <w:trHeight w:val="347" w:hRule="atLeast"/>
        </w:trPr>
        <w:tc>
          <w:tcPr>
            <w:tcW w:w="205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93" w:name="_lvm75kk5m3j2_Copy_42"/>
            <w:bookmarkEnd w:id="93"/>
            <w:r>
              <w:rPr>
                <w:rFonts w:eastAsia="Times New Roman" w:cs="Times New Roman" w:ascii="Times New Roman" w:hAnsi="Times New Roman"/>
                <w:kern w:val="0"/>
                <w:sz w:val="24"/>
                <w:szCs w:val="24"/>
                <w:lang w:val="en-US" w:eastAsia="zh-CN" w:bidi="hi-IN"/>
              </w:rPr>
              <w:t>Abeleda et al. (2024)</w:t>
            </w:r>
          </w:p>
        </w:tc>
        <w:tc>
          <w:tcPr>
            <w:tcW w:w="187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94" w:name="_lvm75kk5m3j2_Copy_43"/>
            <w:bookmarkEnd w:id="94"/>
            <w:r>
              <w:rPr>
                <w:rFonts w:eastAsia="Times New Roman" w:cs="Times New Roman" w:ascii="Times New Roman" w:hAnsi="Times New Roman"/>
                <w:kern w:val="0"/>
                <w:sz w:val="24"/>
                <w:szCs w:val="24"/>
                <w:lang w:val="en-US" w:eastAsia="zh-CN" w:bidi="hi-IN"/>
              </w:rPr>
              <w:t>Observational</w:t>
            </w:r>
          </w:p>
        </w:tc>
        <w:tc>
          <w:tcPr>
            <w:tcW w:w="1560"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95" w:name="_lvm75kk5m3j2_Copy_44"/>
            <w:bookmarkEnd w:id="95"/>
            <w:r>
              <w:rPr>
                <w:rFonts w:eastAsia="Times New Roman" w:cs="Times New Roman" w:ascii="Times New Roman" w:hAnsi="Times New Roman"/>
                <w:kern w:val="0"/>
                <w:sz w:val="24"/>
                <w:szCs w:val="24"/>
                <w:lang w:val="en-US" w:eastAsia="zh-CN" w:bidi="hi-IN"/>
              </w:rPr>
              <w:t>Hospital</w:t>
            </w:r>
          </w:p>
        </w:tc>
        <w:tc>
          <w:tcPr>
            <w:tcW w:w="229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96" w:name="_lvm75kk5m3j2_Copy_45"/>
            <w:bookmarkEnd w:id="96"/>
            <w:r>
              <w:rPr>
                <w:rFonts w:eastAsia="Times New Roman" w:cs="Times New Roman" w:ascii="Times New Roman" w:hAnsi="Times New Roman"/>
                <w:kern w:val="0"/>
                <w:sz w:val="24"/>
                <w:szCs w:val="24"/>
                <w:lang w:val="en-US" w:eastAsia="zh-CN" w:bidi="hi-IN"/>
              </w:rPr>
              <w:t>Multiple pathogens</w:t>
            </w:r>
          </w:p>
        </w:tc>
        <w:tc>
          <w:tcPr>
            <w:tcW w:w="2100"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97" w:name="_lvm75kk5m3j2_Copy_46"/>
            <w:bookmarkEnd w:id="97"/>
            <w:r>
              <w:rPr>
                <w:rFonts w:eastAsia="Times New Roman" w:cs="Times New Roman" w:ascii="Times New Roman" w:hAnsi="Times New Roman"/>
                <w:kern w:val="0"/>
                <w:sz w:val="24"/>
                <w:szCs w:val="24"/>
                <w:lang w:val="en-US" w:eastAsia="zh-CN" w:bidi="hi-IN"/>
              </w:rPr>
              <w:t>Clinical isolates</w:t>
            </w:r>
          </w:p>
        </w:tc>
        <w:tc>
          <w:tcPr>
            <w:tcW w:w="1409"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98" w:name="_lvm75kk5m3j2_Copy_47"/>
            <w:bookmarkEnd w:id="98"/>
            <w:r>
              <w:rPr>
                <w:rFonts w:eastAsia="Times New Roman" w:cs="Times New Roman" w:ascii="Times New Roman" w:hAnsi="Times New Roman"/>
                <w:kern w:val="0"/>
                <w:sz w:val="24"/>
                <w:szCs w:val="24"/>
                <w:lang w:val="en-US" w:eastAsia="zh-CN" w:bidi="hi-IN"/>
              </w:rPr>
              <w:t>AST</w:t>
            </w:r>
          </w:p>
        </w:tc>
        <w:tc>
          <w:tcPr>
            <w:tcW w:w="2176"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99" w:name="_lvm75kk5m3j2_Copy_48"/>
            <w:bookmarkEnd w:id="99"/>
            <w:r>
              <w:rPr>
                <w:rFonts w:eastAsia="Times New Roman" w:cs="Times New Roman" w:ascii="Times New Roman" w:hAnsi="Times New Roman"/>
                <w:kern w:val="0"/>
                <w:sz w:val="24"/>
                <w:szCs w:val="24"/>
                <w:lang w:val="en-US" w:eastAsia="zh-CN" w:bidi="hi-IN"/>
              </w:rPr>
              <w:t>Strong correlation: antibiotic use vs resistance</w:t>
            </w:r>
          </w:p>
        </w:tc>
      </w:tr>
      <w:tr>
        <w:trPr>
          <w:trHeight w:val="1370" w:hRule="atLeast"/>
        </w:trPr>
        <w:tc>
          <w:tcPr>
            <w:tcW w:w="205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00" w:name="_lvm75kk5m3j2_Copy_49"/>
            <w:bookmarkEnd w:id="100"/>
            <w:r>
              <w:rPr>
                <w:rFonts w:eastAsia="Times New Roman" w:cs="Times New Roman" w:ascii="Times New Roman" w:hAnsi="Times New Roman"/>
                <w:kern w:val="0"/>
                <w:sz w:val="24"/>
                <w:szCs w:val="24"/>
                <w:lang w:val="en-US" w:eastAsia="zh-CN" w:bidi="hi-IN"/>
              </w:rPr>
              <w:t>RITM (2025)</w:t>
            </w:r>
          </w:p>
        </w:tc>
        <w:tc>
          <w:tcPr>
            <w:tcW w:w="187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01" w:name="_lvm75kk5m3j2_Copy_50"/>
            <w:bookmarkEnd w:id="101"/>
            <w:r>
              <w:rPr>
                <w:rFonts w:eastAsia="Times New Roman" w:cs="Times New Roman" w:ascii="Times New Roman" w:hAnsi="Times New Roman"/>
                <w:kern w:val="0"/>
                <w:sz w:val="24"/>
                <w:szCs w:val="24"/>
                <w:lang w:val="en-US" w:eastAsia="zh-CN" w:bidi="hi-IN"/>
              </w:rPr>
              <w:t>National surveillance</w:t>
            </w:r>
          </w:p>
        </w:tc>
        <w:tc>
          <w:tcPr>
            <w:tcW w:w="1560"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02" w:name="_lvm75kk5m3j2_Copy_51"/>
            <w:bookmarkEnd w:id="102"/>
            <w:r>
              <w:rPr>
                <w:rFonts w:eastAsia="Times New Roman" w:cs="Times New Roman" w:ascii="Times New Roman" w:hAnsi="Times New Roman"/>
                <w:kern w:val="0"/>
                <w:sz w:val="24"/>
                <w:szCs w:val="24"/>
                <w:lang w:val="en-US" w:eastAsia="zh-CN" w:bidi="hi-IN"/>
              </w:rPr>
              <w:t>Multi-center</w:t>
            </w:r>
          </w:p>
        </w:tc>
        <w:tc>
          <w:tcPr>
            <w:tcW w:w="229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03" w:name="_lvm75kk5m3j2_Copy_52"/>
            <w:bookmarkEnd w:id="103"/>
            <w:r>
              <w:rPr>
                <w:rFonts w:eastAsia="Times New Roman" w:cs="Times New Roman" w:ascii="Times New Roman" w:hAnsi="Times New Roman"/>
                <w:kern w:val="0"/>
                <w:sz w:val="24"/>
                <w:szCs w:val="24"/>
                <w:lang w:val="en-US" w:eastAsia="zh-CN" w:bidi="hi-IN"/>
              </w:rPr>
              <w:t>Multiple pathogens</w:t>
            </w:r>
          </w:p>
        </w:tc>
        <w:tc>
          <w:tcPr>
            <w:tcW w:w="2100"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04" w:name="_lvm75kk5m3j2_Copy_53"/>
            <w:bookmarkEnd w:id="104"/>
            <w:r>
              <w:rPr>
                <w:rFonts w:eastAsia="Times New Roman" w:cs="Times New Roman" w:ascii="Times New Roman" w:hAnsi="Times New Roman"/>
                <w:kern w:val="0"/>
                <w:sz w:val="24"/>
                <w:szCs w:val="24"/>
                <w:lang w:val="en-US" w:eastAsia="zh-CN" w:bidi="hi-IN"/>
              </w:rPr>
              <w:t>Clinical samples</w:t>
            </w:r>
          </w:p>
        </w:tc>
        <w:tc>
          <w:tcPr>
            <w:tcW w:w="1409"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05" w:name="_lvm75kk5m3j2_Copy_54"/>
            <w:bookmarkEnd w:id="105"/>
            <w:r>
              <w:rPr>
                <w:rFonts w:eastAsia="Times New Roman" w:cs="Times New Roman" w:ascii="Times New Roman" w:hAnsi="Times New Roman"/>
                <w:kern w:val="0"/>
                <w:sz w:val="24"/>
                <w:szCs w:val="24"/>
                <w:lang w:val="en-US" w:eastAsia="zh-CN" w:bidi="hi-IN"/>
              </w:rPr>
              <w:t>AST, WGS</w:t>
            </w:r>
          </w:p>
        </w:tc>
        <w:tc>
          <w:tcPr>
            <w:tcW w:w="2176"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06" w:name="_lvm75kk5m3j2_Copy_55"/>
            <w:bookmarkEnd w:id="106"/>
            <w:r>
              <w:rPr>
                <w:rFonts w:eastAsia="Times New Roman" w:cs="Times New Roman" w:ascii="Times New Roman" w:hAnsi="Times New Roman"/>
                <w:kern w:val="0"/>
                <w:sz w:val="24"/>
                <w:szCs w:val="24"/>
                <w:lang w:val="en-US" w:eastAsia="zh-CN" w:bidi="hi-IN"/>
              </w:rPr>
              <w:t>High MDR/XDR Gram-negative burden</w:t>
            </w:r>
          </w:p>
        </w:tc>
      </w:tr>
      <w:tr>
        <w:trPr>
          <w:trHeight w:val="1118" w:hRule="atLeast"/>
        </w:trPr>
        <w:tc>
          <w:tcPr>
            <w:tcW w:w="205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07" w:name="_lvm75kk5m3j2_Copy_56"/>
            <w:bookmarkEnd w:id="107"/>
            <w:r>
              <w:rPr>
                <w:rFonts w:eastAsia="Times New Roman" w:cs="Times New Roman" w:ascii="Times New Roman" w:hAnsi="Times New Roman"/>
                <w:kern w:val="0"/>
                <w:sz w:val="24"/>
                <w:szCs w:val="24"/>
                <w:lang w:val="en-US" w:eastAsia="zh-CN" w:bidi="hi-IN"/>
              </w:rPr>
              <w:t>Centre for Genomic Pathogen Surveillance (2020)</w:t>
            </w:r>
          </w:p>
        </w:tc>
        <w:tc>
          <w:tcPr>
            <w:tcW w:w="187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08" w:name="_lvm75kk5m3j2_Copy_57"/>
            <w:bookmarkEnd w:id="108"/>
            <w:r>
              <w:rPr>
                <w:rFonts w:eastAsia="Times New Roman" w:cs="Times New Roman" w:ascii="Times New Roman" w:hAnsi="Times New Roman"/>
                <w:kern w:val="0"/>
                <w:sz w:val="24"/>
                <w:szCs w:val="24"/>
                <w:lang w:val="en-US" w:eastAsia="zh-CN" w:bidi="hi-IN"/>
              </w:rPr>
              <w:t>Genomic surveillance</w:t>
            </w:r>
          </w:p>
        </w:tc>
        <w:tc>
          <w:tcPr>
            <w:tcW w:w="1560"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09" w:name="_lvm75kk5m3j2_Copy_58"/>
            <w:bookmarkEnd w:id="109"/>
            <w:r>
              <w:rPr>
                <w:rFonts w:eastAsia="Times New Roman" w:cs="Times New Roman" w:ascii="Times New Roman" w:hAnsi="Times New Roman"/>
                <w:kern w:val="0"/>
                <w:sz w:val="24"/>
                <w:szCs w:val="24"/>
                <w:lang w:val="en-US" w:eastAsia="zh-CN" w:bidi="hi-IN"/>
              </w:rPr>
              <w:t>National</w:t>
            </w:r>
          </w:p>
        </w:tc>
        <w:tc>
          <w:tcPr>
            <w:tcW w:w="229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10" w:name="_lvm75kk5m3j2_Copy_59"/>
            <w:bookmarkEnd w:id="110"/>
            <w:r>
              <w:rPr>
                <w:rFonts w:eastAsia="Times New Roman" w:cs="Times New Roman" w:ascii="Times New Roman" w:hAnsi="Times New Roman"/>
                <w:kern w:val="0"/>
                <w:sz w:val="24"/>
                <w:szCs w:val="24"/>
                <w:lang w:val="en-US" w:eastAsia="zh-CN" w:bidi="hi-IN"/>
              </w:rPr>
              <w:t>Multiple pathogens</w:t>
            </w:r>
          </w:p>
        </w:tc>
        <w:tc>
          <w:tcPr>
            <w:tcW w:w="2100"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11" w:name="_lvm75kk5m3j2_Copy_60"/>
            <w:bookmarkEnd w:id="111"/>
            <w:r>
              <w:rPr>
                <w:rFonts w:eastAsia="Times New Roman" w:cs="Times New Roman" w:ascii="Times New Roman" w:hAnsi="Times New Roman"/>
                <w:kern w:val="0"/>
                <w:sz w:val="24"/>
                <w:szCs w:val="24"/>
                <w:lang w:val="en-US" w:eastAsia="zh-CN" w:bidi="hi-IN"/>
              </w:rPr>
              <w:t>Clinical isolates</w:t>
            </w:r>
          </w:p>
        </w:tc>
        <w:tc>
          <w:tcPr>
            <w:tcW w:w="1409"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12" w:name="_lvm75kk5m3j2_Copy_61"/>
            <w:bookmarkEnd w:id="112"/>
            <w:r>
              <w:rPr>
                <w:rFonts w:eastAsia="Times New Roman" w:cs="Times New Roman" w:ascii="Times New Roman" w:hAnsi="Times New Roman"/>
                <w:kern w:val="0"/>
                <w:sz w:val="24"/>
                <w:szCs w:val="24"/>
                <w:lang w:val="en-US" w:eastAsia="zh-CN" w:bidi="hi-IN"/>
              </w:rPr>
              <w:t>WGS</w:t>
            </w:r>
          </w:p>
        </w:tc>
        <w:tc>
          <w:tcPr>
            <w:tcW w:w="2176"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13" w:name="_lvm75kk5m3j2_Copy_62"/>
            <w:bookmarkEnd w:id="113"/>
            <w:r>
              <w:rPr>
                <w:rFonts w:eastAsia="Times New Roman" w:cs="Times New Roman" w:ascii="Times New Roman" w:hAnsi="Times New Roman"/>
                <w:kern w:val="0"/>
                <w:sz w:val="24"/>
                <w:szCs w:val="24"/>
                <w:lang w:val="en-US" w:eastAsia="zh-CN" w:bidi="hi-IN"/>
              </w:rPr>
              <w:t>Enhanced outbreak detection and tracking</w:t>
            </w:r>
          </w:p>
        </w:tc>
      </w:tr>
      <w:tr>
        <w:trPr>
          <w:trHeight w:val="326" w:hRule="atLeast"/>
        </w:trPr>
        <w:tc>
          <w:tcPr>
            <w:tcW w:w="205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14" w:name="_lvm75kk5m3j2_Copy_63"/>
            <w:bookmarkEnd w:id="114"/>
            <w:r>
              <w:rPr>
                <w:rFonts w:eastAsia="Times New Roman" w:cs="Times New Roman" w:ascii="Times New Roman" w:hAnsi="Times New Roman"/>
                <w:kern w:val="0"/>
                <w:sz w:val="24"/>
                <w:szCs w:val="24"/>
                <w:lang w:val="en-US" w:eastAsia="zh-CN" w:bidi="hi-IN"/>
              </w:rPr>
              <w:t>Chilam et al. (2021)</w:t>
            </w:r>
          </w:p>
        </w:tc>
        <w:tc>
          <w:tcPr>
            <w:tcW w:w="187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15" w:name="_lvm75kk5m3j2_Copy_64"/>
            <w:bookmarkEnd w:id="115"/>
            <w:r>
              <w:rPr>
                <w:rFonts w:eastAsia="Times New Roman" w:cs="Times New Roman" w:ascii="Times New Roman" w:hAnsi="Times New Roman"/>
                <w:kern w:val="0"/>
                <w:sz w:val="24"/>
                <w:szCs w:val="24"/>
                <w:lang w:val="en-US" w:eastAsia="zh-CN" w:bidi="hi-IN"/>
              </w:rPr>
              <w:t>Molecular</w:t>
            </w:r>
          </w:p>
        </w:tc>
        <w:tc>
          <w:tcPr>
            <w:tcW w:w="1560"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16" w:name="_lvm75kk5m3j2_Copy_65"/>
            <w:bookmarkEnd w:id="116"/>
            <w:r>
              <w:rPr>
                <w:rFonts w:eastAsia="Times New Roman" w:cs="Times New Roman" w:ascii="Times New Roman" w:hAnsi="Times New Roman"/>
                <w:kern w:val="0"/>
                <w:sz w:val="24"/>
                <w:szCs w:val="24"/>
                <w:lang w:val="en-US" w:eastAsia="zh-CN" w:bidi="hi-IN"/>
              </w:rPr>
              <w:t>Multi-center</w:t>
            </w:r>
          </w:p>
        </w:tc>
        <w:tc>
          <w:tcPr>
            <w:tcW w:w="229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17" w:name="_lvm75kk5m3j2_Copy_66"/>
            <w:bookmarkEnd w:id="117"/>
            <w:r>
              <w:rPr>
                <w:rFonts w:eastAsia="Times New Roman" w:cs="Times New Roman" w:ascii="Times New Roman" w:hAnsi="Times New Roman"/>
                <w:i/>
                <w:iCs/>
                <w:kern w:val="0"/>
                <w:sz w:val="24"/>
                <w:szCs w:val="24"/>
                <w:lang w:val="en-US" w:eastAsia="zh-CN" w:bidi="hi-IN"/>
              </w:rPr>
              <w:t>A. baumannii</w:t>
            </w:r>
          </w:p>
        </w:tc>
        <w:tc>
          <w:tcPr>
            <w:tcW w:w="2100"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18" w:name="_lvm75kk5m3j2_Copy_67"/>
            <w:bookmarkEnd w:id="118"/>
            <w:r>
              <w:rPr>
                <w:rFonts w:eastAsia="Times New Roman" w:cs="Times New Roman" w:ascii="Times New Roman" w:hAnsi="Times New Roman"/>
                <w:kern w:val="0"/>
                <w:sz w:val="24"/>
                <w:szCs w:val="24"/>
                <w:lang w:val="en-US" w:eastAsia="zh-CN" w:bidi="hi-IN"/>
              </w:rPr>
              <w:t>Clinical isolates</w:t>
            </w:r>
          </w:p>
        </w:tc>
        <w:tc>
          <w:tcPr>
            <w:tcW w:w="1409"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19" w:name="_lvm75kk5m3j2_Copy_68"/>
            <w:bookmarkEnd w:id="119"/>
            <w:r>
              <w:rPr>
                <w:rFonts w:eastAsia="Times New Roman" w:cs="Times New Roman" w:ascii="Times New Roman" w:hAnsi="Times New Roman"/>
                <w:kern w:val="0"/>
                <w:sz w:val="24"/>
                <w:szCs w:val="24"/>
                <w:lang w:val="en-US" w:eastAsia="zh-CN" w:bidi="hi-IN"/>
              </w:rPr>
              <w:t>AST, WGS</w:t>
            </w:r>
          </w:p>
        </w:tc>
        <w:tc>
          <w:tcPr>
            <w:tcW w:w="2176"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20" w:name="_lvm75kk5m3j2_Copy_69"/>
            <w:bookmarkEnd w:id="120"/>
            <w:r>
              <w:rPr>
                <w:rFonts w:eastAsia="Times New Roman" w:cs="Times New Roman" w:ascii="Times New Roman" w:hAnsi="Times New Roman"/>
                <w:kern w:val="0"/>
                <w:sz w:val="24"/>
                <w:szCs w:val="24"/>
                <w:lang w:val="en-US" w:eastAsia="zh-CN" w:bidi="hi-IN"/>
              </w:rPr>
              <w:t>High-risk clones (ST195, ST208)</w:t>
            </w:r>
          </w:p>
        </w:tc>
      </w:tr>
      <w:tr>
        <w:trPr>
          <w:trHeight w:val="677" w:hRule="atLeast"/>
        </w:trPr>
        <w:tc>
          <w:tcPr>
            <w:tcW w:w="205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21" w:name="_lvm75kk5m3j2_Copy_70"/>
            <w:bookmarkEnd w:id="121"/>
            <w:r>
              <w:rPr>
                <w:rFonts w:eastAsia="Times New Roman" w:cs="Times New Roman" w:ascii="Times New Roman" w:hAnsi="Times New Roman"/>
                <w:kern w:val="0"/>
                <w:sz w:val="24"/>
                <w:szCs w:val="24"/>
                <w:lang w:val="en-US" w:eastAsia="zh-CN" w:bidi="hi-IN"/>
              </w:rPr>
              <w:t>Carascal et al. (2024)</w:t>
            </w:r>
          </w:p>
        </w:tc>
        <w:tc>
          <w:tcPr>
            <w:tcW w:w="187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22" w:name="_lvm75kk5m3j2_Copy_71"/>
            <w:bookmarkEnd w:id="122"/>
            <w:r>
              <w:rPr>
                <w:rFonts w:eastAsia="Times New Roman" w:cs="Times New Roman" w:ascii="Times New Roman" w:hAnsi="Times New Roman"/>
                <w:kern w:val="0"/>
                <w:sz w:val="24"/>
                <w:szCs w:val="24"/>
                <w:lang w:val="en-US" w:eastAsia="zh-CN" w:bidi="hi-IN"/>
              </w:rPr>
              <w:t>Molecular</w:t>
            </w:r>
          </w:p>
        </w:tc>
        <w:tc>
          <w:tcPr>
            <w:tcW w:w="1560"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23" w:name="_lvm75kk5m3j2_Copy_72"/>
            <w:bookmarkEnd w:id="123"/>
            <w:r>
              <w:rPr>
                <w:rFonts w:eastAsia="Times New Roman" w:cs="Times New Roman" w:ascii="Times New Roman" w:hAnsi="Times New Roman"/>
                <w:kern w:val="0"/>
                <w:sz w:val="24"/>
                <w:szCs w:val="24"/>
                <w:lang w:val="en-US" w:eastAsia="zh-CN" w:bidi="hi-IN"/>
              </w:rPr>
              <w:t>Hospital</w:t>
            </w:r>
          </w:p>
        </w:tc>
        <w:tc>
          <w:tcPr>
            <w:tcW w:w="229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24" w:name="_lvm75kk5m3j2_Copy_73"/>
            <w:bookmarkEnd w:id="124"/>
            <w:r>
              <w:rPr>
                <w:rFonts w:eastAsia="Times New Roman" w:cs="Times New Roman" w:ascii="Times New Roman" w:hAnsi="Times New Roman"/>
                <w:i/>
                <w:iCs/>
                <w:kern w:val="0"/>
                <w:sz w:val="24"/>
                <w:szCs w:val="24"/>
                <w:lang w:val="en-US" w:eastAsia="zh-CN" w:bidi="hi-IN"/>
              </w:rPr>
              <w:t>A. baumannii</w:t>
            </w:r>
          </w:p>
        </w:tc>
        <w:tc>
          <w:tcPr>
            <w:tcW w:w="2100"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25" w:name="_lvm75kk5m3j2_Copy_74"/>
            <w:bookmarkEnd w:id="125"/>
            <w:r>
              <w:rPr>
                <w:rFonts w:eastAsia="Times New Roman" w:cs="Times New Roman" w:ascii="Times New Roman" w:hAnsi="Times New Roman"/>
                <w:kern w:val="0"/>
                <w:sz w:val="24"/>
                <w:szCs w:val="24"/>
                <w:lang w:val="en-US" w:eastAsia="zh-CN" w:bidi="hi-IN"/>
              </w:rPr>
              <w:t>Clinical isolates</w:t>
            </w:r>
          </w:p>
        </w:tc>
        <w:tc>
          <w:tcPr>
            <w:tcW w:w="1409"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26" w:name="_lvm75kk5m3j2_Copy_75"/>
            <w:bookmarkEnd w:id="126"/>
            <w:r>
              <w:rPr>
                <w:rFonts w:eastAsia="Times New Roman" w:cs="Times New Roman" w:ascii="Times New Roman" w:hAnsi="Times New Roman"/>
                <w:kern w:val="0"/>
                <w:sz w:val="24"/>
                <w:szCs w:val="24"/>
                <w:lang w:val="en-US" w:eastAsia="zh-CN" w:bidi="hi-IN"/>
              </w:rPr>
              <w:t>PCR, AST</w:t>
            </w:r>
          </w:p>
        </w:tc>
        <w:tc>
          <w:tcPr>
            <w:tcW w:w="2176"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27" w:name="_lvm75kk5m3j2_Copy_76"/>
            <w:bookmarkEnd w:id="127"/>
            <w:r>
              <w:rPr>
                <w:rFonts w:eastAsia="Times New Roman" w:cs="Times New Roman" w:ascii="Times New Roman" w:hAnsi="Times New Roman"/>
                <w:kern w:val="0"/>
                <w:sz w:val="24"/>
                <w:szCs w:val="24"/>
                <w:lang w:val="en-US" w:eastAsia="zh-CN" w:bidi="hi-IN"/>
              </w:rPr>
              <w:t>High prevalence of carbapenemase genes</w:t>
            </w:r>
          </w:p>
        </w:tc>
      </w:tr>
      <w:tr>
        <w:trPr>
          <w:trHeight w:val="855" w:hRule="atLeast"/>
        </w:trPr>
        <w:tc>
          <w:tcPr>
            <w:tcW w:w="205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28" w:name="_lvm75kk5m3j2_Copy_77"/>
            <w:bookmarkEnd w:id="128"/>
            <w:r>
              <w:rPr>
                <w:rFonts w:eastAsia="Times New Roman" w:cs="Times New Roman" w:ascii="Times New Roman" w:hAnsi="Times New Roman"/>
                <w:kern w:val="0"/>
                <w:sz w:val="24"/>
                <w:szCs w:val="24"/>
                <w:lang w:val="en-US" w:eastAsia="zh-CN" w:bidi="hi-IN"/>
              </w:rPr>
              <w:t>Chua &amp; Alejandria (2008)</w:t>
            </w:r>
          </w:p>
        </w:tc>
        <w:tc>
          <w:tcPr>
            <w:tcW w:w="187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29" w:name="_lvm75kk5m3j2_Copy_78"/>
            <w:bookmarkEnd w:id="129"/>
            <w:r>
              <w:rPr>
                <w:rFonts w:eastAsia="Times New Roman" w:cs="Times New Roman" w:ascii="Times New Roman" w:hAnsi="Times New Roman"/>
                <w:kern w:val="0"/>
                <w:sz w:val="24"/>
                <w:szCs w:val="24"/>
                <w:lang w:val="en-US" w:eastAsia="zh-CN" w:bidi="hi-IN"/>
              </w:rPr>
              <w:t>Prospective</w:t>
            </w:r>
          </w:p>
        </w:tc>
        <w:tc>
          <w:tcPr>
            <w:tcW w:w="1560"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30" w:name="_lvm75kk5m3j2_Copy_79"/>
            <w:bookmarkEnd w:id="130"/>
            <w:r>
              <w:rPr>
                <w:rFonts w:eastAsia="Times New Roman" w:cs="Times New Roman" w:ascii="Times New Roman" w:hAnsi="Times New Roman"/>
                <w:kern w:val="0"/>
                <w:sz w:val="24"/>
                <w:szCs w:val="24"/>
                <w:lang w:val="en-US" w:eastAsia="zh-CN" w:bidi="hi-IN"/>
              </w:rPr>
              <w:t>ICU</w:t>
            </w:r>
          </w:p>
        </w:tc>
        <w:tc>
          <w:tcPr>
            <w:tcW w:w="229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31" w:name="_lvm75kk5m3j2_Copy_80"/>
            <w:bookmarkEnd w:id="131"/>
            <w:r>
              <w:rPr>
                <w:rFonts w:eastAsia="Times New Roman" w:cs="Times New Roman" w:ascii="Times New Roman" w:hAnsi="Times New Roman"/>
                <w:i/>
                <w:iCs/>
                <w:kern w:val="0"/>
                <w:sz w:val="24"/>
                <w:szCs w:val="24"/>
                <w:lang w:val="en-US" w:eastAsia="zh-CN" w:bidi="hi-IN"/>
              </w:rPr>
              <w:t>Acinetobacter spp.</w:t>
            </w:r>
          </w:p>
        </w:tc>
        <w:tc>
          <w:tcPr>
            <w:tcW w:w="2100"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32" w:name="_lvm75kk5m3j2_Copy_81"/>
            <w:bookmarkEnd w:id="132"/>
            <w:r>
              <w:rPr>
                <w:rFonts w:eastAsia="Times New Roman" w:cs="Times New Roman" w:ascii="Times New Roman" w:hAnsi="Times New Roman"/>
                <w:kern w:val="0"/>
                <w:sz w:val="24"/>
                <w:szCs w:val="24"/>
                <w:lang w:val="en-US" w:eastAsia="zh-CN" w:bidi="hi-IN"/>
              </w:rPr>
              <w:t>Respiratory samples</w:t>
            </w:r>
          </w:p>
        </w:tc>
        <w:tc>
          <w:tcPr>
            <w:tcW w:w="1409"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33" w:name="_lvm75kk5m3j2_Copy_82"/>
            <w:bookmarkEnd w:id="133"/>
            <w:r>
              <w:rPr>
                <w:rFonts w:eastAsia="Times New Roman" w:cs="Times New Roman" w:ascii="Times New Roman" w:hAnsi="Times New Roman"/>
                <w:kern w:val="0"/>
                <w:sz w:val="24"/>
                <w:szCs w:val="24"/>
                <w:lang w:val="en-US" w:eastAsia="zh-CN" w:bidi="hi-IN"/>
              </w:rPr>
              <w:t>AST</w:t>
            </w:r>
          </w:p>
        </w:tc>
        <w:tc>
          <w:tcPr>
            <w:tcW w:w="2176"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34" w:name="_lvm75kk5m3j2_Copy_83"/>
            <w:bookmarkEnd w:id="134"/>
            <w:r>
              <w:rPr>
                <w:rFonts w:eastAsia="Times New Roman" w:cs="Times New Roman" w:ascii="Times New Roman" w:hAnsi="Times New Roman"/>
                <w:kern w:val="0"/>
                <w:sz w:val="24"/>
                <w:szCs w:val="24"/>
                <w:lang w:val="en-US" w:eastAsia="zh-CN" w:bidi="hi-IN"/>
              </w:rPr>
              <w:t>High MDR rate; high mortality</w:t>
            </w:r>
          </w:p>
        </w:tc>
      </w:tr>
      <w:tr>
        <w:trPr>
          <w:trHeight w:val="765" w:hRule="atLeast"/>
        </w:trPr>
        <w:tc>
          <w:tcPr>
            <w:tcW w:w="205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35" w:name="_lvm75kk5m3j2_Copy_84"/>
            <w:bookmarkEnd w:id="135"/>
            <w:r>
              <w:rPr>
                <w:rFonts w:eastAsia="Times New Roman" w:cs="Times New Roman" w:ascii="Times New Roman" w:hAnsi="Times New Roman"/>
                <w:kern w:val="0"/>
                <w:sz w:val="24"/>
                <w:szCs w:val="24"/>
                <w:lang w:val="en-US" w:eastAsia="zh-CN" w:bidi="hi-IN"/>
              </w:rPr>
              <w:t>Agoncillo et al. (2020)</w:t>
            </w:r>
          </w:p>
        </w:tc>
        <w:tc>
          <w:tcPr>
            <w:tcW w:w="187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36" w:name="_lvm75kk5m3j2_Copy_85"/>
            <w:bookmarkEnd w:id="136"/>
            <w:r>
              <w:rPr>
                <w:rFonts w:eastAsia="Times New Roman" w:cs="Times New Roman" w:ascii="Times New Roman" w:hAnsi="Times New Roman"/>
                <w:kern w:val="0"/>
                <w:sz w:val="24"/>
                <w:szCs w:val="24"/>
                <w:lang w:val="en-US" w:eastAsia="zh-CN" w:bidi="hi-IN"/>
              </w:rPr>
              <w:t>Retrospective</w:t>
            </w:r>
          </w:p>
        </w:tc>
        <w:tc>
          <w:tcPr>
            <w:tcW w:w="1560"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37" w:name="_lvm75kk5m3j2_Copy_86"/>
            <w:bookmarkEnd w:id="137"/>
            <w:r>
              <w:rPr>
                <w:rFonts w:eastAsia="Times New Roman" w:cs="Times New Roman" w:ascii="Times New Roman" w:hAnsi="Times New Roman"/>
                <w:kern w:val="0"/>
                <w:sz w:val="24"/>
                <w:szCs w:val="24"/>
                <w:lang w:val="en-US" w:eastAsia="zh-CN" w:bidi="hi-IN"/>
              </w:rPr>
              <w:t>Hospital</w:t>
            </w:r>
          </w:p>
        </w:tc>
        <w:tc>
          <w:tcPr>
            <w:tcW w:w="229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38" w:name="_lvm75kk5m3j2_Copy_87"/>
            <w:bookmarkEnd w:id="138"/>
            <w:r>
              <w:rPr>
                <w:rFonts w:eastAsia="Times New Roman" w:cs="Times New Roman" w:ascii="Times New Roman" w:hAnsi="Times New Roman"/>
                <w:i/>
                <w:iCs/>
                <w:kern w:val="0"/>
                <w:sz w:val="24"/>
                <w:szCs w:val="24"/>
                <w:lang w:val="en-US" w:eastAsia="zh-CN" w:bidi="hi-IN"/>
              </w:rPr>
              <w:t>A. baumannii</w:t>
            </w:r>
          </w:p>
        </w:tc>
        <w:tc>
          <w:tcPr>
            <w:tcW w:w="2100"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39" w:name="_lvm75kk5m3j2_Copy_88"/>
            <w:bookmarkEnd w:id="139"/>
            <w:r>
              <w:rPr>
                <w:rFonts w:eastAsia="Times New Roman" w:cs="Times New Roman" w:ascii="Times New Roman" w:hAnsi="Times New Roman"/>
                <w:kern w:val="0"/>
                <w:sz w:val="24"/>
                <w:szCs w:val="24"/>
                <w:lang w:val="en-US" w:eastAsia="zh-CN" w:bidi="hi-IN"/>
              </w:rPr>
              <w:t>Clinical samples</w:t>
            </w:r>
          </w:p>
        </w:tc>
        <w:tc>
          <w:tcPr>
            <w:tcW w:w="1409"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40" w:name="_lvm75kk5m3j2_Copy_89"/>
            <w:bookmarkEnd w:id="140"/>
            <w:r>
              <w:rPr>
                <w:rFonts w:eastAsia="Times New Roman" w:cs="Times New Roman" w:ascii="Times New Roman" w:hAnsi="Times New Roman"/>
                <w:kern w:val="0"/>
                <w:sz w:val="24"/>
                <w:szCs w:val="24"/>
                <w:lang w:val="en-US" w:eastAsia="zh-CN" w:bidi="hi-IN"/>
              </w:rPr>
              <w:t>AST</w:t>
            </w:r>
          </w:p>
        </w:tc>
        <w:tc>
          <w:tcPr>
            <w:tcW w:w="2176"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41" w:name="_lvm75kk5m3j2_Copy_90"/>
            <w:bookmarkEnd w:id="141"/>
            <w:r>
              <w:rPr>
                <w:rFonts w:eastAsia="Times New Roman" w:cs="Times New Roman" w:ascii="Times New Roman" w:hAnsi="Times New Roman"/>
                <w:kern w:val="0"/>
                <w:sz w:val="24"/>
                <w:szCs w:val="24"/>
                <w:lang w:val="en-US" w:eastAsia="zh-CN" w:bidi="hi-IN"/>
              </w:rPr>
              <w:t>46% mortality; linked to comorbidities</w:t>
            </w:r>
          </w:p>
        </w:tc>
      </w:tr>
      <w:tr>
        <w:trPr>
          <w:trHeight w:val="555" w:hRule="atLeast"/>
        </w:trPr>
        <w:tc>
          <w:tcPr>
            <w:tcW w:w="205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42" w:name="_lvm75kk5m3j2_Copy_91"/>
            <w:bookmarkEnd w:id="142"/>
            <w:r>
              <w:rPr>
                <w:rFonts w:eastAsia="Times New Roman" w:cs="Times New Roman" w:ascii="Times New Roman" w:hAnsi="Times New Roman"/>
                <w:kern w:val="0"/>
                <w:sz w:val="24"/>
                <w:szCs w:val="24"/>
                <w:lang w:val="en-US" w:eastAsia="zh-CN" w:bidi="hi-IN"/>
              </w:rPr>
              <w:t>Li &amp; Abad (2020)</w:t>
            </w:r>
          </w:p>
        </w:tc>
        <w:tc>
          <w:tcPr>
            <w:tcW w:w="187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43" w:name="_lvm75kk5m3j2_Copy_92"/>
            <w:bookmarkEnd w:id="143"/>
            <w:r>
              <w:rPr>
                <w:rFonts w:eastAsia="Times New Roman" w:cs="Times New Roman" w:ascii="Times New Roman" w:hAnsi="Times New Roman"/>
                <w:kern w:val="0"/>
                <w:sz w:val="24"/>
                <w:szCs w:val="24"/>
                <w:lang w:val="en-US" w:eastAsia="zh-CN" w:bidi="hi-IN"/>
              </w:rPr>
              <w:t>Retrospective</w:t>
            </w:r>
          </w:p>
        </w:tc>
        <w:tc>
          <w:tcPr>
            <w:tcW w:w="1560"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44" w:name="_lvm75kk5m3j2_Copy_93"/>
            <w:bookmarkEnd w:id="144"/>
            <w:r>
              <w:rPr>
                <w:rFonts w:eastAsia="Times New Roman" w:cs="Times New Roman" w:ascii="Times New Roman" w:hAnsi="Times New Roman"/>
                <w:kern w:val="0"/>
                <w:sz w:val="24"/>
                <w:szCs w:val="24"/>
                <w:lang w:val="en-US" w:eastAsia="zh-CN" w:bidi="hi-IN"/>
              </w:rPr>
              <w:t>Hospital</w:t>
            </w:r>
          </w:p>
        </w:tc>
        <w:tc>
          <w:tcPr>
            <w:tcW w:w="229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45" w:name="_lvm75kk5m3j2_Copy_94"/>
            <w:bookmarkEnd w:id="145"/>
            <w:r>
              <w:rPr>
                <w:rFonts w:eastAsia="Times New Roman" w:cs="Times New Roman" w:ascii="Times New Roman" w:hAnsi="Times New Roman"/>
                <w:kern w:val="0"/>
                <w:sz w:val="24"/>
                <w:szCs w:val="24"/>
                <w:lang w:val="en-US" w:eastAsia="zh-CN" w:bidi="hi-IN"/>
              </w:rPr>
              <w:t>MDR Gram-negative</w:t>
            </w:r>
          </w:p>
        </w:tc>
        <w:tc>
          <w:tcPr>
            <w:tcW w:w="2100"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46" w:name="_lvm75kk5m3j2_Copy_95"/>
            <w:bookmarkEnd w:id="146"/>
            <w:r>
              <w:rPr>
                <w:rFonts w:eastAsia="Times New Roman" w:cs="Times New Roman" w:ascii="Times New Roman" w:hAnsi="Times New Roman"/>
                <w:kern w:val="0"/>
                <w:sz w:val="24"/>
                <w:szCs w:val="24"/>
                <w:lang w:val="en-US" w:eastAsia="zh-CN" w:bidi="hi-IN"/>
              </w:rPr>
              <w:t>Clinical samples</w:t>
            </w:r>
          </w:p>
        </w:tc>
        <w:tc>
          <w:tcPr>
            <w:tcW w:w="1409"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47" w:name="_lvm75kk5m3j2_Copy_96"/>
            <w:bookmarkEnd w:id="147"/>
            <w:r>
              <w:rPr>
                <w:rFonts w:eastAsia="Times New Roman" w:cs="Times New Roman" w:ascii="Times New Roman" w:hAnsi="Times New Roman"/>
                <w:kern w:val="0"/>
                <w:sz w:val="24"/>
                <w:szCs w:val="24"/>
                <w:lang w:val="en-US" w:eastAsia="zh-CN" w:bidi="hi-IN"/>
              </w:rPr>
              <w:t>AST</w:t>
            </w:r>
          </w:p>
        </w:tc>
        <w:tc>
          <w:tcPr>
            <w:tcW w:w="2176"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48" w:name="_lvm75kk5m3j2_Copy_97"/>
            <w:bookmarkEnd w:id="148"/>
            <w:r>
              <w:rPr>
                <w:rFonts w:eastAsia="Times New Roman" w:cs="Times New Roman" w:ascii="Times New Roman" w:hAnsi="Times New Roman"/>
                <w:kern w:val="0"/>
                <w:sz w:val="24"/>
                <w:szCs w:val="24"/>
                <w:lang w:val="en-US" w:eastAsia="zh-CN" w:bidi="hi-IN"/>
              </w:rPr>
              <w:t>High mortality; colistin toxicity</w:t>
            </w:r>
          </w:p>
        </w:tc>
      </w:tr>
      <w:tr>
        <w:trPr>
          <w:trHeight w:val="735" w:hRule="atLeast"/>
        </w:trPr>
        <w:tc>
          <w:tcPr>
            <w:tcW w:w="205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49" w:name="_lvm75kk5m3j2_Copy_98"/>
            <w:bookmarkEnd w:id="149"/>
            <w:r>
              <w:rPr>
                <w:rFonts w:eastAsia="Times New Roman" w:cs="Times New Roman" w:ascii="Times New Roman" w:hAnsi="Times New Roman"/>
                <w:kern w:val="0"/>
                <w:sz w:val="24"/>
                <w:szCs w:val="24"/>
                <w:lang w:val="en-US" w:eastAsia="zh-CN" w:bidi="hi-IN"/>
              </w:rPr>
              <w:t>Velasco et al. (2020)</w:t>
            </w:r>
          </w:p>
        </w:tc>
        <w:tc>
          <w:tcPr>
            <w:tcW w:w="187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50" w:name="_lvm75kk5m3j2_Copy_99"/>
            <w:bookmarkEnd w:id="150"/>
            <w:r>
              <w:rPr>
                <w:rFonts w:eastAsia="Times New Roman" w:cs="Times New Roman" w:ascii="Times New Roman" w:hAnsi="Times New Roman"/>
                <w:kern w:val="0"/>
                <w:sz w:val="24"/>
                <w:szCs w:val="24"/>
                <w:lang w:val="en-US" w:eastAsia="zh-CN" w:bidi="hi-IN"/>
              </w:rPr>
              <w:t>Observational</w:t>
            </w:r>
          </w:p>
        </w:tc>
        <w:tc>
          <w:tcPr>
            <w:tcW w:w="1560"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51" w:name="_lvm75kk5m3j2_Copy_100"/>
            <w:bookmarkEnd w:id="151"/>
            <w:r>
              <w:rPr>
                <w:rFonts w:eastAsia="Times New Roman" w:cs="Times New Roman" w:ascii="Times New Roman" w:hAnsi="Times New Roman"/>
                <w:kern w:val="0"/>
                <w:sz w:val="24"/>
                <w:szCs w:val="24"/>
                <w:lang w:val="en-US" w:eastAsia="zh-CN" w:bidi="hi-IN"/>
              </w:rPr>
              <w:t>Hospital</w:t>
            </w:r>
          </w:p>
        </w:tc>
        <w:tc>
          <w:tcPr>
            <w:tcW w:w="229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52" w:name="_lvm75kk5m3j2_Copy_101"/>
            <w:bookmarkEnd w:id="152"/>
            <w:r>
              <w:rPr>
                <w:rFonts w:eastAsia="Times New Roman" w:cs="Times New Roman" w:ascii="Times New Roman" w:hAnsi="Times New Roman"/>
                <w:kern w:val="0"/>
                <w:sz w:val="24"/>
                <w:szCs w:val="24"/>
                <w:lang w:val="en-US" w:eastAsia="zh-CN" w:bidi="hi-IN"/>
              </w:rPr>
              <w:t>Gram-negative bacteria</w:t>
            </w:r>
          </w:p>
        </w:tc>
        <w:tc>
          <w:tcPr>
            <w:tcW w:w="2100"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53" w:name="_lvm75kk5m3j2_Copy_102"/>
            <w:bookmarkEnd w:id="153"/>
            <w:r>
              <w:rPr>
                <w:rFonts w:eastAsia="Times New Roman" w:cs="Times New Roman" w:ascii="Times New Roman" w:hAnsi="Times New Roman"/>
                <w:kern w:val="0"/>
                <w:sz w:val="24"/>
                <w:szCs w:val="24"/>
                <w:lang w:val="en-US" w:eastAsia="zh-CN" w:bidi="hi-IN"/>
              </w:rPr>
              <w:t>Wound samples</w:t>
            </w:r>
          </w:p>
        </w:tc>
        <w:tc>
          <w:tcPr>
            <w:tcW w:w="1409"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54" w:name="_lvm75kk5m3j2_Copy_103"/>
            <w:bookmarkEnd w:id="154"/>
            <w:r>
              <w:rPr>
                <w:rFonts w:eastAsia="Times New Roman" w:cs="Times New Roman" w:ascii="Times New Roman" w:hAnsi="Times New Roman"/>
                <w:kern w:val="0"/>
                <w:sz w:val="24"/>
                <w:szCs w:val="24"/>
                <w:lang w:val="en-US" w:eastAsia="zh-CN" w:bidi="hi-IN"/>
              </w:rPr>
              <w:t>AST, PCR</w:t>
            </w:r>
          </w:p>
        </w:tc>
        <w:tc>
          <w:tcPr>
            <w:tcW w:w="2176"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55" w:name="_lvm75kk5m3j2_Copy_104"/>
            <w:bookmarkEnd w:id="155"/>
            <w:r>
              <w:rPr>
                <w:rFonts w:eastAsia="Times New Roman" w:cs="Times New Roman" w:ascii="Times New Roman" w:hAnsi="Times New Roman"/>
                <w:kern w:val="0"/>
                <w:sz w:val="24"/>
                <w:szCs w:val="24"/>
                <w:lang w:val="en-US" w:eastAsia="zh-CN" w:bidi="hi-IN"/>
              </w:rPr>
              <w:t>Carbapenem resistance (blaNDM)</w:t>
            </w:r>
          </w:p>
        </w:tc>
      </w:tr>
      <w:tr>
        <w:trPr>
          <w:trHeight w:val="810" w:hRule="atLeast"/>
        </w:trPr>
        <w:tc>
          <w:tcPr>
            <w:tcW w:w="205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56" w:name="_lvm75kk5m3j2_Copy_105"/>
            <w:bookmarkEnd w:id="156"/>
            <w:r>
              <w:rPr>
                <w:rFonts w:eastAsia="Times New Roman" w:cs="Times New Roman" w:ascii="Times New Roman" w:hAnsi="Times New Roman"/>
                <w:kern w:val="0"/>
                <w:sz w:val="24"/>
                <w:szCs w:val="24"/>
                <w:lang w:val="en-US" w:eastAsia="zh-CN" w:bidi="hi-IN"/>
              </w:rPr>
              <w:t>Abordo et al. (2023)</w:t>
            </w:r>
          </w:p>
        </w:tc>
        <w:tc>
          <w:tcPr>
            <w:tcW w:w="187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57" w:name="_lvm75kk5m3j2_Copy_106"/>
            <w:bookmarkEnd w:id="157"/>
            <w:r>
              <w:rPr>
                <w:rFonts w:eastAsia="Times New Roman" w:cs="Times New Roman" w:ascii="Times New Roman" w:hAnsi="Times New Roman"/>
                <w:kern w:val="0"/>
                <w:sz w:val="24"/>
                <w:szCs w:val="24"/>
                <w:lang w:val="en-US" w:eastAsia="zh-CN" w:bidi="hi-IN"/>
              </w:rPr>
              <w:t>Molecular</w:t>
            </w:r>
          </w:p>
        </w:tc>
        <w:tc>
          <w:tcPr>
            <w:tcW w:w="1560"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58" w:name="_lvm75kk5m3j2_Copy_107"/>
            <w:bookmarkEnd w:id="158"/>
            <w:r>
              <w:rPr>
                <w:rFonts w:eastAsia="Times New Roman" w:cs="Times New Roman" w:ascii="Times New Roman" w:hAnsi="Times New Roman"/>
                <w:kern w:val="0"/>
                <w:sz w:val="24"/>
                <w:szCs w:val="24"/>
                <w:lang w:val="en-US" w:eastAsia="zh-CN" w:bidi="hi-IN"/>
              </w:rPr>
              <w:t>Hospital</w:t>
            </w:r>
          </w:p>
        </w:tc>
        <w:tc>
          <w:tcPr>
            <w:tcW w:w="2295"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59" w:name="_lvm75kk5m3j2_Copy_108"/>
            <w:bookmarkEnd w:id="159"/>
            <w:r>
              <w:rPr>
                <w:rFonts w:eastAsia="Times New Roman" w:cs="Times New Roman" w:ascii="Times New Roman" w:hAnsi="Times New Roman"/>
                <w:kern w:val="0"/>
                <w:sz w:val="24"/>
                <w:szCs w:val="24"/>
                <w:lang w:val="en-US" w:eastAsia="zh-CN" w:bidi="hi-IN"/>
              </w:rPr>
              <w:t>Gram-negative bacilli</w:t>
            </w:r>
          </w:p>
        </w:tc>
        <w:tc>
          <w:tcPr>
            <w:tcW w:w="2100"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60" w:name="_lvm75kk5m3j2_Copy_109"/>
            <w:bookmarkEnd w:id="160"/>
            <w:r>
              <w:rPr>
                <w:rFonts w:eastAsia="Times New Roman" w:cs="Times New Roman" w:ascii="Times New Roman" w:hAnsi="Times New Roman"/>
                <w:kern w:val="0"/>
                <w:sz w:val="24"/>
                <w:szCs w:val="24"/>
                <w:lang w:val="en-US" w:eastAsia="zh-CN" w:bidi="hi-IN"/>
              </w:rPr>
              <w:t>Clinical samples</w:t>
            </w:r>
          </w:p>
        </w:tc>
        <w:tc>
          <w:tcPr>
            <w:tcW w:w="1409"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61" w:name="_lvm75kk5m3j2_Copy_110"/>
            <w:bookmarkEnd w:id="161"/>
            <w:r>
              <w:rPr>
                <w:rFonts w:eastAsia="Times New Roman" w:cs="Times New Roman" w:ascii="Times New Roman" w:hAnsi="Times New Roman"/>
                <w:kern w:val="0"/>
                <w:sz w:val="24"/>
                <w:szCs w:val="24"/>
                <w:lang w:val="en-US" w:eastAsia="zh-CN" w:bidi="hi-IN"/>
              </w:rPr>
              <w:t>PCR, AST</w:t>
            </w:r>
          </w:p>
        </w:tc>
        <w:tc>
          <w:tcPr>
            <w:tcW w:w="2176" w:type="dxa"/>
            <w:tcBorders/>
          </w:tcPr>
          <w:p>
            <w:pPr>
              <w:pStyle w:val="Heading1"/>
              <w:keepNext w:val="false"/>
              <w:keepLines w:val="false"/>
              <w:widowControl/>
              <w:suppressAutoHyphens w:val="true"/>
              <w:spacing w:before="0" w:after="0"/>
              <w:jc w:val="start"/>
              <w:rPr>
                <w:rFonts w:ascii="Times New Roman" w:hAnsi="Times New Roman" w:eastAsia="Times New Roman" w:cs="Times New Roman"/>
                <w:sz w:val="24"/>
                <w:szCs w:val="24"/>
              </w:rPr>
            </w:pPr>
            <w:bookmarkStart w:id="162" w:name="_xrixpysv8zw"/>
            <w:bookmarkEnd w:id="162"/>
            <w:r>
              <w:rPr>
                <w:rFonts w:eastAsia="Times New Roman" w:cs="Times New Roman" w:ascii="Times New Roman" w:hAnsi="Times New Roman"/>
                <w:kern w:val="0"/>
                <w:sz w:val="24"/>
                <w:szCs w:val="24"/>
                <w:lang w:val="en-US" w:eastAsia="zh-CN" w:bidi="hi-IN"/>
              </w:rPr>
              <w:t>Multi-class β-lactamase genes</w:t>
            </w:r>
          </w:p>
        </w:tc>
      </w:tr>
    </w:tbl>
    <w:p>
      <w:pPr>
        <w:pStyle w:val="Heading1"/>
        <w:keepNext w:val="false"/>
        <w:keepLines w:val="false"/>
        <w:spacing w:before="480" w:after="12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bookmarkStart w:id="163" w:name="_lvm75kk5m3j2_Copy_111"/>
      <w:bookmarkStart w:id="164" w:name="_lvm75kk5m3j2_Copy_111"/>
      <w:bookmarkEnd w:id="164"/>
    </w:p>
    <w:p>
      <w:pPr>
        <w:pStyle w:val="normal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sectPr>
      <w:headerReference w:type="even" r:id="rId58"/>
      <w:headerReference w:type="default" r:id="rId59"/>
      <w:headerReference w:type="first" r:id="rId60"/>
      <w:footerReference w:type="default" r:id="rId61"/>
      <w:footerReference w:type="first" r:id="rId62"/>
      <w:type w:val="nextPage"/>
      <w:pgSz w:orient="landscape" w:w="15840" w:h="12240"/>
      <w:pgMar w:left="1440" w:right="1440" w:gutter="0" w:header="720" w:top="1440" w:footer="0" w:bottom="14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0110" o:spid="shape_0" adj="10800" fillcolor="silver" stroked="f" o:allowincell="f" style="position:absolute;margin-left:-65.05pt;margin-top:200.6pt;width:592.8pt;height:61.3pt;mso-wrap-style:none;v-text-anchor:middle;rotation:315;mso-position-horizontal:center;mso-position-horizontal-relative:margin;mso-position-vertical:center;mso-position-vertical-relative:margin" type="_x0000_t136">
          <v:path textpathok="t"/>
          <v:textpath on="t" fitshape="t" string="UNDER PEER REVIEW" style="font-family:&quot;Arial&quot;;font-size:1pt" trim="t"/>
          <v:fill o:detectmouseclick="t" type="solid" color2="#3f3f3f" opacity="0.5"/>
          <v:stroke color="#3465a4" joinstyle="round" endcap="flat"/>
          <w10:wrap type="none"/>
        </v:shape>
      </w:pic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pict>
        <v:shape id="PowerPlusWaterMarkObject930111" o:spid="shape_0" adj="10800" fillcolor="silver" stroked="f" o:allowincell="f" style="position:absolute;margin-left:-62.4pt;margin-top:293.3pt;width:592.8pt;height:61.3pt;mso-wrap-style:none;v-text-anchor:middle;rotation:315;mso-position-horizontal:center;mso-position-horizontal-relative:margin;mso-position-vertical:center;mso-position-vertical-relative:margin" type="_x0000_t136">
          <v:path textpathok="t"/>
          <v:textpath on="t" fitshape="t" string="UNDER PEER REVIEW" style="font-family:&quot;Arial&quot;;font-size:1pt" trim="t"/>
          <v:fill o:detectmouseclick="t" type="solid" color2="#3f3f3f" opacity="0.5"/>
          <v:stroke color="#3465a4" joinstyle="round" endcap="flat"/>
          <w10:wrap type="none"/>
        </v:shape>
      </w:pic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pict>
        <v:shape id="PowerPlusWaterMarkObject930111" o:spid="shape_0" adj="10800" fillcolor="silver" stroked="f" o:allowincell="f" style="position:absolute;margin-left:-62.4pt;margin-top:293.3pt;width:592.8pt;height:61.3pt;mso-wrap-style:none;v-text-anchor:middle;rotation:315;mso-position-horizontal:center;mso-position-horizontal-relative:margin;mso-position-vertical:center;mso-position-vertical-relative:margin" type="_x0000_t136">
          <v:path textpathok="t"/>
          <v:textpath on="t" fitshape="t" string="UNDER PEER REVIEW" style="font-family:&quot;Arial&quot;;font-size:1pt" trim="t"/>
          <v:fill o:detectmouseclick="t" type="solid" color2="#3f3f3f" opacity="0.5"/>
          <v:stroke color="#3465a4" joinstyle="round" endcap="flat"/>
          <w10:wrap type="none"/>
        </v:shape>
      </w:pic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pict>
        <v:shape id="PowerPlusWaterMarkObject930113" o:spid="shape_0" adj="10800" fillcolor="silver" stroked="f" o:allowincell="f" style="position:absolute;margin-left:-65.05pt;margin-top:200.6pt;width:592.8pt;height:61.3pt;mso-wrap-style:none;v-text-anchor:middle;rotation:315;mso-position-horizontal:center;mso-position-horizontal-relative:margin;mso-position-vertical:center;mso-position-vertical-relative:margin" type="_x0000_t136">
          <v:path textpathok="t"/>
          <v:textpath on="t" fitshape="t" string="UNDER PEER REVIEW" style="font-family:&quot;Arial&quot;;font-size:1pt" trim="t"/>
          <v:fill o:detectmouseclick="t" type="solid" color2="#3f3f3f" opacity="0.5"/>
          <v:stroke color="#3465a4" joinstyle="round" endcap="flat"/>
          <w10:wrap type="none"/>
        </v:shape>
      </w:pic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pict>
        <v:shape id="PowerPlusWaterMarkObject930114" o:spid="shape_0" adj="10800" fillcolor="silver" stroked="f" o:allowincell="f" style="position:absolute;margin-left:27.6pt;margin-top:203.3pt;width:592.8pt;height:61.3pt;mso-wrap-style:none;v-text-anchor:middle;rotation:315;mso-position-horizontal:center;mso-position-horizontal-relative:margin;mso-position-vertical:center;mso-position-vertical-relative:margin" type="_x0000_t136">
          <v:path textpathok="t"/>
          <v:textpath on="t" fitshape="t" string="UNDER PEER REVIEW" style="font-family:&quot;Arial&quot;;font-size:1pt" trim="t"/>
          <v:fill o:detectmouseclick="t" type="solid" color2="#3f3f3f" opacity="0.5"/>
          <v:stroke color="#3465a4" joinstyle="round" endcap="flat"/>
          <w10:wrap type="none"/>
        </v:shape>
      </w:pic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pict>
        <v:shape id="PowerPlusWaterMarkObject930114" o:spid="shape_0" adj="10800" fillcolor="silver" stroked="f" o:allowincell="f" style="position:absolute;margin-left:27.6pt;margin-top:203.3pt;width:592.8pt;height:61.3pt;mso-wrap-style:none;v-text-anchor:middle;rotation:315;mso-position-horizontal:center;mso-position-horizontal-relative:margin;mso-position-vertical:center;mso-position-vertical-relative:margin" type="_x0000_t136">
          <v:path textpathok="t"/>
          <v:textpath on="t" fitshape="t" string="UNDER PEER REVIEW" style="font-family:&quot;Arial&quot;;font-size:1pt" trim="t"/>
          <v:fill o:detectmouseclick="t" type="solid" color2="#3f3f3f" opacity="0.5"/>
          <v:stroke color="#3465a4" joinstyle="round" endcap="flat"/>
          <w10:wrap type="none"/>
        </v:shape>
      </w:pic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2">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bering>
</file>

<file path=word/settings.xml><?xml version="1.0" encoding="utf-8"?>
<w:settings xmlns:w="http://schemas.openxmlformats.org/wordprocessingml/2006/main">
  <w:zoom w:percent="130"/>
  <w:embedTrueTypeFonts/>
  <w:defaultTabStop w:val="720"/>
  <w:autoHyphenation w:val="true"/>
  <w:hyphenationZone w:val="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uiPriority w:val="9"/>
    <w:qFormat/>
    <w:pPr>
      <w:keepNext w:val="true"/>
      <w:keepLines/>
      <w:spacing w:lineRule="auto" w:line="240" w:before="400" w:after="120"/>
      <w:outlineLvl w:val="0"/>
    </w:pPr>
    <w:rPr>
      <w:sz w:val="40"/>
      <w:szCs w:val="40"/>
    </w:rPr>
  </w:style>
  <w:style w:type="paragraph" w:styleId="Heading2">
    <w:name w:val="heading 2"/>
    <w:basedOn w:val="normal1"/>
    <w:next w:val="normal1"/>
    <w:uiPriority w:val="9"/>
    <w:unhideWhenUsed/>
    <w:qFormat/>
    <w:pPr>
      <w:keepNext w:val="true"/>
      <w:keepLines/>
      <w:spacing w:lineRule="auto" w:line="240" w:before="360" w:after="120"/>
      <w:outlineLvl w:val="1"/>
    </w:pPr>
    <w:rPr>
      <w:sz w:val="32"/>
      <w:szCs w:val="32"/>
    </w:rPr>
  </w:style>
  <w:style w:type="paragraph" w:styleId="Heading3">
    <w:name w:val="heading 3"/>
    <w:basedOn w:val="normal1"/>
    <w:next w:val="normal1"/>
    <w:uiPriority w:val="9"/>
    <w:unhideWhenUsed/>
    <w:qFormat/>
    <w:pPr>
      <w:keepNext w:val="true"/>
      <w:keepLines/>
      <w:spacing w:lineRule="auto" w:line="240" w:before="320" w:after="80"/>
      <w:outlineLvl w:val="2"/>
    </w:pPr>
    <w:rPr>
      <w:color w:val="434343"/>
      <w:sz w:val="28"/>
      <w:szCs w:val="28"/>
    </w:rPr>
  </w:style>
  <w:style w:type="paragraph" w:styleId="Heading4">
    <w:name w:val="heading 4"/>
    <w:basedOn w:val="normal1"/>
    <w:next w:val="normal1"/>
    <w:uiPriority w:val="9"/>
    <w:semiHidden/>
    <w:unhideWhenUsed/>
    <w:qFormat/>
    <w:pPr>
      <w:keepNext w:val="true"/>
      <w:keepLines/>
      <w:spacing w:lineRule="auto" w:line="240" w:before="280" w:after="80"/>
      <w:outlineLvl w:val="3"/>
    </w:pPr>
    <w:rPr>
      <w:color w:val="666666"/>
      <w:sz w:val="24"/>
      <w:szCs w:val="24"/>
    </w:rPr>
  </w:style>
  <w:style w:type="paragraph" w:styleId="Heading5">
    <w:name w:val="heading 5"/>
    <w:basedOn w:val="normal1"/>
    <w:next w:val="normal1"/>
    <w:uiPriority w:val="9"/>
    <w:semiHidden/>
    <w:unhideWhenUsed/>
    <w:qFormat/>
    <w:pPr>
      <w:keepNext w:val="true"/>
      <w:keepLines/>
      <w:spacing w:lineRule="auto" w:line="240" w:before="240" w:after="80"/>
      <w:outlineLvl w:val="4"/>
    </w:pPr>
    <w:rPr>
      <w:color w:val="666666"/>
    </w:rPr>
  </w:style>
  <w:style w:type="paragraph" w:styleId="Heading6">
    <w:name w:val="heading 6"/>
    <w:basedOn w:val="normal1"/>
    <w:next w:val="normal1"/>
    <w:uiPriority w:val="9"/>
    <w:semiHidden/>
    <w:unhideWhenUsed/>
    <w:qFormat/>
    <w:pPr>
      <w:keepNext w:val="true"/>
      <w:keepLines/>
      <w:spacing w:lineRule="auto" w:line="240" w:before="240" w:after="80"/>
      <w:outlineLvl w:val="5"/>
    </w:pPr>
    <w:rPr>
      <w:i/>
      <w:iCs/>
      <w:color w:val="666666"/>
    </w:rPr>
  </w:style>
  <w:style w:type="character" w:styleId="DefaultParagraphFont" w:default="1">
    <w:name w:val="Default Paragraph Font"/>
    <w:uiPriority w:val="1"/>
    <w:semiHidden/>
    <w:unhideWhenUsed/>
    <w:qFormat/>
    <w:rPr/>
  </w:style>
  <w:style w:type="character" w:styleId="Hyperlink">
    <w:name w:val="Hyperlink"/>
    <w:rPr>
      <w:color w:val="000080"/>
      <w:u w:val="single"/>
    </w:rPr>
  </w:style>
  <w:style w:type="character" w:styleId="UnresolvedMention">
    <w:name w:val="Unresolved Mention"/>
    <w:basedOn w:val="DefaultParagraphFont"/>
    <w:uiPriority w:val="99"/>
    <w:semiHidden/>
    <w:unhideWhenUsed/>
    <w:qFormat/>
    <w:rsid w:val="00794fb9"/>
    <w:rPr>
      <w:color w:val="605E5C"/>
      <w:shd w:fill="E1DFDD" w:val="clear"/>
    </w:rPr>
  </w:style>
  <w:style w:type="character" w:styleId="FooterChar" w:customStyle="1">
    <w:name w:val="Footer Char"/>
    <w:basedOn w:val="DefaultParagraphFont"/>
    <w:link w:val="Footer"/>
    <w:uiPriority w:val="99"/>
    <w:qFormat/>
    <w:rsid w:val="008b4241"/>
    <w:rPr>
      <w:rFonts w:cs="Mangal"/>
      <w:szCs w:val="20"/>
    </w:rPr>
  </w:style>
  <w:style w:type="character" w:styleId="NumberingSymbols">
    <w:name w:val="Numbering Symbols"/>
    <w:qFormat/>
    <w:rPr/>
  </w:style>
  <w:style w:type="paragraph" w:styleId="Heading" w:customStyle="1">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customStyle="1">
    <w:name w:val="Index"/>
    <w:basedOn w:val="Normal"/>
    <w:qFormat/>
    <w:pPr>
      <w:suppressLineNumbers/>
    </w:pPr>
    <w:rPr>
      <w:rFonts w:cs="Lucida Sans"/>
    </w:rPr>
  </w:style>
  <w:style w:type="paragraph" w:styleId="normal1" w:customStyle="1">
    <w:name w:val="normal1"/>
    <w:qFormat/>
    <w:pPr>
      <w:widowControl/>
      <w:suppressAutoHyphens w:val="true"/>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uiPriority w:val="10"/>
    <w:qFormat/>
    <w:pPr>
      <w:keepNext w:val="true"/>
      <w:keepLines/>
      <w:spacing w:lineRule="auto" w:line="240" w:before="0" w:after="60"/>
    </w:pPr>
    <w:rPr>
      <w:sz w:val="52"/>
      <w:szCs w:val="52"/>
    </w:rPr>
  </w:style>
  <w:style w:type="paragraph" w:styleId="Subtitle">
    <w:name w:val="Subtitle"/>
    <w:basedOn w:val="normal1"/>
    <w:next w:val="normal1"/>
    <w:uiPriority w:val="11"/>
    <w:qFormat/>
    <w:pPr>
      <w:keepNext w:val="true"/>
      <w:keepLines/>
      <w:spacing w:lineRule="auto" w:line="240" w:before="0" w:after="320"/>
    </w:pPr>
    <w:rPr>
      <w:color w:val="666666"/>
      <w:sz w:val="30"/>
      <w:szCs w:val="30"/>
    </w:rPr>
  </w:style>
  <w:style w:type="paragraph" w:styleId="HeaderandFooter" w:customStyle="1">
    <w:name w:val="Header and Footer"/>
    <w:basedOn w:val="Normal"/>
    <w:qFormat/>
    <w:pPr/>
    <w:rPr/>
  </w:style>
  <w:style w:type="paragraph" w:styleId="Header">
    <w:name w:val="header"/>
    <w:basedOn w:val="HeaderandFooter"/>
    <w:pPr/>
    <w:rPr/>
  </w:style>
  <w:style w:type="paragraph" w:styleId="Footer">
    <w:name w:val="footer"/>
    <w:basedOn w:val="Normal"/>
    <w:link w:val="FooterChar"/>
    <w:uiPriority w:val="99"/>
    <w:unhideWhenUsed/>
    <w:rsid w:val="008b4241"/>
    <w:pPr>
      <w:tabs>
        <w:tab w:val="clear" w:pos="720"/>
        <w:tab w:val="center" w:pos="4680" w:leader="none"/>
        <w:tab w:val="right" w:pos="9360" w:leader="none"/>
      </w:tabs>
      <w:spacing w:lineRule="auto" w:line="240"/>
    </w:pPr>
    <w:rPr>
      <w:rFonts w:cs="Mangal"/>
      <w:szCs w:val="20"/>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customStyle="1" w:styleId="TableNormal0">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www.herdin.ph/index.php?view=research&amp;cid=77312" TargetMode="External"/><Relationship Id="rId4" Type="http://schemas.openxmlformats.org/officeDocument/2006/relationships/hyperlink" Target="https://www.herdin.ph/index.php?view=research&amp;cid=77312" TargetMode="External"/><Relationship Id="rId5" Type="http://schemas.openxmlformats.org/officeDocument/2006/relationships/hyperlink" Target="https://doi.org/10.3390/life15101598" TargetMode="External"/><Relationship Id="rId6" Type="http://schemas.openxmlformats.org/officeDocument/2006/relationships/hyperlink" Target="https://doi.org/10.3390/life15101598" TargetMode="External"/><Relationship Id="rId7" Type="http://schemas.openxmlformats.org/officeDocument/2006/relationships/hyperlink" Target="https://doi.org/10.1016/j.lana.2025.101004" TargetMode="External"/><Relationship Id="rId8" Type="http://schemas.openxmlformats.org/officeDocument/2006/relationships/hyperlink" Target="https://doi.org/10.1016/j.lana.2025.101004" TargetMode="External"/><Relationship Id="rId9" Type="http://schemas.openxmlformats.org/officeDocument/2006/relationships/hyperlink" Target="https://doi.org/10.1038/s41467-019-13977-7" TargetMode="External"/><Relationship Id="rId10" Type="http://schemas.openxmlformats.org/officeDocument/2006/relationships/hyperlink" Target="https://doi.org/10.1038/s41467-019-13977-7" TargetMode="External"/><Relationship Id="rId11" Type="http://schemas.openxmlformats.org/officeDocument/2006/relationships/hyperlink" Target="https://doi.org/10.1038/s41467-020-18459-2" TargetMode="External"/><Relationship Id="rId12" Type="http://schemas.openxmlformats.org/officeDocument/2006/relationships/hyperlink" Target="https://doi.org/10.1038/s41467-020-18459-2" TargetMode="External"/><Relationship Id="rId13" Type="http://schemas.openxmlformats.org/officeDocument/2006/relationships/hyperlink" Target="https://doi.org/10.36079/lamintang.jamaps-0402.921" TargetMode="External"/><Relationship Id="rId14" Type="http://schemas.openxmlformats.org/officeDocument/2006/relationships/hyperlink" Target="https://doi.org/10.36079/lamintang.jamaps-0402.921" TargetMode="External"/><Relationship Id="rId15" Type="http://schemas.openxmlformats.org/officeDocument/2006/relationships/hyperlink" Target="https://doi.org/10.3389/fphar.2024.1444781" TargetMode="External"/><Relationship Id="rId16" Type="http://schemas.openxmlformats.org/officeDocument/2006/relationships/hyperlink" Target="https://doi.org/10.3389/fphar.2024.1444781" TargetMode="External"/><Relationship Id="rId17" Type="http://schemas.openxmlformats.org/officeDocument/2006/relationships/hyperlink" Target="https://doi.org/10.5365/wpsar.2022.13.3.917" TargetMode="External"/><Relationship Id="rId18" Type="http://schemas.openxmlformats.org/officeDocument/2006/relationships/hyperlink" Target="https://doi.org/10.5365/wpsar.2022.13.3.917" TargetMode="External"/><Relationship Id="rId19" Type="http://schemas.openxmlformats.org/officeDocument/2006/relationships/hyperlink" Target="https://doi.org/10.1016/j.ijantimicag.2023.107014" TargetMode="External"/><Relationship Id="rId20" Type="http://schemas.openxmlformats.org/officeDocument/2006/relationships/hyperlink" Target="https://doi.org/10.1016/j.ijantimicag.2023.107014" TargetMode="External"/><Relationship Id="rId21" Type="http://schemas.openxmlformats.org/officeDocument/2006/relationships/hyperlink" Target="https://www.cdc.gov/antimicrobial-resistance/about/index.html" TargetMode="External"/><Relationship Id="rId22" Type="http://schemas.openxmlformats.org/officeDocument/2006/relationships/hyperlink" Target="https://www.cdc.gov/antimicrobial-resistance/about/index.html" TargetMode="External"/><Relationship Id="rId23" Type="http://schemas.openxmlformats.org/officeDocument/2006/relationships/hyperlink" Target="https://doi.org/10.5365/wpsar.2021.12.4.863" TargetMode="External"/><Relationship Id="rId24" Type="http://schemas.openxmlformats.org/officeDocument/2006/relationships/hyperlink" Target="https://doi.org/10.5365/wpsar.2021.12.4.863" TargetMode="External"/><Relationship Id="rId25" Type="http://schemas.openxmlformats.org/officeDocument/2006/relationships/hyperlink" Target="https://clsi.org/?utm_source=chatgpt.com" TargetMode="External"/><Relationship Id="rId26" Type="http://schemas.openxmlformats.org/officeDocument/2006/relationships/hyperlink" Target="https://clsi.org/about/news/clsi-publishes-m100-performance-standards-for-antimicrobial-susceptibility-testing-33rd-edition/" TargetMode="External"/><Relationship Id="rId27" Type="http://schemas.openxmlformats.org/officeDocument/2006/relationships/hyperlink" Target="https://clsi.org/about/news/clsi-publishes-m100-performance-standards-for-antimicrobial-susceptibility-testing-33rd-edition/" TargetMode="External"/><Relationship Id="rId28" Type="http://schemas.openxmlformats.org/officeDocument/2006/relationships/hyperlink" Target="https://doi.org/10.1097/QCO.0000000000000966" TargetMode="External"/><Relationship Id="rId29" Type="http://schemas.openxmlformats.org/officeDocument/2006/relationships/hyperlink" Target="https://doi.org/10.1097/QCO.0000000000000966" TargetMode="External"/><Relationship Id="rId30" Type="http://schemas.openxmlformats.org/officeDocument/2006/relationships/hyperlink" Target="https://doi.org/10.3390/antibiotics9040154" TargetMode="External"/><Relationship Id="rId31" Type="http://schemas.openxmlformats.org/officeDocument/2006/relationships/hyperlink" Target="https://doi.org/10.3390/antibiotics9040154" TargetMode="External"/><Relationship Id="rId32" Type="http://schemas.openxmlformats.org/officeDocument/2006/relationships/hyperlink" Target="https://arsp.com.ph/wp-content/uploads/2023/06/2022_annual_report_summary.pdf" TargetMode="External"/><Relationship Id="rId33" Type="http://schemas.openxmlformats.org/officeDocument/2006/relationships/hyperlink" Target="https://www.downtoearth.org.in/health/waaw-2025-raising-awareness-on-the-antimicrobial-resistance-surveillance-program-in-the-philippines" TargetMode="External"/><Relationship Id="rId34" Type="http://schemas.openxmlformats.org/officeDocument/2006/relationships/hyperlink" Target="https://doi.org/10.2147/IDR.S428837" TargetMode="External"/><Relationship Id="rId35" Type="http://schemas.openxmlformats.org/officeDocument/2006/relationships/hyperlink" Target="https://doi.org/10.2147/IDR.S428837" TargetMode="External"/><Relationship Id="rId36" Type="http://schemas.openxmlformats.org/officeDocument/2006/relationships/hyperlink" Target="https://doi.org/10.1128/CMR.00048-19" TargetMode="External"/><Relationship Id="rId37" Type="http://schemas.openxmlformats.org/officeDocument/2006/relationships/hyperlink" Target="https://doi.org/10.1128/CMR.00048-19" TargetMode="External"/><Relationship Id="rId38" Type="http://schemas.openxmlformats.org/officeDocument/2006/relationships/hyperlink" Target="https://europepmc.org/article/NBK/nbk589663" TargetMode="External"/><Relationship Id="rId39" Type="http://schemas.openxmlformats.org/officeDocument/2006/relationships/hyperlink" Target="https://europepmc.org/article/NBK/nbk589663" TargetMode="External"/><Relationship Id="rId40" Type="http://schemas.openxmlformats.org/officeDocument/2006/relationships/hyperlink" Target="https://doi.org/10.1016/j.ijid.2020.01.022" TargetMode="External"/><Relationship Id="rId41" Type="http://schemas.openxmlformats.org/officeDocument/2006/relationships/hyperlink" Target="https://doi.org/10.1016/j.ijid.2020.01.022" TargetMode="External"/><Relationship Id="rId42" Type="http://schemas.openxmlformats.org/officeDocument/2006/relationships/hyperlink" Target="https://doi.org/10.3389/fmicb.2025.1711400" TargetMode="External"/><Relationship Id="rId43" Type="http://schemas.openxmlformats.org/officeDocument/2006/relationships/hyperlink" Target="https://doi.org/10.3389/fmicb.2025.1711400" TargetMode="External"/><Relationship Id="rId44" Type="http://schemas.openxmlformats.org/officeDocument/2006/relationships/hyperlink" Target="https://doi.org/10.1136/bmj.n71" TargetMode="External"/><Relationship Id="rId45" Type="http://schemas.openxmlformats.org/officeDocument/2006/relationships/hyperlink" Target="https://doi.org/10.1136/bmj.n71" TargetMode="External"/><Relationship Id="rId46" Type="http://schemas.openxmlformats.org/officeDocument/2006/relationships/hyperlink" Target="https://doi.org/10.21141/PJP.2020.03" TargetMode="External"/><Relationship Id="rId47" Type="http://schemas.openxmlformats.org/officeDocument/2006/relationships/hyperlink" Target="https://doi.org/10.21141/PJP.2020.03" TargetMode="External"/><Relationship Id="rId48" Type="http://schemas.openxmlformats.org/officeDocument/2006/relationships/hyperlink" Target="https://doi.org/10.5365/wpsar.2021.12.4.834" TargetMode="External"/><Relationship Id="rId49" Type="http://schemas.openxmlformats.org/officeDocument/2006/relationships/hyperlink" Target="https://doi.org/10.5365/wpsar.2021.12.4.834" TargetMode="External"/><Relationship Id="rId50" Type="http://schemas.openxmlformats.org/officeDocument/2006/relationships/hyperlink" Target="https://doi.org/10.1016/j.onehlt.2025.101255" TargetMode="External"/><Relationship Id="rId51" Type="http://schemas.openxmlformats.org/officeDocument/2006/relationships/hyperlink" Target="https://doi.org/10.1016/j.onehlt.2025.101255" TargetMode="External"/><Relationship Id="rId52" Type="http://schemas.openxmlformats.org/officeDocument/2006/relationships/header" Target="header1.xml"/><Relationship Id="rId53" Type="http://schemas.openxmlformats.org/officeDocument/2006/relationships/header" Target="header2.xml"/><Relationship Id="rId54" Type="http://schemas.openxmlformats.org/officeDocument/2006/relationships/header" Target="header3.xml"/><Relationship Id="rId55" Type="http://schemas.openxmlformats.org/officeDocument/2006/relationships/footer" Target="footer1.xml"/><Relationship Id="rId56" Type="http://schemas.openxmlformats.org/officeDocument/2006/relationships/footer" Target="footer2.xml"/><Relationship Id="rId57" Type="http://schemas.openxmlformats.org/officeDocument/2006/relationships/footer" Target="footer3.xml"/><Relationship Id="rId58" Type="http://schemas.openxmlformats.org/officeDocument/2006/relationships/header" Target="header4.xml"/><Relationship Id="rId59" Type="http://schemas.openxmlformats.org/officeDocument/2006/relationships/header" Target="header5.xml"/><Relationship Id="rId60" Type="http://schemas.openxmlformats.org/officeDocument/2006/relationships/header" Target="header6.xml"/><Relationship Id="rId61" Type="http://schemas.openxmlformats.org/officeDocument/2006/relationships/footer" Target="footer4.xml"/><Relationship Id="rId62" Type="http://schemas.openxmlformats.org/officeDocument/2006/relationships/footer" Target="footer5.xml"/><Relationship Id="rId63" Type="http://schemas.openxmlformats.org/officeDocument/2006/relationships/numbering" Target="numbering.xml"/><Relationship Id="rId64" Type="http://schemas.openxmlformats.org/officeDocument/2006/relationships/fontTable" Target="fontTable.xml"/><Relationship Id="rId65" Type="http://schemas.openxmlformats.org/officeDocument/2006/relationships/settings" Target="settings.xml"/><Relationship Id="rId66"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37</TotalTime>
  <Application>LibreOffice/25.8.6.2$Windows_X86_64 LibreOffice_project/b4b39682cd9868fa725bc664aff94278d315bd04</Application>
  <AppVersion>15.0000</AppVersion>
  <Pages>15</Pages>
  <Words>4959</Words>
  <Characters>34894</Characters>
  <CharactersWithSpaces>39614</CharactersWithSpaces>
  <Paragraphs>213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2026-05-20T07:21:00Z</dcterms:created>
  <dc:creator/>
  <dc:description/>
  <dc:language>en-US</dc:language>
  <cp:lastModifiedBy/>
  <dcterms:modified xsi:type="dcterms:W3CDTF">2026-05-26T09:04:40Z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file>