
<file path=[Content_Types].xml><?xml version="1.0" encoding="utf-8"?>
<Types xmlns="http://schemas.openxmlformats.org/package/2006/content-types">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738" w:rsidRDefault="00B34E1E">
      <w:pPr>
        <w:spacing w:line="480" w:lineRule="auto"/>
        <w:jc w:val="both"/>
        <w:rPr>
          <w:rStyle w:val="Hyperlink"/>
          <w:rFonts w:ascii="Times New Roman" w:hAnsi="Times New Roman" w:cs="Times New Roman"/>
          <w:sz w:val="18"/>
        </w:rPr>
      </w:pPr>
      <w:r>
        <w:rPr>
          <w:rFonts w:ascii="Times New Roman" w:hAnsi="Times New Roman" w:cs="Times New Roman"/>
          <w:b/>
          <w:sz w:val="28"/>
          <w:szCs w:val="28"/>
        </w:rPr>
        <w:t>Optimization of Liquid Media Amendments and Growth Kinetics of Plant Growth-Promoting Microbial Strains for Consortium Development</w:t>
      </w:r>
    </w:p>
    <w:p w:rsidR="00642738" w:rsidRDefault="00B34E1E">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642738" w:rsidRDefault="00697D4A">
      <w:pPr>
        <w:pStyle w:val="NormalWeb"/>
        <w:spacing w:line="360" w:lineRule="auto"/>
        <w:jc w:val="both"/>
      </w:pPr>
      <w:r w:rsidRPr="00697D4A">
        <w:rPr>
          <w:highlight w:val="yellow"/>
        </w:rPr>
        <w:t>The increasing demand for sustainable agriculture has highlighted the importance of optimizing liquid biofertilizer formulations and understanding microbial growth kinetics to enhance the stability, viability, and effectiveness of plant growth-promoting bacteria</w:t>
      </w:r>
      <w:r w:rsidRPr="00697D4A">
        <w:t>.</w:t>
      </w:r>
      <w:r>
        <w:t xml:space="preserve"> </w:t>
      </w:r>
      <w:r w:rsidR="00B34E1E">
        <w:t>T</w:t>
      </w:r>
      <w:r w:rsidR="00B34E1E">
        <w:t xml:space="preserve">his study addresses the rising need for sustainable alternatives to chemical fertilizers by exploring the use of </w:t>
      </w:r>
      <w:r w:rsidR="00B34E1E">
        <w:t xml:space="preserve">plant growth-promoting microorganisms (PGPMs). The experiment was conducted in 2022-23 in the Institute of Organic Farming, Dharwad. We standardized growth media for microbial isolates by incorporating various additives (polyethylene glycol, glycerol) and </w:t>
      </w:r>
      <w:r w:rsidR="00B34E1E">
        <w:t xml:space="preserve">the antioxidant ascorbic acid. A total of 16 formulations were developed and evaluated. Formulations 3, 7, 10, and 16 showed significantly higher populations and were selected for further studies. The growth kinetics of the microbial strains PSA 7, PSA 5, </w:t>
      </w:r>
      <w:r w:rsidR="00B34E1E">
        <w:t xml:space="preserve">PPFM 33, and LAB 75 were analysed to know the time taken to reach the maximum population by each microbial strain in specific media as well as a common medium (Luria broth- LB). It was also observed that all four microbial strains reached their respective </w:t>
      </w:r>
      <w:r w:rsidR="00B34E1E">
        <w:t>highest population at 48, 48, 48 and 40 hrs respectively after incubation in their common broth medium. The population in terms of both CFU/ml and optical density values started to decline after 56</w:t>
      </w:r>
      <w:r w:rsidR="00B34E1E">
        <w:rPr>
          <w:vertAlign w:val="superscript"/>
        </w:rPr>
        <w:t>th</w:t>
      </w:r>
      <w:r w:rsidR="00B34E1E">
        <w:t xml:space="preserve"> h for PSA 7, PSA 5, PPFM 33 while it was observed that 4</w:t>
      </w:r>
      <w:r w:rsidR="00B34E1E">
        <w:t>8h for LAB 75. Growth kinetics of these microbial strains suggested that higher growth could be achieved on a common (LB) media amended with protectants as compared to either respective selective media or LB without amendments. These findings underscore th</w:t>
      </w:r>
      <w:r w:rsidR="00B34E1E">
        <w:t>e potential for developing high-quality liquid biofertilizers, offering a promising pathway for sustainable agriculture and the reduction of harmful chemical fertilizers in crop production.</w:t>
      </w:r>
    </w:p>
    <w:p w:rsidR="00642738" w:rsidRDefault="00B34E1E">
      <w:pPr>
        <w:spacing w:after="160" w:line="360" w:lineRule="auto"/>
        <w:jc w:val="both"/>
        <w:rPr>
          <w:rFonts w:ascii="Times New Roman" w:hAnsi="Times New Roman" w:cs="Times New Roman"/>
          <w:sz w:val="24"/>
          <w:szCs w:val="24"/>
          <w:lang w:val="en-IN"/>
        </w:rPr>
      </w:pPr>
      <w:r>
        <w:rPr>
          <w:rFonts w:ascii="Times New Roman" w:hAnsi="Times New Roman" w:cs="Times New Roman"/>
          <w:b/>
          <w:sz w:val="24"/>
          <w:szCs w:val="24"/>
        </w:rPr>
        <w:t>Keywords:</w:t>
      </w:r>
      <w:r>
        <w:rPr>
          <w:rFonts w:ascii="Times New Roman" w:hAnsi="Times New Roman" w:cs="Times New Roman"/>
          <w:sz w:val="24"/>
          <w:szCs w:val="24"/>
        </w:rPr>
        <w:t xml:space="preserve"> Sustainable agriculture, Growth kinetics,</w:t>
      </w:r>
      <w:r>
        <w:rPr>
          <w:rFonts w:ascii="Times New Roman" w:hAnsi="Times New Roman" w:cs="Times New Roman"/>
          <w:sz w:val="24"/>
          <w:szCs w:val="24"/>
        </w:rPr>
        <w:t xml:space="preserve"> Liquid biofert</w:t>
      </w:r>
      <w:r>
        <w:rPr>
          <w:rFonts w:ascii="Times New Roman" w:hAnsi="Times New Roman" w:cs="Times New Roman"/>
          <w:sz w:val="24"/>
          <w:szCs w:val="24"/>
        </w:rPr>
        <w:t>ilizer formulation, Microbial consortia, Cell protectants, Microbial viability</w:t>
      </w:r>
    </w:p>
    <w:p w:rsidR="00642738" w:rsidRDefault="00642738">
      <w:pPr>
        <w:spacing w:after="160" w:line="360" w:lineRule="auto"/>
        <w:jc w:val="both"/>
        <w:rPr>
          <w:rFonts w:ascii="Times New Roman" w:hAnsi="Times New Roman" w:cs="Times New Roman"/>
          <w:sz w:val="24"/>
          <w:szCs w:val="24"/>
        </w:rPr>
      </w:pPr>
    </w:p>
    <w:p w:rsidR="00642738" w:rsidRDefault="00B34E1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Introduction: </w:t>
      </w:r>
    </w:p>
    <w:p w:rsidR="00642738" w:rsidRDefault="00B34E1E">
      <w:pPr>
        <w:spacing w:before="120" w:after="120" w:line="440" w:lineRule="atLeast"/>
        <w:jc w:val="both"/>
        <w:rPr>
          <w:rFonts w:ascii="Times New Roman" w:hAnsi="Times New Roman"/>
          <w:color w:val="000000"/>
          <w:sz w:val="24"/>
          <w:szCs w:val="24"/>
        </w:rPr>
      </w:pPr>
      <w:r>
        <w:rPr>
          <w:rFonts w:ascii="Times New Roman" w:hAnsi="Times New Roman"/>
          <w:sz w:val="24"/>
          <w:szCs w:val="24"/>
        </w:rPr>
        <w:t>The employment of biological solutions for crop production and protection is required due to the rising costs and detrimental effects of pesticides and fertil</w:t>
      </w:r>
      <w:r>
        <w:rPr>
          <w:rFonts w:ascii="Times New Roman" w:hAnsi="Times New Roman"/>
          <w:sz w:val="24"/>
          <w:szCs w:val="24"/>
        </w:rPr>
        <w:t xml:space="preserve">izers in agriculture. Due to their </w:t>
      </w:r>
      <w:r>
        <w:rPr>
          <w:rFonts w:ascii="Times New Roman" w:hAnsi="Times New Roman"/>
          <w:sz w:val="24"/>
          <w:szCs w:val="24"/>
        </w:rPr>
        <w:lastRenderedPageBreak/>
        <w:t>eco-friendliness, the use of plant growth-promoting (PGP) bacteria to enhance soil and plant health has emerged as one of the most alluring methods for sustainable agricultural systems (Zhao</w:t>
      </w:r>
      <w:r>
        <w:rPr>
          <w:rFonts w:ascii="Times New Roman" w:hAnsi="Times New Roman"/>
          <w:i/>
          <w:sz w:val="24"/>
          <w:szCs w:val="24"/>
        </w:rPr>
        <w:t xml:space="preserve"> et al.,</w:t>
      </w:r>
      <w:r>
        <w:rPr>
          <w:rFonts w:ascii="Times New Roman" w:hAnsi="Times New Roman"/>
          <w:sz w:val="24"/>
          <w:szCs w:val="24"/>
        </w:rPr>
        <w:t xml:space="preserve"> 2024).</w:t>
      </w:r>
    </w:p>
    <w:p w:rsidR="00642738" w:rsidRDefault="00B34E1E">
      <w:pPr>
        <w:spacing w:before="120"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A potential and</w:t>
      </w:r>
      <w:r>
        <w:rPr>
          <w:rFonts w:ascii="Times New Roman" w:hAnsi="Times New Roman" w:cs="Times New Roman"/>
          <w:color w:val="000000"/>
          <w:sz w:val="24"/>
          <w:szCs w:val="24"/>
        </w:rPr>
        <w:t xml:space="preserve"> modernized form of the traditional carrier-based production technique, liquid bio fertilizers which could be used as nutrient carrier for crop plants (</w:t>
      </w:r>
      <w:r>
        <w:rPr>
          <w:rFonts w:ascii="Times New Roman" w:hAnsi="Times New Roman" w:cs="Times New Roman"/>
          <w:color w:val="000000"/>
          <w:sz w:val="24"/>
          <w:szCs w:val="24"/>
          <w:lang w:val="en-IN"/>
        </w:rPr>
        <w:t xml:space="preserve">Brahmaprakash </w:t>
      </w:r>
      <w:r>
        <w:rPr>
          <w:rFonts w:ascii="Times New Roman" w:hAnsi="Times New Roman" w:cs="Times New Roman"/>
          <w:i/>
          <w:iCs/>
          <w:color w:val="000000"/>
          <w:sz w:val="24"/>
          <w:szCs w:val="24"/>
          <w:lang w:val="en-IN"/>
        </w:rPr>
        <w:t>et al.,</w:t>
      </w:r>
      <w:r>
        <w:rPr>
          <w:rFonts w:ascii="Times New Roman" w:hAnsi="Times New Roman" w:cs="Times New Roman"/>
          <w:color w:val="000000"/>
          <w:sz w:val="24"/>
          <w:szCs w:val="24"/>
          <w:lang w:val="en-IN"/>
        </w:rPr>
        <w:t xml:space="preserve"> 2020)</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Adjuvants/ amendments can enhance the effectiveness of liquid </w:t>
      </w:r>
      <w:r>
        <w:rPr>
          <w:rFonts w:ascii="Times New Roman" w:hAnsi="Times New Roman" w:cs="Times New Roman"/>
          <w:sz w:val="24"/>
          <w:szCs w:val="24"/>
        </w:rPr>
        <w:t>biofertilizers by improving their stability, application, and nutrient delivery (</w:t>
      </w:r>
      <w:r>
        <w:rPr>
          <w:rFonts w:ascii="Times New Roman" w:hAnsi="Times New Roman"/>
          <w:sz w:val="24"/>
          <w:szCs w:val="24"/>
          <w:lang w:val="en-IN"/>
        </w:rPr>
        <w:t xml:space="preserve">Joshi </w:t>
      </w:r>
      <w:r>
        <w:rPr>
          <w:rFonts w:ascii="Times New Roman" w:hAnsi="Times New Roman"/>
          <w:i/>
          <w:iCs/>
          <w:sz w:val="24"/>
          <w:szCs w:val="24"/>
          <w:lang w:val="en-IN"/>
        </w:rPr>
        <w:t>et al.</w:t>
      </w:r>
      <w:r>
        <w:rPr>
          <w:rFonts w:ascii="Times New Roman" w:hAnsi="Times New Roman"/>
          <w:sz w:val="24"/>
          <w:szCs w:val="24"/>
          <w:lang w:val="en-IN"/>
        </w:rPr>
        <w:t>, 2022</w:t>
      </w:r>
      <w:r>
        <w:rPr>
          <w:rFonts w:ascii="Times New Roman" w:hAnsi="Times New Roman" w:cs="Times New Roman"/>
          <w:sz w:val="24"/>
          <w:szCs w:val="24"/>
        </w:rPr>
        <w:t xml:space="preserve">). Adjuvants significantly enhance the shelf life of biofertilizers by stabilizing the viability of beneficial microorganisms during storage (Gopi </w:t>
      </w:r>
      <w:r>
        <w:rPr>
          <w:rFonts w:ascii="Times New Roman" w:hAnsi="Times New Roman" w:cs="Times New Roman"/>
          <w:i/>
          <w:iCs/>
          <w:sz w:val="24"/>
          <w:szCs w:val="24"/>
        </w:rPr>
        <w:t>et al</w:t>
      </w:r>
      <w:r>
        <w:rPr>
          <w:rFonts w:ascii="Times New Roman" w:hAnsi="Times New Roman" w:cs="Times New Roman"/>
          <w:sz w:val="24"/>
          <w:szCs w:val="24"/>
        </w:rPr>
        <w:t>., 20</w:t>
      </w:r>
      <w:r>
        <w:rPr>
          <w:rFonts w:ascii="Times New Roman" w:hAnsi="Times New Roman" w:cs="Times New Roman"/>
          <w:sz w:val="24"/>
          <w:szCs w:val="24"/>
        </w:rPr>
        <w:t>19). They help maintain a consistent pH, which is crucial for microbial survival and prevents the growth of harmful organisms. Additionally, adjuvants reduce nutrient degradation, ensuring that the bio fertilizer remains effective over time (Praveen Birada</w:t>
      </w:r>
      <w:r>
        <w:rPr>
          <w:rFonts w:ascii="Times New Roman" w:hAnsi="Times New Roman" w:cs="Times New Roman"/>
          <w:sz w:val="24"/>
          <w:szCs w:val="24"/>
        </w:rPr>
        <w:t xml:space="preserve">r and Santosh, 2018). They also protect the formulation from environmental stressors like temperature and moisture fluctuations. Some adjuvants allow for a controlled release of nutrients, further extending effectiveness. By inhibiting spoilage organisms, </w:t>
      </w:r>
      <w:r>
        <w:rPr>
          <w:rFonts w:ascii="Times New Roman" w:hAnsi="Times New Roman" w:cs="Times New Roman"/>
          <w:sz w:val="24"/>
          <w:szCs w:val="24"/>
        </w:rPr>
        <w:t xml:space="preserve">they contribute to a longer shelf life, ensuring that biofertilizers perform well when applied (Aman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rsidR="00642738" w:rsidRDefault="00B34E1E">
      <w:pPr>
        <w:spacing w:before="120" w:after="120" w:line="440" w:lineRule="atLeast"/>
        <w:jc w:val="both"/>
        <w:rPr>
          <w:rFonts w:ascii="Times New Roman" w:hAnsi="Times New Roman" w:cs="Times New Roman"/>
          <w:sz w:val="24"/>
        </w:rPr>
      </w:pPr>
      <w:r>
        <w:rPr>
          <w:rFonts w:ascii="Times New Roman" w:hAnsi="Times New Roman"/>
          <w:color w:val="000000"/>
          <w:sz w:val="24"/>
          <w:szCs w:val="24"/>
        </w:rPr>
        <w:t>Aqueous, oil, or polymer-based solutions are the most common types of liquid formulations. Gums, carboxymethyl cellulose (CMC), and polyalco</w:t>
      </w:r>
      <w:r>
        <w:rPr>
          <w:rFonts w:ascii="Times New Roman" w:hAnsi="Times New Roman"/>
          <w:color w:val="000000"/>
          <w:sz w:val="24"/>
          <w:szCs w:val="24"/>
        </w:rPr>
        <w:t xml:space="preserve">hol derivatives are the examples of polysaccharides that are widely employed to change the fluid characteristics of liquid formulations (Jaiswal </w:t>
      </w:r>
      <w:r>
        <w:rPr>
          <w:rFonts w:ascii="Times New Roman" w:hAnsi="Times New Roman"/>
          <w:i/>
          <w:iCs/>
          <w:color w:val="000000"/>
          <w:sz w:val="24"/>
          <w:szCs w:val="24"/>
        </w:rPr>
        <w:t>et al</w:t>
      </w:r>
      <w:r>
        <w:rPr>
          <w:rFonts w:ascii="Times New Roman" w:hAnsi="Times New Roman"/>
          <w:color w:val="000000"/>
          <w:sz w:val="24"/>
          <w:szCs w:val="24"/>
        </w:rPr>
        <w:t>., 2022)</w:t>
      </w:r>
      <w:r>
        <w:rPr>
          <w:rFonts w:ascii="Times New Roman" w:hAnsi="Times New Roman"/>
          <w:sz w:val="24"/>
          <w:szCs w:val="24"/>
        </w:rPr>
        <w:t>.</w:t>
      </w:r>
      <w:r>
        <w:rPr>
          <w:rFonts w:ascii="Times New Roman" w:hAnsi="Times New Roman"/>
          <w:color w:val="000000"/>
          <w:sz w:val="24"/>
          <w:szCs w:val="24"/>
        </w:rPr>
        <w:t xml:space="preserve"> Polyethylene Glycol (PEG) had a sticky consistency and the adhesive quality that improved cells'</w:t>
      </w:r>
      <w:r>
        <w:rPr>
          <w:rFonts w:ascii="Times New Roman" w:hAnsi="Times New Roman"/>
          <w:color w:val="000000"/>
          <w:sz w:val="24"/>
          <w:szCs w:val="24"/>
        </w:rPr>
        <w:t xml:space="preserve"> adherence to seeds. Additionally, PEG's viscous nature assisted in slowing the drying process of bio-inoculants (Daniel </w:t>
      </w:r>
      <w:r>
        <w:rPr>
          <w:rFonts w:ascii="Times New Roman" w:hAnsi="Times New Roman"/>
          <w:i/>
          <w:color w:val="000000"/>
          <w:sz w:val="24"/>
          <w:szCs w:val="24"/>
        </w:rPr>
        <w:t>et al</w:t>
      </w:r>
      <w:r>
        <w:rPr>
          <w:rFonts w:ascii="Times New Roman" w:hAnsi="Times New Roman"/>
          <w:color w:val="000000"/>
          <w:sz w:val="24"/>
          <w:szCs w:val="24"/>
        </w:rPr>
        <w:t>., 2013)</w:t>
      </w:r>
      <w:r>
        <w:rPr>
          <w:rFonts w:ascii="Times New Roman" w:hAnsi="Times New Roman"/>
          <w:sz w:val="24"/>
          <w:szCs w:val="24"/>
        </w:rPr>
        <w:t>.</w:t>
      </w:r>
      <w:r>
        <w:rPr>
          <w:rFonts w:ascii="Times New Roman" w:hAnsi="Times New Roman"/>
          <w:color w:val="000000"/>
          <w:sz w:val="24"/>
          <w:szCs w:val="24"/>
        </w:rPr>
        <w:t xml:space="preserve"> </w:t>
      </w:r>
      <w:r>
        <w:rPr>
          <w:rFonts w:ascii="Times New Roman" w:hAnsi="Times New Roman" w:cs="Times New Roman"/>
          <w:sz w:val="24"/>
        </w:rPr>
        <w:t>Glycerol serves as an effective adjuvant in biofertilizers by retaining moisture and stabilizing microbial viability dur</w:t>
      </w:r>
      <w:r>
        <w:rPr>
          <w:rFonts w:ascii="Times New Roman" w:hAnsi="Times New Roman" w:cs="Times New Roman"/>
          <w:sz w:val="24"/>
        </w:rPr>
        <w:t>ing storage. It also enhances nutrient delivery through improved spread ability and adhesion on plant surfaces, making it a versatile choice for increasing performance and shelf life (</w:t>
      </w:r>
      <w:r>
        <w:rPr>
          <w:rFonts w:ascii="Times New Roman" w:hAnsi="Times New Roman"/>
          <w:sz w:val="24"/>
          <w:szCs w:val="24"/>
        </w:rPr>
        <w:t xml:space="preserve">Vassilev </w:t>
      </w:r>
      <w:r>
        <w:rPr>
          <w:rFonts w:ascii="Times New Roman" w:hAnsi="Times New Roman"/>
          <w:i/>
          <w:sz w:val="24"/>
          <w:szCs w:val="24"/>
        </w:rPr>
        <w:t>et al.,</w:t>
      </w:r>
      <w:r>
        <w:rPr>
          <w:rFonts w:ascii="Times New Roman" w:hAnsi="Times New Roman"/>
          <w:sz w:val="24"/>
          <w:szCs w:val="24"/>
        </w:rPr>
        <w:t xml:space="preserve"> 2016)</w:t>
      </w:r>
      <w:r>
        <w:rPr>
          <w:rFonts w:ascii="Times New Roman" w:hAnsi="Times New Roman" w:cs="Times New Roman"/>
          <w:sz w:val="24"/>
        </w:rPr>
        <w:t>. By stabilizing the pH, ascorbic acid ensures tha</w:t>
      </w:r>
      <w:r>
        <w:rPr>
          <w:rFonts w:ascii="Times New Roman" w:hAnsi="Times New Roman" w:cs="Times New Roman"/>
          <w:sz w:val="24"/>
        </w:rPr>
        <w:t xml:space="preserve">t the bio fertilizer remains effective and that nutrients are more readily available for plant uptake (Edwards </w:t>
      </w:r>
      <w:r>
        <w:rPr>
          <w:rFonts w:ascii="Times New Roman" w:hAnsi="Times New Roman" w:cs="Times New Roman"/>
          <w:i/>
          <w:sz w:val="24"/>
        </w:rPr>
        <w:t xml:space="preserve">et.al, </w:t>
      </w:r>
      <w:r>
        <w:rPr>
          <w:rFonts w:ascii="Times New Roman" w:hAnsi="Times New Roman" w:cs="Times New Roman"/>
          <w:sz w:val="24"/>
        </w:rPr>
        <w:t>2022).</w:t>
      </w:r>
    </w:p>
    <w:p w:rsidR="00642738" w:rsidRDefault="00B34E1E">
      <w:pPr>
        <w:pStyle w:val="NormalWeb"/>
        <w:spacing w:line="360" w:lineRule="auto"/>
        <w:jc w:val="both"/>
      </w:pPr>
      <w:r>
        <w:t xml:space="preserve">Growth kinetics refers to the study of the rates and patterns of growth of microorganisms or cells under various conditions. It </w:t>
      </w:r>
      <w:r>
        <w:t xml:space="preserve">involves analysing how quickly these organisms reproduce and also how their growth phases vary over time. A growth curve is a graphical representation of the growth of microorganisms or cells over time, divided into four phases: lag, exponential, </w:t>
      </w:r>
      <w:r>
        <w:lastRenderedPageBreak/>
        <w:t>stationar</w:t>
      </w:r>
      <w:r>
        <w:t>y, and death (Madsen, 1977)</w:t>
      </w:r>
      <w:r>
        <w:rPr>
          <w:lang w:val="en-US"/>
        </w:rPr>
        <w:t xml:space="preserve">. </w:t>
      </w:r>
      <w:r>
        <w:t>Understanding these phases helps optimize culture conditions and improve the effectiveness of biofertilizers (</w:t>
      </w:r>
      <w:r>
        <w:rPr>
          <w:lang w:val="en-US"/>
        </w:rPr>
        <w:t>Biradar &amp; Santhosh, 2018). Role of</w:t>
      </w:r>
      <w:r>
        <w:t xml:space="preserve">. Additionally, growth kinetics provides insights into the viability and stability </w:t>
      </w:r>
      <w:r>
        <w:t>of microorganisms over time, helping to determine the appropriate shelf life for bio fertilizer products (</w:t>
      </w:r>
      <w:r>
        <w:rPr>
          <w:lang w:val="en-US"/>
        </w:rPr>
        <w:t>Santhosh</w:t>
      </w:r>
      <w:r>
        <w:rPr>
          <w:i/>
        </w:rPr>
        <w:t>,</w:t>
      </w:r>
      <w:r>
        <w:t xml:space="preserve"> 2015)</w:t>
      </w:r>
      <w:r>
        <w:rPr>
          <w:lang w:val="en-US"/>
        </w:rPr>
        <w:t xml:space="preserve">. </w:t>
      </w:r>
      <w:r>
        <w:t>Additionally, they assess the stability and viability of consortia over time, ensuring that beneficial microbes remain active through</w:t>
      </w:r>
      <w:r>
        <w:t xml:space="preserve">out the product's shelf life (Arriel-Elias </w:t>
      </w:r>
      <w:r>
        <w:rPr>
          <w:i/>
          <w:iCs/>
        </w:rPr>
        <w:t>et al</w:t>
      </w:r>
      <w:r>
        <w:t>., 2018)</w:t>
      </w:r>
      <w:r>
        <w:rPr>
          <w:lang w:val="en-US"/>
        </w:rPr>
        <w:t xml:space="preserve">. </w:t>
      </w:r>
      <w:r>
        <w:t>This information is crucial for developing effective biofertilizer formulations that combine the right microbial strains and nutrients. Overall, growth kinetics is essential for creating reliable an</w:t>
      </w:r>
      <w:r>
        <w:t xml:space="preserve">d efficient bio fertilizer formulations in agriculture (Liu </w:t>
      </w:r>
      <w:r>
        <w:rPr>
          <w:i/>
          <w:iCs/>
        </w:rPr>
        <w:t>et al.,</w:t>
      </w:r>
      <w:r>
        <w:t xml:space="preserve"> 2025).</w:t>
      </w:r>
    </w:p>
    <w:p w:rsidR="00642738" w:rsidRDefault="00B34E1E">
      <w:pPr>
        <w:pStyle w:val="NormalWeb"/>
        <w:spacing w:line="360" w:lineRule="auto"/>
        <w:jc w:val="both"/>
      </w:pPr>
      <w:r>
        <w:t>This study was focused mainly on optimization of concentrations of additives for liquid formulations and also on studying the growth kinetics of four isolates which can be further u</w:t>
      </w:r>
      <w:r>
        <w:t xml:space="preserve">sed for developing high-quality liquid consortia.  </w:t>
      </w:r>
    </w:p>
    <w:p w:rsidR="00642738" w:rsidRDefault="00B34E1E">
      <w:pPr>
        <w:spacing w:line="360" w:lineRule="auto"/>
        <w:jc w:val="both"/>
        <w:rPr>
          <w:rFonts w:ascii="Times New Roman" w:hAnsi="Times New Roman" w:cs="Times New Roman"/>
          <w:b/>
          <w:sz w:val="24"/>
        </w:rPr>
      </w:pPr>
      <w:r>
        <w:rPr>
          <w:rFonts w:ascii="Times New Roman" w:hAnsi="Times New Roman" w:cs="Times New Roman"/>
          <w:b/>
          <w:sz w:val="24"/>
        </w:rPr>
        <w:t>2. Materials and Methods</w:t>
      </w:r>
    </w:p>
    <w:p w:rsidR="00642738" w:rsidRDefault="00B34E1E">
      <w:pPr>
        <w:spacing w:before="120" w:after="120" w:line="440" w:lineRule="atLeast"/>
        <w:jc w:val="both"/>
        <w:rPr>
          <w:rFonts w:ascii="Times New Roman" w:hAnsi="Times New Roman"/>
          <w:bCs/>
          <w:color w:val="000000"/>
          <w:sz w:val="24"/>
          <w:szCs w:val="24"/>
        </w:rPr>
      </w:pPr>
      <w:r>
        <w:rPr>
          <w:rFonts w:ascii="Times New Roman" w:hAnsi="Times New Roman" w:cs="Times New Roman"/>
          <w:sz w:val="24"/>
        </w:rPr>
        <w:t>The experiment was conducted in 2022-23 in the Institute of Organic Farming, Dharwad</w:t>
      </w:r>
      <w:r>
        <w:rPr>
          <w:rFonts w:ascii="Times New Roman" w:hAnsi="Times New Roman"/>
          <w:bCs/>
          <w:color w:val="000000"/>
          <w:sz w:val="24"/>
          <w:szCs w:val="24"/>
        </w:rPr>
        <w:t>. The microbial strains used in this study included two strains of actinobacteria namely, PSA-5</w:t>
      </w:r>
      <w:r>
        <w:rPr>
          <w:rFonts w:ascii="Times New Roman" w:hAnsi="Times New Roman"/>
          <w:bCs/>
          <w:color w:val="000000"/>
          <w:sz w:val="24"/>
          <w:szCs w:val="24"/>
        </w:rPr>
        <w:t xml:space="preserve">, PSA-7; one Pink pigmented facultative methylotrophs (PPFM-33) and one Lactic acid bacteria (LAB-75) strain available at the Institute of Organic Farming (IOF), University of Agricultural Sciences, Dharwad, Karnataka. </w:t>
      </w:r>
    </w:p>
    <w:p w:rsidR="00642738" w:rsidRDefault="00B34E1E">
      <w:pPr>
        <w:tabs>
          <w:tab w:val="left" w:pos="360"/>
        </w:tabs>
        <w:spacing w:before="120" w:after="120" w:line="440" w:lineRule="atLeast"/>
        <w:contextualSpacing/>
        <w:jc w:val="both"/>
        <w:rPr>
          <w:rFonts w:ascii="Times New Roman" w:hAnsi="Times New Roman"/>
          <w:sz w:val="24"/>
          <w:szCs w:val="24"/>
        </w:rPr>
      </w:pPr>
      <w:r>
        <w:rPr>
          <w:rFonts w:ascii="Times New Roman" w:hAnsi="Times New Roman"/>
          <w:sz w:val="24"/>
          <w:szCs w:val="24"/>
        </w:rPr>
        <w:t xml:space="preserve">Population of each microbial strain </w:t>
      </w:r>
      <w:r>
        <w:rPr>
          <w:rFonts w:ascii="Times New Roman" w:hAnsi="Times New Roman"/>
          <w:i/>
          <w:sz w:val="24"/>
          <w:szCs w:val="24"/>
        </w:rPr>
        <w:t>viz</w:t>
      </w:r>
      <w:r>
        <w:rPr>
          <w:rFonts w:ascii="Times New Roman" w:hAnsi="Times New Roman"/>
          <w:sz w:val="24"/>
          <w:szCs w:val="24"/>
        </w:rPr>
        <w:t>., PSA 7, PSA 5, PPFM 33, LAB 75 was enumerated at regular interval to know the time taken to reach the maximum population by each microbial strain in specific as well as a common medium. The growth media namely starch casein agar for PSA 7 and PSA 5, G</w:t>
      </w:r>
      <w:r>
        <w:rPr>
          <w:rFonts w:ascii="Times New Roman" w:hAnsi="Times New Roman"/>
          <w:sz w:val="24"/>
          <w:szCs w:val="24"/>
        </w:rPr>
        <w:t>lycerol peptone for PPFM 33, MRS for LAB 75 were used and Luria broth as common medium for all microbial strains. A 24 h grown culture of microbial strain (PSA 7, PSA 5, PPFM 33, LAB 75) was inoculated separately each @ 5 per cent (v/v). While one set of f</w:t>
      </w:r>
      <w:r>
        <w:rPr>
          <w:rFonts w:ascii="Times New Roman" w:hAnsi="Times New Roman"/>
          <w:sz w:val="24"/>
          <w:szCs w:val="24"/>
        </w:rPr>
        <w:t xml:space="preserve">lasks with the selected medium without any inoculation served as control for respective microbial strains. The flasks were incubated under shaking condition </w:t>
      </w:r>
      <w:r>
        <w:rPr>
          <w:rFonts w:ascii="Times New Roman" w:hAnsi="Times New Roman"/>
          <w:sz w:val="24"/>
          <w:szCs w:val="24"/>
        </w:rPr>
        <w:t xml:space="preserve">of 100rpm  </w:t>
      </w:r>
      <w:r>
        <w:rPr>
          <w:rFonts w:ascii="Times New Roman" w:hAnsi="Times New Roman"/>
          <w:sz w:val="24"/>
          <w:szCs w:val="24"/>
        </w:rPr>
        <w:t>at 28 ± 2 °C and growth was measured in terms of viable cell count and optical density a</w:t>
      </w:r>
      <w:r>
        <w:rPr>
          <w:rFonts w:ascii="Times New Roman" w:hAnsi="Times New Roman"/>
          <w:sz w:val="24"/>
          <w:szCs w:val="24"/>
        </w:rPr>
        <w:t xml:space="preserve">t 660 nm for luria broth using UV-Visible spectrophotometer (Lab India make). </w:t>
      </w:r>
      <w:r>
        <w:rPr>
          <w:rFonts w:ascii="Times New Roman" w:hAnsi="Times New Roman"/>
          <w:sz w:val="24"/>
          <w:szCs w:val="24"/>
        </w:rPr>
        <w:t>Three Replications per each set has maintained</w:t>
      </w:r>
    </w:p>
    <w:p w:rsidR="00642738" w:rsidRDefault="00B34E1E">
      <w:pPr>
        <w:spacing w:before="120" w:after="120" w:line="440" w:lineRule="atLeast"/>
        <w:jc w:val="both"/>
      </w:pPr>
      <w:r>
        <w:rPr>
          <w:rFonts w:ascii="Times New Roman" w:hAnsi="Times New Roman"/>
          <w:sz w:val="24"/>
          <w:szCs w:val="24"/>
        </w:rPr>
        <w:lastRenderedPageBreak/>
        <w:t>The common growth media (LB) for growth of selected isolates was standardized for additives and antioxidant by using different comb</w:t>
      </w:r>
      <w:r>
        <w:rPr>
          <w:rFonts w:ascii="Times New Roman" w:hAnsi="Times New Roman"/>
          <w:sz w:val="24"/>
          <w:szCs w:val="24"/>
        </w:rPr>
        <w:t xml:space="preserve">inations and concentrations of additives and antioxidant (Prakash, 2018). The combinations used are shown in table below. </w:t>
      </w:r>
    </w:p>
    <w:p w:rsidR="00642738" w:rsidRDefault="00642738">
      <w:pPr>
        <w:spacing w:before="120" w:after="120" w:line="440" w:lineRule="atLeast"/>
        <w:jc w:val="both"/>
        <w:rPr>
          <w:rFonts w:ascii="Times New Roman" w:hAnsi="Times New Roman"/>
          <w:b/>
          <w:bCs/>
          <w:sz w:val="24"/>
          <w:szCs w:val="24"/>
        </w:rPr>
      </w:pPr>
    </w:p>
    <w:p w:rsidR="00642738" w:rsidRDefault="00642738">
      <w:pPr>
        <w:spacing w:before="120" w:after="120" w:line="440" w:lineRule="atLeast"/>
        <w:jc w:val="both"/>
        <w:rPr>
          <w:rFonts w:ascii="Times New Roman" w:hAnsi="Times New Roman"/>
          <w:b/>
          <w:bCs/>
          <w:sz w:val="24"/>
          <w:szCs w:val="24"/>
        </w:rPr>
      </w:pPr>
    </w:p>
    <w:p w:rsidR="00642738" w:rsidRDefault="00642738">
      <w:pPr>
        <w:spacing w:before="120" w:after="120" w:line="440" w:lineRule="atLeast"/>
        <w:jc w:val="both"/>
        <w:rPr>
          <w:rFonts w:ascii="Times New Roman" w:hAnsi="Times New Roman"/>
          <w:b/>
          <w:bCs/>
          <w:sz w:val="24"/>
          <w:szCs w:val="24"/>
        </w:rPr>
      </w:pPr>
    </w:p>
    <w:p w:rsidR="00642738" w:rsidRDefault="00642738">
      <w:pPr>
        <w:spacing w:before="120" w:after="120" w:line="440" w:lineRule="atLeast"/>
        <w:jc w:val="both"/>
        <w:rPr>
          <w:rFonts w:ascii="Times New Roman" w:hAnsi="Times New Roman"/>
          <w:b/>
          <w:bCs/>
          <w:sz w:val="24"/>
          <w:szCs w:val="24"/>
        </w:rPr>
      </w:pPr>
    </w:p>
    <w:p w:rsidR="00642738" w:rsidRDefault="00642738">
      <w:pPr>
        <w:spacing w:before="120" w:after="120" w:line="440" w:lineRule="atLeast"/>
        <w:jc w:val="both"/>
        <w:rPr>
          <w:rFonts w:ascii="Times New Roman" w:hAnsi="Times New Roman"/>
          <w:b/>
          <w:bCs/>
          <w:sz w:val="24"/>
          <w:szCs w:val="24"/>
        </w:rPr>
      </w:pPr>
    </w:p>
    <w:p w:rsidR="00642738" w:rsidRDefault="00B34E1E">
      <w:pPr>
        <w:spacing w:before="120" w:after="120" w:line="440" w:lineRule="atLeast"/>
        <w:jc w:val="both"/>
      </w:pPr>
      <w:r>
        <w:rPr>
          <w:rFonts w:ascii="Times New Roman" w:hAnsi="Times New Roman"/>
          <w:b/>
          <w:bCs/>
          <w:sz w:val="24"/>
          <w:szCs w:val="24"/>
        </w:rPr>
        <w:t>Table 1: Different liquid formulations of selected isolates showing different levels of additives and antioxidant</w:t>
      </w:r>
    </w:p>
    <w:p w:rsidR="00642738" w:rsidRDefault="00642738">
      <w:pPr>
        <w:spacing w:after="0" w:line="240" w:lineRule="auto"/>
        <w:ind w:left="1134" w:hanging="1134"/>
        <w:contextualSpacing/>
        <w:jc w:val="both"/>
        <w:rPr>
          <w:rFonts w:ascii="Times New Roman" w:hAnsi="Times New Roman"/>
          <w:b/>
          <w:bCs/>
          <w:sz w:val="24"/>
          <w:szCs w:val="24"/>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2484"/>
        <w:gridCol w:w="1584"/>
        <w:gridCol w:w="1584"/>
        <w:gridCol w:w="1584"/>
      </w:tblGrid>
      <w:tr w:rsidR="00642738">
        <w:trPr>
          <w:trHeight w:val="324"/>
          <w:jc w:val="center"/>
        </w:trPr>
        <w:tc>
          <w:tcPr>
            <w:tcW w:w="1584" w:type="dxa"/>
            <w:vMerge w:val="restart"/>
            <w:vAlign w:val="center"/>
          </w:tcPr>
          <w:p w:rsidR="00642738" w:rsidRDefault="00B34E1E">
            <w:pPr>
              <w:spacing w:before="60" w:after="60" w:line="240" w:lineRule="auto"/>
              <w:jc w:val="both"/>
              <w:rPr>
                <w:rFonts w:ascii="Times New Roman" w:hAnsi="Times New Roman"/>
                <w:b/>
                <w:sz w:val="24"/>
                <w:szCs w:val="24"/>
                <w:lang w:val="en-IN"/>
              </w:rPr>
            </w:pPr>
            <w:r>
              <w:rPr>
                <w:rFonts w:ascii="Times New Roman" w:hAnsi="Times New Roman"/>
                <w:b/>
                <w:sz w:val="24"/>
                <w:szCs w:val="24"/>
                <w:lang w:val="en-IN"/>
              </w:rPr>
              <w:t xml:space="preserve">Selected </w:t>
            </w:r>
            <w:r>
              <w:rPr>
                <w:rFonts w:ascii="Times New Roman" w:hAnsi="Times New Roman"/>
                <w:b/>
                <w:sz w:val="24"/>
                <w:szCs w:val="24"/>
                <w:lang w:val="en-IN"/>
              </w:rPr>
              <w:t>Strains</w:t>
            </w:r>
          </w:p>
        </w:tc>
        <w:tc>
          <w:tcPr>
            <w:tcW w:w="2484" w:type="dxa"/>
            <w:vMerge w:val="restart"/>
            <w:vAlign w:val="center"/>
          </w:tcPr>
          <w:p w:rsidR="00642738" w:rsidRDefault="00B34E1E">
            <w:pPr>
              <w:spacing w:before="60" w:after="60" w:line="240" w:lineRule="auto"/>
              <w:jc w:val="both"/>
              <w:rPr>
                <w:rFonts w:ascii="Times New Roman" w:hAnsi="Times New Roman"/>
                <w:b/>
                <w:sz w:val="24"/>
                <w:szCs w:val="24"/>
                <w:lang w:val="en-IN"/>
              </w:rPr>
            </w:pPr>
            <w:r>
              <w:rPr>
                <w:rFonts w:ascii="Times New Roman" w:hAnsi="Times New Roman"/>
                <w:b/>
                <w:sz w:val="24"/>
                <w:szCs w:val="24"/>
                <w:lang w:val="en-IN"/>
              </w:rPr>
              <w:t>Treatments</w:t>
            </w:r>
          </w:p>
        </w:tc>
        <w:tc>
          <w:tcPr>
            <w:tcW w:w="4752" w:type="dxa"/>
            <w:gridSpan w:val="3"/>
            <w:vAlign w:val="center"/>
          </w:tcPr>
          <w:p w:rsidR="00642738" w:rsidRDefault="00B34E1E">
            <w:pPr>
              <w:spacing w:before="60" w:after="60" w:line="240" w:lineRule="auto"/>
              <w:jc w:val="both"/>
              <w:rPr>
                <w:rFonts w:ascii="Times New Roman" w:hAnsi="Times New Roman"/>
                <w:b/>
                <w:sz w:val="24"/>
                <w:szCs w:val="24"/>
                <w:lang w:val="en-IN"/>
              </w:rPr>
            </w:pPr>
            <w:r>
              <w:rPr>
                <w:rFonts w:ascii="Times New Roman" w:hAnsi="Times New Roman"/>
                <w:b/>
                <w:sz w:val="24"/>
                <w:szCs w:val="24"/>
                <w:lang w:val="en-IN"/>
              </w:rPr>
              <w:t>Concentration of different amendments applied in liquid formulation</w:t>
            </w:r>
          </w:p>
        </w:tc>
      </w:tr>
      <w:tr w:rsidR="00642738">
        <w:trPr>
          <w:trHeight w:val="344"/>
          <w:jc w:val="center"/>
        </w:trPr>
        <w:tc>
          <w:tcPr>
            <w:tcW w:w="1584" w:type="dxa"/>
            <w:vMerge/>
            <w:vAlign w:val="center"/>
          </w:tcPr>
          <w:p w:rsidR="00642738" w:rsidRDefault="00642738">
            <w:pPr>
              <w:spacing w:before="60" w:after="60" w:line="240" w:lineRule="auto"/>
              <w:jc w:val="both"/>
              <w:rPr>
                <w:rFonts w:ascii="Times New Roman" w:hAnsi="Times New Roman"/>
                <w:b/>
                <w:sz w:val="24"/>
                <w:szCs w:val="24"/>
                <w:lang w:val="en-IN"/>
              </w:rPr>
            </w:pPr>
          </w:p>
        </w:tc>
        <w:tc>
          <w:tcPr>
            <w:tcW w:w="2484" w:type="dxa"/>
            <w:vMerge/>
            <w:vAlign w:val="center"/>
          </w:tcPr>
          <w:p w:rsidR="00642738" w:rsidRDefault="00642738">
            <w:pPr>
              <w:spacing w:before="60" w:after="60" w:line="240" w:lineRule="auto"/>
              <w:jc w:val="both"/>
              <w:rPr>
                <w:rFonts w:ascii="Times New Roman" w:hAnsi="Times New Roman"/>
                <w:b/>
                <w:sz w:val="24"/>
                <w:szCs w:val="24"/>
                <w:lang w:val="en-IN"/>
              </w:rPr>
            </w:pPr>
          </w:p>
        </w:tc>
        <w:tc>
          <w:tcPr>
            <w:tcW w:w="3168" w:type="dxa"/>
            <w:gridSpan w:val="2"/>
            <w:vAlign w:val="center"/>
          </w:tcPr>
          <w:p w:rsidR="00642738" w:rsidRDefault="00B34E1E">
            <w:pPr>
              <w:tabs>
                <w:tab w:val="left" w:pos="360"/>
              </w:tabs>
              <w:spacing w:before="60" w:after="60" w:line="240" w:lineRule="auto"/>
              <w:contextualSpacing/>
              <w:jc w:val="both"/>
              <w:rPr>
                <w:rFonts w:ascii="Times New Roman" w:hAnsi="Times New Roman"/>
                <w:b/>
                <w:sz w:val="24"/>
                <w:szCs w:val="24"/>
                <w:lang w:val="en-IN"/>
              </w:rPr>
            </w:pPr>
            <w:r>
              <w:rPr>
                <w:rFonts w:ascii="Times New Roman" w:hAnsi="Times New Roman"/>
                <w:b/>
                <w:sz w:val="24"/>
                <w:szCs w:val="24"/>
                <w:lang w:val="en-IN"/>
              </w:rPr>
              <w:t>Additives</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b/>
                <w:sz w:val="24"/>
                <w:szCs w:val="24"/>
                <w:lang w:val="en-IN"/>
              </w:rPr>
            </w:pPr>
            <w:r>
              <w:rPr>
                <w:rFonts w:ascii="Times New Roman" w:hAnsi="Times New Roman"/>
                <w:b/>
                <w:sz w:val="24"/>
                <w:szCs w:val="24"/>
                <w:lang w:val="en-IN"/>
              </w:rPr>
              <w:t>Antioxidant</w:t>
            </w:r>
          </w:p>
        </w:tc>
      </w:tr>
      <w:tr w:rsidR="00642738">
        <w:trPr>
          <w:jc w:val="center"/>
        </w:trPr>
        <w:tc>
          <w:tcPr>
            <w:tcW w:w="1584" w:type="dxa"/>
            <w:vMerge w:val="restart"/>
            <w:vAlign w:val="center"/>
          </w:tcPr>
          <w:p w:rsidR="00642738" w:rsidRDefault="00B34E1E">
            <w:pPr>
              <w:spacing w:before="60" w:after="60" w:line="240" w:lineRule="auto"/>
              <w:jc w:val="both"/>
              <w:rPr>
                <w:rFonts w:ascii="Times New Roman" w:hAnsi="Times New Roman"/>
                <w:b/>
                <w:sz w:val="24"/>
                <w:szCs w:val="24"/>
                <w:lang w:val="en-IN"/>
              </w:rPr>
            </w:pPr>
            <w:r>
              <w:rPr>
                <w:rFonts w:ascii="Times New Roman" w:hAnsi="Times New Roman"/>
                <w:b/>
                <w:sz w:val="24"/>
                <w:szCs w:val="24"/>
                <w:lang w:val="en-IN"/>
              </w:rPr>
              <w:t>PSA 7</w:t>
            </w:r>
          </w:p>
        </w:tc>
        <w:tc>
          <w:tcPr>
            <w:tcW w:w="2484" w:type="dxa"/>
            <w:vMerge/>
            <w:vAlign w:val="center"/>
          </w:tcPr>
          <w:p w:rsidR="00642738" w:rsidRDefault="00642738">
            <w:pPr>
              <w:spacing w:before="60" w:after="60" w:line="240" w:lineRule="auto"/>
              <w:jc w:val="both"/>
              <w:rPr>
                <w:rFonts w:ascii="Times New Roman" w:hAnsi="Times New Roman"/>
                <w:b/>
                <w:sz w:val="24"/>
                <w:szCs w:val="24"/>
                <w:lang w:val="en-IN"/>
              </w:rPr>
            </w:pPr>
          </w:p>
        </w:tc>
        <w:tc>
          <w:tcPr>
            <w:tcW w:w="1584" w:type="dxa"/>
            <w:vAlign w:val="center"/>
          </w:tcPr>
          <w:p w:rsidR="00642738" w:rsidRDefault="00B34E1E">
            <w:pPr>
              <w:tabs>
                <w:tab w:val="left" w:pos="360"/>
              </w:tabs>
              <w:spacing w:before="60" w:after="60" w:line="240" w:lineRule="auto"/>
              <w:contextualSpacing/>
              <w:jc w:val="both"/>
              <w:rPr>
                <w:rFonts w:ascii="Times New Roman" w:hAnsi="Times New Roman"/>
                <w:b/>
                <w:sz w:val="24"/>
                <w:szCs w:val="24"/>
                <w:lang w:val="en-IN"/>
              </w:rPr>
            </w:pPr>
            <w:r>
              <w:rPr>
                <w:rFonts w:ascii="Times New Roman" w:hAnsi="Times New Roman"/>
                <w:b/>
                <w:sz w:val="24"/>
                <w:szCs w:val="24"/>
                <w:lang w:val="en-IN"/>
              </w:rPr>
              <w:t>Polyethylene glycol (%)</w:t>
            </w:r>
          </w:p>
        </w:tc>
        <w:tc>
          <w:tcPr>
            <w:tcW w:w="1584" w:type="dxa"/>
            <w:vAlign w:val="center"/>
          </w:tcPr>
          <w:p w:rsidR="00642738" w:rsidRDefault="00B34E1E">
            <w:pPr>
              <w:tabs>
                <w:tab w:val="left" w:pos="360"/>
              </w:tabs>
              <w:spacing w:before="60" w:after="60" w:line="240" w:lineRule="auto"/>
              <w:contextualSpacing/>
              <w:jc w:val="both"/>
              <w:rPr>
                <w:rFonts w:ascii="Times New Roman" w:hAnsi="Times New Roman"/>
                <w:b/>
                <w:sz w:val="24"/>
                <w:szCs w:val="24"/>
                <w:lang w:val="en-IN"/>
              </w:rPr>
            </w:pPr>
            <w:r>
              <w:rPr>
                <w:rFonts w:ascii="Times New Roman" w:hAnsi="Times New Roman"/>
                <w:b/>
                <w:sz w:val="24"/>
                <w:szCs w:val="24"/>
                <w:lang w:val="en-IN"/>
              </w:rPr>
              <w:t>Glycerol (%)</w:t>
            </w:r>
          </w:p>
        </w:tc>
        <w:tc>
          <w:tcPr>
            <w:tcW w:w="1584" w:type="dxa"/>
            <w:vAlign w:val="center"/>
          </w:tcPr>
          <w:p w:rsidR="00642738" w:rsidRDefault="00B34E1E">
            <w:pPr>
              <w:tabs>
                <w:tab w:val="left" w:pos="360"/>
              </w:tabs>
              <w:spacing w:before="60" w:after="60" w:line="240" w:lineRule="auto"/>
              <w:contextualSpacing/>
              <w:jc w:val="both"/>
              <w:rPr>
                <w:rFonts w:ascii="Times New Roman" w:hAnsi="Times New Roman"/>
                <w:b/>
                <w:sz w:val="24"/>
                <w:szCs w:val="24"/>
                <w:lang w:val="en-IN"/>
              </w:rPr>
            </w:pPr>
            <w:r>
              <w:rPr>
                <w:rFonts w:ascii="Times New Roman" w:hAnsi="Times New Roman"/>
                <w:b/>
                <w:sz w:val="24"/>
                <w:szCs w:val="24"/>
                <w:lang w:val="en-IN"/>
              </w:rPr>
              <w:t>L- ascorbic acid(%)</w:t>
            </w:r>
          </w:p>
        </w:tc>
      </w:tr>
      <w:tr w:rsidR="00642738">
        <w:trPr>
          <w:trHeight w:val="20"/>
          <w:jc w:val="center"/>
        </w:trPr>
        <w:tc>
          <w:tcPr>
            <w:tcW w:w="1584" w:type="dxa"/>
            <w:vMerge/>
            <w:vAlign w:val="center"/>
          </w:tcPr>
          <w:p w:rsidR="00642738" w:rsidRDefault="00642738">
            <w:pPr>
              <w:spacing w:before="60" w:after="60" w:line="240" w:lineRule="auto"/>
              <w:jc w:val="both"/>
              <w:rPr>
                <w:rFonts w:ascii="Times New Roman" w:hAnsi="Times New Roman"/>
                <w:b/>
                <w:sz w:val="24"/>
                <w:szCs w:val="24"/>
                <w:lang w:val="en-IN"/>
              </w:rPr>
            </w:pPr>
          </w:p>
        </w:tc>
        <w:tc>
          <w:tcPr>
            <w:tcW w:w="2484" w:type="dxa"/>
            <w:vAlign w:val="center"/>
          </w:tcPr>
          <w:p w:rsidR="00642738" w:rsidRDefault="00B34E1E">
            <w:pPr>
              <w:spacing w:before="60" w:after="60" w:line="240" w:lineRule="auto"/>
              <w:jc w:val="both"/>
              <w:rPr>
                <w:rFonts w:ascii="Times New Roman" w:hAnsi="Times New Roman"/>
                <w:sz w:val="24"/>
                <w:szCs w:val="24"/>
                <w:lang w:val="en-IN"/>
              </w:rPr>
            </w:pPr>
            <w:r>
              <w:rPr>
                <w:rFonts w:ascii="Times New Roman" w:hAnsi="Times New Roman"/>
                <w:sz w:val="24"/>
                <w:szCs w:val="24"/>
                <w:lang w:val="en-IN"/>
              </w:rPr>
              <w:t>F1: LB +A1+B1+C</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0.2</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0.8</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642738">
        <w:trPr>
          <w:trHeight w:val="20"/>
          <w:jc w:val="center"/>
        </w:trPr>
        <w:tc>
          <w:tcPr>
            <w:tcW w:w="1584" w:type="dxa"/>
            <w:vMerge/>
            <w:vAlign w:val="center"/>
          </w:tcPr>
          <w:p w:rsidR="00642738" w:rsidRDefault="00642738">
            <w:pPr>
              <w:spacing w:before="60" w:after="60" w:line="240" w:lineRule="auto"/>
              <w:jc w:val="both"/>
              <w:rPr>
                <w:rFonts w:ascii="Times New Roman" w:hAnsi="Times New Roman"/>
                <w:b/>
                <w:sz w:val="24"/>
                <w:szCs w:val="24"/>
                <w:lang w:val="en-IN"/>
              </w:rPr>
            </w:pPr>
          </w:p>
        </w:tc>
        <w:tc>
          <w:tcPr>
            <w:tcW w:w="2484" w:type="dxa"/>
            <w:vAlign w:val="center"/>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F2: LB+ A2+B2+C</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0.3</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0.7</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642738">
        <w:trPr>
          <w:trHeight w:val="20"/>
          <w:jc w:val="center"/>
        </w:trPr>
        <w:tc>
          <w:tcPr>
            <w:tcW w:w="1584" w:type="dxa"/>
            <w:vMerge/>
            <w:vAlign w:val="center"/>
          </w:tcPr>
          <w:p w:rsidR="00642738" w:rsidRDefault="00642738">
            <w:pPr>
              <w:spacing w:before="60" w:after="60" w:line="240" w:lineRule="auto"/>
              <w:jc w:val="both"/>
              <w:rPr>
                <w:rFonts w:ascii="Times New Roman" w:hAnsi="Times New Roman"/>
                <w:b/>
                <w:sz w:val="24"/>
                <w:szCs w:val="24"/>
                <w:lang w:val="en-IN"/>
              </w:rPr>
            </w:pPr>
          </w:p>
        </w:tc>
        <w:tc>
          <w:tcPr>
            <w:tcW w:w="2484" w:type="dxa"/>
            <w:vAlign w:val="center"/>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F3: LB+ A3+B3+C</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0.4</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0.6</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642738">
        <w:trPr>
          <w:trHeight w:val="20"/>
          <w:jc w:val="center"/>
        </w:trPr>
        <w:tc>
          <w:tcPr>
            <w:tcW w:w="1584" w:type="dxa"/>
            <w:vMerge/>
            <w:vAlign w:val="center"/>
          </w:tcPr>
          <w:p w:rsidR="00642738" w:rsidRDefault="00642738">
            <w:pPr>
              <w:spacing w:before="60" w:after="60" w:line="240" w:lineRule="auto"/>
              <w:jc w:val="both"/>
              <w:rPr>
                <w:rFonts w:ascii="Times New Roman" w:hAnsi="Times New Roman"/>
                <w:b/>
                <w:sz w:val="24"/>
                <w:szCs w:val="24"/>
                <w:lang w:val="en-IN"/>
              </w:rPr>
            </w:pPr>
          </w:p>
        </w:tc>
        <w:tc>
          <w:tcPr>
            <w:tcW w:w="2484" w:type="dxa"/>
            <w:vAlign w:val="center"/>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F4: LB+ A4+B4+C</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0.5</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0.5</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642738">
        <w:trPr>
          <w:trHeight w:val="20"/>
          <w:jc w:val="center"/>
        </w:trPr>
        <w:tc>
          <w:tcPr>
            <w:tcW w:w="1584" w:type="dxa"/>
            <w:vMerge w:val="restart"/>
            <w:vAlign w:val="center"/>
          </w:tcPr>
          <w:p w:rsidR="00642738" w:rsidRDefault="00B34E1E">
            <w:pPr>
              <w:spacing w:before="60" w:after="60" w:line="240" w:lineRule="auto"/>
              <w:jc w:val="both"/>
              <w:rPr>
                <w:rFonts w:ascii="Times New Roman" w:hAnsi="Times New Roman"/>
                <w:b/>
                <w:sz w:val="24"/>
                <w:szCs w:val="24"/>
                <w:lang w:val="en-IN"/>
              </w:rPr>
            </w:pPr>
            <w:r>
              <w:rPr>
                <w:rFonts w:ascii="Times New Roman" w:hAnsi="Times New Roman"/>
                <w:b/>
                <w:sz w:val="24"/>
                <w:szCs w:val="24"/>
                <w:lang w:val="en-IN"/>
              </w:rPr>
              <w:t>PSA 5</w:t>
            </w:r>
          </w:p>
        </w:tc>
        <w:tc>
          <w:tcPr>
            <w:tcW w:w="2484" w:type="dxa"/>
            <w:vAlign w:val="center"/>
          </w:tcPr>
          <w:p w:rsidR="00642738" w:rsidRDefault="00B34E1E">
            <w:pPr>
              <w:spacing w:before="60" w:after="60" w:line="240" w:lineRule="auto"/>
              <w:jc w:val="both"/>
              <w:rPr>
                <w:rFonts w:ascii="Times New Roman" w:hAnsi="Times New Roman"/>
                <w:b/>
                <w:sz w:val="24"/>
                <w:szCs w:val="24"/>
                <w:lang w:val="en-IN"/>
              </w:rPr>
            </w:pPr>
            <w:r>
              <w:rPr>
                <w:rFonts w:ascii="Times New Roman" w:hAnsi="Times New Roman"/>
                <w:sz w:val="24"/>
                <w:szCs w:val="24"/>
                <w:lang w:val="en-IN"/>
              </w:rPr>
              <w:t>F5: LB+A1+B1+C</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0.2</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0.8</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642738">
        <w:trPr>
          <w:trHeight w:val="20"/>
          <w:jc w:val="center"/>
        </w:trPr>
        <w:tc>
          <w:tcPr>
            <w:tcW w:w="1584" w:type="dxa"/>
            <w:vMerge/>
            <w:vAlign w:val="center"/>
          </w:tcPr>
          <w:p w:rsidR="00642738" w:rsidRDefault="00642738">
            <w:pPr>
              <w:spacing w:before="60" w:after="60" w:line="240" w:lineRule="auto"/>
              <w:jc w:val="both"/>
              <w:rPr>
                <w:rFonts w:ascii="Times New Roman" w:hAnsi="Times New Roman"/>
                <w:b/>
                <w:sz w:val="24"/>
                <w:szCs w:val="24"/>
                <w:lang w:val="en-IN"/>
              </w:rPr>
            </w:pPr>
          </w:p>
        </w:tc>
        <w:tc>
          <w:tcPr>
            <w:tcW w:w="2484" w:type="dxa"/>
            <w:vAlign w:val="center"/>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F6: LB+ A2+B2+C</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0.3</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0.7</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642738">
        <w:trPr>
          <w:trHeight w:val="20"/>
          <w:jc w:val="center"/>
        </w:trPr>
        <w:tc>
          <w:tcPr>
            <w:tcW w:w="1584" w:type="dxa"/>
            <w:vMerge/>
            <w:vAlign w:val="center"/>
          </w:tcPr>
          <w:p w:rsidR="00642738" w:rsidRDefault="00642738">
            <w:pPr>
              <w:spacing w:before="60" w:after="60" w:line="240" w:lineRule="auto"/>
              <w:jc w:val="both"/>
              <w:rPr>
                <w:rFonts w:ascii="Times New Roman" w:hAnsi="Times New Roman"/>
                <w:b/>
                <w:sz w:val="24"/>
                <w:szCs w:val="24"/>
                <w:lang w:val="en-IN"/>
              </w:rPr>
            </w:pPr>
          </w:p>
        </w:tc>
        <w:tc>
          <w:tcPr>
            <w:tcW w:w="2484" w:type="dxa"/>
            <w:vAlign w:val="center"/>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F7: LB+ A3+B3+C</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0.4</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0.6</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642738">
        <w:trPr>
          <w:trHeight w:val="20"/>
          <w:jc w:val="center"/>
        </w:trPr>
        <w:tc>
          <w:tcPr>
            <w:tcW w:w="1584" w:type="dxa"/>
            <w:vMerge/>
            <w:vAlign w:val="center"/>
          </w:tcPr>
          <w:p w:rsidR="00642738" w:rsidRDefault="00642738">
            <w:pPr>
              <w:spacing w:before="60" w:after="60" w:line="240" w:lineRule="auto"/>
              <w:jc w:val="both"/>
              <w:rPr>
                <w:rFonts w:ascii="Times New Roman" w:hAnsi="Times New Roman"/>
                <w:b/>
                <w:sz w:val="24"/>
                <w:szCs w:val="24"/>
                <w:lang w:val="en-IN"/>
              </w:rPr>
            </w:pPr>
          </w:p>
        </w:tc>
        <w:tc>
          <w:tcPr>
            <w:tcW w:w="2484" w:type="dxa"/>
            <w:vAlign w:val="center"/>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F8: LB+ A4+B4+C</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0.5</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0.5</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642738">
        <w:trPr>
          <w:trHeight w:val="20"/>
          <w:jc w:val="center"/>
        </w:trPr>
        <w:tc>
          <w:tcPr>
            <w:tcW w:w="1584" w:type="dxa"/>
            <w:vMerge w:val="restart"/>
            <w:vAlign w:val="center"/>
          </w:tcPr>
          <w:p w:rsidR="00642738" w:rsidRDefault="00B34E1E">
            <w:pPr>
              <w:spacing w:before="60" w:after="60" w:line="240" w:lineRule="auto"/>
              <w:jc w:val="both"/>
              <w:rPr>
                <w:rFonts w:ascii="Times New Roman" w:hAnsi="Times New Roman"/>
                <w:b/>
                <w:sz w:val="24"/>
                <w:szCs w:val="24"/>
                <w:lang w:val="en-IN"/>
              </w:rPr>
            </w:pPr>
            <w:r>
              <w:rPr>
                <w:rFonts w:ascii="Times New Roman" w:hAnsi="Times New Roman"/>
                <w:b/>
                <w:sz w:val="24"/>
                <w:szCs w:val="24"/>
                <w:lang w:val="en-IN"/>
              </w:rPr>
              <w:t>PPFM 33</w:t>
            </w:r>
          </w:p>
        </w:tc>
        <w:tc>
          <w:tcPr>
            <w:tcW w:w="2484" w:type="dxa"/>
            <w:vAlign w:val="center"/>
          </w:tcPr>
          <w:p w:rsidR="00642738" w:rsidRDefault="00B34E1E">
            <w:pPr>
              <w:spacing w:before="60" w:after="60" w:line="240" w:lineRule="auto"/>
              <w:jc w:val="both"/>
              <w:rPr>
                <w:rFonts w:ascii="Times New Roman" w:hAnsi="Times New Roman"/>
                <w:b/>
                <w:sz w:val="24"/>
                <w:szCs w:val="24"/>
                <w:lang w:val="en-IN"/>
              </w:rPr>
            </w:pPr>
            <w:r>
              <w:rPr>
                <w:rFonts w:ascii="Times New Roman" w:hAnsi="Times New Roman"/>
                <w:sz w:val="24"/>
                <w:szCs w:val="24"/>
                <w:lang w:val="en-IN"/>
              </w:rPr>
              <w:t>F9: LB+A1+B1+C</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0.2</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0.8</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642738">
        <w:trPr>
          <w:trHeight w:val="20"/>
          <w:jc w:val="center"/>
        </w:trPr>
        <w:tc>
          <w:tcPr>
            <w:tcW w:w="1584" w:type="dxa"/>
            <w:vMerge/>
            <w:vAlign w:val="center"/>
          </w:tcPr>
          <w:p w:rsidR="00642738" w:rsidRDefault="00642738">
            <w:pPr>
              <w:spacing w:before="60" w:after="60" w:line="240" w:lineRule="auto"/>
              <w:jc w:val="both"/>
              <w:rPr>
                <w:rFonts w:ascii="Times New Roman" w:hAnsi="Times New Roman"/>
                <w:b/>
                <w:sz w:val="24"/>
                <w:szCs w:val="24"/>
                <w:lang w:val="en-IN"/>
              </w:rPr>
            </w:pPr>
          </w:p>
        </w:tc>
        <w:tc>
          <w:tcPr>
            <w:tcW w:w="2484" w:type="dxa"/>
            <w:vAlign w:val="center"/>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F10: LB+ A2+B2+C</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0.3</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0.7</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642738">
        <w:trPr>
          <w:trHeight w:val="20"/>
          <w:jc w:val="center"/>
        </w:trPr>
        <w:tc>
          <w:tcPr>
            <w:tcW w:w="1584" w:type="dxa"/>
            <w:vMerge/>
            <w:vAlign w:val="center"/>
          </w:tcPr>
          <w:p w:rsidR="00642738" w:rsidRDefault="00642738">
            <w:pPr>
              <w:spacing w:before="60" w:after="60" w:line="240" w:lineRule="auto"/>
              <w:jc w:val="both"/>
              <w:rPr>
                <w:rFonts w:ascii="Times New Roman" w:hAnsi="Times New Roman"/>
                <w:b/>
                <w:sz w:val="24"/>
                <w:szCs w:val="24"/>
                <w:lang w:val="en-IN"/>
              </w:rPr>
            </w:pPr>
          </w:p>
        </w:tc>
        <w:tc>
          <w:tcPr>
            <w:tcW w:w="2484" w:type="dxa"/>
            <w:vAlign w:val="center"/>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 xml:space="preserve">F11: LB+ </w:t>
            </w:r>
            <w:r>
              <w:rPr>
                <w:rFonts w:ascii="Times New Roman" w:hAnsi="Times New Roman"/>
                <w:sz w:val="24"/>
                <w:szCs w:val="24"/>
                <w:lang w:val="en-IN"/>
              </w:rPr>
              <w:t>A3+B3+C</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0.4</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0.6</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642738">
        <w:trPr>
          <w:trHeight w:val="20"/>
          <w:jc w:val="center"/>
        </w:trPr>
        <w:tc>
          <w:tcPr>
            <w:tcW w:w="1584" w:type="dxa"/>
            <w:vMerge/>
            <w:vAlign w:val="center"/>
          </w:tcPr>
          <w:p w:rsidR="00642738" w:rsidRDefault="00642738">
            <w:pPr>
              <w:spacing w:before="60" w:after="60" w:line="240" w:lineRule="auto"/>
              <w:jc w:val="both"/>
              <w:rPr>
                <w:rFonts w:ascii="Times New Roman" w:hAnsi="Times New Roman"/>
                <w:b/>
                <w:sz w:val="24"/>
                <w:szCs w:val="24"/>
                <w:lang w:val="en-IN"/>
              </w:rPr>
            </w:pPr>
          </w:p>
        </w:tc>
        <w:tc>
          <w:tcPr>
            <w:tcW w:w="2484" w:type="dxa"/>
            <w:vAlign w:val="center"/>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F12: LB+ A4+B4+C</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0.5</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0.5</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642738">
        <w:trPr>
          <w:trHeight w:val="20"/>
          <w:jc w:val="center"/>
        </w:trPr>
        <w:tc>
          <w:tcPr>
            <w:tcW w:w="1584" w:type="dxa"/>
            <w:vMerge w:val="restart"/>
            <w:vAlign w:val="center"/>
          </w:tcPr>
          <w:p w:rsidR="00642738" w:rsidRDefault="00B34E1E">
            <w:pPr>
              <w:spacing w:before="60" w:after="60" w:line="240" w:lineRule="auto"/>
              <w:jc w:val="both"/>
              <w:rPr>
                <w:rFonts w:ascii="Times New Roman" w:hAnsi="Times New Roman"/>
                <w:b/>
                <w:sz w:val="24"/>
                <w:szCs w:val="24"/>
                <w:lang w:val="en-IN"/>
              </w:rPr>
            </w:pPr>
            <w:r>
              <w:rPr>
                <w:rFonts w:ascii="Times New Roman" w:hAnsi="Times New Roman"/>
                <w:b/>
                <w:sz w:val="24"/>
                <w:szCs w:val="24"/>
                <w:lang w:val="en-IN"/>
              </w:rPr>
              <w:t>LAB 75</w:t>
            </w:r>
          </w:p>
        </w:tc>
        <w:tc>
          <w:tcPr>
            <w:tcW w:w="2484" w:type="dxa"/>
            <w:vAlign w:val="center"/>
          </w:tcPr>
          <w:p w:rsidR="00642738" w:rsidRDefault="00B34E1E">
            <w:pPr>
              <w:spacing w:before="60" w:after="60" w:line="240" w:lineRule="auto"/>
              <w:jc w:val="both"/>
              <w:rPr>
                <w:rFonts w:ascii="Times New Roman" w:hAnsi="Times New Roman"/>
                <w:b/>
                <w:sz w:val="24"/>
                <w:szCs w:val="24"/>
                <w:lang w:val="en-IN"/>
              </w:rPr>
            </w:pPr>
            <w:r>
              <w:rPr>
                <w:rFonts w:ascii="Times New Roman" w:hAnsi="Times New Roman"/>
                <w:sz w:val="24"/>
                <w:szCs w:val="24"/>
                <w:lang w:val="en-IN"/>
              </w:rPr>
              <w:t>F13: LB+A1+B1+C</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0.2</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0.8</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642738">
        <w:trPr>
          <w:trHeight w:val="20"/>
          <w:jc w:val="center"/>
        </w:trPr>
        <w:tc>
          <w:tcPr>
            <w:tcW w:w="1584" w:type="dxa"/>
            <w:vMerge/>
            <w:vAlign w:val="center"/>
          </w:tcPr>
          <w:p w:rsidR="00642738" w:rsidRDefault="00642738">
            <w:pPr>
              <w:spacing w:before="60" w:after="60" w:line="240" w:lineRule="auto"/>
              <w:jc w:val="both"/>
              <w:rPr>
                <w:rFonts w:ascii="Times New Roman" w:hAnsi="Times New Roman"/>
                <w:b/>
                <w:sz w:val="24"/>
                <w:szCs w:val="24"/>
                <w:lang w:val="en-IN"/>
              </w:rPr>
            </w:pPr>
          </w:p>
        </w:tc>
        <w:tc>
          <w:tcPr>
            <w:tcW w:w="2484" w:type="dxa"/>
            <w:vAlign w:val="center"/>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F14: LB+ A2+B2+C</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0.3</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0.7</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642738">
        <w:trPr>
          <w:trHeight w:val="20"/>
          <w:jc w:val="center"/>
        </w:trPr>
        <w:tc>
          <w:tcPr>
            <w:tcW w:w="1584" w:type="dxa"/>
            <w:vMerge/>
            <w:vAlign w:val="center"/>
          </w:tcPr>
          <w:p w:rsidR="00642738" w:rsidRDefault="00642738">
            <w:pPr>
              <w:spacing w:before="60" w:after="60" w:line="240" w:lineRule="auto"/>
              <w:jc w:val="both"/>
              <w:rPr>
                <w:rFonts w:ascii="Times New Roman" w:hAnsi="Times New Roman"/>
                <w:b/>
                <w:sz w:val="24"/>
                <w:szCs w:val="24"/>
                <w:lang w:val="en-IN"/>
              </w:rPr>
            </w:pPr>
          </w:p>
        </w:tc>
        <w:tc>
          <w:tcPr>
            <w:tcW w:w="2484" w:type="dxa"/>
            <w:vAlign w:val="center"/>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F15: LB+ A3+B3+C</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0.4</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0.6</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642738">
        <w:trPr>
          <w:trHeight w:val="20"/>
          <w:jc w:val="center"/>
        </w:trPr>
        <w:tc>
          <w:tcPr>
            <w:tcW w:w="1584" w:type="dxa"/>
            <w:vMerge/>
            <w:vAlign w:val="center"/>
          </w:tcPr>
          <w:p w:rsidR="00642738" w:rsidRDefault="00642738">
            <w:pPr>
              <w:spacing w:before="60" w:after="60" w:line="240" w:lineRule="auto"/>
              <w:jc w:val="both"/>
              <w:rPr>
                <w:rFonts w:ascii="Times New Roman" w:hAnsi="Times New Roman"/>
                <w:b/>
                <w:sz w:val="24"/>
                <w:szCs w:val="24"/>
                <w:lang w:val="en-IN"/>
              </w:rPr>
            </w:pPr>
          </w:p>
        </w:tc>
        <w:tc>
          <w:tcPr>
            <w:tcW w:w="2484" w:type="dxa"/>
            <w:vAlign w:val="center"/>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F16: LB+ A4+B4+C</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0.5</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0.5</w:t>
            </w:r>
          </w:p>
        </w:tc>
        <w:tc>
          <w:tcPr>
            <w:tcW w:w="1584" w:type="dxa"/>
            <w:vAlign w:val="bottom"/>
          </w:tcPr>
          <w:p w:rsidR="00642738" w:rsidRDefault="00B34E1E">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bl>
    <w:p w:rsidR="00642738" w:rsidRDefault="00642738">
      <w:pPr>
        <w:tabs>
          <w:tab w:val="left" w:pos="360"/>
        </w:tabs>
        <w:spacing w:after="0" w:line="240" w:lineRule="auto"/>
        <w:jc w:val="both"/>
        <w:rPr>
          <w:rFonts w:ascii="Times New Roman" w:hAnsi="Times New Roman"/>
          <w:sz w:val="24"/>
          <w:szCs w:val="24"/>
        </w:rPr>
      </w:pPr>
    </w:p>
    <w:p w:rsidR="00642738" w:rsidRDefault="00B34E1E">
      <w:pPr>
        <w:tabs>
          <w:tab w:val="left" w:pos="360"/>
        </w:tabs>
        <w:spacing w:after="0" w:line="240" w:lineRule="auto"/>
        <w:jc w:val="both"/>
        <w:rPr>
          <w:rFonts w:ascii="Times New Roman" w:hAnsi="Times New Roman"/>
          <w:sz w:val="24"/>
          <w:szCs w:val="24"/>
        </w:rPr>
      </w:pPr>
      <w:r>
        <w:rPr>
          <w:rFonts w:ascii="Times New Roman" w:hAnsi="Times New Roman"/>
          <w:sz w:val="24"/>
          <w:szCs w:val="24"/>
        </w:rPr>
        <w:t xml:space="preserve">A1=0.2% PEG, A2= 0.3% PEG, A3= 0.4% PEG, A4= 0.5% PEG, B1=0.8% </w:t>
      </w:r>
      <w:r>
        <w:rPr>
          <w:rFonts w:ascii="Times New Roman" w:hAnsi="Times New Roman"/>
          <w:sz w:val="24"/>
          <w:szCs w:val="24"/>
        </w:rPr>
        <w:t>Glycerol, B2=0.7% Glycerol, B3= 0.6% Glycerol, B4= O.5% Glycerol, C=0.02% L- ascorbic acid</w:t>
      </w:r>
    </w:p>
    <w:p w:rsidR="00642738" w:rsidRDefault="00642738">
      <w:pPr>
        <w:tabs>
          <w:tab w:val="left" w:pos="360"/>
        </w:tabs>
        <w:spacing w:after="0" w:line="240" w:lineRule="auto"/>
        <w:jc w:val="both"/>
        <w:rPr>
          <w:rFonts w:ascii="Times New Roman" w:hAnsi="Times New Roman"/>
          <w:sz w:val="24"/>
          <w:szCs w:val="24"/>
        </w:rPr>
      </w:pPr>
    </w:p>
    <w:p w:rsidR="00642738" w:rsidRDefault="00642738">
      <w:pPr>
        <w:tabs>
          <w:tab w:val="left" w:pos="360"/>
        </w:tabs>
        <w:spacing w:after="0" w:line="240" w:lineRule="auto"/>
        <w:jc w:val="both"/>
        <w:rPr>
          <w:rFonts w:ascii="Times New Roman" w:hAnsi="Times New Roman"/>
          <w:sz w:val="24"/>
          <w:szCs w:val="24"/>
        </w:rPr>
      </w:pPr>
    </w:p>
    <w:p w:rsidR="00642738" w:rsidRDefault="00642738">
      <w:pPr>
        <w:tabs>
          <w:tab w:val="left" w:pos="360"/>
        </w:tabs>
        <w:spacing w:after="0" w:line="240" w:lineRule="auto"/>
        <w:jc w:val="both"/>
        <w:rPr>
          <w:rFonts w:ascii="Times New Roman" w:hAnsi="Times New Roman"/>
          <w:sz w:val="24"/>
          <w:szCs w:val="24"/>
        </w:rPr>
      </w:pPr>
    </w:p>
    <w:p w:rsidR="00642738" w:rsidRDefault="00B34E1E">
      <w:pPr>
        <w:pStyle w:val="Heading1"/>
        <w:spacing w:line="360" w:lineRule="auto"/>
        <w:ind w:left="0"/>
        <w:rPr>
          <w:sz w:val="24"/>
          <w:szCs w:val="24"/>
        </w:rPr>
      </w:pPr>
      <w:r>
        <w:rPr>
          <w:sz w:val="24"/>
          <w:szCs w:val="24"/>
        </w:rPr>
        <w:t>3. Results and Discussion</w:t>
      </w:r>
    </w:p>
    <w:p w:rsidR="00642738" w:rsidRDefault="00B34E1E">
      <w:pPr>
        <w:spacing w:before="120" w:after="120" w:line="440" w:lineRule="atLeast"/>
        <w:jc w:val="both"/>
        <w:rPr>
          <w:rFonts w:ascii="Times New Roman" w:hAnsi="Times New Roman"/>
          <w:sz w:val="24"/>
          <w:szCs w:val="24"/>
        </w:rPr>
      </w:pPr>
      <w:r>
        <w:rPr>
          <w:rFonts w:ascii="Times New Roman" w:hAnsi="Times New Roman"/>
          <w:sz w:val="24"/>
          <w:szCs w:val="24"/>
        </w:rPr>
        <w:lastRenderedPageBreak/>
        <w:t>To develop liquid formulation of different consortia containing four microbial strains, Luria bertani media was amended with additives (</w:t>
      </w:r>
      <w:r>
        <w:rPr>
          <w:rFonts w:ascii="Times New Roman" w:hAnsi="Times New Roman"/>
          <w:sz w:val="24"/>
          <w:szCs w:val="24"/>
        </w:rPr>
        <w:t>polyethylene glycol, glycerol) and antioxidant (ascorbic acid) in different concentrations. All 16 formulations were screened based on their ability to support growth and support higher populations of microbial strain. It was observed from table 2 that for</w:t>
      </w:r>
      <w:r>
        <w:rPr>
          <w:rFonts w:ascii="Times New Roman" w:hAnsi="Times New Roman"/>
          <w:sz w:val="24"/>
          <w:szCs w:val="24"/>
        </w:rPr>
        <w:t>mulation 3, 7, 10, 16 had recorded higher populations. Hence, these four formulations namely formulation 3 (LB+0.4% Polyethylene glycol + 0.6% glycerol+ 0.02% ascorbic acid- for PSA 7), formulation 7 (LB+0.4% Polyethylene glycol + 0.6% glycerol+ 0.02% asco</w:t>
      </w:r>
      <w:r>
        <w:rPr>
          <w:rFonts w:ascii="Times New Roman" w:hAnsi="Times New Roman"/>
          <w:sz w:val="24"/>
          <w:szCs w:val="24"/>
        </w:rPr>
        <w:t>rbic acid- for PSA 5), formulation 10 (LB+0.3% Polyethylene glycol + 0.7% glycerol+ 0.02% ascorbic acid- for PPFM 33), formulation 16 (LB+0.5% Polyethylene glycol + 0.5% glycerol+ 0.02% ascorbic acid- for LAB 75) were selected for further to formulate cons</w:t>
      </w:r>
      <w:r>
        <w:rPr>
          <w:rFonts w:ascii="Times New Roman" w:hAnsi="Times New Roman"/>
          <w:sz w:val="24"/>
          <w:szCs w:val="24"/>
        </w:rPr>
        <w:t xml:space="preserve">ortia. </w:t>
      </w:r>
    </w:p>
    <w:p w:rsidR="00642738" w:rsidRDefault="00B34E1E">
      <w:pPr>
        <w:spacing w:before="120" w:after="120" w:line="440" w:lineRule="atLeast"/>
        <w:jc w:val="both"/>
        <w:rPr>
          <w:rFonts w:ascii="Times New Roman" w:hAnsi="Times New Roman"/>
          <w:sz w:val="24"/>
          <w:szCs w:val="24"/>
        </w:rPr>
      </w:pPr>
      <w:r>
        <w:rPr>
          <w:rFonts w:ascii="Times New Roman" w:hAnsi="Times New Roman"/>
          <w:sz w:val="24"/>
          <w:szCs w:val="24"/>
          <w:lang w:val="en-IN"/>
        </w:rPr>
        <w:t xml:space="preserve">Similarly, Prakash (2018) studied 32 different liquid formulations with combinations of different cell protectants and their effect on </w:t>
      </w:r>
      <w:r>
        <w:rPr>
          <w:rFonts w:ascii="Times New Roman" w:hAnsi="Times New Roman"/>
          <w:i/>
          <w:sz w:val="24"/>
          <w:szCs w:val="24"/>
          <w:lang w:val="en-IN"/>
        </w:rPr>
        <w:t>Gluconacetobacter</w:t>
      </w:r>
      <w:r>
        <w:rPr>
          <w:rFonts w:ascii="Times New Roman" w:hAnsi="Times New Roman"/>
          <w:sz w:val="24"/>
          <w:szCs w:val="24"/>
          <w:lang w:val="en-IN"/>
        </w:rPr>
        <w:t xml:space="preserve"> and top six formulations which supported maximum growth of isolate were selected and observed t</w:t>
      </w:r>
      <w:r>
        <w:rPr>
          <w:rFonts w:ascii="Times New Roman" w:hAnsi="Times New Roman"/>
          <w:sz w:val="24"/>
          <w:szCs w:val="24"/>
          <w:lang w:val="en-IN"/>
        </w:rPr>
        <w:t xml:space="preserve">hat the population of this organism increased due to amendments. </w:t>
      </w:r>
      <w:r>
        <w:rPr>
          <w:rFonts w:ascii="Times New Roman" w:hAnsi="Times New Roman"/>
          <w:sz w:val="24"/>
          <w:szCs w:val="24"/>
        </w:rPr>
        <w:t xml:space="preserve">Daniel </w:t>
      </w:r>
      <w:r>
        <w:rPr>
          <w:rFonts w:ascii="Times New Roman" w:hAnsi="Times New Roman"/>
          <w:i/>
          <w:sz w:val="24"/>
          <w:szCs w:val="24"/>
        </w:rPr>
        <w:t>et al.</w:t>
      </w:r>
      <w:r>
        <w:rPr>
          <w:rFonts w:ascii="Times New Roman" w:hAnsi="Times New Roman"/>
          <w:sz w:val="24"/>
          <w:szCs w:val="24"/>
        </w:rPr>
        <w:t xml:space="preserve"> (2013) examined the impact of polymeric adjuvants, surfactants, and additives on the growth, shelf life, and bio-efficacy of three liquid bioinoculants: </w:t>
      </w:r>
      <w:r>
        <w:rPr>
          <w:rFonts w:ascii="Times New Roman" w:hAnsi="Times New Roman"/>
          <w:i/>
          <w:sz w:val="24"/>
          <w:szCs w:val="24"/>
        </w:rPr>
        <w:t xml:space="preserve">B. megaterium var. </w:t>
      </w:r>
      <w:r>
        <w:rPr>
          <w:rFonts w:ascii="Times New Roman" w:hAnsi="Times New Roman"/>
          <w:i/>
          <w:sz w:val="24"/>
          <w:szCs w:val="24"/>
        </w:rPr>
        <w:t>phosphaticum, Azospirillum brasilense, and Azotobacter chroococcum.</w:t>
      </w:r>
      <w:r>
        <w:rPr>
          <w:rFonts w:ascii="Times New Roman" w:hAnsi="Times New Roman"/>
          <w:sz w:val="24"/>
          <w:szCs w:val="24"/>
        </w:rPr>
        <w:t xml:space="preserve"> These inoculants promoted the long-term survival of </w:t>
      </w:r>
      <w:r>
        <w:rPr>
          <w:rFonts w:ascii="Times New Roman" w:hAnsi="Times New Roman"/>
          <w:i/>
          <w:sz w:val="24"/>
          <w:szCs w:val="24"/>
        </w:rPr>
        <w:t xml:space="preserve">B. megaterium, Azospirillum, </w:t>
      </w:r>
      <w:r>
        <w:rPr>
          <w:rFonts w:ascii="Times New Roman" w:hAnsi="Times New Roman"/>
          <w:sz w:val="24"/>
          <w:szCs w:val="24"/>
        </w:rPr>
        <w:t>and</w:t>
      </w:r>
      <w:r>
        <w:rPr>
          <w:rFonts w:ascii="Times New Roman" w:hAnsi="Times New Roman"/>
          <w:i/>
          <w:sz w:val="24"/>
          <w:szCs w:val="24"/>
        </w:rPr>
        <w:t xml:space="preserve"> Azotobacter</w:t>
      </w:r>
      <w:r>
        <w:rPr>
          <w:rFonts w:ascii="Times New Roman" w:hAnsi="Times New Roman"/>
          <w:sz w:val="24"/>
          <w:szCs w:val="24"/>
        </w:rPr>
        <w:t xml:space="preserve"> with 5.6 x 10</w:t>
      </w:r>
      <w:r>
        <w:rPr>
          <w:rFonts w:ascii="Times New Roman" w:hAnsi="Times New Roman"/>
          <w:sz w:val="24"/>
          <w:szCs w:val="24"/>
          <w:vertAlign w:val="superscript"/>
        </w:rPr>
        <w:t>7</w:t>
      </w:r>
      <w:r>
        <w:rPr>
          <w:rFonts w:ascii="Times New Roman" w:hAnsi="Times New Roman"/>
          <w:sz w:val="24"/>
          <w:szCs w:val="24"/>
        </w:rPr>
        <w:t>, 1.9 x 10</w:t>
      </w:r>
      <w:r>
        <w:rPr>
          <w:rFonts w:ascii="Times New Roman" w:hAnsi="Times New Roman"/>
          <w:sz w:val="24"/>
          <w:szCs w:val="24"/>
          <w:vertAlign w:val="superscript"/>
        </w:rPr>
        <w:t>8</w:t>
      </w:r>
      <w:r>
        <w:rPr>
          <w:rFonts w:ascii="Times New Roman" w:hAnsi="Times New Roman"/>
          <w:sz w:val="24"/>
          <w:szCs w:val="24"/>
        </w:rPr>
        <w:t>, and 3.5 x 10</w:t>
      </w:r>
      <w:r>
        <w:rPr>
          <w:rFonts w:ascii="Times New Roman" w:hAnsi="Times New Roman"/>
          <w:sz w:val="24"/>
          <w:szCs w:val="24"/>
          <w:vertAlign w:val="superscript"/>
        </w:rPr>
        <w:t>7</w:t>
      </w:r>
      <w:r>
        <w:rPr>
          <w:rFonts w:ascii="Times New Roman" w:hAnsi="Times New Roman"/>
          <w:sz w:val="24"/>
          <w:szCs w:val="24"/>
        </w:rPr>
        <w:t xml:space="preserve"> CFU/ml respectively, after 480 days of formulation</w:t>
      </w:r>
      <w:r>
        <w:rPr>
          <w:rFonts w:ascii="Times New Roman" w:hAnsi="Times New Roman"/>
          <w:sz w:val="24"/>
          <w:szCs w:val="24"/>
        </w:rPr>
        <w:t xml:space="preserve"> when stored at 30</w:t>
      </w:r>
      <w:r>
        <w:rPr>
          <w:rFonts w:ascii="Times New Roman" w:hAnsi="Times New Roman"/>
          <w:sz w:val="24"/>
          <w:szCs w:val="24"/>
          <w:vertAlign w:val="superscript"/>
        </w:rPr>
        <w:t>o</w:t>
      </w:r>
      <w:r>
        <w:rPr>
          <w:rFonts w:ascii="Times New Roman" w:hAnsi="Times New Roman"/>
          <w:sz w:val="24"/>
          <w:szCs w:val="24"/>
        </w:rPr>
        <w:t>C. They were made with 2 percent PVP, 0.1 percent carboxy methylcellulose (CMC), and 0.025 percent Polysorbate-20. This also gives idea that different microbial strains require different concentrations of cell protectants for their growt</w:t>
      </w:r>
      <w:r>
        <w:rPr>
          <w:rFonts w:ascii="Times New Roman" w:hAnsi="Times New Roman"/>
          <w:sz w:val="24"/>
          <w:szCs w:val="24"/>
        </w:rPr>
        <w:t xml:space="preserve">h and also different types of amendments will have different roles. Jaiswal </w:t>
      </w:r>
      <w:r>
        <w:rPr>
          <w:rFonts w:ascii="Times New Roman" w:hAnsi="Times New Roman"/>
          <w:i/>
          <w:iCs/>
          <w:sz w:val="24"/>
          <w:szCs w:val="24"/>
        </w:rPr>
        <w:t>et al</w:t>
      </w:r>
      <w:r>
        <w:rPr>
          <w:rFonts w:ascii="Times New Roman" w:hAnsi="Times New Roman"/>
          <w:sz w:val="24"/>
          <w:szCs w:val="24"/>
        </w:rPr>
        <w:t xml:space="preserve">. (2022) has also studied effect of protective polymers and storage temperatures on shelf life of cyanobacterial liquid formulation and shown similar results. Similar </w:t>
      </w:r>
      <w:bookmarkStart w:id="0" w:name="_GoBack"/>
      <w:r>
        <w:rPr>
          <w:rFonts w:ascii="Times New Roman" w:hAnsi="Times New Roman"/>
          <w:sz w:val="24"/>
          <w:szCs w:val="24"/>
        </w:rPr>
        <w:t>resu</w:t>
      </w:r>
      <w:bookmarkEnd w:id="0"/>
      <w:r>
        <w:rPr>
          <w:rFonts w:ascii="Times New Roman" w:hAnsi="Times New Roman"/>
          <w:sz w:val="24"/>
          <w:szCs w:val="24"/>
        </w:rPr>
        <w:t xml:space="preserve">lts </w:t>
      </w:r>
      <w:r>
        <w:rPr>
          <w:rFonts w:ascii="Times New Roman" w:hAnsi="Times New Roman"/>
          <w:sz w:val="24"/>
          <w:szCs w:val="24"/>
        </w:rPr>
        <w:t xml:space="preserve">were obtained by Patil </w:t>
      </w:r>
      <w:r>
        <w:rPr>
          <w:rFonts w:ascii="Times New Roman" w:hAnsi="Times New Roman"/>
          <w:i/>
          <w:iCs/>
          <w:sz w:val="24"/>
          <w:szCs w:val="24"/>
        </w:rPr>
        <w:t>et al.</w:t>
      </w:r>
      <w:r>
        <w:rPr>
          <w:rFonts w:ascii="Times New Roman" w:hAnsi="Times New Roman"/>
          <w:sz w:val="24"/>
          <w:szCs w:val="24"/>
        </w:rPr>
        <w:t xml:space="preserve"> (2025). </w:t>
      </w:r>
    </w:p>
    <w:p w:rsidR="00642738" w:rsidRDefault="00B34E1E">
      <w:pPr>
        <w:spacing w:before="120" w:after="120" w:line="440" w:lineRule="atLeast"/>
        <w:jc w:val="both"/>
        <w:rPr>
          <w:rFonts w:ascii="Times New Roman" w:hAnsi="Times New Roman"/>
          <w:sz w:val="24"/>
          <w:szCs w:val="24"/>
        </w:rPr>
      </w:pPr>
      <w:r>
        <w:rPr>
          <w:rFonts w:ascii="Times New Roman" w:hAnsi="Times New Roman"/>
          <w:sz w:val="24"/>
          <w:szCs w:val="24"/>
        </w:rPr>
        <w:t xml:space="preserve">The results obtained showed that </w:t>
      </w:r>
      <w:r>
        <w:rPr>
          <w:rFonts w:ascii="Times New Roman" w:hAnsi="Times New Roman"/>
          <w:sz w:val="24"/>
          <w:szCs w:val="24"/>
          <w:lang w:val="en-IN"/>
        </w:rPr>
        <w:t>specific formulations containing polyethylene glycol, glycerol, and ascorbic acid significantly enhanced the population of different microbial strains, indicating the importance of opt</w:t>
      </w:r>
      <w:r>
        <w:rPr>
          <w:rFonts w:ascii="Times New Roman" w:hAnsi="Times New Roman"/>
          <w:sz w:val="24"/>
          <w:szCs w:val="24"/>
          <w:lang w:val="en-IN"/>
        </w:rPr>
        <w:t xml:space="preserve">imized additive concentrations for each strain. The study confirms that different microbial strains (PSA 7, PSA 5, PPFM 33, LAB 75) respond </w:t>
      </w:r>
      <w:r>
        <w:rPr>
          <w:rFonts w:ascii="Times New Roman" w:hAnsi="Times New Roman"/>
          <w:sz w:val="24"/>
          <w:szCs w:val="24"/>
          <w:lang w:val="en-IN"/>
        </w:rPr>
        <w:lastRenderedPageBreak/>
        <w:t>uniquely to varying concentrations of protectants, reinforcing the need for strain-specific liquid formulations.</w:t>
      </w:r>
    </w:p>
    <w:p w:rsidR="00642738" w:rsidRDefault="00B34E1E">
      <w:pPr>
        <w:spacing w:before="120" w:after="120" w:line="440" w:lineRule="atLeast"/>
        <w:jc w:val="both"/>
        <w:rPr>
          <w:rFonts w:ascii="Times New Roman" w:hAnsi="Times New Roman"/>
          <w:sz w:val="24"/>
          <w:szCs w:val="24"/>
        </w:rPr>
      </w:pPr>
      <w:r>
        <w:rPr>
          <w:rFonts w:ascii="Times New Roman" w:hAnsi="Times New Roman"/>
          <w:sz w:val="24"/>
          <w:szCs w:val="24"/>
        </w:rPr>
        <w:t>All</w:t>
      </w:r>
      <w:r>
        <w:rPr>
          <w:rFonts w:ascii="Times New Roman" w:hAnsi="Times New Roman"/>
          <w:sz w:val="24"/>
          <w:szCs w:val="24"/>
        </w:rPr>
        <w:t xml:space="preserve"> the four microbial strains were assessed for their growth in their respective specific medium (</w:t>
      </w:r>
      <w:r>
        <w:rPr>
          <w:rFonts w:ascii="Times New Roman" w:hAnsi="Times New Roman"/>
          <w:i/>
          <w:sz w:val="24"/>
          <w:szCs w:val="24"/>
        </w:rPr>
        <w:t>viz</w:t>
      </w:r>
      <w:r>
        <w:rPr>
          <w:rFonts w:ascii="Times New Roman" w:hAnsi="Times New Roman"/>
          <w:sz w:val="24"/>
          <w:szCs w:val="24"/>
        </w:rPr>
        <w:t>., starch casein agar for actinobacterial strains, glycerol peptone for PPFM 33, MRS for LAB 75) as well as in luria bertani (LB) broth. Growth of each micro</w:t>
      </w:r>
      <w:r>
        <w:rPr>
          <w:rFonts w:ascii="Times New Roman" w:hAnsi="Times New Roman"/>
          <w:sz w:val="24"/>
          <w:szCs w:val="24"/>
        </w:rPr>
        <w:t>bial strain was measured in terms of CFU/ml and optical density and is presented in Fig.1, Fig.2, Fig.3, Fig.4, Fig.5. It was evident (Fig.1, Fig.2, Fig.3, Fig.4, Fig.5) that growth of each microbial strain was different in common media (Luria bertani) med</w:t>
      </w:r>
      <w:r>
        <w:rPr>
          <w:rFonts w:ascii="Times New Roman" w:hAnsi="Times New Roman"/>
          <w:sz w:val="24"/>
          <w:szCs w:val="24"/>
        </w:rPr>
        <w:t>ia with and without protectants as compared to respective selective medium. Each of the strain appeared to reach the maximum growth at different period of time after incubation and this growth pattern was useful to bring synchrony while developing microbia</w:t>
      </w:r>
      <w:r>
        <w:rPr>
          <w:rFonts w:ascii="Times New Roman" w:hAnsi="Times New Roman"/>
          <w:sz w:val="24"/>
          <w:szCs w:val="24"/>
        </w:rPr>
        <w:t>l consortia. It was observed that LAB 75 was fast growing microbial strain, as it reached the maximum growth in 40 h after incubation with 33×10</w:t>
      </w:r>
      <w:r>
        <w:rPr>
          <w:rFonts w:ascii="Times New Roman" w:hAnsi="Times New Roman"/>
          <w:sz w:val="24"/>
          <w:szCs w:val="24"/>
          <w:vertAlign w:val="superscript"/>
        </w:rPr>
        <w:t>9</w:t>
      </w:r>
      <w:r>
        <w:rPr>
          <w:rFonts w:ascii="Times New Roman" w:hAnsi="Times New Roman"/>
          <w:sz w:val="24"/>
          <w:szCs w:val="24"/>
        </w:rPr>
        <w:t xml:space="preserve"> and 23×10</w:t>
      </w:r>
      <w:r>
        <w:rPr>
          <w:rFonts w:ascii="Times New Roman" w:hAnsi="Times New Roman"/>
          <w:sz w:val="24"/>
          <w:szCs w:val="24"/>
          <w:vertAlign w:val="superscript"/>
        </w:rPr>
        <w:t>9</w:t>
      </w:r>
      <w:r>
        <w:rPr>
          <w:rFonts w:ascii="Times New Roman" w:hAnsi="Times New Roman"/>
          <w:sz w:val="24"/>
          <w:szCs w:val="24"/>
        </w:rPr>
        <w:t xml:space="preserve"> CFU/ml and OD value of </w:t>
      </w:r>
      <w:r>
        <w:rPr>
          <w:rFonts w:ascii="Times New Roman" w:hAnsi="Times New Roman"/>
          <w:color w:val="000000"/>
          <w:sz w:val="24"/>
          <w:szCs w:val="24"/>
        </w:rPr>
        <w:t xml:space="preserve">1.8317 and 1.8292 </w:t>
      </w:r>
      <w:r>
        <w:rPr>
          <w:rFonts w:ascii="Times New Roman" w:hAnsi="Times New Roman"/>
          <w:sz w:val="24"/>
          <w:szCs w:val="24"/>
        </w:rPr>
        <w:t>in LB broth with and without protectants respectively. Als</w:t>
      </w:r>
      <w:r>
        <w:rPr>
          <w:rFonts w:ascii="Times New Roman" w:hAnsi="Times New Roman"/>
          <w:sz w:val="24"/>
          <w:szCs w:val="24"/>
        </w:rPr>
        <w:t>o 10×10</w:t>
      </w:r>
      <w:r>
        <w:rPr>
          <w:rFonts w:ascii="Times New Roman" w:hAnsi="Times New Roman"/>
          <w:sz w:val="24"/>
          <w:szCs w:val="24"/>
          <w:vertAlign w:val="superscript"/>
        </w:rPr>
        <w:t>9</w:t>
      </w:r>
      <w:r>
        <w:rPr>
          <w:rFonts w:ascii="Times New Roman" w:hAnsi="Times New Roman"/>
          <w:sz w:val="24"/>
          <w:szCs w:val="24"/>
        </w:rPr>
        <w:t xml:space="preserve"> CFU/ml was more in media with protectants as compared to without amended medium, while on specific media (MRS) it reached the maximum population at 56</w:t>
      </w:r>
      <w:r>
        <w:rPr>
          <w:rFonts w:ascii="Times New Roman" w:hAnsi="Times New Roman"/>
          <w:sz w:val="24"/>
          <w:szCs w:val="24"/>
          <w:vertAlign w:val="superscript"/>
        </w:rPr>
        <w:t>th</w:t>
      </w:r>
      <w:r>
        <w:rPr>
          <w:rFonts w:ascii="Times New Roman" w:hAnsi="Times New Roman"/>
          <w:sz w:val="24"/>
          <w:szCs w:val="24"/>
        </w:rPr>
        <w:t xml:space="preserve"> h with 18×10</w:t>
      </w:r>
      <w:r>
        <w:rPr>
          <w:rFonts w:ascii="Times New Roman" w:hAnsi="Times New Roman"/>
          <w:sz w:val="24"/>
          <w:szCs w:val="24"/>
          <w:vertAlign w:val="superscript"/>
        </w:rPr>
        <w:t>9</w:t>
      </w:r>
      <w:r>
        <w:rPr>
          <w:rFonts w:ascii="Times New Roman" w:hAnsi="Times New Roman"/>
          <w:sz w:val="24"/>
          <w:szCs w:val="24"/>
        </w:rPr>
        <w:t xml:space="preserve"> CFU/ml, followed by PPFM 33 which attained the maximum growth at 48</w:t>
      </w:r>
      <w:r>
        <w:rPr>
          <w:rFonts w:ascii="Times New Roman" w:hAnsi="Times New Roman"/>
          <w:sz w:val="24"/>
          <w:szCs w:val="24"/>
          <w:vertAlign w:val="superscript"/>
        </w:rPr>
        <w:t>th</w:t>
      </w:r>
      <w:r>
        <w:rPr>
          <w:rFonts w:ascii="Times New Roman" w:hAnsi="Times New Roman"/>
          <w:sz w:val="24"/>
          <w:szCs w:val="24"/>
        </w:rPr>
        <w:t xml:space="preserve"> h with 24.</w:t>
      </w:r>
      <w:r>
        <w:rPr>
          <w:rFonts w:ascii="Times New Roman" w:hAnsi="Times New Roman"/>
          <w:sz w:val="24"/>
          <w:szCs w:val="24"/>
        </w:rPr>
        <w:t>2×10</w:t>
      </w:r>
      <w:r>
        <w:rPr>
          <w:rFonts w:ascii="Times New Roman" w:hAnsi="Times New Roman"/>
          <w:sz w:val="24"/>
          <w:szCs w:val="24"/>
          <w:vertAlign w:val="superscript"/>
        </w:rPr>
        <w:t>9</w:t>
      </w:r>
      <w:r>
        <w:rPr>
          <w:rFonts w:ascii="Times New Roman" w:hAnsi="Times New Roman"/>
          <w:sz w:val="24"/>
          <w:szCs w:val="24"/>
        </w:rPr>
        <w:t xml:space="preserve"> and 15.5×10</w:t>
      </w:r>
      <w:r>
        <w:rPr>
          <w:rFonts w:ascii="Times New Roman" w:hAnsi="Times New Roman"/>
          <w:sz w:val="24"/>
          <w:szCs w:val="24"/>
          <w:vertAlign w:val="superscript"/>
        </w:rPr>
        <w:t>9</w:t>
      </w:r>
      <w:r>
        <w:rPr>
          <w:rFonts w:ascii="Times New Roman" w:hAnsi="Times New Roman"/>
          <w:sz w:val="24"/>
          <w:szCs w:val="24"/>
        </w:rPr>
        <w:t xml:space="preserve"> and OD value of </w:t>
      </w:r>
      <w:r>
        <w:rPr>
          <w:rFonts w:ascii="Times New Roman" w:hAnsi="Times New Roman"/>
          <w:color w:val="000000"/>
          <w:sz w:val="24"/>
          <w:szCs w:val="24"/>
        </w:rPr>
        <w:t xml:space="preserve">1.8135 and 1.8029 </w:t>
      </w:r>
      <w:r>
        <w:rPr>
          <w:rFonts w:ascii="Times New Roman" w:hAnsi="Times New Roman"/>
          <w:sz w:val="24"/>
          <w:szCs w:val="24"/>
        </w:rPr>
        <w:t>in LB broth with and without protectants respectively. About 8.7×10</w:t>
      </w:r>
      <w:r>
        <w:rPr>
          <w:rFonts w:ascii="Times New Roman" w:hAnsi="Times New Roman"/>
          <w:sz w:val="24"/>
          <w:szCs w:val="24"/>
          <w:vertAlign w:val="superscript"/>
        </w:rPr>
        <w:t>9</w:t>
      </w:r>
      <w:r>
        <w:rPr>
          <w:rFonts w:ascii="Times New Roman" w:hAnsi="Times New Roman"/>
          <w:sz w:val="24"/>
          <w:szCs w:val="24"/>
        </w:rPr>
        <w:t xml:space="preserve"> CFU/ml were more in media with protectants and on specific media (Glycerol peptone) reached the maximum population at 56</w:t>
      </w:r>
      <w:r>
        <w:rPr>
          <w:rFonts w:ascii="Times New Roman" w:hAnsi="Times New Roman"/>
          <w:sz w:val="24"/>
          <w:szCs w:val="24"/>
          <w:vertAlign w:val="superscript"/>
        </w:rPr>
        <w:t>th</w:t>
      </w:r>
      <w:r>
        <w:rPr>
          <w:rFonts w:ascii="Times New Roman" w:hAnsi="Times New Roman"/>
          <w:sz w:val="24"/>
          <w:szCs w:val="24"/>
        </w:rPr>
        <w:t xml:space="preserve"> h with 20×1</w:t>
      </w:r>
      <w:r>
        <w:rPr>
          <w:rFonts w:ascii="Times New Roman" w:hAnsi="Times New Roman"/>
          <w:sz w:val="24"/>
          <w:szCs w:val="24"/>
        </w:rPr>
        <w:t>0</w:t>
      </w:r>
      <w:r>
        <w:rPr>
          <w:rFonts w:ascii="Times New Roman" w:hAnsi="Times New Roman"/>
          <w:sz w:val="24"/>
          <w:szCs w:val="24"/>
          <w:vertAlign w:val="superscript"/>
        </w:rPr>
        <w:t>9</w:t>
      </w:r>
      <w:r>
        <w:rPr>
          <w:rFonts w:ascii="Times New Roman" w:hAnsi="Times New Roman"/>
          <w:sz w:val="24"/>
          <w:szCs w:val="24"/>
        </w:rPr>
        <w:t xml:space="preserve"> CFU/ml.                          </w:t>
      </w:r>
    </w:p>
    <w:p w:rsidR="00642738" w:rsidRDefault="00B34E1E">
      <w:pPr>
        <w:spacing w:before="120" w:after="120" w:line="440" w:lineRule="atLeast"/>
        <w:jc w:val="both"/>
        <w:rPr>
          <w:rFonts w:ascii="Times New Roman" w:hAnsi="Times New Roman"/>
          <w:sz w:val="24"/>
          <w:szCs w:val="24"/>
        </w:rPr>
      </w:pPr>
      <w:r>
        <w:rPr>
          <w:rFonts w:ascii="Times New Roman" w:hAnsi="Times New Roman"/>
          <w:sz w:val="24"/>
          <w:szCs w:val="24"/>
        </w:rPr>
        <w:t>Similarly, PSA 7 strain attained the maximum growth at 48</w:t>
      </w:r>
      <w:r>
        <w:rPr>
          <w:rFonts w:ascii="Times New Roman" w:hAnsi="Times New Roman"/>
          <w:sz w:val="24"/>
          <w:szCs w:val="24"/>
          <w:vertAlign w:val="superscript"/>
        </w:rPr>
        <w:t>th</w:t>
      </w:r>
      <w:r>
        <w:rPr>
          <w:rFonts w:ascii="Times New Roman" w:hAnsi="Times New Roman"/>
          <w:sz w:val="24"/>
          <w:szCs w:val="24"/>
        </w:rPr>
        <w:t xml:space="preserve"> h with population of 18×10</w:t>
      </w:r>
      <w:r>
        <w:rPr>
          <w:rFonts w:ascii="Times New Roman" w:hAnsi="Times New Roman"/>
          <w:sz w:val="24"/>
          <w:szCs w:val="24"/>
          <w:vertAlign w:val="superscript"/>
        </w:rPr>
        <w:t>9</w:t>
      </w:r>
      <w:r>
        <w:rPr>
          <w:rFonts w:ascii="Times New Roman" w:hAnsi="Times New Roman"/>
          <w:sz w:val="24"/>
          <w:szCs w:val="24"/>
        </w:rPr>
        <w:t xml:space="preserve"> and 14×10</w:t>
      </w:r>
      <w:r>
        <w:rPr>
          <w:rFonts w:ascii="Times New Roman" w:hAnsi="Times New Roman"/>
          <w:sz w:val="24"/>
          <w:szCs w:val="24"/>
          <w:vertAlign w:val="superscript"/>
        </w:rPr>
        <w:t>9</w:t>
      </w:r>
      <w:r>
        <w:rPr>
          <w:rFonts w:ascii="Times New Roman" w:hAnsi="Times New Roman"/>
          <w:sz w:val="24"/>
          <w:szCs w:val="24"/>
        </w:rPr>
        <w:t xml:space="preserve"> CFU/ml and OD value of </w:t>
      </w:r>
      <w:r>
        <w:rPr>
          <w:rFonts w:ascii="Times New Roman" w:hAnsi="Times New Roman"/>
          <w:color w:val="000000"/>
          <w:sz w:val="24"/>
          <w:szCs w:val="24"/>
        </w:rPr>
        <w:t xml:space="preserve">1.8528 and 1.8286 </w:t>
      </w:r>
      <w:r>
        <w:rPr>
          <w:rFonts w:ascii="Times New Roman" w:hAnsi="Times New Roman"/>
          <w:sz w:val="24"/>
          <w:szCs w:val="24"/>
        </w:rPr>
        <w:t>in LB broth with and without protectants respectively. 4×10</w:t>
      </w:r>
      <w:r>
        <w:rPr>
          <w:rFonts w:ascii="Times New Roman" w:hAnsi="Times New Roman"/>
          <w:sz w:val="24"/>
          <w:szCs w:val="24"/>
          <w:vertAlign w:val="superscript"/>
        </w:rPr>
        <w:t>9</w:t>
      </w:r>
      <w:r>
        <w:rPr>
          <w:rFonts w:ascii="Times New Roman" w:hAnsi="Times New Roman"/>
          <w:sz w:val="24"/>
          <w:szCs w:val="24"/>
        </w:rPr>
        <w:t xml:space="preserve"> CFU/ml of higher p</w:t>
      </w:r>
      <w:r>
        <w:rPr>
          <w:rFonts w:ascii="Times New Roman" w:hAnsi="Times New Roman"/>
          <w:sz w:val="24"/>
          <w:szCs w:val="24"/>
        </w:rPr>
        <w:t>opulation was observed in media with protectants and on specific media (SCA) reached the maximum population at 64</w:t>
      </w:r>
      <w:r>
        <w:rPr>
          <w:rFonts w:ascii="Times New Roman" w:hAnsi="Times New Roman"/>
          <w:sz w:val="24"/>
          <w:szCs w:val="24"/>
          <w:vertAlign w:val="superscript"/>
        </w:rPr>
        <w:t>th</w:t>
      </w:r>
      <w:r>
        <w:rPr>
          <w:rFonts w:ascii="Times New Roman" w:hAnsi="Times New Roman"/>
          <w:sz w:val="24"/>
          <w:szCs w:val="24"/>
        </w:rPr>
        <w:t xml:space="preserve"> h with 15×10</w:t>
      </w:r>
      <w:r>
        <w:rPr>
          <w:rFonts w:ascii="Times New Roman" w:hAnsi="Times New Roman"/>
          <w:sz w:val="24"/>
          <w:szCs w:val="24"/>
          <w:vertAlign w:val="superscript"/>
        </w:rPr>
        <w:t>9</w:t>
      </w:r>
      <w:r>
        <w:rPr>
          <w:rFonts w:ascii="Times New Roman" w:hAnsi="Times New Roman"/>
          <w:sz w:val="24"/>
          <w:szCs w:val="24"/>
        </w:rPr>
        <w:t xml:space="preserve"> CFU/ml. The strain PSA 5 attained the maximum growth at 48</w:t>
      </w:r>
      <w:r>
        <w:rPr>
          <w:rFonts w:ascii="Times New Roman" w:hAnsi="Times New Roman"/>
          <w:sz w:val="24"/>
          <w:szCs w:val="24"/>
          <w:vertAlign w:val="superscript"/>
        </w:rPr>
        <w:t>th</w:t>
      </w:r>
      <w:r>
        <w:rPr>
          <w:rFonts w:ascii="Times New Roman" w:hAnsi="Times New Roman"/>
          <w:sz w:val="24"/>
          <w:szCs w:val="24"/>
        </w:rPr>
        <w:t xml:space="preserve"> h with 82×10</w:t>
      </w:r>
      <w:r>
        <w:rPr>
          <w:rFonts w:ascii="Times New Roman" w:hAnsi="Times New Roman"/>
          <w:sz w:val="24"/>
          <w:szCs w:val="24"/>
          <w:vertAlign w:val="superscript"/>
        </w:rPr>
        <w:t>8</w:t>
      </w:r>
      <w:r>
        <w:rPr>
          <w:rFonts w:ascii="Times New Roman" w:hAnsi="Times New Roman"/>
          <w:sz w:val="24"/>
          <w:szCs w:val="24"/>
        </w:rPr>
        <w:t xml:space="preserve"> and 76×10</w:t>
      </w:r>
      <w:r>
        <w:rPr>
          <w:rFonts w:ascii="Times New Roman" w:hAnsi="Times New Roman"/>
          <w:sz w:val="24"/>
          <w:szCs w:val="24"/>
          <w:vertAlign w:val="superscript"/>
        </w:rPr>
        <w:t>8</w:t>
      </w:r>
      <w:r>
        <w:rPr>
          <w:rFonts w:ascii="Times New Roman" w:hAnsi="Times New Roman"/>
          <w:sz w:val="24"/>
          <w:szCs w:val="24"/>
        </w:rPr>
        <w:t xml:space="preserve"> CFU/ml and OD value of </w:t>
      </w:r>
      <w:r>
        <w:rPr>
          <w:rFonts w:ascii="Times New Roman" w:hAnsi="Times New Roman"/>
          <w:color w:val="000000"/>
          <w:sz w:val="24"/>
          <w:szCs w:val="24"/>
        </w:rPr>
        <w:t xml:space="preserve">1.6735 and 1.6698 </w:t>
      </w:r>
      <w:r>
        <w:rPr>
          <w:rFonts w:ascii="Times New Roman" w:hAnsi="Times New Roman"/>
          <w:sz w:val="24"/>
          <w:szCs w:val="24"/>
        </w:rPr>
        <w:t>in LB broth with and without protectants respectively (6×10</w:t>
      </w:r>
      <w:r>
        <w:rPr>
          <w:rFonts w:ascii="Times New Roman" w:hAnsi="Times New Roman"/>
          <w:sz w:val="24"/>
          <w:szCs w:val="24"/>
          <w:vertAlign w:val="superscript"/>
        </w:rPr>
        <w:t>8</w:t>
      </w:r>
      <w:r>
        <w:rPr>
          <w:rFonts w:ascii="Times New Roman" w:hAnsi="Times New Roman"/>
          <w:sz w:val="24"/>
          <w:szCs w:val="24"/>
        </w:rPr>
        <w:t xml:space="preserve"> CFU/ml were more in media with protectants) and on specific media (SCA) population reached the maximum population at 64</w:t>
      </w:r>
      <w:r>
        <w:rPr>
          <w:rFonts w:ascii="Times New Roman" w:hAnsi="Times New Roman"/>
          <w:sz w:val="24"/>
          <w:szCs w:val="24"/>
          <w:vertAlign w:val="superscript"/>
        </w:rPr>
        <w:t>th</w:t>
      </w:r>
      <w:r>
        <w:rPr>
          <w:rFonts w:ascii="Times New Roman" w:hAnsi="Times New Roman"/>
          <w:sz w:val="24"/>
          <w:szCs w:val="24"/>
        </w:rPr>
        <w:t xml:space="preserve"> h with 78×10</w:t>
      </w:r>
      <w:r>
        <w:rPr>
          <w:rFonts w:ascii="Times New Roman" w:hAnsi="Times New Roman"/>
          <w:sz w:val="24"/>
          <w:szCs w:val="24"/>
          <w:vertAlign w:val="superscript"/>
        </w:rPr>
        <w:t>8</w:t>
      </w:r>
      <w:r>
        <w:rPr>
          <w:rFonts w:ascii="Times New Roman" w:hAnsi="Times New Roman"/>
          <w:sz w:val="24"/>
          <w:szCs w:val="24"/>
        </w:rPr>
        <w:t xml:space="preserve"> CFU/ml which showed that PSA 5 and PSA 7 </w:t>
      </w:r>
      <w:r>
        <w:rPr>
          <w:rFonts w:ascii="Times New Roman" w:hAnsi="Times New Roman"/>
          <w:sz w:val="24"/>
          <w:szCs w:val="24"/>
        </w:rPr>
        <w:t>were slow growing ones, as they reached their maximum growth at 64</w:t>
      </w:r>
      <w:r>
        <w:rPr>
          <w:rFonts w:ascii="Times New Roman" w:hAnsi="Times New Roman"/>
          <w:sz w:val="24"/>
          <w:szCs w:val="24"/>
          <w:vertAlign w:val="superscript"/>
        </w:rPr>
        <w:t>th</w:t>
      </w:r>
      <w:r>
        <w:rPr>
          <w:rFonts w:ascii="Times New Roman" w:hAnsi="Times New Roman"/>
          <w:sz w:val="24"/>
          <w:szCs w:val="24"/>
        </w:rPr>
        <w:t xml:space="preserve"> h after incubation. Overall growth of microbial strains was higher in LB medium with cell protectants, where additives and antioxidant had increased growth and population of </w:t>
      </w:r>
      <w:r>
        <w:rPr>
          <w:rFonts w:ascii="Times New Roman" w:hAnsi="Times New Roman"/>
          <w:sz w:val="24"/>
          <w:szCs w:val="24"/>
        </w:rPr>
        <w:lastRenderedPageBreak/>
        <w:t>microbial str</w:t>
      </w:r>
      <w:r>
        <w:rPr>
          <w:rFonts w:ascii="Times New Roman" w:hAnsi="Times New Roman"/>
          <w:sz w:val="24"/>
          <w:szCs w:val="24"/>
        </w:rPr>
        <w:t xml:space="preserve">ains when compared to growth either on specific media (where strains were slow growing) or LB without protectants. </w:t>
      </w:r>
    </w:p>
    <w:p w:rsidR="00642738" w:rsidRDefault="00B34E1E">
      <w:pPr>
        <w:spacing w:before="120" w:after="120" w:line="440" w:lineRule="atLeast"/>
        <w:jc w:val="both"/>
        <w:rPr>
          <w:rFonts w:ascii="Times New Roman" w:hAnsi="Times New Roman"/>
          <w:iCs/>
          <w:sz w:val="24"/>
          <w:szCs w:val="24"/>
          <w:lang w:val="en-IN"/>
        </w:rPr>
      </w:pPr>
      <w:r>
        <w:rPr>
          <w:rFonts w:ascii="Times New Roman" w:hAnsi="Times New Roman"/>
          <w:sz w:val="24"/>
          <w:szCs w:val="24"/>
          <w:lang w:val="en-IN"/>
        </w:rPr>
        <w:t>Similar results were obtained by Ashwini (2020) with N</w:t>
      </w:r>
      <w:r>
        <w:rPr>
          <w:rFonts w:ascii="Times New Roman" w:hAnsi="Times New Roman"/>
          <w:sz w:val="24"/>
          <w:szCs w:val="24"/>
          <w:vertAlign w:val="subscript"/>
          <w:lang w:val="en-IN"/>
        </w:rPr>
        <w:t>2</w:t>
      </w:r>
      <w:r>
        <w:rPr>
          <w:rFonts w:ascii="Times New Roman" w:hAnsi="Times New Roman"/>
          <w:sz w:val="24"/>
          <w:szCs w:val="24"/>
          <w:lang w:val="en-IN"/>
        </w:rPr>
        <w:t xml:space="preserve"> fixing, P solubilising and K mobilizing bacteria while developing a NPK consortium. </w:t>
      </w:r>
      <w:r>
        <w:rPr>
          <w:rFonts w:ascii="Times New Roman" w:hAnsi="Times New Roman"/>
          <w:sz w:val="24"/>
          <w:szCs w:val="24"/>
          <w:lang w:val="en-IN"/>
        </w:rPr>
        <w:t>In this she studied growth of N</w:t>
      </w:r>
      <w:r>
        <w:rPr>
          <w:rFonts w:ascii="Times New Roman" w:hAnsi="Times New Roman"/>
          <w:sz w:val="24"/>
          <w:szCs w:val="24"/>
          <w:vertAlign w:val="subscript"/>
          <w:lang w:val="en-IN"/>
        </w:rPr>
        <w:t>2</w:t>
      </w:r>
      <w:r>
        <w:rPr>
          <w:rFonts w:ascii="Times New Roman" w:hAnsi="Times New Roman"/>
          <w:sz w:val="24"/>
          <w:szCs w:val="24"/>
          <w:lang w:val="en-IN"/>
        </w:rPr>
        <w:t xml:space="preserve"> fixing, P solubilising and K mobilizing bacteria with different adjuvants concentrations at different time interval in order to see exponential phase and maximum growth point and used it for developing NPK consortium and al</w:t>
      </w:r>
      <w:r>
        <w:rPr>
          <w:rFonts w:ascii="Times New Roman" w:hAnsi="Times New Roman"/>
          <w:sz w:val="24"/>
          <w:szCs w:val="24"/>
          <w:lang w:val="en-IN"/>
        </w:rPr>
        <w:t xml:space="preserve">so for shelf-life studies. Similarly, Aman </w:t>
      </w:r>
      <w:r>
        <w:rPr>
          <w:rFonts w:ascii="Times New Roman" w:hAnsi="Times New Roman"/>
          <w:i/>
          <w:iCs/>
          <w:sz w:val="24"/>
          <w:szCs w:val="24"/>
          <w:lang w:val="en-IN"/>
        </w:rPr>
        <w:t>et al.</w:t>
      </w:r>
      <w:r>
        <w:rPr>
          <w:rFonts w:ascii="Times New Roman" w:hAnsi="Times New Roman"/>
          <w:sz w:val="24"/>
          <w:szCs w:val="24"/>
          <w:lang w:val="en-IN"/>
        </w:rPr>
        <w:t xml:space="preserve"> (2023) developed liquid formulations with different combinations and concentrations of adjuvants and did shelf-life analysis to use them as potential biofertilizer. Similarly, </w:t>
      </w:r>
      <w:r>
        <w:rPr>
          <w:rFonts w:ascii="Times New Roman" w:hAnsi="Times New Roman"/>
          <w:sz w:val="24"/>
          <w:szCs w:val="24"/>
        </w:rPr>
        <w:t xml:space="preserve">Blanco-Vargas </w:t>
      </w:r>
      <w:r>
        <w:rPr>
          <w:rFonts w:ascii="Times New Roman" w:hAnsi="Times New Roman"/>
          <w:i/>
          <w:iCs/>
          <w:sz w:val="24"/>
          <w:szCs w:val="24"/>
        </w:rPr>
        <w:t xml:space="preserve">et al. </w:t>
      </w:r>
      <w:r>
        <w:rPr>
          <w:rFonts w:ascii="Times New Roman" w:hAnsi="Times New Roman"/>
          <w:sz w:val="24"/>
          <w:szCs w:val="24"/>
        </w:rPr>
        <w:t>(2020), i</w:t>
      </w:r>
      <w:r>
        <w:rPr>
          <w:rFonts w:ascii="Times New Roman" w:hAnsi="Times New Roman"/>
          <w:sz w:val="24"/>
          <w:szCs w:val="24"/>
        </w:rPr>
        <w:t xml:space="preserve">solated bacteria from </w:t>
      </w:r>
      <w:r>
        <w:rPr>
          <w:rFonts w:ascii="Times New Roman" w:hAnsi="Times New Roman"/>
          <w:i/>
          <w:iCs/>
          <w:sz w:val="24"/>
          <w:szCs w:val="24"/>
        </w:rPr>
        <w:t>Allium cepa</w:t>
      </w:r>
      <w:r>
        <w:rPr>
          <w:rFonts w:ascii="Times New Roman" w:hAnsi="Times New Roman"/>
          <w:sz w:val="24"/>
          <w:szCs w:val="24"/>
        </w:rPr>
        <w:t xml:space="preserve"> grown soils and taken two isolates namely, Phosphate-solubilizing Pseudomonas sp., and Serratia sp. They have checked growth on MT11B media using growth curves and used this growth pattern for co-culturing with maximum pop</w:t>
      </w:r>
      <w:r>
        <w:rPr>
          <w:rFonts w:ascii="Times New Roman" w:hAnsi="Times New Roman"/>
          <w:sz w:val="24"/>
          <w:szCs w:val="24"/>
        </w:rPr>
        <w:t xml:space="preserve">ulation and used it for enhancing germination. Similarly, Vrushab (2019) also studied growth of different actinobacteria at different time intervals and utilized it for developing bioformulation of actinobacteria against plant pathogens and insect pest. </w:t>
      </w:r>
      <w:r>
        <w:rPr>
          <w:rFonts w:ascii="Times New Roman" w:hAnsi="Times New Roman"/>
          <w:sz w:val="24"/>
          <w:szCs w:val="24"/>
          <w:lang w:val="en-IN"/>
        </w:rPr>
        <w:t>Si</w:t>
      </w:r>
      <w:r>
        <w:rPr>
          <w:rFonts w:ascii="Times New Roman" w:hAnsi="Times New Roman"/>
          <w:sz w:val="24"/>
          <w:szCs w:val="24"/>
          <w:lang w:val="en-IN"/>
        </w:rPr>
        <w:t xml:space="preserve">milarly, Prakash (2018) studied 32 different liquid formulations with combinations of different cell protectants and their effect on </w:t>
      </w:r>
      <w:r>
        <w:rPr>
          <w:rFonts w:ascii="Times New Roman" w:hAnsi="Times New Roman"/>
          <w:i/>
          <w:sz w:val="24"/>
          <w:szCs w:val="24"/>
          <w:lang w:val="en-IN"/>
        </w:rPr>
        <w:t>Gluconacetobacter</w:t>
      </w:r>
      <w:r>
        <w:rPr>
          <w:rFonts w:ascii="Times New Roman" w:hAnsi="Times New Roman"/>
          <w:sz w:val="24"/>
          <w:szCs w:val="24"/>
          <w:lang w:val="en-IN"/>
        </w:rPr>
        <w:t xml:space="preserve"> and studied growth curve of </w:t>
      </w:r>
      <w:r>
        <w:rPr>
          <w:rFonts w:ascii="Times New Roman" w:hAnsi="Times New Roman"/>
          <w:i/>
          <w:sz w:val="24"/>
          <w:szCs w:val="24"/>
          <w:lang w:val="en-IN"/>
        </w:rPr>
        <w:t xml:space="preserve">Gluconacetobacter </w:t>
      </w:r>
      <w:r>
        <w:rPr>
          <w:rFonts w:ascii="Times New Roman" w:hAnsi="Times New Roman"/>
          <w:iCs/>
          <w:sz w:val="24"/>
          <w:szCs w:val="24"/>
          <w:lang w:val="en-IN"/>
        </w:rPr>
        <w:t>and</w:t>
      </w:r>
      <w:r>
        <w:rPr>
          <w:rFonts w:ascii="Times New Roman" w:hAnsi="Times New Roman"/>
          <w:i/>
          <w:sz w:val="24"/>
          <w:szCs w:val="24"/>
          <w:lang w:val="en-IN"/>
        </w:rPr>
        <w:t xml:space="preserve"> </w:t>
      </w:r>
      <w:r>
        <w:rPr>
          <w:rFonts w:ascii="Times New Roman" w:hAnsi="Times New Roman"/>
          <w:iCs/>
          <w:sz w:val="24"/>
          <w:szCs w:val="24"/>
          <w:lang w:val="en-IN"/>
        </w:rPr>
        <w:t>used</w:t>
      </w:r>
      <w:r>
        <w:rPr>
          <w:rFonts w:ascii="Times New Roman" w:hAnsi="Times New Roman"/>
          <w:i/>
          <w:sz w:val="24"/>
          <w:szCs w:val="24"/>
          <w:lang w:val="en-IN"/>
        </w:rPr>
        <w:t xml:space="preserve"> </w:t>
      </w:r>
      <w:r>
        <w:rPr>
          <w:rFonts w:ascii="Times New Roman" w:hAnsi="Times New Roman"/>
          <w:iCs/>
          <w:sz w:val="24"/>
          <w:szCs w:val="24"/>
          <w:lang w:val="en-IN"/>
        </w:rPr>
        <w:t>for the purpose of standardizing carbon and nitrog</w:t>
      </w:r>
      <w:r>
        <w:rPr>
          <w:rFonts w:ascii="Times New Roman" w:hAnsi="Times New Roman"/>
          <w:iCs/>
          <w:sz w:val="24"/>
          <w:szCs w:val="24"/>
          <w:lang w:val="en-IN"/>
        </w:rPr>
        <w:t xml:space="preserve">en sources. </w:t>
      </w:r>
    </w:p>
    <w:p w:rsidR="00642738" w:rsidRDefault="00B34E1E">
      <w:pPr>
        <w:spacing w:before="120" w:after="120" w:line="440" w:lineRule="atLeast"/>
        <w:jc w:val="both"/>
        <w:rPr>
          <w:rFonts w:ascii="Times New Roman" w:hAnsi="Times New Roman"/>
          <w:sz w:val="24"/>
          <w:szCs w:val="24"/>
          <w:lang w:val="en-IN"/>
        </w:rPr>
      </w:pPr>
      <w:r>
        <w:rPr>
          <w:rFonts w:ascii="Times New Roman" w:hAnsi="Times New Roman"/>
          <w:sz w:val="24"/>
          <w:szCs w:val="24"/>
          <w:lang w:val="en-IN"/>
        </w:rPr>
        <w:t>This clearly demonstrated the significance of studying population dynamics of each strain which can be further used for developing a consortium, shelf-life studies, antibacterial activity, co-culturing etc., The combination of polyols (glycero</w:t>
      </w:r>
      <w:r>
        <w:rPr>
          <w:rFonts w:ascii="Times New Roman" w:hAnsi="Times New Roman"/>
          <w:sz w:val="24"/>
          <w:szCs w:val="24"/>
          <w:lang w:val="en-IN"/>
        </w:rPr>
        <w:t xml:space="preserve">l, PEG) with antioxidants (ascorbic acid) likely provides synergistic protection to microbial cells, enhancing their viability in formulations. Therefore, it can be inferred that protectants had influenced survival and growth of strains and also selecting </w:t>
      </w:r>
      <w:r>
        <w:rPr>
          <w:rFonts w:ascii="Times New Roman" w:hAnsi="Times New Roman"/>
          <w:sz w:val="24"/>
          <w:szCs w:val="24"/>
          <w:lang w:val="en-IN"/>
        </w:rPr>
        <w:t>formulations based on their support for high microbial populations allows for the successful development of multi-strain microbial consortia with improved shelf life and efficacy.</w:t>
      </w:r>
    </w:p>
    <w:p w:rsidR="00642738" w:rsidRDefault="00642738">
      <w:pPr>
        <w:spacing w:before="120" w:after="120" w:line="440" w:lineRule="atLeast"/>
        <w:jc w:val="both"/>
        <w:rPr>
          <w:rFonts w:ascii="Times New Roman" w:hAnsi="Times New Roman"/>
          <w:sz w:val="24"/>
          <w:szCs w:val="24"/>
          <w:lang w:val="en-IN"/>
        </w:rPr>
        <w:sectPr w:rsidR="00642738">
          <w:headerReference w:type="even" r:id="rId8"/>
          <w:headerReference w:type="default" r:id="rId9"/>
          <w:footerReference w:type="even" r:id="rId10"/>
          <w:footerReference w:type="default" r:id="rId11"/>
          <w:headerReference w:type="first" r:id="rId12"/>
          <w:pgSz w:w="11907" w:h="16840" w:code="9"/>
          <w:pgMar w:top="1418" w:right="1418" w:bottom="1134" w:left="1418" w:header="720" w:footer="720" w:gutter="0"/>
          <w:cols w:space="708"/>
          <w:docGrid w:linePitch="360"/>
        </w:sectPr>
      </w:pPr>
    </w:p>
    <w:p w:rsidR="00642738" w:rsidRDefault="00B34E1E">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Table 2: Viable population of selected microbial strains in sixteen different formulations </w:t>
      </w:r>
    </w:p>
    <w:p w:rsidR="00642738" w:rsidRDefault="00642738">
      <w:pPr>
        <w:spacing w:after="0" w:line="240" w:lineRule="auto"/>
        <w:jc w:val="both"/>
        <w:rPr>
          <w:rFonts w:ascii="Times New Roman" w:hAnsi="Times New Roman"/>
          <w:b/>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
        <w:gridCol w:w="1663"/>
        <w:gridCol w:w="1066"/>
        <w:gridCol w:w="674"/>
        <w:gridCol w:w="674"/>
        <w:gridCol w:w="674"/>
        <w:gridCol w:w="674"/>
        <w:gridCol w:w="766"/>
        <w:gridCol w:w="766"/>
        <w:gridCol w:w="766"/>
        <w:gridCol w:w="774"/>
      </w:tblGrid>
      <w:tr w:rsidR="00642738">
        <w:trPr>
          <w:jc w:val="center"/>
        </w:trPr>
        <w:tc>
          <w:tcPr>
            <w:tcW w:w="564" w:type="pct"/>
            <w:vMerge w:val="restart"/>
            <w:vAlign w:val="center"/>
          </w:tcPr>
          <w:p w:rsidR="00642738" w:rsidRDefault="00B34E1E">
            <w:pPr>
              <w:spacing w:before="60" w:after="60" w:line="240" w:lineRule="auto"/>
              <w:jc w:val="both"/>
              <w:rPr>
                <w:rFonts w:ascii="Times New Roman" w:hAnsi="Times New Roman"/>
                <w:b/>
                <w:sz w:val="24"/>
                <w:szCs w:val="24"/>
              </w:rPr>
            </w:pPr>
            <w:r>
              <w:rPr>
                <w:rFonts w:ascii="Times New Roman" w:hAnsi="Times New Roman"/>
                <w:b/>
                <w:sz w:val="24"/>
                <w:szCs w:val="24"/>
              </w:rPr>
              <w:t>Selected Strains</w:t>
            </w:r>
          </w:p>
        </w:tc>
        <w:tc>
          <w:tcPr>
            <w:tcW w:w="867" w:type="pct"/>
            <w:vMerge w:val="restart"/>
            <w:vAlign w:val="center"/>
          </w:tcPr>
          <w:p w:rsidR="00642738" w:rsidRDefault="00B34E1E">
            <w:pPr>
              <w:spacing w:before="60" w:after="60" w:line="240" w:lineRule="auto"/>
              <w:jc w:val="both"/>
              <w:rPr>
                <w:rFonts w:ascii="Times New Roman" w:hAnsi="Times New Roman"/>
                <w:b/>
                <w:sz w:val="24"/>
                <w:szCs w:val="24"/>
              </w:rPr>
            </w:pPr>
            <w:r>
              <w:rPr>
                <w:rFonts w:ascii="Times New Roman" w:hAnsi="Times New Roman"/>
                <w:b/>
                <w:sz w:val="24"/>
                <w:szCs w:val="24"/>
              </w:rPr>
              <w:t>Treatments</w:t>
            </w:r>
          </w:p>
        </w:tc>
        <w:tc>
          <w:tcPr>
            <w:tcW w:w="3569" w:type="pct"/>
            <w:gridSpan w:val="9"/>
            <w:vAlign w:val="center"/>
          </w:tcPr>
          <w:p w:rsidR="00642738" w:rsidRDefault="00B34E1E">
            <w:pPr>
              <w:spacing w:before="60" w:after="60" w:line="240" w:lineRule="auto"/>
              <w:jc w:val="both"/>
              <w:rPr>
                <w:rFonts w:ascii="Times New Roman" w:hAnsi="Times New Roman"/>
                <w:b/>
                <w:sz w:val="24"/>
                <w:szCs w:val="24"/>
              </w:rPr>
            </w:pPr>
            <w:r>
              <w:rPr>
                <w:rFonts w:ascii="Times New Roman" w:hAnsi="Times New Roman"/>
                <w:b/>
                <w:sz w:val="24"/>
                <w:szCs w:val="24"/>
              </w:rPr>
              <w:t xml:space="preserve">Population in log </w:t>
            </w:r>
            <w:r>
              <w:rPr>
                <w:rFonts w:ascii="Times New Roman" w:hAnsi="Times New Roman"/>
                <w:b/>
                <w:sz w:val="24"/>
                <w:szCs w:val="24"/>
                <w:vertAlign w:val="subscript"/>
              </w:rPr>
              <w:t>10</w:t>
            </w:r>
            <w:r>
              <w:rPr>
                <w:rFonts w:ascii="Times New Roman" w:hAnsi="Times New Roman"/>
                <w:b/>
                <w:sz w:val="24"/>
                <w:szCs w:val="24"/>
              </w:rPr>
              <w:t xml:space="preserve"> number of viable cells</w:t>
            </w:r>
          </w:p>
        </w:tc>
      </w:tr>
      <w:tr w:rsidR="00642738">
        <w:trPr>
          <w:jc w:val="center"/>
        </w:trPr>
        <w:tc>
          <w:tcPr>
            <w:tcW w:w="564" w:type="pct"/>
            <w:vMerge/>
            <w:vAlign w:val="center"/>
          </w:tcPr>
          <w:p w:rsidR="00642738" w:rsidRDefault="00642738">
            <w:pPr>
              <w:spacing w:before="60" w:after="60" w:line="240" w:lineRule="auto"/>
              <w:jc w:val="both"/>
              <w:rPr>
                <w:rFonts w:ascii="Times New Roman" w:hAnsi="Times New Roman"/>
                <w:b/>
                <w:sz w:val="24"/>
                <w:szCs w:val="24"/>
              </w:rPr>
            </w:pPr>
          </w:p>
        </w:tc>
        <w:tc>
          <w:tcPr>
            <w:tcW w:w="867" w:type="pct"/>
            <w:vMerge/>
            <w:vAlign w:val="center"/>
          </w:tcPr>
          <w:p w:rsidR="00642738" w:rsidRDefault="00642738">
            <w:pPr>
              <w:spacing w:before="60" w:after="60" w:line="240" w:lineRule="auto"/>
              <w:jc w:val="both"/>
              <w:rPr>
                <w:rFonts w:ascii="Times New Roman" w:hAnsi="Times New Roman"/>
                <w:b/>
                <w:sz w:val="24"/>
                <w:szCs w:val="24"/>
              </w:rPr>
            </w:pPr>
          </w:p>
        </w:tc>
        <w:tc>
          <w:tcPr>
            <w:tcW w:w="557" w:type="pct"/>
            <w:vAlign w:val="center"/>
          </w:tcPr>
          <w:p w:rsidR="00642738" w:rsidRDefault="00B34E1E">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0</w:t>
            </w:r>
          </w:p>
        </w:tc>
        <w:tc>
          <w:tcPr>
            <w:tcW w:w="352" w:type="pct"/>
            <w:vAlign w:val="center"/>
          </w:tcPr>
          <w:p w:rsidR="00642738" w:rsidRDefault="00B34E1E">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352" w:type="pct"/>
            <w:vAlign w:val="center"/>
          </w:tcPr>
          <w:p w:rsidR="00642738" w:rsidRDefault="00B34E1E">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16</w:t>
            </w:r>
          </w:p>
        </w:tc>
        <w:tc>
          <w:tcPr>
            <w:tcW w:w="352" w:type="pct"/>
            <w:vAlign w:val="center"/>
          </w:tcPr>
          <w:p w:rsidR="00642738" w:rsidRDefault="00B34E1E">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24</w:t>
            </w:r>
          </w:p>
        </w:tc>
        <w:tc>
          <w:tcPr>
            <w:tcW w:w="352" w:type="pct"/>
            <w:vAlign w:val="center"/>
          </w:tcPr>
          <w:p w:rsidR="00642738" w:rsidRDefault="00B34E1E">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32</w:t>
            </w:r>
          </w:p>
        </w:tc>
        <w:tc>
          <w:tcPr>
            <w:tcW w:w="400" w:type="pct"/>
            <w:vAlign w:val="center"/>
          </w:tcPr>
          <w:p w:rsidR="00642738" w:rsidRDefault="00B34E1E">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40</w:t>
            </w:r>
          </w:p>
        </w:tc>
        <w:tc>
          <w:tcPr>
            <w:tcW w:w="400" w:type="pct"/>
            <w:vAlign w:val="center"/>
          </w:tcPr>
          <w:p w:rsidR="00642738" w:rsidRDefault="00B34E1E">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48</w:t>
            </w:r>
          </w:p>
        </w:tc>
        <w:tc>
          <w:tcPr>
            <w:tcW w:w="400" w:type="pct"/>
            <w:vAlign w:val="center"/>
          </w:tcPr>
          <w:p w:rsidR="00642738" w:rsidRDefault="00B34E1E">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56</w:t>
            </w:r>
          </w:p>
        </w:tc>
        <w:tc>
          <w:tcPr>
            <w:tcW w:w="404" w:type="pct"/>
            <w:vAlign w:val="center"/>
          </w:tcPr>
          <w:p w:rsidR="00642738" w:rsidRDefault="00B34E1E">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64</w:t>
            </w:r>
          </w:p>
        </w:tc>
      </w:tr>
      <w:tr w:rsidR="00642738">
        <w:trPr>
          <w:trHeight w:val="288"/>
          <w:jc w:val="center"/>
        </w:trPr>
        <w:tc>
          <w:tcPr>
            <w:tcW w:w="564" w:type="pct"/>
            <w:vMerge w:val="restart"/>
            <w:vAlign w:val="center"/>
          </w:tcPr>
          <w:p w:rsidR="00642738" w:rsidRDefault="00B34E1E">
            <w:pPr>
              <w:spacing w:after="0" w:line="240" w:lineRule="auto"/>
              <w:jc w:val="both"/>
              <w:rPr>
                <w:rFonts w:ascii="Times New Roman" w:hAnsi="Times New Roman"/>
                <w:b/>
                <w:sz w:val="24"/>
                <w:szCs w:val="24"/>
              </w:rPr>
            </w:pPr>
            <w:r>
              <w:rPr>
                <w:rFonts w:ascii="Times New Roman" w:hAnsi="Times New Roman"/>
                <w:b/>
                <w:sz w:val="24"/>
                <w:szCs w:val="24"/>
              </w:rPr>
              <w:t>PSA 7</w:t>
            </w:r>
          </w:p>
        </w:tc>
        <w:tc>
          <w:tcPr>
            <w:tcW w:w="867" w:type="pct"/>
            <w:vAlign w:val="center"/>
          </w:tcPr>
          <w:p w:rsidR="00642738" w:rsidRDefault="00B34E1E">
            <w:pPr>
              <w:spacing w:after="0" w:line="240" w:lineRule="auto"/>
              <w:jc w:val="both"/>
              <w:rPr>
                <w:rFonts w:ascii="Times New Roman" w:hAnsi="Times New Roman"/>
                <w:b/>
                <w:sz w:val="24"/>
                <w:szCs w:val="24"/>
              </w:rPr>
            </w:pPr>
            <w:r>
              <w:rPr>
                <w:rFonts w:ascii="Times New Roman" w:hAnsi="Times New Roman"/>
                <w:sz w:val="24"/>
                <w:szCs w:val="24"/>
              </w:rPr>
              <w:t>F1: LB +A1+B1+C</w:t>
            </w:r>
          </w:p>
        </w:tc>
        <w:tc>
          <w:tcPr>
            <w:tcW w:w="557"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5.36</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6.77</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7.89</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8.60</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9.69</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9.93</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10.13</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10.04</w:t>
            </w:r>
          </w:p>
        </w:tc>
        <w:tc>
          <w:tcPr>
            <w:tcW w:w="404"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9.99</w:t>
            </w:r>
          </w:p>
        </w:tc>
      </w:tr>
      <w:tr w:rsidR="00642738">
        <w:trPr>
          <w:trHeight w:val="288"/>
          <w:jc w:val="center"/>
        </w:trPr>
        <w:tc>
          <w:tcPr>
            <w:tcW w:w="564" w:type="pct"/>
            <w:vMerge/>
            <w:vAlign w:val="center"/>
          </w:tcPr>
          <w:p w:rsidR="00642738" w:rsidRDefault="00642738">
            <w:pPr>
              <w:spacing w:after="0" w:line="240" w:lineRule="auto"/>
              <w:jc w:val="both"/>
              <w:rPr>
                <w:rFonts w:ascii="Times New Roman" w:hAnsi="Times New Roman"/>
                <w:b/>
                <w:sz w:val="24"/>
                <w:szCs w:val="24"/>
              </w:rPr>
            </w:pPr>
          </w:p>
        </w:tc>
        <w:tc>
          <w:tcPr>
            <w:tcW w:w="867" w:type="pct"/>
            <w:vAlign w:val="center"/>
          </w:tcPr>
          <w:p w:rsidR="00642738" w:rsidRDefault="00B34E1E">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F2: LB+ A2+B2+C</w:t>
            </w:r>
          </w:p>
        </w:tc>
        <w:tc>
          <w:tcPr>
            <w:tcW w:w="557"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5.28</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6.74</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7.84</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8.41</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9.49</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9.96</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9.92</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9.93</w:t>
            </w:r>
          </w:p>
        </w:tc>
        <w:tc>
          <w:tcPr>
            <w:tcW w:w="404"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9.90</w:t>
            </w:r>
          </w:p>
        </w:tc>
      </w:tr>
      <w:tr w:rsidR="00642738">
        <w:trPr>
          <w:trHeight w:val="288"/>
          <w:jc w:val="center"/>
        </w:trPr>
        <w:tc>
          <w:tcPr>
            <w:tcW w:w="564" w:type="pct"/>
            <w:vMerge/>
            <w:vAlign w:val="center"/>
          </w:tcPr>
          <w:p w:rsidR="00642738" w:rsidRDefault="00642738">
            <w:pPr>
              <w:spacing w:after="0" w:line="240" w:lineRule="auto"/>
              <w:jc w:val="both"/>
              <w:rPr>
                <w:rFonts w:ascii="Times New Roman" w:hAnsi="Times New Roman"/>
                <w:b/>
                <w:sz w:val="24"/>
                <w:szCs w:val="24"/>
              </w:rPr>
            </w:pPr>
          </w:p>
        </w:tc>
        <w:tc>
          <w:tcPr>
            <w:tcW w:w="867" w:type="pct"/>
            <w:vAlign w:val="center"/>
          </w:tcPr>
          <w:p w:rsidR="00642738" w:rsidRDefault="00B34E1E">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F3: LB+ A3+B3+C</w:t>
            </w:r>
          </w:p>
        </w:tc>
        <w:tc>
          <w:tcPr>
            <w:tcW w:w="557"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5.38</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6.84</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7.93</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8.63</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9.74</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10.02</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10.26</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10.18</w:t>
            </w:r>
          </w:p>
        </w:tc>
        <w:tc>
          <w:tcPr>
            <w:tcW w:w="404"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10.06</w:t>
            </w:r>
          </w:p>
        </w:tc>
      </w:tr>
      <w:tr w:rsidR="00642738">
        <w:trPr>
          <w:trHeight w:val="288"/>
          <w:jc w:val="center"/>
        </w:trPr>
        <w:tc>
          <w:tcPr>
            <w:tcW w:w="564" w:type="pct"/>
            <w:vMerge/>
            <w:vAlign w:val="center"/>
          </w:tcPr>
          <w:p w:rsidR="00642738" w:rsidRDefault="00642738">
            <w:pPr>
              <w:spacing w:after="0" w:line="240" w:lineRule="auto"/>
              <w:jc w:val="both"/>
              <w:rPr>
                <w:rFonts w:ascii="Times New Roman" w:hAnsi="Times New Roman"/>
                <w:b/>
                <w:sz w:val="24"/>
                <w:szCs w:val="24"/>
              </w:rPr>
            </w:pPr>
          </w:p>
        </w:tc>
        <w:tc>
          <w:tcPr>
            <w:tcW w:w="867" w:type="pct"/>
            <w:vAlign w:val="center"/>
          </w:tcPr>
          <w:p w:rsidR="00642738" w:rsidRDefault="00B34E1E">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F4: LB+ A3+B3+C</w:t>
            </w:r>
          </w:p>
        </w:tc>
        <w:tc>
          <w:tcPr>
            <w:tcW w:w="557"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5.15</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6.70</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7.82</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8.33</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9.20</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9.97</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10.00</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9.96</w:t>
            </w:r>
          </w:p>
        </w:tc>
        <w:tc>
          <w:tcPr>
            <w:tcW w:w="404"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9.91</w:t>
            </w:r>
          </w:p>
        </w:tc>
      </w:tr>
      <w:tr w:rsidR="00642738">
        <w:trPr>
          <w:trHeight w:val="288"/>
          <w:jc w:val="center"/>
        </w:trPr>
        <w:tc>
          <w:tcPr>
            <w:tcW w:w="564" w:type="pct"/>
            <w:vMerge w:val="restart"/>
            <w:vAlign w:val="center"/>
          </w:tcPr>
          <w:p w:rsidR="00642738" w:rsidRDefault="00B34E1E">
            <w:pPr>
              <w:spacing w:after="0" w:line="240" w:lineRule="auto"/>
              <w:jc w:val="both"/>
              <w:rPr>
                <w:rFonts w:ascii="Times New Roman" w:hAnsi="Times New Roman"/>
                <w:b/>
                <w:sz w:val="24"/>
                <w:szCs w:val="24"/>
              </w:rPr>
            </w:pPr>
            <w:r>
              <w:rPr>
                <w:rFonts w:ascii="Times New Roman" w:hAnsi="Times New Roman"/>
                <w:b/>
                <w:sz w:val="24"/>
                <w:szCs w:val="24"/>
              </w:rPr>
              <w:t>PSA 5</w:t>
            </w:r>
          </w:p>
        </w:tc>
        <w:tc>
          <w:tcPr>
            <w:tcW w:w="867" w:type="pct"/>
            <w:vAlign w:val="center"/>
          </w:tcPr>
          <w:p w:rsidR="00642738" w:rsidRDefault="00B34E1E">
            <w:pPr>
              <w:spacing w:after="0" w:line="240" w:lineRule="auto"/>
              <w:jc w:val="both"/>
              <w:rPr>
                <w:rFonts w:ascii="Times New Roman" w:hAnsi="Times New Roman"/>
                <w:b/>
                <w:sz w:val="24"/>
                <w:szCs w:val="24"/>
              </w:rPr>
            </w:pPr>
            <w:r>
              <w:rPr>
                <w:rFonts w:ascii="Times New Roman" w:hAnsi="Times New Roman"/>
                <w:sz w:val="24"/>
                <w:szCs w:val="24"/>
              </w:rPr>
              <w:t>F5: LB+A1+B1+C</w:t>
            </w:r>
          </w:p>
        </w:tc>
        <w:tc>
          <w:tcPr>
            <w:tcW w:w="557"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5.15</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6.42</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7.49</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8.04</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8.97</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9.66</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9.88</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9.86</w:t>
            </w:r>
          </w:p>
        </w:tc>
        <w:tc>
          <w:tcPr>
            <w:tcW w:w="404"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9.85</w:t>
            </w:r>
          </w:p>
        </w:tc>
      </w:tr>
      <w:tr w:rsidR="00642738">
        <w:trPr>
          <w:trHeight w:val="288"/>
          <w:jc w:val="center"/>
        </w:trPr>
        <w:tc>
          <w:tcPr>
            <w:tcW w:w="564" w:type="pct"/>
            <w:vMerge/>
            <w:vAlign w:val="center"/>
          </w:tcPr>
          <w:p w:rsidR="00642738" w:rsidRDefault="00642738">
            <w:pPr>
              <w:spacing w:after="0" w:line="240" w:lineRule="auto"/>
              <w:jc w:val="both"/>
              <w:rPr>
                <w:rFonts w:ascii="Times New Roman" w:hAnsi="Times New Roman"/>
                <w:b/>
                <w:sz w:val="24"/>
                <w:szCs w:val="24"/>
              </w:rPr>
            </w:pPr>
          </w:p>
        </w:tc>
        <w:tc>
          <w:tcPr>
            <w:tcW w:w="867" w:type="pct"/>
            <w:vAlign w:val="center"/>
          </w:tcPr>
          <w:p w:rsidR="00642738" w:rsidRDefault="00B34E1E">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F6: LB+ A2+B2+C</w:t>
            </w:r>
          </w:p>
        </w:tc>
        <w:tc>
          <w:tcPr>
            <w:tcW w:w="557"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5.01</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6.36</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7.41</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8.15</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9.04</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9.59</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9.83</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9.81</w:t>
            </w:r>
          </w:p>
        </w:tc>
        <w:tc>
          <w:tcPr>
            <w:tcW w:w="404"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9.79</w:t>
            </w:r>
          </w:p>
        </w:tc>
      </w:tr>
      <w:tr w:rsidR="00642738">
        <w:trPr>
          <w:trHeight w:val="288"/>
          <w:jc w:val="center"/>
        </w:trPr>
        <w:tc>
          <w:tcPr>
            <w:tcW w:w="564" w:type="pct"/>
            <w:vMerge/>
            <w:vAlign w:val="center"/>
          </w:tcPr>
          <w:p w:rsidR="00642738" w:rsidRDefault="00642738">
            <w:pPr>
              <w:spacing w:after="0" w:line="240" w:lineRule="auto"/>
              <w:jc w:val="both"/>
              <w:rPr>
                <w:rFonts w:ascii="Times New Roman" w:hAnsi="Times New Roman"/>
                <w:b/>
                <w:sz w:val="24"/>
                <w:szCs w:val="24"/>
              </w:rPr>
            </w:pPr>
          </w:p>
        </w:tc>
        <w:tc>
          <w:tcPr>
            <w:tcW w:w="867" w:type="pct"/>
            <w:vAlign w:val="center"/>
          </w:tcPr>
          <w:p w:rsidR="00642738" w:rsidRDefault="00B34E1E">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F7: LB+ A3+B3+C</w:t>
            </w:r>
          </w:p>
        </w:tc>
        <w:tc>
          <w:tcPr>
            <w:tcW w:w="557"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5.26</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6.59</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7.57</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8.23</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9.18</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9.71</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9.91</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9.90</w:t>
            </w:r>
          </w:p>
        </w:tc>
        <w:tc>
          <w:tcPr>
            <w:tcW w:w="404"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9.87</w:t>
            </w:r>
          </w:p>
        </w:tc>
      </w:tr>
      <w:tr w:rsidR="00642738">
        <w:trPr>
          <w:trHeight w:val="288"/>
          <w:jc w:val="center"/>
        </w:trPr>
        <w:tc>
          <w:tcPr>
            <w:tcW w:w="564" w:type="pct"/>
            <w:vMerge/>
            <w:vAlign w:val="center"/>
          </w:tcPr>
          <w:p w:rsidR="00642738" w:rsidRDefault="00642738">
            <w:pPr>
              <w:spacing w:after="0" w:line="240" w:lineRule="auto"/>
              <w:jc w:val="both"/>
              <w:rPr>
                <w:rFonts w:ascii="Times New Roman" w:hAnsi="Times New Roman"/>
                <w:b/>
                <w:sz w:val="24"/>
                <w:szCs w:val="24"/>
              </w:rPr>
            </w:pPr>
          </w:p>
        </w:tc>
        <w:tc>
          <w:tcPr>
            <w:tcW w:w="867" w:type="pct"/>
            <w:vAlign w:val="center"/>
          </w:tcPr>
          <w:p w:rsidR="00642738" w:rsidRDefault="00B34E1E">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F8: LB+ A3+B3+C</w:t>
            </w:r>
          </w:p>
        </w:tc>
        <w:tc>
          <w:tcPr>
            <w:tcW w:w="557"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5.08</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6.38</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7.45</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8.01</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8.85</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9.62</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9.86</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9.85</w:t>
            </w:r>
          </w:p>
        </w:tc>
        <w:tc>
          <w:tcPr>
            <w:tcW w:w="404"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9.83</w:t>
            </w:r>
          </w:p>
        </w:tc>
      </w:tr>
      <w:tr w:rsidR="00642738">
        <w:trPr>
          <w:trHeight w:val="288"/>
          <w:jc w:val="center"/>
        </w:trPr>
        <w:tc>
          <w:tcPr>
            <w:tcW w:w="564" w:type="pct"/>
            <w:vMerge w:val="restart"/>
            <w:vAlign w:val="center"/>
          </w:tcPr>
          <w:p w:rsidR="00642738" w:rsidRDefault="00B34E1E">
            <w:pPr>
              <w:spacing w:after="0" w:line="240" w:lineRule="auto"/>
              <w:jc w:val="both"/>
              <w:rPr>
                <w:rFonts w:ascii="Times New Roman" w:hAnsi="Times New Roman"/>
                <w:b/>
                <w:sz w:val="24"/>
                <w:szCs w:val="24"/>
              </w:rPr>
            </w:pPr>
            <w:r>
              <w:rPr>
                <w:rFonts w:ascii="Times New Roman" w:hAnsi="Times New Roman"/>
                <w:b/>
                <w:sz w:val="24"/>
                <w:szCs w:val="24"/>
              </w:rPr>
              <w:t>PPFM 33</w:t>
            </w:r>
          </w:p>
        </w:tc>
        <w:tc>
          <w:tcPr>
            <w:tcW w:w="867" w:type="pct"/>
            <w:vAlign w:val="center"/>
          </w:tcPr>
          <w:p w:rsidR="00642738" w:rsidRDefault="00B34E1E">
            <w:pPr>
              <w:spacing w:after="0" w:line="240" w:lineRule="auto"/>
              <w:jc w:val="both"/>
              <w:rPr>
                <w:rFonts w:ascii="Times New Roman" w:hAnsi="Times New Roman"/>
                <w:b/>
                <w:sz w:val="24"/>
                <w:szCs w:val="24"/>
              </w:rPr>
            </w:pPr>
            <w:r>
              <w:rPr>
                <w:rFonts w:ascii="Times New Roman" w:hAnsi="Times New Roman"/>
                <w:sz w:val="24"/>
                <w:szCs w:val="24"/>
              </w:rPr>
              <w:t>F9: LB+A1+B1+C</w:t>
            </w:r>
          </w:p>
        </w:tc>
        <w:tc>
          <w:tcPr>
            <w:tcW w:w="557"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5.20</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6.40</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7.76</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8.89</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9.33</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9.96</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10.35</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10.27</w:t>
            </w:r>
          </w:p>
        </w:tc>
        <w:tc>
          <w:tcPr>
            <w:tcW w:w="404"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10.18</w:t>
            </w:r>
          </w:p>
        </w:tc>
      </w:tr>
      <w:tr w:rsidR="00642738">
        <w:trPr>
          <w:trHeight w:val="288"/>
          <w:jc w:val="center"/>
        </w:trPr>
        <w:tc>
          <w:tcPr>
            <w:tcW w:w="564" w:type="pct"/>
            <w:vMerge/>
            <w:vAlign w:val="center"/>
          </w:tcPr>
          <w:p w:rsidR="00642738" w:rsidRDefault="00642738">
            <w:pPr>
              <w:spacing w:after="0" w:line="240" w:lineRule="auto"/>
              <w:jc w:val="both"/>
              <w:rPr>
                <w:rFonts w:ascii="Times New Roman" w:hAnsi="Times New Roman"/>
                <w:b/>
                <w:sz w:val="24"/>
                <w:szCs w:val="24"/>
              </w:rPr>
            </w:pPr>
          </w:p>
        </w:tc>
        <w:tc>
          <w:tcPr>
            <w:tcW w:w="867" w:type="pct"/>
            <w:vAlign w:val="center"/>
          </w:tcPr>
          <w:p w:rsidR="00642738" w:rsidRDefault="00B34E1E">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F10: LB+ A2+B2+C</w:t>
            </w:r>
          </w:p>
        </w:tc>
        <w:tc>
          <w:tcPr>
            <w:tcW w:w="557"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5.27</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6.50</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7.79</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8.91</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9.42</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9.99</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10.38</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10.32</w:t>
            </w:r>
          </w:p>
        </w:tc>
        <w:tc>
          <w:tcPr>
            <w:tcW w:w="404"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10.24</w:t>
            </w:r>
          </w:p>
        </w:tc>
      </w:tr>
      <w:tr w:rsidR="00642738">
        <w:trPr>
          <w:trHeight w:val="288"/>
          <w:jc w:val="center"/>
        </w:trPr>
        <w:tc>
          <w:tcPr>
            <w:tcW w:w="564" w:type="pct"/>
            <w:vMerge/>
            <w:vAlign w:val="center"/>
          </w:tcPr>
          <w:p w:rsidR="00642738" w:rsidRDefault="00642738">
            <w:pPr>
              <w:spacing w:after="0" w:line="240" w:lineRule="auto"/>
              <w:jc w:val="both"/>
              <w:rPr>
                <w:rFonts w:ascii="Times New Roman" w:hAnsi="Times New Roman"/>
                <w:b/>
                <w:sz w:val="24"/>
                <w:szCs w:val="24"/>
              </w:rPr>
            </w:pPr>
          </w:p>
        </w:tc>
        <w:tc>
          <w:tcPr>
            <w:tcW w:w="867" w:type="pct"/>
            <w:vAlign w:val="center"/>
          </w:tcPr>
          <w:p w:rsidR="00642738" w:rsidRDefault="00B34E1E">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F11: LB+ A3+B3+C</w:t>
            </w:r>
          </w:p>
        </w:tc>
        <w:tc>
          <w:tcPr>
            <w:tcW w:w="557"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5.04</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6.28</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7.71</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8.85</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9.21</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9.93</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10.26</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10.11</w:t>
            </w:r>
          </w:p>
        </w:tc>
        <w:tc>
          <w:tcPr>
            <w:tcW w:w="404"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10.00</w:t>
            </w:r>
          </w:p>
        </w:tc>
      </w:tr>
      <w:tr w:rsidR="00642738">
        <w:trPr>
          <w:trHeight w:val="288"/>
          <w:jc w:val="center"/>
        </w:trPr>
        <w:tc>
          <w:tcPr>
            <w:tcW w:w="564" w:type="pct"/>
            <w:vMerge/>
            <w:vAlign w:val="center"/>
          </w:tcPr>
          <w:p w:rsidR="00642738" w:rsidRDefault="00642738">
            <w:pPr>
              <w:spacing w:after="0" w:line="240" w:lineRule="auto"/>
              <w:jc w:val="both"/>
              <w:rPr>
                <w:rFonts w:ascii="Times New Roman" w:hAnsi="Times New Roman"/>
                <w:b/>
                <w:sz w:val="24"/>
                <w:szCs w:val="24"/>
              </w:rPr>
            </w:pPr>
          </w:p>
        </w:tc>
        <w:tc>
          <w:tcPr>
            <w:tcW w:w="867" w:type="pct"/>
            <w:vAlign w:val="center"/>
          </w:tcPr>
          <w:p w:rsidR="00642738" w:rsidRDefault="00B34E1E">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 xml:space="preserve">F12: LB+ </w:t>
            </w:r>
            <w:r>
              <w:rPr>
                <w:rFonts w:ascii="Times New Roman" w:hAnsi="Times New Roman"/>
                <w:sz w:val="24"/>
                <w:szCs w:val="24"/>
              </w:rPr>
              <w:t>A3+B3+C</w:t>
            </w:r>
          </w:p>
        </w:tc>
        <w:tc>
          <w:tcPr>
            <w:tcW w:w="557"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5.18</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6.33</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7.73</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8.86</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9.26</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9.95</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10.30</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10.21</w:t>
            </w:r>
          </w:p>
        </w:tc>
        <w:tc>
          <w:tcPr>
            <w:tcW w:w="404"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10.12</w:t>
            </w:r>
          </w:p>
        </w:tc>
      </w:tr>
      <w:tr w:rsidR="00642738">
        <w:trPr>
          <w:trHeight w:val="288"/>
          <w:jc w:val="center"/>
        </w:trPr>
        <w:tc>
          <w:tcPr>
            <w:tcW w:w="564" w:type="pct"/>
            <w:vMerge w:val="restart"/>
            <w:vAlign w:val="center"/>
          </w:tcPr>
          <w:p w:rsidR="00642738" w:rsidRDefault="00B34E1E">
            <w:pPr>
              <w:spacing w:after="0" w:line="240" w:lineRule="auto"/>
              <w:jc w:val="both"/>
              <w:rPr>
                <w:rFonts w:ascii="Times New Roman" w:hAnsi="Times New Roman"/>
                <w:b/>
                <w:sz w:val="24"/>
                <w:szCs w:val="24"/>
              </w:rPr>
            </w:pPr>
            <w:r>
              <w:rPr>
                <w:rFonts w:ascii="Times New Roman" w:hAnsi="Times New Roman"/>
                <w:b/>
                <w:sz w:val="24"/>
                <w:szCs w:val="24"/>
              </w:rPr>
              <w:t>LAB 75</w:t>
            </w:r>
          </w:p>
        </w:tc>
        <w:tc>
          <w:tcPr>
            <w:tcW w:w="867" w:type="pct"/>
            <w:vAlign w:val="center"/>
          </w:tcPr>
          <w:p w:rsidR="00642738" w:rsidRDefault="00B34E1E">
            <w:pPr>
              <w:spacing w:after="0" w:line="240" w:lineRule="auto"/>
              <w:jc w:val="both"/>
              <w:rPr>
                <w:rFonts w:ascii="Times New Roman" w:hAnsi="Times New Roman"/>
                <w:b/>
                <w:sz w:val="24"/>
                <w:szCs w:val="24"/>
              </w:rPr>
            </w:pPr>
            <w:r>
              <w:rPr>
                <w:rFonts w:ascii="Times New Roman" w:hAnsi="Times New Roman"/>
                <w:sz w:val="24"/>
                <w:szCs w:val="24"/>
              </w:rPr>
              <w:t>F13: LB+A1+B1+C</w:t>
            </w:r>
          </w:p>
        </w:tc>
        <w:tc>
          <w:tcPr>
            <w:tcW w:w="557"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5.11</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6.54</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7.67</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8.43</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9.60</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10.48</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10.44</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10.38</w:t>
            </w:r>
          </w:p>
        </w:tc>
        <w:tc>
          <w:tcPr>
            <w:tcW w:w="404"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10.33</w:t>
            </w:r>
          </w:p>
        </w:tc>
      </w:tr>
      <w:tr w:rsidR="00642738">
        <w:trPr>
          <w:trHeight w:val="288"/>
          <w:jc w:val="center"/>
        </w:trPr>
        <w:tc>
          <w:tcPr>
            <w:tcW w:w="564" w:type="pct"/>
            <w:vMerge/>
            <w:vAlign w:val="center"/>
          </w:tcPr>
          <w:p w:rsidR="00642738" w:rsidRDefault="00642738">
            <w:pPr>
              <w:spacing w:after="0" w:line="240" w:lineRule="auto"/>
              <w:jc w:val="both"/>
              <w:rPr>
                <w:rFonts w:ascii="Times New Roman" w:hAnsi="Times New Roman"/>
                <w:b/>
                <w:sz w:val="24"/>
                <w:szCs w:val="24"/>
              </w:rPr>
            </w:pPr>
          </w:p>
        </w:tc>
        <w:tc>
          <w:tcPr>
            <w:tcW w:w="867" w:type="pct"/>
            <w:vAlign w:val="center"/>
          </w:tcPr>
          <w:p w:rsidR="00642738" w:rsidRDefault="00B34E1E">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F14: LB+ A2+B2+C</w:t>
            </w:r>
          </w:p>
        </w:tc>
        <w:tc>
          <w:tcPr>
            <w:tcW w:w="557"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4.94</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6.50</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7.62</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8.32</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9.52</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10.40</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10.38</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10.26</w:t>
            </w:r>
          </w:p>
        </w:tc>
        <w:tc>
          <w:tcPr>
            <w:tcW w:w="404"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10.24</w:t>
            </w:r>
          </w:p>
        </w:tc>
      </w:tr>
      <w:tr w:rsidR="00642738">
        <w:trPr>
          <w:trHeight w:val="288"/>
          <w:jc w:val="center"/>
        </w:trPr>
        <w:tc>
          <w:tcPr>
            <w:tcW w:w="564" w:type="pct"/>
            <w:vMerge/>
            <w:vAlign w:val="center"/>
          </w:tcPr>
          <w:p w:rsidR="00642738" w:rsidRDefault="00642738">
            <w:pPr>
              <w:spacing w:after="0" w:line="240" w:lineRule="auto"/>
              <w:jc w:val="both"/>
              <w:rPr>
                <w:rFonts w:ascii="Times New Roman" w:hAnsi="Times New Roman"/>
                <w:b/>
                <w:sz w:val="24"/>
                <w:szCs w:val="24"/>
              </w:rPr>
            </w:pPr>
          </w:p>
        </w:tc>
        <w:tc>
          <w:tcPr>
            <w:tcW w:w="867" w:type="pct"/>
            <w:vAlign w:val="center"/>
          </w:tcPr>
          <w:p w:rsidR="00642738" w:rsidRDefault="00B34E1E">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F15: LB+ A3+B3+C</w:t>
            </w:r>
          </w:p>
        </w:tc>
        <w:tc>
          <w:tcPr>
            <w:tcW w:w="557"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5.04</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6.51</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7.64</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8.38</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9.56</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10.45</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10.40</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10.32</w:t>
            </w:r>
          </w:p>
        </w:tc>
        <w:tc>
          <w:tcPr>
            <w:tcW w:w="404"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10.31</w:t>
            </w:r>
          </w:p>
        </w:tc>
      </w:tr>
      <w:tr w:rsidR="00642738">
        <w:trPr>
          <w:trHeight w:val="288"/>
          <w:jc w:val="center"/>
        </w:trPr>
        <w:tc>
          <w:tcPr>
            <w:tcW w:w="564" w:type="pct"/>
            <w:vMerge/>
            <w:vAlign w:val="center"/>
          </w:tcPr>
          <w:p w:rsidR="00642738" w:rsidRDefault="00642738">
            <w:pPr>
              <w:spacing w:after="0" w:line="240" w:lineRule="auto"/>
              <w:jc w:val="both"/>
              <w:rPr>
                <w:rFonts w:ascii="Times New Roman" w:hAnsi="Times New Roman"/>
                <w:b/>
                <w:sz w:val="24"/>
                <w:szCs w:val="24"/>
              </w:rPr>
            </w:pPr>
          </w:p>
        </w:tc>
        <w:tc>
          <w:tcPr>
            <w:tcW w:w="867" w:type="pct"/>
            <w:vAlign w:val="center"/>
          </w:tcPr>
          <w:p w:rsidR="00642738" w:rsidRDefault="00B34E1E">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F16: LB+ A3+B3+C</w:t>
            </w:r>
          </w:p>
        </w:tc>
        <w:tc>
          <w:tcPr>
            <w:tcW w:w="557"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5.16</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6.61</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7.68</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8.48</w:t>
            </w:r>
          </w:p>
        </w:tc>
        <w:tc>
          <w:tcPr>
            <w:tcW w:w="352"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9.62</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10.52</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10.48</w:t>
            </w:r>
          </w:p>
        </w:tc>
        <w:tc>
          <w:tcPr>
            <w:tcW w:w="400"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10.42</w:t>
            </w:r>
          </w:p>
        </w:tc>
        <w:tc>
          <w:tcPr>
            <w:tcW w:w="404" w:type="pct"/>
            <w:vAlign w:val="center"/>
          </w:tcPr>
          <w:p w:rsidR="00642738" w:rsidRDefault="00B34E1E">
            <w:pPr>
              <w:spacing w:after="0" w:line="240" w:lineRule="auto"/>
              <w:jc w:val="both"/>
              <w:rPr>
                <w:rFonts w:ascii="Times New Roman" w:hAnsi="Times New Roman"/>
                <w:color w:val="000000"/>
                <w:sz w:val="24"/>
                <w:szCs w:val="24"/>
              </w:rPr>
            </w:pPr>
            <w:r>
              <w:rPr>
                <w:rFonts w:ascii="Times New Roman" w:hAnsi="Times New Roman"/>
                <w:color w:val="000000"/>
                <w:sz w:val="24"/>
                <w:szCs w:val="24"/>
              </w:rPr>
              <w:t>10.39</w:t>
            </w:r>
          </w:p>
        </w:tc>
      </w:tr>
    </w:tbl>
    <w:p w:rsidR="00642738" w:rsidRDefault="00642738">
      <w:pPr>
        <w:jc w:val="both"/>
        <w:rPr>
          <w:rFonts w:ascii="Times New Roman" w:hAnsi="Times New Roman"/>
          <w:b/>
          <w:sz w:val="24"/>
          <w:szCs w:val="24"/>
        </w:rPr>
      </w:pPr>
    </w:p>
    <w:p w:rsidR="00642738" w:rsidRDefault="00642738">
      <w:pPr>
        <w:jc w:val="both"/>
        <w:rPr>
          <w:rFonts w:ascii="Times New Roman" w:hAnsi="Times New Roman"/>
          <w:b/>
          <w:sz w:val="24"/>
          <w:szCs w:val="24"/>
        </w:rPr>
      </w:pPr>
    </w:p>
    <w:p w:rsidR="00642738" w:rsidRDefault="00642738">
      <w:pPr>
        <w:jc w:val="both"/>
        <w:rPr>
          <w:rFonts w:ascii="Times New Roman" w:hAnsi="Times New Roman"/>
          <w:b/>
          <w:sz w:val="24"/>
          <w:szCs w:val="24"/>
        </w:rPr>
      </w:pPr>
    </w:p>
    <w:p w:rsidR="00642738" w:rsidRDefault="00B34E1E">
      <w:pPr>
        <w:jc w:val="both"/>
        <w:rPr>
          <w:rFonts w:ascii="Times New Roman" w:hAnsi="Times New Roman"/>
          <w:b/>
          <w:sz w:val="24"/>
          <w:szCs w:val="24"/>
        </w:rPr>
      </w:pPr>
      <w:r>
        <w:rPr>
          <w:rFonts w:ascii="Times New Roman" w:hAnsi="Times New Roman"/>
          <w:noProof/>
          <w:sz w:val="24"/>
          <w:szCs w:val="24"/>
          <w:lang w:val="en-IN" w:eastAsia="en-IN"/>
        </w:rPr>
        <w:lastRenderedPageBreak/>
        <w:drawing>
          <wp:inline distT="0" distB="0" distL="114300" distR="114300">
            <wp:extent cx="4772025" cy="33528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42738" w:rsidRDefault="00B34E1E">
      <w:pPr>
        <w:jc w:val="both"/>
        <w:rPr>
          <w:rFonts w:ascii="Times New Roman" w:hAnsi="Times New Roman"/>
          <w:b/>
          <w:sz w:val="24"/>
          <w:szCs w:val="24"/>
        </w:rPr>
      </w:pPr>
      <w:r>
        <w:rPr>
          <w:rFonts w:ascii="Times New Roman" w:hAnsi="Times New Roman"/>
          <w:b/>
          <w:sz w:val="24"/>
          <w:szCs w:val="24"/>
        </w:rPr>
        <w:t xml:space="preserve">Fig.1. LB without protectants </w:t>
      </w:r>
      <w:r>
        <w:rPr>
          <w:rFonts w:ascii="Times New Roman" w:hAnsi="Times New Roman"/>
          <w:b/>
          <w:bCs/>
          <w:sz w:val="24"/>
          <w:szCs w:val="24"/>
        </w:rPr>
        <w:t>(OD)</w:t>
      </w:r>
    </w:p>
    <w:p w:rsidR="00642738" w:rsidRDefault="00B34E1E">
      <w:pPr>
        <w:jc w:val="both"/>
        <w:rPr>
          <w:rFonts w:ascii="Times New Roman" w:hAnsi="Times New Roman"/>
          <w:sz w:val="24"/>
          <w:szCs w:val="24"/>
        </w:rPr>
      </w:pPr>
      <w:r>
        <w:rPr>
          <w:rFonts w:ascii="Times New Roman" w:hAnsi="Times New Roman"/>
          <w:noProof/>
          <w:sz w:val="24"/>
          <w:szCs w:val="24"/>
          <w:lang w:val="en-IN" w:eastAsia="en-IN"/>
        </w:rPr>
        <w:drawing>
          <wp:inline distT="0" distB="0" distL="114300" distR="114300">
            <wp:extent cx="5029200" cy="33528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42738" w:rsidRDefault="00B34E1E">
      <w:pPr>
        <w:jc w:val="both"/>
        <w:rPr>
          <w:rFonts w:ascii="Times New Roman" w:hAnsi="Times New Roman"/>
          <w:b/>
          <w:sz w:val="24"/>
          <w:szCs w:val="24"/>
        </w:rPr>
      </w:pPr>
      <w:r>
        <w:rPr>
          <w:rFonts w:ascii="Times New Roman" w:hAnsi="Times New Roman"/>
          <w:b/>
          <w:sz w:val="24"/>
          <w:szCs w:val="24"/>
        </w:rPr>
        <w:t>Fig.2. LB with protectants</w:t>
      </w:r>
      <w:r>
        <w:rPr>
          <w:rFonts w:ascii="Times New Roman" w:hAnsi="Times New Roman"/>
          <w:b/>
          <w:bCs/>
          <w:sz w:val="24"/>
          <w:szCs w:val="24"/>
        </w:rPr>
        <w:t xml:space="preserve"> (OD)</w:t>
      </w:r>
    </w:p>
    <w:p w:rsidR="00642738" w:rsidRDefault="00642738">
      <w:pPr>
        <w:jc w:val="both"/>
        <w:rPr>
          <w:rFonts w:ascii="Times New Roman" w:hAnsi="Times New Roman"/>
          <w:sz w:val="24"/>
          <w:szCs w:val="24"/>
        </w:rPr>
      </w:pPr>
    </w:p>
    <w:p w:rsidR="00642738" w:rsidRDefault="00642738">
      <w:pPr>
        <w:jc w:val="both"/>
        <w:rPr>
          <w:rFonts w:ascii="Times New Roman" w:hAnsi="Times New Roman"/>
          <w:sz w:val="24"/>
          <w:szCs w:val="24"/>
        </w:rPr>
      </w:pPr>
    </w:p>
    <w:p w:rsidR="00642738" w:rsidRDefault="00642738">
      <w:pPr>
        <w:jc w:val="both"/>
        <w:rPr>
          <w:rFonts w:ascii="Times New Roman" w:hAnsi="Times New Roman"/>
          <w:b/>
          <w:sz w:val="24"/>
          <w:szCs w:val="24"/>
        </w:rPr>
      </w:pPr>
    </w:p>
    <w:p w:rsidR="00642738" w:rsidRDefault="00B34E1E">
      <w:pPr>
        <w:jc w:val="both"/>
        <w:rPr>
          <w:rFonts w:ascii="Times New Roman" w:hAnsi="Times New Roman"/>
          <w:sz w:val="24"/>
          <w:szCs w:val="24"/>
        </w:rPr>
      </w:pPr>
      <w:r>
        <w:rPr>
          <w:rFonts w:ascii="Times New Roman" w:hAnsi="Times New Roman"/>
          <w:noProof/>
          <w:sz w:val="24"/>
          <w:szCs w:val="24"/>
          <w:lang w:val="en-IN" w:eastAsia="en-IN"/>
        </w:rPr>
        <w:drawing>
          <wp:inline distT="0" distB="0" distL="114300" distR="114300">
            <wp:extent cx="4714875" cy="3400425"/>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42738" w:rsidRDefault="00B34E1E">
      <w:pPr>
        <w:jc w:val="both"/>
        <w:rPr>
          <w:rFonts w:ascii="Times New Roman" w:hAnsi="Times New Roman"/>
          <w:sz w:val="24"/>
          <w:szCs w:val="24"/>
        </w:rPr>
      </w:pPr>
      <w:r>
        <w:rPr>
          <w:rFonts w:ascii="Times New Roman" w:hAnsi="Times New Roman"/>
          <w:b/>
          <w:sz w:val="24"/>
          <w:szCs w:val="24"/>
        </w:rPr>
        <w:t>Fig.3. LB without protectants</w:t>
      </w:r>
    </w:p>
    <w:p w:rsidR="00642738" w:rsidRDefault="00B34E1E">
      <w:pPr>
        <w:jc w:val="both"/>
        <w:rPr>
          <w:rFonts w:ascii="Times New Roman" w:hAnsi="Times New Roman"/>
          <w:sz w:val="24"/>
          <w:szCs w:val="24"/>
        </w:rPr>
      </w:pPr>
      <w:r>
        <w:rPr>
          <w:rFonts w:ascii="Times New Roman" w:hAnsi="Times New Roman"/>
          <w:noProof/>
          <w:sz w:val="24"/>
          <w:szCs w:val="24"/>
          <w:lang w:val="en-IN" w:eastAsia="en-IN"/>
        </w:rPr>
        <w:drawing>
          <wp:inline distT="0" distB="0" distL="114300" distR="114300">
            <wp:extent cx="4752975" cy="3305175"/>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42738" w:rsidRDefault="00B34E1E">
      <w:pPr>
        <w:jc w:val="both"/>
        <w:rPr>
          <w:rFonts w:ascii="Times New Roman" w:hAnsi="Times New Roman"/>
          <w:sz w:val="24"/>
          <w:szCs w:val="24"/>
        </w:rPr>
      </w:pPr>
      <w:r>
        <w:rPr>
          <w:rFonts w:ascii="Times New Roman" w:hAnsi="Times New Roman"/>
          <w:b/>
          <w:sz w:val="24"/>
          <w:szCs w:val="24"/>
        </w:rPr>
        <w:t>Fig.4. LB with protectants</w:t>
      </w:r>
    </w:p>
    <w:p w:rsidR="00642738" w:rsidRDefault="00642738">
      <w:pPr>
        <w:jc w:val="both"/>
        <w:rPr>
          <w:rFonts w:ascii="Times New Roman" w:hAnsi="Times New Roman"/>
          <w:noProof/>
          <w:sz w:val="24"/>
          <w:szCs w:val="24"/>
          <w:lang w:val="en-IN" w:eastAsia="en-IN"/>
        </w:rPr>
      </w:pPr>
    </w:p>
    <w:p w:rsidR="00642738" w:rsidRDefault="00B34E1E">
      <w:pPr>
        <w:jc w:val="both"/>
        <w:rPr>
          <w:rFonts w:ascii="Times New Roman" w:hAnsi="Times New Roman"/>
          <w:b/>
          <w:sz w:val="24"/>
          <w:szCs w:val="24"/>
        </w:rPr>
      </w:pPr>
      <w:r>
        <w:rPr>
          <w:rFonts w:ascii="Times New Roman" w:hAnsi="Times New Roman"/>
          <w:noProof/>
          <w:sz w:val="24"/>
          <w:szCs w:val="24"/>
          <w:lang w:val="en-IN" w:eastAsia="en-IN"/>
        </w:rPr>
        <w:lastRenderedPageBreak/>
        <w:drawing>
          <wp:inline distT="0" distB="0" distL="114300" distR="114300">
            <wp:extent cx="6086475" cy="3848100"/>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hAnsi="Times New Roman"/>
          <w:b/>
          <w:sz w:val="24"/>
          <w:szCs w:val="24"/>
        </w:rPr>
        <w:t xml:space="preserve"> </w:t>
      </w:r>
    </w:p>
    <w:p w:rsidR="00642738" w:rsidRDefault="00B34E1E">
      <w:pPr>
        <w:jc w:val="both"/>
        <w:rPr>
          <w:rFonts w:ascii="Times New Roman" w:hAnsi="Times New Roman"/>
          <w:b/>
          <w:sz w:val="24"/>
          <w:szCs w:val="24"/>
        </w:rPr>
      </w:pPr>
      <w:r>
        <w:rPr>
          <w:rFonts w:ascii="Times New Roman" w:hAnsi="Times New Roman"/>
          <w:b/>
          <w:sz w:val="24"/>
          <w:szCs w:val="24"/>
        </w:rPr>
        <w:t xml:space="preserve">Fig.5. Growth of four selected </w:t>
      </w:r>
      <w:r>
        <w:rPr>
          <w:rFonts w:ascii="Times New Roman" w:hAnsi="Times New Roman"/>
          <w:b/>
          <w:sz w:val="24"/>
          <w:szCs w:val="24"/>
        </w:rPr>
        <w:t>strains on th eir specific media without protectants</w:t>
      </w:r>
    </w:p>
    <w:p w:rsidR="00642738" w:rsidRDefault="00642738">
      <w:pPr>
        <w:spacing w:line="360" w:lineRule="auto"/>
        <w:jc w:val="both"/>
      </w:pPr>
    </w:p>
    <w:p w:rsidR="00642738" w:rsidRDefault="00642738">
      <w:pPr>
        <w:spacing w:line="360" w:lineRule="auto"/>
        <w:jc w:val="both"/>
      </w:pPr>
    </w:p>
    <w:p w:rsidR="00642738" w:rsidRDefault="00642738">
      <w:pPr>
        <w:spacing w:line="360" w:lineRule="auto"/>
        <w:jc w:val="both"/>
      </w:pPr>
    </w:p>
    <w:p w:rsidR="00642738" w:rsidRDefault="00642738">
      <w:pPr>
        <w:spacing w:line="360" w:lineRule="auto"/>
        <w:jc w:val="both"/>
      </w:pPr>
    </w:p>
    <w:p w:rsidR="00642738" w:rsidRDefault="00642738">
      <w:pPr>
        <w:spacing w:line="360" w:lineRule="auto"/>
        <w:jc w:val="both"/>
      </w:pPr>
    </w:p>
    <w:p w:rsidR="00642738" w:rsidRDefault="00642738">
      <w:pPr>
        <w:spacing w:line="360" w:lineRule="auto"/>
        <w:jc w:val="both"/>
      </w:pPr>
    </w:p>
    <w:p w:rsidR="00642738" w:rsidRDefault="00642738">
      <w:pPr>
        <w:spacing w:line="360" w:lineRule="auto"/>
        <w:jc w:val="both"/>
      </w:pPr>
    </w:p>
    <w:p w:rsidR="00642738" w:rsidRDefault="00642738">
      <w:pPr>
        <w:spacing w:line="360" w:lineRule="auto"/>
        <w:jc w:val="both"/>
      </w:pPr>
    </w:p>
    <w:p w:rsidR="00642738" w:rsidRDefault="00642738">
      <w:pPr>
        <w:spacing w:line="360" w:lineRule="auto"/>
        <w:jc w:val="both"/>
      </w:pPr>
    </w:p>
    <w:p w:rsidR="00642738" w:rsidRDefault="00642738">
      <w:pPr>
        <w:spacing w:line="360" w:lineRule="auto"/>
        <w:jc w:val="both"/>
      </w:pPr>
    </w:p>
    <w:p w:rsidR="00642738" w:rsidRDefault="00B34E1E">
      <w:pPr>
        <w:spacing w:after="0" w:line="360" w:lineRule="auto"/>
        <w:contextualSpacing/>
        <w:jc w:val="both"/>
        <w:rPr>
          <w:rFonts w:ascii="Times New Roman" w:hAnsi="Times New Roman"/>
          <w:sz w:val="24"/>
          <w:szCs w:val="24"/>
        </w:rPr>
      </w:pPr>
      <w:r>
        <w:rPr>
          <w:rFonts w:ascii="Times New Roman" w:hAnsi="Times New Roman" w:cs="Times New Roman"/>
          <w:b/>
          <w:sz w:val="24"/>
          <w:szCs w:val="24"/>
        </w:rPr>
        <w:lastRenderedPageBreak/>
        <w:t>4. Conclusion</w:t>
      </w:r>
    </w:p>
    <w:p w:rsidR="00642738" w:rsidRDefault="00B34E1E">
      <w:pPr>
        <w:spacing w:before="120" w:after="120" w:line="440" w:lineRule="atLeast"/>
        <w:jc w:val="both"/>
        <w:rPr>
          <w:rFonts w:ascii="Times New Roman" w:hAnsi="Times New Roman"/>
          <w:sz w:val="24"/>
          <w:szCs w:val="24"/>
          <w:lang w:val="en-IN"/>
        </w:rPr>
      </w:pPr>
      <w:r>
        <w:rPr>
          <w:rFonts w:ascii="Times New Roman" w:hAnsi="Times New Roman"/>
          <w:sz w:val="24"/>
          <w:szCs w:val="24"/>
        </w:rPr>
        <w:t>The present study demonstrated that the growth and survival of selected plant growth-promoting microbial strains were greatly influenced by the composition of liquid media and the</w:t>
      </w:r>
      <w:r>
        <w:rPr>
          <w:rFonts w:ascii="Times New Roman" w:hAnsi="Times New Roman"/>
          <w:sz w:val="24"/>
          <w:szCs w:val="24"/>
        </w:rPr>
        <w:t xml:space="preserve"> use of suitable cell protectants. Among the sixteen formulations evaluated, formulations F3, F7, F10, and F16 supported higher microbial populations and were identified as the best formulations for PSA 7, PSA 5, PPFM 33, and LAB 75, respectively. The inco</w:t>
      </w:r>
      <w:r>
        <w:rPr>
          <w:rFonts w:ascii="Times New Roman" w:hAnsi="Times New Roman"/>
          <w:sz w:val="24"/>
          <w:szCs w:val="24"/>
        </w:rPr>
        <w:t>rporation of polyethylene glycol, glycerol, and ascorbic acid significantly enhanced microbial growth and viability compared to unamended media. Growth kinetic studies revealed that LAB 75 and PPFM 33 were comparatively fast-growing strains, while PSA 5 an</w:t>
      </w:r>
      <w:r>
        <w:rPr>
          <w:rFonts w:ascii="Times New Roman" w:hAnsi="Times New Roman"/>
          <w:sz w:val="24"/>
          <w:szCs w:val="24"/>
        </w:rPr>
        <w:t xml:space="preserve">d PSA 7 required a longer incubation period to attain maximum population. All four strains exhibited better growth in amended LB medium than in their respective selective media. The study also showed that cell protectants improved both optical density and </w:t>
      </w:r>
      <w:r>
        <w:rPr>
          <w:rFonts w:ascii="Times New Roman" w:hAnsi="Times New Roman"/>
          <w:sz w:val="24"/>
          <w:szCs w:val="24"/>
        </w:rPr>
        <w:t>viable cell count, indicating enhanced microbial activity and stability. Understanding the growth kinetics of individual strains helped in achieving synchronization for effective consortium development. The optimized liquid formulations developed in this s</w:t>
      </w:r>
      <w:r>
        <w:rPr>
          <w:rFonts w:ascii="Times New Roman" w:hAnsi="Times New Roman"/>
          <w:sz w:val="24"/>
          <w:szCs w:val="24"/>
        </w:rPr>
        <w:t>tudy can be utilized for the preparation of efficient microbial consortia and liquid biofertilizers. These findings provide useful insights for improving shelf life, microbial survivability, and large-scale biofertilizer production. Overall, the study supp</w:t>
      </w:r>
      <w:r>
        <w:rPr>
          <w:rFonts w:ascii="Times New Roman" w:hAnsi="Times New Roman"/>
          <w:sz w:val="24"/>
          <w:szCs w:val="24"/>
        </w:rPr>
        <w:t xml:space="preserve">orts the development of sustainable and eco-friendly agricultural technologies for reducing dependence on chemical fertilizers. </w:t>
      </w:r>
      <w:r>
        <w:rPr>
          <w:rFonts w:ascii="Times New Roman" w:hAnsi="Times New Roman"/>
          <w:sz w:val="24"/>
          <w:szCs w:val="24"/>
          <w:lang w:val="en-IN"/>
        </w:rPr>
        <w:t xml:space="preserve"> This study is very important from industrial and commercial production point of view. In future it holds good scope for develop</w:t>
      </w:r>
      <w:r>
        <w:rPr>
          <w:rFonts w:ascii="Times New Roman" w:hAnsi="Times New Roman"/>
          <w:sz w:val="24"/>
          <w:szCs w:val="24"/>
          <w:lang w:val="en-IN"/>
        </w:rPr>
        <w:t>ing different microbial consortia, biofertilizers, fermentation, etc.,</w:t>
      </w:r>
    </w:p>
    <w:p w:rsidR="00642738" w:rsidRDefault="00642738">
      <w:pPr>
        <w:spacing w:before="120" w:after="120" w:line="440" w:lineRule="atLeast"/>
        <w:jc w:val="both"/>
        <w:rPr>
          <w:rFonts w:ascii="Times New Roman" w:hAnsi="Times New Roman"/>
          <w:sz w:val="24"/>
          <w:szCs w:val="24"/>
          <w:lang w:val="en-IN"/>
        </w:rPr>
      </w:pPr>
    </w:p>
    <w:p w:rsidR="00642738" w:rsidRDefault="00642738">
      <w:pPr>
        <w:spacing w:before="120" w:after="120" w:line="440" w:lineRule="atLeast"/>
        <w:jc w:val="both"/>
        <w:rPr>
          <w:rFonts w:ascii="Times New Roman" w:hAnsi="Times New Roman"/>
          <w:sz w:val="24"/>
          <w:szCs w:val="24"/>
          <w:lang w:val="en-IN"/>
        </w:rPr>
      </w:pPr>
    </w:p>
    <w:p w:rsidR="00642738" w:rsidRDefault="00642738">
      <w:pPr>
        <w:spacing w:after="0" w:line="360" w:lineRule="auto"/>
        <w:contextualSpacing/>
        <w:jc w:val="both"/>
        <w:rPr>
          <w:rFonts w:ascii="Times New Roman" w:hAnsi="Times New Roman" w:cs="Times New Roman"/>
          <w:b/>
          <w:sz w:val="24"/>
          <w:szCs w:val="24"/>
        </w:rPr>
      </w:pPr>
    </w:p>
    <w:p w:rsidR="00642738" w:rsidRDefault="00B34E1E">
      <w:pPr>
        <w:pStyle w:val="NoSpacing"/>
        <w:rPr>
          <w:rFonts w:ascii="Arial" w:hAnsi="Arial" w:cs="Arial"/>
          <w:color w:val="000000"/>
        </w:rPr>
      </w:pPr>
      <w:bookmarkStart w:id="1" w:name="_Hlk198031404"/>
      <w:bookmarkStart w:id="2" w:name="_Hlk221094604"/>
      <w:r>
        <w:rPr>
          <w:rFonts w:ascii="Arial" w:hAnsi="Arial" w:cs="Arial"/>
          <w:color w:val="000000"/>
        </w:rPr>
        <w:t>Disclaimer (Artificial intelligence)</w:t>
      </w:r>
    </w:p>
    <w:p w:rsidR="00642738" w:rsidRDefault="00642738">
      <w:pPr>
        <w:pStyle w:val="NoSpacing"/>
        <w:rPr>
          <w:rFonts w:ascii="Arial" w:hAnsi="Arial" w:cs="Arial"/>
          <w:color w:val="000000"/>
        </w:rPr>
      </w:pPr>
    </w:p>
    <w:p w:rsidR="00642738" w:rsidRDefault="00B34E1E">
      <w:pPr>
        <w:pStyle w:val="NoSpacing"/>
        <w:rPr>
          <w:rFonts w:ascii="Arial" w:hAnsi="Arial" w:cs="Arial"/>
          <w:color w:val="000000"/>
        </w:rPr>
      </w:pPr>
      <w:r>
        <w:rPr>
          <w:rFonts w:ascii="Arial" w:hAnsi="Arial" w:cs="Arial"/>
          <w:color w:val="000000"/>
        </w:rPr>
        <w:t xml:space="preserve">Author(s) hereby declare that NO generative AI technologies such as Large Language Models (ChatGPT, COPILOT, etc.) and text-to-image generators have been used during the writing or editing of this manuscript. </w:t>
      </w:r>
    </w:p>
    <w:bookmarkEnd w:id="1"/>
    <w:p w:rsidR="00642738" w:rsidRDefault="00642738">
      <w:pPr>
        <w:pStyle w:val="NoSpacing"/>
        <w:rPr>
          <w:rFonts w:ascii="Arial" w:hAnsi="Arial" w:cs="Arial"/>
        </w:rPr>
      </w:pPr>
    </w:p>
    <w:bookmarkEnd w:id="2"/>
    <w:p w:rsidR="00642738" w:rsidRDefault="00642738">
      <w:pPr>
        <w:spacing w:after="0" w:line="360" w:lineRule="auto"/>
        <w:contextualSpacing/>
        <w:jc w:val="both"/>
        <w:rPr>
          <w:rFonts w:ascii="Times New Roman" w:hAnsi="Times New Roman" w:cs="Times New Roman"/>
          <w:b/>
          <w:sz w:val="24"/>
          <w:szCs w:val="24"/>
        </w:rPr>
      </w:pPr>
    </w:p>
    <w:p w:rsidR="00642738" w:rsidRDefault="00642738">
      <w:pPr>
        <w:spacing w:after="0" w:line="360" w:lineRule="auto"/>
        <w:contextualSpacing/>
        <w:jc w:val="both"/>
        <w:rPr>
          <w:rFonts w:ascii="Times New Roman" w:hAnsi="Times New Roman" w:cs="Times New Roman"/>
          <w:b/>
          <w:sz w:val="24"/>
          <w:szCs w:val="24"/>
        </w:rPr>
      </w:pPr>
    </w:p>
    <w:p w:rsidR="00642738" w:rsidRDefault="00642738">
      <w:pPr>
        <w:spacing w:after="0" w:line="360" w:lineRule="auto"/>
        <w:contextualSpacing/>
        <w:jc w:val="both"/>
        <w:rPr>
          <w:rFonts w:ascii="Times New Roman" w:hAnsi="Times New Roman" w:cs="Times New Roman"/>
          <w:b/>
          <w:sz w:val="24"/>
          <w:szCs w:val="24"/>
        </w:rPr>
      </w:pPr>
    </w:p>
    <w:p w:rsidR="00642738" w:rsidRDefault="00B34E1E">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5. References </w:t>
      </w:r>
    </w:p>
    <w:p w:rsidR="00642738" w:rsidRDefault="00B34E1E">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lang w:val="en-IN"/>
        </w:rPr>
        <w:t xml:space="preserve">Aman J, Geeta K, Viabhav K U, Jyostnarani P, Hemlata S and Kartik P. 2023. A methodology to develop liquid formulation of biofertilizer technology. </w:t>
      </w:r>
      <w:r>
        <w:rPr>
          <w:rFonts w:ascii="Times New Roman" w:hAnsi="Times New Roman"/>
          <w:i/>
          <w:iCs/>
          <w:sz w:val="24"/>
          <w:szCs w:val="24"/>
          <w:lang w:val="en-IN"/>
        </w:rPr>
        <w:t xml:space="preserve">The Pharma Innovation Journal </w:t>
      </w:r>
      <w:r>
        <w:rPr>
          <w:rFonts w:ascii="Times New Roman" w:hAnsi="Times New Roman"/>
          <w:b/>
          <w:bCs/>
          <w:sz w:val="24"/>
          <w:szCs w:val="24"/>
          <w:lang w:val="en-IN"/>
        </w:rPr>
        <w:t>12</w:t>
      </w:r>
      <w:r>
        <w:rPr>
          <w:rFonts w:ascii="Times New Roman" w:hAnsi="Times New Roman"/>
          <w:sz w:val="24"/>
          <w:szCs w:val="24"/>
          <w:lang w:val="en-IN"/>
        </w:rPr>
        <w:t xml:space="preserve">(11): 875-881. </w:t>
      </w:r>
    </w:p>
    <w:p w:rsidR="00642738" w:rsidRDefault="00B34E1E">
      <w:pPr>
        <w:pStyle w:val="ListParagraph"/>
        <w:numPr>
          <w:ilvl w:val="0"/>
          <w:numId w:val="1"/>
        </w:numPr>
        <w:spacing w:before="120" w:after="120" w:line="440" w:lineRule="atLeast"/>
        <w:jc w:val="both"/>
        <w:rPr>
          <w:rFonts w:ascii="Times New Roman" w:hAnsi="Times New Roman"/>
          <w:sz w:val="28"/>
          <w:szCs w:val="24"/>
        </w:rPr>
      </w:pPr>
      <w:r>
        <w:rPr>
          <w:rFonts w:ascii="Times New Roman" w:hAnsi="Times New Roman"/>
          <w:sz w:val="24"/>
        </w:rPr>
        <w:t xml:space="preserve">Arriel-Elias M T, Oliveira M I, Silva-Lobo V L, Filippi M C </w:t>
      </w:r>
      <w:r>
        <w:rPr>
          <w:rFonts w:ascii="Times New Roman" w:hAnsi="Times New Roman"/>
          <w:sz w:val="24"/>
        </w:rPr>
        <w:t>C, Babana A H, Conceicao E C &amp; Cortes M D C. 2018. Shelf-life enhancement of plant growth promoting rhizobacteria using a simple formulation screening method. 10.5897/AJMR2017.8787</w:t>
      </w:r>
    </w:p>
    <w:p w:rsidR="00642738" w:rsidRDefault="00B34E1E">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rPr>
        <w:t>Ashwini, 2020, Studies on formulations of NPK biofertilizer consortia and t</w:t>
      </w:r>
      <w:r>
        <w:rPr>
          <w:rFonts w:ascii="Times New Roman" w:hAnsi="Times New Roman"/>
          <w:sz w:val="24"/>
          <w:szCs w:val="24"/>
        </w:rPr>
        <w:t>heir effect on growth of maize (</w:t>
      </w:r>
      <w:r>
        <w:rPr>
          <w:rFonts w:ascii="Times New Roman" w:hAnsi="Times New Roman"/>
          <w:i/>
          <w:sz w:val="24"/>
          <w:szCs w:val="24"/>
        </w:rPr>
        <w:t>Zea mays</w:t>
      </w:r>
      <w:r>
        <w:rPr>
          <w:rFonts w:ascii="Times New Roman" w:hAnsi="Times New Roman"/>
          <w:sz w:val="24"/>
          <w:szCs w:val="24"/>
        </w:rPr>
        <w:t xml:space="preserve"> L). </w:t>
      </w:r>
      <w:r>
        <w:rPr>
          <w:rFonts w:ascii="Times New Roman" w:hAnsi="Times New Roman"/>
          <w:i/>
          <w:sz w:val="24"/>
          <w:szCs w:val="24"/>
        </w:rPr>
        <w:t>M. Sc. (Agri) Thesis</w:t>
      </w:r>
      <w:r>
        <w:rPr>
          <w:rFonts w:ascii="Times New Roman" w:hAnsi="Times New Roman"/>
          <w:sz w:val="24"/>
          <w:szCs w:val="24"/>
        </w:rPr>
        <w:t xml:space="preserve">, University of Agricultural Sciences, Dharwad, Karnataka, India. </w:t>
      </w:r>
    </w:p>
    <w:p w:rsidR="00642738" w:rsidRDefault="00B34E1E">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lang w:val="en-IN"/>
        </w:rPr>
        <w:t>Biradar B P &amp; Santhosh G P. 2018. Role of polymeric additives in formulation, shelf-life and bioefficacy of liquid inoculant</w:t>
      </w:r>
      <w:r>
        <w:rPr>
          <w:rFonts w:ascii="Times New Roman" w:hAnsi="Times New Roman"/>
          <w:sz w:val="24"/>
          <w:szCs w:val="24"/>
          <w:lang w:val="en-IN"/>
        </w:rPr>
        <w:t xml:space="preserve"> of Pseudomonas fluoresens.</w:t>
      </w:r>
      <w:r>
        <w:rPr>
          <w:rFonts w:ascii="Times New Roman" w:hAnsi="Times New Roman"/>
          <w:i/>
          <w:iCs/>
          <w:sz w:val="24"/>
          <w:szCs w:val="24"/>
          <w:lang w:val="en-IN"/>
        </w:rPr>
        <w:t>Int. J. Pure Appl. Bioci</w:t>
      </w:r>
      <w:r>
        <w:rPr>
          <w:rFonts w:ascii="Times New Roman" w:hAnsi="Times New Roman"/>
          <w:sz w:val="24"/>
          <w:szCs w:val="24"/>
          <w:lang w:val="en-IN"/>
        </w:rPr>
        <w:t xml:space="preserve">. </w:t>
      </w:r>
      <w:r>
        <w:rPr>
          <w:rFonts w:ascii="Times New Roman" w:hAnsi="Times New Roman"/>
          <w:b/>
          <w:bCs/>
          <w:sz w:val="24"/>
          <w:szCs w:val="24"/>
          <w:lang w:val="en-IN"/>
        </w:rPr>
        <w:t>6</w:t>
      </w:r>
      <w:r>
        <w:rPr>
          <w:rFonts w:ascii="Times New Roman" w:hAnsi="Times New Roman"/>
          <w:sz w:val="24"/>
          <w:szCs w:val="24"/>
          <w:lang w:val="en-IN"/>
        </w:rPr>
        <w:t>, 123-133.</w:t>
      </w:r>
    </w:p>
    <w:p w:rsidR="00642738" w:rsidRDefault="00B34E1E">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rPr>
        <w:t>Blanco-Vargas A, Rodríguez-Gacha L M, Sánchez-Castro N, Garzón-Jaramillo R, Pedroza-Camacho L D, Poutou-Piñales R A, Rivera-Hoyos C M, Díaz-Ariza L A, Pedroza-Rodríguez A M. 2020. Phosphate-s</w:t>
      </w:r>
      <w:r>
        <w:rPr>
          <w:rFonts w:ascii="Times New Roman" w:hAnsi="Times New Roman"/>
          <w:sz w:val="24"/>
          <w:szCs w:val="24"/>
        </w:rPr>
        <w:t xml:space="preserve">olubilizing </w:t>
      </w:r>
      <w:r>
        <w:rPr>
          <w:rFonts w:ascii="Times New Roman" w:hAnsi="Times New Roman"/>
          <w:i/>
          <w:iCs/>
          <w:sz w:val="24"/>
          <w:szCs w:val="24"/>
        </w:rPr>
        <w:t>Pseudomonas sp., and Serratia sp</w:t>
      </w:r>
      <w:r>
        <w:rPr>
          <w:rFonts w:ascii="Times New Roman" w:hAnsi="Times New Roman"/>
          <w:sz w:val="24"/>
          <w:szCs w:val="24"/>
        </w:rPr>
        <w:t xml:space="preserve">., co-culture for </w:t>
      </w:r>
      <w:r>
        <w:rPr>
          <w:rFonts w:ascii="Times New Roman" w:hAnsi="Times New Roman"/>
          <w:i/>
          <w:iCs/>
          <w:sz w:val="24"/>
          <w:szCs w:val="24"/>
        </w:rPr>
        <w:t>Allium cepa</w:t>
      </w:r>
      <w:r>
        <w:rPr>
          <w:rFonts w:ascii="Times New Roman" w:hAnsi="Times New Roman"/>
          <w:sz w:val="24"/>
          <w:szCs w:val="24"/>
        </w:rPr>
        <w:t xml:space="preserve"> L. growth promotion. </w:t>
      </w:r>
      <w:r>
        <w:rPr>
          <w:rFonts w:ascii="Times New Roman" w:hAnsi="Times New Roman"/>
          <w:i/>
          <w:iCs/>
          <w:sz w:val="24"/>
          <w:szCs w:val="24"/>
        </w:rPr>
        <w:t>Heliyon</w:t>
      </w:r>
      <w:r>
        <w:rPr>
          <w:rFonts w:ascii="Times New Roman" w:hAnsi="Times New Roman"/>
          <w:sz w:val="24"/>
          <w:szCs w:val="24"/>
        </w:rPr>
        <w:t xml:space="preserve"> </w:t>
      </w:r>
      <w:r>
        <w:rPr>
          <w:rFonts w:ascii="Times New Roman" w:hAnsi="Times New Roman"/>
          <w:b/>
          <w:bCs/>
          <w:sz w:val="24"/>
          <w:szCs w:val="24"/>
        </w:rPr>
        <w:t>6</w:t>
      </w:r>
      <w:r>
        <w:rPr>
          <w:rFonts w:ascii="Times New Roman" w:hAnsi="Times New Roman"/>
          <w:sz w:val="24"/>
          <w:szCs w:val="24"/>
        </w:rPr>
        <w:t xml:space="preserve"> (10): e05218, </w:t>
      </w:r>
    </w:p>
    <w:p w:rsidR="00642738" w:rsidRDefault="00B34E1E">
      <w:pPr>
        <w:pStyle w:val="ListParagraph"/>
        <w:numPr>
          <w:ilvl w:val="0"/>
          <w:numId w:val="1"/>
        </w:numPr>
        <w:spacing w:before="120" w:after="120" w:line="440" w:lineRule="atLeast"/>
        <w:jc w:val="both"/>
        <w:rPr>
          <w:rFonts w:ascii="Times New Roman" w:hAnsi="Times New Roman"/>
          <w:sz w:val="48"/>
          <w:szCs w:val="48"/>
        </w:rPr>
      </w:pPr>
      <w:r>
        <w:rPr>
          <w:rFonts w:ascii="Times New Roman" w:hAnsi="Times New Roman"/>
          <w:sz w:val="24"/>
          <w:szCs w:val="24"/>
          <w:lang w:val="en-IN"/>
        </w:rPr>
        <w:t xml:space="preserve">Brahmaprakash, G P, Sahu P K, Lavanya G, Gupta A, Nair S S &amp; Gangaraddi V. 2020. Role of additives in improving efficiency of bioformulation for plant growth and development. </w:t>
      </w:r>
      <w:r>
        <w:rPr>
          <w:rFonts w:ascii="Times New Roman" w:hAnsi="Times New Roman"/>
          <w:i/>
          <w:iCs/>
          <w:sz w:val="24"/>
          <w:szCs w:val="24"/>
          <w:lang w:val="en-IN"/>
        </w:rPr>
        <w:t>Front. Soil Environ. Microbiol</w:t>
      </w:r>
      <w:r>
        <w:rPr>
          <w:rFonts w:ascii="Times New Roman" w:hAnsi="Times New Roman"/>
          <w:sz w:val="24"/>
          <w:szCs w:val="24"/>
          <w:lang w:val="en-IN"/>
        </w:rPr>
        <w:t xml:space="preserve"> </w:t>
      </w:r>
      <w:r>
        <w:rPr>
          <w:rFonts w:ascii="Times New Roman" w:hAnsi="Times New Roman"/>
          <w:b/>
          <w:bCs/>
          <w:sz w:val="24"/>
          <w:szCs w:val="24"/>
          <w:lang w:val="en-IN"/>
        </w:rPr>
        <w:t>1</w:t>
      </w:r>
      <w:r>
        <w:rPr>
          <w:rFonts w:ascii="Times New Roman" w:hAnsi="Times New Roman"/>
          <w:sz w:val="24"/>
          <w:szCs w:val="24"/>
          <w:lang w:val="en-IN"/>
        </w:rPr>
        <w:t>, 1-10.</w:t>
      </w:r>
    </w:p>
    <w:p w:rsidR="00642738" w:rsidRDefault="00B34E1E">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rPr>
        <w:t>Daniel L A E, Venkateshwaralu B, Suseelan</w:t>
      </w:r>
      <w:r>
        <w:rPr>
          <w:rFonts w:ascii="Times New Roman" w:hAnsi="Times New Roman"/>
          <w:sz w:val="24"/>
          <w:szCs w:val="24"/>
        </w:rPr>
        <w:t xml:space="preserve">dra D, Pavankumar G, Mirhassan A S K, Meenakshi T, Uzma S, Sravani P and Lakshmi N M. 2013. Effect of polymeric additives, adjuvants, surfactants on survival, stability and plant growth promoting ability of liquid bioinoculants. </w:t>
      </w:r>
      <w:r>
        <w:rPr>
          <w:rFonts w:ascii="Times New Roman" w:hAnsi="Times New Roman"/>
          <w:i/>
          <w:sz w:val="24"/>
          <w:szCs w:val="24"/>
        </w:rPr>
        <w:t>Journal of Plant Physiology</w:t>
      </w:r>
      <w:r>
        <w:rPr>
          <w:rFonts w:ascii="Times New Roman" w:hAnsi="Times New Roman"/>
          <w:i/>
          <w:sz w:val="24"/>
          <w:szCs w:val="24"/>
        </w:rPr>
        <w:t xml:space="preserve"> and Pathology</w:t>
      </w:r>
      <w:r>
        <w:rPr>
          <w:rFonts w:ascii="Times New Roman" w:hAnsi="Times New Roman"/>
          <w:sz w:val="24"/>
          <w:szCs w:val="24"/>
        </w:rPr>
        <w:t xml:space="preserve"> </w:t>
      </w:r>
      <w:r>
        <w:rPr>
          <w:rFonts w:ascii="Times New Roman" w:hAnsi="Times New Roman"/>
          <w:b/>
          <w:bCs/>
          <w:sz w:val="24"/>
          <w:szCs w:val="24"/>
        </w:rPr>
        <w:t>1</w:t>
      </w:r>
      <w:r>
        <w:rPr>
          <w:rFonts w:ascii="Times New Roman" w:hAnsi="Times New Roman"/>
          <w:sz w:val="24"/>
          <w:szCs w:val="24"/>
        </w:rPr>
        <w:t>: 1-5.</w:t>
      </w:r>
    </w:p>
    <w:p w:rsidR="00642738" w:rsidRDefault="00B34E1E">
      <w:pPr>
        <w:pStyle w:val="ListParagraph"/>
        <w:numPr>
          <w:ilvl w:val="0"/>
          <w:numId w:val="1"/>
        </w:numPr>
        <w:spacing w:before="120" w:after="120" w:line="440" w:lineRule="atLeast"/>
        <w:jc w:val="both"/>
        <w:rPr>
          <w:rFonts w:ascii="Times New Roman" w:hAnsi="Times New Roman"/>
          <w:sz w:val="28"/>
          <w:szCs w:val="24"/>
        </w:rPr>
      </w:pPr>
      <w:r>
        <w:rPr>
          <w:rFonts w:ascii="Times New Roman" w:hAnsi="Times New Roman"/>
          <w:sz w:val="24"/>
        </w:rPr>
        <w:t xml:space="preserve">Edwards J V, Prevost N T, Yager D, Mackin R, Santiago M, Chang S, Condon B, Dacorta J. 2022. Ascorbic Acid as an Adjuvant to Unbleached Cotton Promotes Antimicrobial Activity in Spunlace Nonwovens. </w:t>
      </w:r>
      <w:r>
        <w:rPr>
          <w:rStyle w:val="Emphasis"/>
          <w:rFonts w:ascii="Times New Roman" w:hAnsi="Times New Roman"/>
          <w:sz w:val="24"/>
        </w:rPr>
        <w:t xml:space="preserve">International Journal of Molecular </w:t>
      </w:r>
      <w:r>
        <w:rPr>
          <w:rStyle w:val="Emphasis"/>
          <w:rFonts w:ascii="Times New Roman" w:hAnsi="Times New Roman"/>
          <w:sz w:val="24"/>
        </w:rPr>
        <w:t>Sciences</w:t>
      </w:r>
      <w:r>
        <w:rPr>
          <w:rFonts w:ascii="Times New Roman" w:hAnsi="Times New Roman"/>
          <w:sz w:val="24"/>
        </w:rPr>
        <w:t xml:space="preserve">. </w:t>
      </w:r>
      <w:r>
        <w:rPr>
          <w:rFonts w:ascii="Times New Roman" w:hAnsi="Times New Roman"/>
          <w:b/>
          <w:bCs/>
          <w:sz w:val="24"/>
        </w:rPr>
        <w:t>23</w:t>
      </w:r>
      <w:r>
        <w:rPr>
          <w:rFonts w:ascii="Times New Roman" w:hAnsi="Times New Roman"/>
          <w:sz w:val="24"/>
        </w:rPr>
        <w:t xml:space="preserve">(7):3598. </w:t>
      </w:r>
    </w:p>
    <w:p w:rsidR="00642738" w:rsidRDefault="00B34E1E">
      <w:pPr>
        <w:pStyle w:val="ListParagraph"/>
        <w:numPr>
          <w:ilvl w:val="0"/>
          <w:numId w:val="1"/>
        </w:numPr>
        <w:spacing w:before="120" w:after="120" w:line="440" w:lineRule="atLeast"/>
        <w:jc w:val="both"/>
        <w:rPr>
          <w:rFonts w:ascii="Times New Roman" w:hAnsi="Times New Roman"/>
          <w:sz w:val="72"/>
          <w:szCs w:val="72"/>
        </w:rPr>
      </w:pPr>
      <w:r>
        <w:rPr>
          <w:rFonts w:ascii="Times New Roman" w:hAnsi="Times New Roman"/>
          <w:sz w:val="24"/>
          <w:szCs w:val="24"/>
          <w:lang w:val="en-IN"/>
        </w:rPr>
        <w:lastRenderedPageBreak/>
        <w:t xml:space="preserve">Gopi G K, Meenakumari K S, Nysanth N S &amp; Subha P. 2019. An optimized standard liquid carrier formulation for extended shelf-life of plant growth promoting bacteria. </w:t>
      </w:r>
      <w:r>
        <w:rPr>
          <w:rFonts w:ascii="Times New Roman" w:hAnsi="Times New Roman"/>
          <w:i/>
          <w:iCs/>
          <w:sz w:val="24"/>
          <w:szCs w:val="24"/>
          <w:lang w:val="en-IN"/>
        </w:rPr>
        <w:t>Rhizosphere</w:t>
      </w:r>
      <w:r>
        <w:rPr>
          <w:rFonts w:ascii="Times New Roman" w:hAnsi="Times New Roman"/>
          <w:sz w:val="24"/>
          <w:szCs w:val="24"/>
          <w:lang w:val="en-IN"/>
        </w:rPr>
        <w:t xml:space="preserve"> </w:t>
      </w:r>
      <w:r>
        <w:rPr>
          <w:rFonts w:ascii="Times New Roman" w:hAnsi="Times New Roman"/>
          <w:b/>
          <w:bCs/>
          <w:sz w:val="24"/>
          <w:szCs w:val="24"/>
          <w:lang w:val="en-IN"/>
        </w:rPr>
        <w:t>11</w:t>
      </w:r>
      <w:r>
        <w:rPr>
          <w:rFonts w:ascii="Times New Roman" w:hAnsi="Times New Roman"/>
          <w:sz w:val="24"/>
          <w:szCs w:val="24"/>
          <w:lang w:val="en-IN"/>
        </w:rPr>
        <w:t>, 100160.</w:t>
      </w:r>
    </w:p>
    <w:p w:rsidR="00642738" w:rsidRDefault="00B34E1E">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rPr>
        <w:t>Jaiswal A, Koli D K, Pabbi S, Priya H, Kumar</w:t>
      </w:r>
      <w:r>
        <w:rPr>
          <w:rFonts w:ascii="Times New Roman" w:hAnsi="Times New Roman"/>
          <w:sz w:val="24"/>
          <w:szCs w:val="24"/>
        </w:rPr>
        <w:t xml:space="preserve"> A, Mishra R. 2022. Effect of protective polymers and storage temperatures on shelf life of cyanobacterial liquid formulation. </w:t>
      </w:r>
      <w:r>
        <w:rPr>
          <w:rFonts w:ascii="Times New Roman" w:hAnsi="Times New Roman"/>
          <w:i/>
          <w:iCs/>
          <w:sz w:val="24"/>
          <w:szCs w:val="24"/>
        </w:rPr>
        <w:t>Indian Journal of Ecology</w:t>
      </w:r>
      <w:r>
        <w:rPr>
          <w:rFonts w:ascii="Times New Roman" w:hAnsi="Times New Roman"/>
          <w:sz w:val="24"/>
          <w:szCs w:val="24"/>
        </w:rPr>
        <w:t xml:space="preserve"> </w:t>
      </w:r>
      <w:r>
        <w:rPr>
          <w:rFonts w:ascii="Times New Roman" w:hAnsi="Times New Roman"/>
          <w:b/>
          <w:bCs/>
          <w:sz w:val="24"/>
          <w:szCs w:val="24"/>
        </w:rPr>
        <w:t>49</w:t>
      </w:r>
      <w:r>
        <w:rPr>
          <w:rFonts w:ascii="Times New Roman" w:hAnsi="Times New Roman"/>
          <w:sz w:val="24"/>
          <w:szCs w:val="24"/>
        </w:rPr>
        <w:t>(4):1517- 1525.</w:t>
      </w:r>
    </w:p>
    <w:p w:rsidR="00642738" w:rsidRDefault="00B34E1E">
      <w:pPr>
        <w:pStyle w:val="ListParagraph"/>
        <w:numPr>
          <w:ilvl w:val="0"/>
          <w:numId w:val="1"/>
        </w:numPr>
        <w:spacing w:before="120" w:after="120" w:line="440" w:lineRule="atLeast"/>
        <w:jc w:val="both"/>
        <w:rPr>
          <w:rFonts w:ascii="Times New Roman" w:hAnsi="Times New Roman"/>
          <w:sz w:val="36"/>
          <w:szCs w:val="36"/>
        </w:rPr>
      </w:pPr>
      <w:r>
        <w:rPr>
          <w:rFonts w:ascii="Times New Roman" w:hAnsi="Times New Roman"/>
          <w:color w:val="222222"/>
          <w:sz w:val="24"/>
          <w:szCs w:val="24"/>
          <w:lang w:val="en-IN"/>
        </w:rPr>
        <w:t xml:space="preserve">Joshi H, </w:t>
      </w:r>
      <w:r>
        <w:rPr>
          <w:rFonts w:ascii="Times New Roman" w:hAnsi="Times New Roman"/>
          <w:color w:val="000000"/>
          <w:sz w:val="24"/>
          <w:szCs w:val="24"/>
          <w:lang w:val="en-IN"/>
        </w:rPr>
        <w:t xml:space="preserve">Upadhyay D, Bhattacharya I, Thakur A, Joshi H, </w:t>
      </w:r>
      <w:r>
        <w:rPr>
          <w:rFonts w:ascii="Times New Roman" w:hAnsi="Times New Roman"/>
          <w:color w:val="222222"/>
          <w:sz w:val="24"/>
          <w:szCs w:val="24"/>
          <w:lang w:val="en-IN"/>
        </w:rPr>
        <w:t>Bhowmick P</w:t>
      </w:r>
      <w:r>
        <w:rPr>
          <w:rFonts w:ascii="Times New Roman" w:hAnsi="Times New Roman"/>
          <w:color w:val="000000"/>
          <w:sz w:val="24"/>
          <w:szCs w:val="24"/>
          <w:lang w:val="en-IN"/>
        </w:rPr>
        <w:t xml:space="preserve">, Andhare P, 2022, </w:t>
      </w:r>
      <w:r>
        <w:rPr>
          <w:rFonts w:ascii="Times New Roman" w:hAnsi="Times New Roman"/>
          <w:color w:val="000000"/>
          <w:sz w:val="24"/>
          <w:szCs w:val="24"/>
          <w:lang w:val="en-IN"/>
        </w:rPr>
        <w:t>Production of Liquid Biofertilizer and It’s Effect on Plant Growth</w:t>
      </w:r>
      <w:r>
        <w:rPr>
          <w:rFonts w:ascii="Times New Roman" w:hAnsi="Times New Roman"/>
          <w:i/>
          <w:iCs/>
          <w:color w:val="000000"/>
          <w:sz w:val="24"/>
          <w:szCs w:val="24"/>
          <w:lang w:val="en-IN"/>
        </w:rPr>
        <w:t>. Env.Pharmacol.</w:t>
      </w:r>
      <w:r>
        <w:rPr>
          <w:rFonts w:ascii="Times New Roman" w:hAnsi="Times New Roman"/>
          <w:color w:val="000000"/>
          <w:sz w:val="24"/>
          <w:szCs w:val="24"/>
          <w:lang w:val="en-IN"/>
        </w:rPr>
        <w:t xml:space="preserve"> </w:t>
      </w:r>
      <w:r>
        <w:rPr>
          <w:rFonts w:ascii="Times New Roman" w:hAnsi="Times New Roman"/>
          <w:i/>
          <w:iCs/>
          <w:color w:val="000000"/>
          <w:sz w:val="24"/>
          <w:szCs w:val="24"/>
          <w:lang w:val="en-IN"/>
        </w:rPr>
        <w:t>Life Sci</w:t>
      </w:r>
      <w:r>
        <w:rPr>
          <w:rFonts w:ascii="Times New Roman" w:hAnsi="Times New Roman"/>
          <w:color w:val="000000"/>
          <w:sz w:val="24"/>
          <w:szCs w:val="24"/>
          <w:lang w:val="en-IN"/>
        </w:rPr>
        <w:t xml:space="preserve">. </w:t>
      </w:r>
      <w:r>
        <w:rPr>
          <w:rFonts w:ascii="Times New Roman" w:hAnsi="Times New Roman"/>
          <w:b/>
          <w:bCs/>
          <w:color w:val="000000"/>
          <w:sz w:val="24"/>
          <w:szCs w:val="24"/>
          <w:lang w:val="en-IN"/>
        </w:rPr>
        <w:t>3</w:t>
      </w:r>
      <w:r>
        <w:rPr>
          <w:rFonts w:ascii="Times New Roman" w:hAnsi="Times New Roman"/>
          <w:color w:val="000000"/>
          <w:sz w:val="24"/>
          <w:szCs w:val="24"/>
          <w:lang w:val="en-IN"/>
        </w:rPr>
        <w:t>: 97-103.</w:t>
      </w:r>
    </w:p>
    <w:p w:rsidR="00642738" w:rsidRDefault="00B34E1E">
      <w:pPr>
        <w:pStyle w:val="ListParagraph"/>
        <w:numPr>
          <w:ilvl w:val="0"/>
          <w:numId w:val="1"/>
        </w:numPr>
        <w:spacing w:before="120" w:after="120" w:line="440" w:lineRule="atLeast"/>
        <w:jc w:val="both"/>
        <w:rPr>
          <w:rFonts w:ascii="Times New Roman" w:hAnsi="Times New Roman"/>
          <w:sz w:val="200"/>
          <w:szCs w:val="200"/>
        </w:rPr>
      </w:pPr>
      <w:r>
        <w:rPr>
          <w:rFonts w:ascii="Times New Roman" w:hAnsi="Times New Roman"/>
          <w:sz w:val="24"/>
          <w:szCs w:val="24"/>
          <w:lang w:val="en-IN"/>
        </w:rPr>
        <w:t xml:space="preserve">Liu X, John Martin J J, Li X, Zhou L, Li R, Li Q, Zhang J, Fu D and Cao H, 2025. Optimization of the fermentation culture conditions of </w:t>
      </w:r>
      <w:r>
        <w:rPr>
          <w:rFonts w:ascii="Times New Roman" w:hAnsi="Times New Roman"/>
          <w:i/>
          <w:iCs/>
          <w:sz w:val="24"/>
          <w:szCs w:val="24"/>
          <w:lang w:val="en-IN"/>
        </w:rPr>
        <w:t>Bacillus amyloli</w:t>
      </w:r>
      <w:r>
        <w:rPr>
          <w:rFonts w:ascii="Times New Roman" w:hAnsi="Times New Roman"/>
          <w:i/>
          <w:iCs/>
          <w:sz w:val="24"/>
          <w:szCs w:val="24"/>
          <w:lang w:val="en-IN"/>
        </w:rPr>
        <w:t xml:space="preserve">quefaciens </w:t>
      </w:r>
      <w:r>
        <w:rPr>
          <w:rFonts w:ascii="Times New Roman" w:hAnsi="Times New Roman"/>
          <w:sz w:val="24"/>
          <w:szCs w:val="24"/>
          <w:lang w:val="en-IN"/>
        </w:rPr>
        <w:t xml:space="preserve">ck-05 using response surface methodology. </w:t>
      </w:r>
      <w:r>
        <w:rPr>
          <w:rFonts w:ascii="Times New Roman" w:hAnsi="Times New Roman"/>
          <w:i/>
          <w:iCs/>
          <w:sz w:val="24"/>
          <w:szCs w:val="24"/>
          <w:lang w:val="en-IN"/>
        </w:rPr>
        <w:t xml:space="preserve">Front. Microbiol. </w:t>
      </w:r>
      <w:r>
        <w:rPr>
          <w:rFonts w:ascii="Times New Roman" w:hAnsi="Times New Roman"/>
          <w:b/>
          <w:bCs/>
          <w:sz w:val="24"/>
          <w:szCs w:val="24"/>
          <w:lang w:val="en-IN"/>
        </w:rPr>
        <w:t>16</w:t>
      </w:r>
      <w:r>
        <w:rPr>
          <w:rFonts w:ascii="Times New Roman" w:hAnsi="Times New Roman"/>
          <w:sz w:val="24"/>
          <w:szCs w:val="24"/>
          <w:lang w:val="en-IN"/>
        </w:rPr>
        <w:t xml:space="preserve">: 1552645. </w:t>
      </w:r>
    </w:p>
    <w:p w:rsidR="00642738" w:rsidRDefault="00B34E1E">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rPr>
        <w:t xml:space="preserve">Madsen K S. 1977. A Growth Curve Model for Studies in Morphometrics. </w:t>
      </w:r>
      <w:r>
        <w:rPr>
          <w:rFonts w:ascii="Times New Roman" w:hAnsi="Times New Roman"/>
          <w:i/>
          <w:iCs/>
          <w:sz w:val="24"/>
          <w:szCs w:val="24"/>
        </w:rPr>
        <w:t>Biometrics</w:t>
      </w:r>
      <w:r>
        <w:rPr>
          <w:rFonts w:ascii="Times New Roman" w:hAnsi="Times New Roman"/>
          <w:sz w:val="24"/>
          <w:szCs w:val="24"/>
        </w:rPr>
        <w:t xml:space="preserve">, </w:t>
      </w:r>
      <w:r>
        <w:rPr>
          <w:rFonts w:ascii="Times New Roman" w:hAnsi="Times New Roman"/>
          <w:b/>
          <w:bCs/>
          <w:sz w:val="24"/>
          <w:szCs w:val="24"/>
        </w:rPr>
        <w:t>33</w:t>
      </w:r>
      <w:r>
        <w:rPr>
          <w:rFonts w:ascii="Times New Roman" w:hAnsi="Times New Roman"/>
          <w:sz w:val="24"/>
          <w:szCs w:val="24"/>
        </w:rPr>
        <w:t xml:space="preserve">(4), 659–669. </w:t>
      </w:r>
    </w:p>
    <w:p w:rsidR="00642738" w:rsidRDefault="00B34E1E">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rPr>
        <w:t>Patil C R, Sandesh S P and Parvati S. 2025. “Development of Optimized Liq</w:t>
      </w:r>
      <w:r>
        <w:rPr>
          <w:rFonts w:ascii="Times New Roman" w:hAnsi="Times New Roman"/>
          <w:sz w:val="24"/>
          <w:szCs w:val="24"/>
        </w:rPr>
        <w:t xml:space="preserve">uid Formulations of </w:t>
      </w:r>
      <w:r>
        <w:rPr>
          <w:rFonts w:ascii="Times New Roman" w:hAnsi="Times New Roman"/>
          <w:i/>
          <w:iCs/>
          <w:sz w:val="24"/>
          <w:szCs w:val="24"/>
        </w:rPr>
        <w:t>Azospirillum</w:t>
      </w:r>
      <w:r>
        <w:rPr>
          <w:rFonts w:ascii="Times New Roman" w:hAnsi="Times New Roman"/>
          <w:sz w:val="24"/>
          <w:szCs w:val="24"/>
        </w:rPr>
        <w:t xml:space="preserve">, Phosphate-Solubilizing Bacteria, and </w:t>
      </w:r>
      <w:r>
        <w:rPr>
          <w:rFonts w:ascii="Times New Roman" w:hAnsi="Times New Roman"/>
          <w:i/>
          <w:iCs/>
          <w:sz w:val="24"/>
          <w:szCs w:val="24"/>
        </w:rPr>
        <w:t>Rhizobium</w:t>
      </w:r>
      <w:r>
        <w:rPr>
          <w:rFonts w:ascii="Times New Roman" w:hAnsi="Times New Roman"/>
          <w:sz w:val="24"/>
          <w:szCs w:val="24"/>
        </w:rPr>
        <w:t xml:space="preserve"> Strains for Enhanced Viability and Shelf Life”. </w:t>
      </w:r>
      <w:r>
        <w:rPr>
          <w:rFonts w:ascii="Times New Roman" w:hAnsi="Times New Roman"/>
          <w:i/>
          <w:iCs/>
          <w:sz w:val="24"/>
          <w:szCs w:val="24"/>
        </w:rPr>
        <w:t>Asian Journal of Biotechnology and Bioresource Technology</w:t>
      </w:r>
      <w:r>
        <w:rPr>
          <w:rFonts w:ascii="Times New Roman" w:hAnsi="Times New Roman"/>
          <w:sz w:val="24"/>
          <w:szCs w:val="24"/>
        </w:rPr>
        <w:t xml:space="preserve"> </w:t>
      </w:r>
      <w:r>
        <w:rPr>
          <w:rFonts w:ascii="Times New Roman" w:hAnsi="Times New Roman"/>
          <w:b/>
          <w:bCs/>
          <w:sz w:val="24"/>
          <w:szCs w:val="24"/>
        </w:rPr>
        <w:t xml:space="preserve">11 </w:t>
      </w:r>
      <w:r>
        <w:rPr>
          <w:rFonts w:ascii="Times New Roman" w:hAnsi="Times New Roman"/>
          <w:sz w:val="24"/>
          <w:szCs w:val="24"/>
        </w:rPr>
        <w:t xml:space="preserve">(1):1-13. </w:t>
      </w:r>
    </w:p>
    <w:p w:rsidR="00642738" w:rsidRDefault="00B34E1E">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rPr>
        <w:t>Prakash A, 2018, Studies on developing liquid formulati</w:t>
      </w:r>
      <w:r>
        <w:rPr>
          <w:rFonts w:ascii="Times New Roman" w:hAnsi="Times New Roman"/>
          <w:sz w:val="24"/>
          <w:szCs w:val="24"/>
        </w:rPr>
        <w:t xml:space="preserve">ons of native isolate of </w:t>
      </w:r>
      <w:r>
        <w:rPr>
          <w:rFonts w:ascii="Times New Roman" w:hAnsi="Times New Roman"/>
          <w:i/>
          <w:sz w:val="24"/>
          <w:szCs w:val="24"/>
        </w:rPr>
        <w:t>Gluconacetobacter</w:t>
      </w:r>
      <w:r>
        <w:rPr>
          <w:rFonts w:ascii="Times New Roman" w:hAnsi="Times New Roman"/>
          <w:sz w:val="24"/>
          <w:szCs w:val="24"/>
        </w:rPr>
        <w:t xml:space="preserve">. </w:t>
      </w:r>
      <w:r>
        <w:rPr>
          <w:rFonts w:ascii="Times New Roman" w:hAnsi="Times New Roman"/>
          <w:i/>
          <w:sz w:val="24"/>
          <w:szCs w:val="24"/>
        </w:rPr>
        <w:t>M. Sc. (Agri) Thesis</w:t>
      </w:r>
      <w:r>
        <w:rPr>
          <w:rFonts w:ascii="Times New Roman" w:hAnsi="Times New Roman"/>
          <w:sz w:val="24"/>
          <w:szCs w:val="24"/>
        </w:rPr>
        <w:t xml:space="preserve">, University of Agricultural Sciences, Dharwad, Karnataka, India. </w:t>
      </w:r>
    </w:p>
    <w:p w:rsidR="00642738" w:rsidRDefault="00B34E1E">
      <w:pPr>
        <w:pStyle w:val="ListParagraph"/>
        <w:numPr>
          <w:ilvl w:val="0"/>
          <w:numId w:val="1"/>
        </w:numPr>
        <w:spacing w:before="120" w:after="120" w:line="440" w:lineRule="atLeast"/>
        <w:jc w:val="both"/>
        <w:rPr>
          <w:rFonts w:ascii="Times New Roman" w:hAnsi="Times New Roman"/>
          <w:sz w:val="28"/>
          <w:szCs w:val="28"/>
        </w:rPr>
      </w:pPr>
      <w:r>
        <w:rPr>
          <w:rFonts w:ascii="Times New Roman" w:hAnsi="Times New Roman"/>
          <w:sz w:val="24"/>
          <w:szCs w:val="24"/>
        </w:rPr>
        <w:t xml:space="preserve">Praveen Biradar B J and Santhosh G P. 2018. Role of Polymeric Additives in Formulation, Shelf-life and Bioefficacy of Liquid Inoculant of </w:t>
      </w:r>
      <w:r>
        <w:rPr>
          <w:rFonts w:ascii="Times New Roman" w:hAnsi="Times New Roman"/>
          <w:i/>
          <w:iCs/>
          <w:sz w:val="24"/>
          <w:szCs w:val="24"/>
        </w:rPr>
        <w:t>Pseudomonas fluorescens</w:t>
      </w:r>
      <w:r>
        <w:rPr>
          <w:rFonts w:ascii="Times New Roman" w:hAnsi="Times New Roman"/>
          <w:sz w:val="24"/>
          <w:szCs w:val="24"/>
        </w:rPr>
        <w:t xml:space="preserve">. </w:t>
      </w:r>
      <w:r>
        <w:rPr>
          <w:rFonts w:ascii="Times New Roman" w:hAnsi="Times New Roman"/>
          <w:i/>
          <w:iCs/>
          <w:sz w:val="24"/>
          <w:szCs w:val="24"/>
        </w:rPr>
        <w:t xml:space="preserve">Int. J. Pure App. Biosci. </w:t>
      </w:r>
      <w:r>
        <w:rPr>
          <w:rFonts w:ascii="Times New Roman" w:hAnsi="Times New Roman"/>
          <w:b/>
          <w:bCs/>
          <w:sz w:val="24"/>
          <w:szCs w:val="24"/>
        </w:rPr>
        <w:t>6</w:t>
      </w:r>
      <w:r>
        <w:rPr>
          <w:rFonts w:ascii="Times New Roman" w:hAnsi="Times New Roman"/>
          <w:sz w:val="24"/>
          <w:szCs w:val="24"/>
        </w:rPr>
        <w:t>(4</w:t>
      </w:r>
      <w:r>
        <w:rPr>
          <w:rFonts w:ascii="Times New Roman" w:hAnsi="Times New Roman"/>
          <w:b/>
          <w:bCs/>
          <w:sz w:val="24"/>
          <w:szCs w:val="24"/>
        </w:rPr>
        <w:t xml:space="preserve">): </w:t>
      </w:r>
      <w:r>
        <w:rPr>
          <w:rFonts w:ascii="Times New Roman" w:hAnsi="Times New Roman"/>
          <w:sz w:val="24"/>
          <w:szCs w:val="24"/>
        </w:rPr>
        <w:t xml:space="preserve">123-133. </w:t>
      </w:r>
    </w:p>
    <w:p w:rsidR="00642738" w:rsidRDefault="00B34E1E">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rPr>
        <w:t>Santhosh G P. 2015. Formulation and shelf life of l</w:t>
      </w:r>
      <w:r>
        <w:rPr>
          <w:rFonts w:ascii="Times New Roman" w:hAnsi="Times New Roman"/>
          <w:sz w:val="24"/>
          <w:szCs w:val="24"/>
        </w:rPr>
        <w:t xml:space="preserve">iquid biofertilizer inoculants using cell protectants. </w:t>
      </w:r>
      <w:r>
        <w:rPr>
          <w:rFonts w:ascii="Times New Roman" w:hAnsi="Times New Roman"/>
          <w:i/>
          <w:iCs/>
          <w:sz w:val="24"/>
          <w:szCs w:val="24"/>
        </w:rPr>
        <w:t xml:space="preserve">International Journal of Research and Bioscience in Agricultural Technology </w:t>
      </w:r>
      <w:r>
        <w:rPr>
          <w:rFonts w:ascii="Times New Roman" w:hAnsi="Times New Roman"/>
          <w:b/>
          <w:bCs/>
          <w:sz w:val="24"/>
          <w:szCs w:val="24"/>
        </w:rPr>
        <w:t>7</w:t>
      </w:r>
      <w:r>
        <w:rPr>
          <w:rFonts w:ascii="Times New Roman" w:hAnsi="Times New Roman"/>
          <w:sz w:val="24"/>
          <w:szCs w:val="24"/>
        </w:rPr>
        <w:t>(2):243-247.</w:t>
      </w:r>
    </w:p>
    <w:p w:rsidR="00642738" w:rsidRDefault="00B34E1E">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rPr>
        <w:lastRenderedPageBreak/>
        <w:t>Vassilev N, Malusa E, Reyes A, Martos V, Garcia-Lopez, Maksimovic I, Vassileva M. 2016. Potential application o</w:t>
      </w:r>
      <w:r>
        <w:rPr>
          <w:rFonts w:ascii="Times New Roman" w:hAnsi="Times New Roman"/>
          <w:sz w:val="24"/>
          <w:szCs w:val="24"/>
        </w:rPr>
        <w:t xml:space="preserve">f glycerol in the production of plant beneficial microorganisms. </w:t>
      </w:r>
      <w:r>
        <w:rPr>
          <w:rFonts w:ascii="Times New Roman" w:hAnsi="Times New Roman"/>
          <w:i/>
          <w:sz w:val="24"/>
          <w:szCs w:val="24"/>
        </w:rPr>
        <w:t>Journal of Industrial Microbiology &amp; Biotechnology</w:t>
      </w:r>
      <w:r>
        <w:rPr>
          <w:rFonts w:ascii="Times New Roman" w:hAnsi="Times New Roman"/>
          <w:sz w:val="24"/>
          <w:szCs w:val="24"/>
        </w:rPr>
        <w:t xml:space="preserve"> </w:t>
      </w:r>
      <w:r>
        <w:rPr>
          <w:rFonts w:ascii="Times New Roman" w:hAnsi="Times New Roman"/>
          <w:b/>
          <w:bCs/>
          <w:sz w:val="24"/>
          <w:szCs w:val="24"/>
        </w:rPr>
        <w:t>44</w:t>
      </w:r>
      <w:r>
        <w:rPr>
          <w:rFonts w:ascii="Times New Roman" w:hAnsi="Times New Roman"/>
          <w:sz w:val="24"/>
          <w:szCs w:val="24"/>
        </w:rPr>
        <w:t>: 10.</w:t>
      </w:r>
    </w:p>
    <w:p w:rsidR="00642738" w:rsidRDefault="00B34E1E">
      <w:pPr>
        <w:pStyle w:val="ListParagraph"/>
        <w:numPr>
          <w:ilvl w:val="0"/>
          <w:numId w:val="1"/>
        </w:numPr>
        <w:spacing w:before="120" w:after="120" w:line="420" w:lineRule="atLeast"/>
        <w:jc w:val="both"/>
        <w:rPr>
          <w:rFonts w:ascii="Times New Roman" w:hAnsi="Times New Roman"/>
          <w:sz w:val="24"/>
          <w:szCs w:val="24"/>
        </w:rPr>
      </w:pPr>
      <w:r>
        <w:rPr>
          <w:rFonts w:ascii="Times New Roman" w:hAnsi="Times New Roman"/>
          <w:sz w:val="24"/>
          <w:szCs w:val="24"/>
        </w:rPr>
        <w:t xml:space="preserve">Vrushab S M, 2019, Studies on multifunctional activity of selected actinobacteria against plant pathogens and insect pest. </w:t>
      </w:r>
      <w:r>
        <w:rPr>
          <w:rFonts w:ascii="Times New Roman" w:hAnsi="Times New Roman"/>
          <w:i/>
          <w:sz w:val="24"/>
          <w:szCs w:val="24"/>
        </w:rPr>
        <w:t>M. Sc. (A</w:t>
      </w:r>
      <w:r>
        <w:rPr>
          <w:rFonts w:ascii="Times New Roman" w:hAnsi="Times New Roman"/>
          <w:i/>
          <w:sz w:val="24"/>
          <w:szCs w:val="24"/>
        </w:rPr>
        <w:t>gri) Thesis</w:t>
      </w:r>
      <w:r>
        <w:rPr>
          <w:rFonts w:ascii="Times New Roman" w:hAnsi="Times New Roman"/>
          <w:sz w:val="24"/>
          <w:szCs w:val="24"/>
        </w:rPr>
        <w:t>, University of Agricultural Sciences, Dharwad, Karnataka, India.</w:t>
      </w:r>
    </w:p>
    <w:p w:rsidR="00642738" w:rsidRDefault="00B34E1E">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rPr>
        <w:t>Zhao G, Zhu X, Zheng G, Meng G, Dong Z, Baek J H, Jeon C O, Yao Y, Xuan Y H, Zhang J, Jia B. 2024. Development of biofertilizers for sustainable agriculture over four decades (198</w:t>
      </w:r>
      <w:r>
        <w:rPr>
          <w:rFonts w:ascii="Times New Roman" w:hAnsi="Times New Roman"/>
          <w:sz w:val="24"/>
          <w:szCs w:val="24"/>
        </w:rPr>
        <w:t xml:space="preserve">0–2022), </w:t>
      </w:r>
      <w:r>
        <w:rPr>
          <w:rFonts w:ascii="Times New Roman" w:hAnsi="Times New Roman"/>
          <w:i/>
          <w:iCs/>
          <w:sz w:val="24"/>
          <w:szCs w:val="24"/>
        </w:rPr>
        <w:t>Geography and Sustainability</w:t>
      </w:r>
      <w:r>
        <w:rPr>
          <w:rFonts w:ascii="Times New Roman" w:hAnsi="Times New Roman"/>
          <w:sz w:val="24"/>
          <w:szCs w:val="24"/>
        </w:rPr>
        <w:t xml:space="preserve">, </w:t>
      </w:r>
      <w:r>
        <w:rPr>
          <w:rFonts w:ascii="Times New Roman" w:hAnsi="Times New Roman"/>
          <w:b/>
          <w:bCs/>
          <w:sz w:val="24"/>
          <w:szCs w:val="24"/>
        </w:rPr>
        <w:t>5</w:t>
      </w:r>
      <w:r>
        <w:rPr>
          <w:rFonts w:ascii="Times New Roman" w:hAnsi="Times New Roman"/>
          <w:sz w:val="24"/>
          <w:szCs w:val="24"/>
        </w:rPr>
        <w:t>(1): 19-28.</w:t>
      </w:r>
    </w:p>
    <w:p w:rsidR="00642738" w:rsidRDefault="00642738">
      <w:pPr>
        <w:spacing w:after="0" w:line="360" w:lineRule="auto"/>
        <w:contextualSpacing/>
        <w:jc w:val="both"/>
        <w:rPr>
          <w:rFonts w:ascii="Times New Roman" w:hAnsi="Times New Roman" w:cs="Times New Roman"/>
          <w:b/>
          <w:sz w:val="36"/>
          <w:szCs w:val="36"/>
        </w:rPr>
      </w:pPr>
    </w:p>
    <w:p w:rsidR="00642738" w:rsidRDefault="00642738">
      <w:pPr>
        <w:spacing w:after="0" w:line="360" w:lineRule="auto"/>
        <w:contextualSpacing/>
        <w:jc w:val="both"/>
        <w:rPr>
          <w:rFonts w:ascii="Times New Roman" w:hAnsi="Times New Roman" w:cs="Times New Roman"/>
          <w:b/>
          <w:sz w:val="36"/>
          <w:szCs w:val="36"/>
        </w:rPr>
      </w:pPr>
    </w:p>
    <w:p w:rsidR="00642738" w:rsidRDefault="00642738">
      <w:pPr>
        <w:spacing w:after="0" w:line="360" w:lineRule="auto"/>
        <w:contextualSpacing/>
        <w:jc w:val="both"/>
        <w:rPr>
          <w:rFonts w:ascii="Times New Roman" w:hAnsi="Times New Roman" w:cs="Times New Roman"/>
          <w:b/>
          <w:sz w:val="36"/>
          <w:szCs w:val="36"/>
        </w:rPr>
      </w:pPr>
    </w:p>
    <w:p w:rsidR="00642738" w:rsidRDefault="00642738">
      <w:pPr>
        <w:spacing w:after="0" w:line="360" w:lineRule="auto"/>
        <w:contextualSpacing/>
        <w:jc w:val="both"/>
        <w:rPr>
          <w:rFonts w:ascii="Times New Roman" w:hAnsi="Times New Roman" w:cs="Times New Roman"/>
          <w:b/>
          <w:sz w:val="36"/>
          <w:szCs w:val="36"/>
        </w:rPr>
      </w:pPr>
    </w:p>
    <w:p w:rsidR="00642738" w:rsidRDefault="00642738">
      <w:pPr>
        <w:spacing w:after="0" w:line="360" w:lineRule="auto"/>
        <w:contextualSpacing/>
        <w:jc w:val="both"/>
        <w:rPr>
          <w:rFonts w:ascii="Times New Roman" w:hAnsi="Times New Roman" w:cs="Times New Roman"/>
          <w:b/>
          <w:sz w:val="24"/>
          <w:szCs w:val="24"/>
        </w:rPr>
      </w:pPr>
    </w:p>
    <w:p w:rsidR="00642738" w:rsidRDefault="00642738">
      <w:pPr>
        <w:spacing w:after="0" w:line="360" w:lineRule="auto"/>
        <w:contextualSpacing/>
        <w:jc w:val="both"/>
        <w:rPr>
          <w:rFonts w:ascii="Times New Roman" w:hAnsi="Times New Roman" w:cs="Times New Roman"/>
          <w:b/>
          <w:sz w:val="24"/>
          <w:szCs w:val="24"/>
        </w:rPr>
      </w:pPr>
    </w:p>
    <w:p w:rsidR="00642738" w:rsidRDefault="00642738">
      <w:pPr>
        <w:spacing w:after="0" w:line="360" w:lineRule="auto"/>
        <w:contextualSpacing/>
        <w:jc w:val="both"/>
        <w:rPr>
          <w:rFonts w:ascii="Times New Roman" w:hAnsi="Times New Roman" w:cs="Times New Roman"/>
          <w:b/>
          <w:sz w:val="24"/>
          <w:szCs w:val="24"/>
        </w:rPr>
      </w:pPr>
    </w:p>
    <w:p w:rsidR="00642738" w:rsidRDefault="00642738">
      <w:pPr>
        <w:spacing w:after="0" w:line="360" w:lineRule="auto"/>
        <w:contextualSpacing/>
        <w:jc w:val="both"/>
        <w:rPr>
          <w:rFonts w:ascii="Times New Roman" w:hAnsi="Times New Roman" w:cs="Times New Roman"/>
          <w:b/>
          <w:sz w:val="24"/>
          <w:szCs w:val="24"/>
        </w:rPr>
      </w:pPr>
    </w:p>
    <w:p w:rsidR="00642738" w:rsidRDefault="00642738">
      <w:pPr>
        <w:spacing w:after="0" w:line="360" w:lineRule="auto"/>
        <w:contextualSpacing/>
        <w:jc w:val="both"/>
        <w:rPr>
          <w:rFonts w:ascii="Times New Roman" w:hAnsi="Times New Roman" w:cs="Times New Roman"/>
          <w:b/>
          <w:sz w:val="24"/>
          <w:szCs w:val="24"/>
        </w:rPr>
      </w:pPr>
    </w:p>
    <w:p w:rsidR="00642738" w:rsidRDefault="00642738">
      <w:pPr>
        <w:pStyle w:val="NoSpacing"/>
        <w:spacing w:line="360" w:lineRule="auto"/>
        <w:jc w:val="both"/>
        <w:rPr>
          <w:rFonts w:ascii="Times New Roman" w:hAnsi="Times New Roman" w:cs="Times New Roman"/>
          <w:lang w:val="en-US"/>
        </w:rPr>
      </w:pPr>
    </w:p>
    <w:p w:rsidR="00642738" w:rsidRDefault="00642738">
      <w:pPr>
        <w:pStyle w:val="NoSpacing"/>
        <w:spacing w:line="360" w:lineRule="auto"/>
        <w:jc w:val="both"/>
        <w:rPr>
          <w:rFonts w:ascii="Times New Roman" w:hAnsi="Times New Roman" w:cs="Times New Roman"/>
        </w:rPr>
      </w:pPr>
    </w:p>
    <w:p w:rsidR="00642738" w:rsidRDefault="00642738">
      <w:pPr>
        <w:pStyle w:val="NoSpacing"/>
        <w:spacing w:line="360" w:lineRule="auto"/>
        <w:jc w:val="both"/>
        <w:rPr>
          <w:rFonts w:ascii="Times New Roman" w:hAnsi="Times New Roman" w:cs="Times New Roman"/>
        </w:rPr>
      </w:pPr>
    </w:p>
    <w:p w:rsidR="00642738" w:rsidRDefault="00642738">
      <w:pPr>
        <w:spacing w:after="0" w:line="360" w:lineRule="auto"/>
        <w:contextualSpacing/>
        <w:jc w:val="both"/>
        <w:rPr>
          <w:rFonts w:ascii="Times New Roman" w:hAnsi="Times New Roman" w:cs="Times New Roman"/>
          <w:b/>
          <w:sz w:val="24"/>
          <w:szCs w:val="24"/>
        </w:rPr>
      </w:pPr>
    </w:p>
    <w:sectPr w:rsidR="006427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E1E" w:rsidRDefault="00B34E1E">
      <w:pPr>
        <w:spacing w:after="0" w:line="240" w:lineRule="auto"/>
      </w:pPr>
      <w:r>
        <w:separator/>
      </w:r>
    </w:p>
  </w:endnote>
  <w:endnote w:type="continuationSeparator" w:id="0">
    <w:p w:rsidR="00B34E1E" w:rsidRDefault="00B3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738" w:rsidRDefault="00642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738" w:rsidRDefault="00642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E1E" w:rsidRDefault="00B34E1E">
      <w:pPr>
        <w:spacing w:after="0" w:line="240" w:lineRule="auto"/>
      </w:pPr>
      <w:r>
        <w:separator/>
      </w:r>
    </w:p>
  </w:footnote>
  <w:footnote w:type="continuationSeparator" w:id="0">
    <w:p w:rsidR="00B34E1E" w:rsidRDefault="00B34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738" w:rsidRDefault="00B34E1E">
    <w:pPr>
      <w:pStyle w:val="Header"/>
    </w:pPr>
    <w:r>
      <w:rPr>
        <w:noProof/>
      </w:rPr>
      <w:object w:dxaOrig="1440" w:dyaOrig="1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05pt;height:104.6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o:OLEObject Type="Embed" ProgID="Excel.Chart.8" ShapeID="4098" DrawAspect="Content" ObjectID="_1840201552" r:id="rId1"/>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738" w:rsidRDefault="00B34E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05pt;height:104.6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738" w:rsidRDefault="00B34E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05pt;height:104.6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5420D4A0"/>
    <w:lvl w:ilvl="0" w:tplc="495A8B4C">
      <w:start w:val="1"/>
      <w:numFmt w:val="decimal"/>
      <w:lvlText w:val="%1."/>
      <w:lvlJc w:val="left"/>
      <w:pPr>
        <w:ind w:left="720" w:hanging="360"/>
      </w:pPr>
    </w:lvl>
    <w:lvl w:ilvl="1" w:tplc="8E34D2F8" w:tentative="1">
      <w:start w:val="1"/>
      <w:numFmt w:val="lowerLetter"/>
      <w:lvlText w:val="%2."/>
      <w:lvlJc w:val="left"/>
      <w:pPr>
        <w:ind w:left="1440" w:hanging="360"/>
      </w:pPr>
    </w:lvl>
    <w:lvl w:ilvl="2" w:tplc="EEDAD236" w:tentative="1">
      <w:start w:val="1"/>
      <w:numFmt w:val="lowerRoman"/>
      <w:lvlText w:val="%3."/>
      <w:lvlJc w:val="right"/>
      <w:pPr>
        <w:ind w:left="2160" w:hanging="180"/>
      </w:pPr>
    </w:lvl>
    <w:lvl w:ilvl="3" w:tplc="051C7806" w:tentative="1">
      <w:start w:val="1"/>
      <w:numFmt w:val="decimal"/>
      <w:lvlText w:val="%4."/>
      <w:lvlJc w:val="left"/>
      <w:pPr>
        <w:ind w:left="2880" w:hanging="360"/>
      </w:pPr>
    </w:lvl>
    <w:lvl w:ilvl="4" w:tplc="05F8542A" w:tentative="1">
      <w:start w:val="1"/>
      <w:numFmt w:val="lowerLetter"/>
      <w:lvlText w:val="%5."/>
      <w:lvlJc w:val="left"/>
      <w:pPr>
        <w:ind w:left="3600" w:hanging="360"/>
      </w:pPr>
    </w:lvl>
    <w:lvl w:ilvl="5" w:tplc="4B184684" w:tentative="1">
      <w:start w:val="1"/>
      <w:numFmt w:val="lowerRoman"/>
      <w:lvlText w:val="%6."/>
      <w:lvlJc w:val="right"/>
      <w:pPr>
        <w:ind w:left="4320" w:hanging="180"/>
      </w:pPr>
    </w:lvl>
    <w:lvl w:ilvl="6" w:tplc="BDFE3052" w:tentative="1">
      <w:start w:val="1"/>
      <w:numFmt w:val="decimal"/>
      <w:lvlText w:val="%7."/>
      <w:lvlJc w:val="left"/>
      <w:pPr>
        <w:ind w:left="5040" w:hanging="360"/>
      </w:pPr>
    </w:lvl>
    <w:lvl w:ilvl="7" w:tplc="22C0874E" w:tentative="1">
      <w:start w:val="1"/>
      <w:numFmt w:val="lowerLetter"/>
      <w:lvlText w:val="%8."/>
      <w:lvlJc w:val="left"/>
      <w:pPr>
        <w:ind w:left="5760" w:hanging="360"/>
      </w:pPr>
    </w:lvl>
    <w:lvl w:ilvl="8" w:tplc="2C9254E6" w:tentative="1">
      <w:start w:val="1"/>
      <w:numFmt w:val="lowerRoman"/>
      <w:lvlText w:val="%9."/>
      <w:lvlJc w:val="right"/>
      <w:pPr>
        <w:ind w:left="6480" w:hanging="180"/>
      </w:pPr>
    </w:lvl>
  </w:abstractNum>
  <w:abstractNum w:abstractNumId="1" w15:restartNumberingAfterBreak="0">
    <w:nsid w:val="00000001"/>
    <w:multiLevelType w:val="hybridMultilevel"/>
    <w:tmpl w:val="5420D4A0"/>
    <w:lvl w:ilvl="0" w:tplc="D6D8AC6E">
      <w:start w:val="1"/>
      <w:numFmt w:val="decimal"/>
      <w:lvlText w:val="%1."/>
      <w:lvlJc w:val="left"/>
      <w:pPr>
        <w:ind w:left="720" w:hanging="360"/>
      </w:pPr>
    </w:lvl>
    <w:lvl w:ilvl="1" w:tplc="7A16FAD0" w:tentative="1">
      <w:start w:val="1"/>
      <w:numFmt w:val="lowerLetter"/>
      <w:lvlText w:val="%2."/>
      <w:lvlJc w:val="left"/>
      <w:pPr>
        <w:ind w:left="1440" w:hanging="360"/>
      </w:pPr>
    </w:lvl>
    <w:lvl w:ilvl="2" w:tplc="ACFA73CC" w:tentative="1">
      <w:start w:val="1"/>
      <w:numFmt w:val="lowerRoman"/>
      <w:lvlText w:val="%3."/>
      <w:lvlJc w:val="right"/>
      <w:pPr>
        <w:ind w:left="2160" w:hanging="180"/>
      </w:pPr>
    </w:lvl>
    <w:lvl w:ilvl="3" w:tplc="D60C4CDC" w:tentative="1">
      <w:start w:val="1"/>
      <w:numFmt w:val="decimal"/>
      <w:lvlText w:val="%4."/>
      <w:lvlJc w:val="left"/>
      <w:pPr>
        <w:ind w:left="2880" w:hanging="360"/>
      </w:pPr>
    </w:lvl>
    <w:lvl w:ilvl="4" w:tplc="28607792" w:tentative="1">
      <w:start w:val="1"/>
      <w:numFmt w:val="lowerLetter"/>
      <w:lvlText w:val="%5."/>
      <w:lvlJc w:val="left"/>
      <w:pPr>
        <w:ind w:left="3600" w:hanging="360"/>
      </w:pPr>
    </w:lvl>
    <w:lvl w:ilvl="5" w:tplc="91002782" w:tentative="1">
      <w:start w:val="1"/>
      <w:numFmt w:val="lowerRoman"/>
      <w:lvlText w:val="%6."/>
      <w:lvlJc w:val="right"/>
      <w:pPr>
        <w:ind w:left="4320" w:hanging="180"/>
      </w:pPr>
    </w:lvl>
    <w:lvl w:ilvl="6" w:tplc="000E6B82" w:tentative="1">
      <w:start w:val="1"/>
      <w:numFmt w:val="decimal"/>
      <w:lvlText w:val="%7."/>
      <w:lvlJc w:val="left"/>
      <w:pPr>
        <w:ind w:left="5040" w:hanging="360"/>
      </w:pPr>
    </w:lvl>
    <w:lvl w:ilvl="7" w:tplc="B69E5938" w:tentative="1">
      <w:start w:val="1"/>
      <w:numFmt w:val="lowerLetter"/>
      <w:lvlText w:val="%8."/>
      <w:lvlJc w:val="left"/>
      <w:pPr>
        <w:ind w:left="5760" w:hanging="360"/>
      </w:pPr>
    </w:lvl>
    <w:lvl w:ilvl="8" w:tplc="2FDECC22" w:tentative="1">
      <w:start w:val="1"/>
      <w:numFmt w:val="lowerRoman"/>
      <w:lvlText w:val="%9."/>
      <w:lvlJc w:val="right"/>
      <w:pPr>
        <w:ind w:left="6480" w:hanging="180"/>
      </w:pPr>
    </w:lvl>
  </w:abstractNum>
  <w:abstractNum w:abstractNumId="2" w15:restartNumberingAfterBreak="0">
    <w:nsid w:val="00000002"/>
    <w:multiLevelType w:val="hybridMultilevel"/>
    <w:tmpl w:val="2D742626"/>
    <w:lvl w:ilvl="0" w:tplc="D8FA8578">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3"/>
    <w:multiLevelType w:val="hybridMultilevel"/>
    <w:tmpl w:val="2D742626"/>
    <w:lvl w:ilvl="0" w:tplc="0C6AA9E4">
      <w:start w:val="1"/>
      <w:numFmt w:val="decimal"/>
      <w:lvlText w:val="%1."/>
      <w:lvlJc w:val="left"/>
      <w:pPr>
        <w:ind w:left="720" w:hanging="360"/>
      </w:pPr>
      <w:rPr>
        <w:sz w:val="24"/>
        <w:szCs w:val="24"/>
      </w:rPr>
    </w:lvl>
    <w:lvl w:ilvl="1" w:tplc="0218BD74" w:tentative="1">
      <w:start w:val="1"/>
      <w:numFmt w:val="lowerLetter"/>
      <w:lvlText w:val="%2."/>
      <w:lvlJc w:val="left"/>
      <w:pPr>
        <w:ind w:left="1440" w:hanging="360"/>
      </w:pPr>
    </w:lvl>
    <w:lvl w:ilvl="2" w:tplc="B87CE82E" w:tentative="1">
      <w:start w:val="1"/>
      <w:numFmt w:val="lowerRoman"/>
      <w:lvlText w:val="%3."/>
      <w:lvlJc w:val="right"/>
      <w:pPr>
        <w:ind w:left="2160" w:hanging="180"/>
      </w:pPr>
    </w:lvl>
    <w:lvl w:ilvl="3" w:tplc="F1BE92A6" w:tentative="1">
      <w:start w:val="1"/>
      <w:numFmt w:val="decimal"/>
      <w:lvlText w:val="%4."/>
      <w:lvlJc w:val="left"/>
      <w:pPr>
        <w:ind w:left="2880" w:hanging="360"/>
      </w:pPr>
    </w:lvl>
    <w:lvl w:ilvl="4" w:tplc="869EEAEC" w:tentative="1">
      <w:start w:val="1"/>
      <w:numFmt w:val="lowerLetter"/>
      <w:lvlText w:val="%5."/>
      <w:lvlJc w:val="left"/>
      <w:pPr>
        <w:ind w:left="3600" w:hanging="360"/>
      </w:pPr>
    </w:lvl>
    <w:lvl w:ilvl="5" w:tplc="EE66554A" w:tentative="1">
      <w:start w:val="1"/>
      <w:numFmt w:val="lowerRoman"/>
      <w:lvlText w:val="%6."/>
      <w:lvlJc w:val="right"/>
      <w:pPr>
        <w:ind w:left="4320" w:hanging="180"/>
      </w:pPr>
    </w:lvl>
    <w:lvl w:ilvl="6" w:tplc="7FE2A27A" w:tentative="1">
      <w:start w:val="1"/>
      <w:numFmt w:val="decimal"/>
      <w:lvlText w:val="%7."/>
      <w:lvlJc w:val="left"/>
      <w:pPr>
        <w:ind w:left="5040" w:hanging="360"/>
      </w:pPr>
    </w:lvl>
    <w:lvl w:ilvl="7" w:tplc="AC18A7F0" w:tentative="1">
      <w:start w:val="1"/>
      <w:numFmt w:val="lowerLetter"/>
      <w:lvlText w:val="%8."/>
      <w:lvlJc w:val="left"/>
      <w:pPr>
        <w:ind w:left="5760" w:hanging="360"/>
      </w:pPr>
    </w:lvl>
    <w:lvl w:ilvl="8" w:tplc="407C584C" w:tentative="1">
      <w:start w:val="1"/>
      <w:numFmt w:val="lowerRoman"/>
      <w:lvlText w:val="%9."/>
      <w:lvlJc w:val="right"/>
      <w:pPr>
        <w:ind w:left="6480" w:hanging="180"/>
      </w:pPr>
    </w:lvl>
  </w:abstractNum>
  <w:abstractNum w:abstractNumId="4" w15:restartNumberingAfterBreak="0">
    <w:nsid w:val="00000004"/>
    <w:multiLevelType w:val="hybridMultilevel"/>
    <w:tmpl w:val="5420D4A0"/>
    <w:lvl w:ilvl="0" w:tplc="D6BA2A22">
      <w:start w:val="1"/>
      <w:numFmt w:val="decimal"/>
      <w:lvlText w:val="%1."/>
      <w:lvlJc w:val="left"/>
      <w:pPr>
        <w:ind w:left="720" w:hanging="360"/>
      </w:pPr>
    </w:lvl>
    <w:lvl w:ilvl="1" w:tplc="D6921DB0" w:tentative="1">
      <w:start w:val="1"/>
      <w:numFmt w:val="lowerLetter"/>
      <w:lvlText w:val="%2."/>
      <w:lvlJc w:val="left"/>
      <w:pPr>
        <w:ind w:left="1440" w:hanging="360"/>
      </w:pPr>
    </w:lvl>
    <w:lvl w:ilvl="2" w:tplc="2C4EFD16" w:tentative="1">
      <w:start w:val="1"/>
      <w:numFmt w:val="lowerRoman"/>
      <w:lvlText w:val="%3."/>
      <w:lvlJc w:val="right"/>
      <w:pPr>
        <w:ind w:left="2160" w:hanging="180"/>
      </w:pPr>
    </w:lvl>
    <w:lvl w:ilvl="3" w:tplc="F320AD0A" w:tentative="1">
      <w:start w:val="1"/>
      <w:numFmt w:val="decimal"/>
      <w:lvlText w:val="%4."/>
      <w:lvlJc w:val="left"/>
      <w:pPr>
        <w:ind w:left="2880" w:hanging="360"/>
      </w:pPr>
    </w:lvl>
    <w:lvl w:ilvl="4" w:tplc="07A496EA" w:tentative="1">
      <w:start w:val="1"/>
      <w:numFmt w:val="lowerLetter"/>
      <w:lvlText w:val="%5."/>
      <w:lvlJc w:val="left"/>
      <w:pPr>
        <w:ind w:left="3600" w:hanging="360"/>
      </w:pPr>
    </w:lvl>
    <w:lvl w:ilvl="5" w:tplc="07CC9FE0" w:tentative="1">
      <w:start w:val="1"/>
      <w:numFmt w:val="lowerRoman"/>
      <w:lvlText w:val="%6."/>
      <w:lvlJc w:val="right"/>
      <w:pPr>
        <w:ind w:left="4320" w:hanging="180"/>
      </w:pPr>
    </w:lvl>
    <w:lvl w:ilvl="6" w:tplc="C73E4C6A" w:tentative="1">
      <w:start w:val="1"/>
      <w:numFmt w:val="decimal"/>
      <w:lvlText w:val="%7."/>
      <w:lvlJc w:val="left"/>
      <w:pPr>
        <w:ind w:left="5040" w:hanging="360"/>
      </w:pPr>
    </w:lvl>
    <w:lvl w:ilvl="7" w:tplc="E85004A2" w:tentative="1">
      <w:start w:val="1"/>
      <w:numFmt w:val="lowerLetter"/>
      <w:lvlText w:val="%8."/>
      <w:lvlJc w:val="left"/>
      <w:pPr>
        <w:ind w:left="5760" w:hanging="360"/>
      </w:pPr>
    </w:lvl>
    <w:lvl w:ilvl="8" w:tplc="0E5E85C6" w:tentative="1">
      <w:start w:val="1"/>
      <w:numFmt w:val="lowerRoman"/>
      <w:lvlText w:val="%9."/>
      <w:lvlJc w:val="right"/>
      <w:pPr>
        <w:ind w:left="6480" w:hanging="180"/>
      </w:pPr>
    </w:lvl>
  </w:abstractNum>
  <w:abstractNum w:abstractNumId="5" w15:restartNumberingAfterBreak="0">
    <w:nsid w:val="00000005"/>
    <w:multiLevelType w:val="hybridMultilevel"/>
    <w:tmpl w:val="5420D4A0"/>
    <w:lvl w:ilvl="0" w:tplc="323C9566">
      <w:start w:val="1"/>
      <w:numFmt w:val="decimal"/>
      <w:lvlText w:val="%1."/>
      <w:lvlJc w:val="left"/>
      <w:pPr>
        <w:ind w:left="720" w:hanging="360"/>
      </w:pPr>
    </w:lvl>
    <w:lvl w:ilvl="1" w:tplc="D3586C3E" w:tentative="1">
      <w:start w:val="1"/>
      <w:numFmt w:val="lowerLetter"/>
      <w:lvlText w:val="%2."/>
      <w:lvlJc w:val="left"/>
      <w:pPr>
        <w:ind w:left="1440" w:hanging="360"/>
      </w:pPr>
    </w:lvl>
    <w:lvl w:ilvl="2" w:tplc="EC9CC2A6" w:tentative="1">
      <w:start w:val="1"/>
      <w:numFmt w:val="lowerRoman"/>
      <w:lvlText w:val="%3."/>
      <w:lvlJc w:val="right"/>
      <w:pPr>
        <w:ind w:left="2160" w:hanging="180"/>
      </w:pPr>
    </w:lvl>
    <w:lvl w:ilvl="3" w:tplc="0F98836C" w:tentative="1">
      <w:start w:val="1"/>
      <w:numFmt w:val="decimal"/>
      <w:lvlText w:val="%4."/>
      <w:lvlJc w:val="left"/>
      <w:pPr>
        <w:ind w:left="2880" w:hanging="360"/>
      </w:pPr>
    </w:lvl>
    <w:lvl w:ilvl="4" w:tplc="5AA4E000" w:tentative="1">
      <w:start w:val="1"/>
      <w:numFmt w:val="lowerLetter"/>
      <w:lvlText w:val="%5."/>
      <w:lvlJc w:val="left"/>
      <w:pPr>
        <w:ind w:left="3600" w:hanging="360"/>
      </w:pPr>
    </w:lvl>
    <w:lvl w:ilvl="5" w:tplc="254C31E4" w:tentative="1">
      <w:start w:val="1"/>
      <w:numFmt w:val="lowerRoman"/>
      <w:lvlText w:val="%6."/>
      <w:lvlJc w:val="right"/>
      <w:pPr>
        <w:ind w:left="4320" w:hanging="180"/>
      </w:pPr>
    </w:lvl>
    <w:lvl w:ilvl="6" w:tplc="64AC8B42" w:tentative="1">
      <w:start w:val="1"/>
      <w:numFmt w:val="decimal"/>
      <w:lvlText w:val="%7."/>
      <w:lvlJc w:val="left"/>
      <w:pPr>
        <w:ind w:left="5040" w:hanging="360"/>
      </w:pPr>
    </w:lvl>
    <w:lvl w:ilvl="7" w:tplc="EEE69376" w:tentative="1">
      <w:start w:val="1"/>
      <w:numFmt w:val="lowerLetter"/>
      <w:lvlText w:val="%8."/>
      <w:lvlJc w:val="left"/>
      <w:pPr>
        <w:ind w:left="5760" w:hanging="360"/>
      </w:pPr>
    </w:lvl>
    <w:lvl w:ilvl="8" w:tplc="7EEC8008" w:tentative="1">
      <w:start w:val="1"/>
      <w:numFmt w:val="lowerRoman"/>
      <w:lvlText w:val="%9."/>
      <w:lvlJc w:val="right"/>
      <w:pPr>
        <w:ind w:left="6480" w:hanging="180"/>
      </w:pPr>
    </w:lvl>
  </w:abstractNum>
  <w:abstractNum w:abstractNumId="6" w15:restartNumberingAfterBreak="0">
    <w:nsid w:val="00000006"/>
    <w:multiLevelType w:val="hybridMultilevel"/>
    <w:tmpl w:val="39B645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0000007"/>
    <w:multiLevelType w:val="multilevel"/>
    <w:tmpl w:val="2CF4F4B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8"/>
    <w:multiLevelType w:val="hybridMultilevel"/>
    <w:tmpl w:val="40FA3E44"/>
    <w:lvl w:ilvl="0" w:tplc="278C6D76">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0000009"/>
    <w:multiLevelType w:val="hybridMultilevel"/>
    <w:tmpl w:val="5420D4A0"/>
    <w:lvl w:ilvl="0" w:tplc="DA0206AA">
      <w:start w:val="1"/>
      <w:numFmt w:val="decimal"/>
      <w:lvlText w:val="%1."/>
      <w:lvlJc w:val="left"/>
      <w:pPr>
        <w:ind w:left="720" w:hanging="360"/>
      </w:pPr>
    </w:lvl>
    <w:lvl w:ilvl="1" w:tplc="079431E4" w:tentative="1">
      <w:start w:val="1"/>
      <w:numFmt w:val="lowerLetter"/>
      <w:lvlText w:val="%2."/>
      <w:lvlJc w:val="left"/>
      <w:pPr>
        <w:ind w:left="1440" w:hanging="360"/>
      </w:pPr>
    </w:lvl>
    <w:lvl w:ilvl="2" w:tplc="6A8AB798" w:tentative="1">
      <w:start w:val="1"/>
      <w:numFmt w:val="lowerRoman"/>
      <w:lvlText w:val="%3."/>
      <w:lvlJc w:val="right"/>
      <w:pPr>
        <w:ind w:left="2160" w:hanging="180"/>
      </w:pPr>
    </w:lvl>
    <w:lvl w:ilvl="3" w:tplc="B2B0BF5A" w:tentative="1">
      <w:start w:val="1"/>
      <w:numFmt w:val="decimal"/>
      <w:lvlText w:val="%4."/>
      <w:lvlJc w:val="left"/>
      <w:pPr>
        <w:ind w:left="2880" w:hanging="360"/>
      </w:pPr>
    </w:lvl>
    <w:lvl w:ilvl="4" w:tplc="5612713A" w:tentative="1">
      <w:start w:val="1"/>
      <w:numFmt w:val="lowerLetter"/>
      <w:lvlText w:val="%5."/>
      <w:lvlJc w:val="left"/>
      <w:pPr>
        <w:ind w:left="3600" w:hanging="360"/>
      </w:pPr>
    </w:lvl>
    <w:lvl w:ilvl="5" w:tplc="3ADEA550" w:tentative="1">
      <w:start w:val="1"/>
      <w:numFmt w:val="lowerRoman"/>
      <w:lvlText w:val="%6."/>
      <w:lvlJc w:val="right"/>
      <w:pPr>
        <w:ind w:left="4320" w:hanging="180"/>
      </w:pPr>
    </w:lvl>
    <w:lvl w:ilvl="6" w:tplc="73121D9C" w:tentative="1">
      <w:start w:val="1"/>
      <w:numFmt w:val="decimal"/>
      <w:lvlText w:val="%7."/>
      <w:lvlJc w:val="left"/>
      <w:pPr>
        <w:ind w:left="5040" w:hanging="360"/>
      </w:pPr>
    </w:lvl>
    <w:lvl w:ilvl="7" w:tplc="5FEEAB40" w:tentative="1">
      <w:start w:val="1"/>
      <w:numFmt w:val="lowerLetter"/>
      <w:lvlText w:val="%8."/>
      <w:lvlJc w:val="left"/>
      <w:pPr>
        <w:ind w:left="5760" w:hanging="360"/>
      </w:pPr>
    </w:lvl>
    <w:lvl w:ilvl="8" w:tplc="42C853C2" w:tentative="1">
      <w:start w:val="1"/>
      <w:numFmt w:val="lowerRoman"/>
      <w:lvlText w:val="%9."/>
      <w:lvlJc w:val="right"/>
      <w:pPr>
        <w:ind w:left="6480" w:hanging="180"/>
      </w:pPr>
    </w:lvl>
  </w:abstractNum>
  <w:abstractNum w:abstractNumId="10" w15:restartNumberingAfterBreak="0">
    <w:nsid w:val="0000000A"/>
    <w:multiLevelType w:val="multilevel"/>
    <w:tmpl w:val="2CF4F4B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B"/>
    <w:multiLevelType w:val="hybridMultilevel"/>
    <w:tmpl w:val="2D742626"/>
    <w:lvl w:ilvl="0" w:tplc="26AAD1A2">
      <w:start w:val="1"/>
      <w:numFmt w:val="decimal"/>
      <w:lvlText w:val="%1."/>
      <w:lvlJc w:val="left"/>
      <w:pPr>
        <w:ind w:left="720" w:hanging="360"/>
      </w:pPr>
      <w:rPr>
        <w:sz w:val="24"/>
        <w:szCs w:val="24"/>
      </w:rPr>
    </w:lvl>
    <w:lvl w:ilvl="1" w:tplc="CB96F186" w:tentative="1">
      <w:start w:val="1"/>
      <w:numFmt w:val="lowerLetter"/>
      <w:lvlText w:val="%2."/>
      <w:lvlJc w:val="left"/>
      <w:pPr>
        <w:ind w:left="1440" w:hanging="360"/>
      </w:pPr>
    </w:lvl>
    <w:lvl w:ilvl="2" w:tplc="320A00AC" w:tentative="1">
      <w:start w:val="1"/>
      <w:numFmt w:val="lowerRoman"/>
      <w:lvlText w:val="%3."/>
      <w:lvlJc w:val="right"/>
      <w:pPr>
        <w:ind w:left="2160" w:hanging="180"/>
      </w:pPr>
    </w:lvl>
    <w:lvl w:ilvl="3" w:tplc="1EFABC92" w:tentative="1">
      <w:start w:val="1"/>
      <w:numFmt w:val="decimal"/>
      <w:lvlText w:val="%4."/>
      <w:lvlJc w:val="left"/>
      <w:pPr>
        <w:ind w:left="2880" w:hanging="360"/>
      </w:pPr>
    </w:lvl>
    <w:lvl w:ilvl="4" w:tplc="AD842112" w:tentative="1">
      <w:start w:val="1"/>
      <w:numFmt w:val="lowerLetter"/>
      <w:lvlText w:val="%5."/>
      <w:lvlJc w:val="left"/>
      <w:pPr>
        <w:ind w:left="3600" w:hanging="360"/>
      </w:pPr>
    </w:lvl>
    <w:lvl w:ilvl="5" w:tplc="15E08144" w:tentative="1">
      <w:start w:val="1"/>
      <w:numFmt w:val="lowerRoman"/>
      <w:lvlText w:val="%6."/>
      <w:lvlJc w:val="right"/>
      <w:pPr>
        <w:ind w:left="4320" w:hanging="180"/>
      </w:pPr>
    </w:lvl>
    <w:lvl w:ilvl="6" w:tplc="7E1C954E" w:tentative="1">
      <w:start w:val="1"/>
      <w:numFmt w:val="decimal"/>
      <w:lvlText w:val="%7."/>
      <w:lvlJc w:val="left"/>
      <w:pPr>
        <w:ind w:left="5040" w:hanging="360"/>
      </w:pPr>
    </w:lvl>
    <w:lvl w:ilvl="7" w:tplc="4FB42A4A" w:tentative="1">
      <w:start w:val="1"/>
      <w:numFmt w:val="lowerLetter"/>
      <w:lvlText w:val="%8."/>
      <w:lvlJc w:val="left"/>
      <w:pPr>
        <w:ind w:left="5760" w:hanging="360"/>
      </w:pPr>
    </w:lvl>
    <w:lvl w:ilvl="8" w:tplc="DED88AB0" w:tentative="1">
      <w:start w:val="1"/>
      <w:numFmt w:val="lowerRoman"/>
      <w:lvlText w:val="%9."/>
      <w:lvlJc w:val="right"/>
      <w:pPr>
        <w:ind w:left="6480" w:hanging="180"/>
      </w:pPr>
    </w:lvl>
  </w:abstractNum>
  <w:abstractNum w:abstractNumId="12" w15:restartNumberingAfterBreak="0">
    <w:nsid w:val="0000000C"/>
    <w:multiLevelType w:val="hybridMultilevel"/>
    <w:tmpl w:val="2D742626"/>
    <w:lvl w:ilvl="0" w:tplc="3B5C8D50">
      <w:start w:val="1"/>
      <w:numFmt w:val="decimal"/>
      <w:lvlText w:val="%1."/>
      <w:lvlJc w:val="left"/>
      <w:pPr>
        <w:ind w:left="720" w:hanging="360"/>
      </w:pPr>
      <w:rPr>
        <w:sz w:val="24"/>
        <w:szCs w:val="24"/>
      </w:rPr>
    </w:lvl>
    <w:lvl w:ilvl="1" w:tplc="CC66F552" w:tentative="1">
      <w:start w:val="1"/>
      <w:numFmt w:val="lowerLetter"/>
      <w:lvlText w:val="%2."/>
      <w:lvlJc w:val="left"/>
      <w:pPr>
        <w:ind w:left="1440" w:hanging="360"/>
      </w:pPr>
    </w:lvl>
    <w:lvl w:ilvl="2" w:tplc="09009EB2" w:tentative="1">
      <w:start w:val="1"/>
      <w:numFmt w:val="lowerRoman"/>
      <w:lvlText w:val="%3."/>
      <w:lvlJc w:val="right"/>
      <w:pPr>
        <w:ind w:left="2160" w:hanging="180"/>
      </w:pPr>
    </w:lvl>
    <w:lvl w:ilvl="3" w:tplc="AA587752" w:tentative="1">
      <w:start w:val="1"/>
      <w:numFmt w:val="decimal"/>
      <w:lvlText w:val="%4."/>
      <w:lvlJc w:val="left"/>
      <w:pPr>
        <w:ind w:left="2880" w:hanging="360"/>
      </w:pPr>
    </w:lvl>
    <w:lvl w:ilvl="4" w:tplc="096A7874" w:tentative="1">
      <w:start w:val="1"/>
      <w:numFmt w:val="lowerLetter"/>
      <w:lvlText w:val="%5."/>
      <w:lvlJc w:val="left"/>
      <w:pPr>
        <w:ind w:left="3600" w:hanging="360"/>
      </w:pPr>
    </w:lvl>
    <w:lvl w:ilvl="5" w:tplc="627EE888" w:tentative="1">
      <w:start w:val="1"/>
      <w:numFmt w:val="lowerRoman"/>
      <w:lvlText w:val="%6."/>
      <w:lvlJc w:val="right"/>
      <w:pPr>
        <w:ind w:left="4320" w:hanging="180"/>
      </w:pPr>
    </w:lvl>
    <w:lvl w:ilvl="6" w:tplc="3838434C" w:tentative="1">
      <w:start w:val="1"/>
      <w:numFmt w:val="decimal"/>
      <w:lvlText w:val="%7."/>
      <w:lvlJc w:val="left"/>
      <w:pPr>
        <w:ind w:left="5040" w:hanging="360"/>
      </w:pPr>
    </w:lvl>
    <w:lvl w:ilvl="7" w:tplc="500C6A1E" w:tentative="1">
      <w:start w:val="1"/>
      <w:numFmt w:val="lowerLetter"/>
      <w:lvlText w:val="%8."/>
      <w:lvlJc w:val="left"/>
      <w:pPr>
        <w:ind w:left="5760" w:hanging="360"/>
      </w:pPr>
    </w:lvl>
    <w:lvl w:ilvl="8" w:tplc="7F80D942" w:tentative="1">
      <w:start w:val="1"/>
      <w:numFmt w:val="lowerRoman"/>
      <w:lvlText w:val="%9."/>
      <w:lvlJc w:val="right"/>
      <w:pPr>
        <w:ind w:left="6480" w:hanging="180"/>
      </w:pPr>
    </w:lvl>
  </w:abstractNum>
  <w:abstractNum w:abstractNumId="13" w15:restartNumberingAfterBreak="0">
    <w:nsid w:val="0000000D"/>
    <w:multiLevelType w:val="multilevel"/>
    <w:tmpl w:val="2CF4F4B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2"/>
  </w:num>
  <w:num w:numId="2">
    <w:abstractNumId w:val="9"/>
  </w:num>
  <w:num w:numId="3">
    <w:abstractNumId w:val="5"/>
  </w:num>
  <w:num w:numId="4">
    <w:abstractNumId w:val="4"/>
  </w:num>
  <w:num w:numId="5">
    <w:abstractNumId w:val="0"/>
  </w:num>
  <w:num w:numId="6">
    <w:abstractNumId w:val="6"/>
  </w:num>
  <w:num w:numId="7">
    <w:abstractNumId w:val="7"/>
  </w:num>
  <w:num w:numId="8">
    <w:abstractNumId w:val="10"/>
  </w:num>
  <w:num w:numId="9">
    <w:abstractNumId w:val="8"/>
  </w:num>
  <w:num w:numId="10">
    <w:abstractNumId w:val="13"/>
  </w:num>
  <w:num w:numId="11">
    <w:abstractNumId w:val="1"/>
  </w:num>
  <w:num w:numId="12">
    <w:abstractNumId w:val="12"/>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2738"/>
    <w:rsid w:val="00642738"/>
    <w:rsid w:val="00697D4A"/>
    <w:rsid w:val="00B3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28E3B4"/>
  <w15:docId w15:val="{3ED4BA08-DC90-47ED-908B-7C77BC7A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widowControl w:val="0"/>
      <w:autoSpaceDE w:val="0"/>
      <w:autoSpaceDN w:val="0"/>
      <w:spacing w:after="0" w:line="217" w:lineRule="exact"/>
      <w:ind w:left="399"/>
      <w:jc w:val="both"/>
      <w:outlineLvl w:val="0"/>
    </w:pPr>
    <w:rPr>
      <w:rFonts w:ascii="Times New Roman" w:eastAsia="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1"/>
    <w:rPr>
      <w:rFonts w:ascii="Times New Roman" w:eastAsia="Times New Roman" w:hAnsi="Times New Roman" w:cs="Times New Roman"/>
      <w:b/>
      <w:bCs/>
      <w:sz w:val="19"/>
      <w:szCs w:val="19"/>
    </w:rPr>
  </w:style>
  <w:style w:type="paragraph" w:styleId="ListParagraph">
    <w:name w:val="List Paragraph"/>
    <w:basedOn w:val="Normal"/>
    <w:uiPriority w:val="34"/>
    <w:qFormat/>
    <w:pPr>
      <w:ind w:left="720"/>
      <w:contextualSpacing/>
    </w:pPr>
    <w:rPr>
      <w:rFonts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Emphasis">
    <w:name w:val="Emphasis"/>
    <w:basedOn w:val="DefaultParagraphFont"/>
    <w:uiPriority w:val="20"/>
    <w:qFormat/>
    <w:rPr>
      <w:i/>
      <w:i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NoSpacing">
    <w:name w:val="No Spacing"/>
    <w:uiPriority w:val="1"/>
    <w:qFormat/>
    <w:pPr>
      <w:spacing w:after="0" w:line="240" w:lineRule="auto"/>
    </w:pPr>
    <w:rPr>
      <w:lang w:val="en-IN"/>
    </w:rPr>
  </w:style>
  <w:style w:type="character" w:customStyle="1" w:styleId="il">
    <w:name w:val="il"/>
    <w:basedOn w:val="DefaultParagraphFont"/>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272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oleObject" Target="embeddings/Microsoft_Excel_Chart.xls"/></Relationships>
</file>

<file path=word/charts/_rels/chart1.xml.rels><?xml version="1.0" encoding="UTF-8" standalone="yes"?>
<Relationships xmlns="http://schemas.openxmlformats.org/package/2006/relationships"><Relationship Id="rId2" Type="http://schemas.openxmlformats.org/officeDocument/2006/relationships/oleObject" Target="C:/Users/dell/Desktop/MSC%20research/GROWTH%20CURV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C:/Users/dell/Desktop/MSC%20research/GROWTH%20CURV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C:/Users/dell/Desktop/MSC%20research/GROWTH%20CURV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C:/Users/dell/Desktop/MSC%20research/GROWTH%20CURV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C:/Users/dell/Desktop/MSC%20research/GROWTH%20CURVE.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b="0">
                <a:latin typeface="Times New Roman" pitchFamily="18" charset="0"/>
                <a:cs typeface="Times New Roman" pitchFamily="18" charset="0"/>
              </a:rPr>
              <a:t>Growth</a:t>
            </a:r>
            <a:r>
              <a:rPr lang="en-US" sz="1400" b="0" baseline="0">
                <a:latin typeface="Times New Roman" pitchFamily="18" charset="0"/>
                <a:cs typeface="Times New Roman" pitchFamily="18" charset="0"/>
              </a:rPr>
              <a:t> of four selected strains on LB without             protectants</a:t>
            </a:r>
            <a:endParaRPr lang="en-US" sz="1400" b="0">
              <a:latin typeface="Times New Roman" pitchFamily="18" charset="0"/>
              <a:cs typeface="Times New Roman" pitchFamily="18" charset="0"/>
            </a:endParaRPr>
          </a:p>
        </c:rich>
      </c:tx>
      <c:layout>
        <c:manualLayout>
          <c:xMode val="edge"/>
          <c:yMode val="edge"/>
          <c:x val="0.1909803636702756"/>
          <c:y val="2.8053354879357079E-2"/>
        </c:manualLayout>
      </c:layout>
      <c:overlay val="0"/>
    </c:title>
    <c:autoTitleDeleted val="0"/>
    <c:plotArea>
      <c:layout>
        <c:manualLayout>
          <c:layoutTarget val="inner"/>
          <c:xMode val="edge"/>
          <c:yMode val="edge"/>
          <c:x val="0.13640072748698873"/>
          <c:y val="0.11627342473540148"/>
          <c:w val="0.80955261672731249"/>
          <c:h val="0.71141393571879297"/>
        </c:manualLayout>
      </c:layout>
      <c:scatterChart>
        <c:scatterStyle val="smoothMarker"/>
        <c:varyColors val="0"/>
        <c:ser>
          <c:idx val="0"/>
          <c:order val="0"/>
          <c:tx>
            <c:strRef>
              <c:f>Sheet1!$C$4</c:f>
              <c:strCache>
                <c:ptCount val="1"/>
                <c:pt idx="0">
                  <c:v>PSA 7</c:v>
                </c:pt>
              </c:strCache>
            </c:strRef>
          </c:tx>
          <c:xVal>
            <c:numRef>
              <c:f>Sheet1!$B$5:$B$13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Sheet1!$C$5:$C$13</c:f>
              <c:numCache>
                <c:formatCode>General</c:formatCode>
                <c:ptCount val="9"/>
                <c:pt idx="0">
                  <c:v>0.12039999999999999</c:v>
                </c:pt>
                <c:pt idx="1">
                  <c:v>0.63420000000000099</c:v>
                </c:pt>
                <c:pt idx="2">
                  <c:v>1.0082</c:v>
                </c:pt>
                <c:pt idx="3">
                  <c:v>1.3043</c:v>
                </c:pt>
                <c:pt idx="4">
                  <c:v>1.5528999999999999</c:v>
                </c:pt>
                <c:pt idx="5">
                  <c:v>1.8173999999999999</c:v>
                </c:pt>
                <c:pt idx="6">
                  <c:v>1.8286</c:v>
                </c:pt>
                <c:pt idx="7">
                  <c:v>1.8204</c:v>
                </c:pt>
                <c:pt idx="8">
                  <c:v>1.8162</c:v>
                </c:pt>
              </c:numCache>
            </c:numRef>
          </c:yVal>
          <c:smooth val="1"/>
          <c:extLst>
            <c:ext xmlns:c16="http://schemas.microsoft.com/office/drawing/2014/chart" uri="{C3380CC4-5D6E-409C-BE32-E72D297353CC}">
              <c16:uniqueId val="{00000000-52C8-41BE-B9F6-D519C13F9067}"/>
            </c:ext>
          </c:extLst>
        </c:ser>
        <c:ser>
          <c:idx val="1"/>
          <c:order val="1"/>
          <c:tx>
            <c:strRef>
              <c:f>Sheet1!$D$4</c:f>
              <c:strCache>
                <c:ptCount val="1"/>
                <c:pt idx="0">
                  <c:v>PSA5</c:v>
                </c:pt>
              </c:strCache>
            </c:strRef>
          </c:tx>
          <c:xVal>
            <c:numRef>
              <c:f>Sheet1!$B$5:$B$13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Sheet1!$D$5:$D$13</c:f>
              <c:numCache>
                <c:formatCode>General</c:formatCode>
                <c:ptCount val="9"/>
                <c:pt idx="0">
                  <c:v>0.1004</c:v>
                </c:pt>
                <c:pt idx="1">
                  <c:v>0.51390000000000002</c:v>
                </c:pt>
                <c:pt idx="2">
                  <c:v>0.80640000000000001</c:v>
                </c:pt>
                <c:pt idx="3">
                  <c:v>1.0173000000000001</c:v>
                </c:pt>
                <c:pt idx="4">
                  <c:v>1.2630999999999999</c:v>
                </c:pt>
                <c:pt idx="5">
                  <c:v>1.5626</c:v>
                </c:pt>
                <c:pt idx="6">
                  <c:v>1.6698</c:v>
                </c:pt>
                <c:pt idx="7">
                  <c:v>1.6501999999999999</c:v>
                </c:pt>
                <c:pt idx="8">
                  <c:v>1.6480999999999999</c:v>
                </c:pt>
              </c:numCache>
            </c:numRef>
          </c:yVal>
          <c:smooth val="1"/>
          <c:extLst>
            <c:ext xmlns:c16="http://schemas.microsoft.com/office/drawing/2014/chart" uri="{C3380CC4-5D6E-409C-BE32-E72D297353CC}">
              <c16:uniqueId val="{00000001-52C8-41BE-B9F6-D519C13F9067}"/>
            </c:ext>
          </c:extLst>
        </c:ser>
        <c:ser>
          <c:idx val="2"/>
          <c:order val="2"/>
          <c:tx>
            <c:strRef>
              <c:f>Sheet1!$E$4</c:f>
              <c:strCache>
                <c:ptCount val="1"/>
                <c:pt idx="0">
                  <c:v>PPFM33 </c:v>
                </c:pt>
              </c:strCache>
            </c:strRef>
          </c:tx>
          <c:xVal>
            <c:numRef>
              <c:f>Sheet1!$B$5:$B$13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Sheet1!$E$5:$E$13</c:f>
              <c:numCache>
                <c:formatCode>General</c:formatCode>
                <c:ptCount val="9"/>
                <c:pt idx="0">
                  <c:v>0.1115</c:v>
                </c:pt>
                <c:pt idx="1">
                  <c:v>0.59340000000000004</c:v>
                </c:pt>
                <c:pt idx="2">
                  <c:v>0.90649999999999997</c:v>
                </c:pt>
                <c:pt idx="3">
                  <c:v>1.1372</c:v>
                </c:pt>
                <c:pt idx="4">
                  <c:v>1.3374999999999999</c:v>
                </c:pt>
                <c:pt idx="5">
                  <c:v>1.5437000000000001</c:v>
                </c:pt>
                <c:pt idx="6">
                  <c:v>1.6529</c:v>
                </c:pt>
                <c:pt idx="7">
                  <c:v>1.6466000000000001</c:v>
                </c:pt>
                <c:pt idx="8">
                  <c:v>1.6302000000000001</c:v>
                </c:pt>
              </c:numCache>
            </c:numRef>
          </c:yVal>
          <c:smooth val="1"/>
          <c:extLst>
            <c:ext xmlns:c16="http://schemas.microsoft.com/office/drawing/2014/chart" uri="{C3380CC4-5D6E-409C-BE32-E72D297353CC}">
              <c16:uniqueId val="{00000002-52C8-41BE-B9F6-D519C13F9067}"/>
            </c:ext>
          </c:extLst>
        </c:ser>
        <c:ser>
          <c:idx val="3"/>
          <c:order val="3"/>
          <c:tx>
            <c:strRef>
              <c:f>Sheet1!$F$4</c:f>
              <c:strCache>
                <c:ptCount val="1"/>
                <c:pt idx="0">
                  <c:v>LAB75</c:v>
                </c:pt>
              </c:strCache>
            </c:strRef>
          </c:tx>
          <c:xVal>
            <c:numRef>
              <c:f>Sheet1!$B$5:$B$13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Sheet1!$F$5:$F$13</c:f>
              <c:numCache>
                <c:formatCode>General</c:formatCode>
                <c:ptCount val="9"/>
                <c:pt idx="0">
                  <c:v>0.13059999999999999</c:v>
                </c:pt>
                <c:pt idx="1">
                  <c:v>0.66100000000000203</c:v>
                </c:pt>
                <c:pt idx="2">
                  <c:v>0.93289999999999995</c:v>
                </c:pt>
                <c:pt idx="3">
                  <c:v>1.3717999999999999</c:v>
                </c:pt>
                <c:pt idx="4">
                  <c:v>1.6719999999999999</c:v>
                </c:pt>
                <c:pt idx="5">
                  <c:v>1.8291999999999999</c:v>
                </c:pt>
                <c:pt idx="6">
                  <c:v>1.8201000000000001</c:v>
                </c:pt>
                <c:pt idx="7">
                  <c:v>1.8152999999999999</c:v>
                </c:pt>
                <c:pt idx="8">
                  <c:v>1.8122</c:v>
                </c:pt>
              </c:numCache>
            </c:numRef>
          </c:yVal>
          <c:smooth val="1"/>
          <c:extLst>
            <c:ext xmlns:c16="http://schemas.microsoft.com/office/drawing/2014/chart" uri="{C3380CC4-5D6E-409C-BE32-E72D297353CC}">
              <c16:uniqueId val="{00000003-52C8-41BE-B9F6-D519C13F9067}"/>
            </c:ext>
          </c:extLst>
        </c:ser>
        <c:dLbls>
          <c:showLegendKey val="0"/>
          <c:showVal val="0"/>
          <c:showCatName val="0"/>
          <c:showSerName val="0"/>
          <c:showPercent val="0"/>
          <c:showBubbleSize val="0"/>
        </c:dLbls>
        <c:axId val="330550656"/>
        <c:axId val="331084928"/>
      </c:scatterChart>
      <c:valAx>
        <c:axId val="330550656"/>
        <c:scaling>
          <c:orientation val="minMax"/>
        </c:scaling>
        <c:delete val="0"/>
        <c:axPos val="b"/>
        <c:title>
          <c:tx>
            <c:rich>
              <a:bodyPr/>
              <a:lstStyle/>
              <a:p>
                <a:pPr>
                  <a:defRPr/>
                </a:pPr>
                <a:r>
                  <a:rPr lang="en-US" sz="1200" b="0">
                    <a:latin typeface="Times New Roman" pitchFamily="18" charset="0"/>
                    <a:cs typeface="Times New Roman" pitchFamily="18" charset="0"/>
                  </a:rPr>
                  <a:t>Incubation</a:t>
                </a:r>
                <a:r>
                  <a:rPr lang="en-US" sz="1200" b="0" baseline="0">
                    <a:latin typeface="Times New Roman" pitchFamily="18" charset="0"/>
                    <a:cs typeface="Times New Roman" pitchFamily="18" charset="0"/>
                  </a:rPr>
                  <a:t>  period (hours)</a:t>
                </a:r>
                <a:endParaRPr lang="en-US" sz="1200" b="0">
                  <a:latin typeface="Times New Roman" pitchFamily="18" charset="0"/>
                  <a:cs typeface="Times New Roman" pitchFamily="18" charset="0"/>
                </a:endParaRPr>
              </a:p>
            </c:rich>
          </c:tx>
          <c:overlay val="0"/>
        </c:title>
        <c:numFmt formatCode="General" sourceLinked="1"/>
        <c:majorTickMark val="none"/>
        <c:minorTickMark val="none"/>
        <c:tickLblPos val="nextTo"/>
        <c:crossAx val="331084928"/>
        <c:crossesAt val="0"/>
        <c:crossBetween val="midCat"/>
        <c:majorUnit val="8"/>
      </c:valAx>
      <c:valAx>
        <c:axId val="331084928"/>
        <c:scaling>
          <c:orientation val="minMax"/>
        </c:scaling>
        <c:delete val="0"/>
        <c:axPos val="l"/>
        <c:title>
          <c:tx>
            <c:rich>
              <a:bodyPr/>
              <a:lstStyle/>
              <a:p>
                <a:pPr>
                  <a:defRPr/>
                </a:pPr>
                <a:r>
                  <a:rPr lang="en-US" sz="1200" b="0">
                    <a:latin typeface="Times New Roman" pitchFamily="18" charset="0"/>
                    <a:cs typeface="Times New Roman" pitchFamily="18" charset="0"/>
                  </a:rPr>
                  <a:t>0ptical</a:t>
                </a:r>
                <a:r>
                  <a:rPr lang="en-US" sz="1200" b="0" baseline="0">
                    <a:latin typeface="Times New Roman" pitchFamily="18" charset="0"/>
                    <a:cs typeface="Times New Roman" pitchFamily="18" charset="0"/>
                  </a:rPr>
                  <a:t> density values</a:t>
                </a:r>
                <a:endParaRPr lang="en-US" sz="1200" b="0">
                  <a:latin typeface="Times New Roman" pitchFamily="18" charset="0"/>
                  <a:cs typeface="Times New Roman" pitchFamily="18" charset="0"/>
                </a:endParaRPr>
              </a:p>
            </c:rich>
          </c:tx>
          <c:overlay val="0"/>
        </c:title>
        <c:numFmt formatCode="General" sourceLinked="1"/>
        <c:majorTickMark val="none"/>
        <c:minorTickMark val="none"/>
        <c:tickLblPos val="nextTo"/>
        <c:crossAx val="330550656"/>
        <c:crosses val="autoZero"/>
        <c:crossBetween val="midCat"/>
        <c:majorUnit val="0.2"/>
      </c:valAx>
    </c:plotArea>
    <c:legend>
      <c:legendPos val="r"/>
      <c:layout>
        <c:manualLayout>
          <c:xMode val="edge"/>
          <c:yMode val="edge"/>
          <c:x val="0.70421264601137479"/>
          <c:y val="0.47329985747521275"/>
          <c:w val="0.21329627628958034"/>
          <c:h val="0.27213622700646156"/>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400" b="0" i="0" baseline="0">
                <a:latin typeface="Times New Roman" pitchFamily="18" charset="0"/>
                <a:cs typeface="Times New Roman" pitchFamily="18" charset="0"/>
              </a:rPr>
              <a:t>Growth of four selected strains on LB with protectants</a:t>
            </a:r>
          </a:p>
        </c:rich>
      </c:tx>
      <c:overlay val="0"/>
    </c:title>
    <c:autoTitleDeleted val="0"/>
    <c:plotArea>
      <c:layout>
        <c:manualLayout>
          <c:layoutTarget val="inner"/>
          <c:xMode val="edge"/>
          <c:yMode val="edge"/>
          <c:x val="0.18343064021467284"/>
          <c:y val="0.12195575674735176"/>
          <c:w val="0.78014872250385359"/>
          <c:h val="0.70202919465005464"/>
        </c:manualLayout>
      </c:layout>
      <c:scatterChart>
        <c:scatterStyle val="smoothMarker"/>
        <c:varyColors val="0"/>
        <c:ser>
          <c:idx val="0"/>
          <c:order val="0"/>
          <c:tx>
            <c:strRef>
              <c:f>Sheet1!$O$4</c:f>
              <c:strCache>
                <c:ptCount val="1"/>
                <c:pt idx="0">
                  <c:v>PSA 7</c:v>
                </c:pt>
              </c:strCache>
            </c:strRef>
          </c:tx>
          <c:xVal>
            <c:numRef>
              <c:f>Sheet1!$N$5:$N$13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Sheet1!$O$5:$O$13</c:f>
              <c:numCache>
                <c:formatCode>General</c:formatCode>
                <c:ptCount val="9"/>
                <c:pt idx="0">
                  <c:v>0.19370000000000001</c:v>
                </c:pt>
                <c:pt idx="1">
                  <c:v>0.647200000000002</c:v>
                </c:pt>
                <c:pt idx="2">
                  <c:v>1.1032</c:v>
                </c:pt>
                <c:pt idx="3">
                  <c:v>1.3996999999999999</c:v>
                </c:pt>
                <c:pt idx="4">
                  <c:v>1.5764</c:v>
                </c:pt>
                <c:pt idx="5">
                  <c:v>1.8139000000000001</c:v>
                </c:pt>
                <c:pt idx="6">
                  <c:v>1.8528</c:v>
                </c:pt>
                <c:pt idx="7">
                  <c:v>1.8466</c:v>
                </c:pt>
                <c:pt idx="8">
                  <c:v>1.8431999999999999</c:v>
                </c:pt>
              </c:numCache>
            </c:numRef>
          </c:yVal>
          <c:smooth val="1"/>
          <c:extLst>
            <c:ext xmlns:c16="http://schemas.microsoft.com/office/drawing/2014/chart" uri="{C3380CC4-5D6E-409C-BE32-E72D297353CC}">
              <c16:uniqueId val="{00000000-848D-45DB-88A9-E2671A9A2468}"/>
            </c:ext>
          </c:extLst>
        </c:ser>
        <c:ser>
          <c:idx val="1"/>
          <c:order val="1"/>
          <c:tx>
            <c:strRef>
              <c:f>Sheet1!$P$4</c:f>
              <c:strCache>
                <c:ptCount val="1"/>
                <c:pt idx="0">
                  <c:v>PSA5</c:v>
                </c:pt>
              </c:strCache>
            </c:strRef>
          </c:tx>
          <c:xVal>
            <c:numRef>
              <c:f>Sheet1!$N$5:$N$13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Sheet1!$P$5:$P$13</c:f>
              <c:numCache>
                <c:formatCode>General</c:formatCode>
                <c:ptCount val="9"/>
                <c:pt idx="0">
                  <c:v>0.14280000000000001</c:v>
                </c:pt>
                <c:pt idx="1">
                  <c:v>0.63470000000000304</c:v>
                </c:pt>
                <c:pt idx="2">
                  <c:v>0.95270000000000199</c:v>
                </c:pt>
                <c:pt idx="3">
                  <c:v>1.1953</c:v>
                </c:pt>
                <c:pt idx="4">
                  <c:v>1.2984</c:v>
                </c:pt>
                <c:pt idx="5">
                  <c:v>1.4625999999999999</c:v>
                </c:pt>
                <c:pt idx="6">
                  <c:v>1.5798000000000001</c:v>
                </c:pt>
                <c:pt idx="7">
                  <c:v>1.5702</c:v>
                </c:pt>
                <c:pt idx="8">
                  <c:v>1.5681</c:v>
                </c:pt>
              </c:numCache>
            </c:numRef>
          </c:yVal>
          <c:smooth val="1"/>
          <c:extLst>
            <c:ext xmlns:c16="http://schemas.microsoft.com/office/drawing/2014/chart" uri="{C3380CC4-5D6E-409C-BE32-E72D297353CC}">
              <c16:uniqueId val="{00000001-848D-45DB-88A9-E2671A9A2468}"/>
            </c:ext>
          </c:extLst>
        </c:ser>
        <c:ser>
          <c:idx val="2"/>
          <c:order val="2"/>
          <c:tx>
            <c:strRef>
              <c:f>Sheet1!$Q$4</c:f>
              <c:strCache>
                <c:ptCount val="1"/>
                <c:pt idx="0">
                  <c:v>PPFM33 </c:v>
                </c:pt>
              </c:strCache>
            </c:strRef>
          </c:tx>
          <c:xVal>
            <c:numRef>
              <c:f>Sheet1!$N$5:$N$13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Sheet1!$Q$5:$Q$13</c:f>
              <c:numCache>
                <c:formatCode>General</c:formatCode>
                <c:ptCount val="9"/>
                <c:pt idx="0">
                  <c:v>0.2031</c:v>
                </c:pt>
                <c:pt idx="1">
                  <c:v>0.66980000000000295</c:v>
                </c:pt>
                <c:pt idx="2">
                  <c:v>0.89319999999999999</c:v>
                </c:pt>
                <c:pt idx="3">
                  <c:v>1.3033999999999999</c:v>
                </c:pt>
                <c:pt idx="4">
                  <c:v>1.4926999999999999</c:v>
                </c:pt>
                <c:pt idx="5">
                  <c:v>1.5782</c:v>
                </c:pt>
                <c:pt idx="6">
                  <c:v>1.6735</c:v>
                </c:pt>
                <c:pt idx="7">
                  <c:v>1.671</c:v>
                </c:pt>
                <c:pt idx="8">
                  <c:v>1.6652</c:v>
                </c:pt>
              </c:numCache>
            </c:numRef>
          </c:yVal>
          <c:smooth val="1"/>
          <c:extLst>
            <c:ext xmlns:c16="http://schemas.microsoft.com/office/drawing/2014/chart" uri="{C3380CC4-5D6E-409C-BE32-E72D297353CC}">
              <c16:uniqueId val="{00000002-848D-45DB-88A9-E2671A9A2468}"/>
            </c:ext>
          </c:extLst>
        </c:ser>
        <c:ser>
          <c:idx val="3"/>
          <c:order val="3"/>
          <c:tx>
            <c:strRef>
              <c:f>Sheet1!$R$4</c:f>
              <c:strCache>
                <c:ptCount val="1"/>
                <c:pt idx="0">
                  <c:v>LAB75</c:v>
                </c:pt>
              </c:strCache>
            </c:strRef>
          </c:tx>
          <c:xVal>
            <c:numRef>
              <c:f>Sheet1!$N$5:$N$13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Sheet1!$R$5:$R$13</c:f>
              <c:numCache>
                <c:formatCode>General</c:formatCode>
                <c:ptCount val="9"/>
                <c:pt idx="0">
                  <c:v>0.19320000000000001</c:v>
                </c:pt>
                <c:pt idx="1">
                  <c:v>0.75710000000000199</c:v>
                </c:pt>
                <c:pt idx="2">
                  <c:v>1.22569999999999</c:v>
                </c:pt>
                <c:pt idx="3">
                  <c:v>1.5438000000000001</c:v>
                </c:pt>
                <c:pt idx="4">
                  <c:v>1.6949000000000001</c:v>
                </c:pt>
                <c:pt idx="5">
                  <c:v>1.8317000000000001</c:v>
                </c:pt>
                <c:pt idx="6">
                  <c:v>1.8245</c:v>
                </c:pt>
                <c:pt idx="7">
                  <c:v>1.8226</c:v>
                </c:pt>
                <c:pt idx="8">
                  <c:v>1.8207</c:v>
                </c:pt>
              </c:numCache>
            </c:numRef>
          </c:yVal>
          <c:smooth val="1"/>
          <c:extLst>
            <c:ext xmlns:c16="http://schemas.microsoft.com/office/drawing/2014/chart" uri="{C3380CC4-5D6E-409C-BE32-E72D297353CC}">
              <c16:uniqueId val="{00000003-848D-45DB-88A9-E2671A9A2468}"/>
            </c:ext>
          </c:extLst>
        </c:ser>
        <c:dLbls>
          <c:showLegendKey val="0"/>
          <c:showVal val="0"/>
          <c:showCatName val="0"/>
          <c:showSerName val="0"/>
          <c:showPercent val="0"/>
          <c:showBubbleSize val="0"/>
        </c:dLbls>
        <c:axId val="331039488"/>
        <c:axId val="331041792"/>
      </c:scatterChart>
      <c:valAx>
        <c:axId val="331039488"/>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200" b="0" i="0" baseline="0">
                    <a:latin typeface="Times New Roman" pitchFamily="18" charset="0"/>
                    <a:cs typeface="Times New Roman" pitchFamily="18" charset="0"/>
                  </a:rPr>
                  <a:t>Incubation  period (hours)</a:t>
                </a:r>
              </a:p>
            </c:rich>
          </c:tx>
          <c:overlay val="0"/>
        </c:title>
        <c:numFmt formatCode="General" sourceLinked="1"/>
        <c:majorTickMark val="none"/>
        <c:minorTickMark val="none"/>
        <c:tickLblPos val="nextTo"/>
        <c:crossAx val="331041792"/>
        <c:crosses val="autoZero"/>
        <c:crossBetween val="midCat"/>
      </c:valAx>
      <c:valAx>
        <c:axId val="331041792"/>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200" b="0" i="0" baseline="0">
                    <a:latin typeface="Times New Roman" pitchFamily="18" charset="0"/>
                    <a:cs typeface="Times New Roman" pitchFamily="18" charset="0"/>
                  </a:rPr>
                  <a:t>0ptical density values</a:t>
                </a:r>
              </a:p>
            </c:rich>
          </c:tx>
          <c:overlay val="0"/>
        </c:title>
        <c:numFmt formatCode="General" sourceLinked="1"/>
        <c:majorTickMark val="none"/>
        <c:minorTickMark val="none"/>
        <c:tickLblPos val="nextTo"/>
        <c:crossAx val="331039488"/>
        <c:crosses val="autoZero"/>
        <c:crossBetween val="midCat"/>
      </c:valAx>
    </c:plotArea>
    <c:legend>
      <c:legendPos val="r"/>
      <c:layout>
        <c:manualLayout>
          <c:xMode val="edge"/>
          <c:yMode val="edge"/>
          <c:x val="0.60551767848203342"/>
          <c:y val="0.48546234389556886"/>
          <c:w val="0.21678022878950101"/>
          <c:h val="0.23030499343641866"/>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400" b="0" i="0" baseline="0">
                <a:latin typeface="Times New Roman" pitchFamily="18" charset="0"/>
                <a:cs typeface="Times New Roman" pitchFamily="18" charset="0"/>
              </a:rPr>
              <a:t>Growth of four selected strains on LB without protectants</a:t>
            </a:r>
          </a:p>
        </c:rich>
      </c:tx>
      <c:overlay val="0"/>
    </c:title>
    <c:autoTitleDeleted val="0"/>
    <c:plotArea>
      <c:layout>
        <c:manualLayout>
          <c:layoutTarget val="inner"/>
          <c:xMode val="edge"/>
          <c:yMode val="edge"/>
          <c:x val="0.14999842420212492"/>
          <c:y val="0.12699129217670227"/>
          <c:w val="0.81683295419148394"/>
          <c:h val="0.71891945607026353"/>
        </c:manualLayout>
      </c:layout>
      <c:scatterChart>
        <c:scatterStyle val="smoothMarker"/>
        <c:varyColors val="0"/>
        <c:ser>
          <c:idx val="0"/>
          <c:order val="0"/>
          <c:tx>
            <c:strRef>
              <c:f>Sheet1!$I$4</c:f>
              <c:strCache>
                <c:ptCount val="1"/>
                <c:pt idx="0">
                  <c:v>PSA 7</c:v>
                </c:pt>
              </c:strCache>
            </c:strRef>
          </c:tx>
          <c:xVal>
            <c:numRef>
              <c:f>Sheet1!$H$5:$H$13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Sheet1!$I$5:$I$13</c:f>
              <c:numCache>
                <c:formatCode>General</c:formatCode>
                <c:ptCount val="9"/>
                <c:pt idx="0">
                  <c:v>5.11299999999998</c:v>
                </c:pt>
                <c:pt idx="1">
                  <c:v>6.6829999999999901</c:v>
                </c:pt>
                <c:pt idx="2">
                  <c:v>7.8807999999999998</c:v>
                </c:pt>
                <c:pt idx="3">
                  <c:v>8.4990000000000006</c:v>
                </c:pt>
                <c:pt idx="4">
                  <c:v>9.6370000000000005</c:v>
                </c:pt>
                <c:pt idx="5">
                  <c:v>9.9130000000000003</c:v>
                </c:pt>
                <c:pt idx="6">
                  <c:v>10.146000000000001</c:v>
                </c:pt>
                <c:pt idx="7">
                  <c:v>10.086</c:v>
                </c:pt>
                <c:pt idx="8">
                  <c:v>10.007999999999999</c:v>
                </c:pt>
              </c:numCache>
            </c:numRef>
          </c:yVal>
          <c:smooth val="1"/>
          <c:extLst>
            <c:ext xmlns:c16="http://schemas.microsoft.com/office/drawing/2014/chart" uri="{C3380CC4-5D6E-409C-BE32-E72D297353CC}">
              <c16:uniqueId val="{00000000-4ED4-4BED-94A7-D708ED536C49}"/>
            </c:ext>
          </c:extLst>
        </c:ser>
        <c:ser>
          <c:idx val="1"/>
          <c:order val="1"/>
          <c:tx>
            <c:strRef>
              <c:f>Sheet1!$J$4</c:f>
              <c:strCache>
                <c:ptCount val="1"/>
                <c:pt idx="0">
                  <c:v>PSA5</c:v>
                </c:pt>
              </c:strCache>
            </c:strRef>
          </c:tx>
          <c:xVal>
            <c:numRef>
              <c:f>Sheet1!$H$5:$H$13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Sheet1!$J$5:$J$13</c:f>
              <c:numCache>
                <c:formatCode>General</c:formatCode>
                <c:ptCount val="9"/>
                <c:pt idx="0">
                  <c:v>5.0330000000000004</c:v>
                </c:pt>
                <c:pt idx="1">
                  <c:v>6.4909999999999997</c:v>
                </c:pt>
                <c:pt idx="2">
                  <c:v>7.3419999999999996</c:v>
                </c:pt>
                <c:pt idx="3">
                  <c:v>7.9210000000000003</c:v>
                </c:pt>
                <c:pt idx="4">
                  <c:v>8.7479999999999993</c:v>
                </c:pt>
                <c:pt idx="5">
                  <c:v>9.6329999999999991</c:v>
                </c:pt>
                <c:pt idx="6">
                  <c:v>9.8808000000000007</c:v>
                </c:pt>
                <c:pt idx="7">
                  <c:v>9.8569999999999993</c:v>
                </c:pt>
                <c:pt idx="8">
                  <c:v>9.8190000000000008</c:v>
                </c:pt>
              </c:numCache>
            </c:numRef>
          </c:yVal>
          <c:smooth val="1"/>
          <c:extLst>
            <c:ext xmlns:c16="http://schemas.microsoft.com/office/drawing/2014/chart" uri="{C3380CC4-5D6E-409C-BE32-E72D297353CC}">
              <c16:uniqueId val="{00000001-4ED4-4BED-94A7-D708ED536C49}"/>
            </c:ext>
          </c:extLst>
        </c:ser>
        <c:ser>
          <c:idx val="2"/>
          <c:order val="2"/>
          <c:tx>
            <c:strRef>
              <c:f>Sheet1!$K$4</c:f>
              <c:strCache>
                <c:ptCount val="1"/>
                <c:pt idx="0">
                  <c:v>PPFM33 </c:v>
                </c:pt>
              </c:strCache>
            </c:strRef>
          </c:tx>
          <c:xVal>
            <c:numRef>
              <c:f>Sheet1!$H$5:$H$13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Sheet1!$K$5:$K$13</c:f>
              <c:numCache>
                <c:formatCode>General</c:formatCode>
                <c:ptCount val="9"/>
                <c:pt idx="0">
                  <c:v>5.0789999999999997</c:v>
                </c:pt>
                <c:pt idx="1">
                  <c:v>6.2095000000000002</c:v>
                </c:pt>
                <c:pt idx="2">
                  <c:v>7.5789999999999997</c:v>
                </c:pt>
                <c:pt idx="3">
                  <c:v>8.69</c:v>
                </c:pt>
                <c:pt idx="4">
                  <c:v>9.2690000000000001</c:v>
                </c:pt>
                <c:pt idx="5">
                  <c:v>9.7949999999999999</c:v>
                </c:pt>
                <c:pt idx="6">
                  <c:v>10.19</c:v>
                </c:pt>
                <c:pt idx="7">
                  <c:v>10.146000000000001</c:v>
                </c:pt>
                <c:pt idx="8">
                  <c:v>10.071</c:v>
                </c:pt>
              </c:numCache>
            </c:numRef>
          </c:yVal>
          <c:smooth val="1"/>
          <c:extLst>
            <c:ext xmlns:c16="http://schemas.microsoft.com/office/drawing/2014/chart" uri="{C3380CC4-5D6E-409C-BE32-E72D297353CC}">
              <c16:uniqueId val="{00000002-4ED4-4BED-94A7-D708ED536C49}"/>
            </c:ext>
          </c:extLst>
        </c:ser>
        <c:ser>
          <c:idx val="3"/>
          <c:order val="3"/>
          <c:tx>
            <c:strRef>
              <c:f>Sheet1!$L$4</c:f>
              <c:strCache>
                <c:ptCount val="1"/>
                <c:pt idx="0">
                  <c:v>LAB75</c:v>
                </c:pt>
              </c:strCache>
            </c:strRef>
          </c:tx>
          <c:xVal>
            <c:numRef>
              <c:f>Sheet1!$H$5:$H$13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Sheet1!$L$5:$L$13</c:f>
              <c:numCache>
                <c:formatCode>General</c:formatCode>
                <c:ptCount val="9"/>
                <c:pt idx="0">
                  <c:v>5.056</c:v>
                </c:pt>
                <c:pt idx="1">
                  <c:v>6.5579999999999901</c:v>
                </c:pt>
                <c:pt idx="2">
                  <c:v>7.4909999999999997</c:v>
                </c:pt>
                <c:pt idx="3">
                  <c:v>8.2850000000000001</c:v>
                </c:pt>
                <c:pt idx="4">
                  <c:v>9.3960000000000008</c:v>
                </c:pt>
                <c:pt idx="5">
                  <c:v>10.361000000000001</c:v>
                </c:pt>
                <c:pt idx="6">
                  <c:v>10.301</c:v>
                </c:pt>
                <c:pt idx="7">
                  <c:v>10.282999999999999</c:v>
                </c:pt>
                <c:pt idx="8">
                  <c:v>10.23</c:v>
                </c:pt>
              </c:numCache>
            </c:numRef>
          </c:yVal>
          <c:smooth val="1"/>
          <c:extLst>
            <c:ext xmlns:c16="http://schemas.microsoft.com/office/drawing/2014/chart" uri="{C3380CC4-5D6E-409C-BE32-E72D297353CC}">
              <c16:uniqueId val="{00000003-4ED4-4BED-94A7-D708ED536C49}"/>
            </c:ext>
          </c:extLst>
        </c:ser>
        <c:dLbls>
          <c:showLegendKey val="0"/>
          <c:showVal val="0"/>
          <c:showCatName val="0"/>
          <c:showSerName val="0"/>
          <c:showPercent val="0"/>
          <c:showBubbleSize val="0"/>
        </c:dLbls>
        <c:axId val="330957952"/>
        <c:axId val="330981760"/>
      </c:scatterChart>
      <c:valAx>
        <c:axId val="330957952"/>
        <c:scaling>
          <c:orientation val="minMax"/>
        </c:scaling>
        <c:delete val="0"/>
        <c:axPos val="b"/>
        <c:title>
          <c:tx>
            <c:rich>
              <a:bodyPr/>
              <a:lstStyle/>
              <a:p>
                <a:pPr>
                  <a:defRPr/>
                </a:pPr>
                <a:r>
                  <a:rPr lang="en-US" sz="1200" b="0">
                    <a:latin typeface="Times New Roman" pitchFamily="18" charset="0"/>
                    <a:cs typeface="Times New Roman" pitchFamily="18" charset="0"/>
                  </a:rPr>
                  <a:t>Incubation</a:t>
                </a:r>
                <a:r>
                  <a:rPr lang="en-US" sz="1200" b="0" baseline="0">
                    <a:latin typeface="Times New Roman" pitchFamily="18" charset="0"/>
                    <a:cs typeface="Times New Roman" pitchFamily="18" charset="0"/>
                  </a:rPr>
                  <a:t> period (hours)</a:t>
                </a:r>
                <a:endParaRPr lang="en-US" sz="1200" b="0">
                  <a:latin typeface="Times New Roman" pitchFamily="18" charset="0"/>
                  <a:cs typeface="Times New Roman" pitchFamily="18" charset="0"/>
                </a:endParaRPr>
              </a:p>
            </c:rich>
          </c:tx>
          <c:overlay val="0"/>
        </c:title>
        <c:numFmt formatCode="General" sourceLinked="1"/>
        <c:majorTickMark val="none"/>
        <c:minorTickMark val="none"/>
        <c:tickLblPos val="nextTo"/>
        <c:crossAx val="330981760"/>
        <c:crosses val="autoZero"/>
        <c:crossBetween val="midCat"/>
        <c:majorUnit val="8"/>
      </c:valAx>
      <c:valAx>
        <c:axId val="330981760"/>
        <c:scaling>
          <c:orientation val="minMax"/>
        </c:scaling>
        <c:delete val="0"/>
        <c:axPos val="l"/>
        <c:title>
          <c:tx>
            <c:rich>
              <a:bodyPr/>
              <a:lstStyle/>
              <a:p>
                <a:pPr>
                  <a:defRPr/>
                </a:pPr>
                <a:r>
                  <a:rPr lang="en-US" sz="1200" b="0">
                    <a:latin typeface="Times New Roman" pitchFamily="18" charset="0"/>
                    <a:cs typeface="Times New Roman" pitchFamily="18" charset="0"/>
                  </a:rPr>
                  <a:t>Log</a:t>
                </a:r>
                <a:r>
                  <a:rPr lang="en-US" sz="1200" b="0" baseline="0">
                    <a:latin typeface="Times New Roman" pitchFamily="18" charset="0"/>
                    <a:cs typeface="Times New Roman" pitchFamily="18" charset="0"/>
                  </a:rPr>
                  <a:t> </a:t>
                </a:r>
                <a:r>
                  <a:rPr lang="en-US" sz="1200" b="0" baseline="-25000">
                    <a:latin typeface="Times New Roman" pitchFamily="18" charset="0"/>
                    <a:cs typeface="Times New Roman" pitchFamily="18" charset="0"/>
                  </a:rPr>
                  <a:t>10</a:t>
                </a:r>
                <a:r>
                  <a:rPr lang="en-US" sz="1200" b="0" baseline="0">
                    <a:latin typeface="Times New Roman" pitchFamily="18" charset="0"/>
                    <a:cs typeface="Times New Roman" pitchFamily="18" charset="0"/>
                  </a:rPr>
                  <a:t> number of viable cells</a:t>
                </a:r>
                <a:endParaRPr lang="en-US" sz="1200" b="0">
                  <a:latin typeface="Times New Roman" pitchFamily="18" charset="0"/>
                  <a:cs typeface="Times New Roman" pitchFamily="18" charset="0"/>
                </a:endParaRPr>
              </a:p>
            </c:rich>
          </c:tx>
          <c:overlay val="0"/>
        </c:title>
        <c:numFmt formatCode="General" sourceLinked="1"/>
        <c:majorTickMark val="none"/>
        <c:minorTickMark val="none"/>
        <c:tickLblPos val="nextTo"/>
        <c:crossAx val="330957952"/>
        <c:crosses val="autoZero"/>
        <c:crossBetween val="midCat"/>
      </c:valAx>
    </c:plotArea>
    <c:legend>
      <c:legendPos val="r"/>
      <c:layout>
        <c:manualLayout>
          <c:xMode val="edge"/>
          <c:yMode val="edge"/>
          <c:x val="0.63392373227060994"/>
          <c:y val="0.47891109192372494"/>
          <c:w val="0.18568070251288721"/>
          <c:h val="0.20161651047773238"/>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400" b="0" i="0" baseline="0">
                <a:latin typeface="Times New Roman" pitchFamily="18" charset="0"/>
                <a:cs typeface="Times New Roman" pitchFamily="18" charset="0"/>
              </a:rPr>
              <a:t>Growth of four selected strains on LB with protectants</a:t>
            </a:r>
            <a:endParaRPr lang="en-US" sz="1400">
              <a:latin typeface="Times New Roman" pitchFamily="18" charset="0"/>
              <a:cs typeface="Times New Roman" pitchFamily="18" charset="0"/>
            </a:endParaRPr>
          </a:p>
        </c:rich>
      </c:tx>
      <c:overlay val="0"/>
    </c:title>
    <c:autoTitleDeleted val="0"/>
    <c:plotArea>
      <c:layout>
        <c:manualLayout>
          <c:layoutTarget val="inner"/>
          <c:xMode val="edge"/>
          <c:yMode val="edge"/>
          <c:x val="0.14157687547604902"/>
          <c:y val="0.14044195612576418"/>
          <c:w val="0.81334877079847256"/>
          <c:h val="0.71111867567507636"/>
        </c:manualLayout>
      </c:layout>
      <c:scatterChart>
        <c:scatterStyle val="smoothMarker"/>
        <c:varyColors val="0"/>
        <c:ser>
          <c:idx val="0"/>
          <c:order val="0"/>
          <c:tx>
            <c:strRef>
              <c:f>Sheet1!$U$4</c:f>
              <c:strCache>
                <c:ptCount val="1"/>
                <c:pt idx="0">
                  <c:v>PSA 7</c:v>
                </c:pt>
              </c:strCache>
            </c:strRef>
          </c:tx>
          <c:xVal>
            <c:numRef>
              <c:f>Sheet1!$T$5:$T$13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Sheet1!$U$5:$U$13</c:f>
              <c:numCache>
                <c:formatCode>General</c:formatCode>
                <c:ptCount val="9"/>
                <c:pt idx="0">
                  <c:v>5.3837999999999999</c:v>
                </c:pt>
                <c:pt idx="1">
                  <c:v>6.8388</c:v>
                </c:pt>
                <c:pt idx="2">
                  <c:v>7.9344000000000001</c:v>
                </c:pt>
                <c:pt idx="3">
                  <c:v>8.6329999999999991</c:v>
                </c:pt>
                <c:pt idx="4">
                  <c:v>9.7402999999999995</c:v>
                </c:pt>
                <c:pt idx="5">
                  <c:v>10.016999999999999</c:v>
                </c:pt>
                <c:pt idx="6">
                  <c:v>10.255000000000001</c:v>
                </c:pt>
                <c:pt idx="7">
                  <c:v>10.176</c:v>
                </c:pt>
                <c:pt idx="8">
                  <c:v>10.064</c:v>
                </c:pt>
              </c:numCache>
            </c:numRef>
          </c:yVal>
          <c:smooth val="1"/>
          <c:extLst>
            <c:ext xmlns:c16="http://schemas.microsoft.com/office/drawing/2014/chart" uri="{C3380CC4-5D6E-409C-BE32-E72D297353CC}">
              <c16:uniqueId val="{00000000-4675-426E-96B4-1C616FA8396C}"/>
            </c:ext>
          </c:extLst>
        </c:ser>
        <c:ser>
          <c:idx val="1"/>
          <c:order val="1"/>
          <c:tx>
            <c:strRef>
              <c:f>Sheet1!$V$4</c:f>
              <c:strCache>
                <c:ptCount val="1"/>
                <c:pt idx="0">
                  <c:v>PSA5</c:v>
                </c:pt>
              </c:strCache>
            </c:strRef>
          </c:tx>
          <c:xVal>
            <c:numRef>
              <c:f>Sheet1!$T$5:$T$13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Sheet1!$V$5:$V$13</c:f>
              <c:numCache>
                <c:formatCode>General</c:formatCode>
                <c:ptCount val="9"/>
                <c:pt idx="0">
                  <c:v>5.2549999999999999</c:v>
                </c:pt>
                <c:pt idx="1">
                  <c:v>6.5932000000000004</c:v>
                </c:pt>
                <c:pt idx="2">
                  <c:v>7.5720000000000001</c:v>
                </c:pt>
                <c:pt idx="3">
                  <c:v>8.2253000000000007</c:v>
                </c:pt>
                <c:pt idx="4">
                  <c:v>9.1809999999999992</c:v>
                </c:pt>
                <c:pt idx="5">
                  <c:v>9.7070000000000007</c:v>
                </c:pt>
                <c:pt idx="6">
                  <c:v>9.9130000000000003</c:v>
                </c:pt>
                <c:pt idx="7">
                  <c:v>9.9030000000000005</c:v>
                </c:pt>
                <c:pt idx="8">
                  <c:v>9.8690000000000193</c:v>
                </c:pt>
              </c:numCache>
            </c:numRef>
          </c:yVal>
          <c:smooth val="1"/>
          <c:extLst>
            <c:ext xmlns:c16="http://schemas.microsoft.com/office/drawing/2014/chart" uri="{C3380CC4-5D6E-409C-BE32-E72D297353CC}">
              <c16:uniqueId val="{00000001-4675-426E-96B4-1C616FA8396C}"/>
            </c:ext>
          </c:extLst>
        </c:ser>
        <c:ser>
          <c:idx val="2"/>
          <c:order val="2"/>
          <c:tx>
            <c:strRef>
              <c:f>Sheet1!$W$4</c:f>
              <c:strCache>
                <c:ptCount val="1"/>
                <c:pt idx="0">
                  <c:v>PPFM33 </c:v>
                </c:pt>
              </c:strCache>
            </c:strRef>
          </c:tx>
          <c:xVal>
            <c:numRef>
              <c:f>Sheet1!$T$5:$T$13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Sheet1!$W$5:$W$13</c:f>
              <c:numCache>
                <c:formatCode>General</c:formatCode>
                <c:ptCount val="9"/>
                <c:pt idx="0">
                  <c:v>5.2709999999999999</c:v>
                </c:pt>
                <c:pt idx="1">
                  <c:v>6.4980000000000002</c:v>
                </c:pt>
                <c:pt idx="2">
                  <c:v>7.7889999999999997</c:v>
                </c:pt>
                <c:pt idx="3">
                  <c:v>8.9079999999999995</c:v>
                </c:pt>
                <c:pt idx="4">
                  <c:v>9.4209999999999994</c:v>
                </c:pt>
                <c:pt idx="5">
                  <c:v>9.9860000000000007</c:v>
                </c:pt>
                <c:pt idx="6">
                  <c:v>10.382999999999999</c:v>
                </c:pt>
                <c:pt idx="7">
                  <c:v>10.321999999999999</c:v>
                </c:pt>
                <c:pt idx="8">
                  <c:v>10.234999999999999</c:v>
                </c:pt>
              </c:numCache>
            </c:numRef>
          </c:yVal>
          <c:smooth val="1"/>
          <c:extLst>
            <c:ext xmlns:c16="http://schemas.microsoft.com/office/drawing/2014/chart" uri="{C3380CC4-5D6E-409C-BE32-E72D297353CC}">
              <c16:uniqueId val="{00000002-4675-426E-96B4-1C616FA8396C}"/>
            </c:ext>
          </c:extLst>
        </c:ser>
        <c:ser>
          <c:idx val="3"/>
          <c:order val="3"/>
          <c:tx>
            <c:strRef>
              <c:f>Sheet1!$X$4</c:f>
              <c:strCache>
                <c:ptCount val="1"/>
                <c:pt idx="0">
                  <c:v>LAB75</c:v>
                </c:pt>
              </c:strCache>
            </c:strRef>
          </c:tx>
          <c:xVal>
            <c:numRef>
              <c:f>Sheet1!$T$5:$T$13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Sheet1!$X$5:$X$13</c:f>
              <c:numCache>
                <c:formatCode>General</c:formatCode>
                <c:ptCount val="9"/>
                <c:pt idx="0">
                  <c:v>5.16099999999998</c:v>
                </c:pt>
                <c:pt idx="1">
                  <c:v>6.6120000000000001</c:v>
                </c:pt>
                <c:pt idx="2">
                  <c:v>7.681</c:v>
                </c:pt>
                <c:pt idx="3">
                  <c:v>8.4819999999999993</c:v>
                </c:pt>
                <c:pt idx="4">
                  <c:v>9.6229999999999993</c:v>
                </c:pt>
                <c:pt idx="5">
                  <c:v>10.518000000000001</c:v>
                </c:pt>
                <c:pt idx="6">
                  <c:v>10.477</c:v>
                </c:pt>
                <c:pt idx="7">
                  <c:v>10.423999999999999</c:v>
                </c:pt>
                <c:pt idx="8">
                  <c:v>10.394</c:v>
                </c:pt>
              </c:numCache>
            </c:numRef>
          </c:yVal>
          <c:smooth val="1"/>
          <c:extLst>
            <c:ext xmlns:c16="http://schemas.microsoft.com/office/drawing/2014/chart" uri="{C3380CC4-5D6E-409C-BE32-E72D297353CC}">
              <c16:uniqueId val="{00000003-4675-426E-96B4-1C616FA8396C}"/>
            </c:ext>
          </c:extLst>
        </c:ser>
        <c:dLbls>
          <c:showLegendKey val="0"/>
          <c:showVal val="0"/>
          <c:showCatName val="0"/>
          <c:showSerName val="0"/>
          <c:showPercent val="0"/>
          <c:showBubbleSize val="0"/>
        </c:dLbls>
        <c:axId val="330886144"/>
        <c:axId val="330896896"/>
      </c:scatterChart>
      <c:valAx>
        <c:axId val="330886144"/>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200" b="0" i="0" baseline="0">
                    <a:latin typeface="Times New Roman" pitchFamily="18" charset="0"/>
                    <a:cs typeface="Times New Roman" pitchFamily="18" charset="0"/>
                  </a:rPr>
                  <a:t>Incubation period (hours)</a:t>
                </a:r>
              </a:p>
            </c:rich>
          </c:tx>
          <c:overlay val="0"/>
        </c:title>
        <c:numFmt formatCode="General" sourceLinked="1"/>
        <c:majorTickMark val="none"/>
        <c:minorTickMark val="none"/>
        <c:tickLblPos val="nextTo"/>
        <c:crossAx val="330896896"/>
        <c:crosses val="autoZero"/>
        <c:crossBetween val="midCat"/>
        <c:majorUnit val="8"/>
      </c:valAx>
      <c:valAx>
        <c:axId val="330896896"/>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200" b="0" i="0" baseline="0">
                    <a:latin typeface="Times New Roman" pitchFamily="18" charset="0"/>
                    <a:cs typeface="Times New Roman" pitchFamily="18" charset="0"/>
                  </a:rPr>
                  <a:t>Log </a:t>
                </a:r>
                <a:r>
                  <a:rPr lang="en-US" sz="1200" b="0" i="0" baseline="-25000">
                    <a:latin typeface="Times New Roman" pitchFamily="18" charset="0"/>
                    <a:cs typeface="Times New Roman" pitchFamily="18" charset="0"/>
                  </a:rPr>
                  <a:t>10</a:t>
                </a:r>
                <a:r>
                  <a:rPr lang="en-US" sz="1200" b="0" i="0" baseline="0">
                    <a:latin typeface="Times New Roman" pitchFamily="18" charset="0"/>
                    <a:cs typeface="Times New Roman" pitchFamily="18" charset="0"/>
                  </a:rPr>
                  <a:t> number of viable cells</a:t>
                </a:r>
              </a:p>
            </c:rich>
          </c:tx>
          <c:overlay val="0"/>
        </c:title>
        <c:numFmt formatCode="General" sourceLinked="1"/>
        <c:majorTickMark val="none"/>
        <c:minorTickMark val="none"/>
        <c:tickLblPos val="nextTo"/>
        <c:crossAx val="330886144"/>
        <c:crosses val="autoZero"/>
        <c:crossBetween val="midCat"/>
      </c:valAx>
    </c:plotArea>
    <c:legend>
      <c:legendPos val="r"/>
      <c:layout>
        <c:manualLayout>
          <c:xMode val="edge"/>
          <c:yMode val="edge"/>
          <c:x val="0.71300622498255006"/>
          <c:y val="0.45820276531797827"/>
          <c:w val="0.17525579910458788"/>
          <c:h val="0.19422389159463022"/>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400" b="0" i="0" baseline="0">
                <a:latin typeface="Times New Roman" pitchFamily="18" charset="0"/>
                <a:cs typeface="Times New Roman" pitchFamily="18" charset="0"/>
              </a:rPr>
              <a:t>Growth of four selected strains on their specific media without protectants</a:t>
            </a:r>
            <a:endParaRPr lang="en-US" sz="1400">
              <a:latin typeface="Times New Roman" pitchFamily="18" charset="0"/>
              <a:cs typeface="Times New Roman" pitchFamily="18" charset="0"/>
            </a:endParaRPr>
          </a:p>
        </c:rich>
      </c:tx>
      <c:overlay val="0"/>
    </c:title>
    <c:autoTitleDeleted val="0"/>
    <c:plotArea>
      <c:layout/>
      <c:scatterChart>
        <c:scatterStyle val="smoothMarker"/>
        <c:varyColors val="0"/>
        <c:ser>
          <c:idx val="0"/>
          <c:order val="0"/>
          <c:tx>
            <c:strRef>
              <c:f>Sheet1!$AA$4</c:f>
              <c:strCache>
                <c:ptCount val="1"/>
                <c:pt idx="0">
                  <c:v>PSA 7</c:v>
                </c:pt>
              </c:strCache>
            </c:strRef>
          </c:tx>
          <c:xVal>
            <c:numRef>
              <c:f>Sheet1!$Z$5:$Z$13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Sheet1!$AA$5:$AA$13</c:f>
              <c:numCache>
                <c:formatCode>General</c:formatCode>
                <c:ptCount val="9"/>
                <c:pt idx="0">
                  <c:v>4.556</c:v>
                </c:pt>
                <c:pt idx="1">
                  <c:v>5.7480000000000002</c:v>
                </c:pt>
                <c:pt idx="2">
                  <c:v>6.9189999999999996</c:v>
                </c:pt>
                <c:pt idx="3">
                  <c:v>7.4139999999999997</c:v>
                </c:pt>
                <c:pt idx="4">
                  <c:v>8.5909999999999993</c:v>
                </c:pt>
                <c:pt idx="5">
                  <c:v>9.6809999999999992</c:v>
                </c:pt>
                <c:pt idx="6">
                  <c:v>9.9629999999999992</c:v>
                </c:pt>
                <c:pt idx="7">
                  <c:v>10.119999999999999</c:v>
                </c:pt>
                <c:pt idx="8">
                  <c:v>10.176</c:v>
                </c:pt>
              </c:numCache>
            </c:numRef>
          </c:yVal>
          <c:smooth val="1"/>
          <c:extLst>
            <c:ext xmlns:c16="http://schemas.microsoft.com/office/drawing/2014/chart" uri="{C3380CC4-5D6E-409C-BE32-E72D297353CC}">
              <c16:uniqueId val="{00000000-F24B-4D7F-9FBF-7C3124062168}"/>
            </c:ext>
          </c:extLst>
        </c:ser>
        <c:ser>
          <c:idx val="1"/>
          <c:order val="1"/>
          <c:tx>
            <c:strRef>
              <c:f>Sheet1!$AB$4</c:f>
              <c:strCache>
                <c:ptCount val="1"/>
                <c:pt idx="0">
                  <c:v>PSA5</c:v>
                </c:pt>
              </c:strCache>
            </c:strRef>
          </c:tx>
          <c:xVal>
            <c:numRef>
              <c:f>Sheet1!$Z$5:$Z$13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Sheet1!$AB$5:$AB$13</c:f>
              <c:numCache>
                <c:formatCode>General</c:formatCode>
                <c:ptCount val="9"/>
                <c:pt idx="0">
                  <c:v>4.6229999999999798</c:v>
                </c:pt>
                <c:pt idx="1">
                  <c:v>5.3010000000000002</c:v>
                </c:pt>
                <c:pt idx="2">
                  <c:v>6.64299999999999</c:v>
                </c:pt>
                <c:pt idx="3">
                  <c:v>7.2549999999999999</c:v>
                </c:pt>
                <c:pt idx="4">
                  <c:v>7.9589999999999996</c:v>
                </c:pt>
                <c:pt idx="5">
                  <c:v>8.6620000000000008</c:v>
                </c:pt>
                <c:pt idx="6">
                  <c:v>9.1760000000000002</c:v>
                </c:pt>
                <c:pt idx="7">
                  <c:v>9.8690000000000193</c:v>
                </c:pt>
                <c:pt idx="8">
                  <c:v>9.8919999999999995</c:v>
                </c:pt>
              </c:numCache>
            </c:numRef>
          </c:yVal>
          <c:smooth val="1"/>
          <c:extLst>
            <c:ext xmlns:c16="http://schemas.microsoft.com/office/drawing/2014/chart" uri="{C3380CC4-5D6E-409C-BE32-E72D297353CC}">
              <c16:uniqueId val="{00000001-F24B-4D7F-9FBF-7C3124062168}"/>
            </c:ext>
          </c:extLst>
        </c:ser>
        <c:ser>
          <c:idx val="2"/>
          <c:order val="2"/>
          <c:tx>
            <c:strRef>
              <c:f>Sheet1!$AC$4</c:f>
              <c:strCache>
                <c:ptCount val="1"/>
                <c:pt idx="0">
                  <c:v>PPFM33 </c:v>
                </c:pt>
              </c:strCache>
            </c:strRef>
          </c:tx>
          <c:xVal>
            <c:numRef>
              <c:f>Sheet1!$Z$5:$Z$13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Sheet1!$AC$5:$AC$13</c:f>
              <c:numCache>
                <c:formatCode>General</c:formatCode>
                <c:ptCount val="9"/>
                <c:pt idx="0">
                  <c:v>4.9539999999999997</c:v>
                </c:pt>
                <c:pt idx="1">
                  <c:v>6.3220000000000001</c:v>
                </c:pt>
                <c:pt idx="2">
                  <c:v>7.4313000000000198</c:v>
                </c:pt>
                <c:pt idx="3">
                  <c:v>8.1760000000000002</c:v>
                </c:pt>
                <c:pt idx="4">
                  <c:v>8.9390000000000001</c:v>
                </c:pt>
                <c:pt idx="5">
                  <c:v>9.6334</c:v>
                </c:pt>
                <c:pt idx="6">
                  <c:v>9.9130000000000003</c:v>
                </c:pt>
                <c:pt idx="7">
                  <c:v>10.301</c:v>
                </c:pt>
                <c:pt idx="8">
                  <c:v>10.209</c:v>
                </c:pt>
              </c:numCache>
            </c:numRef>
          </c:yVal>
          <c:smooth val="1"/>
          <c:extLst>
            <c:ext xmlns:c16="http://schemas.microsoft.com/office/drawing/2014/chart" uri="{C3380CC4-5D6E-409C-BE32-E72D297353CC}">
              <c16:uniqueId val="{00000002-F24B-4D7F-9FBF-7C3124062168}"/>
            </c:ext>
          </c:extLst>
        </c:ser>
        <c:ser>
          <c:idx val="3"/>
          <c:order val="3"/>
          <c:tx>
            <c:strRef>
              <c:f>Sheet1!$AD$4</c:f>
              <c:strCache>
                <c:ptCount val="1"/>
                <c:pt idx="0">
                  <c:v>LAB75</c:v>
                </c:pt>
              </c:strCache>
            </c:strRef>
          </c:tx>
          <c:xVal>
            <c:numRef>
              <c:f>Sheet1!$Z$5:$Z$13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Sheet1!$AD$5:$AD$13</c:f>
              <c:numCache>
                <c:formatCode>General</c:formatCode>
                <c:ptCount val="9"/>
                <c:pt idx="0">
                  <c:v>4.7160000000000002</c:v>
                </c:pt>
                <c:pt idx="1">
                  <c:v>5.5309999999999997</c:v>
                </c:pt>
                <c:pt idx="2">
                  <c:v>6.38</c:v>
                </c:pt>
                <c:pt idx="3">
                  <c:v>7.5049999999999999</c:v>
                </c:pt>
                <c:pt idx="4">
                  <c:v>8.6620000000000008</c:v>
                </c:pt>
                <c:pt idx="5">
                  <c:v>9.7479999999999993</c:v>
                </c:pt>
                <c:pt idx="6">
                  <c:v>10.041</c:v>
                </c:pt>
                <c:pt idx="7">
                  <c:v>10.255000000000001</c:v>
                </c:pt>
                <c:pt idx="8">
                  <c:v>10.180999999999999</c:v>
                </c:pt>
              </c:numCache>
            </c:numRef>
          </c:yVal>
          <c:smooth val="1"/>
          <c:extLst>
            <c:ext xmlns:c16="http://schemas.microsoft.com/office/drawing/2014/chart" uri="{C3380CC4-5D6E-409C-BE32-E72D297353CC}">
              <c16:uniqueId val="{00000003-F24B-4D7F-9FBF-7C3124062168}"/>
            </c:ext>
          </c:extLst>
        </c:ser>
        <c:dLbls>
          <c:showLegendKey val="0"/>
          <c:showVal val="0"/>
          <c:showCatName val="0"/>
          <c:showSerName val="0"/>
          <c:showPercent val="0"/>
          <c:showBubbleSize val="0"/>
        </c:dLbls>
        <c:axId val="376854400"/>
        <c:axId val="376856576"/>
      </c:scatterChart>
      <c:valAx>
        <c:axId val="376854400"/>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200" b="0" i="0" baseline="0">
                    <a:latin typeface="Times New Roman" pitchFamily="18" charset="0"/>
                    <a:cs typeface="Times New Roman" pitchFamily="18" charset="0"/>
                  </a:rPr>
                  <a:t>Incubation period (hours)</a:t>
                </a:r>
              </a:p>
            </c:rich>
          </c:tx>
          <c:overlay val="0"/>
        </c:title>
        <c:numFmt formatCode="General" sourceLinked="1"/>
        <c:majorTickMark val="none"/>
        <c:minorTickMark val="none"/>
        <c:tickLblPos val="nextTo"/>
        <c:crossAx val="376856576"/>
        <c:crosses val="autoZero"/>
        <c:crossBetween val="midCat"/>
        <c:majorUnit val="8"/>
      </c:valAx>
      <c:valAx>
        <c:axId val="376856576"/>
        <c:scaling>
          <c:orientation val="minMax"/>
        </c:scaling>
        <c:delete val="0"/>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200" b="0" i="0" baseline="0">
                    <a:latin typeface="Times New Roman" pitchFamily="18" charset="0"/>
                    <a:cs typeface="Times New Roman" pitchFamily="18" charset="0"/>
                  </a:rPr>
                  <a:t>Log </a:t>
                </a:r>
                <a:r>
                  <a:rPr lang="en-US" sz="1200" b="0" i="0" baseline="-25000">
                    <a:latin typeface="Times New Roman" pitchFamily="18" charset="0"/>
                    <a:cs typeface="Times New Roman" pitchFamily="18" charset="0"/>
                  </a:rPr>
                  <a:t>10</a:t>
                </a:r>
                <a:r>
                  <a:rPr lang="en-US" sz="1200" b="0" i="0" baseline="0">
                    <a:latin typeface="Times New Roman" pitchFamily="18" charset="0"/>
                    <a:cs typeface="Times New Roman" pitchFamily="18" charset="0"/>
                  </a:rPr>
                  <a:t> number of viable cells</a:t>
                </a:r>
              </a:p>
            </c:rich>
          </c:tx>
          <c:overlay val="0"/>
        </c:title>
        <c:numFmt formatCode="General" sourceLinked="1"/>
        <c:majorTickMark val="none"/>
        <c:minorTickMark val="none"/>
        <c:tickLblPos val="nextTo"/>
        <c:crossAx val="376854400"/>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9232E-EEB0-486D-8042-055EDD7A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3619</Words>
  <Characters>20629</Characters>
  <Application>Microsoft Office Word</Application>
  <DocSecurity>0</DocSecurity>
  <Lines>171</Lines>
  <Paragraphs>48</Paragraphs>
  <ScaleCrop>false</ScaleCrop>
  <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1089</cp:lastModifiedBy>
  <cp:revision>26</cp:revision>
  <dcterms:created xsi:type="dcterms:W3CDTF">2025-09-29T08:10:00Z</dcterms:created>
  <dcterms:modified xsi:type="dcterms:W3CDTF">2026-05-13T12:47:00Z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e9ebc1fe8c5d42aab0b1cc741edde89a</vt:lpwstr>
  </property>
</Properties>
</file>