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10A6" w14:textId="5FBFF700" w:rsidR="00445DD9" w:rsidRPr="00221315" w:rsidRDefault="00445DD9" w:rsidP="00445DD9">
      <w:pPr>
        <w:jc w:val="right"/>
        <w:rPr>
          <w:rFonts w:ascii="Arial" w:hAnsi="Arial" w:cs="Arial"/>
          <w:b/>
          <w:bCs/>
          <w:iCs/>
          <w:sz w:val="32"/>
          <w:szCs w:val="32"/>
        </w:rPr>
      </w:pPr>
      <w:r w:rsidRPr="00221315">
        <w:rPr>
          <w:rFonts w:ascii="Arial" w:hAnsi="Arial" w:cs="Arial"/>
          <w:b/>
          <w:bCs/>
          <w:iCs/>
          <w:sz w:val="32"/>
          <w:szCs w:val="32"/>
        </w:rPr>
        <w:t>PESTICIDES APPLICATION INFLUENCE</w:t>
      </w:r>
      <w:r w:rsidR="007F51B9" w:rsidRPr="00221315">
        <w:rPr>
          <w:rFonts w:ascii="Arial" w:hAnsi="Arial" w:cs="Arial"/>
          <w:b/>
          <w:bCs/>
          <w:iCs/>
          <w:sz w:val="32"/>
          <w:szCs w:val="32"/>
        </w:rPr>
        <w:t xml:space="preserve"> SOIL FERTILITY AND BACTER</w:t>
      </w:r>
      <w:r w:rsidRPr="00221315">
        <w:rPr>
          <w:rFonts w:ascii="Arial" w:hAnsi="Arial" w:cs="Arial"/>
          <w:b/>
          <w:bCs/>
          <w:iCs/>
          <w:sz w:val="32"/>
          <w:szCs w:val="32"/>
        </w:rPr>
        <w:t>I</w:t>
      </w:r>
      <w:r w:rsidR="00591D13">
        <w:rPr>
          <w:rFonts w:ascii="Arial" w:hAnsi="Arial" w:cs="Arial"/>
          <w:b/>
          <w:bCs/>
          <w:iCs/>
          <w:sz w:val="32"/>
          <w:szCs w:val="32"/>
        </w:rPr>
        <w:t>AL DIVERSITY IN</w:t>
      </w:r>
      <w:r w:rsidR="007F51B9" w:rsidRPr="00221315">
        <w:rPr>
          <w:rFonts w:ascii="Arial" w:hAnsi="Arial" w:cs="Arial"/>
          <w:b/>
          <w:bCs/>
          <w:iCs/>
          <w:sz w:val="32"/>
          <w:szCs w:val="32"/>
        </w:rPr>
        <w:t xml:space="preserve"> PEPPER FARMS </w:t>
      </w:r>
      <w:r w:rsidR="00221315">
        <w:rPr>
          <w:rFonts w:ascii="Arial" w:hAnsi="Arial" w:cs="Arial"/>
          <w:b/>
          <w:bCs/>
          <w:iCs/>
          <w:sz w:val="32"/>
          <w:szCs w:val="32"/>
        </w:rPr>
        <w:t>IN OGUME, DELTA STATE</w:t>
      </w:r>
    </w:p>
    <w:p w14:paraId="1EFA24F8" w14:textId="77777777" w:rsidR="006A665C" w:rsidRDefault="006A665C" w:rsidP="00445DD9">
      <w:pPr>
        <w:pStyle w:val="Copyright"/>
        <w:spacing w:after="0" w:line="240" w:lineRule="auto"/>
        <w:jc w:val="both"/>
        <w:rPr>
          <w:rFonts w:ascii="Arial" w:hAnsi="Arial" w:cs="Arial"/>
        </w:rPr>
      </w:pPr>
    </w:p>
    <w:p w14:paraId="432704BD" w14:textId="77777777" w:rsidR="006A665C" w:rsidRDefault="006A665C" w:rsidP="00445DD9">
      <w:pPr>
        <w:pStyle w:val="Copyright"/>
        <w:spacing w:after="0" w:line="240" w:lineRule="auto"/>
        <w:jc w:val="both"/>
        <w:rPr>
          <w:rFonts w:ascii="Arial" w:hAnsi="Arial" w:cs="Arial"/>
        </w:rPr>
      </w:pPr>
    </w:p>
    <w:p w14:paraId="323C3233" w14:textId="7D6913BC" w:rsidR="00445DD9" w:rsidRPr="00FB3A86" w:rsidRDefault="00445DD9" w:rsidP="00445DD9">
      <w:pPr>
        <w:pStyle w:val="Copyright"/>
        <w:spacing w:after="0" w:line="240" w:lineRule="auto"/>
        <w:jc w:val="both"/>
        <w:rPr>
          <w:rFonts w:ascii="Arial" w:hAnsi="Arial" w:cs="Arial"/>
        </w:rPr>
        <w:sectPr w:rsidR="00445DD9" w:rsidRPr="00FB3A86" w:rsidSect="006A665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248BE7AB" wp14:editId="26434558">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C7C6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Pr>
          <w:rFonts w:ascii="Arial" w:hAnsi="Arial" w:cs="Arial"/>
        </w:rPr>
        <w:t>.</w:t>
      </w:r>
    </w:p>
    <w:p w14:paraId="4A5EA452" w14:textId="77777777" w:rsidR="00445DD9" w:rsidRDefault="00445DD9" w:rsidP="00445DD9">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BD2B6CE" w14:textId="77777777" w:rsidR="00445DD9" w:rsidRPr="00FB3A86" w:rsidRDefault="00445DD9" w:rsidP="00445DD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45DD9" w:rsidRPr="001E44FE" w14:paraId="38F10A7D" w14:textId="77777777" w:rsidTr="00510FAC">
        <w:tc>
          <w:tcPr>
            <w:tcW w:w="9576" w:type="dxa"/>
            <w:shd w:val="clear" w:color="auto" w:fill="F2F2F2"/>
          </w:tcPr>
          <w:p w14:paraId="4DBBCE95" w14:textId="58F9F6F8" w:rsidR="00445DD9" w:rsidRPr="007C478D" w:rsidRDefault="007C478D" w:rsidP="004566BD">
            <w:pPr>
              <w:jc w:val="both"/>
              <w:rPr>
                <w:rFonts w:ascii="Times New Roman" w:hAnsi="Times New Roman"/>
                <w:sz w:val="24"/>
              </w:rPr>
            </w:pPr>
            <w:r w:rsidRPr="007C478D">
              <w:rPr>
                <w:rFonts w:ascii="Arial" w:hAnsi="Arial" w:cs="Arial"/>
              </w:rPr>
              <w:t>Pesticides not only eliminate target pests but also affect non-target soil organisms that play critical roles in maintaining soil fertility and ecological balance.</w:t>
            </w:r>
            <w:r>
              <w:rPr>
                <w:rFonts w:ascii="Times New Roman" w:hAnsi="Times New Roman"/>
                <w:sz w:val="24"/>
              </w:rPr>
              <w:t xml:space="preserve"> </w:t>
            </w:r>
            <w:r w:rsidRPr="007C478D">
              <w:rPr>
                <w:rFonts w:ascii="Arial" w:hAnsi="Arial" w:cs="Arial"/>
              </w:rPr>
              <w:t xml:space="preserve">This study assessed the impact of pesticide application on soil fertility and microbial diversity in pepper farms in </w:t>
            </w:r>
            <w:proofErr w:type="spellStart"/>
            <w:r w:rsidRPr="007C478D">
              <w:rPr>
                <w:rFonts w:ascii="Arial" w:hAnsi="Arial" w:cs="Arial"/>
              </w:rPr>
              <w:t>Ogume</w:t>
            </w:r>
            <w:proofErr w:type="spellEnd"/>
            <w:r w:rsidRPr="007C478D">
              <w:rPr>
                <w:rFonts w:ascii="Arial" w:hAnsi="Arial" w:cs="Arial"/>
              </w:rPr>
              <w:t>, Delta State, Nigeria. The research compared two actively managed, pesticide-treated farms (Agrochemical Farm 1 (AFS 1) and Agrochemical Farm 2 (AFS 2)) against a control site (C). Standard methods analyzed soil physicochemical properties, and culturable microbial communities were characterized using selective media and Analytical Profile Index (API). Data were analyzed via one-way ANOVA and Tukey’s HSD test. Pesticide application significantly altered soil properties: AFS 1 exhibited higher electrical conductivity (351 µS/cm against Control: 155 µS/cm; p&lt;0.001), elevated nutrient levels (e.g., Nitrate: 1.84 mg/kg compared with control</w:t>
            </w:r>
            <w:r w:rsidR="009A09FD">
              <w:rPr>
                <w:rFonts w:ascii="Arial" w:hAnsi="Arial" w:cs="Arial"/>
              </w:rPr>
              <w:t>; 0.75 mg/kg), and increased cation exchange capacity</w:t>
            </w:r>
            <w:r w:rsidRPr="007C478D">
              <w:rPr>
                <w:rFonts w:ascii="Arial" w:hAnsi="Arial" w:cs="Arial"/>
              </w:rPr>
              <w:t xml:space="preserve"> (1.76 </w:t>
            </w:r>
            <w:proofErr w:type="spellStart"/>
            <w:r w:rsidRPr="007C478D">
              <w:rPr>
                <w:rFonts w:ascii="Arial" w:hAnsi="Arial" w:cs="Arial"/>
              </w:rPr>
              <w:t>cmol</w:t>
            </w:r>
            <w:proofErr w:type="spellEnd"/>
            <w:r w:rsidRPr="007C478D">
              <w:rPr>
                <w:rFonts w:ascii="Arial" w:hAnsi="Arial" w:cs="Arial"/>
              </w:rPr>
              <w:t xml:space="preserve">/kg in contrast with 0.91 </w:t>
            </w:r>
            <w:proofErr w:type="spellStart"/>
            <w:r w:rsidRPr="007C478D">
              <w:rPr>
                <w:rFonts w:ascii="Arial" w:hAnsi="Arial" w:cs="Arial"/>
              </w:rPr>
              <w:t>cmol</w:t>
            </w:r>
            <w:proofErr w:type="spellEnd"/>
            <w:r w:rsidRPr="007C478D">
              <w:rPr>
                <w:rFonts w:ascii="Arial" w:hAnsi="Arial" w:cs="Arial"/>
              </w:rPr>
              <w:t xml:space="preserve">/kg in control). Microbial counts showed a significant reduction in total heterotrophic bacteria in AFS 1 (86.8 x 10⁵ CFU/g) compared to the control (128.0 x 10⁵ CFU/g), while actinomycetes were enriched (64.3 x 10⁴ CFU/g against 54.5 x 10⁴ CFU/g). Cultivation revealed a shift in community structure, with the isolation of potential human pathogens such as </w:t>
            </w:r>
            <w:r w:rsidRPr="007C478D">
              <w:rPr>
                <w:rFonts w:ascii="Arial" w:hAnsi="Arial" w:cs="Arial"/>
                <w:i/>
              </w:rPr>
              <w:t>Escherichia coli, Klebsiella pneumoniae, Enterobacter aerogenes,</w:t>
            </w:r>
            <w:r w:rsidRPr="007C478D">
              <w:rPr>
                <w:rFonts w:ascii="Arial" w:hAnsi="Arial" w:cs="Arial"/>
              </w:rPr>
              <w:t xml:space="preserve"> </w:t>
            </w:r>
            <w:r w:rsidRPr="007C478D">
              <w:rPr>
                <w:rFonts w:ascii="Arial" w:hAnsi="Arial" w:cs="Arial"/>
                <w:i/>
              </w:rPr>
              <w:t>Staphylococcus aureus, Salmonella typhimurium</w:t>
            </w:r>
            <w:r w:rsidRPr="007C478D">
              <w:rPr>
                <w:rFonts w:ascii="Arial" w:hAnsi="Arial" w:cs="Arial"/>
              </w:rPr>
              <w:t xml:space="preserve">, and </w:t>
            </w:r>
            <w:r w:rsidRPr="007C478D">
              <w:rPr>
                <w:rFonts w:ascii="Arial" w:hAnsi="Arial" w:cs="Arial"/>
                <w:i/>
              </w:rPr>
              <w:t>Shigella</w:t>
            </w:r>
            <w:r w:rsidRPr="007C478D">
              <w:rPr>
                <w:rFonts w:ascii="Arial" w:hAnsi="Arial" w:cs="Arial"/>
              </w:rPr>
              <w:t xml:space="preserve"> spp. from pesticide-treated soils. Study showed that pesticides usage in these farms degrades soil health by increasing salinity, altering nutrient profiles, suppressing beneficial heterotrophic bacteria, and enriching for tolerant and potentially pathogenic taxa. This provides critical site-speci</w:t>
            </w:r>
            <w:r w:rsidR="009A09FD">
              <w:rPr>
                <w:rFonts w:ascii="Arial" w:hAnsi="Arial" w:cs="Arial"/>
              </w:rPr>
              <w:t>fic evidence for the study area</w:t>
            </w:r>
            <w:r w:rsidRPr="007C478D">
              <w:rPr>
                <w:rFonts w:ascii="Arial" w:hAnsi="Arial" w:cs="Arial"/>
              </w:rPr>
              <w:t>, highlighting significant ecological and public health risks. Therefore, urgent adoption of integrated pest management and stricter enforcement of pesticide regulations to ensure agricultural sustainability is recommended.</w:t>
            </w:r>
          </w:p>
        </w:tc>
      </w:tr>
    </w:tbl>
    <w:p w14:paraId="122C2784" w14:textId="77777777" w:rsidR="00445DD9" w:rsidRDefault="00445DD9" w:rsidP="00445DD9">
      <w:pPr>
        <w:pStyle w:val="Body"/>
        <w:spacing w:after="0"/>
        <w:rPr>
          <w:rFonts w:ascii="Arial" w:hAnsi="Arial" w:cs="Arial"/>
          <w:i/>
        </w:rPr>
      </w:pPr>
    </w:p>
    <w:p w14:paraId="42F4BF15" w14:textId="77777777" w:rsidR="00445DD9" w:rsidRPr="00510FAC" w:rsidRDefault="00510FAC" w:rsidP="00445DD9">
      <w:pPr>
        <w:pStyle w:val="Body"/>
        <w:spacing w:after="0"/>
        <w:rPr>
          <w:rFonts w:ascii="Arial" w:hAnsi="Arial" w:cs="Arial"/>
          <w:i/>
          <w:sz w:val="18"/>
        </w:rPr>
      </w:pPr>
      <w:r>
        <w:rPr>
          <w:rFonts w:ascii="Arial" w:hAnsi="Arial" w:cs="Arial"/>
          <w:i/>
        </w:rPr>
        <w:t>Keywords: Actinomycetes</w:t>
      </w:r>
      <w:r w:rsidR="00477FBD">
        <w:rPr>
          <w:rFonts w:ascii="Arial" w:hAnsi="Arial" w:cs="Arial"/>
          <w:i/>
        </w:rPr>
        <w:t>, bacteria, human pathogens, agrochemicals contamination, physicochemical properties</w:t>
      </w:r>
    </w:p>
    <w:p w14:paraId="42535116" w14:textId="77777777" w:rsidR="00445DD9" w:rsidRDefault="00445DD9" w:rsidP="00445DD9">
      <w:pPr>
        <w:pStyle w:val="Body"/>
        <w:spacing w:after="0"/>
        <w:rPr>
          <w:rFonts w:ascii="Arial" w:hAnsi="Arial" w:cs="Arial"/>
          <w:i/>
          <w:sz w:val="18"/>
        </w:rPr>
      </w:pPr>
    </w:p>
    <w:p w14:paraId="115A8546" w14:textId="77777777" w:rsidR="00445DD9" w:rsidRPr="00A24E7E" w:rsidRDefault="00445DD9" w:rsidP="00445DD9">
      <w:pPr>
        <w:pStyle w:val="Body"/>
        <w:spacing w:after="0"/>
        <w:rPr>
          <w:rFonts w:ascii="Arial" w:hAnsi="Arial" w:cs="Arial"/>
          <w:i/>
        </w:rPr>
      </w:pPr>
    </w:p>
    <w:p w14:paraId="58B77E75" w14:textId="77777777" w:rsidR="00445DD9" w:rsidRDefault="00445DD9" w:rsidP="00445DD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27B38E8" w14:textId="10A312A4"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For many years, the use of chemical pesticides has been a key component of modern agriculture, helping farmers protect crops from pests and diseases and ensuring global food security. However, researchers are increasingly recognizing that these same chemicals, while beneficial for crop protection, can have detrimental effects on the soil</w:t>
      </w:r>
      <w:r w:rsidR="009A09FD">
        <w:rPr>
          <w:rFonts w:ascii="Arial" w:hAnsi="Arial" w:cs="Arial"/>
          <w:sz w:val="20"/>
          <w:szCs w:val="20"/>
        </w:rPr>
        <w:t>;</w:t>
      </w:r>
      <w:r w:rsidRPr="00203E36">
        <w:rPr>
          <w:rFonts w:ascii="Arial" w:hAnsi="Arial" w:cs="Arial"/>
          <w:sz w:val="20"/>
          <w:szCs w:val="20"/>
        </w:rPr>
        <w:t xml:space="preserve"> the foundation of healthy and productive farming. Studies have shown that pesticides not only eliminate target pests but also affect non-target soil organisms that play critical roles in maintaining soil fertility and ecological balance (Sharma et al., 2019; Pathak et al., 2022). Once introduced into the soil, many pesticide residues persist for long periods, altering microbial interactions and disrupting essential natural processes such as nutrient cycling and organic matter decomposition  both </w:t>
      </w:r>
      <w:r w:rsidRPr="00203E36">
        <w:rPr>
          <w:rFonts w:ascii="Arial" w:hAnsi="Arial" w:cs="Arial"/>
          <w:sz w:val="20"/>
          <w:szCs w:val="20"/>
        </w:rPr>
        <w:lastRenderedPageBreak/>
        <w:t>vital to plant growth and soil productivity (Jacobsen and Hjelmsø, 2014; Ni et al., 2025). Consequently, scientists now agree that overreliance on synthetic pesticides may undermine long-term agricultural sustainability.</w:t>
      </w:r>
    </w:p>
    <w:p w14:paraId="1C42CD10"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In tropical regions such as much of sub-Saharan Africa, pesticides often behave differently than in temperate zones. High temperatures, intense rainfall, and distinct soil properties can influence pesticide degradation rates and persistence in the soil (</w:t>
      </w:r>
      <w:proofErr w:type="spellStart"/>
      <w:r w:rsidRPr="00203E36">
        <w:rPr>
          <w:rFonts w:ascii="Arial" w:hAnsi="Arial" w:cs="Arial"/>
          <w:sz w:val="20"/>
          <w:szCs w:val="20"/>
        </w:rPr>
        <w:t>Fantke</w:t>
      </w:r>
      <w:proofErr w:type="spellEnd"/>
      <w:r w:rsidRPr="00203E36">
        <w:rPr>
          <w:rFonts w:ascii="Arial" w:hAnsi="Arial" w:cs="Arial"/>
          <w:sz w:val="20"/>
          <w:szCs w:val="20"/>
        </w:rPr>
        <w:t xml:space="preserve"> and </w:t>
      </w:r>
      <w:proofErr w:type="spellStart"/>
      <w:r w:rsidRPr="00203E36">
        <w:rPr>
          <w:rFonts w:ascii="Arial" w:hAnsi="Arial" w:cs="Arial"/>
          <w:sz w:val="20"/>
          <w:szCs w:val="20"/>
        </w:rPr>
        <w:t>Juraske</w:t>
      </w:r>
      <w:proofErr w:type="spellEnd"/>
      <w:r w:rsidRPr="00203E36">
        <w:rPr>
          <w:rFonts w:ascii="Arial" w:hAnsi="Arial" w:cs="Arial"/>
          <w:sz w:val="20"/>
          <w:szCs w:val="20"/>
        </w:rPr>
        <w:t>, 2013; Yasir, 2025). At the same time, most farmers in these regions are smallholders who depend heavily on agriculture for their livelihoods. Limited access to extension services and weak pesticide regulation frequently lead to inappropriate practices, such as excessive application rates or the mixing of multiple pesticides without proper guidance (Beaumelle et al., 2023). Over time, these practices promote pesticide accumulation in soils, reducing fertility and harming beneficial microorganisms essential for soil health and crop productivity. This trend poses a growing threat to sustainable agriculture in the tropics.</w:t>
      </w:r>
    </w:p>
    <w:p w14:paraId="49C19BCE"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The situation is particularly concerning in Nigeria’s Niger Delta region, where agricultural activities take place under environmentally fragile conditions. Despite the region’s rich biodiversity, its soils are affected by oil pollution, erratic rainfall, and declining fertility. In Delta State, farmers cultivating pepper (</w:t>
      </w:r>
      <w:r w:rsidRPr="00203E36">
        <w:rPr>
          <w:rStyle w:val="Emphasis"/>
          <w:rFonts w:ascii="Arial" w:hAnsi="Arial" w:cs="Arial"/>
          <w:sz w:val="20"/>
          <w:szCs w:val="20"/>
        </w:rPr>
        <w:t>Capsicum annuum</w:t>
      </w:r>
      <w:r w:rsidRPr="00203E36">
        <w:rPr>
          <w:rFonts w:ascii="Arial" w:hAnsi="Arial" w:cs="Arial"/>
          <w:sz w:val="20"/>
          <w:szCs w:val="20"/>
        </w:rPr>
        <w:t xml:space="preserve"> L.) frequently depend on pesticides to control pest infestations that threaten their yields (Agwu et al., 2018). However, due to limited agricultural training and inadequate enforcement of pesticide safety standards, many farmers fail to follow recommended dosages or application intervals. As a result, pesticide residues may accumulate in the soil, disturbing beneficial microorganisms involved in nutrient recycling and organic matter breakdown (</w:t>
      </w:r>
      <w:proofErr w:type="spellStart"/>
      <w:r w:rsidRPr="00203E36">
        <w:rPr>
          <w:rFonts w:ascii="Arial" w:hAnsi="Arial" w:cs="Arial"/>
          <w:sz w:val="20"/>
          <w:szCs w:val="20"/>
        </w:rPr>
        <w:t>Bünemann</w:t>
      </w:r>
      <w:proofErr w:type="spellEnd"/>
      <w:r w:rsidRPr="00203E36">
        <w:rPr>
          <w:rFonts w:ascii="Arial" w:hAnsi="Arial" w:cs="Arial"/>
          <w:sz w:val="20"/>
          <w:szCs w:val="20"/>
        </w:rPr>
        <w:t xml:space="preserve"> et al., 2006). Yet, there is limited empirical data on how these practices specifically affect soil fertility and microbial diversity in Delta State.</w:t>
      </w:r>
    </w:p>
    <w:p w14:paraId="23830222"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Previous research indicates that pesticide exposure can lead to complex shifts in microbial communities. Some microorganisms are suppressed or eliminated, while others proliferate, particularly species capable of tolerating or metabolizing pesticide compounds. For example, fungicides may disrupt symbiotic fungi that enhance nutrient uptake, whereas insecticides can inhibit bacteria vital for nitrogen fixation or organic matter decomposition (</w:t>
      </w:r>
      <w:proofErr w:type="spellStart"/>
      <w:r w:rsidRPr="00203E36">
        <w:rPr>
          <w:rFonts w:ascii="Arial" w:hAnsi="Arial" w:cs="Arial"/>
          <w:sz w:val="20"/>
          <w:szCs w:val="20"/>
        </w:rPr>
        <w:t>Imfeld</w:t>
      </w:r>
      <w:proofErr w:type="spellEnd"/>
      <w:r w:rsidRPr="00203E36">
        <w:rPr>
          <w:rFonts w:ascii="Arial" w:hAnsi="Arial" w:cs="Arial"/>
          <w:sz w:val="20"/>
          <w:szCs w:val="20"/>
        </w:rPr>
        <w:t xml:space="preserve"> and </w:t>
      </w:r>
      <w:proofErr w:type="spellStart"/>
      <w:r w:rsidRPr="00203E36">
        <w:rPr>
          <w:rFonts w:ascii="Arial" w:hAnsi="Arial" w:cs="Arial"/>
          <w:sz w:val="20"/>
          <w:szCs w:val="20"/>
        </w:rPr>
        <w:t>Vuilleumier</w:t>
      </w:r>
      <w:proofErr w:type="spellEnd"/>
      <w:r w:rsidRPr="00203E36">
        <w:rPr>
          <w:rFonts w:ascii="Arial" w:hAnsi="Arial" w:cs="Arial"/>
          <w:sz w:val="20"/>
          <w:szCs w:val="20"/>
        </w:rPr>
        <w:t>, 2012; Pathak et al., 2022). Although certain microbes adapt to degrade pesticides, such adaptations can diminish overall microbial diversity and ecosystem stability (Ni et al., 2025). Understanding both the chemical and biological dimensions of soil health is therefore crucial for assessing the full impact of pesticide use on agroecosystems.</w:t>
      </w:r>
    </w:p>
    <w:p w14:paraId="73F59316"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lastRenderedPageBreak/>
        <w:t xml:space="preserve">Despite the widespread use of pesticides in the Niger Delta, scientific information on their specific effects within local soils particularly in </w:t>
      </w:r>
      <w:proofErr w:type="spellStart"/>
      <w:r w:rsidRPr="00203E36">
        <w:rPr>
          <w:rFonts w:ascii="Arial" w:hAnsi="Arial" w:cs="Arial"/>
          <w:sz w:val="20"/>
          <w:szCs w:val="20"/>
        </w:rPr>
        <w:t>Ogume</w:t>
      </w:r>
      <w:proofErr w:type="spellEnd"/>
      <w:r w:rsidRPr="00203E36">
        <w:rPr>
          <w:rFonts w:ascii="Arial" w:hAnsi="Arial" w:cs="Arial"/>
          <w:sz w:val="20"/>
          <w:szCs w:val="20"/>
        </w:rPr>
        <w:t xml:space="preserve">, </w:t>
      </w:r>
      <w:proofErr w:type="spellStart"/>
      <w:r w:rsidRPr="00203E36">
        <w:rPr>
          <w:rFonts w:ascii="Arial" w:hAnsi="Arial" w:cs="Arial"/>
          <w:sz w:val="20"/>
          <w:szCs w:val="20"/>
        </w:rPr>
        <w:t>Ndokwa</w:t>
      </w:r>
      <w:proofErr w:type="spellEnd"/>
      <w:r w:rsidRPr="00203E36">
        <w:rPr>
          <w:rFonts w:ascii="Arial" w:hAnsi="Arial" w:cs="Arial"/>
          <w:sz w:val="20"/>
          <w:szCs w:val="20"/>
        </w:rPr>
        <w:t xml:space="preserve"> West Local Government Area is scarce. Most existing studies originate from other climatic regions, where environmental conditions differ substantially from those in tropical Delta soils. Local factors such as soil composition, rainfall patterns, and contamination from oil exploration may further influence pesticide behavior and microbial responses. Without site-specific studies, the magnitude of the problem in </w:t>
      </w:r>
      <w:proofErr w:type="spellStart"/>
      <w:r w:rsidRPr="00203E36">
        <w:rPr>
          <w:rFonts w:ascii="Arial" w:hAnsi="Arial" w:cs="Arial"/>
          <w:sz w:val="20"/>
          <w:szCs w:val="20"/>
        </w:rPr>
        <w:t>Ogume</w:t>
      </w:r>
      <w:proofErr w:type="spellEnd"/>
      <w:r w:rsidRPr="00203E36">
        <w:rPr>
          <w:rFonts w:ascii="Arial" w:hAnsi="Arial" w:cs="Arial"/>
          <w:sz w:val="20"/>
          <w:szCs w:val="20"/>
        </w:rPr>
        <w:t xml:space="preserve"> remains poorly understood.</w:t>
      </w:r>
    </w:p>
    <w:p w14:paraId="2F18B0CC"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 xml:space="preserve">This knowledge gap underscores the need for focused research on the environmental consequences of pesticide use in the region. Farmers in </w:t>
      </w:r>
      <w:proofErr w:type="spellStart"/>
      <w:r w:rsidRPr="00203E36">
        <w:rPr>
          <w:rFonts w:ascii="Arial" w:hAnsi="Arial" w:cs="Arial"/>
          <w:sz w:val="20"/>
          <w:szCs w:val="20"/>
        </w:rPr>
        <w:t>Ogume</w:t>
      </w:r>
      <w:proofErr w:type="spellEnd"/>
      <w:r w:rsidRPr="00203E36">
        <w:rPr>
          <w:rFonts w:ascii="Arial" w:hAnsi="Arial" w:cs="Arial"/>
          <w:sz w:val="20"/>
          <w:szCs w:val="20"/>
        </w:rPr>
        <w:t xml:space="preserve"> continue to rely on pesticides without awareness of their potential long-term impacts, while policymakers lack the data necessary to develop evidence-based guidelines for sustainable pest management. Therefore, this study was undertaken to evaluate the influence of pesticide application on soil fertility and microbial diversity in pepper farms within </w:t>
      </w:r>
      <w:proofErr w:type="spellStart"/>
      <w:r w:rsidRPr="00203E36">
        <w:rPr>
          <w:rFonts w:ascii="Arial" w:hAnsi="Arial" w:cs="Arial"/>
          <w:sz w:val="20"/>
          <w:szCs w:val="20"/>
        </w:rPr>
        <w:t>Ogume</w:t>
      </w:r>
      <w:proofErr w:type="spellEnd"/>
      <w:r w:rsidRPr="00203E36">
        <w:rPr>
          <w:rFonts w:ascii="Arial" w:hAnsi="Arial" w:cs="Arial"/>
          <w:sz w:val="20"/>
          <w:szCs w:val="20"/>
        </w:rPr>
        <w:t>, Delta State, Nigeria. Specifically, the research examines how pesticide type, frequency, and quantity of application affect key soil properties including organic carbon, pH, nitrogen, phosphorus, potassium, and cation exchange capacity as well as microbial biomass and enzyme activities such as dehydrogenase, phosphatase, and urease. Advanced molecular techniques (16S rRNA and ITS gene sequencing) are also employed to assess how pesticide exposure alters bacterial and fungal community structures (Hartmann et al., 2021; Yasir, 2025). The findings will provide insight into how pesticide use is reshaping soil chemistry and biology and offer valuable guidance for promoting sustainable and environmentally responsible farming practices in the Niger Delta.</w:t>
      </w:r>
    </w:p>
    <w:p w14:paraId="61435B0C" w14:textId="77777777" w:rsidR="00445DD9" w:rsidRPr="00FB3A86" w:rsidRDefault="00445DD9" w:rsidP="007C478D">
      <w:pPr>
        <w:pStyle w:val="Body"/>
        <w:spacing w:after="0" w:line="360" w:lineRule="auto"/>
        <w:rPr>
          <w:rFonts w:ascii="Arial" w:hAnsi="Arial" w:cs="Arial"/>
        </w:rPr>
      </w:pPr>
    </w:p>
    <w:p w14:paraId="7008CC80" w14:textId="77777777" w:rsidR="00445DD9" w:rsidRDefault="00445DD9" w:rsidP="007C478D">
      <w:pPr>
        <w:pStyle w:val="AbstHead"/>
        <w:spacing w:after="0" w:line="360" w:lineRule="auto"/>
        <w:jc w:val="both"/>
        <w:rPr>
          <w:rFonts w:ascii="Arial" w:hAnsi="Arial" w:cs="Arial"/>
        </w:rPr>
      </w:pPr>
      <w:r>
        <w:rPr>
          <w:rFonts w:ascii="Arial" w:hAnsi="Arial" w:cs="Arial"/>
        </w:rPr>
        <w:lastRenderedPageBreak/>
        <w:t>2. material and methods</w:t>
      </w:r>
      <w:r w:rsidRPr="00FB3A86">
        <w:rPr>
          <w:rFonts w:ascii="Arial" w:hAnsi="Arial" w:cs="Arial"/>
        </w:rPr>
        <w:t xml:space="preserve"> </w:t>
      </w:r>
    </w:p>
    <w:p w14:paraId="34A18588" w14:textId="77777777" w:rsidR="00D6094C" w:rsidRPr="00D6094C" w:rsidRDefault="00477FBD" w:rsidP="00D6094C">
      <w:pPr>
        <w:pStyle w:val="Heading1"/>
        <w:spacing w:before="0"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2.1 Sampling Location</w:t>
      </w:r>
    </w:p>
    <w:p w14:paraId="62091CFC" w14:textId="2D7C59A0" w:rsidR="00477FBD" w:rsidRPr="00D6094C" w:rsidRDefault="00385C1C" w:rsidP="00D6094C">
      <w:pPr>
        <w:pStyle w:val="Heading1"/>
        <w:spacing w:before="0" w:line="360" w:lineRule="auto"/>
        <w:jc w:val="both"/>
        <w:rPr>
          <w:rFonts w:ascii="Arial" w:hAnsi="Arial" w:cs="Arial"/>
          <w:color w:val="000000" w:themeColor="text1"/>
          <w:sz w:val="20"/>
          <w:szCs w:val="20"/>
        </w:rPr>
      </w:pPr>
      <w:r w:rsidRPr="00385C1C">
        <w:rPr>
          <w:rFonts w:ascii="Arial" w:hAnsi="Arial" w:cs="Arial"/>
          <w:color w:val="000000" w:themeColor="text1"/>
          <w:sz w:val="20"/>
          <w:szCs w:val="20"/>
        </w:rPr>
        <w:t>Soil samples were collected from two pepper farms and a control site in Ogume, located in Ndokwa West Local Government Area of Delta State, Nigeria. This region is known for its extensive agricultural activities. The sampling coordinates for the sites were N 5°42′53.08776″, E 6°18′1.76436″; N 5°42′59.28372″, E 6°18′5.913″; and N 5°43′38.67996″, E 6°18′32.94072″, respectively.</w:t>
      </w:r>
      <w:r w:rsidR="00276B63">
        <w:rPr>
          <w:rFonts w:ascii="Arial" w:hAnsi="Arial" w:cs="Arial"/>
          <w:color w:val="000000" w:themeColor="text1"/>
          <w:sz w:val="20"/>
          <w:szCs w:val="20"/>
          <w:lang w:val="en-GB"/>
        </w:rPr>
        <w:t xml:space="preserve"> </w:t>
      </w:r>
      <w:r w:rsidR="00477FBD" w:rsidRPr="00D603C0">
        <w:rPr>
          <w:rFonts w:ascii="Arial" w:hAnsi="Arial" w:cs="Arial"/>
          <w:color w:val="000000" w:themeColor="text1"/>
          <w:sz w:val="20"/>
          <w:szCs w:val="20"/>
        </w:rPr>
        <w:t>The samples were carefully labelled, preserved in sterile containers, and transported under controlled conditions (in cooler with icepacks at 4</w:t>
      </w:r>
      <w:r w:rsidR="00477FBD" w:rsidRPr="00D603C0">
        <w:rPr>
          <w:rFonts w:ascii="Arial" w:hAnsi="Arial" w:cs="Arial"/>
          <w:color w:val="000000" w:themeColor="text1"/>
          <w:sz w:val="20"/>
          <w:szCs w:val="20"/>
          <w:vertAlign w:val="superscript"/>
        </w:rPr>
        <w:t>0</w:t>
      </w:r>
      <w:r w:rsidR="00477FBD" w:rsidRPr="00D603C0">
        <w:rPr>
          <w:rFonts w:ascii="Arial" w:hAnsi="Arial" w:cs="Arial"/>
          <w:color w:val="000000" w:themeColor="text1"/>
          <w:sz w:val="20"/>
          <w:szCs w:val="20"/>
        </w:rPr>
        <w:t>C) to the laboratory for detailed physicochemical and microbiological analyses following standard analytical protocols.</w:t>
      </w:r>
    </w:p>
    <w:p w14:paraId="12A9EC88" w14:textId="77777777" w:rsidR="00477FBD" w:rsidRPr="00D6094C" w:rsidRDefault="00477FBD" w:rsidP="00477FBD">
      <w:pPr>
        <w:pStyle w:val="Heading1"/>
        <w:spacing w:before="0"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2.2 Soil Ph</w:t>
      </w:r>
      <w:r w:rsidR="00D603C0" w:rsidRPr="00D6094C">
        <w:rPr>
          <w:rFonts w:ascii="Arial" w:hAnsi="Arial" w:cs="Arial"/>
          <w:b/>
          <w:bCs/>
          <w:color w:val="000000" w:themeColor="text1"/>
          <w:sz w:val="20"/>
          <w:szCs w:val="20"/>
        </w:rPr>
        <w:t xml:space="preserve">ysicochemical Analysis </w:t>
      </w:r>
    </w:p>
    <w:p w14:paraId="1BE3CFFC" w14:textId="77777777" w:rsidR="00477FBD" w:rsidRPr="00D6094C" w:rsidRDefault="00477FBD" w:rsidP="00477FBD">
      <w:pPr>
        <w:pStyle w:val="Heading1"/>
        <w:spacing w:before="0"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 xml:space="preserve">2.2.1 Determination of Soil Texture by </w:t>
      </w:r>
      <w:proofErr w:type="spellStart"/>
      <w:r w:rsidRPr="00D6094C">
        <w:rPr>
          <w:rFonts w:ascii="Arial" w:hAnsi="Arial" w:cs="Arial"/>
          <w:b/>
          <w:bCs/>
          <w:color w:val="000000" w:themeColor="text1"/>
          <w:sz w:val="20"/>
          <w:szCs w:val="20"/>
        </w:rPr>
        <w:t>Bouyoucos</w:t>
      </w:r>
      <w:proofErr w:type="spellEnd"/>
      <w:r w:rsidRPr="00D6094C">
        <w:rPr>
          <w:rFonts w:ascii="Arial" w:hAnsi="Arial" w:cs="Arial"/>
          <w:b/>
          <w:bCs/>
          <w:color w:val="000000" w:themeColor="text1"/>
          <w:sz w:val="20"/>
          <w:szCs w:val="20"/>
        </w:rPr>
        <w:t xml:space="preserve"> Hydrometer Method</w:t>
      </w:r>
    </w:p>
    <w:p w14:paraId="0DAEC154"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 xml:space="preserve">The soil texture of the pesticide-treated and control soil samples was determined using the </w:t>
      </w:r>
      <w:proofErr w:type="spellStart"/>
      <w:r w:rsidRPr="00D603C0">
        <w:rPr>
          <w:rFonts w:ascii="Arial" w:hAnsi="Arial" w:cs="Arial"/>
          <w:color w:val="000000" w:themeColor="text1"/>
        </w:rPr>
        <w:t>Bouyoucos</w:t>
      </w:r>
      <w:proofErr w:type="spellEnd"/>
      <w:r w:rsidRPr="00D603C0">
        <w:rPr>
          <w:rFonts w:ascii="Arial" w:hAnsi="Arial" w:cs="Arial"/>
          <w:color w:val="000000" w:themeColor="text1"/>
        </w:rPr>
        <w:t xml:space="preserve"> Hydrometer Method as described by Gee and Bauder (1986). This method estimates the relative proportions of sand, silt, and clay in the soil bas</w:t>
      </w:r>
      <w:r w:rsidR="00D603C0">
        <w:rPr>
          <w:rFonts w:ascii="Arial" w:hAnsi="Arial" w:cs="Arial"/>
          <w:color w:val="000000" w:themeColor="text1"/>
        </w:rPr>
        <w:t xml:space="preserve">ed on the rate of sedimentation </w:t>
      </w:r>
      <w:r w:rsidRPr="00D603C0">
        <w:rPr>
          <w:rFonts w:ascii="Arial" w:hAnsi="Arial" w:cs="Arial"/>
          <w:color w:val="000000" w:themeColor="text1"/>
        </w:rPr>
        <w:t>of s</w:t>
      </w:r>
      <w:r w:rsidR="00D603C0">
        <w:rPr>
          <w:rFonts w:ascii="Arial" w:hAnsi="Arial" w:cs="Arial"/>
          <w:color w:val="000000" w:themeColor="text1"/>
        </w:rPr>
        <w:t xml:space="preserve">oil particles in a suspension. </w:t>
      </w:r>
      <w:r w:rsidRPr="00D603C0">
        <w:rPr>
          <w:rFonts w:ascii="Arial" w:hAnsi="Arial" w:cs="Arial"/>
          <w:color w:val="000000" w:themeColor="text1"/>
        </w:rPr>
        <w:t xml:space="preserve">Approximately 50.0 g of air-dried, sieved (&lt;2 mm) soil sample was weighed into a 1 L sedimentation cylinder. To the sample, 100 mL of 5% sodium hexametaphosphate </w:t>
      </w:r>
      <w:r w:rsidRPr="00D80006">
        <w:rPr>
          <w:rFonts w:ascii="Arial" w:hAnsi="Arial" w:cs="Arial"/>
          <w:color w:val="000000" w:themeColor="text1"/>
        </w:rPr>
        <w:t>(N</w:t>
      </w:r>
      <w:r w:rsidRPr="00C432CE">
        <w:rPr>
          <w:rFonts w:ascii="Arial" w:hAnsi="Arial" w:cs="Arial"/>
          <w:color w:val="000000" w:themeColor="text1"/>
        </w:rPr>
        <w:t>aPO</w:t>
      </w:r>
      <w:r w:rsidRPr="00C432CE">
        <w:rPr>
          <w:rFonts w:ascii="Arial" w:hAnsi="Arial" w:cs="Arial"/>
          <w:color w:val="000000" w:themeColor="text1"/>
          <w:vertAlign w:val="subscript"/>
        </w:rPr>
        <w:t>3</w:t>
      </w:r>
      <w:r w:rsidRPr="00C432CE">
        <w:rPr>
          <w:rFonts w:ascii="Arial" w:hAnsi="Arial" w:cs="Arial"/>
          <w:color w:val="000000" w:themeColor="text1"/>
        </w:rPr>
        <w:t>)</w:t>
      </w:r>
      <w:r w:rsidRPr="00C432CE">
        <w:rPr>
          <w:rFonts w:ascii="Arial" w:hAnsi="Arial" w:cs="Arial"/>
          <w:color w:val="000000" w:themeColor="text1"/>
          <w:vertAlign w:val="subscript"/>
        </w:rPr>
        <w:t>6</w:t>
      </w:r>
      <w:r w:rsidRPr="00D603C0">
        <w:rPr>
          <w:rFonts w:ascii="Arial" w:hAnsi="Arial" w:cs="Arial"/>
          <w:color w:val="000000" w:themeColor="text1"/>
        </w:rPr>
        <w:t xml:space="preserve"> solution was added as a dispersing agent, followed by about 200 mL of distilled water. The mixture was stirred thoroughly using a mechanical stirrer for 5 minutes to ensure complete dispersion of the soil particles. The contents were then transferred quantitatively into the cylinder, and the volume was made up to the 1000 mL mark with distilled water. The suspension was thoroughly mixed by inverting and shaking the cylinder several times, and then allowed to stand undisturbed on the laboratory bench.</w:t>
      </w:r>
      <w:r w:rsidRPr="00D603C0">
        <w:rPr>
          <w:rFonts w:ascii="Arial" w:hAnsi="Arial" w:cs="Arial"/>
          <w:color w:val="000000" w:themeColor="text1"/>
        </w:rPr>
        <w:br/>
      </w:r>
      <w:r w:rsidRPr="00D603C0">
        <w:rPr>
          <w:rFonts w:ascii="Arial" w:hAnsi="Arial" w:cs="Arial"/>
          <w:color w:val="000000" w:themeColor="text1"/>
        </w:rPr>
        <w:br/>
        <w:t>A calibrated hydrometer was carefully inserted into the suspension, and the first hydrometer reading (R1) was taken after 40 seconds to determine the percentage of silt and clay. The temperature of the suspension was also recorded (T1). The hydrometer was then removed, rinsed with distilled water, and the cylinder was left undisturbed for 2 hours. The second hydrometer reading (R2) was taken at this time to determine the percentage of clay and the temperature (T2) was also recorded.</w:t>
      </w:r>
      <w:r w:rsidRPr="00D603C0">
        <w:rPr>
          <w:rFonts w:ascii="Arial" w:hAnsi="Arial" w:cs="Arial"/>
          <w:color w:val="000000" w:themeColor="text1"/>
        </w:rPr>
        <w:br/>
      </w:r>
    </w:p>
    <w:p w14:paraId="043B71A3" w14:textId="77777777" w:rsidR="00477FBD" w:rsidRPr="00D6094C" w:rsidRDefault="00477FBD" w:rsidP="00D603C0">
      <w:pPr>
        <w:pStyle w:val="Heading2"/>
        <w:spacing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2.2.2. Determination of Soil Organic Carbon (OC %)</w:t>
      </w:r>
    </w:p>
    <w:p w14:paraId="77831D94" w14:textId="3E795D62"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Soil organic carbon (OC) in pesticide-treated and control soil samples was determined using the Walkley–Black partial oxidation method (Walkley and Black, 1934). The procedure involved titration against 1N ferrous ammonium sulphate (NH</w:t>
      </w:r>
      <w:r w:rsidRPr="00385C1C">
        <w:rPr>
          <w:rFonts w:ascii="Arial" w:hAnsi="Arial" w:cs="Arial"/>
          <w:color w:val="000000" w:themeColor="text1"/>
          <w:vertAlign w:val="subscript"/>
        </w:rPr>
        <w:t>4</w:t>
      </w:r>
      <w:r w:rsidRPr="00D603C0">
        <w:rPr>
          <w:rFonts w:ascii="Arial" w:hAnsi="Arial" w:cs="Arial"/>
          <w:color w:val="000000" w:themeColor="text1"/>
        </w:rPr>
        <w:t>)</w:t>
      </w:r>
      <w:r w:rsidRPr="00D6094C">
        <w:rPr>
          <w:rFonts w:ascii="Arial" w:hAnsi="Arial" w:cs="Arial"/>
          <w:color w:val="000000" w:themeColor="text1"/>
          <w:vertAlign w:val="subscript"/>
        </w:rPr>
        <w:t>2</w:t>
      </w:r>
      <w:proofErr w:type="gramStart"/>
      <w:r w:rsidRPr="00D603C0">
        <w:rPr>
          <w:rFonts w:ascii="Arial" w:hAnsi="Arial" w:cs="Arial"/>
          <w:color w:val="000000" w:themeColor="text1"/>
        </w:rPr>
        <w:t>Fe(</w:t>
      </w:r>
      <w:proofErr w:type="gramEnd"/>
      <w:r w:rsidRPr="00D603C0">
        <w:rPr>
          <w:rFonts w:ascii="Arial" w:hAnsi="Arial" w:cs="Arial"/>
          <w:color w:val="000000" w:themeColor="text1"/>
        </w:rPr>
        <w:t>SO</w:t>
      </w:r>
      <w:r w:rsidRPr="00385C1C">
        <w:rPr>
          <w:rFonts w:ascii="Arial" w:hAnsi="Arial" w:cs="Arial"/>
          <w:color w:val="000000" w:themeColor="text1"/>
          <w:vertAlign w:val="subscript"/>
        </w:rPr>
        <w:t>4</w:t>
      </w:r>
      <w:r w:rsidRPr="00D603C0">
        <w:rPr>
          <w:rFonts w:ascii="Arial" w:hAnsi="Arial" w:cs="Arial"/>
          <w:color w:val="000000" w:themeColor="text1"/>
        </w:rPr>
        <w:t>)</w:t>
      </w:r>
      <w:r w:rsidRPr="00385C1C">
        <w:rPr>
          <w:rFonts w:ascii="Arial" w:hAnsi="Arial" w:cs="Arial"/>
          <w:color w:val="000000" w:themeColor="text1"/>
          <w:vertAlign w:val="subscript"/>
        </w:rPr>
        <w:t>2</w:t>
      </w:r>
      <w:r w:rsidRPr="00D603C0">
        <w:rPr>
          <w:rFonts w:ascii="Arial" w:hAnsi="Arial" w:cs="Arial"/>
          <w:color w:val="000000" w:themeColor="text1"/>
        </w:rPr>
        <w:t>·6H</w:t>
      </w:r>
      <w:r w:rsidRPr="00385C1C">
        <w:rPr>
          <w:rFonts w:ascii="Arial" w:hAnsi="Arial" w:cs="Arial"/>
          <w:color w:val="000000" w:themeColor="text1"/>
          <w:vertAlign w:val="subscript"/>
        </w:rPr>
        <w:t>2</w:t>
      </w:r>
      <w:r w:rsidRPr="00D603C0">
        <w:rPr>
          <w:rFonts w:ascii="Arial" w:hAnsi="Arial" w:cs="Arial"/>
          <w:color w:val="000000" w:themeColor="text1"/>
        </w:rPr>
        <w:t>O) using diphenylamine as indicator.</w:t>
      </w:r>
      <w:r w:rsidRPr="00D603C0">
        <w:rPr>
          <w:rFonts w:ascii="Arial" w:hAnsi="Arial" w:cs="Arial"/>
          <w:color w:val="000000" w:themeColor="text1"/>
        </w:rPr>
        <w:br/>
      </w:r>
      <w:r w:rsidRPr="00D603C0">
        <w:rPr>
          <w:rFonts w:ascii="Arial" w:hAnsi="Arial" w:cs="Arial"/>
          <w:color w:val="000000" w:themeColor="text1"/>
        </w:rPr>
        <w:br/>
      </w:r>
      <w:r w:rsidRPr="00D603C0">
        <w:rPr>
          <w:rFonts w:ascii="Arial" w:hAnsi="Arial" w:cs="Arial"/>
          <w:color w:val="000000" w:themeColor="text1"/>
        </w:rPr>
        <w:lastRenderedPageBreak/>
        <w:t>Approximately 1.0 g of air-dried soil sample was weighed into a 250 mL Erlenmeyer flask. To this, 10.0 mL of 1N potassium dichromate (K</w:t>
      </w:r>
      <w:r w:rsidRPr="00385C1C">
        <w:rPr>
          <w:rFonts w:ascii="Arial" w:hAnsi="Arial" w:cs="Arial"/>
          <w:color w:val="000000" w:themeColor="text1"/>
          <w:vertAlign w:val="subscript"/>
        </w:rPr>
        <w:t>2</w:t>
      </w:r>
      <w:r w:rsidRPr="00D603C0">
        <w:rPr>
          <w:rFonts w:ascii="Arial" w:hAnsi="Arial" w:cs="Arial"/>
          <w:color w:val="000000" w:themeColor="text1"/>
        </w:rPr>
        <w:t>Cr</w:t>
      </w:r>
      <w:r w:rsidRPr="00385C1C">
        <w:rPr>
          <w:rFonts w:ascii="Arial" w:hAnsi="Arial" w:cs="Arial"/>
          <w:color w:val="000000" w:themeColor="text1"/>
          <w:vertAlign w:val="subscript"/>
        </w:rPr>
        <w:t>2</w:t>
      </w:r>
      <w:r w:rsidRPr="00D603C0">
        <w:rPr>
          <w:rFonts w:ascii="Arial" w:hAnsi="Arial" w:cs="Arial"/>
          <w:color w:val="000000" w:themeColor="text1"/>
        </w:rPr>
        <w:t>O</w:t>
      </w:r>
      <w:r w:rsidRPr="00385C1C">
        <w:rPr>
          <w:rFonts w:ascii="Arial" w:hAnsi="Arial" w:cs="Arial"/>
          <w:color w:val="000000" w:themeColor="text1"/>
          <w:vertAlign w:val="subscript"/>
        </w:rPr>
        <w:t>7</w:t>
      </w:r>
      <w:r w:rsidRPr="00D603C0">
        <w:rPr>
          <w:rFonts w:ascii="Arial" w:hAnsi="Arial" w:cs="Arial"/>
          <w:color w:val="000000" w:themeColor="text1"/>
        </w:rPr>
        <w:t xml:space="preserve">) solution was added, and the mixture was gently swirled to ensure proper dispersion of the soil. Subsequently, 20.0 mL of concentrated </w:t>
      </w:r>
      <w:proofErr w:type="spellStart"/>
      <w:r w:rsidRPr="00D603C0">
        <w:rPr>
          <w:rFonts w:ascii="Arial" w:hAnsi="Arial" w:cs="Arial"/>
          <w:color w:val="000000" w:themeColor="text1"/>
        </w:rPr>
        <w:t>tetraoxosulphate</w:t>
      </w:r>
      <w:proofErr w:type="spellEnd"/>
      <w:r w:rsidRPr="00D603C0">
        <w:rPr>
          <w:rFonts w:ascii="Arial" w:hAnsi="Arial" w:cs="Arial"/>
          <w:color w:val="000000" w:themeColor="text1"/>
        </w:rPr>
        <w:t xml:space="preserve"> (VI) acid (H</w:t>
      </w:r>
      <w:r w:rsidRPr="00385C1C">
        <w:rPr>
          <w:rFonts w:ascii="Arial" w:hAnsi="Arial" w:cs="Arial"/>
          <w:color w:val="000000" w:themeColor="text1"/>
          <w:vertAlign w:val="subscript"/>
        </w:rPr>
        <w:t>2</w:t>
      </w:r>
      <w:r w:rsidRPr="00D603C0">
        <w:rPr>
          <w:rFonts w:ascii="Arial" w:hAnsi="Arial" w:cs="Arial"/>
          <w:color w:val="000000" w:themeColor="text1"/>
        </w:rPr>
        <w:t>SO</w:t>
      </w:r>
      <w:r w:rsidRPr="00385C1C">
        <w:rPr>
          <w:rFonts w:ascii="Arial" w:hAnsi="Arial" w:cs="Arial"/>
          <w:color w:val="000000" w:themeColor="text1"/>
          <w:vertAlign w:val="subscript"/>
        </w:rPr>
        <w:t>4</w:t>
      </w:r>
      <w:r w:rsidRPr="00D603C0">
        <w:rPr>
          <w:rFonts w:ascii="Arial" w:hAnsi="Arial" w:cs="Arial"/>
          <w:color w:val="000000" w:themeColor="text1"/>
        </w:rPr>
        <w:t>) was added and the flask swirled gently. The mixture was allowed to stand for 30 m</w:t>
      </w:r>
      <w:r w:rsidR="002B2077">
        <w:rPr>
          <w:rFonts w:ascii="Arial" w:hAnsi="Arial" w:cs="Arial"/>
          <w:color w:val="000000" w:themeColor="text1"/>
        </w:rPr>
        <w:t>inutes for complete oxidation.</w:t>
      </w:r>
      <w:r w:rsidR="002B2077">
        <w:rPr>
          <w:rFonts w:ascii="Arial" w:hAnsi="Arial" w:cs="Arial"/>
          <w:color w:val="000000" w:themeColor="text1"/>
        </w:rPr>
        <w:br/>
      </w:r>
      <w:r w:rsidRPr="00D603C0">
        <w:rPr>
          <w:rFonts w:ascii="Arial" w:hAnsi="Arial" w:cs="Arial"/>
          <w:color w:val="000000" w:themeColor="text1"/>
        </w:rPr>
        <w:t>After cooling, 100 mL of distilled water and 10.0 mL of orthophosphoric acid (H</w:t>
      </w:r>
      <w:r w:rsidRPr="00385C1C">
        <w:rPr>
          <w:rFonts w:ascii="Arial" w:hAnsi="Arial" w:cs="Arial"/>
          <w:color w:val="000000" w:themeColor="text1"/>
          <w:vertAlign w:val="subscript"/>
        </w:rPr>
        <w:t>3</w:t>
      </w:r>
      <w:r w:rsidRPr="00D603C0">
        <w:rPr>
          <w:rFonts w:ascii="Arial" w:hAnsi="Arial" w:cs="Arial"/>
          <w:color w:val="000000" w:themeColor="text1"/>
        </w:rPr>
        <w:t>PO</w:t>
      </w:r>
      <w:r w:rsidRPr="00385C1C">
        <w:rPr>
          <w:rFonts w:ascii="Arial" w:hAnsi="Arial" w:cs="Arial"/>
          <w:color w:val="000000" w:themeColor="text1"/>
          <w:vertAlign w:val="subscript"/>
        </w:rPr>
        <w:t>4</w:t>
      </w:r>
      <w:r w:rsidRPr="00D603C0">
        <w:rPr>
          <w:rFonts w:ascii="Arial" w:hAnsi="Arial" w:cs="Arial"/>
          <w:color w:val="000000" w:themeColor="text1"/>
        </w:rPr>
        <w:t xml:space="preserve">) were added. Three to four drops of diphenylamine indicator were introduced, and the solution was titrated with 0.5N ferrous ammonium sulphate until the </w:t>
      </w:r>
      <w:proofErr w:type="spellStart"/>
      <w:r w:rsidRPr="00D603C0">
        <w:rPr>
          <w:rFonts w:ascii="Arial" w:hAnsi="Arial" w:cs="Arial"/>
          <w:color w:val="000000" w:themeColor="text1"/>
        </w:rPr>
        <w:t>colour</w:t>
      </w:r>
      <w:proofErr w:type="spellEnd"/>
      <w:r w:rsidRPr="00D603C0">
        <w:rPr>
          <w:rFonts w:ascii="Arial" w:hAnsi="Arial" w:cs="Arial"/>
          <w:color w:val="000000" w:themeColor="text1"/>
        </w:rPr>
        <w:t xml:space="preserve"> changed from green to blue, and finally to reddish endpoint. The organic carbon content was then calculated from the volume of titrant used.</w:t>
      </w:r>
    </w:p>
    <w:p w14:paraId="7C12ACC6"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2.2.3</w:t>
      </w:r>
      <w:r w:rsidR="007C478D" w:rsidRPr="007D1F13">
        <w:rPr>
          <w:rFonts w:ascii="Arial" w:hAnsi="Arial" w:cs="Arial"/>
          <w:b/>
          <w:bCs/>
          <w:color w:val="000000" w:themeColor="text1"/>
          <w:sz w:val="20"/>
          <w:szCs w:val="20"/>
        </w:rPr>
        <w:t xml:space="preserve"> </w:t>
      </w:r>
      <w:r w:rsidRPr="007D1F13">
        <w:rPr>
          <w:rFonts w:ascii="Arial" w:hAnsi="Arial" w:cs="Arial"/>
          <w:b/>
          <w:bCs/>
          <w:color w:val="000000" w:themeColor="text1"/>
          <w:sz w:val="20"/>
          <w:szCs w:val="20"/>
        </w:rPr>
        <w:t>Determination of Soil pH</w:t>
      </w:r>
    </w:p>
    <w:p w14:paraId="737B2B6D"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The pH of the pesticide-treated and control soil samples was determined using a digital pH meter according to the standard method described by AOAC (2005). Approximately 10.0 g of air-dried and sieved (&lt;2 mm) soil sample was weighed into a 50 mL beaker. To this, 25.0 mL of distilled water was added to obtain a 1:2.5 soil-to-water suspension (w/v). The mixture was stirred thoroughly and allowed to stand for 30 minutes to ensure equilibrium. The electrode of the calibrated pH meter was then inserted into the supernatant solution, and the pH reading was recorded once the meter stabilized.</w:t>
      </w:r>
    </w:p>
    <w:p w14:paraId="573DEC68"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2.2.4 Determination of Electrical Conductivity (EC µS/cm)</w:t>
      </w:r>
    </w:p>
    <w:p w14:paraId="7DA33CB3"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 xml:space="preserve">The electrical conductivity (EC) of pesticide-treated and control soil samples was determined using a calibrated digital conductivity meter following the method described by AOAC (2005). Approximately 10.0 g of air-dried, sieved (&lt;2 mm) soil sample was weighed into a 50 mL beaker. To the sample, 25.0 mL of distilled water was added to prepare a 1:2.5 soil-to-water suspension (w/v). The mixture was stirred and allowed to stand for 30 minutes. The electrode of the calibrated conductivity meter was inserted into the supernatant solution, and the EC value was recorded in </w:t>
      </w:r>
      <w:proofErr w:type="spellStart"/>
      <w:r w:rsidRPr="00D603C0">
        <w:rPr>
          <w:rFonts w:ascii="Arial" w:hAnsi="Arial" w:cs="Arial"/>
          <w:color w:val="000000" w:themeColor="text1"/>
        </w:rPr>
        <w:t>microsiemens</w:t>
      </w:r>
      <w:proofErr w:type="spellEnd"/>
      <w:r w:rsidRPr="00D603C0">
        <w:rPr>
          <w:rFonts w:ascii="Arial" w:hAnsi="Arial" w:cs="Arial"/>
          <w:color w:val="000000" w:themeColor="text1"/>
        </w:rPr>
        <w:t xml:space="preserve"> per </w:t>
      </w:r>
      <w:proofErr w:type="spellStart"/>
      <w:r w:rsidRPr="00D603C0">
        <w:rPr>
          <w:rFonts w:ascii="Arial" w:hAnsi="Arial" w:cs="Arial"/>
          <w:color w:val="000000" w:themeColor="text1"/>
        </w:rPr>
        <w:t>centimetre</w:t>
      </w:r>
      <w:proofErr w:type="spellEnd"/>
      <w:r w:rsidRPr="00D603C0">
        <w:rPr>
          <w:rFonts w:ascii="Arial" w:hAnsi="Arial" w:cs="Arial"/>
          <w:color w:val="000000" w:themeColor="text1"/>
        </w:rPr>
        <w:t xml:space="preserve"> (µS/cm) once the meter stabilized.</w:t>
      </w:r>
    </w:p>
    <w:p w14:paraId="7A5CA6F2"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2.2.5 Determination of Moisture Content (MC %)</w:t>
      </w:r>
    </w:p>
    <w:p w14:paraId="75578CC7" w14:textId="08CF5267" w:rsidR="007D1F13" w:rsidRDefault="00477FBD" w:rsidP="00D603C0">
      <w:pPr>
        <w:spacing w:line="360" w:lineRule="auto"/>
        <w:jc w:val="both"/>
        <w:rPr>
          <w:rFonts w:ascii="Arial" w:hAnsi="Arial" w:cs="Arial"/>
          <w:color w:val="000000" w:themeColor="text1"/>
          <w:u w:val="single"/>
        </w:rPr>
      </w:pPr>
      <w:r w:rsidRPr="00D603C0">
        <w:rPr>
          <w:rFonts w:ascii="Arial" w:hAnsi="Arial" w:cs="Arial"/>
          <w:color w:val="000000" w:themeColor="text1"/>
        </w:rPr>
        <w:t>The moisture content of the pesticide-treated and control soil samples was determined using the gravimetric oven-drying method as described by AOAC (2005). Approximately 10.0 g of fresh soil sample was weighed into a clean, pre-weighed porcelain crucible (W1). The sample was dried in a hot-air oven at 105 ± 2 °C for 24 hours. After drying, it was cooled in a desiccator and reweighed (W2).</w:t>
      </w:r>
      <w:r w:rsidRPr="00D603C0">
        <w:rPr>
          <w:rFonts w:ascii="Arial" w:hAnsi="Arial" w:cs="Arial"/>
          <w:color w:val="000000" w:themeColor="text1"/>
        </w:rPr>
        <w:br/>
        <w:t xml:space="preserve">MC (%) = </w:t>
      </w:r>
      <w:r w:rsidRPr="007D1F13">
        <w:rPr>
          <w:rFonts w:ascii="Arial" w:hAnsi="Arial" w:cs="Arial"/>
          <w:color w:val="000000" w:themeColor="text1"/>
          <w:u w:val="single"/>
        </w:rPr>
        <w:t>(W1 - W2) × 100</w:t>
      </w:r>
    </w:p>
    <w:p w14:paraId="73840DF1" w14:textId="5B98E661" w:rsidR="007D1F13" w:rsidRPr="007D1F13" w:rsidRDefault="007D1F13" w:rsidP="007D1F13">
      <w:pPr>
        <w:spacing w:line="360" w:lineRule="auto"/>
        <w:ind w:left="720" w:firstLine="720"/>
        <w:jc w:val="both"/>
        <w:rPr>
          <w:rFonts w:ascii="Arial" w:hAnsi="Arial" w:cs="Arial"/>
          <w:color w:val="000000" w:themeColor="text1"/>
          <w:u w:val="single"/>
        </w:rPr>
      </w:pPr>
      <w:r>
        <w:rPr>
          <w:rFonts w:ascii="Arial" w:hAnsi="Arial" w:cs="Arial"/>
          <w:color w:val="000000" w:themeColor="text1"/>
        </w:rPr>
        <w:t>(</w:t>
      </w:r>
      <w:r w:rsidRPr="00D603C0">
        <w:rPr>
          <w:rFonts w:ascii="Arial" w:hAnsi="Arial" w:cs="Arial"/>
          <w:color w:val="000000" w:themeColor="text1"/>
        </w:rPr>
        <w:t>W1)</w:t>
      </w:r>
    </w:p>
    <w:p w14:paraId="1C7B7BC1" w14:textId="77777777" w:rsidR="00477FBD" w:rsidRPr="00D603C0" w:rsidRDefault="00477FBD" w:rsidP="00D603C0">
      <w:pPr>
        <w:pStyle w:val="Heading2"/>
        <w:spacing w:line="360" w:lineRule="auto"/>
        <w:jc w:val="both"/>
        <w:rPr>
          <w:rFonts w:ascii="Arial" w:hAnsi="Arial" w:cs="Arial"/>
          <w:color w:val="000000" w:themeColor="text1"/>
          <w:sz w:val="20"/>
          <w:szCs w:val="20"/>
        </w:rPr>
      </w:pPr>
      <w:r w:rsidRPr="00D603C0">
        <w:rPr>
          <w:rFonts w:ascii="Arial" w:hAnsi="Arial" w:cs="Arial"/>
          <w:color w:val="000000" w:themeColor="text1"/>
          <w:sz w:val="20"/>
          <w:szCs w:val="20"/>
        </w:rPr>
        <w:lastRenderedPageBreak/>
        <w:t>2</w:t>
      </w:r>
      <w:r w:rsidRPr="007D1F13">
        <w:rPr>
          <w:rFonts w:ascii="Arial" w:hAnsi="Arial" w:cs="Arial"/>
          <w:b/>
          <w:bCs/>
          <w:color w:val="000000" w:themeColor="text1"/>
          <w:sz w:val="20"/>
          <w:szCs w:val="20"/>
        </w:rPr>
        <w:t>.2.6. Determination of Total Organic Carbon (TOC %)/ Total Organic Matter (TOM %)</w:t>
      </w:r>
    </w:p>
    <w:p w14:paraId="2B20F73D" w14:textId="6B857C67" w:rsidR="00845F79" w:rsidRDefault="00477FBD" w:rsidP="007D1F13">
      <w:pPr>
        <w:spacing w:line="360" w:lineRule="auto"/>
        <w:rPr>
          <w:rFonts w:ascii="Arial" w:hAnsi="Arial" w:cs="Arial"/>
          <w:color w:val="000000" w:themeColor="text1"/>
        </w:rPr>
      </w:pPr>
      <w:r w:rsidRPr="00D603C0">
        <w:rPr>
          <w:rFonts w:ascii="Arial" w:hAnsi="Arial" w:cs="Arial"/>
          <w:color w:val="000000" w:themeColor="text1"/>
        </w:rPr>
        <w:t>Total organic carbon (TOC) was determined using the modified Walkley</w:t>
      </w:r>
      <w:r w:rsidR="00D6094C">
        <w:rPr>
          <w:rFonts w:ascii="Arial" w:hAnsi="Arial" w:cs="Arial"/>
          <w:color w:val="000000" w:themeColor="text1"/>
        </w:rPr>
        <w:t xml:space="preserve"> </w:t>
      </w:r>
      <w:r w:rsidRPr="00D603C0">
        <w:rPr>
          <w:rFonts w:ascii="Arial" w:hAnsi="Arial" w:cs="Arial"/>
          <w:color w:val="000000" w:themeColor="text1"/>
        </w:rPr>
        <w:t>Black wet oxidation method (Walkley and Black, 1934; Nelson and Sommers, 1996). 1.0 g of soil was treated with 10.0 mL 1N K</w:t>
      </w:r>
      <w:r w:rsidRPr="00385C1C">
        <w:rPr>
          <w:rFonts w:ascii="Arial" w:hAnsi="Arial" w:cs="Arial"/>
          <w:color w:val="000000" w:themeColor="text1"/>
          <w:vertAlign w:val="subscript"/>
        </w:rPr>
        <w:t>2</w:t>
      </w:r>
      <w:r w:rsidRPr="00D603C0">
        <w:rPr>
          <w:rFonts w:ascii="Arial" w:hAnsi="Arial" w:cs="Arial"/>
          <w:color w:val="000000" w:themeColor="text1"/>
        </w:rPr>
        <w:t>Cr</w:t>
      </w:r>
      <w:r w:rsidRPr="00385C1C">
        <w:rPr>
          <w:rFonts w:ascii="Arial" w:hAnsi="Arial" w:cs="Arial"/>
          <w:color w:val="000000" w:themeColor="text1"/>
          <w:vertAlign w:val="subscript"/>
        </w:rPr>
        <w:t>2</w:t>
      </w:r>
      <w:r w:rsidRPr="00D603C0">
        <w:rPr>
          <w:rFonts w:ascii="Arial" w:hAnsi="Arial" w:cs="Arial"/>
          <w:color w:val="000000" w:themeColor="text1"/>
        </w:rPr>
        <w:t>O</w:t>
      </w:r>
      <w:r w:rsidRPr="00385C1C">
        <w:rPr>
          <w:rFonts w:ascii="Arial" w:hAnsi="Arial" w:cs="Arial"/>
          <w:color w:val="000000" w:themeColor="text1"/>
          <w:vertAlign w:val="subscript"/>
        </w:rPr>
        <w:t>7</w:t>
      </w:r>
      <w:r w:rsidRPr="00D603C0">
        <w:rPr>
          <w:rFonts w:ascii="Arial" w:hAnsi="Arial" w:cs="Arial"/>
          <w:color w:val="000000" w:themeColor="text1"/>
        </w:rPr>
        <w:t xml:space="preserve"> and 20.0 mL concentrated H</w:t>
      </w:r>
      <w:r w:rsidRPr="00385C1C">
        <w:rPr>
          <w:rFonts w:ascii="Arial" w:hAnsi="Arial" w:cs="Arial"/>
          <w:color w:val="000000" w:themeColor="text1"/>
          <w:vertAlign w:val="subscript"/>
        </w:rPr>
        <w:t>2</w:t>
      </w:r>
      <w:r w:rsidRPr="00D603C0">
        <w:rPr>
          <w:rFonts w:ascii="Arial" w:hAnsi="Arial" w:cs="Arial"/>
          <w:color w:val="000000" w:themeColor="text1"/>
        </w:rPr>
        <w:t>SO</w:t>
      </w:r>
      <w:r w:rsidRPr="00385C1C">
        <w:rPr>
          <w:rFonts w:ascii="Arial" w:hAnsi="Arial" w:cs="Arial"/>
          <w:color w:val="000000" w:themeColor="text1"/>
          <w:vertAlign w:val="subscript"/>
        </w:rPr>
        <w:t>4</w:t>
      </w:r>
      <w:r w:rsidRPr="00D603C0">
        <w:rPr>
          <w:rFonts w:ascii="Arial" w:hAnsi="Arial" w:cs="Arial"/>
          <w:color w:val="000000" w:themeColor="text1"/>
        </w:rPr>
        <w:t>. After 30 minutes, 100 mL of distilled water and 10.0 mL H</w:t>
      </w:r>
      <w:r w:rsidRPr="00845F79">
        <w:rPr>
          <w:rFonts w:ascii="Arial" w:hAnsi="Arial" w:cs="Arial"/>
          <w:color w:val="000000" w:themeColor="text1"/>
          <w:vertAlign w:val="subscript"/>
        </w:rPr>
        <w:t>3</w:t>
      </w:r>
      <w:r w:rsidRPr="00D603C0">
        <w:rPr>
          <w:rFonts w:ascii="Arial" w:hAnsi="Arial" w:cs="Arial"/>
          <w:color w:val="000000" w:themeColor="text1"/>
        </w:rPr>
        <w:t>PO</w:t>
      </w:r>
      <w:r w:rsidRPr="00845F79">
        <w:rPr>
          <w:rFonts w:ascii="Arial" w:hAnsi="Arial" w:cs="Arial"/>
          <w:color w:val="000000" w:themeColor="text1"/>
          <w:vertAlign w:val="subscript"/>
        </w:rPr>
        <w:t>4</w:t>
      </w:r>
      <w:r w:rsidRPr="00D603C0">
        <w:rPr>
          <w:rFonts w:ascii="Arial" w:hAnsi="Arial" w:cs="Arial"/>
          <w:color w:val="000000" w:themeColor="text1"/>
        </w:rPr>
        <w:t xml:space="preserve"> were added. The mixture was titrated with 0.5N ferrous ammonium sulphate until the </w:t>
      </w:r>
      <w:proofErr w:type="spellStart"/>
      <w:r w:rsidRPr="00D603C0">
        <w:rPr>
          <w:rFonts w:ascii="Arial" w:hAnsi="Arial" w:cs="Arial"/>
          <w:color w:val="000000" w:themeColor="text1"/>
        </w:rPr>
        <w:t>colour</w:t>
      </w:r>
      <w:proofErr w:type="spellEnd"/>
      <w:r w:rsidRPr="00D603C0">
        <w:rPr>
          <w:rFonts w:ascii="Arial" w:hAnsi="Arial" w:cs="Arial"/>
          <w:color w:val="000000" w:themeColor="text1"/>
        </w:rPr>
        <w:t xml:space="preserve"> changed from green to blue and finally reddish. The TOC (%) was calculated as:</w:t>
      </w:r>
      <w:r w:rsidRPr="00D603C0">
        <w:rPr>
          <w:rFonts w:ascii="Arial" w:hAnsi="Arial" w:cs="Arial"/>
          <w:color w:val="000000" w:themeColor="text1"/>
        </w:rPr>
        <w:br/>
      </w:r>
      <w:r w:rsidRPr="00D603C0">
        <w:rPr>
          <w:rFonts w:ascii="Arial" w:hAnsi="Arial" w:cs="Arial"/>
          <w:color w:val="000000" w:themeColor="text1"/>
        </w:rPr>
        <w:br/>
        <w:t xml:space="preserve">TOC (%) = </w:t>
      </w:r>
      <w:r w:rsidRPr="00845F79">
        <w:rPr>
          <w:rFonts w:ascii="Arial" w:hAnsi="Arial" w:cs="Arial"/>
          <w:color w:val="000000" w:themeColor="text1"/>
          <w:u w:val="single"/>
        </w:rPr>
        <w:t>((V1 - V2) × N × 0.003 × 1.33 × 100)</w:t>
      </w:r>
    </w:p>
    <w:p w14:paraId="4847684A" w14:textId="0CBA7BC9" w:rsidR="00477FBD" w:rsidRPr="00D603C0" w:rsidRDefault="00477FBD" w:rsidP="007D1F13">
      <w:pPr>
        <w:spacing w:line="360" w:lineRule="auto"/>
        <w:ind w:left="720" w:firstLine="720"/>
        <w:rPr>
          <w:rFonts w:ascii="Arial" w:hAnsi="Arial" w:cs="Arial"/>
          <w:color w:val="000000" w:themeColor="text1"/>
        </w:rPr>
      </w:pPr>
      <w:r w:rsidRPr="00D603C0">
        <w:rPr>
          <w:rFonts w:ascii="Arial" w:hAnsi="Arial" w:cs="Arial"/>
          <w:color w:val="000000" w:themeColor="text1"/>
        </w:rPr>
        <w:t>Weight of sample (g)</w:t>
      </w:r>
    </w:p>
    <w:p w14:paraId="7678BC2A" w14:textId="77777777" w:rsidR="00477FBD" w:rsidRPr="00D603C0" w:rsidRDefault="00477FBD" w:rsidP="007D1F13">
      <w:pPr>
        <w:spacing w:line="360" w:lineRule="auto"/>
        <w:rPr>
          <w:rFonts w:ascii="Arial" w:hAnsi="Arial" w:cs="Arial"/>
          <w:color w:val="000000" w:themeColor="text1"/>
        </w:rPr>
      </w:pPr>
      <w:r w:rsidRPr="00D603C0">
        <w:rPr>
          <w:rFonts w:ascii="Arial" w:hAnsi="Arial" w:cs="Arial"/>
          <w:color w:val="000000" w:themeColor="text1"/>
        </w:rPr>
        <w:t>Total organic matter (TOM) was estimated indirectly from the TOC content using:</w:t>
      </w:r>
      <w:r w:rsidRPr="00D603C0">
        <w:rPr>
          <w:rFonts w:ascii="Arial" w:hAnsi="Arial" w:cs="Arial"/>
          <w:color w:val="000000" w:themeColor="text1"/>
        </w:rPr>
        <w:br/>
      </w:r>
      <w:r w:rsidRPr="00D603C0">
        <w:rPr>
          <w:rFonts w:ascii="Arial" w:hAnsi="Arial" w:cs="Arial"/>
          <w:color w:val="000000" w:themeColor="text1"/>
        </w:rPr>
        <w:br/>
        <w:t>TOM (%) = TOC (%) × 1.724</w:t>
      </w:r>
    </w:p>
    <w:p w14:paraId="10D79CEF"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2.2.7. Determination of Chloride (Cl mg/kg)</w:t>
      </w:r>
    </w:p>
    <w:p w14:paraId="019B0ECA" w14:textId="77777777" w:rsidR="00845F79" w:rsidRPr="00845F79" w:rsidRDefault="00477FBD" w:rsidP="00845F79">
      <w:pPr>
        <w:spacing w:line="360" w:lineRule="auto"/>
        <w:rPr>
          <w:rFonts w:ascii="Arial" w:hAnsi="Arial" w:cs="Arial"/>
          <w:color w:val="000000" w:themeColor="text1"/>
          <w:u w:val="single"/>
        </w:rPr>
      </w:pPr>
      <w:r w:rsidRPr="00D603C0">
        <w:rPr>
          <w:rFonts w:ascii="Arial" w:hAnsi="Arial" w:cs="Arial"/>
          <w:color w:val="000000" w:themeColor="text1"/>
        </w:rPr>
        <w:t>The chloride content was determined by the argentometric titration method using silver nitrate (AgNO3). 10.0 g of soil was extracted with 50.0 mL distilled water, shaken for 30 minutes, and filtered. 25.0 mL of filtrate was titrated with 0.01N AgNO3 using potassium chromate indicator</w:t>
      </w:r>
      <w:r w:rsidR="00D603C0">
        <w:rPr>
          <w:rFonts w:ascii="Arial" w:hAnsi="Arial" w:cs="Arial"/>
          <w:color w:val="000000" w:themeColor="text1"/>
        </w:rPr>
        <w:t xml:space="preserve"> until reddish-brown endpoint.</w:t>
      </w:r>
      <w:r w:rsidR="00D603C0">
        <w:rPr>
          <w:rFonts w:ascii="Arial" w:hAnsi="Arial" w:cs="Arial"/>
          <w:color w:val="000000" w:themeColor="text1"/>
        </w:rPr>
        <w:br/>
      </w:r>
      <w:r w:rsidRPr="00D603C0">
        <w:rPr>
          <w:rFonts w:ascii="Arial" w:hAnsi="Arial" w:cs="Arial"/>
          <w:color w:val="000000" w:themeColor="text1"/>
        </w:rPr>
        <w:t xml:space="preserve">Cl (mg/kg) = </w:t>
      </w:r>
      <w:r w:rsidRPr="00845F79">
        <w:rPr>
          <w:rFonts w:ascii="Arial" w:hAnsi="Arial" w:cs="Arial"/>
          <w:color w:val="000000" w:themeColor="text1"/>
          <w:u w:val="single"/>
        </w:rPr>
        <w:t xml:space="preserve">(V × N × 35.45 × 1000) </w:t>
      </w:r>
    </w:p>
    <w:p w14:paraId="3AAC3219" w14:textId="387F2AD5" w:rsidR="00477FBD" w:rsidRPr="00D603C0" w:rsidRDefault="00477FBD" w:rsidP="00845F79">
      <w:pPr>
        <w:spacing w:line="360" w:lineRule="auto"/>
        <w:ind w:left="720" w:firstLine="720"/>
        <w:rPr>
          <w:rFonts w:ascii="Arial" w:hAnsi="Arial" w:cs="Arial"/>
          <w:color w:val="000000" w:themeColor="text1"/>
        </w:rPr>
      </w:pPr>
      <w:r w:rsidRPr="00D603C0">
        <w:rPr>
          <w:rFonts w:ascii="Arial" w:hAnsi="Arial" w:cs="Arial"/>
          <w:color w:val="000000" w:themeColor="text1"/>
        </w:rPr>
        <w:t>Weight of soil (mg)</w:t>
      </w:r>
    </w:p>
    <w:p w14:paraId="7B0AC88A"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2.2.8 Determination of Available Phosphate (Av. PO4³</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67BC3FB4"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Available phosphorus was determined using the Olsen method (Olsen et al., 1954). 2.5 g of soil was extracted with 50.0 mL of 0.5 M NaHCO</w:t>
      </w:r>
      <w:r w:rsidRPr="00845F79">
        <w:rPr>
          <w:rFonts w:ascii="Arial" w:hAnsi="Arial" w:cs="Arial"/>
          <w:color w:val="000000" w:themeColor="text1"/>
          <w:vertAlign w:val="subscript"/>
        </w:rPr>
        <w:t>3</w:t>
      </w:r>
      <w:r w:rsidRPr="00D603C0">
        <w:rPr>
          <w:rFonts w:ascii="Arial" w:hAnsi="Arial" w:cs="Arial"/>
          <w:color w:val="000000" w:themeColor="text1"/>
        </w:rPr>
        <w:t xml:space="preserve"> (pH 8.5) for 30 minutes and filtered. 10.0 mL of filtrate was treated with ammonium molybdate and ascorbic acid reagents. Absorbance was measured at 880 nm using a UV–Visible spectrophotometer. Concentration was obtained from a KH</w:t>
      </w:r>
      <w:r w:rsidRPr="00845F79">
        <w:rPr>
          <w:rFonts w:ascii="Arial" w:hAnsi="Arial" w:cs="Arial"/>
          <w:color w:val="000000" w:themeColor="text1"/>
          <w:vertAlign w:val="subscript"/>
        </w:rPr>
        <w:t>2</w:t>
      </w:r>
      <w:r w:rsidRPr="00D603C0">
        <w:rPr>
          <w:rFonts w:ascii="Arial" w:hAnsi="Arial" w:cs="Arial"/>
          <w:color w:val="000000" w:themeColor="text1"/>
        </w:rPr>
        <w:t>PO</w:t>
      </w:r>
      <w:r w:rsidRPr="00845F79">
        <w:rPr>
          <w:rFonts w:ascii="Arial" w:hAnsi="Arial" w:cs="Arial"/>
          <w:color w:val="000000" w:themeColor="text1"/>
          <w:vertAlign w:val="subscript"/>
        </w:rPr>
        <w:t>4</w:t>
      </w:r>
      <w:r w:rsidRPr="00D603C0">
        <w:rPr>
          <w:rFonts w:ascii="Arial" w:hAnsi="Arial" w:cs="Arial"/>
          <w:color w:val="000000" w:themeColor="text1"/>
        </w:rPr>
        <w:t xml:space="preserve"> standard curve.</w:t>
      </w:r>
    </w:p>
    <w:p w14:paraId="3BE4DA0C"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2.2.9. Determination of Nitrate (NO</w:t>
      </w:r>
      <w:r w:rsidRPr="007D1F13">
        <w:rPr>
          <w:rFonts w:ascii="Arial" w:hAnsi="Arial" w:cs="Arial"/>
          <w:b/>
          <w:bCs/>
          <w:color w:val="000000" w:themeColor="text1"/>
          <w:sz w:val="20"/>
          <w:szCs w:val="20"/>
          <w:vertAlign w:val="superscript"/>
        </w:rPr>
        <w:t>3</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558DC949" w14:textId="345F734F"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 xml:space="preserve">Nitrate content was determined </w:t>
      </w:r>
      <w:proofErr w:type="spellStart"/>
      <w:r w:rsidRPr="00D603C0">
        <w:rPr>
          <w:rFonts w:ascii="Arial" w:hAnsi="Arial" w:cs="Arial"/>
          <w:color w:val="000000" w:themeColor="text1"/>
        </w:rPr>
        <w:t>colorimetrically</w:t>
      </w:r>
      <w:proofErr w:type="spellEnd"/>
      <w:r w:rsidRPr="00D603C0">
        <w:rPr>
          <w:rFonts w:ascii="Arial" w:hAnsi="Arial" w:cs="Arial"/>
          <w:color w:val="000000" w:themeColor="text1"/>
        </w:rPr>
        <w:t xml:space="preserve"> using the Brucine</w:t>
      </w:r>
      <w:r w:rsidR="00D6094C">
        <w:rPr>
          <w:rFonts w:ascii="Arial" w:hAnsi="Arial" w:cs="Arial"/>
          <w:color w:val="000000" w:themeColor="text1"/>
        </w:rPr>
        <w:t xml:space="preserve"> </w:t>
      </w:r>
      <w:proofErr w:type="spellStart"/>
      <w:r w:rsidRPr="00D603C0">
        <w:rPr>
          <w:rFonts w:ascii="Arial" w:hAnsi="Arial" w:cs="Arial"/>
          <w:color w:val="000000" w:themeColor="text1"/>
        </w:rPr>
        <w:t>Sulphuric</w:t>
      </w:r>
      <w:proofErr w:type="spellEnd"/>
      <w:r w:rsidRPr="00D603C0">
        <w:rPr>
          <w:rFonts w:ascii="Arial" w:hAnsi="Arial" w:cs="Arial"/>
          <w:color w:val="000000" w:themeColor="text1"/>
        </w:rPr>
        <w:t xml:space="preserve"> Acid method (APHA, 1998). 10.0 g of soil was extracted with 50.0 mL of distilled water and filtered. 10.0 mL of filtrate was reacted with brucine</w:t>
      </w:r>
      <w:r w:rsidR="00D6094C">
        <w:rPr>
          <w:rFonts w:ascii="Arial" w:hAnsi="Arial" w:cs="Arial"/>
          <w:color w:val="000000" w:themeColor="text1"/>
        </w:rPr>
        <w:t xml:space="preserve"> </w:t>
      </w:r>
      <w:proofErr w:type="spellStart"/>
      <w:r w:rsidRPr="00D603C0">
        <w:rPr>
          <w:rFonts w:ascii="Arial" w:hAnsi="Arial" w:cs="Arial"/>
          <w:color w:val="000000" w:themeColor="text1"/>
        </w:rPr>
        <w:t>sulphuric</w:t>
      </w:r>
      <w:proofErr w:type="spellEnd"/>
      <w:r w:rsidRPr="00D603C0">
        <w:rPr>
          <w:rFonts w:ascii="Arial" w:hAnsi="Arial" w:cs="Arial"/>
          <w:color w:val="000000" w:themeColor="text1"/>
        </w:rPr>
        <w:t xml:space="preserve"> acid reagent and left for 20 minutes for </w:t>
      </w:r>
      <w:proofErr w:type="spellStart"/>
      <w:r w:rsidRPr="00D603C0">
        <w:rPr>
          <w:rFonts w:ascii="Arial" w:hAnsi="Arial" w:cs="Arial"/>
          <w:color w:val="000000" w:themeColor="text1"/>
        </w:rPr>
        <w:t>colour</w:t>
      </w:r>
      <w:proofErr w:type="spellEnd"/>
      <w:r w:rsidRPr="00D603C0">
        <w:rPr>
          <w:rFonts w:ascii="Arial" w:hAnsi="Arial" w:cs="Arial"/>
          <w:color w:val="000000" w:themeColor="text1"/>
        </w:rPr>
        <w:t xml:space="preserve"> development. Absorbance was measured at 410 nm using a UV–Visible spectrophotometer.</w:t>
      </w:r>
    </w:p>
    <w:p w14:paraId="3B6FE7F0"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2.2.10. Determination of Sulphate (SO</w:t>
      </w:r>
      <w:r w:rsidRPr="007D1F13">
        <w:rPr>
          <w:rFonts w:ascii="Arial" w:hAnsi="Arial" w:cs="Arial"/>
          <w:b/>
          <w:bCs/>
          <w:color w:val="000000" w:themeColor="text1"/>
          <w:sz w:val="20"/>
          <w:szCs w:val="20"/>
          <w:vertAlign w:val="subscript"/>
        </w:rPr>
        <w:t>4</w:t>
      </w:r>
      <w:r w:rsidRPr="007D1F13">
        <w:rPr>
          <w:rFonts w:ascii="Arial" w:hAnsi="Arial" w:cs="Arial"/>
          <w:b/>
          <w:bCs/>
          <w:color w:val="000000" w:themeColor="text1"/>
          <w:sz w:val="20"/>
          <w:szCs w:val="20"/>
        </w:rPr>
        <w:t>²</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4F21A3AD"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Sulphate concentration was determined turbidimetrically (APHA, 1998). 10.0 g of soil was extracted with 50.0 mL distilled water and filtered. 25.0 mL of filtrate was treated with conditioning reagent and BaCl</w:t>
      </w:r>
      <w:r w:rsidRPr="007D1F13">
        <w:rPr>
          <w:rFonts w:ascii="Arial" w:hAnsi="Arial" w:cs="Arial"/>
          <w:color w:val="000000" w:themeColor="text1"/>
          <w:vertAlign w:val="subscript"/>
        </w:rPr>
        <w:t>2</w:t>
      </w:r>
      <w:r w:rsidRPr="00D603C0">
        <w:rPr>
          <w:rFonts w:ascii="Arial" w:hAnsi="Arial" w:cs="Arial"/>
          <w:color w:val="000000" w:themeColor="text1"/>
        </w:rPr>
        <w:t xml:space="preserve"> suspension. After 30 minutes, absorbance was measured at </w:t>
      </w:r>
      <w:r w:rsidRPr="00D603C0">
        <w:rPr>
          <w:rFonts w:ascii="Arial" w:hAnsi="Arial" w:cs="Arial"/>
          <w:color w:val="000000" w:themeColor="text1"/>
        </w:rPr>
        <w:lastRenderedPageBreak/>
        <w:t>420 nm using a UV–Vis spectrophotometer. Concentration was determined from a Na</w:t>
      </w:r>
      <w:r w:rsidRPr="007D1F13">
        <w:rPr>
          <w:rFonts w:ascii="Arial" w:hAnsi="Arial" w:cs="Arial"/>
          <w:color w:val="000000" w:themeColor="text1"/>
          <w:vertAlign w:val="subscript"/>
        </w:rPr>
        <w:t>2</w:t>
      </w:r>
      <w:r w:rsidRPr="00D603C0">
        <w:rPr>
          <w:rFonts w:ascii="Arial" w:hAnsi="Arial" w:cs="Arial"/>
          <w:color w:val="000000" w:themeColor="text1"/>
        </w:rPr>
        <w:t>SO</w:t>
      </w:r>
      <w:r w:rsidRPr="007D1F13">
        <w:rPr>
          <w:rFonts w:ascii="Arial" w:hAnsi="Arial" w:cs="Arial"/>
          <w:color w:val="000000" w:themeColor="text1"/>
          <w:vertAlign w:val="subscript"/>
        </w:rPr>
        <w:t>4</w:t>
      </w:r>
      <w:r w:rsidRPr="00D603C0">
        <w:rPr>
          <w:rFonts w:ascii="Arial" w:hAnsi="Arial" w:cs="Arial"/>
          <w:color w:val="000000" w:themeColor="text1"/>
        </w:rPr>
        <w:t xml:space="preserve"> calibration curve.</w:t>
      </w:r>
    </w:p>
    <w:p w14:paraId="5890F43F"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2.2.11. Determination of Exchangeable Ca²</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and Mg²</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4BF6EAE7" w14:textId="292ED08A"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Exchangeable calcium and magnesium were determined by EDTA titration (Black, 1965). 5.0 g of soil was extracted with 50.0 mL of 1N NH</w:t>
      </w:r>
      <w:r w:rsidRPr="007D1F13">
        <w:rPr>
          <w:rFonts w:ascii="Arial" w:hAnsi="Arial" w:cs="Arial"/>
          <w:color w:val="000000" w:themeColor="text1"/>
          <w:vertAlign w:val="subscript"/>
        </w:rPr>
        <w:t>4</w:t>
      </w:r>
      <w:r w:rsidRPr="00D603C0">
        <w:rPr>
          <w:rFonts w:ascii="Arial" w:hAnsi="Arial" w:cs="Arial"/>
          <w:color w:val="000000" w:themeColor="text1"/>
        </w:rPr>
        <w:t>O</w:t>
      </w:r>
      <w:r w:rsidR="007D1F13">
        <w:rPr>
          <w:rFonts w:ascii="Arial" w:hAnsi="Arial" w:cs="Arial"/>
          <w:color w:val="000000" w:themeColor="text1"/>
        </w:rPr>
        <w:t xml:space="preserve"> </w:t>
      </w:r>
      <w:r w:rsidRPr="00D603C0">
        <w:rPr>
          <w:rFonts w:ascii="Arial" w:hAnsi="Arial" w:cs="Arial"/>
          <w:color w:val="000000" w:themeColor="text1"/>
        </w:rPr>
        <w:t>Ac (pH 7.0). Calcium was titrated using murexide indicator, and total Ca²</w:t>
      </w:r>
      <w:r w:rsidRPr="00D603C0">
        <w:rPr>
          <w:rFonts w:ascii="Cambria Math" w:hAnsi="Cambria Math" w:cs="Cambria Math"/>
          <w:color w:val="000000" w:themeColor="text1"/>
        </w:rPr>
        <w:t>⁺</w:t>
      </w:r>
      <w:r w:rsidRPr="00D603C0">
        <w:rPr>
          <w:rFonts w:ascii="Arial" w:hAnsi="Arial" w:cs="Arial"/>
          <w:color w:val="000000" w:themeColor="text1"/>
        </w:rPr>
        <w:t xml:space="preserve"> + Mg²</w:t>
      </w:r>
      <w:r w:rsidRPr="00D603C0">
        <w:rPr>
          <w:rFonts w:ascii="Cambria Math" w:hAnsi="Cambria Math" w:cs="Cambria Math"/>
          <w:color w:val="000000" w:themeColor="text1"/>
        </w:rPr>
        <w:t>⁺</w:t>
      </w:r>
      <w:r w:rsidRPr="00D603C0">
        <w:rPr>
          <w:rFonts w:ascii="Arial" w:hAnsi="Arial" w:cs="Arial"/>
          <w:color w:val="000000" w:themeColor="text1"/>
        </w:rPr>
        <w:t xml:space="preserve"> was determined using Eriochrome Black T. Mg²</w:t>
      </w:r>
      <w:r w:rsidRPr="00D603C0">
        <w:rPr>
          <w:rFonts w:ascii="Cambria Math" w:hAnsi="Cambria Math" w:cs="Cambria Math"/>
          <w:color w:val="000000" w:themeColor="text1"/>
        </w:rPr>
        <w:t>⁺</w:t>
      </w:r>
      <w:r w:rsidRPr="00D603C0">
        <w:rPr>
          <w:rFonts w:ascii="Arial" w:hAnsi="Arial" w:cs="Arial"/>
          <w:color w:val="000000" w:themeColor="text1"/>
        </w:rPr>
        <w:t xml:space="preserve"> was obtained by difference.</w:t>
      </w:r>
    </w:p>
    <w:p w14:paraId="5A9E8DD6" w14:textId="77777777" w:rsidR="00477FBD" w:rsidRPr="00D603C0" w:rsidRDefault="00477FBD" w:rsidP="00D603C0">
      <w:pPr>
        <w:pStyle w:val="Heading2"/>
        <w:spacing w:line="360" w:lineRule="auto"/>
        <w:jc w:val="both"/>
        <w:rPr>
          <w:rFonts w:ascii="Arial" w:hAnsi="Arial" w:cs="Arial"/>
          <w:color w:val="000000" w:themeColor="text1"/>
          <w:sz w:val="20"/>
          <w:szCs w:val="20"/>
        </w:rPr>
      </w:pPr>
      <w:r w:rsidRPr="007D1F13">
        <w:rPr>
          <w:rFonts w:ascii="Arial" w:hAnsi="Arial" w:cs="Arial"/>
          <w:b/>
          <w:bCs/>
          <w:color w:val="000000" w:themeColor="text1"/>
          <w:sz w:val="20"/>
          <w:szCs w:val="20"/>
        </w:rPr>
        <w:t>2.2.12. Determination of Exchangeable Na</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and K</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r w:rsidRPr="00D603C0">
        <w:rPr>
          <w:rFonts w:ascii="Arial" w:hAnsi="Arial" w:cs="Arial"/>
          <w:color w:val="000000" w:themeColor="text1"/>
          <w:sz w:val="20"/>
          <w:szCs w:val="20"/>
        </w:rPr>
        <w:t>)</w:t>
      </w:r>
    </w:p>
    <w:p w14:paraId="0FB4367E"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Exchangeable sodium and potassium were determined using a flame photometer (Black, 1965). 5.0 g of soil was extracted with 50.0 mL of 1N NH4OAc (pH 7.0). Filtrate was aspirated into a flame photometer, and Na</w:t>
      </w:r>
      <w:r w:rsidRPr="00D603C0">
        <w:rPr>
          <w:rFonts w:ascii="Cambria Math" w:hAnsi="Cambria Math" w:cs="Cambria Math"/>
          <w:color w:val="000000" w:themeColor="text1"/>
        </w:rPr>
        <w:t>⁺</w:t>
      </w:r>
      <w:r w:rsidRPr="00D603C0">
        <w:rPr>
          <w:rFonts w:ascii="Arial" w:hAnsi="Arial" w:cs="Arial"/>
          <w:color w:val="000000" w:themeColor="text1"/>
        </w:rPr>
        <w:t xml:space="preserve"> and K</w:t>
      </w:r>
      <w:r w:rsidRPr="00D603C0">
        <w:rPr>
          <w:rFonts w:ascii="Cambria Math" w:hAnsi="Cambria Math" w:cs="Cambria Math"/>
          <w:color w:val="000000" w:themeColor="text1"/>
        </w:rPr>
        <w:t>⁺</w:t>
      </w:r>
      <w:r w:rsidRPr="00D603C0">
        <w:rPr>
          <w:rFonts w:ascii="Arial" w:hAnsi="Arial" w:cs="Arial"/>
          <w:color w:val="000000" w:themeColor="text1"/>
        </w:rPr>
        <w:t xml:space="preserve"> concentrations were obtained from calibration curves of NaCl and KCl standards.</w:t>
      </w:r>
    </w:p>
    <w:p w14:paraId="0F9B3AE5" w14:textId="77777777" w:rsidR="00477FBD" w:rsidRPr="00D603C0" w:rsidRDefault="00477FBD" w:rsidP="00D603C0">
      <w:pPr>
        <w:pStyle w:val="Heading2"/>
        <w:spacing w:line="360" w:lineRule="auto"/>
        <w:jc w:val="both"/>
        <w:rPr>
          <w:rFonts w:ascii="Arial" w:hAnsi="Arial" w:cs="Arial"/>
          <w:color w:val="000000" w:themeColor="text1"/>
          <w:sz w:val="20"/>
          <w:szCs w:val="20"/>
        </w:rPr>
      </w:pPr>
      <w:r w:rsidRPr="00D603C0">
        <w:rPr>
          <w:rFonts w:ascii="Arial" w:hAnsi="Arial" w:cs="Arial"/>
          <w:color w:val="000000" w:themeColor="text1"/>
          <w:sz w:val="20"/>
          <w:szCs w:val="20"/>
        </w:rPr>
        <w:t>2.2.13. Determination of Cation Exchange Capacity (CEC)</w:t>
      </w:r>
    </w:p>
    <w:p w14:paraId="61FCD632" w14:textId="77777777" w:rsidR="007D1F13" w:rsidRPr="007D1F13" w:rsidRDefault="00477FBD" w:rsidP="00D603C0">
      <w:pPr>
        <w:spacing w:line="360" w:lineRule="auto"/>
        <w:jc w:val="both"/>
        <w:rPr>
          <w:rFonts w:ascii="Arial" w:hAnsi="Arial" w:cs="Arial"/>
          <w:color w:val="000000" w:themeColor="text1"/>
          <w:u w:val="single"/>
        </w:rPr>
      </w:pPr>
      <w:r w:rsidRPr="00D603C0">
        <w:rPr>
          <w:rFonts w:ascii="Arial" w:hAnsi="Arial" w:cs="Arial"/>
          <w:color w:val="000000" w:themeColor="text1"/>
        </w:rPr>
        <w:t>CEC was determined by the ammonium acetate</w:t>
      </w:r>
      <w:r w:rsidR="007D1F13">
        <w:rPr>
          <w:rFonts w:ascii="Arial" w:hAnsi="Arial" w:cs="Arial"/>
          <w:color w:val="000000" w:themeColor="text1"/>
        </w:rPr>
        <w:t xml:space="preserve"> </w:t>
      </w:r>
      <w:r w:rsidRPr="00D603C0">
        <w:rPr>
          <w:rFonts w:ascii="Arial" w:hAnsi="Arial" w:cs="Arial"/>
          <w:color w:val="000000" w:themeColor="text1"/>
        </w:rPr>
        <w:t>sodium replacement method (Black, 1965). 5.0 g of soil was saturated with 1N NH4OAc (pH 7.0), washed with ethanol, and displaced with 1N NaCl. The displaced NH4</w:t>
      </w:r>
      <w:r w:rsidRPr="00D603C0">
        <w:rPr>
          <w:rFonts w:ascii="Cambria Math" w:hAnsi="Cambria Math" w:cs="Cambria Math"/>
          <w:color w:val="000000" w:themeColor="text1"/>
        </w:rPr>
        <w:t>⁺</w:t>
      </w:r>
      <w:r w:rsidRPr="00D603C0">
        <w:rPr>
          <w:rFonts w:ascii="Arial" w:hAnsi="Arial" w:cs="Arial"/>
          <w:color w:val="000000" w:themeColor="text1"/>
        </w:rPr>
        <w:t xml:space="preserve"> was distilled with 10% NaOH and titrated with 0.01N H2SO4. CEC (</w:t>
      </w:r>
      <w:proofErr w:type="spellStart"/>
      <w:r w:rsidRPr="00D603C0">
        <w:rPr>
          <w:rFonts w:ascii="Arial" w:hAnsi="Arial" w:cs="Arial"/>
          <w:color w:val="000000" w:themeColor="text1"/>
        </w:rPr>
        <w:t>cmol</w:t>
      </w:r>
      <w:proofErr w:type="spellEnd"/>
      <w:r w:rsidRPr="00D603C0">
        <w:rPr>
          <w:rFonts w:ascii="Arial" w:hAnsi="Arial" w:cs="Arial"/>
          <w:color w:val="000000" w:themeColor="text1"/>
        </w:rPr>
        <w:t xml:space="preserve">/kg) = </w:t>
      </w:r>
      <w:r w:rsidRPr="007D1F13">
        <w:rPr>
          <w:rFonts w:ascii="Arial" w:hAnsi="Arial" w:cs="Arial"/>
          <w:color w:val="000000" w:themeColor="text1"/>
          <w:u w:val="single"/>
        </w:rPr>
        <w:t xml:space="preserve">((V1 - V2) × N × 100) </w:t>
      </w:r>
    </w:p>
    <w:p w14:paraId="512F22BB" w14:textId="3CF6C553" w:rsidR="00477FBD" w:rsidRPr="00D603C0" w:rsidRDefault="00477FBD" w:rsidP="007D1F13">
      <w:pPr>
        <w:spacing w:line="360" w:lineRule="auto"/>
        <w:ind w:left="1440" w:firstLine="720"/>
        <w:jc w:val="both"/>
        <w:rPr>
          <w:rFonts w:ascii="Arial" w:hAnsi="Arial" w:cs="Arial"/>
          <w:color w:val="000000" w:themeColor="text1"/>
        </w:rPr>
      </w:pPr>
      <w:r w:rsidRPr="00D603C0">
        <w:rPr>
          <w:rFonts w:ascii="Arial" w:hAnsi="Arial" w:cs="Arial"/>
          <w:color w:val="000000" w:themeColor="text1"/>
        </w:rPr>
        <w:t>W.</w:t>
      </w:r>
    </w:p>
    <w:p w14:paraId="0E17B258" w14:textId="77777777" w:rsidR="007D1F13" w:rsidRDefault="00477FBD" w:rsidP="007D1F13">
      <w:pPr>
        <w:pStyle w:val="NormalWeb"/>
        <w:spacing w:after="0" w:afterAutospacing="0"/>
        <w:jc w:val="both"/>
        <w:rPr>
          <w:rFonts w:ascii="Arial" w:hAnsi="Arial" w:cs="Arial"/>
          <w:bCs/>
          <w:sz w:val="20"/>
          <w:szCs w:val="20"/>
        </w:rPr>
      </w:pPr>
      <w:r w:rsidRPr="007D1F13">
        <w:rPr>
          <w:rStyle w:val="Strong"/>
          <w:rFonts w:ascii="Arial" w:hAnsi="Arial" w:cs="Arial"/>
          <w:bCs w:val="0"/>
          <w:sz w:val="20"/>
          <w:szCs w:val="20"/>
        </w:rPr>
        <w:t>2.3.14 Bacteriological Isolation and Identification Procedures</w:t>
      </w:r>
    </w:p>
    <w:p w14:paraId="72673088" w14:textId="12CC5543" w:rsidR="00477FBD" w:rsidRPr="007D1F13" w:rsidRDefault="00477FBD" w:rsidP="00DC1E05">
      <w:pPr>
        <w:pStyle w:val="NormalWeb"/>
        <w:spacing w:after="0" w:afterAutospacing="0" w:line="360" w:lineRule="auto"/>
        <w:jc w:val="both"/>
        <w:rPr>
          <w:rFonts w:ascii="Arial" w:hAnsi="Arial" w:cs="Arial"/>
          <w:bCs/>
          <w:sz w:val="20"/>
          <w:szCs w:val="20"/>
        </w:rPr>
      </w:pPr>
      <w:r w:rsidRPr="00D603C0">
        <w:rPr>
          <w:rFonts w:ascii="Arial" w:hAnsi="Arial" w:cs="Arial"/>
          <w:sz w:val="20"/>
          <w:szCs w:val="20"/>
        </w:rPr>
        <w:t xml:space="preserve">Soil samples were processed for bacteriological analysis by aseptically suspending 10 g of soil in 90 mL sterile 0.85% saline and performing serial ten-fold dilutions. Aliquots (0.1 mL) of appropriate dilutions were spread onto Tryptic Soy Agar, MacConkey Agar, Mannitol Salt Agar, Starch Casein Agar and </w:t>
      </w:r>
      <w:proofErr w:type="spellStart"/>
      <w:r w:rsidRPr="00D603C0">
        <w:rPr>
          <w:rFonts w:ascii="Arial" w:hAnsi="Arial" w:cs="Arial"/>
          <w:sz w:val="20"/>
          <w:szCs w:val="20"/>
        </w:rPr>
        <w:t>Pikovaskaya</w:t>
      </w:r>
      <w:proofErr w:type="spellEnd"/>
      <w:r w:rsidRPr="00D603C0">
        <w:rPr>
          <w:rFonts w:ascii="Arial" w:hAnsi="Arial" w:cs="Arial"/>
          <w:sz w:val="20"/>
          <w:szCs w:val="20"/>
        </w:rPr>
        <w:t xml:space="preserve"> Agar</w:t>
      </w:r>
      <w:r w:rsidR="00D066C7">
        <w:rPr>
          <w:rFonts w:ascii="Arial" w:hAnsi="Arial" w:cs="Arial"/>
          <w:sz w:val="20"/>
          <w:szCs w:val="20"/>
        </w:rPr>
        <w:t xml:space="preserve"> (</w:t>
      </w:r>
      <w:proofErr w:type="spellStart"/>
      <w:r w:rsidR="009C31BF">
        <w:rPr>
          <w:rFonts w:ascii="Arial" w:hAnsi="Arial" w:cs="Arial"/>
          <w:sz w:val="20"/>
          <w:szCs w:val="20"/>
        </w:rPr>
        <w:t>Ataikiru</w:t>
      </w:r>
      <w:proofErr w:type="spellEnd"/>
      <w:r w:rsidR="009C31BF">
        <w:rPr>
          <w:rFonts w:ascii="Arial" w:hAnsi="Arial" w:cs="Arial"/>
          <w:sz w:val="20"/>
          <w:szCs w:val="20"/>
        </w:rPr>
        <w:t xml:space="preserve"> et al., 2020; </w:t>
      </w:r>
      <w:proofErr w:type="spellStart"/>
      <w:r w:rsidR="00D066C7">
        <w:rPr>
          <w:rFonts w:ascii="Arial" w:hAnsi="Arial" w:cs="Arial"/>
          <w:sz w:val="20"/>
          <w:szCs w:val="20"/>
        </w:rPr>
        <w:t>Ajuzieogu</w:t>
      </w:r>
      <w:proofErr w:type="spellEnd"/>
      <w:r w:rsidR="00D066C7">
        <w:rPr>
          <w:rFonts w:ascii="Arial" w:hAnsi="Arial" w:cs="Arial"/>
          <w:sz w:val="20"/>
          <w:szCs w:val="20"/>
        </w:rPr>
        <w:t xml:space="preserve"> et al., 2025)</w:t>
      </w:r>
      <w:r w:rsidRPr="00D603C0">
        <w:rPr>
          <w:rFonts w:ascii="Arial" w:hAnsi="Arial" w:cs="Arial"/>
          <w:sz w:val="20"/>
          <w:szCs w:val="20"/>
        </w:rPr>
        <w:t>. The plates were incubated in an inverted position at 37°C for 24 – 48 h. Following incubation, visible colonies were counted using a digital colony counter, and results were expressed as colony-forming units per gram (CFU/g) of soil using the formula:</w:t>
      </w:r>
    </w:p>
    <w:p w14:paraId="057EE4E9" w14:textId="77777777" w:rsidR="007D1F13" w:rsidRDefault="00477FBD" w:rsidP="00DC1E05">
      <w:pPr>
        <w:spacing w:line="360" w:lineRule="auto"/>
        <w:jc w:val="both"/>
        <w:rPr>
          <w:rFonts w:ascii="Arial" w:hAnsi="Arial" w:cs="Arial"/>
        </w:rPr>
      </w:pPr>
      <w:r w:rsidRPr="00D603C0">
        <w:rPr>
          <w:rFonts w:ascii="Arial" w:hAnsi="Arial" w:cs="Arial"/>
        </w:rPr>
        <w:t xml:space="preserve">CFU/g= </w:t>
      </w:r>
      <w:r w:rsidRPr="007D1F13">
        <w:rPr>
          <w:rFonts w:ascii="Arial" w:hAnsi="Arial" w:cs="Arial"/>
          <w:u w:val="single"/>
        </w:rPr>
        <w:t>Number of colonies × Dilution factor</w:t>
      </w:r>
      <w:r w:rsidRPr="00D603C0">
        <w:rPr>
          <w:rFonts w:ascii="Arial" w:hAnsi="Arial" w:cs="Arial"/>
        </w:rPr>
        <w:t>​</w:t>
      </w:r>
    </w:p>
    <w:p w14:paraId="7BBDB595" w14:textId="3B4C9F0F" w:rsidR="00477FBD" w:rsidRPr="00D603C0" w:rsidRDefault="00477FBD" w:rsidP="00DC1E05">
      <w:pPr>
        <w:spacing w:line="360" w:lineRule="auto"/>
        <w:ind w:left="720" w:firstLine="720"/>
        <w:jc w:val="both"/>
        <w:rPr>
          <w:rFonts w:ascii="Arial" w:hAnsi="Arial" w:cs="Arial"/>
        </w:rPr>
      </w:pPr>
      <w:r w:rsidRPr="00D603C0">
        <w:rPr>
          <w:rFonts w:ascii="Arial" w:hAnsi="Arial" w:cs="Arial"/>
        </w:rPr>
        <w:t>Volume plated (mL)</w:t>
      </w:r>
    </w:p>
    <w:p w14:paraId="76267931" w14:textId="78D43DE8" w:rsidR="00477FBD" w:rsidRPr="00D603C0" w:rsidRDefault="00477FBD" w:rsidP="00DC1E05">
      <w:pPr>
        <w:spacing w:line="360" w:lineRule="auto"/>
        <w:jc w:val="both"/>
        <w:rPr>
          <w:rFonts w:ascii="Arial" w:hAnsi="Arial" w:cs="Arial"/>
        </w:rPr>
      </w:pPr>
      <w:r w:rsidRPr="00D603C0">
        <w:rPr>
          <w:rFonts w:ascii="Arial" w:hAnsi="Arial" w:cs="Arial"/>
        </w:rPr>
        <w:t xml:space="preserve">Distinct colonies were purified by sub-culture to obtain single isolates. Isolates were characterized by colony morphology and Gram staining, and screened with routine biochemical tests (catalase, oxidase, coagulase, </w:t>
      </w:r>
      <w:proofErr w:type="spellStart"/>
      <w:r w:rsidRPr="00D603C0">
        <w:rPr>
          <w:rFonts w:ascii="Arial" w:hAnsi="Arial" w:cs="Arial"/>
        </w:rPr>
        <w:t>IMViC</w:t>
      </w:r>
      <w:proofErr w:type="spellEnd"/>
      <w:r w:rsidRPr="00D603C0">
        <w:rPr>
          <w:rFonts w:ascii="Arial" w:hAnsi="Arial" w:cs="Arial"/>
        </w:rPr>
        <w:t>, urease, citrate, motility and spore staining) and growth/fermentation properties. Species-level identification was confirmed using API 20E/20NE and API 50CH (bioMérieux). Isolates were assigned laboratory codes (T1–T8, MC1 – MC5, MS1- MS4) and matched to original sample identities</w:t>
      </w:r>
      <w:r w:rsidR="009C31BF">
        <w:rPr>
          <w:rFonts w:ascii="Arial" w:hAnsi="Arial" w:cs="Arial"/>
        </w:rPr>
        <w:t xml:space="preserve"> (</w:t>
      </w:r>
      <w:proofErr w:type="spellStart"/>
      <w:r w:rsidR="009C31BF">
        <w:rPr>
          <w:rFonts w:ascii="Arial" w:hAnsi="Arial" w:cs="Arial"/>
        </w:rPr>
        <w:t>Ajuzieogu</w:t>
      </w:r>
      <w:proofErr w:type="spellEnd"/>
      <w:r w:rsidR="009C31BF">
        <w:rPr>
          <w:rFonts w:ascii="Arial" w:hAnsi="Arial" w:cs="Arial"/>
        </w:rPr>
        <w:t xml:space="preserve"> et al., 2024)</w:t>
      </w:r>
      <w:r w:rsidRPr="00D603C0">
        <w:rPr>
          <w:rFonts w:ascii="Arial" w:hAnsi="Arial" w:cs="Arial"/>
        </w:rPr>
        <w:t>.</w:t>
      </w:r>
    </w:p>
    <w:p w14:paraId="3D045193" w14:textId="2B31FC62" w:rsidR="00477FBD" w:rsidRPr="00D603C0" w:rsidRDefault="00477FBD" w:rsidP="00D603C0">
      <w:pPr>
        <w:spacing w:line="360" w:lineRule="auto"/>
        <w:jc w:val="both"/>
        <w:rPr>
          <w:rFonts w:ascii="Arial" w:hAnsi="Arial" w:cs="Arial"/>
        </w:rPr>
      </w:pPr>
      <w:r w:rsidRPr="00D603C0">
        <w:rPr>
          <w:rStyle w:val="Strong"/>
          <w:rFonts w:ascii="Arial" w:hAnsi="Arial" w:cs="Arial"/>
          <w:b w:val="0"/>
        </w:rPr>
        <w:lastRenderedPageBreak/>
        <w:t>2.2.15 Statistical Analysis</w:t>
      </w:r>
      <w:r w:rsidRPr="00D603C0">
        <w:rPr>
          <w:rFonts w:ascii="Arial" w:hAnsi="Arial" w:cs="Arial"/>
        </w:rPr>
        <w:br/>
        <w:t xml:space="preserve"> Data were analyzed using a </w:t>
      </w:r>
      <w:r w:rsidRPr="00D603C0">
        <w:rPr>
          <w:rStyle w:val="Strong"/>
          <w:rFonts w:ascii="Arial" w:hAnsi="Arial" w:cs="Arial"/>
          <w:b w:val="0"/>
        </w:rPr>
        <w:t>one-way analysis of variance (ANOVA)</w:t>
      </w:r>
      <w:r w:rsidRPr="00D603C0">
        <w:rPr>
          <w:rFonts w:ascii="Arial" w:hAnsi="Arial" w:cs="Arial"/>
        </w:rPr>
        <w:t xml:space="preserve"> to assess whether significant differences existed am</w:t>
      </w:r>
      <w:r w:rsidR="008B5BAA">
        <w:rPr>
          <w:rFonts w:ascii="Arial" w:hAnsi="Arial" w:cs="Arial"/>
        </w:rPr>
        <w:t xml:space="preserve">ong the three sampling sites </w:t>
      </w:r>
      <w:r w:rsidR="00DC1E05">
        <w:rPr>
          <w:rStyle w:val="Strong"/>
          <w:rFonts w:ascii="Arial" w:hAnsi="Arial" w:cs="Arial"/>
          <w:b w:val="0"/>
        </w:rPr>
        <w:t xml:space="preserve">AFS 1, AFS 2, and </w:t>
      </w:r>
      <w:r w:rsidRPr="00D603C0">
        <w:rPr>
          <w:rStyle w:val="Strong"/>
          <w:rFonts w:ascii="Arial" w:hAnsi="Arial" w:cs="Arial"/>
          <w:b w:val="0"/>
        </w:rPr>
        <w:t>C</w:t>
      </w:r>
      <w:r w:rsidR="00DC1E05">
        <w:rPr>
          <w:rStyle w:val="Strong"/>
          <w:rFonts w:ascii="Arial" w:hAnsi="Arial" w:cs="Arial"/>
          <w:b w:val="0"/>
        </w:rPr>
        <w:t>ontrol</w:t>
      </w:r>
      <w:r w:rsidRPr="00D603C0">
        <w:rPr>
          <w:rFonts w:ascii="Arial" w:hAnsi="Arial" w:cs="Arial"/>
        </w:rPr>
        <w:t xml:space="preserve"> for each measured parameter. Where the ANOVA indicated significant variation, </w:t>
      </w:r>
      <w:r w:rsidRPr="00D603C0">
        <w:rPr>
          <w:rStyle w:val="Strong"/>
          <w:rFonts w:ascii="Arial" w:hAnsi="Arial" w:cs="Arial"/>
          <w:b w:val="0"/>
        </w:rPr>
        <w:t>Tukey’s Honest Significant Difference (HSD)</w:t>
      </w:r>
      <w:r w:rsidRPr="00D603C0">
        <w:rPr>
          <w:rFonts w:ascii="Arial" w:hAnsi="Arial" w:cs="Arial"/>
        </w:rPr>
        <w:t xml:space="preserve"> post hoc test was applied</w:t>
      </w:r>
      <w:r w:rsidR="00D603C0" w:rsidRPr="00D603C0">
        <w:rPr>
          <w:rFonts w:ascii="Arial" w:hAnsi="Arial" w:cs="Arial"/>
        </w:rPr>
        <w:t>.</w:t>
      </w:r>
    </w:p>
    <w:p w14:paraId="69BA4925" w14:textId="77777777" w:rsidR="00445DD9" w:rsidRPr="00FB3A86" w:rsidRDefault="00445DD9" w:rsidP="00445DD9">
      <w:pPr>
        <w:pStyle w:val="Body"/>
        <w:spacing w:after="0"/>
        <w:rPr>
          <w:rFonts w:ascii="Arial" w:hAnsi="Arial" w:cs="Arial"/>
        </w:rPr>
      </w:pPr>
    </w:p>
    <w:p w14:paraId="2A94FAFE" w14:textId="77777777" w:rsidR="00445DD9" w:rsidRPr="00841042" w:rsidRDefault="00445DD9" w:rsidP="00841042">
      <w:pPr>
        <w:pStyle w:val="Head1"/>
        <w:spacing w:after="0" w:line="360" w:lineRule="auto"/>
        <w:jc w:val="both"/>
        <w:rPr>
          <w:rFonts w:ascii="Arial" w:hAnsi="Arial" w:cs="Arial"/>
          <w:szCs w:val="22"/>
        </w:rPr>
      </w:pPr>
      <w:r w:rsidRPr="00841042">
        <w:rPr>
          <w:rFonts w:ascii="Arial" w:hAnsi="Arial" w:cs="Arial"/>
          <w:szCs w:val="22"/>
        </w:rPr>
        <w:t>3. results and discussion</w:t>
      </w:r>
    </w:p>
    <w:p w14:paraId="306DA0FD" w14:textId="77777777" w:rsidR="00E767AB" w:rsidRPr="00841042" w:rsidRDefault="00E767AB" w:rsidP="00841042">
      <w:pPr>
        <w:spacing w:line="360" w:lineRule="auto"/>
        <w:jc w:val="both"/>
        <w:rPr>
          <w:rFonts w:ascii="Arial" w:hAnsi="Arial" w:cs="Arial"/>
          <w:b/>
          <w:sz w:val="22"/>
          <w:szCs w:val="22"/>
        </w:rPr>
      </w:pPr>
      <w:r w:rsidRPr="00841042">
        <w:rPr>
          <w:rFonts w:ascii="Arial" w:hAnsi="Arial" w:cs="Arial"/>
          <w:b/>
          <w:sz w:val="22"/>
          <w:szCs w:val="22"/>
        </w:rPr>
        <w:t>3.1 Soil Physico-chemical Analysis</w:t>
      </w:r>
    </w:p>
    <w:p w14:paraId="78C5E505" w14:textId="77777777" w:rsidR="00E767AB" w:rsidRPr="00DC1E05" w:rsidRDefault="00E767AB" w:rsidP="00841042">
      <w:pPr>
        <w:spacing w:line="360" w:lineRule="auto"/>
        <w:jc w:val="both"/>
        <w:rPr>
          <w:rFonts w:ascii="Arial" w:hAnsi="Arial" w:cs="Arial"/>
        </w:rPr>
      </w:pPr>
      <w:r w:rsidRPr="00DC1E05">
        <w:rPr>
          <w:rFonts w:ascii="Arial" w:hAnsi="Arial" w:cs="Arial"/>
        </w:rPr>
        <w:t>The results of the physicochemic</w:t>
      </w:r>
      <w:r w:rsidR="00852833" w:rsidRPr="00DC1E05">
        <w:rPr>
          <w:rFonts w:ascii="Arial" w:hAnsi="Arial" w:cs="Arial"/>
        </w:rPr>
        <w:t>al analysis of the pepper farms</w:t>
      </w:r>
      <w:r w:rsidRPr="00DC1E05">
        <w:rPr>
          <w:rFonts w:ascii="Arial" w:hAnsi="Arial" w:cs="Arial"/>
        </w:rPr>
        <w:t xml:space="preserve"> and the control are presented in Table 1.</w:t>
      </w:r>
    </w:p>
    <w:p w14:paraId="5AEFEC39" w14:textId="77777777" w:rsidR="00852833" w:rsidRPr="00DC1E05" w:rsidRDefault="00852833" w:rsidP="00841042">
      <w:pPr>
        <w:spacing w:line="360" w:lineRule="auto"/>
        <w:jc w:val="both"/>
        <w:rPr>
          <w:rFonts w:ascii="Arial" w:hAnsi="Arial" w:cs="Arial"/>
          <w:b/>
        </w:rPr>
      </w:pPr>
      <w:r w:rsidRPr="00DC1E05">
        <w:rPr>
          <w:rFonts w:ascii="Arial" w:hAnsi="Arial" w:cs="Arial"/>
          <w:b/>
        </w:rPr>
        <w:t>Table 1: Physicochemical characteristics of the various farms during study</w:t>
      </w:r>
    </w:p>
    <w:tbl>
      <w:tblPr>
        <w:tblStyle w:val="ListTable6Colorful"/>
        <w:tblpPr w:leftFromText="180" w:rightFromText="180" w:vertAnchor="text" w:tblpY="231"/>
        <w:tblW w:w="9180" w:type="dxa"/>
        <w:tblLook w:val="04A0" w:firstRow="1" w:lastRow="0" w:firstColumn="1" w:lastColumn="0" w:noHBand="0" w:noVBand="1"/>
      </w:tblPr>
      <w:tblGrid>
        <w:gridCol w:w="2405"/>
        <w:gridCol w:w="1956"/>
        <w:gridCol w:w="2410"/>
        <w:gridCol w:w="2409"/>
      </w:tblGrid>
      <w:tr w:rsidR="00E767AB" w:rsidRPr="00DC1E05" w14:paraId="45F3DFFE" w14:textId="77777777" w:rsidTr="008B5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4626D7" w14:textId="77777777" w:rsidR="00E767AB" w:rsidRPr="00DC1E05" w:rsidRDefault="00E767AB" w:rsidP="00841042">
            <w:pPr>
              <w:jc w:val="both"/>
              <w:rPr>
                <w:rFonts w:ascii="Arial" w:hAnsi="Arial" w:cs="Arial"/>
              </w:rPr>
            </w:pPr>
            <w:r w:rsidRPr="00DC1E05">
              <w:rPr>
                <w:rFonts w:ascii="Arial" w:hAnsi="Arial" w:cs="Arial"/>
              </w:rPr>
              <w:t>Parameter</w:t>
            </w:r>
          </w:p>
        </w:tc>
        <w:tc>
          <w:tcPr>
            <w:tcW w:w="1956" w:type="dxa"/>
          </w:tcPr>
          <w:p w14:paraId="3B4CE1AB" w14:textId="77777777" w:rsidR="00E767AB" w:rsidRPr="00DC1E05" w:rsidRDefault="00773C48" w:rsidP="0084104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AFS</w:t>
            </w:r>
            <w:r w:rsidR="00E767AB" w:rsidRPr="00DC1E05">
              <w:rPr>
                <w:rFonts w:ascii="Arial" w:hAnsi="Arial" w:cs="Arial"/>
              </w:rPr>
              <w:t xml:space="preserve"> 1 (Mean ± SE)</w:t>
            </w:r>
          </w:p>
        </w:tc>
        <w:tc>
          <w:tcPr>
            <w:tcW w:w="2410" w:type="dxa"/>
          </w:tcPr>
          <w:p w14:paraId="0F7A359D" w14:textId="77777777" w:rsidR="00E767AB" w:rsidRPr="00DC1E05" w:rsidRDefault="00773C48" w:rsidP="00852833">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A</w:t>
            </w:r>
            <w:r w:rsidR="00E767AB" w:rsidRPr="00DC1E05">
              <w:rPr>
                <w:rFonts w:ascii="Arial" w:hAnsi="Arial" w:cs="Arial"/>
              </w:rPr>
              <w:t>F</w:t>
            </w:r>
            <w:r w:rsidRPr="00DC1E05">
              <w:rPr>
                <w:rFonts w:ascii="Arial" w:hAnsi="Arial" w:cs="Arial"/>
              </w:rPr>
              <w:t>S</w:t>
            </w:r>
            <w:r w:rsidR="00852833" w:rsidRPr="00DC1E05">
              <w:rPr>
                <w:rFonts w:ascii="Arial" w:hAnsi="Arial" w:cs="Arial"/>
              </w:rPr>
              <w:t xml:space="preserve"> </w:t>
            </w:r>
            <w:r w:rsidR="00E767AB" w:rsidRPr="00DC1E05">
              <w:rPr>
                <w:rFonts w:ascii="Arial" w:hAnsi="Arial" w:cs="Arial"/>
              </w:rPr>
              <w:t xml:space="preserve"> 2 (Mean ± SE)</w:t>
            </w:r>
          </w:p>
        </w:tc>
        <w:tc>
          <w:tcPr>
            <w:tcW w:w="2409" w:type="dxa"/>
          </w:tcPr>
          <w:p w14:paraId="5E678F5E" w14:textId="77777777" w:rsidR="00E767AB" w:rsidRPr="00DC1E05" w:rsidRDefault="00E767AB" w:rsidP="0084104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Control (Mean ± SE)</w:t>
            </w:r>
          </w:p>
        </w:tc>
      </w:tr>
      <w:tr w:rsidR="00E767AB" w:rsidRPr="00DC1E05" w14:paraId="6FD270F8"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7E4DAC1" w14:textId="77777777" w:rsidR="00E767AB" w:rsidRPr="00DC1E05" w:rsidRDefault="00E767AB" w:rsidP="00841042">
            <w:pPr>
              <w:jc w:val="both"/>
              <w:rPr>
                <w:rFonts w:ascii="Arial" w:hAnsi="Arial" w:cs="Arial"/>
                <w:b w:val="0"/>
              </w:rPr>
            </w:pPr>
            <w:r w:rsidRPr="00DC1E05">
              <w:rPr>
                <w:rFonts w:ascii="Arial" w:hAnsi="Arial" w:cs="Arial"/>
                <w:b w:val="0"/>
              </w:rPr>
              <w:t>% Sand</w:t>
            </w:r>
          </w:p>
        </w:tc>
        <w:tc>
          <w:tcPr>
            <w:tcW w:w="1956" w:type="dxa"/>
            <w:shd w:val="clear" w:color="auto" w:fill="auto"/>
          </w:tcPr>
          <w:p w14:paraId="61A902E4"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76.7 ± 0.0307</w:t>
            </w:r>
          </w:p>
        </w:tc>
        <w:tc>
          <w:tcPr>
            <w:tcW w:w="2410" w:type="dxa"/>
            <w:shd w:val="clear" w:color="auto" w:fill="auto"/>
          </w:tcPr>
          <w:p w14:paraId="2BE0CA6F"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59.3 ± 0.0598</w:t>
            </w:r>
          </w:p>
        </w:tc>
        <w:tc>
          <w:tcPr>
            <w:tcW w:w="2409" w:type="dxa"/>
            <w:shd w:val="clear" w:color="auto" w:fill="auto"/>
          </w:tcPr>
          <w:p w14:paraId="69C2C37D"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63.4 ± 0.0272</w:t>
            </w:r>
          </w:p>
        </w:tc>
      </w:tr>
      <w:tr w:rsidR="00E767AB" w:rsidRPr="00DC1E05" w14:paraId="00E65D75"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7744BCC5" w14:textId="77777777" w:rsidR="00E767AB" w:rsidRPr="00DC1E05" w:rsidRDefault="00E767AB" w:rsidP="00841042">
            <w:pPr>
              <w:jc w:val="both"/>
              <w:rPr>
                <w:rFonts w:ascii="Arial" w:hAnsi="Arial" w:cs="Arial"/>
                <w:b w:val="0"/>
              </w:rPr>
            </w:pPr>
            <w:r w:rsidRPr="00DC1E05">
              <w:rPr>
                <w:rFonts w:ascii="Arial" w:hAnsi="Arial" w:cs="Arial"/>
                <w:b w:val="0"/>
              </w:rPr>
              <w:t>% Silt</w:t>
            </w:r>
          </w:p>
        </w:tc>
        <w:tc>
          <w:tcPr>
            <w:tcW w:w="1956" w:type="dxa"/>
          </w:tcPr>
          <w:p w14:paraId="230ADA50"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18.4 ± 0.0776</w:t>
            </w:r>
          </w:p>
        </w:tc>
        <w:tc>
          <w:tcPr>
            <w:tcW w:w="2410" w:type="dxa"/>
          </w:tcPr>
          <w:p w14:paraId="7265F591"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32.6 ± 0.0423</w:t>
            </w:r>
          </w:p>
        </w:tc>
        <w:tc>
          <w:tcPr>
            <w:tcW w:w="2409" w:type="dxa"/>
          </w:tcPr>
          <w:p w14:paraId="4C8AB8F5"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30.8 ± 0.0728</w:t>
            </w:r>
          </w:p>
        </w:tc>
      </w:tr>
      <w:tr w:rsidR="00E767AB" w:rsidRPr="00DC1E05" w14:paraId="24FA6987"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09C0BCD" w14:textId="77777777" w:rsidR="00E767AB" w:rsidRPr="00DC1E05" w:rsidRDefault="00E767AB" w:rsidP="00841042">
            <w:pPr>
              <w:jc w:val="both"/>
              <w:rPr>
                <w:rFonts w:ascii="Arial" w:hAnsi="Arial" w:cs="Arial"/>
                <w:b w:val="0"/>
              </w:rPr>
            </w:pPr>
            <w:r w:rsidRPr="00DC1E05">
              <w:rPr>
                <w:rFonts w:ascii="Arial" w:hAnsi="Arial" w:cs="Arial"/>
                <w:b w:val="0"/>
              </w:rPr>
              <w:t>% Clay</w:t>
            </w:r>
          </w:p>
        </w:tc>
        <w:tc>
          <w:tcPr>
            <w:tcW w:w="1956" w:type="dxa"/>
            <w:shd w:val="clear" w:color="auto" w:fill="auto"/>
          </w:tcPr>
          <w:p w14:paraId="1D7D7717"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4.9 ± 0.0514</w:t>
            </w:r>
          </w:p>
        </w:tc>
        <w:tc>
          <w:tcPr>
            <w:tcW w:w="2410" w:type="dxa"/>
            <w:shd w:val="clear" w:color="auto" w:fill="auto"/>
          </w:tcPr>
          <w:p w14:paraId="714E747F"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8.1 ± 0.0935</w:t>
            </w:r>
          </w:p>
        </w:tc>
        <w:tc>
          <w:tcPr>
            <w:tcW w:w="2409" w:type="dxa"/>
            <w:shd w:val="clear" w:color="auto" w:fill="auto"/>
          </w:tcPr>
          <w:p w14:paraId="69D82B1A"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5.8 ± 0.110</w:t>
            </w:r>
          </w:p>
        </w:tc>
      </w:tr>
      <w:tr w:rsidR="00E767AB" w:rsidRPr="00DC1E05" w14:paraId="00EC0E8F"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35AF14CB" w14:textId="77777777" w:rsidR="00E767AB" w:rsidRPr="00DC1E05" w:rsidRDefault="006F72E0" w:rsidP="00841042">
            <w:pPr>
              <w:jc w:val="both"/>
              <w:rPr>
                <w:rFonts w:ascii="Arial" w:hAnsi="Arial" w:cs="Arial"/>
                <w:b w:val="0"/>
              </w:rPr>
            </w:pPr>
            <w:r w:rsidRPr="00DC1E05">
              <w:rPr>
                <w:rFonts w:ascii="Arial" w:hAnsi="Arial" w:cs="Arial"/>
                <w:b w:val="0"/>
              </w:rPr>
              <w:t>Ph</w:t>
            </w:r>
          </w:p>
        </w:tc>
        <w:tc>
          <w:tcPr>
            <w:tcW w:w="1956" w:type="dxa"/>
          </w:tcPr>
          <w:p w14:paraId="18BD84CB"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5.63 ± 0.0873</w:t>
            </w:r>
          </w:p>
        </w:tc>
        <w:tc>
          <w:tcPr>
            <w:tcW w:w="2410" w:type="dxa"/>
          </w:tcPr>
          <w:p w14:paraId="399C1971"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5.75 ± 0.0456</w:t>
            </w:r>
          </w:p>
        </w:tc>
        <w:tc>
          <w:tcPr>
            <w:tcW w:w="2409" w:type="dxa"/>
          </w:tcPr>
          <w:p w14:paraId="3488D8A5"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4.56 ± 0.0987</w:t>
            </w:r>
          </w:p>
        </w:tc>
      </w:tr>
      <w:tr w:rsidR="00E767AB" w:rsidRPr="00DC1E05" w14:paraId="279FFBBC"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AF7248A" w14:textId="77777777" w:rsidR="00E767AB" w:rsidRPr="00DC1E05" w:rsidRDefault="00E767AB" w:rsidP="00841042">
            <w:pPr>
              <w:jc w:val="both"/>
              <w:rPr>
                <w:rFonts w:ascii="Arial" w:hAnsi="Arial" w:cs="Arial"/>
                <w:b w:val="0"/>
              </w:rPr>
            </w:pPr>
            <w:r w:rsidRPr="00DC1E05">
              <w:rPr>
                <w:rFonts w:ascii="Arial" w:hAnsi="Arial" w:cs="Arial"/>
                <w:b w:val="0"/>
              </w:rPr>
              <w:t>EC (µS/cm)</w:t>
            </w:r>
          </w:p>
        </w:tc>
        <w:tc>
          <w:tcPr>
            <w:tcW w:w="1956" w:type="dxa"/>
            <w:shd w:val="clear" w:color="auto" w:fill="auto"/>
          </w:tcPr>
          <w:p w14:paraId="7641C2DC"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351 ± 0.0321</w:t>
            </w:r>
          </w:p>
        </w:tc>
        <w:tc>
          <w:tcPr>
            <w:tcW w:w="2410" w:type="dxa"/>
            <w:shd w:val="clear" w:color="auto" w:fill="auto"/>
          </w:tcPr>
          <w:p w14:paraId="53DD598C"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237 ± 0.0612</w:t>
            </w:r>
          </w:p>
        </w:tc>
        <w:tc>
          <w:tcPr>
            <w:tcW w:w="2409" w:type="dxa"/>
            <w:shd w:val="clear" w:color="auto" w:fill="auto"/>
          </w:tcPr>
          <w:p w14:paraId="6DC131CA"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155 ± 0.1015</w:t>
            </w:r>
          </w:p>
        </w:tc>
      </w:tr>
      <w:tr w:rsidR="00E767AB" w:rsidRPr="00DC1E05" w14:paraId="1D934A26"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3F891DC2" w14:textId="77777777" w:rsidR="00E767AB" w:rsidRPr="00DC1E05" w:rsidRDefault="00E767AB" w:rsidP="00841042">
            <w:pPr>
              <w:jc w:val="both"/>
              <w:rPr>
                <w:rFonts w:ascii="Arial" w:hAnsi="Arial" w:cs="Arial"/>
                <w:b w:val="0"/>
              </w:rPr>
            </w:pPr>
            <w:r w:rsidRPr="00DC1E05">
              <w:rPr>
                <w:rFonts w:ascii="Arial" w:hAnsi="Arial" w:cs="Arial"/>
                <w:b w:val="0"/>
              </w:rPr>
              <w:t>M.C (%)</w:t>
            </w:r>
          </w:p>
        </w:tc>
        <w:tc>
          <w:tcPr>
            <w:tcW w:w="1956" w:type="dxa"/>
          </w:tcPr>
          <w:p w14:paraId="0A4779B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28.6 ± 0.0765</w:t>
            </w:r>
          </w:p>
        </w:tc>
        <w:tc>
          <w:tcPr>
            <w:tcW w:w="2410" w:type="dxa"/>
          </w:tcPr>
          <w:p w14:paraId="73160E77"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36.8 ± 0.0346</w:t>
            </w:r>
          </w:p>
        </w:tc>
        <w:tc>
          <w:tcPr>
            <w:tcW w:w="2409" w:type="dxa"/>
          </w:tcPr>
          <w:p w14:paraId="3035DE06"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34.2 ± 0.0296</w:t>
            </w:r>
          </w:p>
        </w:tc>
      </w:tr>
      <w:tr w:rsidR="00E767AB" w:rsidRPr="00DC1E05" w14:paraId="6589DA70"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6904F99" w14:textId="77777777" w:rsidR="00E767AB" w:rsidRPr="00DC1E05" w:rsidRDefault="00E767AB" w:rsidP="00841042">
            <w:pPr>
              <w:jc w:val="both"/>
              <w:rPr>
                <w:rFonts w:ascii="Arial" w:hAnsi="Arial" w:cs="Arial"/>
                <w:b w:val="0"/>
              </w:rPr>
            </w:pPr>
            <w:r w:rsidRPr="00DC1E05">
              <w:rPr>
                <w:rFonts w:ascii="Arial" w:hAnsi="Arial" w:cs="Arial"/>
                <w:b w:val="0"/>
              </w:rPr>
              <w:t>TOC (%)</w:t>
            </w:r>
          </w:p>
        </w:tc>
        <w:tc>
          <w:tcPr>
            <w:tcW w:w="1956" w:type="dxa"/>
            <w:shd w:val="clear" w:color="auto" w:fill="auto"/>
          </w:tcPr>
          <w:p w14:paraId="594A7879"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0.38 ± 0.0238</w:t>
            </w:r>
          </w:p>
        </w:tc>
        <w:tc>
          <w:tcPr>
            <w:tcW w:w="2410" w:type="dxa"/>
            <w:shd w:val="clear" w:color="auto" w:fill="auto"/>
          </w:tcPr>
          <w:p w14:paraId="18FC9645"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0.26 ± 0.0958</w:t>
            </w:r>
          </w:p>
        </w:tc>
        <w:tc>
          <w:tcPr>
            <w:tcW w:w="2409" w:type="dxa"/>
            <w:shd w:val="clear" w:color="auto" w:fill="auto"/>
          </w:tcPr>
          <w:p w14:paraId="2D1DA684"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0.17 ± 0.0857</w:t>
            </w:r>
          </w:p>
        </w:tc>
      </w:tr>
      <w:tr w:rsidR="00E767AB" w:rsidRPr="00DC1E05" w14:paraId="174999F9"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748DD546" w14:textId="77777777" w:rsidR="00E767AB" w:rsidRPr="00DC1E05" w:rsidRDefault="00E767AB" w:rsidP="00841042">
            <w:pPr>
              <w:jc w:val="both"/>
              <w:rPr>
                <w:rFonts w:ascii="Arial" w:hAnsi="Arial" w:cs="Arial"/>
                <w:b w:val="0"/>
              </w:rPr>
            </w:pPr>
            <w:r w:rsidRPr="00DC1E05">
              <w:rPr>
                <w:rFonts w:ascii="Arial" w:hAnsi="Arial" w:cs="Arial"/>
                <w:b w:val="0"/>
              </w:rPr>
              <w:t>TOM (%)</w:t>
            </w:r>
          </w:p>
        </w:tc>
        <w:tc>
          <w:tcPr>
            <w:tcW w:w="1956" w:type="dxa"/>
          </w:tcPr>
          <w:p w14:paraId="003BCF6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0.66 ± 0.1092</w:t>
            </w:r>
          </w:p>
        </w:tc>
        <w:tc>
          <w:tcPr>
            <w:tcW w:w="2410" w:type="dxa"/>
          </w:tcPr>
          <w:p w14:paraId="119138C8"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0.45 ± 0.0264</w:t>
            </w:r>
          </w:p>
        </w:tc>
        <w:tc>
          <w:tcPr>
            <w:tcW w:w="2409" w:type="dxa"/>
          </w:tcPr>
          <w:p w14:paraId="0B3BFC45"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0.29 ± 0.0472</w:t>
            </w:r>
          </w:p>
        </w:tc>
      </w:tr>
      <w:tr w:rsidR="00E767AB" w:rsidRPr="00DC1E05" w14:paraId="605C7721"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DA4A63F" w14:textId="77777777" w:rsidR="00E767AB" w:rsidRPr="00DC1E05" w:rsidRDefault="00E767AB" w:rsidP="00841042">
            <w:pPr>
              <w:jc w:val="both"/>
              <w:rPr>
                <w:rFonts w:ascii="Arial" w:hAnsi="Arial" w:cs="Arial"/>
                <w:b w:val="0"/>
              </w:rPr>
            </w:pPr>
            <w:r w:rsidRPr="00DC1E05">
              <w:rPr>
                <w:rFonts w:ascii="Arial" w:hAnsi="Arial" w:cs="Arial"/>
                <w:b w:val="0"/>
              </w:rPr>
              <w:t>Cl (mg/kg)</w:t>
            </w:r>
          </w:p>
        </w:tc>
        <w:tc>
          <w:tcPr>
            <w:tcW w:w="1956" w:type="dxa"/>
            <w:shd w:val="clear" w:color="auto" w:fill="auto"/>
          </w:tcPr>
          <w:p w14:paraId="308ACB82"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109.79 ± 0.0543</w:t>
            </w:r>
          </w:p>
        </w:tc>
        <w:tc>
          <w:tcPr>
            <w:tcW w:w="2410" w:type="dxa"/>
            <w:shd w:val="clear" w:color="auto" w:fill="auto"/>
          </w:tcPr>
          <w:p w14:paraId="57AE199C"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74.13 ± 0.0793</w:t>
            </w:r>
          </w:p>
        </w:tc>
        <w:tc>
          <w:tcPr>
            <w:tcW w:w="2409" w:type="dxa"/>
            <w:shd w:val="clear" w:color="auto" w:fill="auto"/>
          </w:tcPr>
          <w:p w14:paraId="4D195847"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48.48 ± 0.0694</w:t>
            </w:r>
          </w:p>
        </w:tc>
      </w:tr>
      <w:tr w:rsidR="00E767AB" w:rsidRPr="00DC1E05" w14:paraId="37710E1C"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565316F0" w14:textId="77777777" w:rsidR="00E767AB" w:rsidRPr="00DC1E05" w:rsidRDefault="00E767AB" w:rsidP="00841042">
            <w:pPr>
              <w:jc w:val="both"/>
              <w:rPr>
                <w:rFonts w:ascii="Arial" w:hAnsi="Arial" w:cs="Arial"/>
                <w:b w:val="0"/>
              </w:rPr>
            </w:pPr>
            <w:r w:rsidRPr="00DC1E05">
              <w:rPr>
                <w:rFonts w:ascii="Arial" w:hAnsi="Arial" w:cs="Arial"/>
                <w:b w:val="0"/>
              </w:rPr>
              <w:t>Av. Phosphate (mg/kg)</w:t>
            </w:r>
          </w:p>
        </w:tc>
        <w:tc>
          <w:tcPr>
            <w:tcW w:w="1956" w:type="dxa"/>
          </w:tcPr>
          <w:p w14:paraId="4CA3C8E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3.73 ± 0.0678</w:t>
            </w:r>
          </w:p>
        </w:tc>
        <w:tc>
          <w:tcPr>
            <w:tcW w:w="2410" w:type="dxa"/>
          </w:tcPr>
          <w:p w14:paraId="425E5BD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2.45 ± 0.0581</w:t>
            </w:r>
          </w:p>
        </w:tc>
        <w:tc>
          <w:tcPr>
            <w:tcW w:w="2409" w:type="dxa"/>
          </w:tcPr>
          <w:p w14:paraId="38F55956"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1.8 ± 0.0398</w:t>
            </w:r>
          </w:p>
        </w:tc>
      </w:tr>
      <w:tr w:rsidR="00E767AB" w:rsidRPr="00DC1E05" w14:paraId="5C6B448E"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7372829" w14:textId="77777777" w:rsidR="00E767AB" w:rsidRPr="00DC1E05" w:rsidRDefault="00E767AB" w:rsidP="00841042">
            <w:pPr>
              <w:jc w:val="both"/>
              <w:rPr>
                <w:rFonts w:ascii="Arial" w:hAnsi="Arial" w:cs="Arial"/>
                <w:b w:val="0"/>
              </w:rPr>
            </w:pPr>
            <w:r w:rsidRPr="00DC1E05">
              <w:rPr>
                <w:rFonts w:ascii="Arial" w:hAnsi="Arial" w:cs="Arial"/>
                <w:b w:val="0"/>
              </w:rPr>
              <w:t>Nitrate (mg/kg)</w:t>
            </w:r>
          </w:p>
        </w:tc>
        <w:tc>
          <w:tcPr>
            <w:tcW w:w="1956" w:type="dxa"/>
            <w:shd w:val="clear" w:color="auto" w:fill="auto"/>
          </w:tcPr>
          <w:p w14:paraId="6A0C5428"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1.84 ± 0.0412</w:t>
            </w:r>
          </w:p>
        </w:tc>
        <w:tc>
          <w:tcPr>
            <w:tcW w:w="2410" w:type="dxa"/>
            <w:shd w:val="clear" w:color="auto" w:fill="auto"/>
          </w:tcPr>
          <w:p w14:paraId="76056343"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1.14 ± 0.0437</w:t>
            </w:r>
          </w:p>
        </w:tc>
        <w:tc>
          <w:tcPr>
            <w:tcW w:w="2409" w:type="dxa"/>
            <w:shd w:val="clear" w:color="auto" w:fill="auto"/>
          </w:tcPr>
          <w:p w14:paraId="47BDEE49"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0.75 ± 0.0901</w:t>
            </w:r>
          </w:p>
        </w:tc>
      </w:tr>
      <w:tr w:rsidR="00E767AB" w:rsidRPr="00DC1E05" w14:paraId="20D0BCF1"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1A31D3DB" w14:textId="77777777" w:rsidR="00E767AB" w:rsidRPr="00DC1E05" w:rsidRDefault="00E767AB" w:rsidP="00841042">
            <w:pPr>
              <w:jc w:val="both"/>
              <w:rPr>
                <w:rFonts w:ascii="Arial" w:hAnsi="Arial" w:cs="Arial"/>
                <w:b w:val="0"/>
              </w:rPr>
            </w:pPr>
            <w:r w:rsidRPr="00DC1E05">
              <w:rPr>
                <w:rFonts w:ascii="Arial" w:hAnsi="Arial" w:cs="Arial"/>
                <w:b w:val="0"/>
              </w:rPr>
              <w:t>Sulphate (mg/kg)</w:t>
            </w:r>
          </w:p>
        </w:tc>
        <w:tc>
          <w:tcPr>
            <w:tcW w:w="1956" w:type="dxa"/>
          </w:tcPr>
          <w:p w14:paraId="04992AF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29.76 ± 0.0924</w:t>
            </w:r>
          </w:p>
        </w:tc>
        <w:tc>
          <w:tcPr>
            <w:tcW w:w="2410" w:type="dxa"/>
          </w:tcPr>
          <w:p w14:paraId="0312E8C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20.1 ± 0.0886</w:t>
            </w:r>
          </w:p>
        </w:tc>
        <w:tc>
          <w:tcPr>
            <w:tcW w:w="2409" w:type="dxa"/>
          </w:tcPr>
          <w:p w14:paraId="0777FA7A"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13.14 ± 0.0253</w:t>
            </w:r>
          </w:p>
        </w:tc>
      </w:tr>
      <w:tr w:rsidR="00E767AB" w:rsidRPr="00DC1E05" w14:paraId="067C3AAB"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2ED30E1" w14:textId="77777777" w:rsidR="00E767AB" w:rsidRPr="00DC1E05" w:rsidRDefault="00E767AB" w:rsidP="00841042">
            <w:pPr>
              <w:jc w:val="both"/>
              <w:rPr>
                <w:rFonts w:ascii="Arial" w:hAnsi="Arial" w:cs="Arial"/>
                <w:b w:val="0"/>
              </w:rPr>
            </w:pPr>
            <w:r w:rsidRPr="00DC1E05">
              <w:rPr>
                <w:rFonts w:ascii="Arial" w:hAnsi="Arial" w:cs="Arial"/>
                <w:b w:val="0"/>
              </w:rPr>
              <w:t>Ca (mg/kg)</w:t>
            </w:r>
          </w:p>
        </w:tc>
        <w:tc>
          <w:tcPr>
            <w:tcW w:w="1956" w:type="dxa"/>
            <w:shd w:val="clear" w:color="auto" w:fill="auto"/>
          </w:tcPr>
          <w:p w14:paraId="6078C8F8"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223.833 ± 0.0289</w:t>
            </w:r>
          </w:p>
        </w:tc>
        <w:tc>
          <w:tcPr>
            <w:tcW w:w="2410" w:type="dxa"/>
            <w:shd w:val="clear" w:color="auto" w:fill="auto"/>
          </w:tcPr>
          <w:p w14:paraId="14C2AE26"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165.355 ± 0.0315</w:t>
            </w:r>
          </w:p>
        </w:tc>
        <w:tc>
          <w:tcPr>
            <w:tcW w:w="2409" w:type="dxa"/>
            <w:shd w:val="clear" w:color="auto" w:fill="auto"/>
          </w:tcPr>
          <w:p w14:paraId="0B9FA4A6"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111.244 ± 0.0819</w:t>
            </w:r>
          </w:p>
        </w:tc>
      </w:tr>
      <w:tr w:rsidR="00E767AB" w:rsidRPr="00DC1E05" w14:paraId="221D8596"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66E354BC" w14:textId="77777777" w:rsidR="00E767AB" w:rsidRPr="00DC1E05" w:rsidRDefault="00E767AB" w:rsidP="00841042">
            <w:pPr>
              <w:jc w:val="both"/>
              <w:rPr>
                <w:rFonts w:ascii="Arial" w:hAnsi="Arial" w:cs="Arial"/>
                <w:b w:val="0"/>
              </w:rPr>
            </w:pPr>
            <w:r w:rsidRPr="00DC1E05">
              <w:rPr>
                <w:rFonts w:ascii="Arial" w:hAnsi="Arial" w:cs="Arial"/>
                <w:b w:val="0"/>
              </w:rPr>
              <w:t>Mg (mg/kg)</w:t>
            </w:r>
          </w:p>
        </w:tc>
        <w:tc>
          <w:tcPr>
            <w:tcW w:w="1956" w:type="dxa"/>
          </w:tcPr>
          <w:p w14:paraId="3A36AD5A"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60.583 ± 0.0831</w:t>
            </w:r>
          </w:p>
        </w:tc>
        <w:tc>
          <w:tcPr>
            <w:tcW w:w="2410" w:type="dxa"/>
          </w:tcPr>
          <w:p w14:paraId="5EA5359A"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45.646 ± 0.0742</w:t>
            </w:r>
          </w:p>
        </w:tc>
        <w:tc>
          <w:tcPr>
            <w:tcW w:w="2409" w:type="dxa"/>
          </w:tcPr>
          <w:p w14:paraId="030641F8"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32.953 ± 0.0567</w:t>
            </w:r>
          </w:p>
        </w:tc>
      </w:tr>
      <w:tr w:rsidR="00E767AB" w:rsidRPr="00DC1E05" w14:paraId="012256AC"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19A91B3" w14:textId="77777777" w:rsidR="00E767AB" w:rsidRPr="00DC1E05" w:rsidRDefault="00E767AB" w:rsidP="00841042">
            <w:pPr>
              <w:jc w:val="both"/>
              <w:rPr>
                <w:rFonts w:ascii="Arial" w:hAnsi="Arial" w:cs="Arial"/>
                <w:b w:val="0"/>
              </w:rPr>
            </w:pPr>
            <w:r w:rsidRPr="00DC1E05">
              <w:rPr>
                <w:rFonts w:ascii="Arial" w:hAnsi="Arial" w:cs="Arial"/>
                <w:b w:val="0"/>
              </w:rPr>
              <w:t>Na (mg/kg)</w:t>
            </w:r>
          </w:p>
        </w:tc>
        <w:tc>
          <w:tcPr>
            <w:tcW w:w="1956" w:type="dxa"/>
            <w:shd w:val="clear" w:color="auto" w:fill="auto"/>
          </w:tcPr>
          <w:p w14:paraId="01D47871"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16.515 ± 0.0387</w:t>
            </w:r>
          </w:p>
        </w:tc>
        <w:tc>
          <w:tcPr>
            <w:tcW w:w="2410" w:type="dxa"/>
            <w:shd w:val="clear" w:color="auto" w:fill="auto"/>
          </w:tcPr>
          <w:p w14:paraId="4F1D368E"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13.24 ± 0.0528</w:t>
            </w:r>
          </w:p>
        </w:tc>
        <w:tc>
          <w:tcPr>
            <w:tcW w:w="2409" w:type="dxa"/>
            <w:shd w:val="clear" w:color="auto" w:fill="auto"/>
          </w:tcPr>
          <w:p w14:paraId="2EC2C593"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10.025 ± 0.0631</w:t>
            </w:r>
          </w:p>
        </w:tc>
      </w:tr>
      <w:tr w:rsidR="00E767AB" w:rsidRPr="00DC1E05" w14:paraId="2681910D"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1D63B5CA" w14:textId="77777777" w:rsidR="00E767AB" w:rsidRPr="00DC1E05" w:rsidRDefault="00E767AB" w:rsidP="00841042">
            <w:pPr>
              <w:jc w:val="both"/>
              <w:rPr>
                <w:rFonts w:ascii="Arial" w:hAnsi="Arial" w:cs="Arial"/>
                <w:b w:val="0"/>
              </w:rPr>
            </w:pPr>
            <w:r w:rsidRPr="00DC1E05">
              <w:rPr>
                <w:rFonts w:ascii="Arial" w:hAnsi="Arial" w:cs="Arial"/>
                <w:b w:val="0"/>
              </w:rPr>
              <w:t>K (mg/kg)</w:t>
            </w:r>
          </w:p>
        </w:tc>
        <w:tc>
          <w:tcPr>
            <w:tcW w:w="1956" w:type="dxa"/>
          </w:tcPr>
          <w:p w14:paraId="1541CDCB"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26.942 ± 0.0719</w:t>
            </w:r>
          </w:p>
        </w:tc>
        <w:tc>
          <w:tcPr>
            <w:tcW w:w="2410" w:type="dxa"/>
          </w:tcPr>
          <w:p w14:paraId="1880A7B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21.599 ± 0.0649</w:t>
            </w:r>
          </w:p>
        </w:tc>
        <w:tc>
          <w:tcPr>
            <w:tcW w:w="2409" w:type="dxa"/>
          </w:tcPr>
          <w:p w14:paraId="1AAE29A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15.361 ± 0.0359</w:t>
            </w:r>
          </w:p>
        </w:tc>
      </w:tr>
      <w:tr w:rsidR="00E767AB" w:rsidRPr="00DC1E05" w14:paraId="5DF808C1"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3A66E95" w14:textId="77777777" w:rsidR="00E767AB" w:rsidRPr="00DC1E05" w:rsidRDefault="00E767AB" w:rsidP="00841042">
            <w:pPr>
              <w:jc w:val="both"/>
              <w:rPr>
                <w:rFonts w:ascii="Arial" w:hAnsi="Arial" w:cs="Arial"/>
                <w:b w:val="0"/>
              </w:rPr>
            </w:pPr>
            <w:r w:rsidRPr="00DC1E05">
              <w:rPr>
                <w:rFonts w:ascii="Arial" w:hAnsi="Arial" w:cs="Arial"/>
                <w:b w:val="0"/>
              </w:rPr>
              <w:t>CEC</w:t>
            </w:r>
          </w:p>
        </w:tc>
        <w:tc>
          <w:tcPr>
            <w:tcW w:w="1956" w:type="dxa"/>
            <w:shd w:val="clear" w:color="auto" w:fill="auto"/>
          </w:tcPr>
          <w:p w14:paraId="32ED3DEF"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1.76 ± 0.0495</w:t>
            </w:r>
          </w:p>
        </w:tc>
        <w:tc>
          <w:tcPr>
            <w:tcW w:w="2410" w:type="dxa"/>
            <w:shd w:val="clear" w:color="auto" w:fill="auto"/>
          </w:tcPr>
          <w:p w14:paraId="526DB5EA"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1.32 ± 0.0371</w:t>
            </w:r>
          </w:p>
        </w:tc>
        <w:tc>
          <w:tcPr>
            <w:tcW w:w="2409" w:type="dxa"/>
            <w:shd w:val="clear" w:color="auto" w:fill="auto"/>
          </w:tcPr>
          <w:p w14:paraId="55E8C5C5"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0.91 ± 0.0973</w:t>
            </w:r>
          </w:p>
        </w:tc>
      </w:tr>
    </w:tbl>
    <w:p w14:paraId="0F74CD6D" w14:textId="77777777" w:rsidR="00852833" w:rsidRPr="00DC1E05" w:rsidRDefault="00852833" w:rsidP="00E767AB">
      <w:pPr>
        <w:jc w:val="both"/>
        <w:rPr>
          <w:rFonts w:ascii="Arial" w:hAnsi="Arial" w:cs="Arial"/>
          <w:b/>
          <w:color w:val="000000" w:themeColor="text1"/>
        </w:rPr>
      </w:pPr>
    </w:p>
    <w:p w14:paraId="0EF98500" w14:textId="5A345578" w:rsidR="00852833" w:rsidRPr="00DC1E05" w:rsidRDefault="00852833" w:rsidP="00841042">
      <w:pPr>
        <w:spacing w:line="360" w:lineRule="auto"/>
        <w:jc w:val="both"/>
        <w:rPr>
          <w:rFonts w:ascii="Arial" w:hAnsi="Arial" w:cs="Arial"/>
          <w:color w:val="000000" w:themeColor="text1"/>
        </w:rPr>
      </w:pPr>
      <w:r w:rsidRPr="00DC1E05">
        <w:rPr>
          <w:rFonts w:ascii="Arial" w:hAnsi="Arial" w:cs="Arial"/>
          <w:color w:val="000000" w:themeColor="text1"/>
        </w:rPr>
        <w:t>*Values are in mean ± standard error</w:t>
      </w:r>
      <w:r w:rsidR="00D80006" w:rsidRPr="00DC1E05">
        <w:rPr>
          <w:rFonts w:ascii="Arial" w:hAnsi="Arial" w:cs="Arial"/>
          <w:color w:val="000000" w:themeColor="text1"/>
        </w:rPr>
        <w:t>; AFS – Agrochemical farm soil</w:t>
      </w:r>
    </w:p>
    <w:p w14:paraId="156FFF89" w14:textId="4CA853C2" w:rsidR="00E767AB" w:rsidRPr="00DC1E05" w:rsidRDefault="002F2DFB" w:rsidP="00841042">
      <w:pPr>
        <w:spacing w:line="360" w:lineRule="auto"/>
        <w:jc w:val="both"/>
        <w:rPr>
          <w:rFonts w:ascii="Arial" w:hAnsi="Arial" w:cs="Arial"/>
          <w:b/>
          <w:color w:val="000000" w:themeColor="text1"/>
        </w:rPr>
      </w:pPr>
      <w:r w:rsidRPr="00DC1E05">
        <w:rPr>
          <w:rFonts w:ascii="Arial" w:hAnsi="Arial" w:cs="Arial"/>
        </w:rPr>
        <w:t>Results</w:t>
      </w:r>
      <w:r w:rsidR="00E767AB" w:rsidRPr="00DC1E05">
        <w:rPr>
          <w:rFonts w:ascii="Arial" w:hAnsi="Arial" w:cs="Arial"/>
        </w:rPr>
        <w:t xml:space="preserve"> showed significant variations in soil composition and ferti</w:t>
      </w:r>
      <w:r w:rsidRPr="00DC1E05">
        <w:rPr>
          <w:rFonts w:ascii="Arial" w:hAnsi="Arial" w:cs="Arial"/>
        </w:rPr>
        <w:t>lity parameters among the three s</w:t>
      </w:r>
      <w:r w:rsidR="00E767AB" w:rsidRPr="00DC1E05">
        <w:rPr>
          <w:rFonts w:ascii="Arial" w:hAnsi="Arial" w:cs="Arial"/>
        </w:rPr>
        <w:t>ites</w:t>
      </w:r>
      <w:r w:rsidRPr="00DC1E05">
        <w:rPr>
          <w:rFonts w:ascii="Arial" w:hAnsi="Arial" w:cs="Arial"/>
        </w:rPr>
        <w:t xml:space="preserve"> (two pepper farms and a control farm)</w:t>
      </w:r>
      <w:r w:rsidR="00E767AB" w:rsidRPr="00DC1E05">
        <w:rPr>
          <w:rFonts w:ascii="Arial" w:hAnsi="Arial" w:cs="Arial"/>
        </w:rPr>
        <w:t xml:space="preserve"> in </w:t>
      </w:r>
      <w:proofErr w:type="spellStart"/>
      <w:r w:rsidR="00E767AB" w:rsidRPr="00DC1E05">
        <w:rPr>
          <w:rFonts w:ascii="Arial" w:hAnsi="Arial" w:cs="Arial"/>
        </w:rPr>
        <w:t>Ogume</w:t>
      </w:r>
      <w:proofErr w:type="spellEnd"/>
      <w:r w:rsidR="00E767AB" w:rsidRPr="00DC1E05">
        <w:rPr>
          <w:rFonts w:ascii="Arial" w:hAnsi="Arial" w:cs="Arial"/>
        </w:rPr>
        <w:t xml:space="preserve">. </w:t>
      </w:r>
    </w:p>
    <w:p w14:paraId="395D85F2" w14:textId="77777777" w:rsidR="00E767AB" w:rsidRPr="008C66F6" w:rsidRDefault="00E767AB" w:rsidP="00841042">
      <w:pPr>
        <w:pStyle w:val="Heading2"/>
        <w:spacing w:line="360" w:lineRule="auto"/>
        <w:jc w:val="both"/>
        <w:rPr>
          <w:rFonts w:ascii="Arial" w:hAnsi="Arial" w:cs="Arial"/>
          <w:b/>
          <w:color w:val="000000" w:themeColor="text1"/>
          <w:sz w:val="20"/>
          <w:szCs w:val="20"/>
        </w:rPr>
      </w:pPr>
      <w:r w:rsidRPr="008C66F6">
        <w:rPr>
          <w:rFonts w:ascii="Arial" w:hAnsi="Arial" w:cs="Arial"/>
          <w:b/>
          <w:color w:val="000000" w:themeColor="text1"/>
          <w:sz w:val="20"/>
          <w:szCs w:val="20"/>
        </w:rPr>
        <w:t>Soil Texture (% Sand, % Silt, % Clay)</w:t>
      </w:r>
    </w:p>
    <w:p w14:paraId="7719E298" w14:textId="03AB3ADC" w:rsidR="00EE59EC" w:rsidRPr="00DC1E05" w:rsidRDefault="00E767AB" w:rsidP="00841042">
      <w:pPr>
        <w:spacing w:before="100" w:beforeAutospacing="1" w:after="100" w:afterAutospacing="1" w:line="360" w:lineRule="auto"/>
        <w:jc w:val="both"/>
        <w:rPr>
          <w:rFonts w:ascii="Arial" w:hAnsi="Arial" w:cs="Arial"/>
        </w:rPr>
      </w:pPr>
      <w:r w:rsidRPr="00DC1E05">
        <w:rPr>
          <w:rFonts w:ascii="Arial" w:hAnsi="Arial" w:cs="Arial"/>
        </w:rPr>
        <w:t>The percentage of sand was significantly higher in AFS 1 (76.7%) compared to AFS 2 (59.3%) and the Control (63.4%), suggesting that AFS 1 possessed a coarser and</w:t>
      </w:r>
      <w:r w:rsidR="002F2DFB" w:rsidRPr="00DC1E05">
        <w:rPr>
          <w:rFonts w:ascii="Arial" w:hAnsi="Arial" w:cs="Arial"/>
        </w:rPr>
        <w:t xml:space="preserve"> more porous soil texture</w:t>
      </w:r>
      <w:r w:rsidR="00A33855" w:rsidRPr="00DC1E05">
        <w:rPr>
          <w:rFonts w:ascii="Arial" w:hAnsi="Arial" w:cs="Arial"/>
        </w:rPr>
        <w:t xml:space="preserve">. </w:t>
      </w:r>
      <w:r w:rsidR="00EE59EC" w:rsidRPr="00DC1E05">
        <w:rPr>
          <w:rFonts w:ascii="Arial" w:hAnsi="Arial" w:cs="Arial"/>
        </w:rPr>
        <w:t xml:space="preserve">Such soils generally allow for quick percolation of water, leading to the leaching of vital nutrients such as nitrogen, phosphorus, and potassium. This process can reduce the nutrient-holding capacity of the soil and negatively affect crop productivity. Continuous pesticide application in such soils can further degrade soil health by reducing organic matter </w:t>
      </w:r>
      <w:r w:rsidR="00EE59EC" w:rsidRPr="00DC1E05">
        <w:rPr>
          <w:rFonts w:ascii="Arial" w:hAnsi="Arial" w:cs="Arial"/>
        </w:rPr>
        <w:lastRenderedPageBreak/>
        <w:t>and disturbing microbial balance, ultimately impairing essential biological processes like decomposition and nutrient cycling</w:t>
      </w:r>
      <w:r w:rsidR="002F2DFB" w:rsidRPr="00DC1E05">
        <w:rPr>
          <w:rFonts w:ascii="Arial" w:hAnsi="Arial" w:cs="Arial"/>
        </w:rPr>
        <w:t xml:space="preserve"> ((Nwachukwu and Ugwu, 2023).</w:t>
      </w:r>
      <w:r w:rsidR="00EE59EC" w:rsidRPr="00DC1E05">
        <w:rPr>
          <w:rFonts w:ascii="Arial" w:hAnsi="Arial" w:cs="Arial"/>
        </w:rPr>
        <w:t xml:space="preserve"> </w:t>
      </w:r>
    </w:p>
    <w:p w14:paraId="440771B8" w14:textId="445EA3D0" w:rsidR="00EE59EC" w:rsidRPr="00DC1E05" w:rsidRDefault="00EE59EC" w:rsidP="00841042">
      <w:pPr>
        <w:spacing w:before="100" w:beforeAutospacing="1" w:after="100" w:afterAutospacing="1" w:line="360" w:lineRule="auto"/>
        <w:jc w:val="both"/>
        <w:rPr>
          <w:rFonts w:ascii="Arial" w:hAnsi="Arial" w:cs="Arial"/>
        </w:rPr>
      </w:pPr>
      <w:r w:rsidRPr="00DC1E05">
        <w:rPr>
          <w:rFonts w:ascii="Arial" w:hAnsi="Arial" w:cs="Arial"/>
          <w:color w:val="000000" w:themeColor="text1"/>
        </w:rPr>
        <w:t>Agrochemical farm soil</w:t>
      </w:r>
      <w:r w:rsidR="002F2DFB" w:rsidRPr="00DC1E05">
        <w:rPr>
          <w:rFonts w:ascii="Arial" w:hAnsi="Arial" w:cs="Arial"/>
        </w:rPr>
        <w:t xml:space="preserve"> 2 (AFS 2) </w:t>
      </w:r>
      <w:r w:rsidRPr="00DC1E05">
        <w:rPr>
          <w:rFonts w:ascii="Arial" w:hAnsi="Arial" w:cs="Arial"/>
        </w:rPr>
        <w:t xml:space="preserve">contained a higher percentage of silt (32.6%) and clay (8.1%), indicating a finer soil texture with enhanced capacity to retain water and essential nutrients. </w:t>
      </w:r>
      <w:r w:rsidR="002F2DFB" w:rsidRPr="00DC1E05">
        <w:rPr>
          <w:rFonts w:ascii="Arial" w:hAnsi="Arial" w:cs="Arial"/>
        </w:rPr>
        <w:t xml:space="preserve">In contrast, the markedly higher percentages of silt and clay in AFS 2 indicate an increased fine-particle fraction, which could be attributed to structural modifications resulting from continuous agrochemical inputs. This supports the finding of Choudhury et al. (2023). </w:t>
      </w:r>
      <w:r w:rsidRPr="00DC1E05">
        <w:rPr>
          <w:rFonts w:ascii="Arial" w:hAnsi="Arial" w:cs="Arial"/>
        </w:rPr>
        <w:t>Such textural properties often provide a more stable environment for microbial colonization and enzymatic activities, thereby supporting organic matter decomposition and sustaining soil fertility (Rahman et al., 2022; Choudhury et al., 2023). Fine-textured soils also tend to exhibit higher cation exchange capacity (CEC), which facilitates nutrient adsorption and availability for plant uptake (Audu et al., 2023). However, the persistence of pesticides in these soils can lead to their gradual accumulation and potential toxicity to beneficial soil microorganisms, particularly those involved in nitrogen fixation, carbon cycling, and organic matter mineralization (Adeboye et al., 2022; Li et al., 2024). Such pesticide residues may alter microbial community composition and enzymatic balance, resulting in reduced soil productivity over time. The Control site displayed intermediate textural characteristics, serving as a reliable baseline for evaluating how differences in soil structure modulate the extent of pesticide impact on soil fertility and microbial diversit</w:t>
      </w:r>
      <w:r w:rsidR="002F2DFB" w:rsidRPr="00DC1E05">
        <w:rPr>
          <w:rFonts w:ascii="Arial" w:hAnsi="Arial" w:cs="Arial"/>
        </w:rPr>
        <w:t xml:space="preserve">y across the </w:t>
      </w:r>
      <w:proofErr w:type="spellStart"/>
      <w:r w:rsidR="002F2DFB" w:rsidRPr="00DC1E05">
        <w:rPr>
          <w:rFonts w:ascii="Arial" w:hAnsi="Arial" w:cs="Arial"/>
        </w:rPr>
        <w:t>Ogume</w:t>
      </w:r>
      <w:proofErr w:type="spellEnd"/>
      <w:r w:rsidR="002F2DFB" w:rsidRPr="00DC1E05">
        <w:rPr>
          <w:rFonts w:ascii="Arial" w:hAnsi="Arial" w:cs="Arial"/>
        </w:rPr>
        <w:t xml:space="preserve"> pepper farms.</w:t>
      </w:r>
    </w:p>
    <w:p w14:paraId="53E87220" w14:textId="44EB10BA" w:rsidR="00E767AB" w:rsidRPr="00DC1E05" w:rsidRDefault="003D37E8" w:rsidP="00841042">
      <w:pPr>
        <w:spacing w:before="100" w:beforeAutospacing="1" w:after="100" w:afterAutospacing="1" w:line="360" w:lineRule="auto"/>
        <w:jc w:val="both"/>
        <w:rPr>
          <w:rFonts w:ascii="Arial" w:hAnsi="Arial" w:cs="Arial"/>
        </w:rPr>
      </w:pPr>
      <w:r w:rsidRPr="00DC1E05">
        <w:rPr>
          <w:rFonts w:ascii="Arial" w:hAnsi="Arial" w:cs="Arial"/>
        </w:rPr>
        <w:t xml:space="preserve"> </w:t>
      </w:r>
      <w:r w:rsidR="00E767AB" w:rsidRPr="00DC1E05">
        <w:rPr>
          <w:rFonts w:ascii="Arial" w:hAnsi="Arial" w:cs="Arial"/>
        </w:rPr>
        <w:t>Repeated pesticide application has been shown to influence soil aggregation and particle distribution by altering organic matter content and microbial binding agents, leading to finer textures that ret</w:t>
      </w:r>
      <w:r w:rsidRPr="00DC1E05">
        <w:rPr>
          <w:rFonts w:ascii="Arial" w:hAnsi="Arial" w:cs="Arial"/>
        </w:rPr>
        <w:t>a</w:t>
      </w:r>
      <w:r w:rsidR="00FD5E79" w:rsidRPr="00DC1E05">
        <w:rPr>
          <w:rFonts w:ascii="Arial" w:hAnsi="Arial" w:cs="Arial"/>
        </w:rPr>
        <w:t xml:space="preserve">in more moisture and nutrients </w:t>
      </w:r>
      <w:r w:rsidR="00CD2E77" w:rsidRPr="00DC1E05">
        <w:rPr>
          <w:rFonts w:ascii="Arial" w:hAnsi="Arial" w:cs="Arial"/>
        </w:rPr>
        <w:t>(</w:t>
      </w:r>
      <w:r w:rsidR="00E11A9D" w:rsidRPr="00DC1E05">
        <w:rPr>
          <w:rFonts w:ascii="Arial" w:hAnsi="Arial" w:cs="Arial"/>
        </w:rPr>
        <w:t>Usharani</w:t>
      </w:r>
      <w:r w:rsidR="00CD2E77" w:rsidRPr="00DC1E05">
        <w:rPr>
          <w:rFonts w:ascii="Arial" w:hAnsi="Arial" w:cs="Arial"/>
        </w:rPr>
        <w:t xml:space="preserve"> et al., 2019</w:t>
      </w:r>
      <w:r w:rsidR="00A33855" w:rsidRPr="00DC1E05">
        <w:rPr>
          <w:rFonts w:ascii="Arial" w:hAnsi="Arial" w:cs="Arial"/>
        </w:rPr>
        <w:t>;</w:t>
      </w:r>
      <w:r w:rsidR="00CD2E77" w:rsidRPr="00DC1E05">
        <w:rPr>
          <w:rFonts w:ascii="Arial" w:hAnsi="Arial" w:cs="Arial"/>
        </w:rPr>
        <w:t xml:space="preserve"> </w:t>
      </w:r>
      <w:r w:rsidR="00A33855" w:rsidRPr="00DC1E05">
        <w:rPr>
          <w:rFonts w:ascii="Arial" w:hAnsi="Arial" w:cs="Arial"/>
        </w:rPr>
        <w:t>Wei et al., 2022; Brunelle et al., 2023</w:t>
      </w:r>
      <w:r w:rsidRPr="00DC1E05">
        <w:rPr>
          <w:rFonts w:ascii="Arial" w:hAnsi="Arial" w:cs="Arial"/>
        </w:rPr>
        <w:t>;</w:t>
      </w:r>
      <w:r w:rsidR="00A33855" w:rsidRPr="00DC1E05">
        <w:rPr>
          <w:rFonts w:ascii="Arial" w:hAnsi="Arial" w:cs="Arial"/>
        </w:rPr>
        <w:t xml:space="preserve"> Li et al., 2024</w:t>
      </w:r>
      <w:r w:rsidR="00E767AB" w:rsidRPr="00DC1E05">
        <w:rPr>
          <w:rFonts w:ascii="Arial" w:hAnsi="Arial" w:cs="Arial"/>
        </w:rPr>
        <w:t xml:space="preserve">). These observed textural variations emphasize the complex interactions between pesticide use, soil structure, and long-term fertility dynamics within the </w:t>
      </w:r>
      <w:proofErr w:type="spellStart"/>
      <w:r w:rsidR="00E767AB" w:rsidRPr="00DC1E05">
        <w:rPr>
          <w:rFonts w:ascii="Arial" w:hAnsi="Arial" w:cs="Arial"/>
        </w:rPr>
        <w:t>Ogume</w:t>
      </w:r>
      <w:proofErr w:type="spellEnd"/>
      <w:r w:rsidR="00E767AB" w:rsidRPr="00DC1E05">
        <w:rPr>
          <w:rFonts w:ascii="Arial" w:hAnsi="Arial" w:cs="Arial"/>
        </w:rPr>
        <w:t xml:space="preserve"> pepper farms.</w:t>
      </w:r>
      <w:r w:rsidRPr="00DC1E05">
        <w:rPr>
          <w:rFonts w:ascii="Arial" w:hAnsi="Arial" w:cs="Arial"/>
        </w:rPr>
        <w:t xml:space="preserve"> Also, these results confirm the report of</w:t>
      </w:r>
      <w:r w:rsidR="00E11A9D" w:rsidRPr="00DC1E05">
        <w:rPr>
          <w:rFonts w:ascii="Arial" w:hAnsi="Arial" w:cs="Arial"/>
        </w:rPr>
        <w:t xml:space="preserve"> Yasir et al. (2025).</w:t>
      </w:r>
      <w:r w:rsidR="002F2DFB" w:rsidRPr="00DC1E05">
        <w:rPr>
          <w:rFonts w:ascii="Arial" w:hAnsi="Arial" w:cs="Arial"/>
        </w:rPr>
        <w:t xml:space="preserve"> The one way analysis of variance (ANOVA) results revealed highly significant differences among the three study sites for all soil textural components (p &lt; 0.001), confirming that pesticide application and site-specific conditions influenced soil physical properties.</w:t>
      </w:r>
    </w:p>
    <w:p w14:paraId="3351D294" w14:textId="77777777" w:rsidR="00AE5597" w:rsidRPr="008C66F6" w:rsidRDefault="00AE5597" w:rsidP="00AE5597">
      <w:pPr>
        <w:pStyle w:val="Heading2"/>
        <w:spacing w:line="360" w:lineRule="auto"/>
        <w:jc w:val="both"/>
        <w:rPr>
          <w:rFonts w:ascii="Arial" w:hAnsi="Arial" w:cs="Arial"/>
          <w:b/>
          <w:color w:val="000000" w:themeColor="text1"/>
          <w:sz w:val="20"/>
          <w:szCs w:val="20"/>
        </w:rPr>
      </w:pPr>
      <w:r w:rsidRPr="008C66F6">
        <w:rPr>
          <w:rFonts w:ascii="Arial" w:hAnsi="Arial" w:cs="Arial"/>
          <w:b/>
          <w:color w:val="000000" w:themeColor="text1"/>
          <w:sz w:val="20"/>
          <w:szCs w:val="20"/>
        </w:rPr>
        <w:t>Moisture Content (M.C %)</w:t>
      </w:r>
    </w:p>
    <w:p w14:paraId="4D164B91" w14:textId="007CA477" w:rsidR="00AE5597" w:rsidRPr="00DC1E05" w:rsidRDefault="00AE5597" w:rsidP="00AE5597">
      <w:pPr>
        <w:spacing w:before="100" w:beforeAutospacing="1" w:after="100" w:afterAutospacing="1" w:line="360" w:lineRule="auto"/>
        <w:jc w:val="both"/>
        <w:rPr>
          <w:rFonts w:ascii="Arial" w:hAnsi="Arial" w:cs="Arial"/>
        </w:rPr>
      </w:pPr>
      <w:r w:rsidRPr="00DC1E05">
        <w:rPr>
          <w:rFonts w:ascii="Arial" w:hAnsi="Arial" w:cs="Arial"/>
        </w:rPr>
        <w:t xml:space="preserve">Significant variation in soil moisture was observed among the study sites (p &lt; 0.001), demonstrating that site-specific factors and management practices, including pesticide application, influenced water retention. Moisture content was lowest in AFS 1 (28.6%), likely </w:t>
      </w:r>
      <w:r w:rsidRPr="00DC1E05">
        <w:rPr>
          <w:rFonts w:ascii="Arial" w:hAnsi="Arial" w:cs="Arial"/>
        </w:rPr>
        <w:lastRenderedPageBreak/>
        <w:t xml:space="preserve">due to its coarse-textured, sandy soil which promotes rapid drainage and reduces water-holding capacity.  Agrochemical farm soil 2 (AFS 2) recorded the highest moisture content (36.8%), reflecting its finer texture with higher silt and clay fractions that enhance water retention, while the Control site had intermediate moisture (34.2%), consistent with its balanced soil texture. Different researchers have </w:t>
      </w:r>
      <w:r w:rsidR="003D37E8" w:rsidRPr="00DC1E05">
        <w:rPr>
          <w:rFonts w:ascii="Arial" w:hAnsi="Arial" w:cs="Arial"/>
        </w:rPr>
        <w:t>affirmed</w:t>
      </w:r>
      <w:r w:rsidRPr="00DC1E05">
        <w:rPr>
          <w:rFonts w:ascii="Arial" w:hAnsi="Arial" w:cs="Arial"/>
        </w:rPr>
        <w:t xml:space="preserve"> that variations in soil moisture can directly affect microbial activity, organic matter decomposition, and nutrient availability, highlighting the interplay between soil texture, moisture, and agrochemical influence on soil health (Rahman et al., 2022; Choudhury et al., 2023; Audu et al., 2023; Zhan, 2024).</w:t>
      </w:r>
      <w:r w:rsidR="003D37E8" w:rsidRPr="00DC1E05">
        <w:rPr>
          <w:rFonts w:ascii="Arial" w:hAnsi="Arial" w:cs="Arial"/>
        </w:rPr>
        <w:t xml:space="preserve"> Yet again, our findings align with their inferences.</w:t>
      </w:r>
    </w:p>
    <w:p w14:paraId="176F0DF8" w14:textId="2E74ACCF" w:rsidR="00E767AB" w:rsidRPr="008C66F6" w:rsidRDefault="00E767AB" w:rsidP="00841042">
      <w:pPr>
        <w:pStyle w:val="Heading2"/>
        <w:spacing w:line="360" w:lineRule="auto"/>
        <w:jc w:val="both"/>
        <w:rPr>
          <w:rFonts w:ascii="Arial" w:hAnsi="Arial" w:cs="Arial"/>
          <w:b/>
          <w:color w:val="000000" w:themeColor="text1"/>
          <w:sz w:val="20"/>
          <w:szCs w:val="20"/>
        </w:rPr>
      </w:pPr>
      <w:r w:rsidRPr="008C66F6">
        <w:rPr>
          <w:rFonts w:ascii="Arial" w:hAnsi="Arial" w:cs="Arial"/>
          <w:b/>
          <w:color w:val="000000" w:themeColor="text1"/>
          <w:sz w:val="20"/>
          <w:szCs w:val="20"/>
        </w:rPr>
        <w:t>Soil pH</w:t>
      </w:r>
    </w:p>
    <w:p w14:paraId="0B5561ED" w14:textId="070C61BC" w:rsidR="00E11A9D" w:rsidRPr="00DC1E05" w:rsidRDefault="007F2210" w:rsidP="00841042">
      <w:pPr>
        <w:spacing w:before="100" w:beforeAutospacing="1" w:after="100" w:afterAutospacing="1" w:line="360" w:lineRule="auto"/>
        <w:jc w:val="both"/>
        <w:rPr>
          <w:rFonts w:ascii="Arial" w:hAnsi="Arial" w:cs="Arial"/>
        </w:rPr>
      </w:pPr>
      <w:r w:rsidRPr="00DC1E05">
        <w:rPr>
          <w:rFonts w:ascii="Arial" w:hAnsi="Arial" w:cs="Arial"/>
        </w:rPr>
        <w:t xml:space="preserve">There were statistically significant differences in soil pH among the three sites (F = 65.8, p &lt; 0.001), indicating that pesticide application and site characteristics influenced soil acidity levels. </w:t>
      </w:r>
      <w:r w:rsidR="00E11A9D" w:rsidRPr="00DC1E05">
        <w:rPr>
          <w:rFonts w:ascii="Arial" w:hAnsi="Arial" w:cs="Arial"/>
        </w:rPr>
        <w:t xml:space="preserve">The mean pH values across the study sites ranged from 4.56 in the Control to 5.75 in AFS 2, indicating that the soils were generally acidic in nature. Soil acidity plays a crucial role in determining nutrient availability and microbial functionality, as most soil microorganisms and plant roots perform optimally under near-neutral conditions (Rahman et al., 2022; Choudhury et al., 2023). The </w:t>
      </w:r>
      <w:r w:rsidR="00FD5E79" w:rsidRPr="00DC1E05">
        <w:rPr>
          <w:rFonts w:ascii="Arial" w:hAnsi="Arial" w:cs="Arial"/>
        </w:rPr>
        <w:t>low</w:t>
      </w:r>
      <w:r w:rsidR="00E11A9D" w:rsidRPr="00DC1E05">
        <w:rPr>
          <w:rFonts w:ascii="Arial" w:hAnsi="Arial" w:cs="Arial"/>
        </w:rPr>
        <w:t xml:space="preserve"> pH </w:t>
      </w:r>
      <w:r w:rsidR="00FD5E79" w:rsidRPr="00DC1E05">
        <w:rPr>
          <w:rFonts w:ascii="Arial" w:hAnsi="Arial" w:cs="Arial"/>
        </w:rPr>
        <w:t xml:space="preserve">(4.56) </w:t>
      </w:r>
      <w:r w:rsidR="00E11A9D" w:rsidRPr="00DC1E05">
        <w:rPr>
          <w:rFonts w:ascii="Arial" w:hAnsi="Arial" w:cs="Arial"/>
        </w:rPr>
        <w:t xml:space="preserve">observed at the Control site may be linked to limited microbial activity and slower decomposition of organic matter, resulting in the accumulation of acidic intermediates (Adeboye et al., 2022). Conversely, the slightly higher pH </w:t>
      </w:r>
      <w:r w:rsidRPr="00DC1E05">
        <w:rPr>
          <w:rFonts w:ascii="Arial" w:hAnsi="Arial" w:cs="Arial"/>
        </w:rPr>
        <w:t xml:space="preserve">in AFS 1 (5.63) and </w:t>
      </w:r>
      <w:r w:rsidR="00E11A9D" w:rsidRPr="00DC1E05">
        <w:rPr>
          <w:rFonts w:ascii="Arial" w:hAnsi="Arial" w:cs="Arial"/>
        </w:rPr>
        <w:t xml:space="preserve">AFS 2 </w:t>
      </w:r>
      <w:r w:rsidRPr="00DC1E05">
        <w:rPr>
          <w:rFonts w:ascii="Arial" w:hAnsi="Arial" w:cs="Arial"/>
        </w:rPr>
        <w:t xml:space="preserve">(5.75) </w:t>
      </w:r>
      <w:r w:rsidR="00E11A9D" w:rsidRPr="00DC1E05">
        <w:rPr>
          <w:rFonts w:ascii="Arial" w:hAnsi="Arial" w:cs="Arial"/>
        </w:rPr>
        <w:t>suggests moderate buffering capacity, likely influenced by variations in soil texture, cation exchange capacity, and organic matter content</w:t>
      </w:r>
      <w:r w:rsidR="00FD5E79" w:rsidRPr="00DC1E05">
        <w:rPr>
          <w:rFonts w:ascii="Arial" w:hAnsi="Arial" w:cs="Arial"/>
        </w:rPr>
        <w:t xml:space="preserve">. This </w:t>
      </w:r>
      <w:r w:rsidRPr="00DC1E05">
        <w:rPr>
          <w:rFonts w:ascii="Arial" w:hAnsi="Arial" w:cs="Arial"/>
        </w:rPr>
        <w:t>follows</w:t>
      </w:r>
      <w:r w:rsidR="00FD5E79" w:rsidRPr="00DC1E05">
        <w:rPr>
          <w:rFonts w:ascii="Arial" w:hAnsi="Arial" w:cs="Arial"/>
        </w:rPr>
        <w:t xml:space="preserve"> the outcomes of other scholars (</w:t>
      </w:r>
      <w:r w:rsidR="00E11A9D" w:rsidRPr="00DC1E05">
        <w:rPr>
          <w:rFonts w:ascii="Arial" w:hAnsi="Arial" w:cs="Arial"/>
        </w:rPr>
        <w:t>Audu et al., 2023; Nwachukwu and Ugwu, 2023). Acidic conditions in pesticide-treated soils can also increase the solubility of heavy metals such as cadmium and lead, creating nutrient imbalances and further stressing beneficial soil biota essential for nutrient cycling and plant growth (Rahman et al., 2022; Li et al., 2024).</w:t>
      </w:r>
    </w:p>
    <w:p w14:paraId="1A779C7E" w14:textId="474DC0B7" w:rsidR="00E767AB" w:rsidRPr="00DC1E05" w:rsidRDefault="00E767AB" w:rsidP="00841042">
      <w:pPr>
        <w:spacing w:before="100" w:beforeAutospacing="1" w:after="100" w:afterAutospacing="1" w:line="360" w:lineRule="auto"/>
        <w:jc w:val="both"/>
        <w:rPr>
          <w:rFonts w:ascii="Arial" w:hAnsi="Arial" w:cs="Arial"/>
        </w:rPr>
      </w:pPr>
      <w:r w:rsidRPr="00DC1E05">
        <w:rPr>
          <w:rFonts w:ascii="Arial" w:hAnsi="Arial" w:cs="Arial"/>
        </w:rPr>
        <w:t>Results from Tukey’s post-hoc test revealed that bot</w:t>
      </w:r>
      <w:r w:rsidR="00DA5F8F" w:rsidRPr="00DC1E05">
        <w:rPr>
          <w:rFonts w:ascii="Arial" w:hAnsi="Arial" w:cs="Arial"/>
        </w:rPr>
        <w:t>h pepper farm</w:t>
      </w:r>
      <w:r w:rsidRPr="00DC1E05">
        <w:rPr>
          <w:rFonts w:ascii="Arial" w:hAnsi="Arial" w:cs="Arial"/>
        </w:rPr>
        <w:t xml:space="preserve"> sites differed significantly from the Control but not from each other, suggesting that pesticide-treated soils shared s</w:t>
      </w:r>
      <w:r w:rsidR="00DA5F8F" w:rsidRPr="00DC1E05">
        <w:rPr>
          <w:rFonts w:ascii="Arial" w:hAnsi="Arial" w:cs="Arial"/>
        </w:rPr>
        <w:t>imilar pH-modifying influences in line with the research outcomes of Adeboye et al. (2022) and Li et al.</w:t>
      </w:r>
      <w:r w:rsidRPr="00DC1E05">
        <w:rPr>
          <w:rFonts w:ascii="Arial" w:hAnsi="Arial" w:cs="Arial"/>
        </w:rPr>
        <w:t xml:space="preserve"> </w:t>
      </w:r>
      <w:r w:rsidR="00DA5F8F" w:rsidRPr="00DC1E05">
        <w:rPr>
          <w:rFonts w:ascii="Arial" w:hAnsi="Arial" w:cs="Arial"/>
        </w:rPr>
        <w:t>(2024). Innocent et al. (2024) recounted that c</w:t>
      </w:r>
      <w:r w:rsidRPr="00DC1E05">
        <w:rPr>
          <w:rFonts w:ascii="Arial" w:hAnsi="Arial" w:cs="Arial"/>
        </w:rPr>
        <w:t>ontinuous pesticide exposure has been shown to either increase or stabilize soil pH by altering microbial-mediated acid–base reactions, which in turn affects nutrient solubility and enzyme activi</w:t>
      </w:r>
      <w:r w:rsidR="00DA5F8F" w:rsidRPr="00DC1E05">
        <w:rPr>
          <w:rFonts w:ascii="Arial" w:hAnsi="Arial" w:cs="Arial"/>
        </w:rPr>
        <w:t>ties critical to soil fertility. This is in agreement with our findings.</w:t>
      </w:r>
    </w:p>
    <w:p w14:paraId="717037C6" w14:textId="66F67123" w:rsidR="00E767AB" w:rsidRPr="008C66F6" w:rsidRDefault="00E767AB" w:rsidP="00841042">
      <w:pPr>
        <w:pStyle w:val="Heading2"/>
        <w:spacing w:line="360" w:lineRule="auto"/>
        <w:jc w:val="both"/>
        <w:rPr>
          <w:rFonts w:ascii="Arial" w:hAnsi="Arial" w:cs="Arial"/>
          <w:b/>
          <w:color w:val="000000" w:themeColor="text1"/>
          <w:sz w:val="20"/>
          <w:szCs w:val="20"/>
        </w:rPr>
      </w:pPr>
      <w:r w:rsidRPr="008C66F6">
        <w:rPr>
          <w:rFonts w:ascii="Arial" w:hAnsi="Arial" w:cs="Arial"/>
          <w:b/>
          <w:color w:val="000000" w:themeColor="text1"/>
          <w:sz w:val="20"/>
          <w:szCs w:val="20"/>
        </w:rPr>
        <w:lastRenderedPageBreak/>
        <w:t>Organic Carbon (TOC) and Organic Matter (TOM)</w:t>
      </w:r>
    </w:p>
    <w:p w14:paraId="55223252" w14:textId="21DD9E72" w:rsidR="00FC4B57" w:rsidRPr="00DC1E05" w:rsidRDefault="00E767AB" w:rsidP="00FC4B57">
      <w:pPr>
        <w:spacing w:before="100" w:beforeAutospacing="1" w:after="100" w:afterAutospacing="1" w:line="360" w:lineRule="auto"/>
        <w:jc w:val="both"/>
        <w:rPr>
          <w:rFonts w:ascii="Arial" w:hAnsi="Arial" w:cs="Arial"/>
        </w:rPr>
      </w:pPr>
      <w:r w:rsidRPr="00DC1E05">
        <w:rPr>
          <w:rFonts w:ascii="Arial" w:hAnsi="Arial" w:cs="Arial"/>
        </w:rPr>
        <w:t xml:space="preserve">Significant differences were observed in both total organic carbon (TOC) and total organic matter (TOM) among the study sites (p &lt; 0.001), indicating that soil organic content was influenced by site characteristics and management practices, including pesticide application. </w:t>
      </w:r>
      <w:r w:rsidR="00D80006" w:rsidRPr="00DC1E05">
        <w:rPr>
          <w:rFonts w:ascii="Arial" w:hAnsi="Arial" w:cs="Arial"/>
          <w:color w:val="000000" w:themeColor="text1"/>
        </w:rPr>
        <w:t>Agrochemical farm soil</w:t>
      </w:r>
      <w:r w:rsidR="00D80006" w:rsidRPr="00DC1E05">
        <w:rPr>
          <w:rFonts w:ascii="Arial" w:hAnsi="Arial" w:cs="Arial"/>
        </w:rPr>
        <w:t xml:space="preserve"> 1 (</w:t>
      </w:r>
      <w:r w:rsidRPr="00DC1E05">
        <w:rPr>
          <w:rFonts w:ascii="Arial" w:hAnsi="Arial" w:cs="Arial"/>
        </w:rPr>
        <w:t>AFS 1</w:t>
      </w:r>
      <w:r w:rsidR="00D80006" w:rsidRPr="00DC1E05">
        <w:rPr>
          <w:rFonts w:ascii="Arial" w:hAnsi="Arial" w:cs="Arial"/>
        </w:rPr>
        <w:t>)</w:t>
      </w:r>
      <w:r w:rsidRPr="00DC1E05">
        <w:rPr>
          <w:rFonts w:ascii="Arial" w:hAnsi="Arial" w:cs="Arial"/>
        </w:rPr>
        <w:t xml:space="preserve"> recorded the highest values (0.38% TOC; 0.66% TOM), which may reflect the accumulation of undecomposed organic residues due to reduced microbial acti</w:t>
      </w:r>
      <w:r w:rsidR="00FC4B57" w:rsidRPr="00DC1E05">
        <w:rPr>
          <w:rFonts w:ascii="Arial" w:hAnsi="Arial" w:cs="Arial"/>
        </w:rPr>
        <w:t>vity caused by chemical inputs. Other researchers (Shahbaz et al., 2017; Adeboye et al., 2022; Li et al., 2024) discovered comparable outcomes</w:t>
      </w:r>
      <w:r w:rsidRPr="00DC1E05">
        <w:rPr>
          <w:rFonts w:ascii="Arial" w:hAnsi="Arial" w:cs="Arial"/>
        </w:rPr>
        <w:t>. In contrast, the Control site had the lowest TOC</w:t>
      </w:r>
      <w:r w:rsidR="001933AF" w:rsidRPr="00DC1E05">
        <w:rPr>
          <w:rFonts w:ascii="Arial" w:hAnsi="Arial" w:cs="Arial"/>
        </w:rPr>
        <w:t xml:space="preserve"> (0.17%)</w:t>
      </w:r>
      <w:r w:rsidRPr="00DC1E05">
        <w:rPr>
          <w:rFonts w:ascii="Arial" w:hAnsi="Arial" w:cs="Arial"/>
        </w:rPr>
        <w:t xml:space="preserve"> and TOM</w:t>
      </w:r>
      <w:r w:rsidR="001933AF" w:rsidRPr="00DC1E05">
        <w:rPr>
          <w:rFonts w:ascii="Arial" w:hAnsi="Arial" w:cs="Arial"/>
        </w:rPr>
        <w:t xml:space="preserve"> (0.29%)</w:t>
      </w:r>
      <w:r w:rsidRPr="00DC1E05">
        <w:rPr>
          <w:rFonts w:ascii="Arial" w:hAnsi="Arial" w:cs="Arial"/>
        </w:rPr>
        <w:t>, suggesting more balanced microbial decomposition and lower interfere</w:t>
      </w:r>
      <w:r w:rsidR="001933AF" w:rsidRPr="00DC1E05">
        <w:rPr>
          <w:rFonts w:ascii="Arial" w:hAnsi="Arial" w:cs="Arial"/>
        </w:rPr>
        <w:t xml:space="preserve">nce from agrochemical residues. Also, corresponding report was documented by </w:t>
      </w:r>
      <w:r w:rsidR="007A56C8" w:rsidRPr="00DC1E05">
        <w:rPr>
          <w:rFonts w:ascii="Arial" w:hAnsi="Arial" w:cs="Arial"/>
        </w:rPr>
        <w:t xml:space="preserve">Song </w:t>
      </w:r>
      <w:r w:rsidR="001933AF" w:rsidRPr="00DC1E05">
        <w:rPr>
          <w:rFonts w:ascii="Arial" w:hAnsi="Arial" w:cs="Arial"/>
        </w:rPr>
        <w:t>et al. (</w:t>
      </w:r>
      <w:r w:rsidRPr="00DC1E05">
        <w:rPr>
          <w:rFonts w:ascii="Arial" w:hAnsi="Arial" w:cs="Arial"/>
        </w:rPr>
        <w:t>202</w:t>
      </w:r>
      <w:r w:rsidR="007A56C8" w:rsidRPr="00DC1E05">
        <w:rPr>
          <w:rFonts w:ascii="Arial" w:hAnsi="Arial" w:cs="Arial"/>
        </w:rPr>
        <w:t>5</w:t>
      </w:r>
      <w:r w:rsidR="001933AF" w:rsidRPr="00DC1E05">
        <w:rPr>
          <w:rFonts w:ascii="Arial" w:hAnsi="Arial" w:cs="Arial"/>
        </w:rPr>
        <w:t>).</w:t>
      </w:r>
      <w:r w:rsidR="00FC4B57" w:rsidRPr="00DC1E05">
        <w:rPr>
          <w:rFonts w:ascii="Arial" w:hAnsi="Arial" w:cs="Arial"/>
        </w:rPr>
        <w:t xml:space="preserve"> This pattern underscores the potential of pesticide use to modify both the chemical and biological balance of the soil, thereby influencing soil fertility and microbial diversity in pepper farms as reported by</w:t>
      </w:r>
      <w:r w:rsidR="001933AF" w:rsidRPr="00DC1E05">
        <w:rPr>
          <w:rFonts w:ascii="Arial" w:hAnsi="Arial" w:cs="Arial"/>
        </w:rPr>
        <w:t xml:space="preserve"> other </w:t>
      </w:r>
      <w:r w:rsidR="00FD5E79" w:rsidRPr="00DC1E05">
        <w:rPr>
          <w:rFonts w:ascii="Arial" w:hAnsi="Arial" w:cs="Arial"/>
        </w:rPr>
        <w:t>scientists</w:t>
      </w:r>
      <w:r w:rsidR="00FC4B57" w:rsidRPr="00DC1E05">
        <w:rPr>
          <w:rFonts w:ascii="Arial" w:hAnsi="Arial" w:cs="Arial"/>
        </w:rPr>
        <w:t xml:space="preserve"> </w:t>
      </w:r>
      <w:r w:rsidR="001933AF" w:rsidRPr="00DC1E05">
        <w:rPr>
          <w:rFonts w:ascii="Arial" w:hAnsi="Arial" w:cs="Arial"/>
        </w:rPr>
        <w:t xml:space="preserve">(Gupta et al., 2022; </w:t>
      </w:r>
      <w:r w:rsidR="00FC4B57" w:rsidRPr="00DC1E05">
        <w:rPr>
          <w:rFonts w:ascii="Arial" w:hAnsi="Arial" w:cs="Arial"/>
        </w:rPr>
        <w:t>Nwachukwu and Ugwu</w:t>
      </w:r>
      <w:r w:rsidR="001933AF" w:rsidRPr="00DC1E05">
        <w:rPr>
          <w:rFonts w:ascii="Arial" w:hAnsi="Arial" w:cs="Arial"/>
        </w:rPr>
        <w:t>,</w:t>
      </w:r>
      <w:r w:rsidR="00FC4B57" w:rsidRPr="00DC1E05">
        <w:rPr>
          <w:rFonts w:ascii="Arial" w:hAnsi="Arial" w:cs="Arial"/>
        </w:rPr>
        <w:t xml:space="preserve"> 2023). Again, our findings substantiate their reports.</w:t>
      </w:r>
    </w:p>
    <w:p w14:paraId="420CF24F" w14:textId="6A4A4AD7" w:rsidR="00E767AB" w:rsidRPr="008C66F6" w:rsidRDefault="00E767AB" w:rsidP="00841042">
      <w:pPr>
        <w:pStyle w:val="Heading2"/>
        <w:spacing w:line="360" w:lineRule="auto"/>
        <w:jc w:val="both"/>
        <w:rPr>
          <w:rFonts w:ascii="Arial" w:hAnsi="Arial" w:cs="Arial"/>
          <w:b/>
          <w:color w:val="000000" w:themeColor="text1"/>
          <w:sz w:val="20"/>
          <w:szCs w:val="20"/>
        </w:rPr>
      </w:pPr>
      <w:r w:rsidRPr="008C66F6">
        <w:rPr>
          <w:rFonts w:ascii="Arial" w:hAnsi="Arial" w:cs="Arial"/>
          <w:b/>
          <w:color w:val="000000" w:themeColor="text1"/>
          <w:sz w:val="20"/>
          <w:szCs w:val="20"/>
        </w:rPr>
        <w:t>Nutrient Ions (Cl</w:t>
      </w:r>
      <w:r w:rsidRPr="008C66F6">
        <w:rPr>
          <w:rFonts w:ascii="Cambria Math" w:hAnsi="Cambria Math" w:cs="Cambria Math"/>
          <w:b/>
          <w:color w:val="000000" w:themeColor="text1"/>
          <w:sz w:val="20"/>
          <w:szCs w:val="20"/>
        </w:rPr>
        <w:t>⁻</w:t>
      </w:r>
      <w:r w:rsidRPr="008C66F6">
        <w:rPr>
          <w:rFonts w:ascii="Arial" w:hAnsi="Arial" w:cs="Arial"/>
          <w:b/>
          <w:color w:val="000000" w:themeColor="text1"/>
          <w:sz w:val="20"/>
          <w:szCs w:val="20"/>
        </w:rPr>
        <w:t>, Phosphate, Nitrate, Sulphate)</w:t>
      </w:r>
    </w:p>
    <w:p w14:paraId="05B8905A" w14:textId="65E726B8" w:rsidR="00E767AB" w:rsidRPr="00DC1E05" w:rsidRDefault="006E6E9E" w:rsidP="00841042">
      <w:pPr>
        <w:spacing w:before="100" w:beforeAutospacing="1" w:after="100" w:afterAutospacing="1" w:line="360" w:lineRule="auto"/>
        <w:jc w:val="both"/>
        <w:rPr>
          <w:rFonts w:ascii="Arial" w:hAnsi="Arial" w:cs="Arial"/>
        </w:rPr>
      </w:pPr>
      <w:r w:rsidRPr="00DC1E05">
        <w:rPr>
          <w:rFonts w:ascii="Arial" w:hAnsi="Arial" w:cs="Arial"/>
        </w:rPr>
        <w:t>Essential soil nutrients such as chloride, phosphate, nitrate, and sulphate were substantially higher in AFS 1 compared to the other sites, suggesting possible enric</w:t>
      </w:r>
      <w:r w:rsidR="00964E8E" w:rsidRPr="00DC1E05">
        <w:rPr>
          <w:rFonts w:ascii="Arial" w:hAnsi="Arial" w:cs="Arial"/>
        </w:rPr>
        <w:t>hment from frequent fertilizers</w:t>
      </w:r>
      <w:r w:rsidRPr="00DC1E05">
        <w:rPr>
          <w:rFonts w:ascii="Arial" w:hAnsi="Arial" w:cs="Arial"/>
        </w:rPr>
        <w:t xml:space="preserve"> and pesticide applications. The elevated levels of these anions indicate nutrient buildup associated with the continuous use of fertilizers and pesticides, which can alter soil chemistry and microbial balance.</w:t>
      </w:r>
      <w:r w:rsidR="00964E8E" w:rsidRPr="00DC1E05">
        <w:rPr>
          <w:rFonts w:ascii="Arial" w:hAnsi="Arial" w:cs="Arial"/>
        </w:rPr>
        <w:t xml:space="preserve"> </w:t>
      </w:r>
      <w:r w:rsidR="00E767AB" w:rsidRPr="00DC1E05">
        <w:rPr>
          <w:rFonts w:ascii="Arial" w:hAnsi="Arial" w:cs="Arial"/>
        </w:rPr>
        <w:t>All measured nutrient ions differed significantly among the sites (p &lt; 0.001), indicating that soil chemical composition was strongly influenced by site-specific factors and managem</w:t>
      </w:r>
      <w:r w:rsidR="00964E8E" w:rsidRPr="00DC1E05">
        <w:rPr>
          <w:rFonts w:ascii="Arial" w:hAnsi="Arial" w:cs="Arial"/>
        </w:rPr>
        <w:t>ent practices</w:t>
      </w:r>
      <w:r w:rsidR="00E767AB" w:rsidRPr="00DC1E05">
        <w:rPr>
          <w:rFonts w:ascii="Arial" w:hAnsi="Arial" w:cs="Arial"/>
        </w:rPr>
        <w:t>. In contrast, the Control site recorded the lowest ion levels, suggesting minimal anthropogenic influence and more natural nutrient cycling processes</w:t>
      </w:r>
      <w:r w:rsidR="00FC4B57" w:rsidRPr="00DC1E05">
        <w:rPr>
          <w:rFonts w:ascii="Arial" w:hAnsi="Arial" w:cs="Arial"/>
        </w:rPr>
        <w:t xml:space="preserve">. Dai et al. (2020) and </w:t>
      </w:r>
      <w:proofErr w:type="spellStart"/>
      <w:r w:rsidR="00FC4B57" w:rsidRPr="00DC1E05">
        <w:rPr>
          <w:rFonts w:ascii="Arial" w:hAnsi="Arial" w:cs="Arial"/>
        </w:rPr>
        <w:t>Moncaster</w:t>
      </w:r>
      <w:proofErr w:type="spellEnd"/>
      <w:r w:rsidR="00FC4B57" w:rsidRPr="00DC1E05">
        <w:rPr>
          <w:rFonts w:ascii="Arial" w:hAnsi="Arial" w:cs="Arial"/>
        </w:rPr>
        <w:t xml:space="preserve"> et al. (2020) observed similar results</w:t>
      </w:r>
      <w:r w:rsidR="00E767AB" w:rsidRPr="00DC1E05">
        <w:rPr>
          <w:rFonts w:ascii="Arial" w:hAnsi="Arial" w:cs="Arial"/>
        </w:rPr>
        <w:t>. Elevated ion concentrations in pesticide-treated soils may temporarily enhance fertility; however, excessive accumulation can disrupt soil microbial communities, alter cation exchange dynamics, and potentially lead to nutrient imbalances that negatively affect long-term soil health and crop productivity (</w:t>
      </w:r>
      <w:r w:rsidR="00C7458D" w:rsidRPr="00DC1E05">
        <w:rPr>
          <w:rFonts w:ascii="Arial" w:hAnsi="Arial" w:cs="Arial"/>
        </w:rPr>
        <w:t xml:space="preserve">Kumar </w:t>
      </w:r>
      <w:r w:rsidR="00E767AB" w:rsidRPr="00DC1E05">
        <w:rPr>
          <w:rFonts w:ascii="Arial" w:hAnsi="Arial" w:cs="Arial"/>
        </w:rPr>
        <w:t>et al., 202</w:t>
      </w:r>
      <w:r w:rsidR="00C7458D" w:rsidRPr="00DC1E05">
        <w:rPr>
          <w:rFonts w:ascii="Arial" w:hAnsi="Arial" w:cs="Arial"/>
        </w:rPr>
        <w:t>5</w:t>
      </w:r>
      <w:r w:rsidR="00E767AB" w:rsidRPr="00DC1E05">
        <w:rPr>
          <w:rFonts w:ascii="Arial" w:hAnsi="Arial" w:cs="Arial"/>
        </w:rPr>
        <w:t>).</w:t>
      </w:r>
    </w:p>
    <w:p w14:paraId="14868365" w14:textId="3DDB5ADF" w:rsidR="00E767AB" w:rsidRPr="008C66F6" w:rsidRDefault="00E767AB" w:rsidP="00841042">
      <w:pPr>
        <w:pStyle w:val="Heading2"/>
        <w:spacing w:line="360" w:lineRule="auto"/>
        <w:jc w:val="both"/>
        <w:rPr>
          <w:rFonts w:ascii="Arial" w:hAnsi="Arial" w:cs="Arial"/>
          <w:b/>
          <w:color w:val="000000" w:themeColor="text1"/>
          <w:sz w:val="20"/>
          <w:szCs w:val="20"/>
        </w:rPr>
      </w:pPr>
      <w:bookmarkStart w:id="0" w:name="_GoBack"/>
      <w:r w:rsidRPr="008C66F6">
        <w:rPr>
          <w:rFonts w:ascii="Arial" w:hAnsi="Arial" w:cs="Arial"/>
          <w:b/>
          <w:color w:val="000000" w:themeColor="text1"/>
          <w:sz w:val="20"/>
          <w:szCs w:val="20"/>
        </w:rPr>
        <w:t>Exch</w:t>
      </w:r>
      <w:r w:rsidR="00EE59EC" w:rsidRPr="008C66F6">
        <w:rPr>
          <w:rFonts w:ascii="Arial" w:hAnsi="Arial" w:cs="Arial"/>
          <w:b/>
          <w:color w:val="000000" w:themeColor="text1"/>
          <w:sz w:val="20"/>
          <w:szCs w:val="20"/>
        </w:rPr>
        <w:t>angeable Cations</w:t>
      </w:r>
      <w:r w:rsidRPr="008C66F6">
        <w:rPr>
          <w:rFonts w:ascii="Arial" w:hAnsi="Arial" w:cs="Arial"/>
          <w:b/>
          <w:color w:val="000000" w:themeColor="text1"/>
          <w:sz w:val="20"/>
          <w:szCs w:val="20"/>
        </w:rPr>
        <w:t xml:space="preserve"> </w:t>
      </w:r>
      <w:r w:rsidR="00EE59EC" w:rsidRPr="008C66F6">
        <w:rPr>
          <w:rFonts w:ascii="Arial" w:hAnsi="Arial" w:cs="Arial"/>
          <w:b/>
          <w:color w:val="000000" w:themeColor="text1"/>
          <w:sz w:val="20"/>
          <w:szCs w:val="20"/>
        </w:rPr>
        <w:t xml:space="preserve">(EC) </w:t>
      </w:r>
      <w:r w:rsidRPr="008C66F6">
        <w:rPr>
          <w:rFonts w:ascii="Arial" w:hAnsi="Arial" w:cs="Arial"/>
          <w:b/>
          <w:color w:val="000000" w:themeColor="text1"/>
          <w:sz w:val="20"/>
          <w:szCs w:val="20"/>
        </w:rPr>
        <w:t xml:space="preserve">and </w:t>
      </w:r>
      <w:r w:rsidR="00EE59EC" w:rsidRPr="008C66F6">
        <w:rPr>
          <w:rFonts w:ascii="Arial" w:hAnsi="Arial" w:cs="Arial"/>
          <w:b/>
          <w:color w:val="000000" w:themeColor="text1"/>
          <w:sz w:val="20"/>
          <w:szCs w:val="20"/>
        </w:rPr>
        <w:t>cation Exchange capacity (</w:t>
      </w:r>
      <w:r w:rsidRPr="008C66F6">
        <w:rPr>
          <w:rFonts w:ascii="Arial" w:hAnsi="Arial" w:cs="Arial"/>
          <w:b/>
          <w:color w:val="000000" w:themeColor="text1"/>
          <w:sz w:val="20"/>
          <w:szCs w:val="20"/>
        </w:rPr>
        <w:t>CEC</w:t>
      </w:r>
      <w:r w:rsidR="00EE59EC" w:rsidRPr="008C66F6">
        <w:rPr>
          <w:rFonts w:ascii="Arial" w:hAnsi="Arial" w:cs="Arial"/>
          <w:b/>
          <w:color w:val="000000" w:themeColor="text1"/>
          <w:sz w:val="20"/>
          <w:szCs w:val="20"/>
        </w:rPr>
        <w:t>)</w:t>
      </w:r>
    </w:p>
    <w:bookmarkEnd w:id="0"/>
    <w:p w14:paraId="3ADA82F7" w14:textId="77777777" w:rsidR="00EE59EC" w:rsidRPr="00DC1E05" w:rsidRDefault="00EE59EC" w:rsidP="00EE59EC">
      <w:pPr>
        <w:spacing w:before="100" w:beforeAutospacing="1" w:after="100" w:afterAutospacing="1" w:line="360" w:lineRule="auto"/>
        <w:jc w:val="both"/>
        <w:rPr>
          <w:rFonts w:ascii="Arial" w:hAnsi="Arial" w:cs="Arial"/>
        </w:rPr>
      </w:pPr>
      <w:r w:rsidRPr="00DC1E05">
        <w:rPr>
          <w:rFonts w:ascii="Arial" w:hAnsi="Arial" w:cs="Arial"/>
        </w:rPr>
        <w:t xml:space="preserve">Results indicated a highly significant difference in electrical conductivity (EC) among the study sites (p &lt; 0.001), reflecting variations in soil salinity and ionic content likely influenced by pesticide application and site management practices. Agrochemical farm soil 1 (AFS 1) </w:t>
      </w:r>
      <w:r w:rsidRPr="00DC1E05">
        <w:rPr>
          <w:rFonts w:ascii="Arial" w:hAnsi="Arial" w:cs="Arial"/>
        </w:rPr>
        <w:lastRenderedPageBreak/>
        <w:t xml:space="preserve">exhibited the highest EC (351 µS/cm), suggestive of greater accumulation of soluble salts, possibly from repeated agrochemical inputs, whereas AFS 2 had a moderate EC (237 µS/cm), and the Control site recorded the lowest value (155 µS/cm), indicative of minimal chemical accumulation. </w:t>
      </w:r>
      <w:proofErr w:type="spellStart"/>
      <w:r w:rsidRPr="00DC1E05">
        <w:rPr>
          <w:rFonts w:ascii="Arial" w:hAnsi="Arial" w:cs="Arial"/>
        </w:rPr>
        <w:t>Khouni</w:t>
      </w:r>
      <w:proofErr w:type="spellEnd"/>
      <w:r w:rsidRPr="00DC1E05">
        <w:rPr>
          <w:rFonts w:ascii="Arial" w:hAnsi="Arial" w:cs="Arial"/>
        </w:rPr>
        <w:t xml:space="preserve"> et al. (2023) reported similar findings. It has been documented that elevated EC in pesticide-treated soils can affect osmotic potential, nutrient availability, and microbial activity, potentially altering soil fertility and ecosystem functioning (Jat et al., 2022; Rahman et al., 2022; Audu et al., 2023; Li et al., 2024; Xing et al., 2025). These findings underscore the need to monitor the impact of agrochemicals on soil salinity and its implications for long-term soil health and productivity in pepper farms. </w:t>
      </w:r>
    </w:p>
    <w:p w14:paraId="57D351F9" w14:textId="16845367" w:rsidR="00217B49" w:rsidRPr="00DC1E05" w:rsidRDefault="00E767AB" w:rsidP="00217B49">
      <w:pPr>
        <w:spacing w:before="100" w:beforeAutospacing="1" w:after="100" w:afterAutospacing="1" w:line="360" w:lineRule="auto"/>
        <w:jc w:val="both"/>
        <w:rPr>
          <w:rFonts w:ascii="Arial" w:hAnsi="Arial" w:cs="Arial"/>
        </w:rPr>
      </w:pPr>
      <w:r w:rsidRPr="00DC1E05">
        <w:rPr>
          <w:rFonts w:ascii="Arial" w:hAnsi="Arial" w:cs="Arial"/>
        </w:rPr>
        <w:t xml:space="preserve">All exchangeable bases differed significantly among the sites (p &lt; 0.001), indicating that soil cation composition was strongly influenced by site conditions and management practices, including pesticide and fertilizer applications. </w:t>
      </w:r>
      <w:r w:rsidR="00313B10" w:rsidRPr="00DC1E05">
        <w:rPr>
          <w:rFonts w:ascii="Arial" w:hAnsi="Arial" w:cs="Arial"/>
        </w:rPr>
        <w:t>Agrochemical farm soil 1 (</w:t>
      </w:r>
      <w:r w:rsidRPr="00DC1E05">
        <w:rPr>
          <w:rFonts w:ascii="Arial" w:hAnsi="Arial" w:cs="Arial"/>
        </w:rPr>
        <w:t>AFS 1</w:t>
      </w:r>
      <w:r w:rsidR="00313B10" w:rsidRPr="00DC1E05">
        <w:rPr>
          <w:rFonts w:ascii="Arial" w:hAnsi="Arial" w:cs="Arial"/>
        </w:rPr>
        <w:t>)</w:t>
      </w:r>
      <w:r w:rsidRPr="00DC1E05">
        <w:rPr>
          <w:rFonts w:ascii="Arial" w:hAnsi="Arial" w:cs="Arial"/>
        </w:rPr>
        <w:t xml:space="preserve"> recorded the highest concentrations of calcium (Ca), magnesium (Mg), sodium (Na), and potassium (K), reflecting increased ionic accumulation likely associated with repeated agrochemical inputs</w:t>
      </w:r>
      <w:r w:rsidR="00964E8E" w:rsidRPr="00DC1E05">
        <w:rPr>
          <w:rFonts w:ascii="Arial" w:hAnsi="Arial" w:cs="Arial"/>
        </w:rPr>
        <w:t xml:space="preserve">. On the other hand, the </w:t>
      </w:r>
      <w:r w:rsidRPr="00DC1E05">
        <w:rPr>
          <w:rFonts w:ascii="Arial" w:hAnsi="Arial" w:cs="Arial"/>
        </w:rPr>
        <w:t>Control site exhibited the lowest levels of these exchangeable cations, suggesting minimal anthropogenic influence and more natural soil nutrient dynamics. Cation exchange c</w:t>
      </w:r>
      <w:r w:rsidR="00313B10" w:rsidRPr="00DC1E05">
        <w:rPr>
          <w:rFonts w:ascii="Arial" w:hAnsi="Arial" w:cs="Arial"/>
        </w:rPr>
        <w:t>apacity (CEC) followed the trend AFS 1 &gt; AFS 2 &gt; Control</w:t>
      </w:r>
      <w:r w:rsidRPr="00DC1E05">
        <w:rPr>
          <w:rFonts w:ascii="Arial" w:hAnsi="Arial" w:cs="Arial"/>
        </w:rPr>
        <w:t xml:space="preserve"> highlighting the impact of chemical applications on soil’s ability to retain and supply essential nutrients. </w:t>
      </w:r>
      <w:r w:rsidR="00313B10" w:rsidRPr="00DC1E05">
        <w:rPr>
          <w:rFonts w:ascii="Arial" w:hAnsi="Arial" w:cs="Arial"/>
        </w:rPr>
        <w:t xml:space="preserve">Similar </w:t>
      </w:r>
      <w:r w:rsidR="00964E8E" w:rsidRPr="00DC1E05">
        <w:rPr>
          <w:rFonts w:ascii="Arial" w:hAnsi="Arial" w:cs="Arial"/>
        </w:rPr>
        <w:t>results</w:t>
      </w:r>
      <w:r w:rsidR="00313B10" w:rsidRPr="00DC1E05">
        <w:rPr>
          <w:rFonts w:ascii="Arial" w:hAnsi="Arial" w:cs="Arial"/>
        </w:rPr>
        <w:t xml:space="preserve"> had been reported by </w:t>
      </w:r>
      <w:r w:rsidR="00964E8E" w:rsidRPr="00DC1E05">
        <w:rPr>
          <w:rFonts w:ascii="Arial" w:hAnsi="Arial" w:cs="Arial"/>
        </w:rPr>
        <w:t xml:space="preserve">Audu et al. (2023). </w:t>
      </w:r>
      <w:r w:rsidRPr="00DC1E05">
        <w:rPr>
          <w:rFonts w:ascii="Arial" w:hAnsi="Arial" w:cs="Arial"/>
        </w:rPr>
        <w:t xml:space="preserve">Elevated exchangeable bases and CEC in pesticide-treated soils can temporarily enhance fertility but may also alter microbial community composition, affect nutrient cycling, and influence long-term soil </w:t>
      </w:r>
      <w:r w:rsidR="00313B10" w:rsidRPr="00DC1E05">
        <w:rPr>
          <w:rFonts w:ascii="Arial" w:hAnsi="Arial" w:cs="Arial"/>
        </w:rPr>
        <w:t>health if not managed properly</w:t>
      </w:r>
      <w:r w:rsidR="00964E8E" w:rsidRPr="00DC1E05">
        <w:rPr>
          <w:rFonts w:ascii="Arial" w:hAnsi="Arial" w:cs="Arial"/>
        </w:rPr>
        <w:t xml:space="preserve"> (Mandal</w:t>
      </w:r>
      <w:r w:rsidRPr="00DC1E05">
        <w:rPr>
          <w:rFonts w:ascii="Arial" w:hAnsi="Arial" w:cs="Arial"/>
        </w:rPr>
        <w:t xml:space="preserve"> et al., 202</w:t>
      </w:r>
      <w:r w:rsidR="00C7458D" w:rsidRPr="00DC1E05">
        <w:rPr>
          <w:rFonts w:ascii="Arial" w:hAnsi="Arial" w:cs="Arial"/>
        </w:rPr>
        <w:t>0</w:t>
      </w:r>
      <w:r w:rsidRPr="00DC1E05">
        <w:rPr>
          <w:rFonts w:ascii="Arial" w:hAnsi="Arial" w:cs="Arial"/>
        </w:rPr>
        <w:t>; Nwachukwu and Ugwu, 2023</w:t>
      </w:r>
      <w:r w:rsidR="00313B10" w:rsidRPr="00DC1E05">
        <w:rPr>
          <w:rFonts w:ascii="Arial" w:hAnsi="Arial" w:cs="Arial"/>
        </w:rPr>
        <w:t>; Rahman et al., 2022</w:t>
      </w:r>
      <w:r w:rsidR="00964E8E" w:rsidRPr="00DC1E05">
        <w:rPr>
          <w:rFonts w:ascii="Arial" w:hAnsi="Arial" w:cs="Arial"/>
        </w:rPr>
        <w:t xml:space="preserve">; </w:t>
      </w:r>
      <w:r w:rsidR="00313B10" w:rsidRPr="00DC1E05">
        <w:rPr>
          <w:rFonts w:ascii="Arial" w:hAnsi="Arial" w:cs="Arial"/>
        </w:rPr>
        <w:t>Nikitina et al., 2024</w:t>
      </w:r>
      <w:r w:rsidR="00217B49" w:rsidRPr="00DC1E05">
        <w:rPr>
          <w:rFonts w:ascii="Arial" w:hAnsi="Arial" w:cs="Arial"/>
        </w:rPr>
        <w:t>; Mihai et al., 2025</w:t>
      </w:r>
      <w:r w:rsidRPr="00DC1E05">
        <w:rPr>
          <w:rFonts w:ascii="Arial" w:hAnsi="Arial" w:cs="Arial"/>
        </w:rPr>
        <w:t>).</w:t>
      </w:r>
      <w:r w:rsidR="00217B49" w:rsidRPr="00DC1E05">
        <w:rPr>
          <w:rFonts w:ascii="Arial" w:hAnsi="Arial" w:cs="Arial"/>
        </w:rPr>
        <w:t xml:space="preserve"> These preliminary descriptive trends justify further inferential statistical testing, particularly One-Way ANOVA, to determine whether the observed variations among sites are statistically significant and attributable to pesticide influence rather than natural heterogeneity. Our research outcomes align with their conclusions</w:t>
      </w:r>
    </w:p>
    <w:p w14:paraId="42B774B8" w14:textId="75B14EF3" w:rsidR="00E767AB" w:rsidRPr="00DC1E05" w:rsidRDefault="00E767AB" w:rsidP="00841042">
      <w:pPr>
        <w:spacing w:before="100" w:beforeAutospacing="1" w:after="100" w:afterAutospacing="1" w:line="360" w:lineRule="auto"/>
        <w:jc w:val="both"/>
        <w:rPr>
          <w:rFonts w:ascii="Arial" w:hAnsi="Arial" w:cs="Arial"/>
        </w:rPr>
      </w:pPr>
      <w:r w:rsidRPr="00DC1E05">
        <w:rPr>
          <w:rFonts w:ascii="Arial" w:hAnsi="Arial" w:cs="Arial"/>
        </w:rPr>
        <w:t>Overall, the One-Way ANOVA and Tukey’s post hoc analyses con</w:t>
      </w:r>
      <w:r w:rsidR="00217B49" w:rsidRPr="00DC1E05">
        <w:rPr>
          <w:rFonts w:ascii="Arial" w:hAnsi="Arial" w:cs="Arial"/>
        </w:rPr>
        <w:t xml:space="preserve">firm that pesticide application </w:t>
      </w:r>
      <w:r w:rsidRPr="00DC1E05">
        <w:rPr>
          <w:rFonts w:ascii="Arial" w:hAnsi="Arial" w:cs="Arial"/>
        </w:rPr>
        <w:t>significantly alters soil phy</w:t>
      </w:r>
      <w:r w:rsidR="00313B10" w:rsidRPr="00DC1E05">
        <w:rPr>
          <w:rFonts w:ascii="Arial" w:hAnsi="Arial" w:cs="Arial"/>
        </w:rPr>
        <w:t>sicochemical properties in the</w:t>
      </w:r>
      <w:r w:rsidRPr="00DC1E05">
        <w:rPr>
          <w:rFonts w:ascii="Arial" w:hAnsi="Arial" w:cs="Arial"/>
        </w:rPr>
        <w:t xml:space="preserve"> pepper farms. </w:t>
      </w:r>
      <w:r w:rsidR="00313B10" w:rsidRPr="00DC1E05">
        <w:rPr>
          <w:rFonts w:ascii="Arial" w:hAnsi="Arial" w:cs="Arial"/>
        </w:rPr>
        <w:t>Agrochemical farm soil 1 (</w:t>
      </w:r>
      <w:r w:rsidRPr="00DC1E05">
        <w:rPr>
          <w:rFonts w:ascii="Arial" w:hAnsi="Arial" w:cs="Arial"/>
        </w:rPr>
        <w:t>AFS 1</w:t>
      </w:r>
      <w:r w:rsidR="00313B10" w:rsidRPr="00DC1E05">
        <w:rPr>
          <w:rFonts w:ascii="Arial" w:hAnsi="Arial" w:cs="Arial"/>
        </w:rPr>
        <w:t>)</w:t>
      </w:r>
      <w:r w:rsidRPr="00DC1E05">
        <w:rPr>
          <w:rFonts w:ascii="Arial" w:hAnsi="Arial" w:cs="Arial"/>
        </w:rPr>
        <w:t>, which experienced more intensive pesticide use, exhibited higher salinity, greater accumulation of exchangeable cations, and modified soil texture, whereas AFS 2 showed intermediate changes, reflecting moderate agrochemical influence. These physicochemical alterations directly impact microbial diversity and soil fertility, as variations in pH, electrical conductivity, organic matter, and nutrient availability can disrupt microbial enzymatic activities and nutrient cycling processes critical for plant growth (</w:t>
      </w:r>
      <w:r w:rsidR="00C7458D" w:rsidRPr="00DC1E05">
        <w:rPr>
          <w:rFonts w:ascii="Arial" w:hAnsi="Arial" w:cs="Arial"/>
        </w:rPr>
        <w:t>Sabir</w:t>
      </w:r>
      <w:r w:rsidRPr="00DC1E05">
        <w:rPr>
          <w:rFonts w:ascii="Arial" w:hAnsi="Arial" w:cs="Arial"/>
        </w:rPr>
        <w:t xml:space="preserve"> et </w:t>
      </w:r>
      <w:r w:rsidRPr="00DC1E05">
        <w:rPr>
          <w:rFonts w:ascii="Arial" w:hAnsi="Arial" w:cs="Arial"/>
        </w:rPr>
        <w:lastRenderedPageBreak/>
        <w:t>al., 202</w:t>
      </w:r>
      <w:r w:rsidR="00C7458D" w:rsidRPr="00DC1E05">
        <w:rPr>
          <w:rFonts w:ascii="Arial" w:hAnsi="Arial" w:cs="Arial"/>
        </w:rPr>
        <w:t>1</w:t>
      </w:r>
      <w:r w:rsidRPr="00DC1E05">
        <w:rPr>
          <w:rFonts w:ascii="Arial" w:hAnsi="Arial" w:cs="Arial"/>
        </w:rPr>
        <w:t xml:space="preserve">; </w:t>
      </w:r>
      <w:r w:rsidR="00313B10" w:rsidRPr="00DC1E05">
        <w:rPr>
          <w:rFonts w:ascii="Arial" w:hAnsi="Arial" w:cs="Arial"/>
        </w:rPr>
        <w:t xml:space="preserve">Adeboye et al., 2022; Audu et al., 2023; </w:t>
      </w:r>
      <w:r w:rsidRPr="00DC1E05">
        <w:rPr>
          <w:rFonts w:ascii="Arial" w:hAnsi="Arial" w:cs="Arial"/>
        </w:rPr>
        <w:t>Choudhury et al., 2023</w:t>
      </w:r>
      <w:r w:rsidR="00313B10" w:rsidRPr="00DC1E05">
        <w:rPr>
          <w:rFonts w:ascii="Arial" w:hAnsi="Arial" w:cs="Arial"/>
        </w:rPr>
        <w:t>; Sharma et al, 2024; Abbasi et al., 2025). This research</w:t>
      </w:r>
      <w:r w:rsidRPr="00DC1E05">
        <w:rPr>
          <w:rFonts w:ascii="Arial" w:hAnsi="Arial" w:cs="Arial"/>
        </w:rPr>
        <w:t xml:space="preserve"> findings underscore the importance of regulating pesticide use and implementing sustainable soil management practices to preserve both soil fertility and microbial health, ensuring long-term productivit</w:t>
      </w:r>
      <w:r w:rsidR="00313B10" w:rsidRPr="00DC1E05">
        <w:rPr>
          <w:rFonts w:ascii="Arial" w:hAnsi="Arial" w:cs="Arial"/>
        </w:rPr>
        <w:t>y of pepper farms in the region.</w:t>
      </w:r>
    </w:p>
    <w:p w14:paraId="1305952E" w14:textId="77777777" w:rsidR="00E767AB" w:rsidRPr="00DC1E05" w:rsidRDefault="00E767AB" w:rsidP="00E767AB">
      <w:pPr>
        <w:pStyle w:val="ListParagraph"/>
        <w:numPr>
          <w:ilvl w:val="1"/>
          <w:numId w:val="17"/>
        </w:numPr>
        <w:spacing w:before="100" w:beforeAutospacing="1" w:after="100" w:afterAutospacing="1" w:line="240" w:lineRule="auto"/>
        <w:jc w:val="both"/>
        <w:rPr>
          <w:rFonts w:ascii="Arial" w:eastAsia="Times New Roman" w:hAnsi="Arial" w:cs="Arial"/>
          <w:b/>
          <w:sz w:val="20"/>
          <w:szCs w:val="20"/>
        </w:rPr>
      </w:pPr>
      <w:r w:rsidRPr="00DC1E05">
        <w:rPr>
          <w:rFonts w:ascii="Arial" w:eastAsia="Times New Roman" w:hAnsi="Arial" w:cs="Arial"/>
          <w:b/>
          <w:sz w:val="20"/>
          <w:szCs w:val="20"/>
        </w:rPr>
        <w:t>Microbiological analysis</w:t>
      </w:r>
    </w:p>
    <w:p w14:paraId="5838D37C" w14:textId="77777777" w:rsidR="00E767AB" w:rsidRPr="00DC1E05" w:rsidRDefault="00E767AB" w:rsidP="00841042">
      <w:pPr>
        <w:pStyle w:val="NormalWeb"/>
        <w:spacing w:line="360" w:lineRule="auto"/>
        <w:jc w:val="both"/>
        <w:rPr>
          <w:rFonts w:ascii="Arial" w:hAnsi="Arial" w:cs="Arial"/>
          <w:sz w:val="20"/>
          <w:szCs w:val="20"/>
        </w:rPr>
      </w:pPr>
      <w:r w:rsidRPr="00DC1E05">
        <w:rPr>
          <w:rFonts w:ascii="Arial" w:hAnsi="Arial" w:cs="Arial"/>
          <w:sz w:val="20"/>
          <w:szCs w:val="20"/>
        </w:rPr>
        <w:t xml:space="preserve">Table 2 compared microbial counts (expressed as colony-forming units per plate, with dilution factors) across different media for </w:t>
      </w:r>
      <w:r w:rsidRPr="00DC1E05">
        <w:rPr>
          <w:rStyle w:val="Strong"/>
          <w:rFonts w:ascii="Arial" w:hAnsi="Arial" w:cs="Arial"/>
          <w:b w:val="0"/>
          <w:sz w:val="20"/>
          <w:szCs w:val="20"/>
        </w:rPr>
        <w:t>Control</w:t>
      </w:r>
      <w:r w:rsidRPr="00DC1E05">
        <w:rPr>
          <w:rFonts w:ascii="Arial" w:hAnsi="Arial" w:cs="Arial"/>
          <w:sz w:val="20"/>
          <w:szCs w:val="20"/>
        </w:rPr>
        <w:t>,</w:t>
      </w:r>
      <w:r w:rsidRPr="00DC1E05">
        <w:rPr>
          <w:rFonts w:ascii="Arial" w:hAnsi="Arial" w:cs="Arial"/>
          <w:b/>
          <w:sz w:val="20"/>
          <w:szCs w:val="20"/>
        </w:rPr>
        <w:t xml:space="preserve"> </w:t>
      </w:r>
      <w:r w:rsidRPr="00DC1E05">
        <w:rPr>
          <w:rStyle w:val="Strong"/>
          <w:rFonts w:ascii="Arial" w:hAnsi="Arial" w:cs="Arial"/>
          <w:b w:val="0"/>
          <w:sz w:val="20"/>
          <w:szCs w:val="20"/>
        </w:rPr>
        <w:t>AFS 1</w:t>
      </w:r>
      <w:r w:rsidRPr="00DC1E05">
        <w:rPr>
          <w:rFonts w:ascii="Arial" w:hAnsi="Arial" w:cs="Arial"/>
          <w:sz w:val="20"/>
          <w:szCs w:val="20"/>
        </w:rPr>
        <w:t xml:space="preserve">, and </w:t>
      </w:r>
      <w:r w:rsidRPr="00DC1E05">
        <w:rPr>
          <w:rStyle w:val="Strong"/>
          <w:rFonts w:ascii="Arial" w:hAnsi="Arial" w:cs="Arial"/>
          <w:b w:val="0"/>
          <w:sz w:val="20"/>
          <w:szCs w:val="20"/>
        </w:rPr>
        <w:t>AFS 2</w:t>
      </w:r>
      <w:r w:rsidRPr="00DC1E05">
        <w:rPr>
          <w:rFonts w:ascii="Arial" w:hAnsi="Arial" w:cs="Arial"/>
          <w:sz w:val="20"/>
          <w:szCs w:val="20"/>
        </w:rPr>
        <w:t xml:space="preserve"> samples. Control had the highest count (128.0 ± 28.6 </w:t>
      </w:r>
      <w:r w:rsidRPr="00DC1E05">
        <w:rPr>
          <w:rFonts w:ascii="Arial" w:hAnsi="Arial" w:cs="Arial"/>
          <w:bCs/>
          <w:sz w:val="20"/>
          <w:szCs w:val="20"/>
        </w:rPr>
        <w:t>×10</w:t>
      </w:r>
      <w:r w:rsidRPr="00DC1E05">
        <w:rPr>
          <w:rFonts w:ascii="Arial" w:hAnsi="Arial" w:cs="Arial"/>
          <w:bCs/>
          <w:sz w:val="20"/>
          <w:szCs w:val="20"/>
          <w:vertAlign w:val="superscript"/>
        </w:rPr>
        <w:t>5</w:t>
      </w:r>
      <w:r w:rsidRPr="00DC1E05">
        <w:rPr>
          <w:rFonts w:ascii="Arial" w:hAnsi="Arial" w:cs="Arial"/>
          <w:sz w:val="20"/>
          <w:szCs w:val="20"/>
        </w:rPr>
        <w:t xml:space="preserve">). Agrochemical farm soil 1 (AFS 1) showed a significantly lower count (86.8 ± 7.6 </w:t>
      </w:r>
      <w:r w:rsidRPr="00DC1E05">
        <w:rPr>
          <w:rFonts w:ascii="Arial" w:hAnsi="Arial" w:cs="Arial"/>
          <w:bCs/>
          <w:sz w:val="20"/>
          <w:szCs w:val="20"/>
        </w:rPr>
        <w:t>×10</w:t>
      </w:r>
      <w:r w:rsidRPr="00DC1E05">
        <w:rPr>
          <w:rFonts w:ascii="Arial" w:hAnsi="Arial" w:cs="Arial"/>
          <w:bCs/>
          <w:sz w:val="20"/>
          <w:szCs w:val="20"/>
          <w:vertAlign w:val="superscript"/>
        </w:rPr>
        <w:t>5</w:t>
      </w:r>
      <w:r w:rsidRPr="00DC1E05">
        <w:rPr>
          <w:rFonts w:ascii="Arial" w:hAnsi="Arial" w:cs="Arial"/>
          <w:sz w:val="20"/>
          <w:szCs w:val="20"/>
        </w:rPr>
        <w:t>) while AFS 2 was closer to control (118.0 ± 18.5</w:t>
      </w:r>
      <w:r w:rsidRPr="00DC1E05">
        <w:rPr>
          <w:rFonts w:ascii="Arial" w:hAnsi="Arial" w:cs="Arial"/>
          <w:bCs/>
          <w:sz w:val="20"/>
          <w:szCs w:val="20"/>
        </w:rPr>
        <w:t>×10</w:t>
      </w:r>
      <w:r w:rsidRPr="00DC1E05">
        <w:rPr>
          <w:rFonts w:ascii="Arial" w:hAnsi="Arial" w:cs="Arial"/>
          <w:bCs/>
          <w:sz w:val="20"/>
          <w:szCs w:val="20"/>
          <w:vertAlign w:val="superscript"/>
        </w:rPr>
        <w:t>5</w:t>
      </w:r>
      <w:r w:rsidRPr="00DC1E05">
        <w:rPr>
          <w:rFonts w:ascii="Arial" w:hAnsi="Arial" w:cs="Arial"/>
          <w:sz w:val="20"/>
          <w:szCs w:val="20"/>
        </w:rPr>
        <w:t xml:space="preserve">), suggesting AFS 1 had reduced total viable bacteria compared to control in tryptic soy agar.  Counts were similar across all samples (58 .0 ± 6.9 – 60.5 ± 4.9 </w:t>
      </w:r>
      <w:r w:rsidRPr="00DC1E05">
        <w:rPr>
          <w:rFonts w:ascii="Arial" w:hAnsi="Arial" w:cs="Arial"/>
          <w:bCs/>
          <w:sz w:val="20"/>
          <w:szCs w:val="20"/>
        </w:rPr>
        <w:t>×10²</w:t>
      </w:r>
      <w:r w:rsidRPr="00DC1E05">
        <w:rPr>
          <w:rFonts w:ascii="Arial" w:hAnsi="Arial" w:cs="Arial"/>
          <w:sz w:val="20"/>
          <w:szCs w:val="20"/>
        </w:rPr>
        <w:t xml:space="preserve">), hence, no significant effect on Gram-negative bacteria on MacConkey agar. On </w:t>
      </w:r>
      <w:r w:rsidRPr="00DC1E05">
        <w:rPr>
          <w:rFonts w:ascii="Arial" w:hAnsi="Arial" w:cs="Arial"/>
          <w:bCs/>
          <w:sz w:val="20"/>
          <w:szCs w:val="20"/>
        </w:rPr>
        <w:t>mannitol salt agar, c</w:t>
      </w:r>
      <w:r w:rsidRPr="00DC1E05">
        <w:rPr>
          <w:rFonts w:ascii="Arial" w:hAnsi="Arial" w:cs="Arial"/>
          <w:sz w:val="20"/>
          <w:szCs w:val="20"/>
        </w:rPr>
        <w:t xml:space="preserve">ontrol had the highest counts (52.5 ± 9.6 </w:t>
      </w:r>
      <w:r w:rsidRPr="00DC1E05">
        <w:rPr>
          <w:rFonts w:ascii="Arial" w:hAnsi="Arial" w:cs="Arial"/>
          <w:bCs/>
          <w:sz w:val="20"/>
          <w:szCs w:val="20"/>
        </w:rPr>
        <w:t>×10²</w:t>
      </w:r>
      <w:r w:rsidRPr="00DC1E05">
        <w:rPr>
          <w:rFonts w:ascii="Arial" w:hAnsi="Arial" w:cs="Arial"/>
          <w:sz w:val="20"/>
          <w:szCs w:val="20"/>
        </w:rPr>
        <w:t xml:space="preserve">). Counts in AFS 1 was lowest (38.0 ± 6.0 </w:t>
      </w:r>
      <w:r w:rsidRPr="00DC1E05">
        <w:rPr>
          <w:rFonts w:ascii="Arial" w:hAnsi="Arial" w:cs="Arial"/>
          <w:bCs/>
          <w:sz w:val="20"/>
          <w:szCs w:val="20"/>
        </w:rPr>
        <w:t>×10²</w:t>
      </w:r>
      <w:r w:rsidRPr="00DC1E05">
        <w:rPr>
          <w:rFonts w:ascii="Arial" w:hAnsi="Arial" w:cs="Arial"/>
          <w:sz w:val="20"/>
          <w:szCs w:val="20"/>
        </w:rPr>
        <w:t xml:space="preserve">) while AFS 2 was intermediate (48.3 ± 5.6 </w:t>
      </w:r>
      <w:r w:rsidRPr="00DC1E05">
        <w:rPr>
          <w:rFonts w:ascii="Arial" w:hAnsi="Arial" w:cs="Arial"/>
          <w:bCs/>
          <w:sz w:val="20"/>
          <w:szCs w:val="20"/>
        </w:rPr>
        <w:t>×10²</w:t>
      </w:r>
      <w:r w:rsidRPr="00DC1E05">
        <w:rPr>
          <w:rFonts w:ascii="Arial" w:hAnsi="Arial" w:cs="Arial"/>
          <w:sz w:val="20"/>
          <w:szCs w:val="20"/>
        </w:rPr>
        <w:t xml:space="preserve">), indicating that AFS 1 had a reduced staphylococcal growth. Furthermore, actinomycetes counts on </w:t>
      </w:r>
      <w:r w:rsidRPr="00DC1E05">
        <w:rPr>
          <w:rFonts w:ascii="Arial" w:hAnsi="Arial" w:cs="Arial"/>
          <w:bCs/>
          <w:sz w:val="20"/>
          <w:szCs w:val="20"/>
        </w:rPr>
        <w:t>starch casein agar</w:t>
      </w:r>
      <w:r w:rsidRPr="00DC1E05">
        <w:rPr>
          <w:rFonts w:ascii="Arial" w:hAnsi="Arial" w:cs="Arial"/>
          <w:b/>
          <w:bCs/>
          <w:sz w:val="20"/>
          <w:szCs w:val="20"/>
        </w:rPr>
        <w:t xml:space="preserve"> </w:t>
      </w:r>
      <w:r w:rsidRPr="00DC1E05">
        <w:rPr>
          <w:rFonts w:ascii="Arial" w:hAnsi="Arial" w:cs="Arial"/>
          <w:sz w:val="20"/>
          <w:szCs w:val="20"/>
        </w:rPr>
        <w:t xml:space="preserve">was highest in AFS 1 (64.3 ± 2.1 </w:t>
      </w:r>
      <w:r w:rsidRPr="00DC1E05">
        <w:rPr>
          <w:rFonts w:ascii="Arial" w:hAnsi="Arial" w:cs="Arial"/>
          <w:bCs/>
          <w:sz w:val="20"/>
          <w:szCs w:val="20"/>
        </w:rPr>
        <w:t>×10⁴) followed by</w:t>
      </w:r>
      <w:r w:rsidRPr="00DC1E05">
        <w:rPr>
          <w:rFonts w:ascii="Arial" w:hAnsi="Arial" w:cs="Arial"/>
          <w:b/>
          <w:bCs/>
          <w:sz w:val="20"/>
          <w:szCs w:val="20"/>
        </w:rPr>
        <w:t xml:space="preserve"> </w:t>
      </w:r>
      <w:r w:rsidRPr="00DC1E05">
        <w:rPr>
          <w:rFonts w:ascii="Arial" w:hAnsi="Arial" w:cs="Arial"/>
          <w:sz w:val="20"/>
          <w:szCs w:val="20"/>
        </w:rPr>
        <w:t xml:space="preserve">AFS 2 intermediate (59.5 ± 6.9 </w:t>
      </w:r>
      <w:r w:rsidRPr="00DC1E05">
        <w:rPr>
          <w:rFonts w:ascii="Arial" w:hAnsi="Arial" w:cs="Arial"/>
          <w:bCs/>
          <w:sz w:val="20"/>
          <w:szCs w:val="20"/>
        </w:rPr>
        <w:t>×10⁴) and the least in control</w:t>
      </w:r>
      <w:r w:rsidRPr="00DC1E05">
        <w:rPr>
          <w:rFonts w:ascii="Arial" w:hAnsi="Arial" w:cs="Arial"/>
          <w:sz w:val="20"/>
          <w:szCs w:val="20"/>
        </w:rPr>
        <w:t xml:space="preserve"> (54.5 ± 3.0 </w:t>
      </w:r>
      <w:r w:rsidRPr="00DC1E05">
        <w:rPr>
          <w:rFonts w:ascii="Arial" w:hAnsi="Arial" w:cs="Arial"/>
          <w:bCs/>
          <w:sz w:val="20"/>
          <w:szCs w:val="20"/>
        </w:rPr>
        <w:t>×10⁴</w:t>
      </w:r>
      <w:r w:rsidRPr="00DC1E05">
        <w:rPr>
          <w:rFonts w:ascii="Arial" w:hAnsi="Arial" w:cs="Arial"/>
          <w:sz w:val="20"/>
          <w:szCs w:val="20"/>
        </w:rPr>
        <w:t xml:space="preserve">). </w:t>
      </w:r>
      <w:r w:rsidRPr="00DC1E05">
        <w:rPr>
          <w:rFonts w:ascii="Arial" w:hAnsi="Arial" w:cs="Arial"/>
          <w:bCs/>
          <w:sz w:val="20"/>
          <w:szCs w:val="20"/>
        </w:rPr>
        <w:t>Finally, a</w:t>
      </w:r>
      <w:r w:rsidRPr="00DC1E05">
        <w:rPr>
          <w:rFonts w:ascii="Arial" w:hAnsi="Arial" w:cs="Arial"/>
          <w:sz w:val="20"/>
          <w:szCs w:val="20"/>
        </w:rPr>
        <w:t xml:space="preserve">ll samples had similar (35.0 ± 0.8 – 40.8 ± 5.2 </w:t>
      </w:r>
      <w:r w:rsidRPr="00DC1E05">
        <w:rPr>
          <w:rFonts w:ascii="Arial" w:hAnsi="Arial" w:cs="Arial"/>
          <w:bCs/>
          <w:sz w:val="20"/>
          <w:szCs w:val="20"/>
        </w:rPr>
        <w:t>×10</w:t>
      </w:r>
      <w:r w:rsidRPr="00DC1E05">
        <w:rPr>
          <w:rFonts w:ascii="Arial" w:hAnsi="Arial" w:cs="Arial"/>
          <w:bCs/>
          <w:sz w:val="20"/>
          <w:szCs w:val="20"/>
          <w:vertAlign w:val="superscript"/>
        </w:rPr>
        <w:t>3</w:t>
      </w:r>
      <w:r w:rsidRPr="00DC1E05">
        <w:rPr>
          <w:rFonts w:ascii="Arial" w:hAnsi="Arial" w:cs="Arial"/>
          <w:sz w:val="20"/>
          <w:szCs w:val="20"/>
        </w:rPr>
        <w:t xml:space="preserve">) in </w:t>
      </w:r>
      <w:proofErr w:type="spellStart"/>
      <w:r w:rsidRPr="00DC1E05">
        <w:rPr>
          <w:rFonts w:ascii="Arial" w:hAnsi="Arial" w:cs="Arial"/>
          <w:sz w:val="20"/>
          <w:szCs w:val="20"/>
        </w:rPr>
        <w:t>Pikovaskaya</w:t>
      </w:r>
      <w:proofErr w:type="spellEnd"/>
      <w:r w:rsidRPr="00DC1E05">
        <w:rPr>
          <w:rFonts w:ascii="Arial" w:hAnsi="Arial" w:cs="Arial"/>
          <w:sz w:val="20"/>
          <w:szCs w:val="20"/>
        </w:rPr>
        <w:t xml:space="preserve"> agar and no significant differences.</w:t>
      </w:r>
    </w:p>
    <w:p w14:paraId="17162AB8" w14:textId="77777777" w:rsidR="00E767AB" w:rsidRPr="00D603C0" w:rsidRDefault="00E767AB" w:rsidP="00E767AB">
      <w:pPr>
        <w:spacing w:before="100" w:beforeAutospacing="1" w:after="100" w:afterAutospacing="1"/>
        <w:jc w:val="both"/>
        <w:rPr>
          <w:rFonts w:ascii="Arial" w:hAnsi="Arial" w:cs="Arial"/>
          <w:b/>
        </w:rPr>
      </w:pPr>
      <w:r w:rsidRPr="00D603C0">
        <w:rPr>
          <w:rFonts w:ascii="Arial" w:hAnsi="Arial" w:cs="Arial"/>
          <w:b/>
        </w:rPr>
        <w:t>Table 2:</w:t>
      </w:r>
      <w:r w:rsidR="00E4400A">
        <w:rPr>
          <w:rFonts w:ascii="Arial" w:hAnsi="Arial" w:cs="Arial"/>
          <w:b/>
        </w:rPr>
        <w:t xml:space="preserve"> B</w:t>
      </w:r>
      <w:r w:rsidRPr="00D603C0">
        <w:rPr>
          <w:rFonts w:ascii="Arial" w:hAnsi="Arial" w:cs="Arial"/>
          <w:b/>
        </w:rPr>
        <w:t>acterial counts from different media (values in mean ± SD, n = 4, Tukey HSD)</w:t>
      </w:r>
    </w:p>
    <w:tbl>
      <w:tblPr>
        <w:tblStyle w:val="LightShading"/>
        <w:tblW w:w="9180" w:type="dxa"/>
        <w:tblLook w:val="04A0" w:firstRow="1" w:lastRow="0" w:firstColumn="1" w:lastColumn="0" w:noHBand="0" w:noVBand="1"/>
      </w:tblPr>
      <w:tblGrid>
        <w:gridCol w:w="1271"/>
        <w:gridCol w:w="1531"/>
        <w:gridCol w:w="1559"/>
        <w:gridCol w:w="1559"/>
        <w:gridCol w:w="1559"/>
        <w:gridCol w:w="1701"/>
      </w:tblGrid>
      <w:tr w:rsidR="00E767AB" w:rsidRPr="00D603C0" w14:paraId="5F06CEA6" w14:textId="77777777" w:rsidTr="0084104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271" w:type="dxa"/>
          </w:tcPr>
          <w:p w14:paraId="4871932F" w14:textId="77777777" w:rsidR="00E767AB" w:rsidRPr="00D603C0" w:rsidRDefault="00E767AB" w:rsidP="00773C48">
            <w:pPr>
              <w:spacing w:before="100" w:beforeAutospacing="1" w:after="100" w:afterAutospacing="1" w:line="360" w:lineRule="auto"/>
              <w:jc w:val="both"/>
              <w:rPr>
                <w:rFonts w:ascii="Arial" w:hAnsi="Arial" w:cs="Arial"/>
              </w:rPr>
            </w:pPr>
            <w:r w:rsidRPr="00D603C0">
              <w:rPr>
                <w:rFonts w:ascii="Arial" w:hAnsi="Arial" w:cs="Arial"/>
              </w:rPr>
              <w:t>Sample</w:t>
            </w:r>
          </w:p>
        </w:tc>
        <w:tc>
          <w:tcPr>
            <w:tcW w:w="1531" w:type="dxa"/>
          </w:tcPr>
          <w:p w14:paraId="482850B5"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TSA ×10</w:t>
            </w:r>
            <w:r w:rsidRPr="00D603C0">
              <w:rPr>
                <w:rFonts w:ascii="Arial" w:hAnsi="Arial" w:cs="Arial"/>
                <w:vertAlign w:val="superscript"/>
              </w:rPr>
              <w:t>5</w:t>
            </w:r>
            <w:r w:rsidRPr="00D603C0">
              <w:rPr>
                <w:rFonts w:ascii="Arial" w:hAnsi="Arial" w:cs="Arial"/>
              </w:rPr>
              <w:t xml:space="preserve"> </w:t>
            </w:r>
          </w:p>
        </w:tc>
        <w:tc>
          <w:tcPr>
            <w:tcW w:w="1559" w:type="dxa"/>
          </w:tcPr>
          <w:p w14:paraId="4DAD1967"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MAC × 10</w:t>
            </w:r>
            <w:r w:rsidRPr="00D603C0">
              <w:rPr>
                <w:rFonts w:ascii="Arial" w:hAnsi="Arial" w:cs="Arial"/>
                <w:vertAlign w:val="superscript"/>
              </w:rPr>
              <w:t>2</w:t>
            </w:r>
          </w:p>
        </w:tc>
        <w:tc>
          <w:tcPr>
            <w:tcW w:w="1559" w:type="dxa"/>
          </w:tcPr>
          <w:p w14:paraId="04B4629B"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MSA × 10</w:t>
            </w:r>
            <w:r w:rsidRPr="00D603C0">
              <w:rPr>
                <w:rFonts w:ascii="Arial" w:hAnsi="Arial" w:cs="Arial"/>
                <w:vertAlign w:val="superscript"/>
              </w:rPr>
              <w:t>2</w:t>
            </w:r>
          </w:p>
        </w:tc>
        <w:tc>
          <w:tcPr>
            <w:tcW w:w="1559" w:type="dxa"/>
          </w:tcPr>
          <w:p w14:paraId="17379426"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SCA × 10</w:t>
            </w:r>
            <w:r w:rsidRPr="00D603C0">
              <w:rPr>
                <w:rFonts w:ascii="Arial" w:hAnsi="Arial" w:cs="Arial"/>
                <w:vertAlign w:val="superscript"/>
              </w:rPr>
              <w:t>4</w:t>
            </w:r>
          </w:p>
        </w:tc>
        <w:tc>
          <w:tcPr>
            <w:tcW w:w="1701" w:type="dxa"/>
          </w:tcPr>
          <w:p w14:paraId="4A3B465A"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PKA × 10</w:t>
            </w:r>
            <w:r w:rsidRPr="00D603C0">
              <w:rPr>
                <w:rFonts w:ascii="Arial" w:hAnsi="Arial" w:cs="Arial"/>
                <w:vertAlign w:val="superscript"/>
              </w:rPr>
              <w:t>3</w:t>
            </w:r>
          </w:p>
        </w:tc>
      </w:tr>
      <w:tr w:rsidR="00E767AB" w:rsidRPr="00D603C0" w14:paraId="06E8C444" w14:textId="77777777" w:rsidTr="0084104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23329BFC" w14:textId="77777777" w:rsidR="00E767AB" w:rsidRPr="00D603C0" w:rsidRDefault="00E767AB" w:rsidP="00773C48">
            <w:pPr>
              <w:spacing w:before="100" w:beforeAutospacing="1" w:after="100" w:afterAutospacing="1" w:line="360" w:lineRule="auto"/>
              <w:jc w:val="both"/>
              <w:rPr>
                <w:rFonts w:ascii="Arial" w:hAnsi="Arial" w:cs="Arial"/>
                <w:b w:val="0"/>
              </w:rPr>
            </w:pPr>
            <w:r w:rsidRPr="00D603C0">
              <w:rPr>
                <w:rFonts w:ascii="Arial" w:hAnsi="Arial" w:cs="Arial"/>
                <w:b w:val="0"/>
              </w:rPr>
              <w:t>Control</w:t>
            </w:r>
          </w:p>
        </w:tc>
        <w:tc>
          <w:tcPr>
            <w:tcW w:w="1531" w:type="dxa"/>
            <w:shd w:val="clear" w:color="auto" w:fill="auto"/>
          </w:tcPr>
          <w:p w14:paraId="6796D8A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128.0 ± 28.6</w:t>
            </w:r>
            <w:r w:rsidRPr="00D603C0">
              <w:rPr>
                <w:rFonts w:ascii="Arial" w:hAnsi="Arial" w:cs="Arial"/>
                <w:vertAlign w:val="superscript"/>
              </w:rPr>
              <w:t>a</w:t>
            </w:r>
          </w:p>
        </w:tc>
        <w:tc>
          <w:tcPr>
            <w:tcW w:w="1559" w:type="dxa"/>
            <w:shd w:val="clear" w:color="auto" w:fill="auto"/>
          </w:tcPr>
          <w:p w14:paraId="210365A7"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59.3 ± 8.5</w:t>
            </w:r>
            <w:r w:rsidRPr="00D603C0">
              <w:rPr>
                <w:rFonts w:ascii="Arial" w:hAnsi="Arial" w:cs="Arial"/>
                <w:vertAlign w:val="superscript"/>
              </w:rPr>
              <w:t>a</w:t>
            </w:r>
          </w:p>
        </w:tc>
        <w:tc>
          <w:tcPr>
            <w:tcW w:w="1559" w:type="dxa"/>
            <w:shd w:val="clear" w:color="auto" w:fill="auto"/>
          </w:tcPr>
          <w:p w14:paraId="1A5F745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52.5 ± 9.6</w:t>
            </w:r>
            <w:r w:rsidRPr="00D603C0">
              <w:rPr>
                <w:rFonts w:ascii="Arial" w:hAnsi="Arial" w:cs="Arial"/>
                <w:vertAlign w:val="superscript"/>
              </w:rPr>
              <w:t>a</w:t>
            </w:r>
          </w:p>
        </w:tc>
        <w:tc>
          <w:tcPr>
            <w:tcW w:w="1559" w:type="dxa"/>
            <w:shd w:val="clear" w:color="auto" w:fill="auto"/>
          </w:tcPr>
          <w:p w14:paraId="5AFFCC34"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54.5 ± 3.0</w:t>
            </w:r>
            <w:r w:rsidRPr="00D603C0">
              <w:rPr>
                <w:rFonts w:ascii="Arial" w:hAnsi="Arial" w:cs="Arial"/>
                <w:vertAlign w:val="superscript"/>
              </w:rPr>
              <w:t>a</w:t>
            </w:r>
            <w:r w:rsidRPr="00D603C0">
              <w:rPr>
                <w:rFonts w:ascii="Arial" w:hAnsi="Arial" w:cs="Arial"/>
              </w:rPr>
              <w:t xml:space="preserve"> </w:t>
            </w:r>
          </w:p>
        </w:tc>
        <w:tc>
          <w:tcPr>
            <w:tcW w:w="1701" w:type="dxa"/>
            <w:shd w:val="clear" w:color="auto" w:fill="auto"/>
          </w:tcPr>
          <w:p w14:paraId="2249DE7A"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40.8 ± 5.2</w:t>
            </w:r>
            <w:r w:rsidRPr="00D603C0">
              <w:rPr>
                <w:rFonts w:ascii="Arial" w:hAnsi="Arial" w:cs="Arial"/>
                <w:vertAlign w:val="superscript"/>
              </w:rPr>
              <w:t>a</w:t>
            </w:r>
          </w:p>
        </w:tc>
      </w:tr>
      <w:tr w:rsidR="00E767AB" w:rsidRPr="00D603C0" w14:paraId="271E1FD8" w14:textId="77777777" w:rsidTr="00841042">
        <w:trPr>
          <w:trHeight w:val="246"/>
        </w:trPr>
        <w:tc>
          <w:tcPr>
            <w:cnfStyle w:val="001000000000" w:firstRow="0" w:lastRow="0" w:firstColumn="1" w:lastColumn="0" w:oddVBand="0" w:evenVBand="0" w:oddHBand="0" w:evenHBand="0" w:firstRowFirstColumn="0" w:firstRowLastColumn="0" w:lastRowFirstColumn="0" w:lastRowLastColumn="0"/>
            <w:tcW w:w="1271" w:type="dxa"/>
          </w:tcPr>
          <w:p w14:paraId="2ABE254B" w14:textId="77777777" w:rsidR="00E767AB" w:rsidRPr="00D603C0" w:rsidRDefault="00E767AB" w:rsidP="00773C48">
            <w:pPr>
              <w:spacing w:before="100" w:beforeAutospacing="1" w:after="100" w:afterAutospacing="1" w:line="360" w:lineRule="auto"/>
              <w:jc w:val="both"/>
              <w:rPr>
                <w:rFonts w:ascii="Arial" w:hAnsi="Arial" w:cs="Arial"/>
                <w:b w:val="0"/>
              </w:rPr>
            </w:pPr>
            <w:r w:rsidRPr="00D603C0">
              <w:rPr>
                <w:rFonts w:ascii="Arial" w:hAnsi="Arial" w:cs="Arial"/>
                <w:b w:val="0"/>
              </w:rPr>
              <w:t>AFS 1</w:t>
            </w:r>
          </w:p>
        </w:tc>
        <w:tc>
          <w:tcPr>
            <w:tcW w:w="1531" w:type="dxa"/>
          </w:tcPr>
          <w:p w14:paraId="5BA977C0"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86.8 ± 7.6</w:t>
            </w:r>
            <w:r w:rsidRPr="00D603C0">
              <w:rPr>
                <w:rFonts w:ascii="Arial" w:hAnsi="Arial" w:cs="Arial"/>
                <w:vertAlign w:val="superscript"/>
              </w:rPr>
              <w:t>b</w:t>
            </w:r>
          </w:p>
        </w:tc>
        <w:tc>
          <w:tcPr>
            <w:tcW w:w="1559" w:type="dxa"/>
          </w:tcPr>
          <w:p w14:paraId="0F63E1DC"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D603C0">
              <w:rPr>
                <w:rFonts w:ascii="Arial" w:hAnsi="Arial" w:cs="Arial"/>
              </w:rPr>
              <w:t>60.5 ± 4.9</w:t>
            </w:r>
            <w:r w:rsidRPr="00D603C0">
              <w:rPr>
                <w:rFonts w:ascii="Arial" w:hAnsi="Arial" w:cs="Arial"/>
                <w:vertAlign w:val="superscript"/>
              </w:rPr>
              <w:t>a</w:t>
            </w:r>
          </w:p>
        </w:tc>
        <w:tc>
          <w:tcPr>
            <w:tcW w:w="1559" w:type="dxa"/>
          </w:tcPr>
          <w:p w14:paraId="05DC77FD"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38.0 ± 6.0</w:t>
            </w:r>
            <w:r w:rsidRPr="00D603C0">
              <w:rPr>
                <w:rFonts w:ascii="Arial" w:hAnsi="Arial" w:cs="Arial"/>
                <w:vertAlign w:val="superscript"/>
              </w:rPr>
              <w:t>b</w:t>
            </w:r>
          </w:p>
        </w:tc>
        <w:tc>
          <w:tcPr>
            <w:tcW w:w="1559" w:type="dxa"/>
          </w:tcPr>
          <w:p w14:paraId="75F3C7D3"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64.3 ± 2.1</w:t>
            </w:r>
            <w:r w:rsidRPr="00D603C0">
              <w:rPr>
                <w:rFonts w:ascii="Arial" w:hAnsi="Arial" w:cs="Arial"/>
                <w:vertAlign w:val="superscript"/>
              </w:rPr>
              <w:t>b</w:t>
            </w:r>
          </w:p>
        </w:tc>
        <w:tc>
          <w:tcPr>
            <w:tcW w:w="1701" w:type="dxa"/>
          </w:tcPr>
          <w:p w14:paraId="2445DC38"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35.5 ± 2.2</w:t>
            </w:r>
            <w:r w:rsidRPr="00D603C0">
              <w:rPr>
                <w:rFonts w:ascii="Arial" w:hAnsi="Arial" w:cs="Arial"/>
                <w:vertAlign w:val="superscript"/>
              </w:rPr>
              <w:t>a</w:t>
            </w:r>
          </w:p>
        </w:tc>
      </w:tr>
      <w:tr w:rsidR="00E767AB" w:rsidRPr="00D603C0" w14:paraId="067AECE0" w14:textId="77777777" w:rsidTr="0084104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49B87098" w14:textId="77777777" w:rsidR="00E767AB" w:rsidRPr="00D603C0" w:rsidRDefault="00E767AB" w:rsidP="00773C48">
            <w:pPr>
              <w:spacing w:before="100" w:beforeAutospacing="1" w:after="100" w:afterAutospacing="1" w:line="360" w:lineRule="auto"/>
              <w:jc w:val="both"/>
              <w:rPr>
                <w:rFonts w:ascii="Arial" w:hAnsi="Arial" w:cs="Arial"/>
                <w:b w:val="0"/>
              </w:rPr>
            </w:pPr>
            <w:r w:rsidRPr="00D603C0">
              <w:rPr>
                <w:rFonts w:ascii="Arial" w:hAnsi="Arial" w:cs="Arial"/>
                <w:b w:val="0"/>
              </w:rPr>
              <w:t>AFS 2</w:t>
            </w:r>
          </w:p>
        </w:tc>
        <w:tc>
          <w:tcPr>
            <w:tcW w:w="1531" w:type="dxa"/>
            <w:shd w:val="clear" w:color="auto" w:fill="auto"/>
          </w:tcPr>
          <w:p w14:paraId="43C449D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118.0 ± 18.5</w:t>
            </w:r>
            <w:r w:rsidRPr="00D603C0">
              <w:rPr>
                <w:rFonts w:ascii="Arial" w:hAnsi="Arial" w:cs="Arial"/>
                <w:vertAlign w:val="superscript"/>
              </w:rPr>
              <w:t>a</w:t>
            </w:r>
          </w:p>
        </w:tc>
        <w:tc>
          <w:tcPr>
            <w:tcW w:w="1559" w:type="dxa"/>
            <w:shd w:val="clear" w:color="auto" w:fill="auto"/>
          </w:tcPr>
          <w:p w14:paraId="5C528A89"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58.0 ± 6.9</w:t>
            </w:r>
            <w:r w:rsidRPr="00D603C0">
              <w:rPr>
                <w:rFonts w:ascii="Arial" w:hAnsi="Arial" w:cs="Arial"/>
                <w:vertAlign w:val="superscript"/>
              </w:rPr>
              <w:t>a</w:t>
            </w:r>
          </w:p>
        </w:tc>
        <w:tc>
          <w:tcPr>
            <w:tcW w:w="1559" w:type="dxa"/>
            <w:shd w:val="clear" w:color="auto" w:fill="auto"/>
          </w:tcPr>
          <w:p w14:paraId="65998F25"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48.3 ± 5.6</w:t>
            </w:r>
            <w:r w:rsidRPr="00D603C0">
              <w:rPr>
                <w:rFonts w:ascii="Arial" w:hAnsi="Arial" w:cs="Arial"/>
                <w:vertAlign w:val="superscript"/>
              </w:rPr>
              <w:t>ab</w:t>
            </w:r>
          </w:p>
        </w:tc>
        <w:tc>
          <w:tcPr>
            <w:tcW w:w="1559" w:type="dxa"/>
            <w:shd w:val="clear" w:color="auto" w:fill="auto"/>
          </w:tcPr>
          <w:p w14:paraId="4F15756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59.5 ± 6.9</w:t>
            </w:r>
            <w:r w:rsidRPr="00D603C0">
              <w:rPr>
                <w:rFonts w:ascii="Arial" w:hAnsi="Arial" w:cs="Arial"/>
                <w:vertAlign w:val="superscript"/>
              </w:rPr>
              <w:t>ab</w:t>
            </w:r>
          </w:p>
        </w:tc>
        <w:tc>
          <w:tcPr>
            <w:tcW w:w="1701" w:type="dxa"/>
            <w:shd w:val="clear" w:color="auto" w:fill="auto"/>
          </w:tcPr>
          <w:p w14:paraId="0546C186"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35.0 ± 0.8</w:t>
            </w:r>
            <w:r w:rsidRPr="00D603C0">
              <w:rPr>
                <w:rFonts w:ascii="Arial" w:hAnsi="Arial" w:cs="Arial"/>
                <w:vertAlign w:val="superscript"/>
              </w:rPr>
              <w:t>a</w:t>
            </w:r>
          </w:p>
        </w:tc>
      </w:tr>
    </w:tbl>
    <w:p w14:paraId="34DE13E2" w14:textId="77777777" w:rsidR="00E767AB" w:rsidRPr="00D603C0" w:rsidRDefault="00841042" w:rsidP="00841042">
      <w:pPr>
        <w:spacing w:before="100" w:beforeAutospacing="1" w:after="100" w:afterAutospacing="1" w:line="360" w:lineRule="auto"/>
        <w:jc w:val="both"/>
        <w:rPr>
          <w:rFonts w:ascii="Arial" w:hAnsi="Arial" w:cs="Arial"/>
        </w:rPr>
      </w:pPr>
      <w:r>
        <w:rPr>
          <w:rFonts w:ascii="Arial" w:hAnsi="Arial" w:cs="Arial"/>
        </w:rPr>
        <w:t>*</w:t>
      </w:r>
      <w:r w:rsidR="00E767AB" w:rsidRPr="00D603C0">
        <w:rPr>
          <w:rFonts w:ascii="Arial" w:hAnsi="Arial" w:cs="Arial"/>
        </w:rPr>
        <w:t xml:space="preserve">AFS = Agrochemical farm soil, TSA = Tryptic soy agar, MAC = MacConkey agar, MSA = Mannitol salt agar, SCA = Starch casein agar, PKA = </w:t>
      </w:r>
      <w:proofErr w:type="spellStart"/>
      <w:r w:rsidR="00E767AB" w:rsidRPr="00D603C0">
        <w:rPr>
          <w:rFonts w:ascii="Arial" w:hAnsi="Arial" w:cs="Arial"/>
        </w:rPr>
        <w:t>Pikovaskaya</w:t>
      </w:r>
      <w:proofErr w:type="spellEnd"/>
      <w:r w:rsidR="00E767AB" w:rsidRPr="00D603C0">
        <w:rPr>
          <w:rFonts w:ascii="Arial" w:hAnsi="Arial" w:cs="Arial"/>
        </w:rPr>
        <w:t xml:space="preserve"> agar, SD = standard deviation, n = no of replicates, CFU/g = colony forming unit per gram soil. Superscript letters (a, b, ab) indicate statistical grouping: values sharing the same letter are not significantly different, while different letters denote significant differences.</w:t>
      </w:r>
    </w:p>
    <w:p w14:paraId="46AD9C05" w14:textId="77777777" w:rsidR="00E767AB" w:rsidRPr="00D603C0" w:rsidRDefault="00E767AB" w:rsidP="00841042">
      <w:pPr>
        <w:spacing w:before="100" w:beforeAutospacing="1" w:after="100" w:afterAutospacing="1" w:line="360" w:lineRule="auto"/>
        <w:jc w:val="both"/>
        <w:rPr>
          <w:rFonts w:ascii="Arial" w:hAnsi="Arial" w:cs="Arial"/>
        </w:rPr>
      </w:pPr>
      <w:r w:rsidRPr="00D603C0">
        <w:rPr>
          <w:rFonts w:ascii="Arial" w:hAnsi="Arial" w:cs="Arial"/>
        </w:rPr>
        <w:t xml:space="preserve">The results of the cultural, morphological, biochemical characteristics and probable identity of bacteria isolated from the agrochemical farm soils are presented in Table 3. </w:t>
      </w:r>
    </w:p>
    <w:p w14:paraId="0D473A45" w14:textId="77777777" w:rsidR="00E767AB" w:rsidRPr="00D603C0" w:rsidRDefault="00E767AB" w:rsidP="00E767AB">
      <w:pPr>
        <w:spacing w:before="100" w:beforeAutospacing="1" w:after="100" w:afterAutospacing="1"/>
        <w:jc w:val="both"/>
        <w:rPr>
          <w:rFonts w:ascii="Arial" w:hAnsi="Arial" w:cs="Arial"/>
          <w:b/>
        </w:rPr>
      </w:pPr>
      <w:r w:rsidRPr="00D603C0">
        <w:rPr>
          <w:rFonts w:ascii="Arial" w:hAnsi="Arial" w:cs="Arial"/>
          <w:b/>
        </w:rPr>
        <w:lastRenderedPageBreak/>
        <w:t>Table 3: Biochemical characteristics and tentative identities of all isolates from the study</w:t>
      </w:r>
    </w:p>
    <w:tbl>
      <w:tblPr>
        <w:tblStyle w:val="TableGrid"/>
        <w:tblW w:w="8359" w:type="dxa"/>
        <w:tblLook w:val="04A0" w:firstRow="1" w:lastRow="0" w:firstColumn="1" w:lastColumn="0" w:noHBand="0" w:noVBand="1"/>
      </w:tblPr>
      <w:tblGrid>
        <w:gridCol w:w="554"/>
        <w:gridCol w:w="1177"/>
        <w:gridCol w:w="1275"/>
        <w:gridCol w:w="411"/>
        <w:gridCol w:w="411"/>
        <w:gridCol w:w="411"/>
        <w:gridCol w:w="411"/>
        <w:gridCol w:w="411"/>
        <w:gridCol w:w="411"/>
        <w:gridCol w:w="411"/>
        <w:gridCol w:w="411"/>
        <w:gridCol w:w="474"/>
        <w:gridCol w:w="411"/>
        <w:gridCol w:w="411"/>
        <w:gridCol w:w="411"/>
        <w:gridCol w:w="1408"/>
      </w:tblGrid>
      <w:tr w:rsidR="00E767AB" w:rsidRPr="00D603C0" w14:paraId="17486427" w14:textId="77777777" w:rsidTr="006B69C2">
        <w:trPr>
          <w:cantSplit/>
          <w:trHeight w:val="1134"/>
        </w:trPr>
        <w:tc>
          <w:tcPr>
            <w:tcW w:w="487" w:type="dxa"/>
            <w:textDirection w:val="btLr"/>
          </w:tcPr>
          <w:p w14:paraId="0093235D"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Isolate ID</w:t>
            </w:r>
          </w:p>
        </w:tc>
        <w:tc>
          <w:tcPr>
            <w:tcW w:w="988" w:type="dxa"/>
            <w:textDirection w:val="btLr"/>
          </w:tcPr>
          <w:p w14:paraId="27C06667"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Colony morphology</w:t>
            </w:r>
          </w:p>
        </w:tc>
        <w:tc>
          <w:tcPr>
            <w:tcW w:w="1067" w:type="dxa"/>
            <w:textDirection w:val="btLr"/>
          </w:tcPr>
          <w:p w14:paraId="1B253911"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Microscopy</w:t>
            </w:r>
          </w:p>
          <w:p w14:paraId="7E0AF044"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p>
        </w:tc>
        <w:tc>
          <w:tcPr>
            <w:tcW w:w="369" w:type="dxa"/>
            <w:textDirection w:val="btLr"/>
          </w:tcPr>
          <w:p w14:paraId="04B053E9"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Gram’s reaction</w:t>
            </w:r>
          </w:p>
        </w:tc>
        <w:tc>
          <w:tcPr>
            <w:tcW w:w="369" w:type="dxa"/>
            <w:textDirection w:val="btLr"/>
          </w:tcPr>
          <w:p w14:paraId="7B8FBC6D"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MR</w:t>
            </w:r>
          </w:p>
        </w:tc>
        <w:tc>
          <w:tcPr>
            <w:tcW w:w="369" w:type="dxa"/>
            <w:textDirection w:val="btLr"/>
          </w:tcPr>
          <w:p w14:paraId="543C96EF"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VP</w:t>
            </w:r>
          </w:p>
        </w:tc>
        <w:tc>
          <w:tcPr>
            <w:tcW w:w="369" w:type="dxa"/>
            <w:textDirection w:val="btLr"/>
          </w:tcPr>
          <w:p w14:paraId="33773A0C"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Indole </w:t>
            </w:r>
          </w:p>
        </w:tc>
        <w:tc>
          <w:tcPr>
            <w:tcW w:w="369" w:type="dxa"/>
            <w:textDirection w:val="btLr"/>
          </w:tcPr>
          <w:p w14:paraId="7FFAB56C"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Urease </w:t>
            </w:r>
          </w:p>
        </w:tc>
        <w:tc>
          <w:tcPr>
            <w:tcW w:w="369" w:type="dxa"/>
            <w:textDirection w:val="btLr"/>
          </w:tcPr>
          <w:p w14:paraId="500EF2FC"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Catalase </w:t>
            </w:r>
          </w:p>
        </w:tc>
        <w:tc>
          <w:tcPr>
            <w:tcW w:w="369" w:type="dxa"/>
            <w:textDirection w:val="btLr"/>
          </w:tcPr>
          <w:p w14:paraId="688C8609"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Starch hydrolysis</w:t>
            </w:r>
          </w:p>
        </w:tc>
        <w:tc>
          <w:tcPr>
            <w:tcW w:w="369" w:type="dxa"/>
            <w:textDirection w:val="btLr"/>
          </w:tcPr>
          <w:p w14:paraId="71FEF4F6"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Coagulase </w:t>
            </w:r>
          </w:p>
        </w:tc>
        <w:tc>
          <w:tcPr>
            <w:tcW w:w="423" w:type="dxa"/>
            <w:textDirection w:val="btLr"/>
          </w:tcPr>
          <w:p w14:paraId="5D087E92"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TSI</w:t>
            </w:r>
          </w:p>
        </w:tc>
        <w:tc>
          <w:tcPr>
            <w:tcW w:w="369" w:type="dxa"/>
            <w:textDirection w:val="btLr"/>
          </w:tcPr>
          <w:p w14:paraId="29EC94F6"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H</w:t>
            </w:r>
            <w:r w:rsidRPr="00D603C0">
              <w:rPr>
                <w:rFonts w:ascii="Arial" w:hAnsi="Arial" w:cs="Arial"/>
                <w:b/>
                <w:sz w:val="16"/>
                <w:szCs w:val="16"/>
                <w:vertAlign w:val="subscript"/>
              </w:rPr>
              <w:t>2</w:t>
            </w:r>
            <w:r w:rsidRPr="00D603C0">
              <w:rPr>
                <w:rFonts w:ascii="Arial" w:hAnsi="Arial" w:cs="Arial"/>
                <w:b/>
                <w:sz w:val="16"/>
                <w:szCs w:val="16"/>
              </w:rPr>
              <w:t>S</w:t>
            </w:r>
          </w:p>
        </w:tc>
        <w:tc>
          <w:tcPr>
            <w:tcW w:w="369" w:type="dxa"/>
            <w:textDirection w:val="btLr"/>
          </w:tcPr>
          <w:p w14:paraId="741B66BF"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Citrate</w:t>
            </w:r>
          </w:p>
        </w:tc>
        <w:tc>
          <w:tcPr>
            <w:tcW w:w="369" w:type="dxa"/>
            <w:textDirection w:val="btLr"/>
          </w:tcPr>
          <w:p w14:paraId="5A41B53B"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Oxidase</w:t>
            </w:r>
          </w:p>
        </w:tc>
        <w:tc>
          <w:tcPr>
            <w:tcW w:w="1335" w:type="dxa"/>
            <w:textDirection w:val="btLr"/>
          </w:tcPr>
          <w:p w14:paraId="25D27E6A"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Probable isolate</w:t>
            </w:r>
          </w:p>
        </w:tc>
      </w:tr>
      <w:tr w:rsidR="00E767AB" w:rsidRPr="00D603C0" w14:paraId="65371012" w14:textId="77777777" w:rsidTr="006B69C2">
        <w:tc>
          <w:tcPr>
            <w:tcW w:w="487" w:type="dxa"/>
          </w:tcPr>
          <w:p w14:paraId="4F36F61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TS1</w:t>
            </w:r>
          </w:p>
        </w:tc>
        <w:tc>
          <w:tcPr>
            <w:tcW w:w="988" w:type="dxa"/>
          </w:tcPr>
          <w:p w14:paraId="0A8CE7D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Cream, large, round with raised </w:t>
            </w:r>
            <w:proofErr w:type="spellStart"/>
            <w:r w:rsidRPr="00D603C0">
              <w:rPr>
                <w:rFonts w:ascii="Arial" w:hAnsi="Arial" w:cs="Arial"/>
                <w:sz w:val="16"/>
                <w:szCs w:val="16"/>
              </w:rPr>
              <w:t>elevationand</w:t>
            </w:r>
            <w:proofErr w:type="spellEnd"/>
            <w:r w:rsidRPr="00D603C0">
              <w:rPr>
                <w:rFonts w:ascii="Arial" w:hAnsi="Arial" w:cs="Arial"/>
                <w:sz w:val="16"/>
                <w:szCs w:val="16"/>
              </w:rPr>
              <w:t xml:space="preserve"> having a convex </w:t>
            </w:r>
            <w:r w:rsidR="00E4400A">
              <w:rPr>
                <w:rFonts w:ascii="Arial" w:hAnsi="Arial" w:cs="Arial"/>
                <w:sz w:val="16"/>
                <w:szCs w:val="16"/>
              </w:rPr>
              <w:t>appearance</w:t>
            </w:r>
          </w:p>
        </w:tc>
        <w:tc>
          <w:tcPr>
            <w:tcW w:w="1067" w:type="dxa"/>
          </w:tcPr>
          <w:p w14:paraId="5AA60D9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Rod-shaped </w:t>
            </w:r>
            <w:proofErr w:type="spellStart"/>
            <w:r w:rsidRPr="00D603C0">
              <w:rPr>
                <w:rFonts w:ascii="Arial" w:hAnsi="Arial" w:cs="Arial"/>
                <w:sz w:val="16"/>
                <w:szCs w:val="16"/>
              </w:rPr>
              <w:t>organisms.The</w:t>
            </w:r>
            <w:proofErr w:type="spellEnd"/>
            <w:r w:rsidRPr="00D603C0">
              <w:rPr>
                <w:rFonts w:ascii="Arial" w:hAnsi="Arial" w:cs="Arial"/>
                <w:sz w:val="16"/>
                <w:szCs w:val="16"/>
              </w:rPr>
              <w:t xml:space="preserve"> </w:t>
            </w:r>
            <w:proofErr w:type="spellStart"/>
            <w:r w:rsidRPr="00D603C0">
              <w:rPr>
                <w:rFonts w:ascii="Arial" w:hAnsi="Arial" w:cs="Arial"/>
                <w:sz w:val="16"/>
                <w:szCs w:val="16"/>
              </w:rPr>
              <w:t>vegetativecells</w:t>
            </w:r>
            <w:proofErr w:type="spellEnd"/>
            <w:r w:rsidRPr="00D603C0">
              <w:rPr>
                <w:rFonts w:ascii="Arial" w:hAnsi="Arial" w:cs="Arial"/>
                <w:sz w:val="16"/>
                <w:szCs w:val="16"/>
              </w:rPr>
              <w:t xml:space="preserve"> appeared white, and the endospores appeared green in </w:t>
            </w:r>
            <w:proofErr w:type="spellStart"/>
            <w:r w:rsidRPr="00D603C0">
              <w:rPr>
                <w:rFonts w:ascii="Arial" w:hAnsi="Arial" w:cs="Arial"/>
                <w:sz w:val="16"/>
                <w:szCs w:val="16"/>
              </w:rPr>
              <w:t>colour</w:t>
            </w:r>
            <w:proofErr w:type="spellEnd"/>
          </w:p>
        </w:tc>
        <w:tc>
          <w:tcPr>
            <w:tcW w:w="369" w:type="dxa"/>
          </w:tcPr>
          <w:p w14:paraId="2F657E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3B8AA1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E6294B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6EF1DB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E5315D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47AEE8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B1E1EF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D95D2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17AECA4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279292A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D12005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6A3EF5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0A22698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i/>
                <w:sz w:val="16"/>
                <w:szCs w:val="16"/>
              </w:rPr>
              <w:t xml:space="preserve">Bacillus </w:t>
            </w:r>
            <w:r w:rsidRPr="00D603C0">
              <w:rPr>
                <w:rFonts w:ascii="Arial" w:hAnsi="Arial" w:cs="Arial"/>
                <w:sz w:val="16"/>
                <w:szCs w:val="16"/>
              </w:rPr>
              <w:t>spp.</w:t>
            </w:r>
          </w:p>
        </w:tc>
      </w:tr>
      <w:tr w:rsidR="00E767AB" w:rsidRPr="00D603C0" w14:paraId="7828B8BB" w14:textId="77777777" w:rsidTr="006B69C2">
        <w:tc>
          <w:tcPr>
            <w:tcW w:w="487" w:type="dxa"/>
          </w:tcPr>
          <w:p w14:paraId="0C706CF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TS2</w:t>
            </w:r>
          </w:p>
        </w:tc>
        <w:tc>
          <w:tcPr>
            <w:tcW w:w="988" w:type="dxa"/>
          </w:tcPr>
          <w:p w14:paraId="50100A5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Style w:val="Strong"/>
                <w:rFonts w:ascii="Arial" w:hAnsi="Arial" w:cs="Arial"/>
                <w:b w:val="0"/>
                <w:sz w:val="16"/>
                <w:szCs w:val="16"/>
              </w:rPr>
              <w:t>Small, circular, smooth, opaque colonies</w:t>
            </w:r>
            <w:r w:rsidRPr="00D603C0">
              <w:rPr>
                <w:rFonts w:ascii="Arial" w:hAnsi="Arial" w:cs="Arial"/>
                <w:b/>
                <w:sz w:val="16"/>
                <w:szCs w:val="16"/>
              </w:rPr>
              <w:t xml:space="preserve"> </w:t>
            </w:r>
            <w:r w:rsidRPr="00D603C0">
              <w:rPr>
                <w:rFonts w:ascii="Arial" w:hAnsi="Arial" w:cs="Arial"/>
                <w:sz w:val="16"/>
                <w:szCs w:val="16"/>
              </w:rPr>
              <w:t xml:space="preserve">that are cream to white in </w:t>
            </w:r>
            <w:proofErr w:type="spellStart"/>
            <w:r w:rsidRPr="00D603C0">
              <w:rPr>
                <w:rFonts w:ascii="Arial" w:hAnsi="Arial" w:cs="Arial"/>
                <w:sz w:val="16"/>
                <w:szCs w:val="16"/>
              </w:rPr>
              <w:t>colour</w:t>
            </w:r>
            <w:proofErr w:type="spellEnd"/>
          </w:p>
        </w:tc>
        <w:tc>
          <w:tcPr>
            <w:tcW w:w="1067" w:type="dxa"/>
          </w:tcPr>
          <w:p w14:paraId="12691BE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Rod- shaped organisms</w:t>
            </w:r>
          </w:p>
        </w:tc>
        <w:tc>
          <w:tcPr>
            <w:tcW w:w="369" w:type="dxa"/>
          </w:tcPr>
          <w:p w14:paraId="655F0E4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AB4AD7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6E792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929BFD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1B1F85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39216B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67F8D1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655180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988A35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79EFC4D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E5EF2F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B9D15C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4583CFD"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Bacillus </w:t>
            </w:r>
            <w:r w:rsidRPr="00D603C0">
              <w:rPr>
                <w:rFonts w:ascii="Arial" w:hAnsi="Arial" w:cs="Arial"/>
                <w:sz w:val="16"/>
                <w:szCs w:val="16"/>
              </w:rPr>
              <w:t>spp.</w:t>
            </w:r>
          </w:p>
        </w:tc>
      </w:tr>
      <w:tr w:rsidR="00E767AB" w:rsidRPr="00D603C0" w14:paraId="6F7C9B99" w14:textId="77777777" w:rsidTr="006B69C2">
        <w:tc>
          <w:tcPr>
            <w:tcW w:w="487" w:type="dxa"/>
          </w:tcPr>
          <w:p w14:paraId="4D43E3D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TS3</w:t>
            </w:r>
          </w:p>
        </w:tc>
        <w:tc>
          <w:tcPr>
            <w:tcW w:w="988" w:type="dxa"/>
          </w:tcPr>
          <w:p w14:paraId="40882CA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Style w:val="Strong"/>
                <w:rFonts w:ascii="Arial" w:hAnsi="Arial" w:cs="Arial"/>
                <w:b w:val="0"/>
                <w:sz w:val="16"/>
                <w:szCs w:val="16"/>
              </w:rPr>
              <w:t>Large, irregular, rough cream colonies</w:t>
            </w:r>
            <w:r w:rsidRPr="00D603C0">
              <w:rPr>
                <w:rFonts w:ascii="Arial" w:hAnsi="Arial" w:cs="Arial"/>
                <w:b/>
                <w:sz w:val="16"/>
                <w:szCs w:val="16"/>
              </w:rPr>
              <w:t xml:space="preserve"> </w:t>
            </w:r>
            <w:r w:rsidRPr="00D603C0">
              <w:rPr>
                <w:rFonts w:ascii="Arial" w:hAnsi="Arial" w:cs="Arial"/>
                <w:sz w:val="16"/>
                <w:szCs w:val="16"/>
              </w:rPr>
              <w:t>that</w:t>
            </w:r>
            <w:r w:rsidRPr="00D603C0">
              <w:rPr>
                <w:rFonts w:ascii="Arial" w:hAnsi="Arial" w:cs="Arial"/>
                <w:b/>
                <w:sz w:val="16"/>
                <w:szCs w:val="16"/>
              </w:rPr>
              <w:t xml:space="preserve"> </w:t>
            </w:r>
            <w:r w:rsidRPr="00D603C0">
              <w:rPr>
                <w:rFonts w:ascii="Arial" w:hAnsi="Arial" w:cs="Arial"/>
                <w:sz w:val="16"/>
                <w:szCs w:val="16"/>
              </w:rPr>
              <w:t>appear dry and wrinkled</w:t>
            </w:r>
          </w:p>
        </w:tc>
        <w:tc>
          <w:tcPr>
            <w:tcW w:w="1067" w:type="dxa"/>
          </w:tcPr>
          <w:p w14:paraId="43251CE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Rod- shaped organisms</w:t>
            </w:r>
          </w:p>
        </w:tc>
        <w:tc>
          <w:tcPr>
            <w:tcW w:w="369" w:type="dxa"/>
          </w:tcPr>
          <w:p w14:paraId="01D3239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C08FE8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1903A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AAE8F4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5BCC1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566E2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7095BF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D191F6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67D710C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40AC8CD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6A51F4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ADBF9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F9B9A55"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Bacillus </w:t>
            </w:r>
            <w:r w:rsidRPr="00D603C0">
              <w:rPr>
                <w:rFonts w:ascii="Arial" w:hAnsi="Arial" w:cs="Arial"/>
                <w:sz w:val="16"/>
                <w:szCs w:val="16"/>
              </w:rPr>
              <w:t>spp.</w:t>
            </w:r>
          </w:p>
        </w:tc>
      </w:tr>
      <w:tr w:rsidR="00E767AB" w:rsidRPr="00D603C0" w14:paraId="38AB673B" w14:textId="77777777" w:rsidTr="006B69C2">
        <w:tc>
          <w:tcPr>
            <w:tcW w:w="487" w:type="dxa"/>
          </w:tcPr>
          <w:p w14:paraId="1A6A2BE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TS4, MS1</w:t>
            </w:r>
          </w:p>
        </w:tc>
        <w:tc>
          <w:tcPr>
            <w:tcW w:w="988" w:type="dxa"/>
          </w:tcPr>
          <w:p w14:paraId="7623F9F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Style w:val="Strong"/>
                <w:rFonts w:ascii="Arial" w:hAnsi="Arial" w:cs="Arial"/>
                <w:b w:val="0"/>
                <w:sz w:val="16"/>
                <w:szCs w:val="16"/>
              </w:rPr>
              <w:t>Round, smooth, convex, and glistening</w:t>
            </w:r>
            <w:r w:rsidRPr="00D603C0">
              <w:rPr>
                <w:rFonts w:ascii="Arial" w:hAnsi="Arial" w:cs="Arial"/>
                <w:b/>
                <w:sz w:val="16"/>
                <w:szCs w:val="16"/>
              </w:rPr>
              <w:t xml:space="preserve">, </w:t>
            </w:r>
            <w:r w:rsidRPr="00773C48">
              <w:rPr>
                <w:rFonts w:ascii="Arial" w:hAnsi="Arial" w:cs="Arial"/>
                <w:sz w:val="16"/>
                <w:szCs w:val="16"/>
              </w:rPr>
              <w:t>g</w:t>
            </w:r>
            <w:r w:rsidRPr="00D603C0">
              <w:rPr>
                <w:rFonts w:ascii="Arial" w:hAnsi="Arial" w:cs="Arial"/>
                <w:sz w:val="16"/>
                <w:szCs w:val="16"/>
              </w:rPr>
              <w:t>olden-yellow colonies surrounded by a yellow zone in the medium</w:t>
            </w:r>
          </w:p>
        </w:tc>
        <w:tc>
          <w:tcPr>
            <w:tcW w:w="1067" w:type="dxa"/>
          </w:tcPr>
          <w:p w14:paraId="5D385A0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55E2C9D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865E3E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E58B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C2B8B6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90443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94C7B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0BFA9D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3E3E44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18B8D6E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0619195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BEEB62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FCF37A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2B961B8B"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r w:rsidR="00E767AB" w:rsidRPr="00D603C0" w14:paraId="5EBF26BB" w14:textId="77777777" w:rsidTr="006B69C2">
        <w:tc>
          <w:tcPr>
            <w:tcW w:w="487" w:type="dxa"/>
          </w:tcPr>
          <w:p w14:paraId="22A4241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TS5, MC1</w:t>
            </w:r>
          </w:p>
        </w:tc>
        <w:tc>
          <w:tcPr>
            <w:tcW w:w="988" w:type="dxa"/>
          </w:tcPr>
          <w:p w14:paraId="0E086DA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Pink to red colonies with bile precipitate</w:t>
            </w:r>
          </w:p>
        </w:tc>
        <w:tc>
          <w:tcPr>
            <w:tcW w:w="1067" w:type="dxa"/>
          </w:tcPr>
          <w:p w14:paraId="7463727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Short rod-shaped bacilli</w:t>
            </w:r>
          </w:p>
        </w:tc>
        <w:tc>
          <w:tcPr>
            <w:tcW w:w="369" w:type="dxa"/>
          </w:tcPr>
          <w:p w14:paraId="262B0E0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CC70C3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B2CB81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D9EBB2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D7E592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32EF76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BD6C44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9357E3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436C47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341BD89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B508D5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4A375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638DE90"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Escherichia </w:t>
            </w:r>
            <w:r w:rsidRPr="00D603C0">
              <w:rPr>
                <w:rFonts w:ascii="Arial" w:hAnsi="Arial" w:cs="Arial"/>
                <w:sz w:val="16"/>
                <w:szCs w:val="16"/>
              </w:rPr>
              <w:t>spp.</w:t>
            </w:r>
          </w:p>
        </w:tc>
      </w:tr>
      <w:tr w:rsidR="00E767AB" w:rsidRPr="00D603C0" w14:paraId="7DA05C91" w14:textId="77777777" w:rsidTr="006B69C2">
        <w:tc>
          <w:tcPr>
            <w:tcW w:w="487" w:type="dxa"/>
          </w:tcPr>
          <w:p w14:paraId="663DCDC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TS6</w:t>
            </w:r>
          </w:p>
        </w:tc>
        <w:tc>
          <w:tcPr>
            <w:tcW w:w="988" w:type="dxa"/>
          </w:tcPr>
          <w:p w14:paraId="6C0BBF6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Medium-sized, irregular margins with creamy </w:t>
            </w:r>
            <w:r w:rsidR="00E4400A">
              <w:rPr>
                <w:rFonts w:ascii="Arial" w:hAnsi="Arial" w:cs="Arial"/>
                <w:sz w:val="16"/>
                <w:szCs w:val="16"/>
              </w:rPr>
              <w:t>appearance</w:t>
            </w:r>
          </w:p>
        </w:tc>
        <w:tc>
          <w:tcPr>
            <w:tcW w:w="1067" w:type="dxa"/>
          </w:tcPr>
          <w:p w14:paraId="19B9CA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Rod-shaped bacilli</w:t>
            </w:r>
          </w:p>
        </w:tc>
        <w:tc>
          <w:tcPr>
            <w:tcW w:w="369" w:type="dxa"/>
          </w:tcPr>
          <w:p w14:paraId="07A0170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3A111E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538D65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84628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1C4F6D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3D699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B09CD5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17F8A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1CABA57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K/K</w:t>
            </w:r>
          </w:p>
        </w:tc>
        <w:tc>
          <w:tcPr>
            <w:tcW w:w="369" w:type="dxa"/>
          </w:tcPr>
          <w:p w14:paraId="7FF6BA7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75D307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D19242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188D3E6B"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Pseudomonas </w:t>
            </w:r>
            <w:r w:rsidRPr="00D603C0">
              <w:rPr>
                <w:rFonts w:ascii="Arial" w:hAnsi="Arial" w:cs="Arial"/>
                <w:sz w:val="16"/>
                <w:szCs w:val="16"/>
              </w:rPr>
              <w:t>spp.</w:t>
            </w:r>
          </w:p>
        </w:tc>
      </w:tr>
      <w:tr w:rsidR="00E767AB" w:rsidRPr="00D603C0" w14:paraId="38291A8F" w14:textId="77777777" w:rsidTr="006B69C2">
        <w:tc>
          <w:tcPr>
            <w:tcW w:w="487" w:type="dxa"/>
          </w:tcPr>
          <w:p w14:paraId="0C0C34B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TS7</w:t>
            </w:r>
          </w:p>
        </w:tc>
        <w:tc>
          <w:tcPr>
            <w:tcW w:w="988" w:type="dxa"/>
          </w:tcPr>
          <w:p w14:paraId="4B501F7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Small, round, smooth and translucent with a raised elevation</w:t>
            </w:r>
          </w:p>
        </w:tc>
        <w:tc>
          <w:tcPr>
            <w:tcW w:w="1067" w:type="dxa"/>
          </w:tcPr>
          <w:p w14:paraId="5BD4B64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chains</w:t>
            </w:r>
          </w:p>
        </w:tc>
        <w:tc>
          <w:tcPr>
            <w:tcW w:w="369" w:type="dxa"/>
          </w:tcPr>
          <w:p w14:paraId="0A62BB8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C036A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FD88F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7D80C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EC2C3A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D8208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E64AC7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73A224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C41189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w:t>
            </w:r>
          </w:p>
        </w:tc>
        <w:tc>
          <w:tcPr>
            <w:tcW w:w="369" w:type="dxa"/>
          </w:tcPr>
          <w:p w14:paraId="58583D4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34AFE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C4C1CB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2EF64105"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Streptococcus </w:t>
            </w:r>
            <w:r w:rsidRPr="00D603C0">
              <w:rPr>
                <w:rFonts w:ascii="Arial" w:hAnsi="Arial" w:cs="Arial"/>
                <w:sz w:val="16"/>
                <w:szCs w:val="16"/>
              </w:rPr>
              <w:t>spp.</w:t>
            </w:r>
          </w:p>
        </w:tc>
      </w:tr>
      <w:tr w:rsidR="00E767AB" w:rsidRPr="00D603C0" w14:paraId="6E324B0E" w14:textId="77777777" w:rsidTr="006B69C2">
        <w:tc>
          <w:tcPr>
            <w:tcW w:w="487" w:type="dxa"/>
          </w:tcPr>
          <w:p w14:paraId="1BECAD3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TS8</w:t>
            </w:r>
          </w:p>
        </w:tc>
        <w:tc>
          <w:tcPr>
            <w:tcW w:w="988" w:type="dxa"/>
          </w:tcPr>
          <w:p w14:paraId="61BD61C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Off white, undulate margin, transparent swarming growth</w:t>
            </w:r>
          </w:p>
        </w:tc>
        <w:tc>
          <w:tcPr>
            <w:tcW w:w="1067" w:type="dxa"/>
          </w:tcPr>
          <w:p w14:paraId="395D10D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Short rods with pink color</w:t>
            </w:r>
          </w:p>
        </w:tc>
        <w:tc>
          <w:tcPr>
            <w:tcW w:w="369" w:type="dxa"/>
          </w:tcPr>
          <w:p w14:paraId="425C0A7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00AEC9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E2464B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539330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E6745E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AF13E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3F4CC7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153D3A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07EBAE4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7788750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8FED0E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A1A62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3E701DC1"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Proteus  </w:t>
            </w:r>
            <w:r w:rsidRPr="00D603C0">
              <w:rPr>
                <w:rFonts w:ascii="Arial" w:hAnsi="Arial" w:cs="Arial"/>
                <w:sz w:val="16"/>
                <w:szCs w:val="16"/>
              </w:rPr>
              <w:t>spp.</w:t>
            </w:r>
          </w:p>
        </w:tc>
      </w:tr>
      <w:tr w:rsidR="00E767AB" w:rsidRPr="00D603C0" w14:paraId="178257D8" w14:textId="77777777" w:rsidTr="006B69C2">
        <w:tc>
          <w:tcPr>
            <w:tcW w:w="487" w:type="dxa"/>
          </w:tcPr>
          <w:p w14:paraId="1A763F0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MC2</w:t>
            </w:r>
          </w:p>
        </w:tc>
        <w:tc>
          <w:tcPr>
            <w:tcW w:w="988" w:type="dxa"/>
          </w:tcPr>
          <w:p w14:paraId="455D2C4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Cream colored, </w:t>
            </w:r>
            <w:r w:rsidRPr="00D603C0">
              <w:rPr>
                <w:rFonts w:ascii="Arial" w:hAnsi="Arial" w:cs="Arial"/>
                <w:sz w:val="16"/>
                <w:szCs w:val="16"/>
              </w:rPr>
              <w:lastRenderedPageBreak/>
              <w:t xml:space="preserve">large, smooth, mucoid, and slightly raised glistening </w:t>
            </w:r>
            <w:r w:rsidR="00E4400A">
              <w:rPr>
                <w:rFonts w:ascii="Arial" w:hAnsi="Arial" w:cs="Arial"/>
                <w:sz w:val="16"/>
                <w:szCs w:val="16"/>
              </w:rPr>
              <w:t>appearance</w:t>
            </w:r>
          </w:p>
        </w:tc>
        <w:tc>
          <w:tcPr>
            <w:tcW w:w="1067" w:type="dxa"/>
          </w:tcPr>
          <w:p w14:paraId="2278DB9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lastRenderedPageBreak/>
              <w:t xml:space="preserve">Non-motile and non-spore </w:t>
            </w:r>
            <w:r w:rsidRPr="00D603C0">
              <w:rPr>
                <w:rFonts w:ascii="Arial" w:hAnsi="Arial" w:cs="Arial"/>
                <w:sz w:val="16"/>
                <w:szCs w:val="16"/>
              </w:rPr>
              <w:lastRenderedPageBreak/>
              <w:t>forming rod shaped bacterium</w:t>
            </w:r>
          </w:p>
        </w:tc>
        <w:tc>
          <w:tcPr>
            <w:tcW w:w="369" w:type="dxa"/>
          </w:tcPr>
          <w:p w14:paraId="118C047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lastRenderedPageBreak/>
              <w:t>-</w:t>
            </w:r>
          </w:p>
        </w:tc>
        <w:tc>
          <w:tcPr>
            <w:tcW w:w="369" w:type="dxa"/>
          </w:tcPr>
          <w:p w14:paraId="4395462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B1A4C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A0B593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06B1EB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88592F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763003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C0B2D1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3CCDA2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04D95F5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22A377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89D801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D47688A"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Klebsiella </w:t>
            </w:r>
            <w:r w:rsidRPr="00D603C0">
              <w:rPr>
                <w:rFonts w:ascii="Arial" w:hAnsi="Arial" w:cs="Arial"/>
                <w:sz w:val="16"/>
                <w:szCs w:val="16"/>
              </w:rPr>
              <w:t>spp.</w:t>
            </w:r>
          </w:p>
        </w:tc>
      </w:tr>
      <w:tr w:rsidR="00E767AB" w:rsidRPr="00D603C0" w14:paraId="35C9CE8A" w14:textId="77777777" w:rsidTr="006B69C2">
        <w:tc>
          <w:tcPr>
            <w:tcW w:w="487" w:type="dxa"/>
          </w:tcPr>
          <w:p w14:paraId="7E70A78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MC3</w:t>
            </w:r>
          </w:p>
        </w:tc>
        <w:tc>
          <w:tcPr>
            <w:tcW w:w="988" w:type="dxa"/>
          </w:tcPr>
          <w:p w14:paraId="42D89AE6" w14:textId="77777777" w:rsidR="00E767AB" w:rsidRPr="00D603C0" w:rsidRDefault="00E767AB" w:rsidP="00841042">
            <w:pPr>
              <w:spacing w:before="100" w:beforeAutospacing="1" w:after="100" w:afterAutospacing="1"/>
              <w:jc w:val="both"/>
              <w:rPr>
                <w:rFonts w:ascii="Arial" w:hAnsi="Arial" w:cs="Arial"/>
                <w:b/>
                <w:sz w:val="16"/>
                <w:szCs w:val="16"/>
              </w:rPr>
            </w:pPr>
            <w:r w:rsidRPr="00D603C0">
              <w:rPr>
                <w:rStyle w:val="Strong"/>
                <w:rFonts w:ascii="Arial" w:hAnsi="Arial" w:cs="Arial"/>
                <w:b w:val="0"/>
                <w:sz w:val="16"/>
                <w:szCs w:val="16"/>
              </w:rPr>
              <w:t>Pink, moist and mucoid colonies</w:t>
            </w:r>
          </w:p>
        </w:tc>
        <w:tc>
          <w:tcPr>
            <w:tcW w:w="1067" w:type="dxa"/>
          </w:tcPr>
          <w:p w14:paraId="0ABB38E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Motile, non </w:t>
            </w:r>
            <w:proofErr w:type="spellStart"/>
            <w:r w:rsidRPr="00D603C0">
              <w:rPr>
                <w:rFonts w:ascii="Arial" w:hAnsi="Arial" w:cs="Arial"/>
                <w:sz w:val="16"/>
                <w:szCs w:val="16"/>
              </w:rPr>
              <w:t>sporing</w:t>
            </w:r>
            <w:proofErr w:type="spellEnd"/>
            <w:r w:rsidRPr="00D603C0">
              <w:rPr>
                <w:rFonts w:ascii="Arial" w:hAnsi="Arial" w:cs="Arial"/>
                <w:sz w:val="16"/>
                <w:szCs w:val="16"/>
              </w:rPr>
              <w:t xml:space="preserve">, rod-shaped bacilli </w:t>
            </w:r>
          </w:p>
        </w:tc>
        <w:tc>
          <w:tcPr>
            <w:tcW w:w="369" w:type="dxa"/>
          </w:tcPr>
          <w:p w14:paraId="4B82DD7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6771F7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FF982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27E2F7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DF0EE9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EFE977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8064E7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4FCB34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6D75626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4B4E216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F64479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51BE15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699FE2B9"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Enterobacter </w:t>
            </w:r>
            <w:r w:rsidRPr="00D603C0">
              <w:rPr>
                <w:rFonts w:ascii="Arial" w:hAnsi="Arial" w:cs="Arial"/>
                <w:sz w:val="16"/>
                <w:szCs w:val="16"/>
              </w:rPr>
              <w:t>spp.</w:t>
            </w:r>
          </w:p>
        </w:tc>
      </w:tr>
      <w:tr w:rsidR="00E767AB" w:rsidRPr="00D603C0" w14:paraId="6235AD82" w14:textId="77777777" w:rsidTr="006B69C2">
        <w:tc>
          <w:tcPr>
            <w:tcW w:w="487" w:type="dxa"/>
          </w:tcPr>
          <w:p w14:paraId="1A055D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MC4</w:t>
            </w:r>
          </w:p>
        </w:tc>
        <w:tc>
          <w:tcPr>
            <w:tcW w:w="988" w:type="dxa"/>
          </w:tcPr>
          <w:p w14:paraId="5AD62C6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Pale, colorless colonies</w:t>
            </w:r>
          </w:p>
        </w:tc>
        <w:tc>
          <w:tcPr>
            <w:tcW w:w="1067" w:type="dxa"/>
          </w:tcPr>
          <w:p w14:paraId="6573077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Motile, non </w:t>
            </w:r>
            <w:proofErr w:type="spellStart"/>
            <w:r w:rsidRPr="00D603C0">
              <w:rPr>
                <w:rFonts w:ascii="Arial" w:hAnsi="Arial" w:cs="Arial"/>
                <w:sz w:val="16"/>
                <w:szCs w:val="16"/>
              </w:rPr>
              <w:t>sporing</w:t>
            </w:r>
            <w:proofErr w:type="spellEnd"/>
            <w:r w:rsidRPr="00D603C0">
              <w:rPr>
                <w:rFonts w:ascii="Arial" w:hAnsi="Arial" w:cs="Arial"/>
                <w:sz w:val="16"/>
                <w:szCs w:val="16"/>
              </w:rPr>
              <w:t>, rod-shaped bacilli, appears singly or in chains</w:t>
            </w:r>
          </w:p>
        </w:tc>
        <w:tc>
          <w:tcPr>
            <w:tcW w:w="369" w:type="dxa"/>
          </w:tcPr>
          <w:p w14:paraId="08F2777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8DCCC4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96337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241040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343F89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1A4FC0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166298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7532F3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7D46A29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19D8B71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F4388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929911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6AAF4D4F"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Salmonella </w:t>
            </w:r>
            <w:r w:rsidRPr="00D603C0">
              <w:rPr>
                <w:rFonts w:ascii="Arial" w:hAnsi="Arial" w:cs="Arial"/>
                <w:sz w:val="16"/>
                <w:szCs w:val="16"/>
              </w:rPr>
              <w:t>spp.</w:t>
            </w:r>
          </w:p>
        </w:tc>
      </w:tr>
      <w:tr w:rsidR="00E767AB" w:rsidRPr="00D603C0" w14:paraId="64F4B194" w14:textId="77777777" w:rsidTr="006B69C2">
        <w:tc>
          <w:tcPr>
            <w:tcW w:w="487" w:type="dxa"/>
          </w:tcPr>
          <w:p w14:paraId="404E3DF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MC5</w:t>
            </w:r>
          </w:p>
        </w:tc>
        <w:tc>
          <w:tcPr>
            <w:tcW w:w="988" w:type="dxa"/>
          </w:tcPr>
          <w:p w14:paraId="14AB786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Small, colorless colonies</w:t>
            </w:r>
          </w:p>
        </w:tc>
        <w:tc>
          <w:tcPr>
            <w:tcW w:w="1067" w:type="dxa"/>
          </w:tcPr>
          <w:p w14:paraId="1137F60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Non-motile,  short rod-shaped bacilli, non </w:t>
            </w:r>
            <w:proofErr w:type="spellStart"/>
            <w:r w:rsidRPr="00D603C0">
              <w:rPr>
                <w:rFonts w:ascii="Arial" w:hAnsi="Arial" w:cs="Arial"/>
                <w:sz w:val="16"/>
                <w:szCs w:val="16"/>
              </w:rPr>
              <w:t>sporing</w:t>
            </w:r>
            <w:proofErr w:type="spellEnd"/>
            <w:r w:rsidRPr="00D603C0">
              <w:rPr>
                <w:rFonts w:ascii="Arial" w:hAnsi="Arial" w:cs="Arial"/>
                <w:sz w:val="16"/>
                <w:szCs w:val="16"/>
              </w:rPr>
              <w:t xml:space="preserve"> and non-capsulated</w:t>
            </w:r>
          </w:p>
        </w:tc>
        <w:tc>
          <w:tcPr>
            <w:tcW w:w="369" w:type="dxa"/>
          </w:tcPr>
          <w:p w14:paraId="2AE6D4E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4831BC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4CE7EE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0E778C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B12273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78360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BDE02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4DB6D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7B6C8BE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0E3F2A0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83D238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8957C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4BF91D5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Shigella </w:t>
            </w:r>
            <w:r w:rsidRPr="00D603C0">
              <w:rPr>
                <w:rFonts w:ascii="Arial" w:hAnsi="Arial" w:cs="Arial"/>
                <w:sz w:val="16"/>
                <w:szCs w:val="16"/>
              </w:rPr>
              <w:t>spp.</w:t>
            </w:r>
          </w:p>
          <w:p w14:paraId="2EE6BD30"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 </w:t>
            </w:r>
          </w:p>
        </w:tc>
      </w:tr>
      <w:tr w:rsidR="00E767AB" w:rsidRPr="00D603C0" w14:paraId="53D001D4" w14:textId="77777777" w:rsidTr="006B69C2">
        <w:tc>
          <w:tcPr>
            <w:tcW w:w="487" w:type="dxa"/>
          </w:tcPr>
          <w:p w14:paraId="1A4D5E2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SC1</w:t>
            </w:r>
          </w:p>
        </w:tc>
        <w:tc>
          <w:tcPr>
            <w:tcW w:w="988" w:type="dxa"/>
          </w:tcPr>
          <w:p w14:paraId="25209F8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Slow growing small smooth and slightly mucoid colonies</w:t>
            </w:r>
          </w:p>
        </w:tc>
        <w:tc>
          <w:tcPr>
            <w:tcW w:w="1067" w:type="dxa"/>
          </w:tcPr>
          <w:p w14:paraId="6F95F1A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Thin branching filaments rods, break into short club-shaped rods</w:t>
            </w:r>
          </w:p>
        </w:tc>
        <w:tc>
          <w:tcPr>
            <w:tcW w:w="369" w:type="dxa"/>
          </w:tcPr>
          <w:p w14:paraId="6665C46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92B962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82D2D7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36F8E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FF70C8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3A9999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C765FA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440075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766A2F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2786E2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CA963B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96411F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F12158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Actinomyces </w:t>
            </w:r>
            <w:r w:rsidRPr="00D603C0">
              <w:rPr>
                <w:rFonts w:ascii="Arial" w:hAnsi="Arial" w:cs="Arial"/>
                <w:sz w:val="16"/>
                <w:szCs w:val="16"/>
              </w:rPr>
              <w:t>spp.</w:t>
            </w:r>
          </w:p>
        </w:tc>
      </w:tr>
      <w:tr w:rsidR="00E767AB" w:rsidRPr="00D603C0" w14:paraId="1909486E" w14:textId="77777777" w:rsidTr="006B69C2">
        <w:tc>
          <w:tcPr>
            <w:tcW w:w="487" w:type="dxa"/>
          </w:tcPr>
          <w:p w14:paraId="6DE3078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SC2</w:t>
            </w:r>
          </w:p>
        </w:tc>
        <w:tc>
          <w:tcPr>
            <w:tcW w:w="988" w:type="dxa"/>
          </w:tcPr>
          <w:p w14:paraId="39A53E0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Powdery, dry, filamentous, branched growth with blue pigment and fuzzy </w:t>
            </w:r>
            <w:r w:rsidR="00E4400A">
              <w:rPr>
                <w:rFonts w:ascii="Arial" w:hAnsi="Arial" w:cs="Arial"/>
                <w:sz w:val="16"/>
                <w:szCs w:val="16"/>
              </w:rPr>
              <w:t>appearance</w:t>
            </w:r>
          </w:p>
        </w:tc>
        <w:tc>
          <w:tcPr>
            <w:tcW w:w="1067" w:type="dxa"/>
          </w:tcPr>
          <w:p w14:paraId="134A81E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Elongated thread-like filamentous cells with aerial hyphae (spores in chain)</w:t>
            </w:r>
          </w:p>
        </w:tc>
        <w:tc>
          <w:tcPr>
            <w:tcW w:w="369" w:type="dxa"/>
          </w:tcPr>
          <w:p w14:paraId="2C66DE4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1691AD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837589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E4D577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8215C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EC462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4B93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775705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F6288D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4228DA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448C46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6A37B6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28C141E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Streptomyces </w:t>
            </w:r>
            <w:r w:rsidRPr="00D603C0">
              <w:rPr>
                <w:rFonts w:ascii="Arial" w:hAnsi="Arial" w:cs="Arial"/>
                <w:sz w:val="16"/>
                <w:szCs w:val="16"/>
              </w:rPr>
              <w:t>spp.</w:t>
            </w:r>
          </w:p>
        </w:tc>
      </w:tr>
      <w:tr w:rsidR="00E767AB" w:rsidRPr="00D603C0" w14:paraId="040EF60E" w14:textId="77777777" w:rsidTr="006B69C2">
        <w:tc>
          <w:tcPr>
            <w:tcW w:w="487" w:type="dxa"/>
          </w:tcPr>
          <w:p w14:paraId="142C68D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SC3</w:t>
            </w:r>
          </w:p>
        </w:tc>
        <w:tc>
          <w:tcPr>
            <w:tcW w:w="988" w:type="dxa"/>
          </w:tcPr>
          <w:p w14:paraId="06BE175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Moderate growing dry chalky white colonies that are leathery when touched</w:t>
            </w:r>
          </w:p>
        </w:tc>
        <w:tc>
          <w:tcPr>
            <w:tcW w:w="1067" w:type="dxa"/>
          </w:tcPr>
          <w:p w14:paraId="4592DA7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Elongated thin branching filamentous cells with spores formed in chains </w:t>
            </w:r>
          </w:p>
        </w:tc>
        <w:tc>
          <w:tcPr>
            <w:tcW w:w="369" w:type="dxa"/>
          </w:tcPr>
          <w:p w14:paraId="2DD31FD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778EEB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56BC9F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330B60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EC39FC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1D482F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B0D4A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ADB213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0395782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182EFC6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D95066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9229BB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FBCAB9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Streptomyces </w:t>
            </w:r>
            <w:r w:rsidRPr="00D603C0">
              <w:rPr>
                <w:rFonts w:ascii="Arial" w:hAnsi="Arial" w:cs="Arial"/>
                <w:sz w:val="16"/>
                <w:szCs w:val="16"/>
              </w:rPr>
              <w:t>spp.</w:t>
            </w:r>
          </w:p>
        </w:tc>
      </w:tr>
      <w:tr w:rsidR="00E767AB" w:rsidRPr="00773C48" w14:paraId="28CF50DC" w14:textId="77777777" w:rsidTr="006B69C2">
        <w:tc>
          <w:tcPr>
            <w:tcW w:w="487" w:type="dxa"/>
          </w:tcPr>
          <w:p w14:paraId="4D022DDC"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SC4</w:t>
            </w:r>
          </w:p>
        </w:tc>
        <w:tc>
          <w:tcPr>
            <w:tcW w:w="988" w:type="dxa"/>
          </w:tcPr>
          <w:p w14:paraId="67A6224B"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Irregular cream rough with raised elevation on SCA</w:t>
            </w:r>
          </w:p>
        </w:tc>
        <w:tc>
          <w:tcPr>
            <w:tcW w:w="1067" w:type="dxa"/>
          </w:tcPr>
          <w:p w14:paraId="6B7E7B20"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Elongated filamentous cells with irregular filaments</w:t>
            </w:r>
          </w:p>
        </w:tc>
        <w:tc>
          <w:tcPr>
            <w:tcW w:w="369" w:type="dxa"/>
          </w:tcPr>
          <w:p w14:paraId="6E465955"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1BDE0280"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2F129C47"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780216F9"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03383DBB"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1FA4D85F"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120D7927"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29ED7FF9"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423" w:type="dxa"/>
          </w:tcPr>
          <w:p w14:paraId="17532CC8"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NA</w:t>
            </w:r>
          </w:p>
        </w:tc>
        <w:tc>
          <w:tcPr>
            <w:tcW w:w="369" w:type="dxa"/>
          </w:tcPr>
          <w:p w14:paraId="6CE9A668"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5AA1D4FF"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0D75262A"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1335" w:type="dxa"/>
          </w:tcPr>
          <w:p w14:paraId="6245BF78" w14:textId="77777777" w:rsidR="00E767AB" w:rsidRPr="00773C48" w:rsidRDefault="00E767AB" w:rsidP="00841042">
            <w:pPr>
              <w:spacing w:before="100" w:beforeAutospacing="1" w:after="100" w:afterAutospacing="1"/>
              <w:jc w:val="both"/>
              <w:rPr>
                <w:rFonts w:ascii="Arial" w:hAnsi="Arial" w:cs="Arial"/>
                <w:i/>
                <w:sz w:val="16"/>
                <w:szCs w:val="16"/>
              </w:rPr>
            </w:pPr>
            <w:r w:rsidRPr="00773C48">
              <w:rPr>
                <w:rFonts w:ascii="Arial" w:hAnsi="Arial" w:cs="Arial"/>
                <w:i/>
                <w:sz w:val="16"/>
                <w:szCs w:val="16"/>
              </w:rPr>
              <w:t xml:space="preserve">Streptomyces </w:t>
            </w:r>
            <w:r w:rsidRPr="00773C48">
              <w:rPr>
                <w:rFonts w:ascii="Arial" w:hAnsi="Arial" w:cs="Arial"/>
                <w:sz w:val="16"/>
                <w:szCs w:val="16"/>
              </w:rPr>
              <w:t>spp.</w:t>
            </w:r>
          </w:p>
        </w:tc>
      </w:tr>
      <w:tr w:rsidR="00E767AB" w:rsidRPr="00D603C0" w14:paraId="609FFDFE" w14:textId="77777777" w:rsidTr="006B69C2">
        <w:tc>
          <w:tcPr>
            <w:tcW w:w="487" w:type="dxa"/>
          </w:tcPr>
          <w:p w14:paraId="345DE1D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SC5</w:t>
            </w:r>
          </w:p>
        </w:tc>
        <w:tc>
          <w:tcPr>
            <w:tcW w:w="988" w:type="dxa"/>
          </w:tcPr>
          <w:p w14:paraId="10ADA76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White, dry, and powdery texture with raised irregular margin</w:t>
            </w:r>
          </w:p>
        </w:tc>
        <w:tc>
          <w:tcPr>
            <w:tcW w:w="1067" w:type="dxa"/>
          </w:tcPr>
          <w:p w14:paraId="70FB2FD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Filamentous, branching cells like fungal hyphae</w:t>
            </w:r>
          </w:p>
        </w:tc>
        <w:tc>
          <w:tcPr>
            <w:tcW w:w="369" w:type="dxa"/>
          </w:tcPr>
          <w:p w14:paraId="6F684C9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F4FEB5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044D6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8198E3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71466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FA755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1853FC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FED18A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55D68FB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23540DF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AA77B5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633999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49704CC"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Nocardia </w:t>
            </w:r>
            <w:r w:rsidRPr="00D603C0">
              <w:rPr>
                <w:rFonts w:ascii="Arial" w:hAnsi="Arial" w:cs="Arial"/>
                <w:sz w:val="16"/>
                <w:szCs w:val="16"/>
              </w:rPr>
              <w:t>spp.</w:t>
            </w:r>
          </w:p>
        </w:tc>
      </w:tr>
      <w:tr w:rsidR="00E767AB" w:rsidRPr="00D603C0" w14:paraId="4B0AF416" w14:textId="77777777" w:rsidTr="006B69C2">
        <w:tc>
          <w:tcPr>
            <w:tcW w:w="487" w:type="dxa"/>
          </w:tcPr>
          <w:p w14:paraId="74DFEB1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SC6</w:t>
            </w:r>
          </w:p>
        </w:tc>
        <w:tc>
          <w:tcPr>
            <w:tcW w:w="988" w:type="dxa"/>
          </w:tcPr>
          <w:p w14:paraId="4D4AA7D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Slow growing, moderate irregular margin, leathery colonies with dark pigmentation.</w:t>
            </w:r>
          </w:p>
        </w:tc>
        <w:tc>
          <w:tcPr>
            <w:tcW w:w="1067" w:type="dxa"/>
          </w:tcPr>
          <w:p w14:paraId="441514C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Filamentous cell, single spiny spores on substrate mycelium with no aerial hyphae</w:t>
            </w:r>
          </w:p>
        </w:tc>
        <w:tc>
          <w:tcPr>
            <w:tcW w:w="369" w:type="dxa"/>
          </w:tcPr>
          <w:p w14:paraId="77CC03C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8BA5E3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BDF56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27BF61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9D88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E99117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1406B2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F5CB93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339AC2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468EFB3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649122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C4B18F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1809CD05" w14:textId="77777777" w:rsidR="00E767AB" w:rsidRPr="00D603C0" w:rsidRDefault="00E767AB" w:rsidP="00841042">
            <w:pPr>
              <w:spacing w:before="100" w:beforeAutospacing="1" w:after="100" w:afterAutospacing="1"/>
              <w:jc w:val="both"/>
              <w:rPr>
                <w:rFonts w:ascii="Arial" w:hAnsi="Arial" w:cs="Arial"/>
                <w:i/>
                <w:sz w:val="16"/>
                <w:szCs w:val="16"/>
              </w:rPr>
            </w:pPr>
            <w:proofErr w:type="spellStart"/>
            <w:r w:rsidRPr="00D603C0">
              <w:rPr>
                <w:rFonts w:ascii="Arial" w:hAnsi="Arial" w:cs="Arial"/>
                <w:i/>
                <w:sz w:val="16"/>
                <w:szCs w:val="16"/>
              </w:rPr>
              <w:t>Micromonospora</w:t>
            </w:r>
            <w:proofErr w:type="spellEnd"/>
            <w:r w:rsidRPr="00D603C0">
              <w:rPr>
                <w:rFonts w:ascii="Arial" w:hAnsi="Arial" w:cs="Arial"/>
                <w:i/>
                <w:sz w:val="16"/>
                <w:szCs w:val="16"/>
              </w:rPr>
              <w:t xml:space="preserve"> </w:t>
            </w:r>
            <w:r w:rsidRPr="00D603C0">
              <w:rPr>
                <w:rFonts w:ascii="Arial" w:hAnsi="Arial" w:cs="Arial"/>
                <w:sz w:val="16"/>
                <w:szCs w:val="16"/>
              </w:rPr>
              <w:t>spp.</w:t>
            </w:r>
          </w:p>
        </w:tc>
      </w:tr>
      <w:tr w:rsidR="00E767AB" w:rsidRPr="00D603C0" w14:paraId="5298421B" w14:textId="77777777" w:rsidTr="006B69C2">
        <w:tc>
          <w:tcPr>
            <w:tcW w:w="487" w:type="dxa"/>
          </w:tcPr>
          <w:p w14:paraId="7E42BD7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SC7</w:t>
            </w:r>
          </w:p>
        </w:tc>
        <w:tc>
          <w:tcPr>
            <w:tcW w:w="988" w:type="dxa"/>
          </w:tcPr>
          <w:p w14:paraId="616B776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Slow growing wrinkled gray white  colonies with a powdery </w:t>
            </w:r>
            <w:r w:rsidR="00E4400A">
              <w:rPr>
                <w:rFonts w:ascii="Arial" w:hAnsi="Arial" w:cs="Arial"/>
                <w:sz w:val="16"/>
                <w:szCs w:val="16"/>
              </w:rPr>
              <w:t>appearance</w:t>
            </w:r>
          </w:p>
        </w:tc>
        <w:tc>
          <w:tcPr>
            <w:tcW w:w="1067" w:type="dxa"/>
          </w:tcPr>
          <w:p w14:paraId="72D006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Elongated thin branching filamentous hyphae, spores are globus and </w:t>
            </w:r>
            <w:r w:rsidRPr="00D603C0">
              <w:rPr>
                <w:rFonts w:ascii="Arial" w:hAnsi="Arial" w:cs="Arial"/>
                <w:sz w:val="16"/>
                <w:szCs w:val="16"/>
              </w:rPr>
              <w:lastRenderedPageBreak/>
              <w:t>arranged in in chains</w:t>
            </w:r>
          </w:p>
        </w:tc>
        <w:tc>
          <w:tcPr>
            <w:tcW w:w="369" w:type="dxa"/>
          </w:tcPr>
          <w:p w14:paraId="318BC32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lastRenderedPageBreak/>
              <w:t>+</w:t>
            </w:r>
          </w:p>
        </w:tc>
        <w:tc>
          <w:tcPr>
            <w:tcW w:w="369" w:type="dxa"/>
          </w:tcPr>
          <w:p w14:paraId="59CB629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A926BD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E3FCBE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07F457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990EE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3DD3C2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959CA2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04AC610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6412378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E84F6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3A8F0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18D3E34"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Streptomyces </w:t>
            </w:r>
            <w:r w:rsidRPr="00D603C0">
              <w:rPr>
                <w:rFonts w:ascii="Arial" w:hAnsi="Arial" w:cs="Arial"/>
                <w:sz w:val="16"/>
                <w:szCs w:val="16"/>
              </w:rPr>
              <w:t>spp.</w:t>
            </w:r>
          </w:p>
        </w:tc>
      </w:tr>
      <w:tr w:rsidR="00E767AB" w:rsidRPr="00D603C0" w14:paraId="03E2C3A5" w14:textId="77777777" w:rsidTr="006B69C2">
        <w:tc>
          <w:tcPr>
            <w:tcW w:w="487" w:type="dxa"/>
          </w:tcPr>
          <w:p w14:paraId="362CF15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MS2</w:t>
            </w:r>
          </w:p>
        </w:tc>
        <w:tc>
          <w:tcPr>
            <w:tcW w:w="988" w:type="dxa"/>
          </w:tcPr>
          <w:p w14:paraId="7533167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Small, round, smooth, white colonies without color change in the medium</w:t>
            </w:r>
          </w:p>
        </w:tc>
        <w:tc>
          <w:tcPr>
            <w:tcW w:w="1067" w:type="dxa"/>
          </w:tcPr>
          <w:p w14:paraId="43F1526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1BF339C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CFC1A2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E85017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F97341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6B7013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5B7970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F29591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04B526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4A3D4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0C2AE22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432DC4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E38FE5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3B81F6B8"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r w:rsidR="00E767AB" w:rsidRPr="00D603C0" w14:paraId="546C83D3" w14:textId="77777777" w:rsidTr="006B69C2">
        <w:tc>
          <w:tcPr>
            <w:tcW w:w="487" w:type="dxa"/>
          </w:tcPr>
          <w:p w14:paraId="2D78396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MS3</w:t>
            </w:r>
          </w:p>
        </w:tc>
        <w:tc>
          <w:tcPr>
            <w:tcW w:w="988" w:type="dxa"/>
          </w:tcPr>
          <w:p w14:paraId="783F018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Medium-sized, white colonies</w:t>
            </w:r>
          </w:p>
        </w:tc>
        <w:tc>
          <w:tcPr>
            <w:tcW w:w="1067" w:type="dxa"/>
          </w:tcPr>
          <w:p w14:paraId="242B75F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32591C0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F954B8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D80489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D6DF06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DAC323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0FA55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D463B4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A5D736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7E220BDD" w14:textId="77777777" w:rsidR="00E767AB" w:rsidRPr="00D603C0" w:rsidRDefault="00E767AB" w:rsidP="00841042">
            <w:pPr>
              <w:spacing w:before="100" w:beforeAutospacing="1" w:after="100" w:afterAutospacing="1"/>
              <w:jc w:val="both"/>
              <w:rPr>
                <w:rFonts w:ascii="Arial" w:hAnsi="Arial" w:cs="Arial"/>
                <w:sz w:val="16"/>
                <w:szCs w:val="16"/>
              </w:rPr>
            </w:pPr>
          </w:p>
        </w:tc>
        <w:tc>
          <w:tcPr>
            <w:tcW w:w="369" w:type="dxa"/>
          </w:tcPr>
          <w:p w14:paraId="7B2E135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1AA078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2F025D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31E90B8A"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r w:rsidR="00E767AB" w:rsidRPr="00D603C0" w14:paraId="1153FD50" w14:textId="77777777" w:rsidTr="006B69C2">
        <w:tc>
          <w:tcPr>
            <w:tcW w:w="487" w:type="dxa"/>
          </w:tcPr>
          <w:p w14:paraId="620A158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MS4</w:t>
            </w:r>
          </w:p>
        </w:tc>
        <w:tc>
          <w:tcPr>
            <w:tcW w:w="988" w:type="dxa"/>
          </w:tcPr>
          <w:p w14:paraId="37E9FBF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Large, opaque, cream-to-white colonies that may ferment mannitol, turning the medium yellow</w:t>
            </w:r>
          </w:p>
        </w:tc>
        <w:tc>
          <w:tcPr>
            <w:tcW w:w="1067" w:type="dxa"/>
          </w:tcPr>
          <w:p w14:paraId="26743DF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5479597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E6ACB7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0C001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16BB81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C810BA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A9480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23D3B7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20097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21913D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w:t>
            </w:r>
          </w:p>
        </w:tc>
        <w:tc>
          <w:tcPr>
            <w:tcW w:w="369" w:type="dxa"/>
          </w:tcPr>
          <w:p w14:paraId="071C177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BBD3F0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6286AC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7952FB4"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bl>
    <w:p w14:paraId="5E298F46" w14:textId="77777777" w:rsidR="00E767AB" w:rsidRPr="00E767AB" w:rsidRDefault="00E4400A" w:rsidP="00841042">
      <w:pPr>
        <w:spacing w:before="100" w:beforeAutospacing="1" w:after="100" w:afterAutospacing="1" w:line="360" w:lineRule="auto"/>
        <w:jc w:val="both"/>
        <w:rPr>
          <w:rFonts w:ascii="Arial" w:hAnsi="Arial" w:cs="Arial"/>
        </w:rPr>
      </w:pPr>
      <w:r>
        <w:rPr>
          <w:rFonts w:ascii="Arial" w:hAnsi="Arial" w:cs="Arial"/>
        </w:rPr>
        <w:t>*</w:t>
      </w:r>
      <w:r w:rsidR="00E767AB" w:rsidRPr="00E767AB">
        <w:rPr>
          <w:rFonts w:ascii="Arial" w:hAnsi="Arial" w:cs="Arial"/>
        </w:rPr>
        <w:t>MR = methyl red, VP = Voges Proskauer, TSI = triple sugar iron, H</w:t>
      </w:r>
      <w:r w:rsidR="00E767AB" w:rsidRPr="00E767AB">
        <w:rPr>
          <w:rFonts w:ascii="Arial" w:hAnsi="Arial" w:cs="Arial"/>
          <w:vertAlign w:val="subscript"/>
        </w:rPr>
        <w:t>2</w:t>
      </w:r>
      <w:r w:rsidR="00E767AB" w:rsidRPr="00E767AB">
        <w:rPr>
          <w:rFonts w:ascii="Arial" w:hAnsi="Arial" w:cs="Arial"/>
        </w:rPr>
        <w:t xml:space="preserve">S = hydrogen </w:t>
      </w:r>
      <w:proofErr w:type="spellStart"/>
      <w:r w:rsidR="00E767AB" w:rsidRPr="00E767AB">
        <w:rPr>
          <w:rFonts w:ascii="Arial" w:hAnsi="Arial" w:cs="Arial"/>
        </w:rPr>
        <w:t>sulphide</w:t>
      </w:r>
      <w:proofErr w:type="spellEnd"/>
      <w:r w:rsidR="00E767AB" w:rsidRPr="00E767AB">
        <w:rPr>
          <w:rFonts w:ascii="Arial" w:hAnsi="Arial" w:cs="Arial"/>
        </w:rPr>
        <w:t>, NA = Not applicable, K/A = alkaline slant/acid butt, A/A = acid slant/acid butt, + = positive, - = negative</w:t>
      </w:r>
    </w:p>
    <w:p w14:paraId="7B6A4685" w14:textId="77777777" w:rsidR="00E767AB" w:rsidRPr="00E767AB" w:rsidRDefault="00E767AB" w:rsidP="00841042">
      <w:pPr>
        <w:spacing w:before="100" w:beforeAutospacing="1" w:after="100" w:afterAutospacing="1" w:line="360" w:lineRule="auto"/>
        <w:jc w:val="both"/>
        <w:rPr>
          <w:rFonts w:ascii="Arial" w:hAnsi="Arial" w:cs="Arial"/>
        </w:rPr>
      </w:pPr>
      <w:r w:rsidRPr="00E767AB">
        <w:rPr>
          <w:rFonts w:ascii="Arial" w:hAnsi="Arial" w:cs="Arial"/>
        </w:rPr>
        <w:t>The probable identification of the isolates using analytical profile index (API test kits) is shown in Tables 4 and 5. Table 4 shows the Gram positive bacterial isolates while Table 5 shows the Gram negative bacterial organisms.</w:t>
      </w:r>
    </w:p>
    <w:p w14:paraId="37205135" w14:textId="77777777" w:rsidR="00E767AB" w:rsidRPr="00E767AB" w:rsidRDefault="00E767AB" w:rsidP="00E767AB">
      <w:pPr>
        <w:spacing w:before="100" w:beforeAutospacing="1" w:after="100" w:afterAutospacing="1"/>
        <w:jc w:val="both"/>
        <w:rPr>
          <w:rFonts w:ascii="Arial" w:hAnsi="Arial" w:cs="Arial"/>
          <w:b/>
        </w:rPr>
      </w:pPr>
      <w:r w:rsidRPr="00E767AB">
        <w:rPr>
          <w:rFonts w:ascii="Arial" w:hAnsi="Arial" w:cs="Arial"/>
          <w:b/>
        </w:rPr>
        <w:t>Table 4: Identification of some bacteria via Analytical Profile Index (API 50CH) test</w:t>
      </w:r>
    </w:p>
    <w:tbl>
      <w:tblPr>
        <w:tblStyle w:val="ListTable6Colorful1"/>
        <w:tblW w:w="5000" w:type="pct"/>
        <w:tblLook w:val="04A0" w:firstRow="1" w:lastRow="0" w:firstColumn="1" w:lastColumn="0" w:noHBand="0" w:noVBand="1"/>
      </w:tblPr>
      <w:tblGrid>
        <w:gridCol w:w="370"/>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83"/>
        <w:gridCol w:w="454"/>
      </w:tblGrid>
      <w:tr w:rsidR="009A09FD" w:rsidRPr="00AF4C5F" w14:paraId="7D1D10F5" w14:textId="77777777" w:rsidTr="00EE273E">
        <w:trPr>
          <w:cnfStyle w:val="100000000000" w:firstRow="1" w:lastRow="0" w:firstColumn="0" w:lastColumn="0" w:oddVBand="0" w:evenVBand="0" w:oddHBand="0"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97" w:type="pct"/>
            <w:textDirection w:val="btLr"/>
          </w:tcPr>
          <w:p w14:paraId="6DD81F84" w14:textId="77777777" w:rsidR="00E767AB" w:rsidRPr="00773C48" w:rsidRDefault="00E767AB" w:rsidP="00841042">
            <w:pPr>
              <w:ind w:left="113" w:right="113"/>
              <w:jc w:val="both"/>
              <w:rPr>
                <w:rFonts w:ascii="Times New Roman" w:hAnsi="Times New Roman"/>
                <w:sz w:val="12"/>
                <w:szCs w:val="12"/>
              </w:rPr>
            </w:pPr>
            <w:r w:rsidRPr="00773C48">
              <w:rPr>
                <w:rFonts w:ascii="Times New Roman" w:hAnsi="Times New Roman"/>
                <w:sz w:val="12"/>
                <w:szCs w:val="12"/>
              </w:rPr>
              <w:t>Isolate ID</w:t>
            </w:r>
          </w:p>
        </w:tc>
        <w:tc>
          <w:tcPr>
            <w:tcW w:w="150" w:type="pct"/>
            <w:textDirection w:val="btLr"/>
          </w:tcPr>
          <w:p w14:paraId="173DECD0"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GLY</w:t>
            </w:r>
          </w:p>
        </w:tc>
        <w:tc>
          <w:tcPr>
            <w:tcW w:w="119" w:type="pct"/>
            <w:textDirection w:val="btLr"/>
          </w:tcPr>
          <w:p w14:paraId="3DB2A3BB"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DARA</w:t>
            </w:r>
          </w:p>
        </w:tc>
        <w:tc>
          <w:tcPr>
            <w:tcW w:w="130" w:type="pct"/>
            <w:textDirection w:val="btLr"/>
          </w:tcPr>
          <w:p w14:paraId="0940114E" w14:textId="77777777" w:rsidR="00E767AB" w:rsidRPr="00773C48" w:rsidRDefault="00E767AB" w:rsidP="00841042">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LARA</w:t>
            </w:r>
          </w:p>
        </w:tc>
        <w:tc>
          <w:tcPr>
            <w:tcW w:w="139" w:type="pct"/>
            <w:textDirection w:val="btLr"/>
          </w:tcPr>
          <w:p w14:paraId="79E4A50A" w14:textId="77777777" w:rsidR="00E767AB" w:rsidRPr="00773C48" w:rsidRDefault="00E767AB" w:rsidP="00841042">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GAL</w:t>
            </w:r>
          </w:p>
        </w:tc>
        <w:tc>
          <w:tcPr>
            <w:tcW w:w="139" w:type="pct"/>
            <w:textDirection w:val="btLr"/>
          </w:tcPr>
          <w:p w14:paraId="539C6A51"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GLU</w:t>
            </w:r>
          </w:p>
        </w:tc>
        <w:tc>
          <w:tcPr>
            <w:tcW w:w="139" w:type="pct"/>
            <w:textDirection w:val="btLr"/>
          </w:tcPr>
          <w:p w14:paraId="32A77EAB"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FRU</w:t>
            </w:r>
          </w:p>
        </w:tc>
        <w:tc>
          <w:tcPr>
            <w:tcW w:w="139" w:type="pct"/>
            <w:textDirection w:val="btLr"/>
          </w:tcPr>
          <w:p w14:paraId="5EB3266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SOR</w:t>
            </w:r>
          </w:p>
        </w:tc>
        <w:tc>
          <w:tcPr>
            <w:tcW w:w="139" w:type="pct"/>
            <w:textDirection w:val="btLr"/>
          </w:tcPr>
          <w:p w14:paraId="19D55E24"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RHA </w:t>
            </w:r>
          </w:p>
        </w:tc>
        <w:tc>
          <w:tcPr>
            <w:tcW w:w="139" w:type="pct"/>
            <w:textDirection w:val="btLr"/>
          </w:tcPr>
          <w:p w14:paraId="2989564F"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MNE</w:t>
            </w:r>
          </w:p>
        </w:tc>
        <w:tc>
          <w:tcPr>
            <w:tcW w:w="139" w:type="pct"/>
            <w:textDirection w:val="btLr"/>
          </w:tcPr>
          <w:p w14:paraId="14C0D644"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DUL</w:t>
            </w:r>
          </w:p>
        </w:tc>
        <w:tc>
          <w:tcPr>
            <w:tcW w:w="139" w:type="pct"/>
            <w:textDirection w:val="btLr"/>
          </w:tcPr>
          <w:p w14:paraId="44E89FB5"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CEL</w:t>
            </w:r>
          </w:p>
        </w:tc>
        <w:tc>
          <w:tcPr>
            <w:tcW w:w="139" w:type="pct"/>
            <w:textDirection w:val="btLr"/>
          </w:tcPr>
          <w:p w14:paraId="2B43B4A7"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ESC</w:t>
            </w:r>
          </w:p>
        </w:tc>
        <w:tc>
          <w:tcPr>
            <w:tcW w:w="139" w:type="pct"/>
            <w:textDirection w:val="btLr"/>
          </w:tcPr>
          <w:p w14:paraId="5F763299"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MAN </w:t>
            </w:r>
          </w:p>
        </w:tc>
        <w:tc>
          <w:tcPr>
            <w:tcW w:w="139" w:type="pct"/>
            <w:textDirection w:val="btLr"/>
          </w:tcPr>
          <w:p w14:paraId="547FFFCE"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INO </w:t>
            </w:r>
          </w:p>
        </w:tc>
        <w:tc>
          <w:tcPr>
            <w:tcW w:w="139" w:type="pct"/>
            <w:textDirection w:val="btLr"/>
          </w:tcPr>
          <w:p w14:paraId="4D857513"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LAC</w:t>
            </w:r>
          </w:p>
        </w:tc>
        <w:tc>
          <w:tcPr>
            <w:tcW w:w="139" w:type="pct"/>
            <w:textDirection w:val="btLr"/>
          </w:tcPr>
          <w:p w14:paraId="13E941AE"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TRE</w:t>
            </w:r>
          </w:p>
        </w:tc>
        <w:tc>
          <w:tcPr>
            <w:tcW w:w="139" w:type="pct"/>
            <w:textDirection w:val="btLr"/>
          </w:tcPr>
          <w:p w14:paraId="768979A3"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SAC </w:t>
            </w:r>
          </w:p>
        </w:tc>
        <w:tc>
          <w:tcPr>
            <w:tcW w:w="139" w:type="pct"/>
            <w:textDirection w:val="btLr"/>
          </w:tcPr>
          <w:p w14:paraId="130C62B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MEL </w:t>
            </w:r>
          </w:p>
        </w:tc>
        <w:tc>
          <w:tcPr>
            <w:tcW w:w="139" w:type="pct"/>
            <w:textDirection w:val="btLr"/>
          </w:tcPr>
          <w:p w14:paraId="5D33F419"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MAL</w:t>
            </w:r>
          </w:p>
        </w:tc>
        <w:tc>
          <w:tcPr>
            <w:tcW w:w="139" w:type="pct"/>
            <w:textDirection w:val="btLr"/>
          </w:tcPr>
          <w:p w14:paraId="2D285952"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MDG</w:t>
            </w:r>
          </w:p>
        </w:tc>
        <w:tc>
          <w:tcPr>
            <w:tcW w:w="139" w:type="pct"/>
            <w:textDirection w:val="btLr"/>
          </w:tcPr>
          <w:p w14:paraId="7FF76A63"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NAG</w:t>
            </w:r>
          </w:p>
        </w:tc>
        <w:tc>
          <w:tcPr>
            <w:tcW w:w="139" w:type="pct"/>
            <w:textDirection w:val="btLr"/>
          </w:tcPr>
          <w:p w14:paraId="51B962BB"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MDX</w:t>
            </w:r>
          </w:p>
        </w:tc>
        <w:tc>
          <w:tcPr>
            <w:tcW w:w="139" w:type="pct"/>
            <w:textDirection w:val="btLr"/>
          </w:tcPr>
          <w:p w14:paraId="500D890F"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SBE</w:t>
            </w:r>
          </w:p>
        </w:tc>
        <w:tc>
          <w:tcPr>
            <w:tcW w:w="139" w:type="pct"/>
            <w:textDirection w:val="btLr"/>
          </w:tcPr>
          <w:p w14:paraId="324FD83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RIB </w:t>
            </w:r>
          </w:p>
        </w:tc>
        <w:tc>
          <w:tcPr>
            <w:tcW w:w="139" w:type="pct"/>
            <w:textDirection w:val="btLr"/>
          </w:tcPr>
          <w:p w14:paraId="3C26B90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DXYL</w:t>
            </w:r>
          </w:p>
        </w:tc>
        <w:tc>
          <w:tcPr>
            <w:tcW w:w="139" w:type="pct"/>
            <w:textDirection w:val="btLr"/>
          </w:tcPr>
          <w:p w14:paraId="349535D5"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LXYL</w:t>
            </w:r>
          </w:p>
        </w:tc>
        <w:tc>
          <w:tcPr>
            <w:tcW w:w="139" w:type="pct"/>
            <w:textDirection w:val="btLr"/>
          </w:tcPr>
          <w:p w14:paraId="5B3F029F"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ADO</w:t>
            </w:r>
          </w:p>
        </w:tc>
        <w:tc>
          <w:tcPr>
            <w:tcW w:w="209" w:type="pct"/>
            <w:textDirection w:val="btLr"/>
          </w:tcPr>
          <w:p w14:paraId="1B546A3A"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 %  API similarity identity</w:t>
            </w:r>
          </w:p>
        </w:tc>
        <w:tc>
          <w:tcPr>
            <w:tcW w:w="763" w:type="pct"/>
            <w:textDirection w:val="btLr"/>
          </w:tcPr>
          <w:p w14:paraId="107BEC18" w14:textId="77777777" w:rsidR="00E767AB" w:rsidRPr="00773C48" w:rsidRDefault="00E767AB" w:rsidP="00841042">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Identity of Organisms</w:t>
            </w:r>
          </w:p>
        </w:tc>
      </w:tr>
      <w:tr w:rsidR="009A09FD" w:rsidRPr="00AF4C5F" w14:paraId="69981F6D" w14:textId="77777777" w:rsidTr="00EE273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5F2088B4"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TS1</w:t>
            </w:r>
          </w:p>
        </w:tc>
        <w:tc>
          <w:tcPr>
            <w:tcW w:w="150" w:type="pct"/>
            <w:shd w:val="clear" w:color="auto" w:fill="auto"/>
          </w:tcPr>
          <w:p w14:paraId="7E294B69"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113EFC2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385CF5B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4BE74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7F4F25A"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B0232D2"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E64911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31FAB7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101312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5C8290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ADA7BF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AD2495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05522B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D21AD9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00D049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E752DE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06EE11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8BE180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FACBB4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09A755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094EB9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C1FD1C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BBFD29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8FF3BD4"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2A724B6"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13814CA"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F82457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23B026B9"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99.0</w:t>
            </w:r>
          </w:p>
        </w:tc>
        <w:tc>
          <w:tcPr>
            <w:tcW w:w="763" w:type="pct"/>
            <w:shd w:val="clear" w:color="auto" w:fill="auto"/>
          </w:tcPr>
          <w:p w14:paraId="37CA5E80" w14:textId="77777777" w:rsidR="00E767AB" w:rsidRPr="00AF4C5F" w:rsidRDefault="00E767AB" w:rsidP="00841042">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color w:val="0D0D0D" w:themeColor="text1" w:themeTint="F2"/>
                <w:sz w:val="12"/>
                <w:szCs w:val="12"/>
              </w:rPr>
            </w:pPr>
            <w:r w:rsidRPr="00AF4C5F">
              <w:rPr>
                <w:i/>
                <w:sz w:val="12"/>
                <w:szCs w:val="12"/>
              </w:rPr>
              <w:t>Bacillus subtilis</w:t>
            </w:r>
          </w:p>
        </w:tc>
      </w:tr>
      <w:tr w:rsidR="009A09FD" w:rsidRPr="00AF4C5F" w14:paraId="122669D9" w14:textId="77777777" w:rsidTr="00EE273E">
        <w:trPr>
          <w:trHeight w:val="284"/>
        </w:trPr>
        <w:tc>
          <w:tcPr>
            <w:cnfStyle w:val="001000000000" w:firstRow="0" w:lastRow="0" w:firstColumn="1" w:lastColumn="0" w:oddVBand="0" w:evenVBand="0" w:oddHBand="0" w:evenHBand="0" w:firstRowFirstColumn="0" w:firstRowLastColumn="0" w:lastRowFirstColumn="0" w:lastRowLastColumn="0"/>
            <w:tcW w:w="297" w:type="pct"/>
          </w:tcPr>
          <w:p w14:paraId="0BFA8B04"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TS2</w:t>
            </w:r>
          </w:p>
        </w:tc>
        <w:tc>
          <w:tcPr>
            <w:tcW w:w="150" w:type="pct"/>
          </w:tcPr>
          <w:p w14:paraId="25B3D9F1"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7FBCC2F2"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078FBA4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FEABD2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B67E001"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B0967D8"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2E1AF5E"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711AA8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BC8B15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D4974A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60D477E"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7C8D4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44DB32"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399F76A"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4B566D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E37FF75"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54FF6C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7BC2BBB"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E6782D"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C9D4EF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9EBDDF4"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8AED3B4"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5FC4FC0"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B8C246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A5E8C32"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3513C8"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744D3A5"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067841A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85.1</w:t>
            </w:r>
          </w:p>
        </w:tc>
        <w:tc>
          <w:tcPr>
            <w:tcW w:w="763" w:type="pct"/>
          </w:tcPr>
          <w:p w14:paraId="4E7C506E" w14:textId="77777777" w:rsidR="00E767AB" w:rsidRPr="00AF4C5F" w:rsidRDefault="00E767AB" w:rsidP="00841042">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i/>
                <w:sz w:val="12"/>
                <w:szCs w:val="12"/>
              </w:rPr>
            </w:pPr>
            <w:r w:rsidRPr="00AF4C5F">
              <w:rPr>
                <w:i/>
                <w:sz w:val="12"/>
                <w:szCs w:val="12"/>
              </w:rPr>
              <w:t xml:space="preserve">Bacillus </w:t>
            </w:r>
            <w:proofErr w:type="spellStart"/>
            <w:r w:rsidRPr="00AF4C5F">
              <w:rPr>
                <w:i/>
                <w:sz w:val="12"/>
                <w:szCs w:val="12"/>
              </w:rPr>
              <w:t>pumilis</w:t>
            </w:r>
            <w:proofErr w:type="spellEnd"/>
          </w:p>
        </w:tc>
      </w:tr>
      <w:tr w:rsidR="009A09FD" w:rsidRPr="00AF4C5F" w14:paraId="58D1BEEF" w14:textId="77777777" w:rsidTr="00EE273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66B77429"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TS3</w:t>
            </w:r>
          </w:p>
        </w:tc>
        <w:tc>
          <w:tcPr>
            <w:tcW w:w="150" w:type="pct"/>
            <w:shd w:val="clear" w:color="auto" w:fill="auto"/>
          </w:tcPr>
          <w:p w14:paraId="26F029EE"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66854B8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22B053F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92DCB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A2B119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14F441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8F33B6F"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63BE37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2916941"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F7F981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CFB5E8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266A1F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6610FE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4ABABBF"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8E872EA"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88D3B2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D22E6D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EFF7FC1"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AD4F64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6F9534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5FD38F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E802C7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63669B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08313F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FA2775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6C9722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92C9CA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5F81A640"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99.0</w:t>
            </w:r>
          </w:p>
        </w:tc>
        <w:tc>
          <w:tcPr>
            <w:tcW w:w="763" w:type="pct"/>
            <w:shd w:val="clear" w:color="auto" w:fill="auto"/>
          </w:tcPr>
          <w:p w14:paraId="0BD3D652" w14:textId="77777777" w:rsidR="00E767AB" w:rsidRPr="00AF4C5F" w:rsidRDefault="00E767AB" w:rsidP="00841042">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i/>
                <w:sz w:val="12"/>
                <w:szCs w:val="12"/>
              </w:rPr>
            </w:pPr>
            <w:r w:rsidRPr="00AF4C5F">
              <w:rPr>
                <w:i/>
                <w:sz w:val="12"/>
                <w:szCs w:val="12"/>
              </w:rPr>
              <w:t>Bacillus licheniformis</w:t>
            </w:r>
          </w:p>
        </w:tc>
      </w:tr>
      <w:tr w:rsidR="009A09FD" w:rsidRPr="00AF4C5F" w14:paraId="464CBFFB" w14:textId="77777777" w:rsidTr="00EE273E">
        <w:trPr>
          <w:trHeight w:val="558"/>
        </w:trPr>
        <w:tc>
          <w:tcPr>
            <w:cnfStyle w:val="001000000000" w:firstRow="0" w:lastRow="0" w:firstColumn="1" w:lastColumn="0" w:oddVBand="0" w:evenVBand="0" w:oddHBand="0" w:evenHBand="0" w:firstRowFirstColumn="0" w:firstRowLastColumn="0" w:lastRowFirstColumn="0" w:lastRowLastColumn="0"/>
            <w:tcW w:w="297" w:type="pct"/>
          </w:tcPr>
          <w:p w14:paraId="0196CB0B"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lastRenderedPageBreak/>
              <w:t>TS4/MS1</w:t>
            </w:r>
          </w:p>
        </w:tc>
        <w:tc>
          <w:tcPr>
            <w:tcW w:w="150" w:type="pct"/>
          </w:tcPr>
          <w:p w14:paraId="10F80DE9"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173A5DDE"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352FD1CC"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904D87"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FAD7A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A30B656"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9D00976"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D07D665"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0B8DB6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EC6AC74"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6D2BF65"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E057D0D"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9B431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66AEF94"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F75C938"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4B55BF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C96A918"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AE1A955"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E29CA6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447289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EDDC4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828C0DA"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E7B26FE"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5938FC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90087C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465FB77"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76CEF14"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691CACDA"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95.1</w:t>
            </w:r>
          </w:p>
        </w:tc>
        <w:tc>
          <w:tcPr>
            <w:tcW w:w="763" w:type="pct"/>
          </w:tcPr>
          <w:p w14:paraId="0C201831"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Staphylococcus aureus</w:t>
            </w:r>
          </w:p>
        </w:tc>
      </w:tr>
      <w:tr w:rsidR="009A09FD" w:rsidRPr="00AF4C5F" w14:paraId="3E869A18" w14:textId="77777777" w:rsidTr="00EE273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096DD229"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TS7</w:t>
            </w:r>
          </w:p>
        </w:tc>
        <w:tc>
          <w:tcPr>
            <w:tcW w:w="150" w:type="pct"/>
            <w:shd w:val="clear" w:color="auto" w:fill="auto"/>
          </w:tcPr>
          <w:p w14:paraId="5524176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64A3BB1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784C486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18361D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84DC388"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A53225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259D0C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AAA51D5"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3122A6E"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AF26D77"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15E4E38"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9EB619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60C580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29A701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9CA9BD7"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CC9422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FFB8AB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00653D2"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DCA6CF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9C40D9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14B028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5ABA06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4352FD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779FDB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E071373"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081DEA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473EC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054116AB"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97.8</w:t>
            </w:r>
          </w:p>
        </w:tc>
        <w:tc>
          <w:tcPr>
            <w:tcW w:w="763" w:type="pct"/>
            <w:shd w:val="clear" w:color="auto" w:fill="auto"/>
          </w:tcPr>
          <w:p w14:paraId="2D0F4995"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Streptococcus pyogenes</w:t>
            </w:r>
          </w:p>
        </w:tc>
      </w:tr>
      <w:tr w:rsidR="009A09FD" w:rsidRPr="00AF4C5F" w14:paraId="26F981AE" w14:textId="77777777" w:rsidTr="00EE273E">
        <w:trPr>
          <w:trHeight w:val="142"/>
        </w:trPr>
        <w:tc>
          <w:tcPr>
            <w:cnfStyle w:val="001000000000" w:firstRow="0" w:lastRow="0" w:firstColumn="1" w:lastColumn="0" w:oddVBand="0" w:evenVBand="0" w:oddHBand="0" w:evenHBand="0" w:firstRowFirstColumn="0" w:firstRowLastColumn="0" w:lastRowFirstColumn="0" w:lastRowLastColumn="0"/>
            <w:tcW w:w="297" w:type="pct"/>
          </w:tcPr>
          <w:p w14:paraId="4CD250B4" w14:textId="77777777" w:rsidR="00E767AB" w:rsidRPr="00AF4C5F" w:rsidRDefault="00E767AB" w:rsidP="00841042">
            <w:pPr>
              <w:contextualSpacing/>
              <w:jc w:val="both"/>
              <w:rPr>
                <w:rFonts w:ascii="Times New Roman" w:hAnsi="Times New Roman"/>
                <w:sz w:val="12"/>
                <w:szCs w:val="12"/>
              </w:rPr>
            </w:pPr>
            <w:r w:rsidRPr="00AF4C5F">
              <w:rPr>
                <w:rFonts w:ascii="Times New Roman" w:hAnsi="Times New Roman"/>
                <w:sz w:val="12"/>
                <w:szCs w:val="12"/>
              </w:rPr>
              <w:t>MS2</w:t>
            </w:r>
          </w:p>
        </w:tc>
        <w:tc>
          <w:tcPr>
            <w:tcW w:w="150" w:type="pct"/>
          </w:tcPr>
          <w:p w14:paraId="3B6ED5E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2610772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60B6E4A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36EFFA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452CF30"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7E32147"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F808D84"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1C1C9EF"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26CAC8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E2323DC"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5239BF1"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222517A"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99CA8DD"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A06DD3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4611990"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C1E84F4"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9DF3DBD"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4503EDE"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588C83A"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B764365"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0449DD"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928AC4"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EE22ED6"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2B92F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0B21C05"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BE9C32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1F1B3F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20921F64"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92.5</w:t>
            </w:r>
          </w:p>
        </w:tc>
        <w:tc>
          <w:tcPr>
            <w:tcW w:w="763" w:type="pct"/>
          </w:tcPr>
          <w:p w14:paraId="20CB013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Staphylococcus epidermidis</w:t>
            </w:r>
          </w:p>
        </w:tc>
      </w:tr>
      <w:tr w:rsidR="009A09FD" w:rsidRPr="00AF4C5F" w14:paraId="0B2ECF30" w14:textId="77777777" w:rsidTr="00EE273E">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4CF0B19F" w14:textId="77777777" w:rsidR="00E767AB" w:rsidRPr="00AF4C5F" w:rsidRDefault="00E767AB" w:rsidP="00841042">
            <w:pPr>
              <w:contextualSpacing/>
              <w:jc w:val="both"/>
              <w:rPr>
                <w:rFonts w:ascii="Times New Roman" w:hAnsi="Times New Roman"/>
                <w:sz w:val="12"/>
                <w:szCs w:val="12"/>
              </w:rPr>
            </w:pPr>
            <w:r w:rsidRPr="00AF4C5F">
              <w:rPr>
                <w:rFonts w:ascii="Times New Roman" w:hAnsi="Times New Roman"/>
                <w:sz w:val="12"/>
                <w:szCs w:val="12"/>
              </w:rPr>
              <w:t>MS3</w:t>
            </w:r>
          </w:p>
        </w:tc>
        <w:tc>
          <w:tcPr>
            <w:tcW w:w="150" w:type="pct"/>
            <w:shd w:val="clear" w:color="auto" w:fill="auto"/>
          </w:tcPr>
          <w:p w14:paraId="48DB108E"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1716F1BA"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664433C0"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823C0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C455B8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BD5A12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D948E8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72D2CA8"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B1711DC"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F14DCD2"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E682B1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D4A2A83"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14DA18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A3BA6BE"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D789F1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77B131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797162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A3A42CA"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821310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C63884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16EF8D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94DE24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BEE3C71"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D91B0EA" w14:textId="77777777" w:rsidR="00E767AB" w:rsidRPr="00AF4C5F" w:rsidRDefault="00E767AB" w:rsidP="008410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93CD035" w14:textId="77777777" w:rsidR="00E767AB" w:rsidRPr="00AF4C5F" w:rsidRDefault="00E767AB" w:rsidP="008410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D0C5ADE" w14:textId="77777777" w:rsidR="00E767AB" w:rsidRPr="00AF4C5F" w:rsidRDefault="00E767AB" w:rsidP="008410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E06D9C8"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07DD8D0D"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88.5</w:t>
            </w:r>
          </w:p>
        </w:tc>
        <w:tc>
          <w:tcPr>
            <w:tcW w:w="763" w:type="pct"/>
            <w:shd w:val="clear" w:color="auto" w:fill="auto"/>
          </w:tcPr>
          <w:p w14:paraId="5978D276"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 xml:space="preserve">Staphylococcus </w:t>
            </w:r>
            <w:proofErr w:type="spellStart"/>
            <w:r w:rsidRPr="00AF4C5F">
              <w:rPr>
                <w:rFonts w:ascii="Times New Roman" w:hAnsi="Times New Roman"/>
                <w:i/>
                <w:sz w:val="12"/>
                <w:szCs w:val="12"/>
              </w:rPr>
              <w:t>xylosus</w:t>
            </w:r>
            <w:proofErr w:type="spellEnd"/>
          </w:p>
        </w:tc>
      </w:tr>
      <w:tr w:rsidR="009A09FD" w:rsidRPr="00AF4C5F" w14:paraId="06455B60" w14:textId="77777777" w:rsidTr="00EE273E">
        <w:trPr>
          <w:trHeight w:val="274"/>
        </w:trPr>
        <w:tc>
          <w:tcPr>
            <w:cnfStyle w:val="001000000000" w:firstRow="0" w:lastRow="0" w:firstColumn="1" w:lastColumn="0" w:oddVBand="0" w:evenVBand="0" w:oddHBand="0" w:evenHBand="0" w:firstRowFirstColumn="0" w:firstRowLastColumn="0" w:lastRowFirstColumn="0" w:lastRowLastColumn="0"/>
            <w:tcW w:w="297" w:type="pct"/>
          </w:tcPr>
          <w:p w14:paraId="1DCF2182" w14:textId="77777777" w:rsidR="00E767AB" w:rsidRPr="00AF4C5F" w:rsidRDefault="00E767AB" w:rsidP="00841042">
            <w:pPr>
              <w:contextualSpacing/>
              <w:jc w:val="both"/>
              <w:rPr>
                <w:rFonts w:ascii="Times New Roman" w:hAnsi="Times New Roman"/>
                <w:sz w:val="12"/>
                <w:szCs w:val="12"/>
              </w:rPr>
            </w:pPr>
            <w:r w:rsidRPr="00AF4C5F">
              <w:rPr>
                <w:rFonts w:ascii="Times New Roman" w:hAnsi="Times New Roman"/>
                <w:sz w:val="12"/>
                <w:szCs w:val="12"/>
              </w:rPr>
              <w:t>MS4</w:t>
            </w:r>
          </w:p>
        </w:tc>
        <w:tc>
          <w:tcPr>
            <w:tcW w:w="150" w:type="pct"/>
          </w:tcPr>
          <w:p w14:paraId="2E452D2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2EE1079B"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09ED9D2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BB1A9F7"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9D264A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76C9204"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B2A8F80"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ACFF87F"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77CCF3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A256756"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7FA349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4C089B3"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96F9A1B"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977BDDF"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1BBF977"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35E21D3"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D445C18"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28DC04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1699D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519C253"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840BA8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641893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B3AD71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B5A0603"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7A58292"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38F0105"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026D88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2D4DD0B2"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84.5</w:t>
            </w:r>
          </w:p>
        </w:tc>
        <w:tc>
          <w:tcPr>
            <w:tcW w:w="763" w:type="pct"/>
          </w:tcPr>
          <w:p w14:paraId="1D4BF6BC"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Staphylococcus saprophyticus</w:t>
            </w:r>
          </w:p>
        </w:tc>
      </w:tr>
    </w:tbl>
    <w:p w14:paraId="2DCF1385" w14:textId="77777777" w:rsidR="00E767AB" w:rsidRPr="00E767AB" w:rsidRDefault="00E4400A" w:rsidP="00E767AB">
      <w:pPr>
        <w:spacing w:line="360" w:lineRule="auto"/>
        <w:jc w:val="both"/>
        <w:rPr>
          <w:rFonts w:ascii="Arial" w:hAnsi="Arial" w:cs="Arial"/>
        </w:rPr>
      </w:pPr>
      <w:r>
        <w:rPr>
          <w:rFonts w:ascii="Times New Roman" w:hAnsi="Times New Roman"/>
        </w:rPr>
        <w:t>*</w:t>
      </w:r>
      <w:r w:rsidR="00E767AB" w:rsidRPr="00AF4C5F">
        <w:rPr>
          <w:rFonts w:ascii="Times New Roman" w:hAnsi="Times New Roman"/>
        </w:rPr>
        <w:t xml:space="preserve"> </w:t>
      </w:r>
      <w:r w:rsidR="00E767AB" w:rsidRPr="00E767AB">
        <w:rPr>
          <w:rFonts w:ascii="Arial" w:hAnsi="Arial" w:cs="Arial"/>
        </w:rPr>
        <w:t>Glycerol (GLY), D-Arabinose (DARA), L-Arabinose (LARA), D-Ribose (RIB), D-Xylose (DXYL), L-Xylose (LXYL), Methyl-ß-D-</w:t>
      </w:r>
      <w:proofErr w:type="spellStart"/>
      <w:r w:rsidR="00E767AB" w:rsidRPr="00E767AB">
        <w:rPr>
          <w:rFonts w:ascii="Arial" w:hAnsi="Arial" w:cs="Arial"/>
        </w:rPr>
        <w:t>xylopyranoside</w:t>
      </w:r>
      <w:proofErr w:type="spellEnd"/>
      <w:r w:rsidR="00E767AB" w:rsidRPr="00E767AB">
        <w:rPr>
          <w:rFonts w:ascii="Arial" w:hAnsi="Arial" w:cs="Arial"/>
        </w:rPr>
        <w:t xml:space="preserve"> (MDX), D-Galactose (GAL), D-Glucose (GLU), D-Fructose (FRU), D-Mannose (MNE), L-Sorbose (SBE), L-Rhamnose (RHA) Dulcitol (DUL), Inositol (INO), D-Mannitol (MAN), D-Sorbitol (SOR), Methyl-α-D-glucopyranoside (MDG), N-Acetylglucosamine (NAG), Amygdalin (AMY), Esculin, Ferric citrate (ESC), D-Cellobiose  (CEL), D-Maltose (MAL), D-Lactose (bovine origin) (LAC), D-Melibiose (MEL), D-Saccharose (sucrose) (SAC), D-Trehalose (TRE), </w:t>
      </w:r>
    </w:p>
    <w:p w14:paraId="7C2C9E25" w14:textId="77777777" w:rsidR="00E767AB" w:rsidRPr="00E767AB" w:rsidRDefault="00E767AB" w:rsidP="00E767AB">
      <w:pPr>
        <w:spacing w:before="100" w:beforeAutospacing="1" w:after="100" w:afterAutospacing="1"/>
        <w:jc w:val="both"/>
        <w:rPr>
          <w:rFonts w:ascii="Arial" w:hAnsi="Arial" w:cs="Arial"/>
          <w:b/>
        </w:rPr>
      </w:pPr>
      <w:r w:rsidRPr="00E767AB">
        <w:rPr>
          <w:rFonts w:ascii="Arial" w:hAnsi="Arial" w:cs="Arial"/>
          <w:b/>
        </w:rPr>
        <w:t>Table 5: Identification of some bacteria via Analytical Profile Index (API 20E) test</w:t>
      </w:r>
    </w:p>
    <w:tbl>
      <w:tblPr>
        <w:tblStyle w:val="LightShading"/>
        <w:tblW w:w="5000" w:type="pct"/>
        <w:tblLook w:val="04A0" w:firstRow="1" w:lastRow="0" w:firstColumn="1" w:lastColumn="0" w:noHBand="0" w:noVBand="1"/>
      </w:tblPr>
      <w:tblGrid>
        <w:gridCol w:w="310"/>
        <w:gridCol w:w="270"/>
        <w:gridCol w:w="270"/>
        <w:gridCol w:w="270"/>
        <w:gridCol w:w="270"/>
        <w:gridCol w:w="270"/>
        <w:gridCol w:w="270"/>
        <w:gridCol w:w="270"/>
        <w:gridCol w:w="270"/>
        <w:gridCol w:w="270"/>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357"/>
      </w:tblGrid>
      <w:tr w:rsidR="009A09FD" w:rsidRPr="00773C48" w14:paraId="4EDB50FC" w14:textId="77777777" w:rsidTr="00EE273E">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1" w:type="pct"/>
            <w:textDirection w:val="btLr"/>
          </w:tcPr>
          <w:p w14:paraId="56BBE08F" w14:textId="77777777" w:rsidR="00E767AB" w:rsidRPr="00773C48" w:rsidRDefault="00E767AB" w:rsidP="00841042">
            <w:pPr>
              <w:spacing w:line="480" w:lineRule="auto"/>
              <w:ind w:left="113" w:right="113"/>
              <w:jc w:val="both"/>
              <w:rPr>
                <w:rFonts w:ascii="Arial" w:hAnsi="Arial" w:cs="Arial"/>
                <w:sz w:val="12"/>
                <w:szCs w:val="12"/>
              </w:rPr>
            </w:pPr>
            <w:r w:rsidRPr="00773C48">
              <w:rPr>
                <w:rFonts w:ascii="Arial" w:hAnsi="Arial" w:cs="Arial"/>
                <w:sz w:val="12"/>
                <w:szCs w:val="12"/>
              </w:rPr>
              <w:t>Isolate ID</w:t>
            </w:r>
          </w:p>
        </w:tc>
        <w:tc>
          <w:tcPr>
            <w:tcW w:w="153" w:type="pct"/>
            <w:textDirection w:val="btLr"/>
          </w:tcPr>
          <w:p w14:paraId="00A2B62E"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ONPG </w:t>
            </w:r>
          </w:p>
        </w:tc>
        <w:tc>
          <w:tcPr>
            <w:tcW w:w="117" w:type="pct"/>
            <w:textDirection w:val="btLr"/>
          </w:tcPr>
          <w:p w14:paraId="7D33A93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ADH</w:t>
            </w:r>
          </w:p>
        </w:tc>
        <w:tc>
          <w:tcPr>
            <w:tcW w:w="133" w:type="pct"/>
            <w:textDirection w:val="btLr"/>
          </w:tcPr>
          <w:p w14:paraId="41EFD77C" w14:textId="77777777" w:rsidR="00E767AB" w:rsidRPr="00773C48" w:rsidRDefault="00E767AB" w:rsidP="00841042">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LDC</w:t>
            </w:r>
          </w:p>
        </w:tc>
        <w:tc>
          <w:tcPr>
            <w:tcW w:w="141" w:type="pct"/>
            <w:textDirection w:val="btLr"/>
          </w:tcPr>
          <w:p w14:paraId="292A8518" w14:textId="77777777" w:rsidR="00E767AB" w:rsidRPr="00773C48" w:rsidRDefault="00E767AB" w:rsidP="00841042">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ODC</w:t>
            </w:r>
          </w:p>
        </w:tc>
        <w:tc>
          <w:tcPr>
            <w:tcW w:w="141" w:type="pct"/>
            <w:textDirection w:val="btLr"/>
          </w:tcPr>
          <w:p w14:paraId="5F40A369"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CIT </w:t>
            </w:r>
          </w:p>
        </w:tc>
        <w:tc>
          <w:tcPr>
            <w:tcW w:w="141" w:type="pct"/>
            <w:textDirection w:val="btLr"/>
          </w:tcPr>
          <w:p w14:paraId="4DC9EE1A"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H2S </w:t>
            </w:r>
          </w:p>
        </w:tc>
        <w:tc>
          <w:tcPr>
            <w:tcW w:w="141" w:type="pct"/>
            <w:textDirection w:val="btLr"/>
          </w:tcPr>
          <w:p w14:paraId="56C0380E"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URE </w:t>
            </w:r>
          </w:p>
        </w:tc>
        <w:tc>
          <w:tcPr>
            <w:tcW w:w="141" w:type="pct"/>
            <w:textDirection w:val="btLr"/>
          </w:tcPr>
          <w:p w14:paraId="27335E6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TDA </w:t>
            </w:r>
          </w:p>
        </w:tc>
        <w:tc>
          <w:tcPr>
            <w:tcW w:w="141" w:type="pct"/>
            <w:textDirection w:val="btLr"/>
          </w:tcPr>
          <w:p w14:paraId="78B99624"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IND </w:t>
            </w:r>
          </w:p>
        </w:tc>
        <w:tc>
          <w:tcPr>
            <w:tcW w:w="141" w:type="pct"/>
            <w:textDirection w:val="btLr"/>
          </w:tcPr>
          <w:p w14:paraId="02C1E58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VP </w:t>
            </w:r>
          </w:p>
        </w:tc>
        <w:tc>
          <w:tcPr>
            <w:tcW w:w="141" w:type="pct"/>
            <w:textDirection w:val="btLr"/>
          </w:tcPr>
          <w:p w14:paraId="638F4F05"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GEL</w:t>
            </w:r>
          </w:p>
        </w:tc>
        <w:tc>
          <w:tcPr>
            <w:tcW w:w="141" w:type="pct"/>
            <w:textDirection w:val="btLr"/>
          </w:tcPr>
          <w:p w14:paraId="0BD77100"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GLU</w:t>
            </w:r>
          </w:p>
        </w:tc>
        <w:tc>
          <w:tcPr>
            <w:tcW w:w="141" w:type="pct"/>
            <w:textDirection w:val="btLr"/>
          </w:tcPr>
          <w:p w14:paraId="6316D2FB"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MAN </w:t>
            </w:r>
          </w:p>
        </w:tc>
        <w:tc>
          <w:tcPr>
            <w:tcW w:w="141" w:type="pct"/>
            <w:textDirection w:val="btLr"/>
          </w:tcPr>
          <w:p w14:paraId="7DA8DA0C"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INO </w:t>
            </w:r>
          </w:p>
        </w:tc>
        <w:tc>
          <w:tcPr>
            <w:tcW w:w="141" w:type="pct"/>
            <w:textDirection w:val="btLr"/>
          </w:tcPr>
          <w:p w14:paraId="51C1E9A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SOR </w:t>
            </w:r>
          </w:p>
        </w:tc>
        <w:tc>
          <w:tcPr>
            <w:tcW w:w="141" w:type="pct"/>
            <w:textDirection w:val="btLr"/>
          </w:tcPr>
          <w:p w14:paraId="172DB012"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RHA </w:t>
            </w:r>
          </w:p>
        </w:tc>
        <w:tc>
          <w:tcPr>
            <w:tcW w:w="141" w:type="pct"/>
            <w:textDirection w:val="btLr"/>
          </w:tcPr>
          <w:p w14:paraId="4EC85471"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SAC </w:t>
            </w:r>
          </w:p>
        </w:tc>
        <w:tc>
          <w:tcPr>
            <w:tcW w:w="141" w:type="pct"/>
            <w:textDirection w:val="btLr"/>
          </w:tcPr>
          <w:p w14:paraId="765C4BD6"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MEL </w:t>
            </w:r>
          </w:p>
        </w:tc>
        <w:tc>
          <w:tcPr>
            <w:tcW w:w="141" w:type="pct"/>
            <w:textDirection w:val="btLr"/>
          </w:tcPr>
          <w:p w14:paraId="4DD65A4F"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AMY </w:t>
            </w:r>
          </w:p>
        </w:tc>
        <w:tc>
          <w:tcPr>
            <w:tcW w:w="141" w:type="pct"/>
            <w:textDirection w:val="btLr"/>
          </w:tcPr>
          <w:p w14:paraId="3353756C"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ARA </w:t>
            </w:r>
          </w:p>
        </w:tc>
        <w:tc>
          <w:tcPr>
            <w:tcW w:w="141" w:type="pct"/>
            <w:textDirection w:val="btLr"/>
          </w:tcPr>
          <w:p w14:paraId="23CC7937"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OX</w:t>
            </w:r>
          </w:p>
        </w:tc>
        <w:tc>
          <w:tcPr>
            <w:tcW w:w="141" w:type="pct"/>
            <w:textDirection w:val="btLr"/>
          </w:tcPr>
          <w:p w14:paraId="765309AB"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NO2 </w:t>
            </w:r>
          </w:p>
        </w:tc>
        <w:tc>
          <w:tcPr>
            <w:tcW w:w="141" w:type="pct"/>
            <w:textDirection w:val="btLr"/>
          </w:tcPr>
          <w:p w14:paraId="6AA6EB64"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N2 </w:t>
            </w:r>
          </w:p>
        </w:tc>
        <w:tc>
          <w:tcPr>
            <w:tcW w:w="141" w:type="pct"/>
            <w:textDirection w:val="btLr"/>
          </w:tcPr>
          <w:p w14:paraId="20A1485A"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MOB </w:t>
            </w:r>
          </w:p>
        </w:tc>
        <w:tc>
          <w:tcPr>
            <w:tcW w:w="141" w:type="pct"/>
            <w:textDirection w:val="btLr"/>
          </w:tcPr>
          <w:p w14:paraId="6661632F"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proofErr w:type="spellStart"/>
            <w:r w:rsidRPr="00773C48">
              <w:rPr>
                <w:rFonts w:ascii="Arial" w:hAnsi="Arial" w:cs="Arial"/>
                <w:sz w:val="12"/>
                <w:szCs w:val="12"/>
              </w:rPr>
              <w:t>MoC</w:t>
            </w:r>
            <w:proofErr w:type="spellEnd"/>
            <w:r w:rsidRPr="00773C48">
              <w:rPr>
                <w:rFonts w:ascii="Arial" w:hAnsi="Arial" w:cs="Arial"/>
                <w:sz w:val="12"/>
                <w:szCs w:val="12"/>
              </w:rPr>
              <w:t xml:space="preserve"> </w:t>
            </w:r>
          </w:p>
        </w:tc>
        <w:tc>
          <w:tcPr>
            <w:tcW w:w="141" w:type="pct"/>
            <w:textDirection w:val="btLr"/>
          </w:tcPr>
          <w:p w14:paraId="4126EEA5"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OF-O </w:t>
            </w:r>
          </w:p>
        </w:tc>
        <w:tc>
          <w:tcPr>
            <w:tcW w:w="141" w:type="pct"/>
            <w:textDirection w:val="btLr"/>
          </w:tcPr>
          <w:p w14:paraId="0D9E115A"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OF-F </w:t>
            </w:r>
          </w:p>
        </w:tc>
        <w:tc>
          <w:tcPr>
            <w:tcW w:w="212" w:type="pct"/>
            <w:textDirection w:val="btLr"/>
          </w:tcPr>
          <w:p w14:paraId="040C6245"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 %  API similarity identity</w:t>
            </w:r>
          </w:p>
        </w:tc>
        <w:tc>
          <w:tcPr>
            <w:tcW w:w="774" w:type="pct"/>
            <w:textDirection w:val="btLr"/>
          </w:tcPr>
          <w:p w14:paraId="6A22A9DC" w14:textId="77777777" w:rsidR="00E767AB" w:rsidRPr="00773C48" w:rsidRDefault="00E767AB" w:rsidP="00841042">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Identity of Organisms</w:t>
            </w:r>
          </w:p>
        </w:tc>
      </w:tr>
      <w:tr w:rsidR="00D80006" w:rsidRPr="00773C48" w14:paraId="5EFEE08A"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4EBEBB3F"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TS5/M</w:t>
            </w:r>
            <w:r w:rsidRPr="00773C48">
              <w:rPr>
                <w:rFonts w:ascii="Arial" w:hAnsi="Arial" w:cs="Arial"/>
                <w:b w:val="0"/>
                <w:sz w:val="12"/>
                <w:szCs w:val="12"/>
              </w:rPr>
              <w:lastRenderedPageBreak/>
              <w:t>C1</w:t>
            </w:r>
          </w:p>
        </w:tc>
        <w:tc>
          <w:tcPr>
            <w:tcW w:w="153" w:type="pct"/>
            <w:shd w:val="clear" w:color="auto" w:fill="auto"/>
          </w:tcPr>
          <w:p w14:paraId="062248B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lastRenderedPageBreak/>
              <w:t>+</w:t>
            </w:r>
          </w:p>
        </w:tc>
        <w:tc>
          <w:tcPr>
            <w:tcW w:w="117" w:type="pct"/>
            <w:shd w:val="clear" w:color="auto" w:fill="auto"/>
          </w:tcPr>
          <w:p w14:paraId="6C4C4C60"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shd w:val="clear" w:color="auto" w:fill="auto"/>
          </w:tcPr>
          <w:p w14:paraId="461AEC0C"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1DE54DD"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96A673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206AD62"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5363A8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C6F3FA7"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2E9CCF3"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E68539B"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35C262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13116B0"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3403A79"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2101A5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ECE273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5C211CA"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1313272"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76924DD"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7B8303D"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01F7AF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2BD114C"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A4D79F6"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94CA311"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C188EB5"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5276CD3"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486C7E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1AF961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shd w:val="clear" w:color="auto" w:fill="auto"/>
          </w:tcPr>
          <w:p w14:paraId="081E2B3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99.9</w:t>
            </w:r>
          </w:p>
        </w:tc>
        <w:tc>
          <w:tcPr>
            <w:tcW w:w="774" w:type="pct"/>
            <w:shd w:val="clear" w:color="auto" w:fill="auto"/>
          </w:tcPr>
          <w:p w14:paraId="086D2A5D"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 xml:space="preserve">Escherichia </w:t>
            </w:r>
            <w:r w:rsidRPr="00773C48">
              <w:rPr>
                <w:rFonts w:ascii="Arial" w:hAnsi="Arial" w:cs="Arial"/>
                <w:i/>
                <w:sz w:val="12"/>
                <w:szCs w:val="12"/>
              </w:rPr>
              <w:lastRenderedPageBreak/>
              <w:t>coli</w:t>
            </w:r>
          </w:p>
        </w:tc>
      </w:tr>
      <w:tr w:rsidR="00C432CE" w:rsidRPr="00773C48" w14:paraId="05C67D8D" w14:textId="77777777" w:rsidTr="00EE273E">
        <w:tc>
          <w:tcPr>
            <w:cnfStyle w:val="001000000000" w:firstRow="0" w:lastRow="0" w:firstColumn="1" w:lastColumn="0" w:oddVBand="0" w:evenVBand="0" w:oddHBand="0" w:evenHBand="0" w:firstRowFirstColumn="0" w:firstRowLastColumn="0" w:lastRowFirstColumn="0" w:lastRowLastColumn="0"/>
            <w:tcW w:w="231" w:type="pct"/>
          </w:tcPr>
          <w:p w14:paraId="72F8F528"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lastRenderedPageBreak/>
              <w:t>TS6</w:t>
            </w:r>
          </w:p>
        </w:tc>
        <w:tc>
          <w:tcPr>
            <w:tcW w:w="153" w:type="pct"/>
          </w:tcPr>
          <w:p w14:paraId="53E1F65E"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17" w:type="pct"/>
          </w:tcPr>
          <w:p w14:paraId="1EB5514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tcPr>
          <w:p w14:paraId="2CFC2EE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19FC4B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94A3277"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E7EC97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104741D"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2E73CC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C125EC7"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7CAC7A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959C62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412BAE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D9809E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CBFC2C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3A0DF9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DAE17F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AD956F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EE9F01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FAD4CB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6651412"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EBFDF9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1F170A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67BBDE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4318E88"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C35A6B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1487904"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4576872"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tcPr>
          <w:p w14:paraId="784E96A8"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97.8</w:t>
            </w:r>
          </w:p>
        </w:tc>
        <w:tc>
          <w:tcPr>
            <w:tcW w:w="774" w:type="pct"/>
          </w:tcPr>
          <w:p w14:paraId="79F6A28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Pseudomonas aeruginosa</w:t>
            </w:r>
          </w:p>
        </w:tc>
      </w:tr>
      <w:tr w:rsidR="00D80006" w:rsidRPr="00773C48" w14:paraId="59F88EA1"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2ACB2F9D"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TS8</w:t>
            </w:r>
          </w:p>
        </w:tc>
        <w:tc>
          <w:tcPr>
            <w:tcW w:w="153" w:type="pct"/>
            <w:shd w:val="clear" w:color="auto" w:fill="auto"/>
          </w:tcPr>
          <w:p w14:paraId="4FEE6603"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17" w:type="pct"/>
            <w:shd w:val="clear" w:color="auto" w:fill="auto"/>
          </w:tcPr>
          <w:p w14:paraId="07CC61FA"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33" w:type="pct"/>
            <w:shd w:val="clear" w:color="auto" w:fill="auto"/>
          </w:tcPr>
          <w:p w14:paraId="46D761FA"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4FD68976"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7464654E"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4A8F61B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79A37C9E"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0FF0B7E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20CAFD98"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266F754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1CF3F6F2"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565571F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2700DDBB"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674704BB"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2A8D63CF"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0D3AC8E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233B05F0"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2A5F99DC"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309E6650"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47C7D94A"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58E7B7A2"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4C7CB431"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67199CA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5C9CBA18"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039C005E"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12C6BAD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6CFB8A46"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212" w:type="pct"/>
            <w:shd w:val="clear" w:color="auto" w:fill="auto"/>
          </w:tcPr>
          <w:p w14:paraId="08F47F0B"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93.0</w:t>
            </w:r>
          </w:p>
        </w:tc>
        <w:tc>
          <w:tcPr>
            <w:tcW w:w="774" w:type="pct"/>
            <w:shd w:val="clear" w:color="auto" w:fill="auto"/>
          </w:tcPr>
          <w:p w14:paraId="26BA73C8"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Proteus vulgaris</w:t>
            </w:r>
          </w:p>
        </w:tc>
      </w:tr>
      <w:tr w:rsidR="00C432CE" w:rsidRPr="00773C48" w14:paraId="7328DB39" w14:textId="77777777" w:rsidTr="00EE273E">
        <w:tc>
          <w:tcPr>
            <w:cnfStyle w:val="001000000000" w:firstRow="0" w:lastRow="0" w:firstColumn="1" w:lastColumn="0" w:oddVBand="0" w:evenVBand="0" w:oddHBand="0" w:evenHBand="0" w:firstRowFirstColumn="0" w:firstRowLastColumn="0" w:lastRowFirstColumn="0" w:lastRowLastColumn="0"/>
            <w:tcW w:w="231" w:type="pct"/>
          </w:tcPr>
          <w:p w14:paraId="2F84A190"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MC2</w:t>
            </w:r>
          </w:p>
        </w:tc>
        <w:tc>
          <w:tcPr>
            <w:tcW w:w="153" w:type="pct"/>
          </w:tcPr>
          <w:p w14:paraId="0E36DA72"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17" w:type="pct"/>
          </w:tcPr>
          <w:p w14:paraId="696705AD"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33" w:type="pct"/>
          </w:tcPr>
          <w:p w14:paraId="3051BBE1"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4AA16E25"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E0B5F41"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55203FA"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366F4C9C"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6DADEC0"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5A06308"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50430B4"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CCD3A8A"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584B8F1B"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5BDE9E1"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41C24C3B"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55F35810"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386357A"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EBE7716"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BEB8B3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464993E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FBCD32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59FE2449"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5C2F48B"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32C1AD1"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E0D7EBE"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16C42F6B"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F5BE107"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2D4BC7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212" w:type="pct"/>
          </w:tcPr>
          <w:p w14:paraId="364FAD1A"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99.1</w:t>
            </w:r>
          </w:p>
        </w:tc>
        <w:tc>
          <w:tcPr>
            <w:tcW w:w="774" w:type="pct"/>
          </w:tcPr>
          <w:p w14:paraId="29B07FF0"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Klebsiella pneumoniae</w:t>
            </w:r>
          </w:p>
        </w:tc>
      </w:tr>
      <w:tr w:rsidR="00D80006" w:rsidRPr="00773C48" w14:paraId="0768FACD"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016F0D07"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MC3</w:t>
            </w:r>
          </w:p>
        </w:tc>
        <w:tc>
          <w:tcPr>
            <w:tcW w:w="153" w:type="pct"/>
            <w:shd w:val="clear" w:color="auto" w:fill="auto"/>
          </w:tcPr>
          <w:p w14:paraId="1C5367A3"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17" w:type="pct"/>
            <w:shd w:val="clear" w:color="auto" w:fill="auto"/>
          </w:tcPr>
          <w:p w14:paraId="46BBA47E"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shd w:val="clear" w:color="auto" w:fill="auto"/>
          </w:tcPr>
          <w:p w14:paraId="27A257AB"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A0A0DD8"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EC1DF54"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EA1546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E301124"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50E797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75730A3"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6F1A59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F6AA3E5"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91E3C57"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7FDBFA0"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CAD5E26"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201CFE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A92245E"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389F441"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E6C44BF"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A9612D9"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A5E0944"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49647E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451265C"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8396F2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E6A6CA2"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3D65C8B"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1A9043C"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C142D1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shd w:val="clear" w:color="auto" w:fill="auto"/>
          </w:tcPr>
          <w:p w14:paraId="5D11B2A6"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99.5</w:t>
            </w:r>
          </w:p>
        </w:tc>
        <w:tc>
          <w:tcPr>
            <w:tcW w:w="774" w:type="pct"/>
            <w:shd w:val="clear" w:color="auto" w:fill="auto"/>
          </w:tcPr>
          <w:p w14:paraId="0AFF839E"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Enterobacter aerogenes</w:t>
            </w:r>
          </w:p>
        </w:tc>
      </w:tr>
      <w:tr w:rsidR="00C432CE" w:rsidRPr="00773C48" w14:paraId="771AB045" w14:textId="77777777" w:rsidTr="00EE273E">
        <w:tc>
          <w:tcPr>
            <w:cnfStyle w:val="001000000000" w:firstRow="0" w:lastRow="0" w:firstColumn="1" w:lastColumn="0" w:oddVBand="0" w:evenVBand="0" w:oddHBand="0" w:evenHBand="0" w:firstRowFirstColumn="0" w:firstRowLastColumn="0" w:lastRowFirstColumn="0" w:lastRowLastColumn="0"/>
            <w:tcW w:w="231" w:type="pct"/>
          </w:tcPr>
          <w:p w14:paraId="616A3900"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MC4</w:t>
            </w:r>
          </w:p>
        </w:tc>
        <w:tc>
          <w:tcPr>
            <w:tcW w:w="153" w:type="pct"/>
          </w:tcPr>
          <w:p w14:paraId="4319AD7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17" w:type="pct"/>
          </w:tcPr>
          <w:p w14:paraId="4B214AE2"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tcPr>
          <w:p w14:paraId="57429BF6"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16620BB"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602832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96DFAC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B3AAA6B"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4A8839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FCD24F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C0F6A1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6662988"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8542830"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F9694D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ED939C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E894A5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3F5283E"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F15C769"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18FEEC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9C7DD6C"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3865A9D"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44F25D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B6B2C5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990651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382DD4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E6FAFED"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DBD0DB6"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8C3C745"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tcPr>
          <w:p w14:paraId="09C09F3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99.5</w:t>
            </w:r>
          </w:p>
        </w:tc>
        <w:tc>
          <w:tcPr>
            <w:tcW w:w="774" w:type="pct"/>
          </w:tcPr>
          <w:p w14:paraId="3DA8283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Salmonella typhimuri</w:t>
            </w:r>
            <w:r w:rsidRPr="00773C48">
              <w:rPr>
                <w:rFonts w:ascii="Arial" w:hAnsi="Arial" w:cs="Arial"/>
                <w:i/>
                <w:sz w:val="12"/>
                <w:szCs w:val="12"/>
              </w:rPr>
              <w:lastRenderedPageBreak/>
              <w:t>um</w:t>
            </w:r>
          </w:p>
        </w:tc>
      </w:tr>
      <w:tr w:rsidR="00D80006" w:rsidRPr="00773C48" w14:paraId="0C89FF19"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55E94A6A"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lastRenderedPageBreak/>
              <w:t>MC5</w:t>
            </w:r>
          </w:p>
        </w:tc>
        <w:tc>
          <w:tcPr>
            <w:tcW w:w="153" w:type="pct"/>
            <w:shd w:val="clear" w:color="auto" w:fill="auto"/>
          </w:tcPr>
          <w:p w14:paraId="71D8AE6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17" w:type="pct"/>
            <w:shd w:val="clear" w:color="auto" w:fill="auto"/>
          </w:tcPr>
          <w:p w14:paraId="20A6B255"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33" w:type="pct"/>
            <w:shd w:val="clear" w:color="auto" w:fill="auto"/>
          </w:tcPr>
          <w:p w14:paraId="36141A5B"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C43E6BB"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3F76D53"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629D76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5E386FFD"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62D2F4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7E7A8B2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E386BDF"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58F1FA8"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2EBE3B1C"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2EE7B2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1F7B38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6AE2D03"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53019B1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7FA69FE2"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6509099"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4BC7FBD9"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52158B7F"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F9574E9"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43B2C61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C664A14"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B34C66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2ACD8F3"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C0BD99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DA649BF"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shd w:val="clear" w:color="auto" w:fill="auto"/>
          </w:tcPr>
          <w:p w14:paraId="0F67F58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774" w:type="pct"/>
            <w:shd w:val="clear" w:color="auto" w:fill="auto"/>
          </w:tcPr>
          <w:p w14:paraId="224357BF"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 xml:space="preserve">Shigella  </w:t>
            </w:r>
            <w:r w:rsidRPr="00773C48">
              <w:rPr>
                <w:rFonts w:ascii="Arial" w:hAnsi="Arial" w:cs="Arial"/>
                <w:sz w:val="12"/>
                <w:szCs w:val="12"/>
              </w:rPr>
              <w:t>species</w:t>
            </w:r>
          </w:p>
        </w:tc>
      </w:tr>
    </w:tbl>
    <w:p w14:paraId="250C2B37" w14:textId="531C73F4" w:rsidR="00E767AB" w:rsidRPr="00E767AB" w:rsidRDefault="00E767AB" w:rsidP="00E767AB">
      <w:pPr>
        <w:spacing w:line="480" w:lineRule="auto"/>
        <w:jc w:val="both"/>
        <w:rPr>
          <w:rFonts w:ascii="Arial" w:hAnsi="Arial" w:cs="Arial"/>
        </w:rPr>
      </w:pPr>
      <w:r w:rsidRPr="00E767AB">
        <w:rPr>
          <w:rFonts w:ascii="Arial" w:hAnsi="Arial" w:cs="Arial"/>
        </w:rPr>
        <w:t>ID = identity, + = positive, - = negative, Orthro-Nitrophenyl-beta-</w:t>
      </w:r>
      <w:proofErr w:type="spellStart"/>
      <w:r w:rsidRPr="00E767AB">
        <w:rPr>
          <w:rFonts w:ascii="Arial" w:hAnsi="Arial" w:cs="Arial"/>
        </w:rPr>
        <w:t>DGalactoPyranosidase</w:t>
      </w:r>
      <w:proofErr w:type="spellEnd"/>
      <w:r w:rsidRPr="00E767AB">
        <w:rPr>
          <w:rFonts w:ascii="Arial" w:hAnsi="Arial" w:cs="Arial"/>
        </w:rPr>
        <w:t xml:space="preserve"> (ONPG), Arginine </w:t>
      </w:r>
      <w:proofErr w:type="spellStart"/>
      <w:r w:rsidRPr="00E767AB">
        <w:rPr>
          <w:rFonts w:ascii="Arial" w:hAnsi="Arial" w:cs="Arial"/>
        </w:rPr>
        <w:t>DiHydrolase</w:t>
      </w:r>
      <w:proofErr w:type="spellEnd"/>
      <w:r w:rsidRPr="00E767AB">
        <w:rPr>
          <w:rFonts w:ascii="Arial" w:hAnsi="Arial" w:cs="Arial"/>
        </w:rPr>
        <w:t xml:space="preserve"> (ADH), Lysine </w:t>
      </w:r>
      <w:proofErr w:type="spellStart"/>
      <w:r w:rsidRPr="00E767AB">
        <w:rPr>
          <w:rFonts w:ascii="Arial" w:hAnsi="Arial" w:cs="Arial"/>
        </w:rPr>
        <w:t>DeCarboxylase</w:t>
      </w:r>
      <w:proofErr w:type="spellEnd"/>
      <w:r w:rsidRPr="00E767AB">
        <w:rPr>
          <w:rFonts w:ascii="Arial" w:hAnsi="Arial" w:cs="Arial"/>
        </w:rPr>
        <w:t xml:space="preserve"> (LDC), Ornithine </w:t>
      </w:r>
      <w:proofErr w:type="spellStart"/>
      <w:r w:rsidRPr="00E767AB">
        <w:rPr>
          <w:rFonts w:ascii="Arial" w:hAnsi="Arial" w:cs="Arial"/>
        </w:rPr>
        <w:t>DeCarboxylase</w:t>
      </w:r>
      <w:proofErr w:type="spellEnd"/>
      <w:r w:rsidRPr="00E767AB">
        <w:rPr>
          <w:rFonts w:ascii="Arial" w:hAnsi="Arial" w:cs="Arial"/>
        </w:rPr>
        <w:t xml:space="preserve"> (ODC), Citrate (CIT), Hydrogen </w:t>
      </w:r>
      <w:proofErr w:type="spellStart"/>
      <w:r w:rsidRPr="00E767AB">
        <w:rPr>
          <w:rFonts w:ascii="Arial" w:hAnsi="Arial" w:cs="Arial"/>
        </w:rPr>
        <w:t>sulphide</w:t>
      </w:r>
      <w:proofErr w:type="spellEnd"/>
      <w:r w:rsidRPr="00E767AB">
        <w:rPr>
          <w:rFonts w:ascii="Arial" w:hAnsi="Arial" w:cs="Arial"/>
        </w:rPr>
        <w:t xml:space="preserve"> Production (H</w:t>
      </w:r>
      <w:r w:rsidRPr="00E767AB">
        <w:rPr>
          <w:rFonts w:ascii="Arial" w:hAnsi="Arial" w:cs="Arial"/>
          <w:vertAlign w:val="subscript"/>
        </w:rPr>
        <w:t>2</w:t>
      </w:r>
      <w:r w:rsidRPr="00E767AB">
        <w:rPr>
          <w:rFonts w:ascii="Arial" w:hAnsi="Arial" w:cs="Arial"/>
        </w:rPr>
        <w:t xml:space="preserve">S), Urease (URE), Tryptophan </w:t>
      </w:r>
      <w:proofErr w:type="spellStart"/>
      <w:r w:rsidRPr="00E767AB">
        <w:rPr>
          <w:rFonts w:ascii="Arial" w:hAnsi="Arial" w:cs="Arial"/>
        </w:rPr>
        <w:t>DeAminase</w:t>
      </w:r>
      <w:proofErr w:type="spellEnd"/>
      <w:r w:rsidRPr="00E767AB">
        <w:rPr>
          <w:rFonts w:ascii="Arial" w:hAnsi="Arial" w:cs="Arial"/>
        </w:rPr>
        <w:t xml:space="preserve"> (TDA), Indole production (IND), Voges Proskauer (VP), Gelatinase (GEL), D-glucose (GLU), D-mannitol (MAN), Inositol (INO), D-Sorbitol (SOR), L-Rhamnose (RHA), Saccharose (D-Sucrose) (SAC), D-melibiose (MEL), Amygdalin (AMY), L-Arabinose (ARA), Cytochrome</w:t>
      </w:r>
      <w:r w:rsidR="00EF419A">
        <w:rPr>
          <w:rFonts w:ascii="Arial" w:hAnsi="Arial" w:cs="Arial"/>
        </w:rPr>
        <w:t xml:space="preserve"> </w:t>
      </w:r>
      <w:r w:rsidRPr="00E767AB">
        <w:rPr>
          <w:rFonts w:ascii="Arial" w:hAnsi="Arial" w:cs="Arial"/>
        </w:rPr>
        <w:t>Oxidase (OX), Motility (MOB), MacConkey medium (McC), Fermentation – under mineral oil (OF-F) and Oxidation – exposed to the air (OF-O).</w:t>
      </w:r>
    </w:p>
    <w:p w14:paraId="5EE29B3F" w14:textId="77777777" w:rsidR="00E767AB" w:rsidRPr="00E767AB" w:rsidRDefault="00E767AB" w:rsidP="00E767AB">
      <w:pPr>
        <w:spacing w:line="480" w:lineRule="auto"/>
        <w:jc w:val="both"/>
        <w:rPr>
          <w:rFonts w:ascii="Arial" w:hAnsi="Arial" w:cs="Arial"/>
        </w:rPr>
      </w:pPr>
      <w:r w:rsidRPr="00E767AB">
        <w:rPr>
          <w:rFonts w:ascii="Arial" w:hAnsi="Arial" w:cs="Arial"/>
        </w:rPr>
        <w:t>Actinomycetes identified during the study using the API 20A test kit are presented in Table 6.</w:t>
      </w:r>
    </w:p>
    <w:p w14:paraId="366A978E" w14:textId="77777777" w:rsidR="00E767AB" w:rsidRPr="00E767AB" w:rsidRDefault="00E767AB" w:rsidP="00E767AB">
      <w:pPr>
        <w:spacing w:line="480" w:lineRule="auto"/>
        <w:jc w:val="both"/>
        <w:rPr>
          <w:rFonts w:ascii="Arial" w:hAnsi="Arial" w:cs="Arial"/>
          <w:b/>
        </w:rPr>
      </w:pPr>
      <w:r w:rsidRPr="00E767AB">
        <w:rPr>
          <w:rFonts w:ascii="Arial" w:hAnsi="Arial" w:cs="Arial"/>
          <w:b/>
        </w:rPr>
        <w:t xml:space="preserve">Table 6: Actinomycetes identified via Analytical Profile Index (API 20A) test </w:t>
      </w:r>
    </w:p>
    <w:tbl>
      <w:tblPr>
        <w:tblStyle w:val="ListTable6Colorful1"/>
        <w:tblW w:w="0" w:type="auto"/>
        <w:tblLook w:val="04A0" w:firstRow="1" w:lastRow="0" w:firstColumn="1" w:lastColumn="0" w:noHBand="0" w:noVBand="1"/>
      </w:tblPr>
      <w:tblGrid>
        <w:gridCol w:w="375"/>
        <w:gridCol w:w="317"/>
        <w:gridCol w:w="317"/>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74"/>
        <w:gridCol w:w="821"/>
      </w:tblGrid>
      <w:tr w:rsidR="00C432CE" w:rsidRPr="00E767AB" w14:paraId="75C8DF0D" w14:textId="77777777" w:rsidTr="006E6E9E">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 w:type="dxa"/>
            <w:textDirection w:val="btLr"/>
          </w:tcPr>
          <w:p w14:paraId="3244E9FE" w14:textId="77777777" w:rsidR="00E767AB" w:rsidRPr="002D77EF" w:rsidRDefault="00E767AB" w:rsidP="00841042">
            <w:pPr>
              <w:ind w:left="113" w:right="113"/>
              <w:rPr>
                <w:rFonts w:ascii="Arial" w:hAnsi="Arial" w:cs="Arial"/>
                <w:sz w:val="12"/>
                <w:szCs w:val="12"/>
              </w:rPr>
            </w:pPr>
            <w:r w:rsidRPr="002D77EF">
              <w:rPr>
                <w:rFonts w:ascii="Arial" w:hAnsi="Arial" w:cs="Arial"/>
                <w:sz w:val="12"/>
                <w:szCs w:val="12"/>
              </w:rPr>
              <w:t>ID</w:t>
            </w:r>
          </w:p>
        </w:tc>
        <w:tc>
          <w:tcPr>
            <w:tcW w:w="360" w:type="dxa"/>
            <w:textDirection w:val="btLr"/>
          </w:tcPr>
          <w:p w14:paraId="18D1931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CAT</w:t>
            </w:r>
          </w:p>
        </w:tc>
        <w:tc>
          <w:tcPr>
            <w:tcW w:w="360" w:type="dxa"/>
            <w:textDirection w:val="btLr"/>
          </w:tcPr>
          <w:p w14:paraId="3B04765A"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URE</w:t>
            </w:r>
          </w:p>
        </w:tc>
        <w:tc>
          <w:tcPr>
            <w:tcW w:w="360" w:type="dxa"/>
            <w:textDirection w:val="btLr"/>
          </w:tcPr>
          <w:p w14:paraId="353D3FD9"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GLU</w:t>
            </w:r>
          </w:p>
        </w:tc>
        <w:tc>
          <w:tcPr>
            <w:tcW w:w="360" w:type="dxa"/>
            <w:textDirection w:val="btLr"/>
          </w:tcPr>
          <w:p w14:paraId="09C749EB"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GEL</w:t>
            </w:r>
          </w:p>
        </w:tc>
        <w:tc>
          <w:tcPr>
            <w:tcW w:w="360" w:type="dxa"/>
            <w:textDirection w:val="btLr"/>
          </w:tcPr>
          <w:p w14:paraId="3D6B66E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IND</w:t>
            </w:r>
          </w:p>
        </w:tc>
        <w:tc>
          <w:tcPr>
            <w:tcW w:w="360" w:type="dxa"/>
            <w:textDirection w:val="btLr"/>
          </w:tcPr>
          <w:p w14:paraId="5C5898E4"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MAN</w:t>
            </w:r>
          </w:p>
        </w:tc>
        <w:tc>
          <w:tcPr>
            <w:tcW w:w="360" w:type="dxa"/>
            <w:textDirection w:val="btLr"/>
          </w:tcPr>
          <w:p w14:paraId="4DEE5A43"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LAC</w:t>
            </w:r>
          </w:p>
        </w:tc>
        <w:tc>
          <w:tcPr>
            <w:tcW w:w="360" w:type="dxa"/>
            <w:textDirection w:val="btLr"/>
          </w:tcPr>
          <w:p w14:paraId="4C09AAB5"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SAC</w:t>
            </w:r>
          </w:p>
        </w:tc>
        <w:tc>
          <w:tcPr>
            <w:tcW w:w="360" w:type="dxa"/>
            <w:textDirection w:val="btLr"/>
          </w:tcPr>
          <w:p w14:paraId="29E6D0F3"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MAL</w:t>
            </w:r>
          </w:p>
        </w:tc>
        <w:tc>
          <w:tcPr>
            <w:tcW w:w="360" w:type="dxa"/>
            <w:textDirection w:val="btLr"/>
          </w:tcPr>
          <w:p w14:paraId="16EAC309"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SAL</w:t>
            </w:r>
          </w:p>
        </w:tc>
        <w:tc>
          <w:tcPr>
            <w:tcW w:w="360" w:type="dxa"/>
            <w:textDirection w:val="btLr"/>
          </w:tcPr>
          <w:p w14:paraId="4748F20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XYL</w:t>
            </w:r>
          </w:p>
        </w:tc>
        <w:tc>
          <w:tcPr>
            <w:tcW w:w="360" w:type="dxa"/>
            <w:textDirection w:val="btLr"/>
          </w:tcPr>
          <w:p w14:paraId="547AEF5B"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ARA</w:t>
            </w:r>
          </w:p>
        </w:tc>
        <w:tc>
          <w:tcPr>
            <w:tcW w:w="360" w:type="dxa"/>
            <w:textDirection w:val="btLr"/>
          </w:tcPr>
          <w:p w14:paraId="0B3D61F5"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ESC</w:t>
            </w:r>
          </w:p>
        </w:tc>
        <w:tc>
          <w:tcPr>
            <w:tcW w:w="360" w:type="dxa"/>
            <w:textDirection w:val="btLr"/>
          </w:tcPr>
          <w:p w14:paraId="4CE3BD0F"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GLY</w:t>
            </w:r>
          </w:p>
        </w:tc>
        <w:tc>
          <w:tcPr>
            <w:tcW w:w="360" w:type="dxa"/>
            <w:textDirection w:val="btLr"/>
          </w:tcPr>
          <w:p w14:paraId="57D8C61C"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CEL</w:t>
            </w:r>
          </w:p>
        </w:tc>
        <w:tc>
          <w:tcPr>
            <w:tcW w:w="360" w:type="dxa"/>
            <w:textDirection w:val="btLr"/>
          </w:tcPr>
          <w:p w14:paraId="3234FBF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MNE</w:t>
            </w:r>
          </w:p>
        </w:tc>
        <w:tc>
          <w:tcPr>
            <w:tcW w:w="360" w:type="dxa"/>
            <w:textDirection w:val="btLr"/>
          </w:tcPr>
          <w:p w14:paraId="35B2D36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MLZ</w:t>
            </w:r>
          </w:p>
        </w:tc>
        <w:tc>
          <w:tcPr>
            <w:tcW w:w="360" w:type="dxa"/>
            <w:textDirection w:val="btLr"/>
          </w:tcPr>
          <w:p w14:paraId="2864D163"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RAF</w:t>
            </w:r>
          </w:p>
        </w:tc>
        <w:tc>
          <w:tcPr>
            <w:tcW w:w="360" w:type="dxa"/>
            <w:textDirection w:val="btLr"/>
          </w:tcPr>
          <w:p w14:paraId="3EC19AE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SOR</w:t>
            </w:r>
          </w:p>
        </w:tc>
        <w:tc>
          <w:tcPr>
            <w:tcW w:w="360" w:type="dxa"/>
            <w:textDirection w:val="btLr"/>
          </w:tcPr>
          <w:p w14:paraId="24617FB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RHA</w:t>
            </w:r>
          </w:p>
        </w:tc>
        <w:tc>
          <w:tcPr>
            <w:tcW w:w="360" w:type="dxa"/>
            <w:textDirection w:val="btLr"/>
          </w:tcPr>
          <w:p w14:paraId="4B6E6959"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TRE</w:t>
            </w:r>
          </w:p>
        </w:tc>
        <w:tc>
          <w:tcPr>
            <w:tcW w:w="360" w:type="dxa"/>
            <w:textDirection w:val="btLr"/>
          </w:tcPr>
          <w:p w14:paraId="65CC668D"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API % Similarity</w:t>
            </w:r>
          </w:p>
        </w:tc>
        <w:tc>
          <w:tcPr>
            <w:tcW w:w="360" w:type="dxa"/>
            <w:textDirection w:val="btLr"/>
          </w:tcPr>
          <w:p w14:paraId="6D872CA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Tentative Identification</w:t>
            </w:r>
          </w:p>
        </w:tc>
      </w:tr>
      <w:tr w:rsidR="00C432CE" w:rsidRPr="00E767AB" w14:paraId="0F031F6C"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3621F494"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SC1</w:t>
            </w:r>
          </w:p>
        </w:tc>
        <w:tc>
          <w:tcPr>
            <w:tcW w:w="360" w:type="dxa"/>
            <w:shd w:val="clear" w:color="auto" w:fill="auto"/>
          </w:tcPr>
          <w:p w14:paraId="4FB0992C"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4F10AC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E37F77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41D9BB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EECD09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E0C1C5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1A7C80A"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CB1F55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21DA59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666079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33E0A1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E16E7B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FC3D72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722FB1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088DF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73AC49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94FE33"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2E88B1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E2DFEA1"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58E1C3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7DD268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A1BB38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99.9</w:t>
            </w:r>
          </w:p>
        </w:tc>
        <w:tc>
          <w:tcPr>
            <w:tcW w:w="360" w:type="dxa"/>
            <w:shd w:val="clear" w:color="auto" w:fill="auto"/>
          </w:tcPr>
          <w:p w14:paraId="23C31B82"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Actinomyces </w:t>
            </w:r>
            <w:proofErr w:type="spellStart"/>
            <w:r w:rsidRPr="00E767AB">
              <w:rPr>
                <w:rFonts w:ascii="Arial" w:hAnsi="Arial" w:cs="Arial"/>
                <w:i/>
                <w:sz w:val="12"/>
                <w:szCs w:val="12"/>
              </w:rPr>
              <w:t>meyeri</w:t>
            </w:r>
            <w:proofErr w:type="spellEnd"/>
          </w:p>
        </w:tc>
      </w:tr>
      <w:tr w:rsidR="00C432CE" w:rsidRPr="00E767AB" w14:paraId="3314D496" w14:textId="77777777" w:rsidTr="006E6E9E">
        <w:tc>
          <w:tcPr>
            <w:cnfStyle w:val="001000000000" w:firstRow="0" w:lastRow="0" w:firstColumn="1" w:lastColumn="0" w:oddVBand="0" w:evenVBand="0" w:oddHBand="0" w:evenHBand="0" w:firstRowFirstColumn="0" w:firstRowLastColumn="0" w:lastRowFirstColumn="0" w:lastRowLastColumn="0"/>
            <w:tcW w:w="360" w:type="dxa"/>
          </w:tcPr>
          <w:p w14:paraId="05D939DF"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SC2</w:t>
            </w:r>
          </w:p>
        </w:tc>
        <w:tc>
          <w:tcPr>
            <w:tcW w:w="360" w:type="dxa"/>
          </w:tcPr>
          <w:p w14:paraId="798DC5F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EF1CB5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D136ED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D90604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6CAA81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7A020F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51DD26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41D095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8FB2ABE"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6A364F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565E698"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14C474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6569A5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36C2D5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814106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4C57F2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7AAF4A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479429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AFCD8C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115F5A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27D148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3886BB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99.9</w:t>
            </w:r>
          </w:p>
        </w:tc>
        <w:tc>
          <w:tcPr>
            <w:tcW w:w="360" w:type="dxa"/>
          </w:tcPr>
          <w:p w14:paraId="3399EC8E" w14:textId="77777777" w:rsidR="00E767AB" w:rsidRPr="00E767AB"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Streptomyces </w:t>
            </w:r>
            <w:proofErr w:type="spellStart"/>
            <w:r w:rsidRPr="00E767AB">
              <w:rPr>
                <w:rFonts w:ascii="Arial" w:hAnsi="Arial" w:cs="Arial"/>
                <w:i/>
                <w:sz w:val="12"/>
                <w:szCs w:val="12"/>
              </w:rPr>
              <w:t>coelicolor</w:t>
            </w:r>
            <w:proofErr w:type="spellEnd"/>
          </w:p>
        </w:tc>
      </w:tr>
      <w:tr w:rsidR="00C432CE" w:rsidRPr="00E767AB" w14:paraId="4691B3FB"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412C3F88"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SC3</w:t>
            </w:r>
          </w:p>
        </w:tc>
        <w:tc>
          <w:tcPr>
            <w:tcW w:w="360" w:type="dxa"/>
            <w:shd w:val="clear" w:color="auto" w:fill="auto"/>
          </w:tcPr>
          <w:p w14:paraId="598E115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A3CBEC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770AA2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83C27F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6D5A5AA"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D41456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C1111D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5E5EAC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06D8CD1"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5C01FA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8BB2C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8560CA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82F46E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8BF80D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5BE235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A5F017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9C8476A"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36879C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A14EA6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F71A88C"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65BB3A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7075792"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99.2</w:t>
            </w:r>
          </w:p>
        </w:tc>
        <w:tc>
          <w:tcPr>
            <w:tcW w:w="360" w:type="dxa"/>
            <w:shd w:val="clear" w:color="auto" w:fill="auto"/>
          </w:tcPr>
          <w:p w14:paraId="4FB75055"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Streptomyces albus</w:t>
            </w:r>
          </w:p>
        </w:tc>
      </w:tr>
      <w:tr w:rsidR="00C432CE" w:rsidRPr="00E767AB" w14:paraId="0D14E8EC" w14:textId="77777777" w:rsidTr="006E6E9E">
        <w:tc>
          <w:tcPr>
            <w:cnfStyle w:val="001000000000" w:firstRow="0" w:lastRow="0" w:firstColumn="1" w:lastColumn="0" w:oddVBand="0" w:evenVBand="0" w:oddHBand="0" w:evenHBand="0" w:firstRowFirstColumn="0" w:firstRowLastColumn="0" w:lastRowFirstColumn="0" w:lastRowLastColumn="0"/>
            <w:tcW w:w="360" w:type="dxa"/>
          </w:tcPr>
          <w:p w14:paraId="5EB27BA0"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SC4</w:t>
            </w:r>
          </w:p>
        </w:tc>
        <w:tc>
          <w:tcPr>
            <w:tcW w:w="360" w:type="dxa"/>
          </w:tcPr>
          <w:p w14:paraId="003D81F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2B0B115"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F865B3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066BE2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09A92B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4FB9CE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3BEE74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DBBE385"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C140C6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82DAAC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AFCA35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9147DF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231D370"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C892D94"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5A661F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B08A9A8"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661479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D04DA47"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E36AEE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2DFECD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38CEA2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00017B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99.0</w:t>
            </w:r>
          </w:p>
        </w:tc>
        <w:tc>
          <w:tcPr>
            <w:tcW w:w="360" w:type="dxa"/>
          </w:tcPr>
          <w:p w14:paraId="5E9B7644" w14:textId="77777777" w:rsidR="00E767AB" w:rsidRPr="00E767AB"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Streptomyces scabies</w:t>
            </w:r>
          </w:p>
        </w:tc>
      </w:tr>
      <w:tr w:rsidR="00C432CE" w:rsidRPr="00E767AB" w14:paraId="7BAC5A7D"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76384D85"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SC5</w:t>
            </w:r>
          </w:p>
        </w:tc>
        <w:tc>
          <w:tcPr>
            <w:tcW w:w="360" w:type="dxa"/>
            <w:shd w:val="clear" w:color="auto" w:fill="auto"/>
          </w:tcPr>
          <w:p w14:paraId="6902D27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C50EF7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80009C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483740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2060EF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D7A352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564EB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E16C72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AE3FD7C"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7806CD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DD4CE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8DCF67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FE903D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943F35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EDB33F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A6538C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841523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CFCBD83"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FF0BC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173AC2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DA1473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F35CF0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99.0</w:t>
            </w:r>
          </w:p>
        </w:tc>
        <w:tc>
          <w:tcPr>
            <w:tcW w:w="360" w:type="dxa"/>
            <w:shd w:val="clear" w:color="auto" w:fill="auto"/>
          </w:tcPr>
          <w:p w14:paraId="2E54862E"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Nocardia </w:t>
            </w:r>
            <w:proofErr w:type="spellStart"/>
            <w:r w:rsidRPr="00E767AB">
              <w:rPr>
                <w:rFonts w:ascii="Arial" w:hAnsi="Arial" w:cs="Arial"/>
                <w:i/>
                <w:sz w:val="12"/>
                <w:szCs w:val="12"/>
              </w:rPr>
              <w:t>asteroides</w:t>
            </w:r>
            <w:proofErr w:type="spellEnd"/>
          </w:p>
        </w:tc>
      </w:tr>
      <w:tr w:rsidR="00C432CE" w:rsidRPr="00E767AB" w14:paraId="4BD2620B" w14:textId="77777777" w:rsidTr="006E6E9E">
        <w:tc>
          <w:tcPr>
            <w:cnfStyle w:val="001000000000" w:firstRow="0" w:lastRow="0" w:firstColumn="1" w:lastColumn="0" w:oddVBand="0" w:evenVBand="0" w:oddHBand="0" w:evenHBand="0" w:firstRowFirstColumn="0" w:firstRowLastColumn="0" w:lastRowFirstColumn="0" w:lastRowLastColumn="0"/>
            <w:tcW w:w="360" w:type="dxa"/>
          </w:tcPr>
          <w:p w14:paraId="1E186E10"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SC6</w:t>
            </w:r>
          </w:p>
        </w:tc>
        <w:tc>
          <w:tcPr>
            <w:tcW w:w="360" w:type="dxa"/>
          </w:tcPr>
          <w:p w14:paraId="2A43310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EBBE15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8C152C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B91535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1380408"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CFF7A74"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0097BE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6E3E70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022A64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C5298A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7B675B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DCDCC4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B23D7B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916E88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EE3A90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ED79860"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FFD953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E52EA07"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DE8D01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784732E"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F43573E"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576D3D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98.4</w:t>
            </w:r>
          </w:p>
        </w:tc>
        <w:tc>
          <w:tcPr>
            <w:tcW w:w="360" w:type="dxa"/>
          </w:tcPr>
          <w:p w14:paraId="4AA8E127" w14:textId="77777777" w:rsidR="00E767AB" w:rsidRPr="00E767AB"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proofErr w:type="spellStart"/>
            <w:r w:rsidRPr="00E767AB">
              <w:rPr>
                <w:rFonts w:ascii="Arial" w:hAnsi="Arial" w:cs="Arial"/>
                <w:i/>
                <w:sz w:val="12"/>
                <w:szCs w:val="12"/>
              </w:rPr>
              <w:t>Micromonospora</w:t>
            </w:r>
            <w:proofErr w:type="spellEnd"/>
            <w:r w:rsidRPr="00E767AB">
              <w:rPr>
                <w:rFonts w:ascii="Arial" w:hAnsi="Arial" w:cs="Arial"/>
                <w:i/>
                <w:sz w:val="12"/>
                <w:szCs w:val="12"/>
              </w:rPr>
              <w:t xml:space="preserve"> </w:t>
            </w:r>
            <w:proofErr w:type="spellStart"/>
            <w:r w:rsidRPr="00E767AB">
              <w:rPr>
                <w:rFonts w:ascii="Arial" w:hAnsi="Arial" w:cs="Arial"/>
                <w:i/>
                <w:sz w:val="12"/>
                <w:szCs w:val="12"/>
              </w:rPr>
              <w:t>echinospora</w:t>
            </w:r>
            <w:proofErr w:type="spellEnd"/>
          </w:p>
        </w:tc>
      </w:tr>
      <w:tr w:rsidR="00C432CE" w:rsidRPr="00E767AB" w14:paraId="79803F5C"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10827C5"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SC7</w:t>
            </w:r>
          </w:p>
        </w:tc>
        <w:tc>
          <w:tcPr>
            <w:tcW w:w="360" w:type="dxa"/>
            <w:shd w:val="clear" w:color="auto" w:fill="auto"/>
          </w:tcPr>
          <w:p w14:paraId="10EAA05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416C39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859327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0F2FB0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495A4B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BDD0AE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9F6F9A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2D48A6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ECE929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5DAB0C1"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1BBA64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E75E5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51B1A4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BCCEEF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FF932C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61DF872"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D12CC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1B0397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09A7722"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0D91D7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4BDDA3"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D82584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99.1</w:t>
            </w:r>
          </w:p>
        </w:tc>
        <w:tc>
          <w:tcPr>
            <w:tcW w:w="360" w:type="dxa"/>
            <w:shd w:val="clear" w:color="auto" w:fill="auto"/>
          </w:tcPr>
          <w:p w14:paraId="3C829AFA"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Streptomyces </w:t>
            </w:r>
            <w:proofErr w:type="spellStart"/>
            <w:r w:rsidRPr="00E767AB">
              <w:rPr>
                <w:rFonts w:ascii="Arial" w:hAnsi="Arial" w:cs="Arial"/>
                <w:i/>
                <w:sz w:val="12"/>
                <w:szCs w:val="12"/>
              </w:rPr>
              <w:t>globisporus</w:t>
            </w:r>
            <w:proofErr w:type="spellEnd"/>
          </w:p>
        </w:tc>
      </w:tr>
    </w:tbl>
    <w:p w14:paraId="480BA4C2" w14:textId="77777777" w:rsidR="00E767AB" w:rsidRDefault="00E767AB" w:rsidP="00E767AB">
      <w:pPr>
        <w:jc w:val="both"/>
        <w:rPr>
          <w:rFonts w:ascii="Arial" w:hAnsi="Arial" w:cs="Arial"/>
        </w:rPr>
      </w:pPr>
    </w:p>
    <w:p w14:paraId="01BC7588" w14:textId="77777777" w:rsidR="00E767AB" w:rsidRPr="00E767AB" w:rsidRDefault="00E767AB" w:rsidP="00E4400A">
      <w:pPr>
        <w:spacing w:line="360" w:lineRule="auto"/>
        <w:jc w:val="both"/>
        <w:rPr>
          <w:rFonts w:ascii="Arial" w:hAnsi="Arial" w:cs="Arial"/>
          <w:b/>
        </w:rPr>
      </w:pPr>
      <w:r w:rsidRPr="00E767AB">
        <w:rPr>
          <w:rFonts w:ascii="Arial" w:hAnsi="Arial" w:cs="Arial"/>
        </w:rPr>
        <w:t>ID:</w:t>
      </w:r>
      <w:r w:rsidR="00E4400A">
        <w:rPr>
          <w:rFonts w:ascii="Arial" w:hAnsi="Arial" w:cs="Arial"/>
        </w:rPr>
        <w:t xml:space="preserve"> </w:t>
      </w:r>
      <w:r w:rsidRPr="00E767AB">
        <w:rPr>
          <w:rFonts w:ascii="Arial" w:hAnsi="Arial" w:cs="Arial"/>
        </w:rPr>
        <w:t xml:space="preserve">Identity; +: Positive; -: Negative; IND: Indole; URE: Urease; GLU: Glucose; MAN: Mannitol; LAC: Lactose; SAC: Saccharose; MAL: Maltose; SAL: Salicin; XYL: Xylose; ARA: Arabinose; </w:t>
      </w:r>
      <w:r w:rsidRPr="00E767AB">
        <w:rPr>
          <w:rFonts w:ascii="Arial" w:hAnsi="Arial" w:cs="Arial"/>
        </w:rPr>
        <w:lastRenderedPageBreak/>
        <w:t xml:space="preserve">GEL: Gelatin; ESC: Esculin; GLY: Glycerol; CEL: </w:t>
      </w:r>
      <w:proofErr w:type="spellStart"/>
      <w:r w:rsidRPr="00E767AB">
        <w:rPr>
          <w:rFonts w:ascii="Arial" w:hAnsi="Arial" w:cs="Arial"/>
        </w:rPr>
        <w:t>Celliobiose</w:t>
      </w:r>
      <w:proofErr w:type="spellEnd"/>
      <w:r w:rsidRPr="00E767AB">
        <w:rPr>
          <w:rFonts w:ascii="Arial" w:hAnsi="Arial" w:cs="Arial"/>
        </w:rPr>
        <w:t xml:space="preserve">; MNE: Mannose; MLZ: </w:t>
      </w:r>
      <w:proofErr w:type="spellStart"/>
      <w:r w:rsidRPr="00E767AB">
        <w:rPr>
          <w:rFonts w:ascii="Arial" w:hAnsi="Arial" w:cs="Arial"/>
        </w:rPr>
        <w:t>Melezitose</w:t>
      </w:r>
      <w:proofErr w:type="spellEnd"/>
      <w:r w:rsidRPr="00E767AB">
        <w:rPr>
          <w:rFonts w:ascii="Arial" w:hAnsi="Arial" w:cs="Arial"/>
        </w:rPr>
        <w:t>; RAF: Raffinose; SOR: Sorbitol; RHA: Rhamnose; TRE: Trehalose; CAT: Catalase</w:t>
      </w:r>
    </w:p>
    <w:p w14:paraId="35F587B9" w14:textId="77777777" w:rsidR="00E767AB" w:rsidRPr="00E767AB" w:rsidRDefault="00E767AB" w:rsidP="00E4400A">
      <w:pPr>
        <w:spacing w:line="360" w:lineRule="auto"/>
        <w:jc w:val="both"/>
        <w:rPr>
          <w:rFonts w:ascii="Arial" w:hAnsi="Arial" w:cs="Arial"/>
        </w:rPr>
      </w:pPr>
      <w:r w:rsidRPr="00E767AB">
        <w:rPr>
          <w:rFonts w:ascii="Arial" w:hAnsi="Arial" w:cs="Arial"/>
        </w:rPr>
        <w:t>Table 7 shows the viable bacterial diversity and the community structure across the various agrochemical farm soils.</w:t>
      </w:r>
    </w:p>
    <w:p w14:paraId="27648938" w14:textId="53C9A168" w:rsidR="00E767AB" w:rsidRPr="00E767AB" w:rsidRDefault="00E767AB" w:rsidP="00E767AB">
      <w:pPr>
        <w:spacing w:before="100" w:beforeAutospacing="1"/>
        <w:jc w:val="both"/>
        <w:rPr>
          <w:rFonts w:ascii="Arial" w:hAnsi="Arial" w:cs="Arial"/>
          <w:b/>
        </w:rPr>
      </w:pPr>
      <w:r w:rsidRPr="00E767AB">
        <w:rPr>
          <w:rFonts w:ascii="Arial" w:hAnsi="Arial" w:cs="Arial"/>
          <w:b/>
        </w:rPr>
        <w:t xml:space="preserve">Table </w:t>
      </w:r>
      <w:r w:rsidR="0028319F">
        <w:rPr>
          <w:rFonts w:ascii="Arial" w:hAnsi="Arial" w:cs="Arial"/>
          <w:b/>
        </w:rPr>
        <w:t>7</w:t>
      </w:r>
      <w:r w:rsidRPr="00E767AB">
        <w:rPr>
          <w:rFonts w:ascii="Arial" w:hAnsi="Arial" w:cs="Arial"/>
          <w:b/>
        </w:rPr>
        <w:t>: Viable bacterial diversity and community structure of the agrochemical farms</w:t>
      </w:r>
    </w:p>
    <w:tbl>
      <w:tblPr>
        <w:tblStyle w:val="ListTable6Colorful1"/>
        <w:tblW w:w="0" w:type="auto"/>
        <w:tblLook w:val="04A0" w:firstRow="1" w:lastRow="0" w:firstColumn="1" w:lastColumn="0" w:noHBand="0" w:noVBand="1"/>
      </w:tblPr>
      <w:tblGrid>
        <w:gridCol w:w="2016"/>
        <w:gridCol w:w="2050"/>
        <w:gridCol w:w="2052"/>
        <w:gridCol w:w="2090"/>
      </w:tblGrid>
      <w:tr w:rsidR="00E767AB" w:rsidRPr="00E767AB" w14:paraId="05939448" w14:textId="77777777" w:rsidTr="00926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Pr>
          <w:p w14:paraId="56F0FEFC" w14:textId="77777777" w:rsidR="00E767AB" w:rsidRPr="0092632A" w:rsidRDefault="00E767AB" w:rsidP="00841042">
            <w:pPr>
              <w:spacing w:before="100" w:beforeAutospacing="1" w:after="100" w:afterAutospacing="1"/>
              <w:jc w:val="both"/>
              <w:rPr>
                <w:rFonts w:ascii="Arial" w:hAnsi="Arial" w:cs="Arial"/>
              </w:rPr>
            </w:pPr>
            <w:r w:rsidRPr="0092632A">
              <w:rPr>
                <w:rFonts w:ascii="Arial" w:hAnsi="Arial" w:cs="Arial"/>
              </w:rPr>
              <w:t>Bacterial community structure</w:t>
            </w:r>
          </w:p>
        </w:tc>
        <w:tc>
          <w:tcPr>
            <w:tcW w:w="2237" w:type="dxa"/>
          </w:tcPr>
          <w:p w14:paraId="7672FAFC" w14:textId="77777777" w:rsidR="00E767AB" w:rsidRPr="0092632A" w:rsidRDefault="00E767AB" w:rsidP="0084104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2632A">
              <w:rPr>
                <w:rFonts w:ascii="Arial" w:hAnsi="Arial" w:cs="Arial"/>
              </w:rPr>
              <w:t>Control</w:t>
            </w:r>
          </w:p>
        </w:tc>
        <w:tc>
          <w:tcPr>
            <w:tcW w:w="2239" w:type="dxa"/>
          </w:tcPr>
          <w:p w14:paraId="341395E6" w14:textId="77777777" w:rsidR="00E767AB" w:rsidRPr="0092632A" w:rsidRDefault="00E767AB" w:rsidP="0084104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2632A">
              <w:rPr>
                <w:rFonts w:ascii="Arial" w:hAnsi="Arial" w:cs="Arial"/>
              </w:rPr>
              <w:t>AFS I</w:t>
            </w:r>
          </w:p>
        </w:tc>
        <w:tc>
          <w:tcPr>
            <w:tcW w:w="2256" w:type="dxa"/>
          </w:tcPr>
          <w:p w14:paraId="6E6A783C" w14:textId="77777777" w:rsidR="00E767AB" w:rsidRPr="0092632A" w:rsidRDefault="00E767AB" w:rsidP="0084104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2632A">
              <w:rPr>
                <w:rFonts w:ascii="Arial" w:hAnsi="Arial" w:cs="Arial"/>
              </w:rPr>
              <w:t>AFS II</w:t>
            </w:r>
          </w:p>
        </w:tc>
      </w:tr>
      <w:tr w:rsidR="00E767AB" w:rsidRPr="00E767AB" w14:paraId="5BF5D028" w14:textId="77777777" w:rsidTr="00926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14:paraId="09AC32A6"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Bacteria</w:t>
            </w:r>
          </w:p>
        </w:tc>
        <w:tc>
          <w:tcPr>
            <w:tcW w:w="2237" w:type="dxa"/>
            <w:shd w:val="clear" w:color="auto" w:fill="auto"/>
          </w:tcPr>
          <w:p w14:paraId="2E1FCF64"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Bacillus subtilis, Pseudomonas aeruginosa, Staphylococcus epidermidis, Staphylococcus </w:t>
            </w:r>
            <w:proofErr w:type="spellStart"/>
            <w:r w:rsidRPr="00E767AB">
              <w:rPr>
                <w:rFonts w:ascii="Arial" w:hAnsi="Arial" w:cs="Arial"/>
                <w:i/>
              </w:rPr>
              <w:t>xylosus</w:t>
            </w:r>
            <w:proofErr w:type="spellEnd"/>
            <w:r w:rsidRPr="00E767AB">
              <w:rPr>
                <w:rFonts w:ascii="Arial" w:hAnsi="Arial" w:cs="Arial"/>
              </w:rPr>
              <w:t xml:space="preserve"> </w:t>
            </w:r>
            <w:r w:rsidRPr="00E767AB">
              <w:rPr>
                <w:rFonts w:ascii="Arial" w:hAnsi="Arial" w:cs="Arial"/>
                <w:i/>
              </w:rPr>
              <w:t>Salmonella</w:t>
            </w:r>
            <w:r w:rsidRPr="00E767AB">
              <w:rPr>
                <w:rFonts w:ascii="Arial" w:hAnsi="Arial" w:cs="Arial"/>
              </w:rPr>
              <w:t xml:space="preserve"> </w:t>
            </w:r>
            <w:r w:rsidRPr="00E767AB">
              <w:rPr>
                <w:rFonts w:ascii="Arial" w:hAnsi="Arial" w:cs="Arial"/>
                <w:i/>
              </w:rPr>
              <w:t>typhimurium</w:t>
            </w:r>
            <w:r w:rsidRPr="00E767AB">
              <w:rPr>
                <w:rFonts w:ascii="Arial" w:hAnsi="Arial" w:cs="Arial"/>
              </w:rPr>
              <w:t xml:space="preserve">, </w:t>
            </w:r>
            <w:r w:rsidRPr="00E767AB">
              <w:rPr>
                <w:rFonts w:ascii="Arial" w:hAnsi="Arial" w:cs="Arial"/>
                <w:i/>
              </w:rPr>
              <w:t>Escherichia coli</w:t>
            </w:r>
            <w:r w:rsidRPr="00E767AB">
              <w:rPr>
                <w:rFonts w:ascii="Arial" w:hAnsi="Arial" w:cs="Arial"/>
              </w:rPr>
              <w:t xml:space="preserve">, </w:t>
            </w: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p>
        </w:tc>
        <w:tc>
          <w:tcPr>
            <w:tcW w:w="2239" w:type="dxa"/>
            <w:shd w:val="clear" w:color="auto" w:fill="auto"/>
          </w:tcPr>
          <w:p w14:paraId="1563F4F0"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E767AB">
              <w:rPr>
                <w:rFonts w:ascii="Arial" w:hAnsi="Arial" w:cs="Arial"/>
                <w:i/>
              </w:rPr>
              <w:t xml:space="preserve">Bacillus subtilis, Bacillus </w:t>
            </w:r>
            <w:proofErr w:type="spellStart"/>
            <w:r w:rsidRPr="00E767AB">
              <w:rPr>
                <w:rFonts w:ascii="Arial" w:hAnsi="Arial" w:cs="Arial"/>
                <w:i/>
              </w:rPr>
              <w:t>pumilis</w:t>
            </w:r>
            <w:proofErr w:type="spellEnd"/>
            <w:r w:rsidRPr="00E767AB">
              <w:rPr>
                <w:rFonts w:ascii="Arial" w:hAnsi="Arial" w:cs="Arial"/>
                <w:i/>
              </w:rPr>
              <w:t>, Pseudomonas aeruginosa, Staphylococcus aureus, Staphylococcus saprophyticus, Staphylococcus epidermidis, Klebsiella pneumoniae Streptococcus pyogenes, Proteus vulgaris, Escherichia coli, Enterobacter aerogenes, Salmonella typhimurium.</w:t>
            </w:r>
          </w:p>
        </w:tc>
        <w:tc>
          <w:tcPr>
            <w:tcW w:w="2256" w:type="dxa"/>
            <w:shd w:val="clear" w:color="auto" w:fill="auto"/>
          </w:tcPr>
          <w:p w14:paraId="36B86B36"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E767AB">
              <w:rPr>
                <w:rFonts w:ascii="Arial" w:hAnsi="Arial" w:cs="Arial"/>
                <w:i/>
              </w:rPr>
              <w:t xml:space="preserve"> Bacillus licheniformis, Pseudomonas aeruginosa, Staphylococcus aureus, Staphylococcus </w:t>
            </w:r>
            <w:proofErr w:type="spellStart"/>
            <w:r w:rsidRPr="00E767AB">
              <w:rPr>
                <w:rFonts w:ascii="Arial" w:hAnsi="Arial" w:cs="Arial"/>
                <w:i/>
              </w:rPr>
              <w:t>xylosus</w:t>
            </w:r>
            <w:proofErr w:type="spellEnd"/>
            <w:r w:rsidRPr="00E767AB">
              <w:rPr>
                <w:rFonts w:ascii="Arial" w:hAnsi="Arial" w:cs="Arial"/>
                <w:i/>
              </w:rPr>
              <w:t xml:space="preserve">, Klebsiella pneumoniae, Shigella </w:t>
            </w:r>
            <w:proofErr w:type="spellStart"/>
            <w:r w:rsidRPr="00E767AB">
              <w:rPr>
                <w:rFonts w:ascii="Arial" w:hAnsi="Arial" w:cs="Arial"/>
                <w:i/>
              </w:rPr>
              <w:t>sp</w:t>
            </w:r>
            <w:proofErr w:type="spellEnd"/>
            <w:r w:rsidRPr="00E767AB">
              <w:rPr>
                <w:rFonts w:ascii="Arial" w:hAnsi="Arial" w:cs="Arial"/>
                <w:i/>
              </w:rPr>
              <w:t xml:space="preserve"> Escherichia coli, Enterobacter aerogenes </w:t>
            </w:r>
          </w:p>
        </w:tc>
      </w:tr>
      <w:tr w:rsidR="00E767AB" w:rsidRPr="00E767AB" w14:paraId="4A18B8F0" w14:textId="77777777" w:rsidTr="0092632A">
        <w:tc>
          <w:tcPr>
            <w:cnfStyle w:val="001000000000" w:firstRow="0" w:lastRow="0" w:firstColumn="1" w:lastColumn="0" w:oddVBand="0" w:evenVBand="0" w:oddHBand="0" w:evenHBand="0" w:firstRowFirstColumn="0" w:firstRowLastColumn="0" w:lastRowFirstColumn="0" w:lastRowLastColumn="0"/>
            <w:tcW w:w="2231" w:type="dxa"/>
          </w:tcPr>
          <w:p w14:paraId="003F6AB3"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Bacterial pathogens common in human/animal diseases</w:t>
            </w:r>
          </w:p>
        </w:tc>
        <w:tc>
          <w:tcPr>
            <w:tcW w:w="2237" w:type="dxa"/>
          </w:tcPr>
          <w:p w14:paraId="1BECF22D"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E767AB">
              <w:rPr>
                <w:rFonts w:ascii="Arial" w:hAnsi="Arial" w:cs="Arial"/>
                <w:i/>
              </w:rPr>
              <w:t xml:space="preserve">Salmonella typhimurium, Escherichia coli, Klebsiella </w:t>
            </w:r>
            <w:proofErr w:type="spellStart"/>
            <w:r w:rsidRPr="00E767AB">
              <w:rPr>
                <w:rFonts w:ascii="Arial" w:hAnsi="Arial" w:cs="Arial"/>
                <w:i/>
              </w:rPr>
              <w:t>pnuemoniae</w:t>
            </w:r>
            <w:proofErr w:type="spellEnd"/>
          </w:p>
        </w:tc>
        <w:tc>
          <w:tcPr>
            <w:tcW w:w="2239" w:type="dxa"/>
          </w:tcPr>
          <w:p w14:paraId="6C137513"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Streptococcus</w:t>
            </w:r>
            <w:r w:rsidRPr="00E767AB">
              <w:rPr>
                <w:rFonts w:ascii="Arial" w:hAnsi="Arial" w:cs="Arial"/>
              </w:rPr>
              <w:t xml:space="preserve"> </w:t>
            </w:r>
            <w:r w:rsidRPr="00E767AB">
              <w:rPr>
                <w:rFonts w:ascii="Arial" w:hAnsi="Arial" w:cs="Arial"/>
                <w:i/>
              </w:rPr>
              <w:t>pyogenes</w:t>
            </w:r>
            <w:r w:rsidRPr="00E767AB">
              <w:rPr>
                <w:rFonts w:ascii="Arial" w:hAnsi="Arial" w:cs="Arial"/>
              </w:rPr>
              <w:t xml:space="preserv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Salmonella</w:t>
            </w:r>
            <w:r w:rsidRPr="00E767AB">
              <w:rPr>
                <w:rFonts w:ascii="Arial" w:hAnsi="Arial" w:cs="Arial"/>
              </w:rPr>
              <w:t xml:space="preserve"> </w:t>
            </w:r>
            <w:r w:rsidRPr="00E767AB">
              <w:rPr>
                <w:rFonts w:ascii="Arial" w:hAnsi="Arial" w:cs="Arial"/>
                <w:i/>
              </w:rPr>
              <w:t>typhimurium</w:t>
            </w:r>
          </w:p>
        </w:tc>
        <w:tc>
          <w:tcPr>
            <w:tcW w:w="2256" w:type="dxa"/>
          </w:tcPr>
          <w:p w14:paraId="417F4221"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Shigella</w:t>
            </w:r>
            <w:r w:rsidRPr="00E767AB">
              <w:rPr>
                <w:rFonts w:ascii="Arial" w:hAnsi="Arial" w:cs="Arial"/>
              </w:rPr>
              <w:t xml:space="preserve"> spp., </w:t>
            </w: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Escherichia</w:t>
            </w:r>
            <w:r w:rsidRPr="00E767AB">
              <w:rPr>
                <w:rFonts w:ascii="Arial" w:hAnsi="Arial" w:cs="Arial"/>
              </w:rPr>
              <w:t xml:space="preserve"> </w:t>
            </w:r>
            <w:r w:rsidRPr="00E767AB">
              <w:rPr>
                <w:rFonts w:ascii="Arial" w:hAnsi="Arial" w:cs="Arial"/>
                <w:i/>
              </w:rPr>
              <w:t>coli</w:t>
            </w:r>
          </w:p>
        </w:tc>
      </w:tr>
      <w:tr w:rsidR="00E767AB" w:rsidRPr="00E767AB" w14:paraId="4CF5D65D" w14:textId="77777777" w:rsidTr="00926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14:paraId="317BBDEF"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Coliforms</w:t>
            </w:r>
          </w:p>
        </w:tc>
        <w:tc>
          <w:tcPr>
            <w:tcW w:w="2237" w:type="dxa"/>
            <w:shd w:val="clear" w:color="auto" w:fill="auto"/>
          </w:tcPr>
          <w:p w14:paraId="73323F21"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E767AB">
              <w:rPr>
                <w:rFonts w:ascii="Arial" w:hAnsi="Arial" w:cs="Arial"/>
                <w:i/>
              </w:rPr>
              <w:t>Enterobacter aerogenes, Klebsiella pneumoniae, Escherichia coli</w:t>
            </w:r>
          </w:p>
        </w:tc>
        <w:tc>
          <w:tcPr>
            <w:tcW w:w="2239" w:type="dxa"/>
            <w:shd w:val="clear" w:color="auto" w:fill="auto"/>
          </w:tcPr>
          <w:p w14:paraId="69ACD5DD"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E767AB">
              <w:rPr>
                <w:rFonts w:ascii="Arial" w:hAnsi="Arial" w:cs="Arial"/>
                <w:i/>
              </w:rPr>
              <w:t>Enterobacter aerogenes, Klebsiella pneumoniae, Escherichia coli, Salmonella typhimurium</w:t>
            </w:r>
          </w:p>
        </w:tc>
        <w:tc>
          <w:tcPr>
            <w:tcW w:w="2256" w:type="dxa"/>
            <w:shd w:val="clear" w:color="auto" w:fill="auto"/>
          </w:tcPr>
          <w:p w14:paraId="26956950"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E767AB">
              <w:rPr>
                <w:rFonts w:ascii="Arial" w:hAnsi="Arial" w:cs="Arial"/>
                <w:i/>
              </w:rPr>
              <w:t xml:space="preserve">Enterobacter aerogenes, Klebsiella pneumoniae, Escherichia coli, Shigella </w:t>
            </w:r>
            <w:r w:rsidRPr="00E767AB">
              <w:rPr>
                <w:rFonts w:ascii="Arial" w:hAnsi="Arial" w:cs="Arial"/>
              </w:rPr>
              <w:t>spp.</w:t>
            </w:r>
          </w:p>
        </w:tc>
      </w:tr>
      <w:tr w:rsidR="00E767AB" w:rsidRPr="00E767AB" w14:paraId="6FF4F4BB" w14:textId="77777777" w:rsidTr="0092632A">
        <w:tc>
          <w:tcPr>
            <w:cnfStyle w:val="001000000000" w:firstRow="0" w:lastRow="0" w:firstColumn="1" w:lastColumn="0" w:oddVBand="0" w:evenVBand="0" w:oddHBand="0" w:evenHBand="0" w:firstRowFirstColumn="0" w:firstRowLastColumn="0" w:lastRowFirstColumn="0" w:lastRowLastColumn="0"/>
            <w:tcW w:w="2231" w:type="dxa"/>
          </w:tcPr>
          <w:p w14:paraId="0E2D7F63"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Enteric food-borne pathogens</w:t>
            </w:r>
          </w:p>
        </w:tc>
        <w:tc>
          <w:tcPr>
            <w:tcW w:w="2237" w:type="dxa"/>
          </w:tcPr>
          <w:p w14:paraId="027CA507"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Pseudomonas</w:t>
            </w:r>
            <w:r w:rsidRPr="00E767AB">
              <w:rPr>
                <w:rFonts w:ascii="Arial" w:hAnsi="Arial" w:cs="Arial"/>
              </w:rPr>
              <w:t xml:space="preserve"> </w:t>
            </w:r>
            <w:r w:rsidRPr="00E767AB">
              <w:rPr>
                <w:rFonts w:ascii="Arial" w:hAnsi="Arial" w:cs="Arial"/>
                <w:i/>
              </w:rPr>
              <w:t>aeruginosa</w:t>
            </w:r>
          </w:p>
        </w:tc>
        <w:tc>
          <w:tcPr>
            <w:tcW w:w="2239" w:type="dxa"/>
          </w:tcPr>
          <w:p w14:paraId="02D3A988"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Pseudomonas</w:t>
            </w:r>
            <w:r w:rsidRPr="00E767AB">
              <w:rPr>
                <w:rFonts w:ascii="Arial" w:hAnsi="Arial" w:cs="Arial"/>
              </w:rPr>
              <w:t xml:space="preserve"> </w:t>
            </w:r>
            <w:r w:rsidRPr="00E767AB">
              <w:rPr>
                <w:rFonts w:ascii="Arial" w:hAnsi="Arial" w:cs="Arial"/>
                <w:i/>
              </w:rPr>
              <w:t>aeruginosa</w:t>
            </w:r>
          </w:p>
        </w:tc>
        <w:tc>
          <w:tcPr>
            <w:tcW w:w="2256" w:type="dxa"/>
          </w:tcPr>
          <w:p w14:paraId="0D1B6B6D"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Escherichia</w:t>
            </w:r>
            <w:r w:rsidRPr="00E767AB">
              <w:rPr>
                <w:rFonts w:ascii="Arial" w:hAnsi="Arial" w:cs="Arial"/>
                <w:b/>
              </w:rPr>
              <w:t xml:space="preserve"> </w:t>
            </w:r>
            <w:r w:rsidRPr="00E767AB">
              <w:rPr>
                <w:rFonts w:ascii="Arial" w:hAnsi="Arial" w:cs="Arial"/>
                <w:i/>
              </w:rPr>
              <w:t>coli</w:t>
            </w:r>
            <w:r w:rsidRPr="00E767AB">
              <w:rPr>
                <w:rFonts w:ascii="Arial" w:hAnsi="Arial" w:cs="Arial"/>
                <w:b/>
              </w:rPr>
              <w:t xml:space="preserve">, </w:t>
            </w:r>
            <w:r w:rsidRPr="00E767AB">
              <w:rPr>
                <w:rFonts w:ascii="Arial" w:hAnsi="Arial" w:cs="Arial"/>
                <w:i/>
              </w:rPr>
              <w:t>Enterobacter aerogenes</w:t>
            </w:r>
            <w:r w:rsidRPr="00E767AB">
              <w:rPr>
                <w:rFonts w:ascii="Arial" w:hAnsi="Arial" w:cs="Arial"/>
                <w:b/>
              </w:rPr>
              <w:t xml:space="preserve"> </w:t>
            </w:r>
          </w:p>
        </w:tc>
      </w:tr>
      <w:tr w:rsidR="00E767AB" w:rsidRPr="00E767AB" w14:paraId="7A9A236A" w14:textId="77777777" w:rsidTr="00926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14:paraId="235D8EBC"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lastRenderedPageBreak/>
              <w:t xml:space="preserve">Actinomycetes </w:t>
            </w:r>
          </w:p>
        </w:tc>
        <w:tc>
          <w:tcPr>
            <w:tcW w:w="2237" w:type="dxa"/>
            <w:shd w:val="clear" w:color="auto" w:fill="auto"/>
          </w:tcPr>
          <w:p w14:paraId="573979D1"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Actinomyces </w:t>
            </w:r>
            <w:proofErr w:type="spellStart"/>
            <w:r w:rsidRPr="00E767AB">
              <w:rPr>
                <w:rFonts w:ascii="Arial" w:hAnsi="Arial" w:cs="Arial"/>
                <w:i/>
              </w:rPr>
              <w:t>miyeri</w:t>
            </w:r>
            <w:proofErr w:type="spellEnd"/>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Streptomyces albus</w:t>
            </w:r>
          </w:p>
        </w:tc>
        <w:tc>
          <w:tcPr>
            <w:tcW w:w="2239" w:type="dxa"/>
            <w:shd w:val="clear" w:color="auto" w:fill="auto"/>
          </w:tcPr>
          <w:p w14:paraId="5303379E"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xml:space="preserve">, Streptomyces </w:t>
            </w:r>
            <w:proofErr w:type="spellStart"/>
            <w:r w:rsidRPr="00E767AB">
              <w:rPr>
                <w:rFonts w:ascii="Arial" w:hAnsi="Arial" w:cs="Arial"/>
                <w:i/>
              </w:rPr>
              <w:t>albus</w:t>
            </w:r>
            <w:proofErr w:type="spellEnd"/>
            <w:r w:rsidRPr="00E767AB">
              <w:rPr>
                <w:rFonts w:ascii="Arial" w:hAnsi="Arial" w:cs="Arial"/>
                <w:i/>
              </w:rPr>
              <w:t xml:space="preserve">, Streptomyces </w:t>
            </w:r>
            <w:proofErr w:type="spellStart"/>
            <w:r w:rsidRPr="00E767AB">
              <w:rPr>
                <w:rFonts w:ascii="Arial" w:hAnsi="Arial" w:cs="Arial"/>
                <w:i/>
              </w:rPr>
              <w:t>globisporus</w:t>
            </w:r>
            <w:proofErr w:type="spellEnd"/>
            <w:r w:rsidRPr="00E767AB">
              <w:rPr>
                <w:rFonts w:ascii="Arial" w:hAnsi="Arial" w:cs="Arial"/>
                <w:i/>
              </w:rPr>
              <w:t xml:space="preserve">, Streptomyces </w:t>
            </w:r>
            <w:proofErr w:type="spellStart"/>
            <w:r w:rsidRPr="00E767AB">
              <w:rPr>
                <w:rFonts w:ascii="Arial" w:hAnsi="Arial" w:cs="Arial"/>
                <w:i/>
              </w:rPr>
              <w:t>scabis</w:t>
            </w:r>
            <w:proofErr w:type="spellEnd"/>
            <w:r w:rsidRPr="00E767AB">
              <w:rPr>
                <w:rFonts w:ascii="Arial" w:hAnsi="Arial" w:cs="Arial"/>
                <w:i/>
              </w:rPr>
              <w:t xml:space="preserve">, Nocardia </w:t>
            </w:r>
            <w:proofErr w:type="spellStart"/>
            <w:r w:rsidRPr="00E767AB">
              <w:rPr>
                <w:rFonts w:ascii="Arial" w:hAnsi="Arial" w:cs="Arial"/>
                <w:i/>
              </w:rPr>
              <w:t>asteriodes</w:t>
            </w:r>
            <w:proofErr w:type="spellEnd"/>
          </w:p>
        </w:tc>
        <w:tc>
          <w:tcPr>
            <w:tcW w:w="2256" w:type="dxa"/>
            <w:shd w:val="clear" w:color="auto" w:fill="auto"/>
          </w:tcPr>
          <w:p w14:paraId="3D79896E"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xml:space="preserve">, Streptomyces </w:t>
            </w:r>
            <w:proofErr w:type="spellStart"/>
            <w:r w:rsidRPr="00E767AB">
              <w:rPr>
                <w:rFonts w:ascii="Arial" w:hAnsi="Arial" w:cs="Arial"/>
                <w:i/>
              </w:rPr>
              <w:t>albus</w:t>
            </w:r>
            <w:proofErr w:type="spellEnd"/>
            <w:r w:rsidRPr="00E767AB">
              <w:rPr>
                <w:rFonts w:ascii="Arial" w:hAnsi="Arial" w:cs="Arial"/>
                <w:i/>
              </w:rPr>
              <w:t xml:space="preserve">, Streptomyces </w:t>
            </w:r>
            <w:proofErr w:type="spellStart"/>
            <w:r w:rsidRPr="00E767AB">
              <w:rPr>
                <w:rFonts w:ascii="Arial" w:hAnsi="Arial" w:cs="Arial"/>
                <w:i/>
              </w:rPr>
              <w:t>scabis</w:t>
            </w:r>
            <w:proofErr w:type="spellEnd"/>
            <w:r w:rsidRPr="00E767AB">
              <w:rPr>
                <w:rFonts w:ascii="Arial" w:hAnsi="Arial" w:cs="Arial"/>
                <w:i/>
              </w:rPr>
              <w:t xml:space="preserve">, </w:t>
            </w:r>
            <w:proofErr w:type="spellStart"/>
            <w:r w:rsidRPr="00E767AB">
              <w:rPr>
                <w:rFonts w:ascii="Arial" w:hAnsi="Arial" w:cs="Arial"/>
                <w:i/>
              </w:rPr>
              <w:t>Micromonospora</w:t>
            </w:r>
            <w:proofErr w:type="spellEnd"/>
            <w:r w:rsidRPr="00E767AB">
              <w:rPr>
                <w:rFonts w:ascii="Arial" w:hAnsi="Arial" w:cs="Arial"/>
                <w:i/>
              </w:rPr>
              <w:t xml:space="preserve"> </w:t>
            </w:r>
            <w:proofErr w:type="spellStart"/>
            <w:r w:rsidRPr="00E767AB">
              <w:rPr>
                <w:rFonts w:ascii="Arial" w:hAnsi="Arial" w:cs="Arial"/>
                <w:i/>
              </w:rPr>
              <w:t>echinospora</w:t>
            </w:r>
            <w:proofErr w:type="spellEnd"/>
          </w:p>
        </w:tc>
      </w:tr>
    </w:tbl>
    <w:p w14:paraId="064D8D47" w14:textId="77777777" w:rsidR="00E767AB" w:rsidRPr="00E767AB" w:rsidRDefault="00E767AB" w:rsidP="00E4400A">
      <w:pPr>
        <w:spacing w:before="100" w:beforeAutospacing="1" w:after="100" w:afterAutospacing="1" w:line="360" w:lineRule="auto"/>
        <w:jc w:val="both"/>
        <w:rPr>
          <w:rFonts w:ascii="Arial" w:hAnsi="Arial" w:cs="Arial"/>
          <w:b/>
        </w:rPr>
      </w:pPr>
      <w:r w:rsidRPr="00E767AB">
        <w:rPr>
          <w:rFonts w:ascii="Arial" w:hAnsi="Arial" w:cs="Arial"/>
        </w:rPr>
        <w:t>Microbial counts from tropical agrochemical</w:t>
      </w:r>
      <w:r w:rsidRPr="00E767AB">
        <w:rPr>
          <w:rFonts w:ascii="Arial" w:hAnsi="Arial" w:cs="Arial"/>
        </w:rPr>
        <w:noBreakHyphen/>
        <w:t>polluted farm soil demonstrated clear shifts in community structure across assays. Total heterotrophic bacteria (on TSA) were markedly reduced in AFS 1 compared to control and AFS 2, reflecting pesticide stress on general microbial populations. Similarly, counts on mannitol salt agar declined significantly in AFS 1, indicating suppression of selective microbial groups, while AFS 2 maintained intermediate numbers, suggesting partial resilience. Actinomycetes populations (SCA counts) were elevated in AFS 1 relative to control, highlighting possible enrichment of pesticide</w:t>
      </w:r>
      <w:r w:rsidRPr="00E767AB">
        <w:rPr>
          <w:rFonts w:ascii="Arial" w:hAnsi="Arial" w:cs="Arial"/>
        </w:rPr>
        <w:noBreakHyphen/>
        <w:t>tolerant taxa. In contrast, MAC and PKA counts remained statistically similar across treatments, implying that coliforms and phosphate solubilizing bacteria were less sensitive to pesticide exposure. These findings align with recent studies reporting pesticide</w:t>
      </w:r>
      <w:r w:rsidRPr="00E767AB">
        <w:rPr>
          <w:rFonts w:ascii="Arial" w:hAnsi="Arial" w:cs="Arial"/>
        </w:rPr>
        <w:noBreakHyphen/>
        <w:t>driven alterations in microbial diversity, enzymatic activity, and soil health in tropical agricultural ecosystems (Patel et al., 2023). Such discriminatory influences accentuate the environmental threats of pesticide buildup, together with decreased nutrient cycling besides impaired soil productiveness. Additionally, the transitional feedbacks detected in AFS 2 propose resilient microbial approaches or incomplete restoration, unswerving with information on microbial flexibility under prolonged pollution (</w:t>
      </w:r>
      <w:proofErr w:type="spellStart"/>
      <w:r w:rsidRPr="00E767AB">
        <w:rPr>
          <w:rFonts w:ascii="Arial" w:hAnsi="Arial" w:cs="Arial"/>
        </w:rPr>
        <w:t>Dhuldhaj</w:t>
      </w:r>
      <w:proofErr w:type="spellEnd"/>
      <w:r w:rsidRPr="00E767AB">
        <w:rPr>
          <w:rFonts w:ascii="Arial" w:hAnsi="Arial" w:cs="Arial"/>
        </w:rPr>
        <w:t xml:space="preserve"> et al., 2023). </w:t>
      </w:r>
    </w:p>
    <w:p w14:paraId="68318254" w14:textId="38770992"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A total of 11 bacterial genera were isolated (Table 3) and identified with reference to the Bergey’s manual of Determinative Bacteriology </w:t>
      </w:r>
      <w:r w:rsidR="00317AF3" w:rsidRPr="00317AF3">
        <w:rPr>
          <w:rFonts w:ascii="Arial" w:hAnsi="Arial" w:cs="Arial"/>
        </w:rPr>
        <w:t>(Holt et al.</w:t>
      </w:r>
      <w:r w:rsidR="00317AF3">
        <w:rPr>
          <w:rFonts w:ascii="Arial" w:hAnsi="Arial" w:cs="Arial"/>
        </w:rPr>
        <w:t xml:space="preserve">, </w:t>
      </w:r>
      <w:r w:rsidRPr="00317AF3">
        <w:rPr>
          <w:rFonts w:ascii="Arial" w:hAnsi="Arial" w:cs="Arial"/>
        </w:rPr>
        <w:t>1994).</w:t>
      </w:r>
      <w:r w:rsidRPr="00E767AB">
        <w:rPr>
          <w:rFonts w:ascii="Arial" w:hAnsi="Arial" w:cs="Arial"/>
        </w:rPr>
        <w:t xml:space="preserve"> These organisms were identified as </w:t>
      </w:r>
      <w:r w:rsidRPr="00E767AB">
        <w:rPr>
          <w:rFonts w:ascii="Arial" w:hAnsi="Arial" w:cs="Arial"/>
          <w:i/>
        </w:rPr>
        <w:t xml:space="preserve">Pseudomonas, Enterobacter, Actinomyces, Streptomyces, Nocardia, </w:t>
      </w:r>
      <w:proofErr w:type="spellStart"/>
      <w:r w:rsidRPr="00E767AB">
        <w:rPr>
          <w:rFonts w:ascii="Arial" w:hAnsi="Arial" w:cs="Arial"/>
          <w:i/>
        </w:rPr>
        <w:t>Micromonospora</w:t>
      </w:r>
      <w:proofErr w:type="spellEnd"/>
      <w:r w:rsidRPr="00E767AB">
        <w:rPr>
          <w:rFonts w:ascii="Arial" w:hAnsi="Arial" w:cs="Arial"/>
          <w:i/>
        </w:rPr>
        <w:t xml:space="preserve">, Proteus, Salmonella, Streptococcus, Klebsiella </w:t>
      </w:r>
      <w:r w:rsidRPr="00E767AB">
        <w:rPr>
          <w:rFonts w:ascii="Arial" w:hAnsi="Arial" w:cs="Arial"/>
        </w:rPr>
        <w:t>and</w:t>
      </w:r>
      <w:r w:rsidRPr="00E767AB">
        <w:rPr>
          <w:rFonts w:ascii="Arial" w:hAnsi="Arial" w:cs="Arial"/>
          <w:i/>
        </w:rPr>
        <w:t xml:space="preserve"> Bacillus</w:t>
      </w:r>
      <w:r w:rsidRPr="00E767AB">
        <w:rPr>
          <w:rFonts w:ascii="Arial" w:hAnsi="Arial" w:cs="Arial"/>
        </w:rPr>
        <w:t xml:space="preserve">. A number of these bacteria have been studied and reported as microorganisms that thrive in environments stressed possibly induced by pesticide contamination (Harir et al., 2018; </w:t>
      </w:r>
      <w:proofErr w:type="spellStart"/>
      <w:r w:rsidRPr="00E767AB">
        <w:rPr>
          <w:rFonts w:ascii="Arial" w:hAnsi="Arial" w:cs="Arial"/>
        </w:rPr>
        <w:t>Uneze</w:t>
      </w:r>
      <w:proofErr w:type="spellEnd"/>
      <w:r w:rsidRPr="00E767AB">
        <w:rPr>
          <w:rFonts w:ascii="Arial" w:hAnsi="Arial" w:cs="Arial"/>
        </w:rPr>
        <w:t xml:space="preserve"> et al., 2024). Culture-dependent method via the Analytical Profile Index test kit (API 20E &amp; API 50CH) identified 9 bacterial genera (</w:t>
      </w:r>
      <w:r w:rsidRPr="00E767AB">
        <w:rPr>
          <w:rFonts w:ascii="Arial" w:hAnsi="Arial" w:cs="Arial"/>
          <w:i/>
        </w:rPr>
        <w:t xml:space="preserve">Bacillus, Enterobacter, Klebsiella, Salmonella, Staphylococcus, Streptococcus, Proteus, Pseudomonas, </w:t>
      </w:r>
      <w:r w:rsidRPr="00E767AB">
        <w:rPr>
          <w:rFonts w:ascii="Arial" w:hAnsi="Arial" w:cs="Arial"/>
        </w:rPr>
        <w:t>and</w:t>
      </w:r>
      <w:r w:rsidRPr="00E767AB">
        <w:rPr>
          <w:rFonts w:ascii="Arial" w:hAnsi="Arial" w:cs="Arial"/>
          <w:i/>
        </w:rPr>
        <w:t xml:space="preserve"> Escherichia</w:t>
      </w:r>
      <w:r w:rsidRPr="00E767AB">
        <w:rPr>
          <w:rFonts w:ascii="Arial" w:hAnsi="Arial" w:cs="Arial"/>
        </w:rPr>
        <w:t>) across the agrochemicals farm soils and control (Table 4 and 5). Sim</w:t>
      </w:r>
      <w:r w:rsidR="00317AF3">
        <w:rPr>
          <w:rFonts w:ascii="Arial" w:hAnsi="Arial" w:cs="Arial"/>
        </w:rPr>
        <w:t>ilar findings were reported by Meena et al.</w:t>
      </w:r>
      <w:r w:rsidRPr="00E767AB">
        <w:rPr>
          <w:rFonts w:ascii="Arial" w:hAnsi="Arial" w:cs="Arial"/>
        </w:rPr>
        <w:t xml:space="preserve"> </w:t>
      </w:r>
      <w:r w:rsidR="00317AF3">
        <w:rPr>
          <w:rFonts w:ascii="Arial" w:hAnsi="Arial" w:cs="Arial"/>
        </w:rPr>
        <w:t>(</w:t>
      </w:r>
      <w:r w:rsidRPr="00E767AB">
        <w:rPr>
          <w:rFonts w:ascii="Arial" w:hAnsi="Arial" w:cs="Arial"/>
        </w:rPr>
        <w:t xml:space="preserve">2020). Actinomycetes identified during the study were </w:t>
      </w:r>
      <w:r w:rsidRPr="00E767AB">
        <w:rPr>
          <w:rFonts w:ascii="Arial" w:hAnsi="Arial" w:cs="Arial"/>
          <w:i/>
        </w:rPr>
        <w:t xml:space="preserve">Actinomyces </w:t>
      </w:r>
      <w:proofErr w:type="spellStart"/>
      <w:r w:rsidRPr="00E767AB">
        <w:rPr>
          <w:rFonts w:ascii="Arial" w:hAnsi="Arial" w:cs="Arial"/>
          <w:i/>
        </w:rPr>
        <w:t>meyeri</w:t>
      </w:r>
      <w:proofErr w:type="spellEnd"/>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xml:space="preserve">, S. albus, S. scabies, S. </w:t>
      </w:r>
      <w:proofErr w:type="spellStart"/>
      <w:r w:rsidRPr="00E767AB">
        <w:rPr>
          <w:rFonts w:ascii="Arial" w:hAnsi="Arial" w:cs="Arial"/>
          <w:i/>
        </w:rPr>
        <w:t>globisporus</w:t>
      </w:r>
      <w:proofErr w:type="spellEnd"/>
      <w:r w:rsidRPr="00E767AB">
        <w:rPr>
          <w:rFonts w:ascii="Arial" w:hAnsi="Arial" w:cs="Arial"/>
          <w:i/>
        </w:rPr>
        <w:t xml:space="preserve">, Nocardia </w:t>
      </w:r>
      <w:proofErr w:type="spellStart"/>
      <w:r w:rsidRPr="00E767AB">
        <w:rPr>
          <w:rFonts w:ascii="Arial" w:hAnsi="Arial" w:cs="Arial"/>
          <w:i/>
        </w:rPr>
        <w:t>asteriodes</w:t>
      </w:r>
      <w:proofErr w:type="spellEnd"/>
      <w:r w:rsidRPr="00E767AB">
        <w:rPr>
          <w:rFonts w:ascii="Arial" w:hAnsi="Arial" w:cs="Arial"/>
          <w:i/>
        </w:rPr>
        <w:t>,</w:t>
      </w:r>
      <w:r w:rsidRPr="00E767AB">
        <w:rPr>
          <w:rFonts w:ascii="Arial" w:hAnsi="Arial" w:cs="Arial"/>
        </w:rPr>
        <w:t xml:space="preserve"> and </w:t>
      </w:r>
      <w:proofErr w:type="spellStart"/>
      <w:r w:rsidRPr="00E767AB">
        <w:rPr>
          <w:rFonts w:ascii="Arial" w:hAnsi="Arial" w:cs="Arial"/>
          <w:i/>
        </w:rPr>
        <w:t>Micromonospora</w:t>
      </w:r>
      <w:proofErr w:type="spellEnd"/>
      <w:r w:rsidRPr="00E767AB">
        <w:rPr>
          <w:rFonts w:ascii="Arial" w:hAnsi="Arial" w:cs="Arial"/>
        </w:rPr>
        <w:t xml:space="preserve"> </w:t>
      </w:r>
      <w:proofErr w:type="spellStart"/>
      <w:r w:rsidRPr="00E767AB">
        <w:rPr>
          <w:rFonts w:ascii="Arial" w:hAnsi="Arial" w:cs="Arial"/>
          <w:i/>
        </w:rPr>
        <w:t>echinospora</w:t>
      </w:r>
      <w:proofErr w:type="spellEnd"/>
      <w:r w:rsidRPr="00E767AB">
        <w:rPr>
          <w:rFonts w:ascii="Arial" w:hAnsi="Arial" w:cs="Arial"/>
        </w:rPr>
        <w:t xml:space="preserve"> (Table 6). </w:t>
      </w:r>
      <w:proofErr w:type="spellStart"/>
      <w:r w:rsidRPr="00E767AB">
        <w:rPr>
          <w:rFonts w:ascii="Arial" w:hAnsi="Arial" w:cs="Arial"/>
        </w:rPr>
        <w:t>Nonoh</w:t>
      </w:r>
      <w:proofErr w:type="spellEnd"/>
      <w:r w:rsidRPr="00E767AB">
        <w:rPr>
          <w:rFonts w:ascii="Arial" w:hAnsi="Arial" w:cs="Arial"/>
        </w:rPr>
        <w:t xml:space="preserve"> et al. (2010) reported five different </w:t>
      </w:r>
      <w:r w:rsidRPr="00E767AB">
        <w:rPr>
          <w:rFonts w:ascii="Arial" w:hAnsi="Arial" w:cs="Arial"/>
          <w:i/>
        </w:rPr>
        <w:t>Streptomyces</w:t>
      </w:r>
      <w:r w:rsidRPr="00E767AB">
        <w:rPr>
          <w:rFonts w:ascii="Arial" w:hAnsi="Arial" w:cs="Arial"/>
        </w:rPr>
        <w:t xml:space="preserve"> species after molecular </w:t>
      </w:r>
      <w:r w:rsidRPr="00E767AB">
        <w:rPr>
          <w:rFonts w:ascii="Arial" w:hAnsi="Arial" w:cs="Arial"/>
        </w:rPr>
        <w:lastRenderedPageBreak/>
        <w:t xml:space="preserve">characterization of soils in Kenya. However, our findings differs from the outcomes of </w:t>
      </w:r>
      <w:proofErr w:type="spellStart"/>
      <w:r w:rsidRPr="00E767AB">
        <w:rPr>
          <w:rFonts w:ascii="Arial" w:hAnsi="Arial" w:cs="Arial"/>
        </w:rPr>
        <w:t>Edemekong</w:t>
      </w:r>
      <w:proofErr w:type="spellEnd"/>
      <w:r w:rsidRPr="00E767AB">
        <w:rPr>
          <w:rFonts w:ascii="Arial" w:hAnsi="Arial" w:cs="Arial"/>
        </w:rPr>
        <w:t xml:space="preserve"> et al. (2022), they reported different actinomycetes species (</w:t>
      </w:r>
      <w:proofErr w:type="spellStart"/>
      <w:r w:rsidRPr="00E767AB">
        <w:rPr>
          <w:rFonts w:ascii="Arial" w:hAnsi="Arial" w:cs="Arial"/>
          <w:i/>
        </w:rPr>
        <w:t>Rhodococcus</w:t>
      </w:r>
      <w:proofErr w:type="spellEnd"/>
      <w:r w:rsidRPr="00E767AB">
        <w:rPr>
          <w:rFonts w:ascii="Arial" w:hAnsi="Arial" w:cs="Arial"/>
          <w:i/>
        </w:rPr>
        <w:t xml:space="preserve">, </w:t>
      </w:r>
      <w:proofErr w:type="spellStart"/>
      <w:r w:rsidRPr="00E767AB">
        <w:rPr>
          <w:rFonts w:ascii="Arial" w:hAnsi="Arial" w:cs="Arial"/>
          <w:i/>
        </w:rPr>
        <w:t>Leucobacter</w:t>
      </w:r>
      <w:proofErr w:type="spellEnd"/>
      <w:r w:rsidRPr="00E767AB">
        <w:rPr>
          <w:rFonts w:ascii="Arial" w:hAnsi="Arial" w:cs="Arial"/>
          <w:i/>
        </w:rPr>
        <w:t xml:space="preserve">, </w:t>
      </w:r>
      <w:proofErr w:type="spellStart"/>
      <w:r w:rsidRPr="00E767AB">
        <w:rPr>
          <w:rFonts w:ascii="Arial" w:hAnsi="Arial" w:cs="Arial"/>
          <w:i/>
        </w:rPr>
        <w:t>Jatrophihabitan</w:t>
      </w:r>
      <w:proofErr w:type="spellEnd"/>
      <w:r w:rsidRPr="00E767AB">
        <w:rPr>
          <w:rFonts w:ascii="Arial" w:hAnsi="Arial" w:cs="Arial"/>
        </w:rPr>
        <w:t xml:space="preserve">, and </w:t>
      </w:r>
      <w:proofErr w:type="spellStart"/>
      <w:r w:rsidRPr="00E767AB">
        <w:rPr>
          <w:rFonts w:ascii="Arial" w:hAnsi="Arial" w:cs="Arial"/>
          <w:i/>
        </w:rPr>
        <w:t>Nesterenkoniamas</w:t>
      </w:r>
      <w:proofErr w:type="spellEnd"/>
      <w:r w:rsidRPr="00E767AB">
        <w:rPr>
          <w:rFonts w:ascii="Arial" w:hAnsi="Arial" w:cs="Arial"/>
        </w:rPr>
        <w:t>) identified from soil samples in Calabar metropolis, Nigeria</w:t>
      </w:r>
    </w:p>
    <w:p w14:paraId="4E61D0CB" w14:textId="77777777"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The bacteriological multiplicity of the agrochemical farm soils and control as presented in Table 7, showed that the potential pathogens implicated in human and animal diseases were </w:t>
      </w: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Streptococcus</w:t>
      </w:r>
      <w:r w:rsidRPr="00E767AB">
        <w:rPr>
          <w:rFonts w:ascii="Arial" w:hAnsi="Arial" w:cs="Arial"/>
        </w:rPr>
        <w:t xml:space="preserve"> </w:t>
      </w:r>
      <w:r w:rsidRPr="00E767AB">
        <w:rPr>
          <w:rFonts w:ascii="Arial" w:hAnsi="Arial" w:cs="Arial"/>
          <w:i/>
        </w:rPr>
        <w:t>pyogenes</w:t>
      </w:r>
      <w:r w:rsidRPr="00E767AB">
        <w:rPr>
          <w:rFonts w:ascii="Arial" w:hAnsi="Arial" w:cs="Arial"/>
        </w:rPr>
        <w:t xml:space="preserv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Salmonella</w:t>
      </w:r>
      <w:r w:rsidRPr="00E767AB">
        <w:rPr>
          <w:rFonts w:ascii="Arial" w:hAnsi="Arial" w:cs="Arial"/>
        </w:rPr>
        <w:t xml:space="preserve"> </w:t>
      </w:r>
      <w:r w:rsidRPr="00E767AB">
        <w:rPr>
          <w:rFonts w:ascii="Arial" w:hAnsi="Arial" w:cs="Arial"/>
          <w:i/>
        </w:rPr>
        <w:t xml:space="preserve">typhimurium, Escherichia coli, Shigella </w:t>
      </w:r>
      <w:r w:rsidRPr="00E767AB">
        <w:rPr>
          <w:rFonts w:ascii="Arial" w:hAnsi="Arial" w:cs="Arial"/>
        </w:rPr>
        <w:t xml:space="preserve">species. Coliforms isolated were </w:t>
      </w:r>
      <w:r w:rsidRPr="00E767AB">
        <w:rPr>
          <w:rFonts w:ascii="Arial" w:hAnsi="Arial" w:cs="Arial"/>
          <w:i/>
        </w:rPr>
        <w:t xml:space="preserve">Enterobacter aerogenes, Klebsiella pneumoniae, Escherichia coli, Salmonella typhimurium, Shigella </w:t>
      </w:r>
      <w:r w:rsidRPr="00E767AB">
        <w:rPr>
          <w:rFonts w:ascii="Arial" w:hAnsi="Arial" w:cs="Arial"/>
        </w:rPr>
        <w:t xml:space="preserve">species), and enteric food borne pathogens were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Pseudomonas</w:t>
      </w:r>
      <w:r w:rsidRPr="00E767AB">
        <w:rPr>
          <w:rFonts w:ascii="Arial" w:hAnsi="Arial" w:cs="Arial"/>
        </w:rPr>
        <w:t xml:space="preserve"> </w:t>
      </w:r>
      <w:r w:rsidRPr="00E767AB">
        <w:rPr>
          <w:rFonts w:ascii="Arial" w:hAnsi="Arial" w:cs="Arial"/>
          <w:i/>
        </w:rPr>
        <w:t xml:space="preserve">aeruginosa, </w:t>
      </w:r>
      <w:r w:rsidRPr="00E767AB">
        <w:rPr>
          <w:rFonts w:ascii="Arial" w:hAnsi="Arial" w:cs="Arial"/>
        </w:rPr>
        <w:t xml:space="preserve">and </w:t>
      </w:r>
      <w:r w:rsidRPr="00E767AB">
        <w:rPr>
          <w:rFonts w:ascii="Arial" w:hAnsi="Arial" w:cs="Arial"/>
          <w:i/>
        </w:rPr>
        <w:t>Escherichia coli</w:t>
      </w:r>
      <w:r w:rsidRPr="00E767AB">
        <w:rPr>
          <w:rFonts w:ascii="Arial" w:hAnsi="Arial" w:cs="Arial"/>
        </w:rPr>
        <w:t>), across farm soil samples. This discovery upholds the outcomes of (Cook et al., 2023; Ambaye et al., 2024; Sharma et al., 2024; Woodford et al., 2024). The bacterial community structure has shown diverse modifications among control and pesticide</w:t>
      </w:r>
      <w:r w:rsidRPr="00E767AB">
        <w:rPr>
          <w:rFonts w:ascii="Arial" w:hAnsi="Arial" w:cs="Arial"/>
        </w:rPr>
        <w:noBreakHyphen/>
        <w:t xml:space="preserve">polluted soils. Control samples were predominated by </w:t>
      </w:r>
      <w:r w:rsidRPr="00E767AB">
        <w:rPr>
          <w:rStyle w:val="Emphasis"/>
          <w:rFonts w:ascii="Arial" w:hAnsi="Arial" w:cs="Arial"/>
        </w:rPr>
        <w:t>Bacillus subtilis</w:t>
      </w:r>
      <w:r w:rsidRPr="00E767AB">
        <w:rPr>
          <w:rFonts w:ascii="Arial" w:hAnsi="Arial" w:cs="Arial"/>
        </w:rPr>
        <w:t xml:space="preserve">, </w:t>
      </w:r>
      <w:r w:rsidRPr="00E767AB">
        <w:rPr>
          <w:rStyle w:val="Emphasis"/>
          <w:rFonts w:ascii="Arial" w:hAnsi="Arial" w:cs="Arial"/>
        </w:rPr>
        <w:t>Pseudomonas aeruginosa</w:t>
      </w:r>
      <w:r w:rsidRPr="00E767AB">
        <w:rPr>
          <w:rFonts w:ascii="Arial" w:hAnsi="Arial" w:cs="Arial"/>
        </w:rPr>
        <w:t xml:space="preserve">, in addition to coliforms such as </w:t>
      </w:r>
      <w:r w:rsidRPr="00E767AB">
        <w:rPr>
          <w:rStyle w:val="Emphasis"/>
          <w:rFonts w:ascii="Arial" w:hAnsi="Arial" w:cs="Arial"/>
        </w:rPr>
        <w:t>Escherichia coli</w:t>
      </w:r>
      <w:r w:rsidRPr="00E767AB">
        <w:rPr>
          <w:rFonts w:ascii="Arial" w:hAnsi="Arial" w:cs="Arial"/>
        </w:rPr>
        <w:t xml:space="preserve"> and </w:t>
      </w:r>
      <w:r w:rsidRPr="00E767AB">
        <w:rPr>
          <w:rStyle w:val="Emphasis"/>
          <w:rFonts w:ascii="Arial" w:hAnsi="Arial" w:cs="Arial"/>
        </w:rPr>
        <w:t>Klebsiella</w:t>
      </w:r>
      <w:r w:rsidRPr="00E767AB">
        <w:rPr>
          <w:rFonts w:ascii="Arial" w:hAnsi="Arial" w:cs="Arial"/>
        </w:rPr>
        <w:t xml:space="preserve"> spp. Conversely, AFS I presented enhancement of opportunistic pathogens comprising </w:t>
      </w:r>
      <w:r w:rsidRPr="00E767AB">
        <w:rPr>
          <w:rStyle w:val="Emphasis"/>
          <w:rFonts w:ascii="Arial" w:hAnsi="Arial" w:cs="Arial"/>
        </w:rPr>
        <w:t>Staphylococcus aureus</w:t>
      </w:r>
      <w:r w:rsidRPr="00E767AB">
        <w:rPr>
          <w:rFonts w:ascii="Arial" w:hAnsi="Arial" w:cs="Arial"/>
        </w:rPr>
        <w:t xml:space="preserve">, </w:t>
      </w:r>
      <w:r w:rsidRPr="00E767AB">
        <w:rPr>
          <w:rStyle w:val="Emphasis"/>
          <w:rFonts w:ascii="Arial" w:hAnsi="Arial" w:cs="Arial"/>
        </w:rPr>
        <w:t>Streptococcus pyogenes</w:t>
      </w:r>
      <w:r w:rsidRPr="00E767AB">
        <w:rPr>
          <w:rFonts w:ascii="Arial" w:hAnsi="Arial" w:cs="Arial"/>
        </w:rPr>
        <w:t xml:space="preserve">, and </w:t>
      </w:r>
      <w:r w:rsidRPr="00E767AB">
        <w:rPr>
          <w:rStyle w:val="Emphasis"/>
          <w:rFonts w:ascii="Arial" w:hAnsi="Arial" w:cs="Arial"/>
        </w:rPr>
        <w:t>Proteus vulgaris</w:t>
      </w:r>
      <w:r w:rsidRPr="00E767AB">
        <w:rPr>
          <w:rFonts w:ascii="Arial" w:hAnsi="Arial" w:cs="Arial"/>
        </w:rPr>
        <w:t xml:space="preserve">, whereas AFS II demonstrated divergence with </w:t>
      </w:r>
      <w:r w:rsidRPr="00E767AB">
        <w:rPr>
          <w:rStyle w:val="Emphasis"/>
          <w:rFonts w:ascii="Arial" w:hAnsi="Arial" w:cs="Arial"/>
        </w:rPr>
        <w:t>Shigella</w:t>
      </w:r>
      <w:r w:rsidRPr="00E767AB">
        <w:rPr>
          <w:rFonts w:ascii="Arial" w:hAnsi="Arial" w:cs="Arial"/>
        </w:rPr>
        <w:t xml:space="preserve"> spp. and </w:t>
      </w:r>
      <w:r w:rsidRPr="00E767AB">
        <w:rPr>
          <w:rStyle w:val="Emphasis"/>
          <w:rFonts w:ascii="Arial" w:hAnsi="Arial" w:cs="Arial"/>
        </w:rPr>
        <w:t>Bacillus licheniformis</w:t>
      </w:r>
      <w:r w:rsidRPr="00E767AB">
        <w:rPr>
          <w:rFonts w:ascii="Arial" w:hAnsi="Arial" w:cs="Arial"/>
        </w:rPr>
        <w:t>. These alterations underscore pesticide</w:t>
      </w:r>
      <w:r w:rsidRPr="00E767AB">
        <w:rPr>
          <w:rFonts w:ascii="Arial" w:hAnsi="Arial" w:cs="Arial"/>
        </w:rPr>
        <w:noBreakHyphen/>
        <w:t xml:space="preserve">induced selection stresses on bacterial populations (Joen et al., 2023; </w:t>
      </w:r>
      <w:proofErr w:type="spellStart"/>
      <w:r w:rsidRPr="00E767AB">
        <w:rPr>
          <w:rFonts w:ascii="Arial" w:hAnsi="Arial" w:cs="Arial"/>
        </w:rPr>
        <w:t>Dhuldhaj</w:t>
      </w:r>
      <w:proofErr w:type="spellEnd"/>
      <w:r w:rsidRPr="00E767AB">
        <w:rPr>
          <w:rFonts w:ascii="Arial" w:hAnsi="Arial" w:cs="Arial"/>
        </w:rPr>
        <w:t xml:space="preserve"> et al., 2023).</w:t>
      </w:r>
    </w:p>
    <w:p w14:paraId="1993D464" w14:textId="77777777"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The resilience and enhancement of pathogenic species across the agrochemical-polluted farm soils accentuate impending dangers aimed at human besides animal wellbeing. The existence of </w:t>
      </w:r>
      <w:r w:rsidRPr="00E767AB">
        <w:rPr>
          <w:rStyle w:val="Emphasis"/>
          <w:rFonts w:ascii="Arial" w:hAnsi="Arial" w:cs="Arial"/>
        </w:rPr>
        <w:t>Salmonella</w:t>
      </w:r>
      <w:r w:rsidRPr="00E767AB">
        <w:rPr>
          <w:rFonts w:ascii="Arial" w:hAnsi="Arial" w:cs="Arial"/>
        </w:rPr>
        <w:t xml:space="preserve">, </w:t>
      </w:r>
      <w:r w:rsidRPr="00E767AB">
        <w:rPr>
          <w:rStyle w:val="Emphasis"/>
          <w:rFonts w:ascii="Arial" w:hAnsi="Arial" w:cs="Arial"/>
        </w:rPr>
        <w:t>Shigella</w:t>
      </w:r>
      <w:r w:rsidRPr="00E767AB">
        <w:rPr>
          <w:rFonts w:ascii="Arial" w:hAnsi="Arial" w:cs="Arial"/>
        </w:rPr>
        <w:t xml:space="preserve">, and </w:t>
      </w:r>
      <w:r w:rsidRPr="00E767AB">
        <w:rPr>
          <w:rStyle w:val="Emphasis"/>
          <w:rFonts w:ascii="Arial" w:hAnsi="Arial" w:cs="Arial"/>
        </w:rPr>
        <w:t>Klebsiella</w:t>
      </w:r>
      <w:r w:rsidRPr="00E767AB">
        <w:rPr>
          <w:rFonts w:ascii="Arial" w:hAnsi="Arial" w:cs="Arial"/>
        </w:rPr>
        <w:t xml:space="preserve"> species, mirrors the ability of pesticide deposits to support resilient as well as virulent strains. Such enrichment remain connected to improved antimicrobial resistance besides food security fears in tropical agricultural ecosystems (Patel et al., 2023).</w:t>
      </w:r>
    </w:p>
    <w:p w14:paraId="5747AF3B" w14:textId="7CF16CFB"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The culture-dependent guarded identification of the bacterial isolates additionally highlight the heterogeneousness of the bacterial population structure within the agrochemical farm soil samples. The occurrence of </w:t>
      </w:r>
      <w:r w:rsidRPr="00E767AB">
        <w:rPr>
          <w:rFonts w:ascii="Arial" w:hAnsi="Arial" w:cs="Arial"/>
          <w:i/>
        </w:rPr>
        <w:t>Nocardia</w:t>
      </w:r>
      <w:r w:rsidRPr="00E767AB">
        <w:rPr>
          <w:rFonts w:ascii="Arial" w:hAnsi="Arial" w:cs="Arial"/>
        </w:rPr>
        <w:t xml:space="preserve"> and </w:t>
      </w:r>
      <w:r w:rsidRPr="00E767AB">
        <w:rPr>
          <w:rFonts w:ascii="Arial" w:hAnsi="Arial" w:cs="Arial"/>
          <w:i/>
        </w:rPr>
        <w:t>Streptomyces</w:t>
      </w:r>
      <w:r w:rsidRPr="00E767AB">
        <w:rPr>
          <w:rFonts w:ascii="Arial" w:hAnsi="Arial" w:cs="Arial"/>
        </w:rPr>
        <w:t xml:space="preserve"> taxa is noteworthy, as these species have been documented for their stress tolerance in diverse ecosystems besides their capability to synthesize antibiotics, enzymes, as well as additional specialized metabolites (Barka et al. 2016; </w:t>
      </w:r>
      <w:proofErr w:type="spellStart"/>
      <w:r w:rsidRPr="00E767AB">
        <w:rPr>
          <w:rFonts w:ascii="Arial" w:hAnsi="Arial" w:cs="Arial"/>
        </w:rPr>
        <w:t>Uneze</w:t>
      </w:r>
      <w:proofErr w:type="spellEnd"/>
      <w:r w:rsidRPr="00E767AB">
        <w:rPr>
          <w:rFonts w:ascii="Arial" w:hAnsi="Arial" w:cs="Arial"/>
        </w:rPr>
        <w:t xml:space="preserve"> et al., 2024; </w:t>
      </w:r>
      <w:proofErr w:type="spellStart"/>
      <w:r w:rsidRPr="00E767AB">
        <w:rPr>
          <w:rFonts w:ascii="Arial" w:hAnsi="Arial" w:cs="Arial"/>
        </w:rPr>
        <w:t>Ajuzieogu</w:t>
      </w:r>
      <w:proofErr w:type="spellEnd"/>
      <w:r w:rsidRPr="00E767AB">
        <w:rPr>
          <w:rFonts w:ascii="Arial" w:hAnsi="Arial" w:cs="Arial"/>
        </w:rPr>
        <w:t xml:space="preserve"> et al., 2025).</w:t>
      </w:r>
      <w:r w:rsidRPr="00E767AB">
        <w:rPr>
          <w:rFonts w:ascii="Arial" w:hAnsi="Arial" w:cs="Arial"/>
          <w:i/>
        </w:rPr>
        <w:t xml:space="preserve"> </w:t>
      </w:r>
      <w:r w:rsidRPr="00E767AB">
        <w:rPr>
          <w:rStyle w:val="Emphasis"/>
          <w:rFonts w:ascii="Arial" w:hAnsi="Arial" w:cs="Arial"/>
          <w:i w:val="0"/>
        </w:rPr>
        <w:t xml:space="preserve">In this study, </w:t>
      </w:r>
      <w:r w:rsidRPr="00E767AB">
        <w:rPr>
          <w:rStyle w:val="Strong"/>
          <w:rFonts w:ascii="Arial" w:hAnsi="Arial" w:cs="Arial"/>
          <w:b w:val="0"/>
          <w:i/>
          <w:iCs/>
        </w:rPr>
        <w:t xml:space="preserve">Streptomyces </w:t>
      </w:r>
      <w:proofErr w:type="spellStart"/>
      <w:r w:rsidRPr="00E767AB">
        <w:rPr>
          <w:rStyle w:val="Strong"/>
          <w:rFonts w:ascii="Arial" w:hAnsi="Arial" w:cs="Arial"/>
          <w:b w:val="0"/>
          <w:i/>
          <w:iCs/>
        </w:rPr>
        <w:t>coelicolor</w:t>
      </w:r>
      <w:proofErr w:type="spellEnd"/>
      <w:r w:rsidRPr="00E767AB">
        <w:rPr>
          <w:rStyle w:val="Emphasis"/>
          <w:rFonts w:ascii="Arial" w:hAnsi="Arial" w:cs="Arial"/>
          <w:i w:val="0"/>
        </w:rPr>
        <w:t xml:space="preserve"> and </w:t>
      </w:r>
      <w:r w:rsidRPr="00E767AB">
        <w:rPr>
          <w:rStyle w:val="Strong"/>
          <w:rFonts w:ascii="Arial" w:hAnsi="Arial" w:cs="Arial"/>
          <w:b w:val="0"/>
          <w:i/>
          <w:iCs/>
        </w:rPr>
        <w:t xml:space="preserve">Actinomyces </w:t>
      </w:r>
      <w:proofErr w:type="spellStart"/>
      <w:r w:rsidRPr="00E767AB">
        <w:rPr>
          <w:rStyle w:val="Strong"/>
          <w:rFonts w:ascii="Arial" w:hAnsi="Arial" w:cs="Arial"/>
          <w:b w:val="0"/>
          <w:i/>
          <w:iCs/>
        </w:rPr>
        <w:t>miyeri</w:t>
      </w:r>
      <w:proofErr w:type="spellEnd"/>
      <w:r w:rsidRPr="00E767AB">
        <w:rPr>
          <w:rStyle w:val="Emphasis"/>
          <w:rFonts w:ascii="Arial" w:hAnsi="Arial" w:cs="Arial"/>
          <w:i w:val="0"/>
        </w:rPr>
        <w:t xml:space="preserve"> demonstrated a 99.9% sequence identity, corroborating </w:t>
      </w:r>
      <w:r w:rsidRPr="00E767AB">
        <w:rPr>
          <w:rStyle w:val="Emphasis"/>
          <w:rFonts w:ascii="Arial" w:hAnsi="Arial" w:cs="Arial"/>
          <w:i w:val="0"/>
        </w:rPr>
        <w:lastRenderedPageBreak/>
        <w:t>earlier findings that identified these taxa across heterogeneous soil and sedimentary habitats</w:t>
      </w:r>
      <w:r w:rsidRPr="00E767AB">
        <w:rPr>
          <w:rFonts w:ascii="Arial" w:hAnsi="Arial" w:cs="Arial"/>
        </w:rPr>
        <w:t xml:space="preserve"> (Patin et al. 2017, </w:t>
      </w:r>
      <w:proofErr w:type="spellStart"/>
      <w:r w:rsidRPr="00E767AB">
        <w:rPr>
          <w:rFonts w:ascii="Arial" w:hAnsi="Arial" w:cs="Arial"/>
        </w:rPr>
        <w:t>Ataikiru</w:t>
      </w:r>
      <w:proofErr w:type="spellEnd"/>
      <w:r w:rsidRPr="00E767AB">
        <w:rPr>
          <w:rFonts w:ascii="Arial" w:hAnsi="Arial" w:cs="Arial"/>
        </w:rPr>
        <w:t xml:space="preserve"> et al., 2020; </w:t>
      </w:r>
      <w:proofErr w:type="spellStart"/>
      <w:r w:rsidRPr="00E767AB">
        <w:rPr>
          <w:rFonts w:ascii="Arial" w:hAnsi="Arial" w:cs="Arial"/>
        </w:rPr>
        <w:t>Ajuzieogu</w:t>
      </w:r>
      <w:proofErr w:type="spellEnd"/>
      <w:r w:rsidRPr="00E767AB">
        <w:rPr>
          <w:rFonts w:ascii="Arial" w:hAnsi="Arial" w:cs="Arial"/>
        </w:rPr>
        <w:t xml:space="preserve"> et al., 2025). </w:t>
      </w:r>
      <w:r w:rsidRPr="00E767AB">
        <w:rPr>
          <w:rStyle w:val="Emphasis"/>
          <w:rFonts w:ascii="Arial" w:hAnsi="Arial" w:cs="Arial"/>
          <w:i w:val="0"/>
        </w:rPr>
        <w:t xml:space="preserve">Furthermore, </w:t>
      </w:r>
      <w:r w:rsidRPr="00E767AB">
        <w:rPr>
          <w:rStyle w:val="Strong"/>
          <w:rFonts w:ascii="Arial" w:hAnsi="Arial" w:cs="Arial"/>
          <w:b w:val="0"/>
          <w:i/>
          <w:iCs/>
        </w:rPr>
        <w:t>Streptomyces</w:t>
      </w:r>
      <w:r w:rsidRPr="00E767AB">
        <w:rPr>
          <w:rStyle w:val="Emphasis"/>
          <w:rFonts w:ascii="Arial" w:hAnsi="Arial" w:cs="Arial"/>
          <w:i w:val="0"/>
        </w:rPr>
        <w:t xml:space="preserve"> species are renowned for their capacity to biosynthesize specialized metabolites, notably antibiotics, which hold substantial potential for diverse biotechnological applications</w:t>
      </w:r>
      <w:r w:rsidRPr="00E767AB">
        <w:rPr>
          <w:rFonts w:ascii="Arial" w:hAnsi="Arial" w:cs="Arial"/>
          <w:i/>
        </w:rPr>
        <w:t xml:space="preserve"> </w:t>
      </w:r>
      <w:r w:rsidRPr="00E767AB">
        <w:rPr>
          <w:rFonts w:ascii="Arial" w:hAnsi="Arial" w:cs="Arial"/>
        </w:rPr>
        <w:t>(Alam et al. 2022).</w:t>
      </w:r>
      <w:r w:rsidRPr="00E767AB">
        <w:rPr>
          <w:rFonts w:ascii="Arial" w:hAnsi="Arial" w:cs="Arial"/>
          <w:i/>
        </w:rPr>
        <w:t xml:space="preserve"> </w:t>
      </w:r>
      <w:r w:rsidRPr="00E767AB">
        <w:rPr>
          <w:rStyle w:val="Emphasis"/>
          <w:rFonts w:ascii="Arial" w:hAnsi="Arial" w:cs="Arial"/>
          <w:i w:val="0"/>
        </w:rPr>
        <w:t xml:space="preserve">The presence of </w:t>
      </w:r>
      <w:r w:rsidRPr="00E767AB">
        <w:rPr>
          <w:rStyle w:val="Strong"/>
          <w:rFonts w:ascii="Arial" w:hAnsi="Arial" w:cs="Arial"/>
          <w:b w:val="0"/>
          <w:i/>
          <w:iCs/>
        </w:rPr>
        <w:t xml:space="preserve">Actinomyces </w:t>
      </w:r>
      <w:proofErr w:type="spellStart"/>
      <w:r w:rsidRPr="00E767AB">
        <w:rPr>
          <w:rStyle w:val="Strong"/>
          <w:rFonts w:ascii="Arial" w:hAnsi="Arial" w:cs="Arial"/>
          <w:b w:val="0"/>
          <w:i/>
          <w:iCs/>
        </w:rPr>
        <w:t>miyeri</w:t>
      </w:r>
      <w:proofErr w:type="spellEnd"/>
      <w:r w:rsidRPr="00E767AB">
        <w:rPr>
          <w:rStyle w:val="Emphasis"/>
          <w:rFonts w:ascii="Arial" w:hAnsi="Arial" w:cs="Arial"/>
          <w:i w:val="0"/>
        </w:rPr>
        <w:t>, a species recognized for its contribution to soil health and the decomposition of organic matter, underscores the extensive microbial diversity characterizing soils influenced by agrochemical inputs</w:t>
      </w:r>
      <w:r w:rsidRPr="00E767AB">
        <w:rPr>
          <w:rFonts w:ascii="Arial" w:hAnsi="Arial" w:cs="Arial"/>
        </w:rPr>
        <w:t xml:space="preserve"> (</w:t>
      </w:r>
      <w:proofErr w:type="spellStart"/>
      <w:r w:rsidRPr="00E767AB">
        <w:rPr>
          <w:rFonts w:ascii="Arial" w:hAnsi="Arial" w:cs="Arial"/>
        </w:rPr>
        <w:t>Ataikiru</w:t>
      </w:r>
      <w:proofErr w:type="spellEnd"/>
      <w:r w:rsidRPr="00E767AB">
        <w:rPr>
          <w:rFonts w:ascii="Arial" w:hAnsi="Arial" w:cs="Arial"/>
        </w:rPr>
        <w:t xml:space="preserve"> et al.</w:t>
      </w:r>
      <w:r w:rsidR="005B468B">
        <w:rPr>
          <w:rFonts w:ascii="Arial" w:hAnsi="Arial" w:cs="Arial"/>
        </w:rPr>
        <w:t>,</w:t>
      </w:r>
      <w:r w:rsidRPr="00E767AB">
        <w:rPr>
          <w:rFonts w:ascii="Arial" w:hAnsi="Arial" w:cs="Arial"/>
        </w:rPr>
        <w:t xml:space="preserve"> 2020). The identification results align with those of Gitari et al. (2023), who characterized bacteria from tropical soils and highlighted their substantial contribution to microbial diversity, including a pronounced representation of Actinomycetes and other Gram</w:t>
      </w:r>
      <w:r w:rsidRPr="00E767AB">
        <w:rPr>
          <w:rFonts w:ascii="Arial" w:hAnsi="Arial" w:cs="Arial"/>
        </w:rPr>
        <w:noBreakHyphen/>
        <w:t>positive groups in agrochemical</w:t>
      </w:r>
      <w:r w:rsidRPr="00E767AB">
        <w:rPr>
          <w:rFonts w:ascii="Arial" w:hAnsi="Arial" w:cs="Arial"/>
        </w:rPr>
        <w:noBreakHyphen/>
        <w:t xml:space="preserve">impacted environment. Actinomycetes taxa, comprising </w:t>
      </w:r>
      <w:r w:rsidRPr="00E767AB">
        <w:rPr>
          <w:rStyle w:val="Emphasis"/>
          <w:rFonts w:ascii="Arial" w:hAnsi="Arial" w:cs="Arial"/>
        </w:rPr>
        <w:t>Streptomyces</w:t>
      </w:r>
      <w:r w:rsidRPr="00E767AB">
        <w:rPr>
          <w:rFonts w:ascii="Arial" w:hAnsi="Arial" w:cs="Arial"/>
        </w:rPr>
        <w:t xml:space="preserve"> and </w:t>
      </w:r>
      <w:proofErr w:type="spellStart"/>
      <w:r w:rsidRPr="00E767AB">
        <w:rPr>
          <w:rStyle w:val="Emphasis"/>
          <w:rFonts w:ascii="Arial" w:hAnsi="Arial" w:cs="Arial"/>
        </w:rPr>
        <w:t>Micromonospora</w:t>
      </w:r>
      <w:proofErr w:type="spellEnd"/>
      <w:r w:rsidRPr="00E767AB">
        <w:rPr>
          <w:rFonts w:ascii="Arial" w:hAnsi="Arial" w:cs="Arial"/>
        </w:rPr>
        <w:t>, were reliably isolated across various agrochemical farm soils, indicating their flexibility as well as biodegradation capabilities. Their resilience proposes a biological function in pesticide degradation in addition to soil reclamation, reliable with results of actinomycete</w:t>
      </w:r>
      <w:r w:rsidRPr="00E767AB">
        <w:rPr>
          <w:rFonts w:ascii="Arial" w:hAnsi="Arial" w:cs="Arial"/>
        </w:rPr>
        <w:noBreakHyphen/>
        <w:t>facilitated decontamination in polluted soils (Jeon et al., 2024).</w:t>
      </w:r>
    </w:p>
    <w:p w14:paraId="741A5F65" w14:textId="21E80A94" w:rsidR="00E767AB" w:rsidRDefault="00E767AB" w:rsidP="00E4400A">
      <w:pPr>
        <w:pStyle w:val="Head1"/>
        <w:spacing w:after="0" w:line="360" w:lineRule="auto"/>
        <w:jc w:val="both"/>
        <w:rPr>
          <w:rFonts w:ascii="Arial" w:hAnsi="Arial" w:cs="Arial"/>
          <w:b w:val="0"/>
          <w:sz w:val="20"/>
        </w:rPr>
      </w:pPr>
      <w:r w:rsidRPr="00E767AB">
        <w:rPr>
          <w:rFonts w:ascii="Arial" w:hAnsi="Arial" w:cs="Arial"/>
          <w:b w:val="0"/>
          <w:caps w:val="0"/>
          <w:sz w:val="20"/>
        </w:rPr>
        <w:t>Generally, pesticide pollution inhibited</w:t>
      </w:r>
      <w:r w:rsidRPr="00E767AB">
        <w:rPr>
          <w:rFonts w:ascii="Arial" w:hAnsi="Arial" w:cs="Arial"/>
          <w:b w:val="0"/>
          <w:sz w:val="20"/>
        </w:rPr>
        <w:t xml:space="preserve"> </w:t>
      </w:r>
      <w:r w:rsidRPr="00E767AB">
        <w:rPr>
          <w:rFonts w:ascii="Arial" w:hAnsi="Arial" w:cs="Arial"/>
          <w:b w:val="0"/>
          <w:caps w:val="0"/>
          <w:sz w:val="20"/>
        </w:rPr>
        <w:t>advantageous heterotrophs while elevating pathogenic as well as resistant populations. These discoveries</w:t>
      </w:r>
      <w:r w:rsidRPr="00E767AB">
        <w:rPr>
          <w:rFonts w:ascii="Arial" w:hAnsi="Arial" w:cs="Arial"/>
          <w:b w:val="0"/>
          <w:sz w:val="20"/>
        </w:rPr>
        <w:t xml:space="preserve"> </w:t>
      </w:r>
      <w:r w:rsidRPr="00E767AB">
        <w:rPr>
          <w:rFonts w:ascii="Arial" w:hAnsi="Arial" w:cs="Arial"/>
          <w:b w:val="0"/>
          <w:caps w:val="0"/>
          <w:sz w:val="20"/>
        </w:rPr>
        <w:t>underline ecological perils like decreased soil productivity</w:t>
      </w:r>
      <w:r w:rsidRPr="00E767AB">
        <w:rPr>
          <w:rFonts w:ascii="Arial" w:hAnsi="Arial" w:cs="Arial"/>
          <w:b w:val="0"/>
          <w:sz w:val="20"/>
        </w:rPr>
        <w:t xml:space="preserve"> </w:t>
      </w:r>
      <w:r w:rsidRPr="00E767AB">
        <w:rPr>
          <w:rFonts w:ascii="Arial" w:hAnsi="Arial" w:cs="Arial"/>
          <w:b w:val="0"/>
          <w:caps w:val="0"/>
          <w:sz w:val="20"/>
        </w:rPr>
        <w:t>besides</w:t>
      </w:r>
      <w:r w:rsidRPr="00E767AB">
        <w:rPr>
          <w:rFonts w:ascii="Arial" w:hAnsi="Arial" w:cs="Arial"/>
          <w:b w:val="0"/>
          <w:sz w:val="20"/>
        </w:rPr>
        <w:t xml:space="preserve"> </w:t>
      </w:r>
      <w:r w:rsidRPr="00E767AB">
        <w:rPr>
          <w:rFonts w:ascii="Arial" w:hAnsi="Arial" w:cs="Arial"/>
          <w:b w:val="0"/>
          <w:caps w:val="0"/>
          <w:sz w:val="20"/>
        </w:rPr>
        <w:t>intensified public health threats, however</w:t>
      </w:r>
      <w:r w:rsidRPr="00E767AB">
        <w:rPr>
          <w:rFonts w:ascii="Arial" w:hAnsi="Arial" w:cs="Arial"/>
          <w:b w:val="0"/>
          <w:sz w:val="20"/>
        </w:rPr>
        <w:t xml:space="preserve"> </w:t>
      </w:r>
      <w:r w:rsidRPr="00E767AB">
        <w:rPr>
          <w:rFonts w:ascii="Arial" w:hAnsi="Arial" w:cs="Arial"/>
          <w:b w:val="0"/>
          <w:caps w:val="0"/>
          <w:sz w:val="20"/>
        </w:rPr>
        <w:t>emphasizing the significance of viable pesticide control and bioremediation schemes in tropical farming systems (</w:t>
      </w:r>
      <w:proofErr w:type="spellStart"/>
      <w:r w:rsidRPr="00E767AB">
        <w:rPr>
          <w:rFonts w:ascii="Arial" w:hAnsi="Arial" w:cs="Arial"/>
          <w:b w:val="0"/>
          <w:caps w:val="0"/>
          <w:sz w:val="20"/>
        </w:rPr>
        <w:t>Dhuldhaj</w:t>
      </w:r>
      <w:proofErr w:type="spellEnd"/>
      <w:r w:rsidRPr="00E767AB">
        <w:rPr>
          <w:rFonts w:ascii="Arial" w:hAnsi="Arial" w:cs="Arial"/>
          <w:b w:val="0"/>
          <w:caps w:val="0"/>
          <w:sz w:val="20"/>
        </w:rPr>
        <w:t xml:space="preserve"> et al., 2023; Patel et al., 2023</w:t>
      </w:r>
      <w:r w:rsidRPr="00E767AB">
        <w:rPr>
          <w:rFonts w:ascii="Arial" w:hAnsi="Arial" w:cs="Arial"/>
          <w:b w:val="0"/>
          <w:sz w:val="20"/>
        </w:rPr>
        <w:t>).</w:t>
      </w:r>
    </w:p>
    <w:p w14:paraId="5DEAA209" w14:textId="0D571E0C" w:rsidR="002E1C6A" w:rsidRPr="002E1C6A" w:rsidRDefault="002E1C6A" w:rsidP="002E1C6A">
      <w:pPr>
        <w:pStyle w:val="Head1"/>
        <w:spacing w:after="0" w:line="360" w:lineRule="auto"/>
        <w:jc w:val="both"/>
        <w:rPr>
          <w:rFonts w:ascii="Arial" w:hAnsi="Arial" w:cs="Arial"/>
          <w:b w:val="0"/>
          <w:sz w:val="20"/>
        </w:rPr>
      </w:pPr>
    </w:p>
    <w:p w14:paraId="362A67F3" w14:textId="77777777" w:rsidR="002E1C6A" w:rsidRPr="002E1C6A" w:rsidRDefault="002E1C6A" w:rsidP="002E1C6A">
      <w:pPr>
        <w:spacing w:line="360" w:lineRule="auto"/>
        <w:jc w:val="both"/>
        <w:rPr>
          <w:rFonts w:ascii="Arial" w:hAnsi="Arial" w:cs="Arial"/>
        </w:rPr>
      </w:pPr>
      <w:r w:rsidRPr="00A12964">
        <w:rPr>
          <w:rFonts w:ascii="Arial" w:hAnsi="Arial" w:cs="Arial"/>
          <w:highlight w:val="yellow"/>
        </w:rPr>
        <w:t xml:space="preserve">This study offers important insight into how pesticide use affects soil fertility and bacterial diversity in pepper farms across </w:t>
      </w:r>
      <w:proofErr w:type="spellStart"/>
      <w:r w:rsidRPr="00A12964">
        <w:rPr>
          <w:rFonts w:ascii="Arial" w:hAnsi="Arial" w:cs="Arial"/>
          <w:highlight w:val="yellow"/>
        </w:rPr>
        <w:t>Ogume</w:t>
      </w:r>
      <w:proofErr w:type="spellEnd"/>
      <w:r w:rsidRPr="00A12964">
        <w:rPr>
          <w:rFonts w:ascii="Arial" w:hAnsi="Arial" w:cs="Arial"/>
          <w:highlight w:val="yellow"/>
        </w:rPr>
        <w:t>, Delta State, yet it is not without limitations. Because the research was carried out on a small number of farms, the findings may not fully capture conditions in other regions with different environments and farming practices. Samples were collected during a single period, which means seasonal changes that could influence soil properties and microbial populations were not considered. The identification of microorganisms relied mainly on culture</w:t>
      </w:r>
      <w:r w:rsidRPr="00A12964">
        <w:rPr>
          <w:rFonts w:ascii="Arial" w:hAnsi="Arial" w:cs="Arial"/>
          <w:highlight w:val="yellow"/>
        </w:rPr>
        <w:noBreakHyphen/>
        <w:t>based and biochemical methods, so some naturally occurring species may have been overlooked. In addition, the analysis focused on selected physicochemical properties and bacterial diversity, leaving out other soil quality indicators and advanced molecular techniques. Even so, the study remains valuable, providing a strong foundation for understanding pesticide impacts on soil health and microbial composition, while pointing toward richer avenues for future research.</w:t>
      </w:r>
    </w:p>
    <w:p w14:paraId="32CA9449" w14:textId="7AD7E2BD" w:rsidR="00445DD9" w:rsidRDefault="00445DD9" w:rsidP="00445DD9">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20A79242" w14:textId="2C0F59D4" w:rsidR="00445DD9" w:rsidRDefault="00E4400A" w:rsidP="00E4400A">
      <w:pPr>
        <w:spacing w:before="100" w:beforeAutospacing="1" w:after="100" w:afterAutospacing="1" w:line="360" w:lineRule="auto"/>
        <w:jc w:val="both"/>
        <w:rPr>
          <w:rFonts w:ascii="Arial" w:hAnsi="Arial" w:cs="Arial"/>
        </w:rPr>
      </w:pPr>
      <w:r w:rsidRPr="00E4400A">
        <w:rPr>
          <w:rFonts w:ascii="Arial" w:hAnsi="Arial" w:cs="Arial"/>
          <w:color w:val="0F1115"/>
          <w:shd w:val="clear" w:color="auto" w:fill="FFFFFF"/>
        </w:rPr>
        <w:t xml:space="preserve">Extensive pesticide use in </w:t>
      </w:r>
      <w:proofErr w:type="spellStart"/>
      <w:r w:rsidRPr="00E4400A">
        <w:rPr>
          <w:rFonts w:ascii="Arial" w:hAnsi="Arial" w:cs="Arial"/>
          <w:color w:val="0F1115"/>
          <w:shd w:val="clear" w:color="auto" w:fill="FFFFFF"/>
        </w:rPr>
        <w:t>Ogume</w:t>
      </w:r>
      <w:proofErr w:type="spellEnd"/>
      <w:r w:rsidRPr="00E4400A">
        <w:rPr>
          <w:rFonts w:ascii="Arial" w:hAnsi="Arial" w:cs="Arial"/>
          <w:color w:val="0F1115"/>
          <w:shd w:val="clear" w:color="auto" w:fill="FFFFFF"/>
        </w:rPr>
        <w:t xml:space="preserve"> pepper farms significantly degrades soil health, manifesting as elevated salinity, altered nutrient profiles, and disrupted organic matter cycling. These adverse physicochemical changes directly impair microbial diversity and essential ecosystem functions. The findings underscore an urgent need for adopting integrated pest management and sustainable soil practices to ensure long-term agricultural productivity in the region. </w:t>
      </w:r>
      <w:r w:rsidRPr="00E4400A">
        <w:rPr>
          <w:rFonts w:ascii="Arial" w:hAnsi="Arial" w:cs="Arial"/>
        </w:rPr>
        <w:t>Microbial profiling of tropical agrochemical</w:t>
      </w:r>
      <w:r w:rsidRPr="00E4400A">
        <w:rPr>
          <w:rFonts w:ascii="Arial" w:hAnsi="Arial" w:cs="Arial"/>
        </w:rPr>
        <w:noBreakHyphen/>
        <w:t>polluted soils revealed noticeable shifts in community structure, with heterotrophic and selective bacterial groups suppressed under pesticide stress, while actinomycetes demonstrated enrichment, suggesting adaptive resilience. Pathogenic taxa (</w:t>
      </w:r>
      <w:r w:rsidRPr="00E4400A">
        <w:rPr>
          <w:rStyle w:val="Emphasis"/>
          <w:rFonts w:ascii="Arial" w:hAnsi="Arial" w:cs="Arial"/>
        </w:rPr>
        <w:t>Salmonella</w:t>
      </w:r>
      <w:r w:rsidRPr="00E4400A">
        <w:rPr>
          <w:rFonts w:ascii="Arial" w:hAnsi="Arial" w:cs="Arial"/>
        </w:rPr>
        <w:t xml:space="preserve">, </w:t>
      </w:r>
      <w:r w:rsidRPr="00E4400A">
        <w:rPr>
          <w:rStyle w:val="Emphasis"/>
          <w:rFonts w:ascii="Arial" w:hAnsi="Arial" w:cs="Arial"/>
        </w:rPr>
        <w:t>Shigella</w:t>
      </w:r>
      <w:r w:rsidRPr="00E4400A">
        <w:rPr>
          <w:rFonts w:ascii="Arial" w:hAnsi="Arial" w:cs="Arial"/>
        </w:rPr>
        <w:t xml:space="preserve">, </w:t>
      </w:r>
      <w:r w:rsidRPr="00E4400A">
        <w:rPr>
          <w:rStyle w:val="Emphasis"/>
          <w:rFonts w:ascii="Arial" w:hAnsi="Arial" w:cs="Arial"/>
        </w:rPr>
        <w:t>Klebsiella</w:t>
      </w:r>
      <w:r w:rsidRPr="00E4400A">
        <w:rPr>
          <w:rFonts w:ascii="Arial" w:hAnsi="Arial" w:cs="Arial"/>
        </w:rPr>
        <w:t xml:space="preserve">, and </w:t>
      </w:r>
      <w:r w:rsidRPr="00E4400A">
        <w:rPr>
          <w:rStyle w:val="Emphasis"/>
          <w:rFonts w:ascii="Arial" w:hAnsi="Arial" w:cs="Arial"/>
        </w:rPr>
        <w:t>Staphylococcus</w:t>
      </w:r>
      <w:r w:rsidRPr="00E4400A">
        <w:rPr>
          <w:rFonts w:ascii="Arial" w:hAnsi="Arial" w:cs="Arial"/>
        </w:rPr>
        <w:t>) were consistently isolated, accentuating public health risks and potential antimicrobial resistance. Coliforms and phosphate</w:t>
      </w:r>
      <w:r w:rsidRPr="00E4400A">
        <w:rPr>
          <w:rFonts w:ascii="Arial" w:hAnsi="Arial" w:cs="Arial"/>
        </w:rPr>
        <w:noBreakHyphen/>
        <w:t>solubilizers remained comparatively stable, indicating selective tolerance. The occurrence of stress</w:t>
      </w:r>
      <w:r w:rsidRPr="00E4400A">
        <w:rPr>
          <w:rFonts w:ascii="Arial" w:hAnsi="Arial" w:cs="Arial"/>
        </w:rPr>
        <w:noBreakHyphen/>
        <w:t>resistant actinomycetes highlights their bioremediation potential in pesticide</w:t>
      </w:r>
      <w:r w:rsidRPr="00E4400A">
        <w:rPr>
          <w:rFonts w:ascii="Arial" w:hAnsi="Arial" w:cs="Arial"/>
        </w:rPr>
        <w:noBreakHyphen/>
        <w:t>impacted environments. In conclusion, these outcomes underscore pesticide</w:t>
      </w:r>
      <w:r w:rsidRPr="00E4400A">
        <w:rPr>
          <w:rFonts w:ascii="Arial" w:hAnsi="Arial" w:cs="Arial"/>
        </w:rPr>
        <w:noBreakHyphen/>
        <w:t>driven ecological imbalance, decreased nutrient cycling, as well as intensified food safety concerns, however, emphasizing the pressing need for sustainable pesticide management and microbial</w:t>
      </w:r>
      <w:r w:rsidRPr="00E4400A">
        <w:rPr>
          <w:rFonts w:ascii="Arial" w:hAnsi="Arial" w:cs="Arial"/>
        </w:rPr>
        <w:noBreakHyphen/>
        <w:t>based recovery strategies.</w:t>
      </w:r>
    </w:p>
    <w:p w14:paraId="7FF16E68" w14:textId="77777777" w:rsidR="00144497" w:rsidRPr="00144497" w:rsidRDefault="00144497" w:rsidP="00144497">
      <w:pPr>
        <w:rPr>
          <w:rFonts w:ascii="Times New Roman" w:eastAsia="Calibri" w:hAnsi="Times New Roman"/>
          <w:kern w:val="2"/>
          <w:sz w:val="22"/>
          <w:szCs w:val="22"/>
          <w:highlight w:val="yellow"/>
        </w:rPr>
      </w:pPr>
      <w:bookmarkStart w:id="1" w:name="_Hlk198031404"/>
      <w:r w:rsidRPr="00144497">
        <w:rPr>
          <w:rFonts w:ascii="Times New Roman" w:eastAsia="Calibri" w:hAnsi="Times New Roman"/>
          <w:kern w:val="2"/>
          <w:sz w:val="22"/>
          <w:szCs w:val="22"/>
          <w:highlight w:val="yellow"/>
        </w:rPr>
        <w:t>Disclaimer (Artificial intelligence)</w:t>
      </w:r>
    </w:p>
    <w:p w14:paraId="6C258CCE" w14:textId="77777777" w:rsidR="00144497" w:rsidRPr="00144497" w:rsidRDefault="00144497" w:rsidP="00144497">
      <w:pPr>
        <w:rPr>
          <w:rFonts w:ascii="Times New Roman" w:eastAsia="Calibri" w:hAnsi="Times New Roman"/>
          <w:kern w:val="2"/>
          <w:sz w:val="22"/>
          <w:szCs w:val="22"/>
          <w:highlight w:val="yellow"/>
        </w:rPr>
      </w:pPr>
    </w:p>
    <w:p w14:paraId="63F5D522" w14:textId="0B89B08F" w:rsidR="00144497" w:rsidRPr="00A12964" w:rsidRDefault="00144497" w:rsidP="00A12964">
      <w:pPr>
        <w:rPr>
          <w:rFonts w:ascii="Times New Roman" w:eastAsia="Calibri" w:hAnsi="Times New Roman"/>
          <w:kern w:val="2"/>
          <w:sz w:val="22"/>
          <w:szCs w:val="22"/>
          <w:highlight w:val="yellow"/>
        </w:rPr>
      </w:pPr>
      <w:r w:rsidRPr="00144497">
        <w:rPr>
          <w:rFonts w:ascii="Times New Roman" w:eastAsia="Calibri" w:hAnsi="Times New Roman"/>
          <w:kern w:val="2"/>
          <w:sz w:val="22"/>
          <w:szCs w:val="22"/>
          <w:highlight w:val="yellow"/>
        </w:rPr>
        <w:t>Author(s) hereby declare that NO generative AI technologies such as Large Language Models (</w:t>
      </w:r>
      <w:proofErr w:type="spellStart"/>
      <w:r w:rsidRPr="00144497">
        <w:rPr>
          <w:rFonts w:ascii="Times New Roman" w:eastAsia="Calibri" w:hAnsi="Times New Roman"/>
          <w:kern w:val="2"/>
          <w:sz w:val="22"/>
          <w:szCs w:val="22"/>
          <w:highlight w:val="yellow"/>
        </w:rPr>
        <w:t>ChatGPT</w:t>
      </w:r>
      <w:proofErr w:type="spellEnd"/>
      <w:r w:rsidRPr="00144497">
        <w:rPr>
          <w:rFonts w:ascii="Times New Roman" w:eastAsia="Calibri" w:hAnsi="Times New Roman"/>
          <w:kern w:val="2"/>
          <w:sz w:val="22"/>
          <w:szCs w:val="22"/>
          <w:highlight w:val="yellow"/>
        </w:rPr>
        <w:t xml:space="preserve">, COPILOT, etc.) and text-to-image generators have been used during the writing or editing of this manuscript. </w:t>
      </w:r>
      <w:bookmarkEnd w:id="1"/>
    </w:p>
    <w:p w14:paraId="32556A36" w14:textId="77777777" w:rsidR="00445DD9" w:rsidRDefault="00445DD9" w:rsidP="00445DD9">
      <w:pPr>
        <w:pStyle w:val="ReferHead"/>
        <w:spacing w:after="0"/>
        <w:jc w:val="both"/>
        <w:rPr>
          <w:rFonts w:ascii="Arial" w:hAnsi="Arial" w:cs="Arial"/>
        </w:rPr>
      </w:pPr>
    </w:p>
    <w:p w14:paraId="21FE0C58" w14:textId="499D639A" w:rsidR="000901E5" w:rsidRDefault="00445DD9" w:rsidP="006E6E9E">
      <w:pPr>
        <w:pStyle w:val="ReferHead"/>
        <w:spacing w:after="0"/>
        <w:jc w:val="both"/>
        <w:rPr>
          <w:rFonts w:ascii="Arial" w:hAnsi="Arial" w:cs="Arial"/>
        </w:rPr>
      </w:pPr>
      <w:r w:rsidRPr="00FB3A86">
        <w:rPr>
          <w:rFonts w:ascii="Arial" w:hAnsi="Arial" w:cs="Arial"/>
        </w:rPr>
        <w:t>References</w:t>
      </w:r>
    </w:p>
    <w:p w14:paraId="3602D9FF" w14:textId="77777777" w:rsidR="006E6E9E" w:rsidRPr="006E6E9E" w:rsidRDefault="006E6E9E" w:rsidP="006E6E9E">
      <w:pPr>
        <w:pStyle w:val="ReferHead"/>
        <w:spacing w:after="0"/>
        <w:jc w:val="both"/>
        <w:rPr>
          <w:rFonts w:ascii="Arial" w:hAnsi="Arial" w:cs="Arial"/>
        </w:rPr>
      </w:pPr>
    </w:p>
    <w:p w14:paraId="2A2C485D" w14:textId="77777777" w:rsidR="000901E5" w:rsidRDefault="000901E5" w:rsidP="000901E5">
      <w:pPr>
        <w:ind w:left="567" w:hanging="567"/>
        <w:jc w:val="both"/>
      </w:pPr>
      <w:r w:rsidRPr="00931976">
        <w:t xml:space="preserve">Abbasi, N. M. (2025). Organic Farming and Soil Health: Strategies for Long Term Agricultural Sustainability. </w:t>
      </w:r>
      <w:r w:rsidRPr="00931976">
        <w:rPr>
          <w:i/>
          <w:iCs/>
        </w:rPr>
        <w:t>Agricultural Innovation and Sustain Ability Journal E-ISSN 3051-0325</w:t>
      </w:r>
      <w:r w:rsidRPr="00931976">
        <w:t xml:space="preserve">, </w:t>
      </w:r>
      <w:r w:rsidRPr="00931976">
        <w:rPr>
          <w:i/>
          <w:iCs/>
        </w:rPr>
        <w:t>1</w:t>
      </w:r>
      <w:r w:rsidRPr="00931976">
        <w:t>(01), 25-32.</w:t>
      </w:r>
    </w:p>
    <w:p w14:paraId="7FE0DAB1"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Adeboye, A. O., Oladipo, O. G., &amp; Akinyele, B. J. (2022). Impact of agrochemicals on soil physicochemical properties and microbial diversity in tropical soils. </w:t>
      </w:r>
      <w:r w:rsidRPr="00426CE8">
        <w:rPr>
          <w:rFonts w:ascii="Arial" w:hAnsi="Arial" w:cs="Arial"/>
          <w:i/>
          <w:iCs/>
        </w:rPr>
        <w:t>Environmental Monitoring and Assessment</w:t>
      </w:r>
      <w:r w:rsidRPr="00426CE8">
        <w:rPr>
          <w:rFonts w:ascii="Arial" w:hAnsi="Arial" w:cs="Arial"/>
        </w:rPr>
        <w:t>, 194(5), 1–15.</w:t>
      </w:r>
    </w:p>
    <w:p w14:paraId="7032C05E" w14:textId="77777777" w:rsidR="000901E5" w:rsidRPr="002226B4" w:rsidRDefault="000901E5" w:rsidP="000901E5">
      <w:pPr>
        <w:pStyle w:val="Body"/>
        <w:spacing w:after="0"/>
        <w:ind w:left="567" w:hanging="567"/>
        <w:rPr>
          <w:rFonts w:ascii="Arial" w:hAnsi="Arial" w:cs="Arial"/>
        </w:rPr>
      </w:pPr>
      <w:r w:rsidRPr="002226B4">
        <w:rPr>
          <w:rFonts w:ascii="Arial" w:hAnsi="Arial" w:cs="Arial"/>
        </w:rPr>
        <w:t xml:space="preserve">Agwu, A. E., Ekwueme, J. N., &amp; Anyanwu, A. C. (2018). Adoption of improved agricultural technologies among farmers in Delta State, Nigeria. </w:t>
      </w:r>
      <w:r w:rsidRPr="002226B4">
        <w:rPr>
          <w:rFonts w:ascii="Arial" w:hAnsi="Arial" w:cs="Arial"/>
          <w:i/>
          <w:iCs/>
        </w:rPr>
        <w:t>Journal of Agricultural Extension</w:t>
      </w:r>
      <w:r w:rsidRPr="002226B4">
        <w:rPr>
          <w:rFonts w:ascii="Arial" w:hAnsi="Arial" w:cs="Arial"/>
        </w:rPr>
        <w:t>, 22(1), 45–58.</w:t>
      </w:r>
    </w:p>
    <w:p w14:paraId="660AD0F4" w14:textId="77777777" w:rsidR="000901E5" w:rsidRPr="002226B4" w:rsidRDefault="000901E5" w:rsidP="000901E5">
      <w:pPr>
        <w:pStyle w:val="Body"/>
        <w:spacing w:after="0"/>
        <w:ind w:left="567" w:hanging="567"/>
        <w:rPr>
          <w:rFonts w:ascii="Arial" w:hAnsi="Arial" w:cs="Arial"/>
        </w:rPr>
      </w:pPr>
      <w:proofErr w:type="spellStart"/>
      <w:r w:rsidRPr="002226B4">
        <w:rPr>
          <w:rFonts w:ascii="Arial" w:hAnsi="Arial" w:cs="Arial"/>
        </w:rPr>
        <w:t>Ajuzieogu</w:t>
      </w:r>
      <w:proofErr w:type="spellEnd"/>
      <w:r w:rsidRPr="002226B4">
        <w:rPr>
          <w:rFonts w:ascii="Arial" w:hAnsi="Arial" w:cs="Arial"/>
        </w:rPr>
        <w:t xml:space="preserve">, C. A., Nwankwo, U.G., &amp; </w:t>
      </w:r>
      <w:proofErr w:type="spellStart"/>
      <w:r w:rsidRPr="002226B4">
        <w:rPr>
          <w:rFonts w:ascii="Arial" w:hAnsi="Arial" w:cs="Arial"/>
        </w:rPr>
        <w:t>Ikedianya</w:t>
      </w:r>
      <w:proofErr w:type="spellEnd"/>
      <w:r w:rsidRPr="002226B4">
        <w:rPr>
          <w:rFonts w:ascii="Arial" w:hAnsi="Arial" w:cs="Arial"/>
        </w:rPr>
        <w:t xml:space="preserve">, N. (2024). Impact of Bat Guano Fertilizer on Soil Bacteria Community Structure and Antibiogram of Associated Bacteria: An Alert to Food Insecurity. </w:t>
      </w:r>
      <w:r w:rsidRPr="002226B4">
        <w:rPr>
          <w:rFonts w:ascii="Arial" w:hAnsi="Arial" w:cs="Arial"/>
          <w:i/>
        </w:rPr>
        <w:t>Asian Journal of Research in Biosciences</w:t>
      </w:r>
      <w:r w:rsidRPr="002226B4">
        <w:rPr>
          <w:rFonts w:ascii="Arial" w:hAnsi="Arial" w:cs="Arial"/>
        </w:rPr>
        <w:t>, 6(2), 157-171.</w:t>
      </w:r>
    </w:p>
    <w:p w14:paraId="47FF15C1" w14:textId="77777777" w:rsidR="000901E5" w:rsidRPr="002226B4" w:rsidRDefault="000901E5" w:rsidP="000901E5">
      <w:pPr>
        <w:pStyle w:val="Body"/>
        <w:spacing w:after="0"/>
        <w:ind w:left="567" w:hanging="567"/>
        <w:rPr>
          <w:rFonts w:ascii="Arial" w:hAnsi="Arial" w:cs="Arial"/>
        </w:rPr>
      </w:pPr>
      <w:proofErr w:type="spellStart"/>
      <w:r w:rsidRPr="002226B4">
        <w:rPr>
          <w:rFonts w:ascii="Arial" w:hAnsi="Arial" w:cs="Arial"/>
        </w:rPr>
        <w:t>Ajuzieogu</w:t>
      </w:r>
      <w:proofErr w:type="spellEnd"/>
      <w:r w:rsidRPr="002226B4">
        <w:rPr>
          <w:rFonts w:ascii="Arial" w:hAnsi="Arial" w:cs="Arial"/>
        </w:rPr>
        <w:t xml:space="preserve">, C. A., </w:t>
      </w:r>
      <w:r w:rsidRPr="002226B4">
        <w:rPr>
          <w:rFonts w:ascii="Arial" w:hAnsi="Arial" w:cs="Arial"/>
          <w:lang w:val="en-GB"/>
        </w:rPr>
        <w:t>Onu</w:t>
      </w:r>
      <w:r w:rsidRPr="002226B4">
        <w:rPr>
          <w:rFonts w:ascii="Arial" w:hAnsi="Arial" w:cs="Arial"/>
        </w:rPr>
        <w:t xml:space="preserve">, </w:t>
      </w:r>
      <w:r w:rsidRPr="002226B4">
        <w:rPr>
          <w:rFonts w:ascii="Arial" w:hAnsi="Arial" w:cs="Arial"/>
          <w:lang w:val="en-GB"/>
        </w:rPr>
        <w:t>G. O</w:t>
      </w:r>
      <w:r w:rsidRPr="002226B4">
        <w:rPr>
          <w:rFonts w:ascii="Arial" w:hAnsi="Arial" w:cs="Arial"/>
        </w:rPr>
        <w:t xml:space="preserve">., &amp; </w:t>
      </w:r>
      <w:r w:rsidRPr="002226B4">
        <w:rPr>
          <w:rFonts w:ascii="Arial" w:hAnsi="Arial" w:cs="Arial"/>
          <w:lang w:val="en-GB"/>
        </w:rPr>
        <w:t>Onyekachi</w:t>
      </w:r>
      <w:r w:rsidRPr="002226B4">
        <w:rPr>
          <w:rFonts w:ascii="Arial" w:hAnsi="Arial" w:cs="Arial"/>
        </w:rPr>
        <w:t xml:space="preserve">, </w:t>
      </w:r>
      <w:r w:rsidRPr="002226B4">
        <w:rPr>
          <w:rFonts w:ascii="Arial" w:hAnsi="Arial" w:cs="Arial"/>
          <w:lang w:val="en-GB"/>
        </w:rPr>
        <w:t>E. O</w:t>
      </w:r>
      <w:r w:rsidRPr="002226B4">
        <w:rPr>
          <w:rFonts w:ascii="Arial" w:hAnsi="Arial" w:cs="Arial"/>
        </w:rPr>
        <w:t xml:space="preserve">. (2025). Diversity, abundance, and enzyme activity of Actinomycetes recovered from tropical freshwater sediment for potential biotechnological applications. </w:t>
      </w:r>
      <w:r w:rsidRPr="002226B4">
        <w:rPr>
          <w:rFonts w:ascii="Arial" w:hAnsi="Arial" w:cs="Arial"/>
          <w:i/>
        </w:rPr>
        <w:t>Asian Journal of Tropical Biotechnology</w:t>
      </w:r>
      <w:r w:rsidRPr="002226B4">
        <w:rPr>
          <w:rFonts w:ascii="Arial" w:hAnsi="Arial" w:cs="Arial"/>
        </w:rPr>
        <w:t>, 22(1), 23-29.</w:t>
      </w:r>
    </w:p>
    <w:p w14:paraId="1FF2634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lastRenderedPageBreak/>
        <w:t xml:space="preserve">Alam, M. Z., Ahmed, S., &amp; Rahman, M. M. (2022). Antibiotic production potential of </w:t>
      </w:r>
      <w:r w:rsidRPr="00426CE8">
        <w:rPr>
          <w:rFonts w:ascii="Arial" w:hAnsi="Arial" w:cs="Arial"/>
          <w:i/>
          <w:iCs/>
        </w:rPr>
        <w:t>Streptomyces</w:t>
      </w:r>
      <w:r w:rsidRPr="00426CE8">
        <w:rPr>
          <w:rFonts w:ascii="Arial" w:hAnsi="Arial" w:cs="Arial"/>
        </w:rPr>
        <w:t xml:space="preserve"> species isolated from soil. </w:t>
      </w:r>
      <w:r w:rsidRPr="00426CE8">
        <w:rPr>
          <w:rFonts w:ascii="Arial" w:hAnsi="Arial" w:cs="Arial"/>
          <w:i/>
          <w:iCs/>
        </w:rPr>
        <w:t>Journal of Applied Microbiology</w:t>
      </w:r>
      <w:r w:rsidRPr="00426CE8">
        <w:rPr>
          <w:rFonts w:ascii="Arial" w:hAnsi="Arial" w:cs="Arial"/>
        </w:rPr>
        <w:t>, 132(3), 1450–1462.</w:t>
      </w:r>
    </w:p>
    <w:p w14:paraId="30D796A7"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Ambaye, T. G., Mekonnen, B. A., &amp; Tadesse, H. (2024). Occurrence and public health implications of soilborne pathogens in agricultural soils. </w:t>
      </w:r>
      <w:r w:rsidRPr="00426CE8">
        <w:rPr>
          <w:rFonts w:ascii="Arial" w:hAnsi="Arial" w:cs="Arial"/>
          <w:i/>
          <w:iCs/>
        </w:rPr>
        <w:t>International Journal of Environmental Health Research</w:t>
      </w:r>
      <w:r w:rsidRPr="00426CE8">
        <w:rPr>
          <w:rFonts w:ascii="Arial" w:hAnsi="Arial" w:cs="Arial"/>
        </w:rPr>
        <w:t>, 34(2), 210–225.</w:t>
      </w:r>
    </w:p>
    <w:p w14:paraId="59BB41CF"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American Public Health Association</w:t>
      </w:r>
      <w:r>
        <w:rPr>
          <w:rFonts w:ascii="Arial" w:hAnsi="Arial" w:cs="Arial"/>
          <w:lang w:val="en-GB"/>
        </w:rPr>
        <w:t xml:space="preserve"> (APHA</w:t>
      </w:r>
      <w:r>
        <w:rPr>
          <w:rFonts w:ascii="Arial" w:hAnsi="Arial" w:cs="Arial"/>
        </w:rPr>
        <w:t>)</w:t>
      </w:r>
      <w:r w:rsidRPr="00426CE8">
        <w:rPr>
          <w:rFonts w:ascii="Arial" w:hAnsi="Arial" w:cs="Arial"/>
        </w:rPr>
        <w:t xml:space="preserve"> (1998). </w:t>
      </w:r>
      <w:r w:rsidRPr="00426CE8">
        <w:rPr>
          <w:rFonts w:ascii="Arial" w:hAnsi="Arial" w:cs="Arial"/>
          <w:i/>
          <w:iCs/>
        </w:rPr>
        <w:t>Standard methods for the examination of water and wastewater</w:t>
      </w:r>
      <w:r w:rsidRPr="00426CE8">
        <w:rPr>
          <w:rFonts w:ascii="Arial" w:hAnsi="Arial" w:cs="Arial"/>
        </w:rPr>
        <w:t xml:space="preserve"> (20th ed.). APHA.</w:t>
      </w:r>
    </w:p>
    <w:p w14:paraId="7FD8846D" w14:textId="77777777" w:rsidR="000901E5" w:rsidRDefault="000901E5" w:rsidP="000901E5">
      <w:pPr>
        <w:pStyle w:val="Body"/>
        <w:spacing w:after="0"/>
        <w:ind w:left="567" w:hanging="567"/>
        <w:rPr>
          <w:rFonts w:ascii="Arial" w:hAnsi="Arial" w:cs="Arial"/>
        </w:rPr>
      </w:pPr>
      <w:r w:rsidRPr="00426CE8">
        <w:rPr>
          <w:rFonts w:ascii="Arial" w:hAnsi="Arial" w:cs="Arial"/>
        </w:rPr>
        <w:t>AOAC (Association o</w:t>
      </w:r>
      <w:r>
        <w:rPr>
          <w:rFonts w:ascii="Arial" w:hAnsi="Arial" w:cs="Arial"/>
        </w:rPr>
        <w:t>f Official Analytical Chemists)</w:t>
      </w:r>
      <w:r w:rsidRPr="00426CE8">
        <w:rPr>
          <w:rFonts w:ascii="Arial" w:hAnsi="Arial" w:cs="Arial"/>
        </w:rPr>
        <w:t xml:space="preserve"> (2005). </w:t>
      </w:r>
      <w:r w:rsidRPr="00426CE8">
        <w:rPr>
          <w:rFonts w:ascii="Arial" w:hAnsi="Arial" w:cs="Arial"/>
          <w:i/>
          <w:iCs/>
        </w:rPr>
        <w:t>Official methods of analysis</w:t>
      </w:r>
      <w:r w:rsidRPr="00426CE8">
        <w:rPr>
          <w:rFonts w:ascii="Arial" w:hAnsi="Arial" w:cs="Arial"/>
        </w:rPr>
        <w:t xml:space="preserve"> </w:t>
      </w:r>
      <w:r>
        <w:rPr>
          <w:rFonts w:ascii="Arial" w:hAnsi="Arial" w:cs="Arial"/>
        </w:rPr>
        <w:t>(18th ed.). AOAC International.</w:t>
      </w:r>
    </w:p>
    <w:p w14:paraId="305D4ED2" w14:textId="77777777" w:rsidR="000901E5" w:rsidRPr="00E74B1D" w:rsidRDefault="000901E5" w:rsidP="000901E5">
      <w:pPr>
        <w:pStyle w:val="Body"/>
        <w:spacing w:after="0"/>
        <w:ind w:left="567" w:hanging="567"/>
        <w:rPr>
          <w:rFonts w:ascii="Arial" w:hAnsi="Arial" w:cs="Arial"/>
        </w:rPr>
      </w:pPr>
      <w:proofErr w:type="spellStart"/>
      <w:r w:rsidRPr="00E74B1D">
        <w:rPr>
          <w:rFonts w:ascii="Arial" w:hAnsi="Arial" w:cs="Arial"/>
        </w:rPr>
        <w:t>Ataikiru</w:t>
      </w:r>
      <w:proofErr w:type="spellEnd"/>
      <w:r w:rsidRPr="00E74B1D">
        <w:rPr>
          <w:rFonts w:ascii="Arial" w:hAnsi="Arial" w:cs="Arial"/>
        </w:rPr>
        <w:t xml:space="preserve">, T. L., </w:t>
      </w:r>
      <w:proofErr w:type="spellStart"/>
      <w:r w:rsidRPr="00E74B1D">
        <w:rPr>
          <w:rFonts w:ascii="Arial" w:hAnsi="Arial" w:cs="Arial"/>
        </w:rPr>
        <w:t>Okerentugba</w:t>
      </w:r>
      <w:proofErr w:type="spellEnd"/>
      <w:r w:rsidRPr="00E74B1D">
        <w:rPr>
          <w:rFonts w:ascii="Arial" w:hAnsi="Arial" w:cs="Arial"/>
        </w:rPr>
        <w:t xml:space="preserve">, P. O. and </w:t>
      </w:r>
      <w:proofErr w:type="spellStart"/>
      <w:r w:rsidRPr="00E74B1D">
        <w:rPr>
          <w:rFonts w:ascii="Arial" w:hAnsi="Arial" w:cs="Arial"/>
        </w:rPr>
        <w:t>Okpokwasili</w:t>
      </w:r>
      <w:proofErr w:type="spellEnd"/>
      <w:r w:rsidRPr="00E74B1D">
        <w:rPr>
          <w:rFonts w:ascii="Arial" w:hAnsi="Arial" w:cs="Arial"/>
        </w:rPr>
        <w:t xml:space="preserve">, G. C. (2020). </w:t>
      </w:r>
      <w:r w:rsidRPr="00E74B1D">
        <w:rPr>
          <w:rFonts w:ascii="Arial" w:hAnsi="Arial" w:cs="Arial"/>
          <w:bCs/>
          <w:iCs/>
          <w:kern w:val="28"/>
        </w:rPr>
        <w:t xml:space="preserve">Identification of carbofuran and paraquat degrading microorganisms from soil. </w:t>
      </w:r>
      <w:r w:rsidRPr="00E74B1D">
        <w:rPr>
          <w:rFonts w:ascii="Arial" w:hAnsi="Arial" w:cs="Arial"/>
          <w:i/>
          <w:iCs/>
        </w:rPr>
        <w:t xml:space="preserve">South Asian Journal of Research in Microbiology, </w:t>
      </w:r>
      <w:r w:rsidRPr="00E74B1D">
        <w:rPr>
          <w:rFonts w:ascii="Arial" w:hAnsi="Arial" w:cs="Arial"/>
        </w:rPr>
        <w:t>7(1): 40-52.</w:t>
      </w:r>
      <w:r w:rsidRPr="00E74B1D">
        <w:rPr>
          <w:rFonts w:ascii="Arial" w:hAnsi="Arial" w:cs="Arial"/>
          <w:i/>
          <w:iCs/>
        </w:rPr>
        <w:t xml:space="preserve"> </w:t>
      </w:r>
    </w:p>
    <w:p w14:paraId="06A5A6A2"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Audu, A. A., Mohammed, S., &amp; Ibrahim, Y. (2023). Soil nutrient dynamics and cation exchange capacity under agrochemical influence. </w:t>
      </w:r>
      <w:r w:rsidRPr="00426CE8">
        <w:rPr>
          <w:rFonts w:ascii="Arial" w:hAnsi="Arial" w:cs="Arial"/>
          <w:i/>
          <w:iCs/>
        </w:rPr>
        <w:t>Soil Science and Plant Nutrition</w:t>
      </w:r>
      <w:r w:rsidRPr="00426CE8">
        <w:rPr>
          <w:rFonts w:ascii="Arial" w:hAnsi="Arial" w:cs="Arial"/>
        </w:rPr>
        <w:t>, 69(4), 455–468.</w:t>
      </w:r>
    </w:p>
    <w:p w14:paraId="1BF64E40"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Barka, E. A., Vatsa, P., Sanchez, L., </w:t>
      </w:r>
      <w:proofErr w:type="spellStart"/>
      <w:r w:rsidRPr="00426CE8">
        <w:rPr>
          <w:rFonts w:ascii="Arial" w:hAnsi="Arial" w:cs="Arial"/>
        </w:rPr>
        <w:t>Gaveau</w:t>
      </w:r>
      <w:proofErr w:type="spellEnd"/>
      <w:r w:rsidRPr="00426CE8">
        <w:rPr>
          <w:rFonts w:ascii="Arial" w:hAnsi="Arial" w:cs="Arial"/>
        </w:rPr>
        <w:t xml:space="preserve">-Vaillant, N., Jacquard, C., Meier-Kolthoff, J. P., … Klenk, H. P. (2016). Taxonomy, physiology, and natural products of actinobacteria. </w:t>
      </w:r>
      <w:r w:rsidRPr="00426CE8">
        <w:rPr>
          <w:rFonts w:ascii="Arial" w:hAnsi="Arial" w:cs="Arial"/>
          <w:i/>
          <w:iCs/>
        </w:rPr>
        <w:t>Microbiology and Molecular Biology Reviews</w:t>
      </w:r>
      <w:r w:rsidRPr="00426CE8">
        <w:rPr>
          <w:rFonts w:ascii="Arial" w:hAnsi="Arial" w:cs="Arial"/>
        </w:rPr>
        <w:t>, 80(1), 1–43.</w:t>
      </w:r>
    </w:p>
    <w:p w14:paraId="5324A5F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Beaumelle, L., Vimal, S. R., &amp; Singh, J. S. (2023). Agricultural practices and pesticide misuse in developing countries. </w:t>
      </w:r>
      <w:r w:rsidRPr="00426CE8">
        <w:rPr>
          <w:rFonts w:ascii="Arial" w:hAnsi="Arial" w:cs="Arial"/>
          <w:i/>
          <w:iCs/>
        </w:rPr>
        <w:t>Agriculture, Ecosystems &amp; Environment</w:t>
      </w:r>
      <w:r w:rsidRPr="00426CE8">
        <w:rPr>
          <w:rFonts w:ascii="Arial" w:hAnsi="Arial" w:cs="Arial"/>
        </w:rPr>
        <w:t>, 345, 108–120.</w:t>
      </w:r>
    </w:p>
    <w:p w14:paraId="40000831"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Black, C. A. (1965). </w:t>
      </w:r>
      <w:r w:rsidRPr="00426CE8">
        <w:rPr>
          <w:rFonts w:ascii="Arial" w:hAnsi="Arial" w:cs="Arial"/>
          <w:i/>
          <w:iCs/>
        </w:rPr>
        <w:t>Methods of soil analysis</w:t>
      </w:r>
      <w:r w:rsidRPr="00426CE8">
        <w:rPr>
          <w:rFonts w:ascii="Arial" w:hAnsi="Arial" w:cs="Arial"/>
        </w:rPr>
        <w:t>. American Society of Agronomy.</w:t>
      </w:r>
    </w:p>
    <w:p w14:paraId="5C470542" w14:textId="77777777" w:rsidR="000901E5" w:rsidRDefault="000901E5" w:rsidP="000901E5">
      <w:pPr>
        <w:ind w:left="567" w:hanging="567"/>
        <w:jc w:val="both"/>
      </w:pPr>
      <w:r w:rsidRPr="0031131C">
        <w:t xml:space="preserve">Brunelle, T., Chakir, R., Carpentier, A., Dorin, B., Goll, D., </w:t>
      </w:r>
      <w:proofErr w:type="spellStart"/>
      <w:r w:rsidRPr="0031131C">
        <w:t>Guilpart</w:t>
      </w:r>
      <w:proofErr w:type="spellEnd"/>
      <w:r w:rsidRPr="0031131C">
        <w:t xml:space="preserve">, N., ... &amp; Tang, F. H. (2024). Reducing chemical inputs in agriculture requires a system change. </w:t>
      </w:r>
      <w:r w:rsidRPr="0031131C">
        <w:rPr>
          <w:i/>
          <w:iCs/>
        </w:rPr>
        <w:t>Communications Earth &amp; Environment</w:t>
      </w:r>
      <w:r w:rsidRPr="0031131C">
        <w:t xml:space="preserve">, </w:t>
      </w:r>
      <w:r w:rsidRPr="0031131C">
        <w:rPr>
          <w:i/>
          <w:iCs/>
        </w:rPr>
        <w:t>5</w:t>
      </w:r>
      <w:r w:rsidRPr="0031131C">
        <w:t>(1), 369.</w:t>
      </w:r>
    </w:p>
    <w:p w14:paraId="2BA19D6E"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Bünemann, E. K., Schwenke, G. D., &amp; Van </w:t>
      </w:r>
      <w:proofErr w:type="spellStart"/>
      <w:r w:rsidRPr="00426CE8">
        <w:rPr>
          <w:rFonts w:ascii="Arial" w:hAnsi="Arial" w:cs="Arial"/>
        </w:rPr>
        <w:t>Zwieten</w:t>
      </w:r>
      <w:proofErr w:type="spellEnd"/>
      <w:r w:rsidRPr="00426CE8">
        <w:rPr>
          <w:rFonts w:ascii="Arial" w:hAnsi="Arial" w:cs="Arial"/>
        </w:rPr>
        <w:t xml:space="preserve">, L. (2006). Impact of agricultural inputs on soil organisms. </w:t>
      </w:r>
      <w:r w:rsidRPr="00426CE8">
        <w:rPr>
          <w:rFonts w:ascii="Arial" w:hAnsi="Arial" w:cs="Arial"/>
          <w:i/>
          <w:iCs/>
        </w:rPr>
        <w:t>Soil Biology &amp; Biochemistry</w:t>
      </w:r>
      <w:r w:rsidRPr="00426CE8">
        <w:rPr>
          <w:rFonts w:ascii="Arial" w:hAnsi="Arial" w:cs="Arial"/>
        </w:rPr>
        <w:t>, 38(8), 1903–1914.</w:t>
      </w:r>
    </w:p>
    <w:p w14:paraId="72214060"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Choudhury, A. T., Rahman, M. S., &amp; Karim, M. R. (2023). Soil texture and nutrient retention in tropical agroecosystems. </w:t>
      </w:r>
      <w:proofErr w:type="spellStart"/>
      <w:r w:rsidRPr="00426CE8">
        <w:rPr>
          <w:rFonts w:ascii="Arial" w:hAnsi="Arial" w:cs="Arial"/>
          <w:i/>
          <w:iCs/>
        </w:rPr>
        <w:t>Geoderma</w:t>
      </w:r>
      <w:proofErr w:type="spellEnd"/>
      <w:r w:rsidRPr="00426CE8">
        <w:rPr>
          <w:rFonts w:ascii="Arial" w:hAnsi="Arial" w:cs="Arial"/>
          <w:i/>
          <w:iCs/>
        </w:rPr>
        <w:t xml:space="preserve"> Regional</w:t>
      </w:r>
      <w:r w:rsidRPr="00426CE8">
        <w:rPr>
          <w:rFonts w:ascii="Arial" w:hAnsi="Arial" w:cs="Arial"/>
        </w:rPr>
        <w:t>, 32, e00567.</w:t>
      </w:r>
    </w:p>
    <w:p w14:paraId="00AFA4A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Cook, K. L., </w:t>
      </w:r>
      <w:proofErr w:type="spellStart"/>
      <w:r w:rsidRPr="00426CE8">
        <w:rPr>
          <w:rFonts w:ascii="Arial" w:hAnsi="Arial" w:cs="Arial"/>
        </w:rPr>
        <w:t>Netthisinghe</w:t>
      </w:r>
      <w:proofErr w:type="spellEnd"/>
      <w:r w:rsidRPr="00426CE8">
        <w:rPr>
          <w:rFonts w:ascii="Arial" w:hAnsi="Arial" w:cs="Arial"/>
        </w:rPr>
        <w:t xml:space="preserve">, A. M., &amp; </w:t>
      </w:r>
      <w:proofErr w:type="spellStart"/>
      <w:r w:rsidRPr="00426CE8">
        <w:rPr>
          <w:rFonts w:ascii="Arial" w:hAnsi="Arial" w:cs="Arial"/>
        </w:rPr>
        <w:t>Gilfillen</w:t>
      </w:r>
      <w:proofErr w:type="spellEnd"/>
      <w:r w:rsidRPr="00426CE8">
        <w:rPr>
          <w:rFonts w:ascii="Arial" w:hAnsi="Arial" w:cs="Arial"/>
        </w:rPr>
        <w:t xml:space="preserve">, R. A. (2023). Soil pathogens and agricultural contamination risks. </w:t>
      </w:r>
      <w:r w:rsidRPr="00426CE8">
        <w:rPr>
          <w:rFonts w:ascii="Arial" w:hAnsi="Arial" w:cs="Arial"/>
          <w:i/>
          <w:iCs/>
        </w:rPr>
        <w:t>Applied Soil Ecology</w:t>
      </w:r>
      <w:r w:rsidRPr="00426CE8">
        <w:rPr>
          <w:rFonts w:ascii="Arial" w:hAnsi="Arial" w:cs="Arial"/>
        </w:rPr>
        <w:t>, 182, 104–118.</w:t>
      </w:r>
    </w:p>
    <w:p w14:paraId="6D4C6538" w14:textId="77777777" w:rsidR="000901E5" w:rsidRDefault="000901E5" w:rsidP="000901E5">
      <w:pPr>
        <w:ind w:left="567" w:hanging="567"/>
        <w:jc w:val="both"/>
      </w:pPr>
      <w:r w:rsidRPr="004431B2">
        <w:t xml:space="preserve">Dai, Z., Liu, G., Chen, H., Chen, C., Wang, J., Ai, S., ... &amp; Xu, J. (2020). Long-term nutrient inputs shift soil microbial functional profiles of phosphorus cycling in diverse agroecosystems. </w:t>
      </w:r>
      <w:r w:rsidRPr="004431B2">
        <w:rPr>
          <w:i/>
          <w:iCs/>
        </w:rPr>
        <w:t>The ISME journal</w:t>
      </w:r>
      <w:r w:rsidRPr="004431B2">
        <w:t xml:space="preserve">, </w:t>
      </w:r>
      <w:r w:rsidRPr="004431B2">
        <w:rPr>
          <w:i/>
          <w:iCs/>
        </w:rPr>
        <w:t>14</w:t>
      </w:r>
      <w:r w:rsidRPr="004431B2">
        <w:t>(3), 757-770.</w:t>
      </w:r>
    </w:p>
    <w:p w14:paraId="26D40B49"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Dhuldhaj</w:t>
      </w:r>
      <w:proofErr w:type="spellEnd"/>
      <w:r w:rsidRPr="00426CE8">
        <w:rPr>
          <w:rFonts w:ascii="Arial" w:hAnsi="Arial" w:cs="Arial"/>
        </w:rPr>
        <w:t xml:space="preserve">, U. P., Patel, M. D., &amp; Singh, R. P. (2023). Microbial resilience under pesticide stress in agricultural soils. </w:t>
      </w:r>
      <w:r w:rsidRPr="00426CE8">
        <w:rPr>
          <w:rFonts w:ascii="Arial" w:hAnsi="Arial" w:cs="Arial"/>
          <w:i/>
          <w:iCs/>
        </w:rPr>
        <w:t>Ecotoxicology and Environmental Safety</w:t>
      </w:r>
      <w:r w:rsidRPr="00426CE8">
        <w:rPr>
          <w:rFonts w:ascii="Arial" w:hAnsi="Arial" w:cs="Arial"/>
        </w:rPr>
        <w:t>, 252, 114–129.</w:t>
      </w:r>
    </w:p>
    <w:p w14:paraId="2FC1AACA"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Edemekong</w:t>
      </w:r>
      <w:proofErr w:type="spellEnd"/>
      <w:r w:rsidRPr="00426CE8">
        <w:rPr>
          <w:rFonts w:ascii="Arial" w:hAnsi="Arial" w:cs="Arial"/>
        </w:rPr>
        <w:t xml:space="preserve">, U. E., Ekanem, A. P., &amp; Udo, S. O. (2022). Diversity of actinomycetes in urban soils of Calabar, Nigeria. </w:t>
      </w:r>
      <w:r w:rsidRPr="00426CE8">
        <w:rPr>
          <w:rFonts w:ascii="Arial" w:hAnsi="Arial" w:cs="Arial"/>
          <w:i/>
          <w:iCs/>
        </w:rPr>
        <w:t>African Journal of Microbiology Research</w:t>
      </w:r>
      <w:r w:rsidRPr="00426CE8">
        <w:rPr>
          <w:rFonts w:ascii="Arial" w:hAnsi="Arial" w:cs="Arial"/>
        </w:rPr>
        <w:t>, 16(5), 120–130.</w:t>
      </w:r>
    </w:p>
    <w:p w14:paraId="33C1D4DC"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Fantke, P., &amp; </w:t>
      </w:r>
      <w:proofErr w:type="spellStart"/>
      <w:r w:rsidRPr="00426CE8">
        <w:rPr>
          <w:rFonts w:ascii="Arial" w:hAnsi="Arial" w:cs="Arial"/>
        </w:rPr>
        <w:t>Juraske</w:t>
      </w:r>
      <w:proofErr w:type="spellEnd"/>
      <w:r w:rsidRPr="00426CE8">
        <w:rPr>
          <w:rFonts w:ascii="Arial" w:hAnsi="Arial" w:cs="Arial"/>
        </w:rPr>
        <w:t xml:space="preserve">, R. (2013). Variability of pesticide degradation in tropical environments. </w:t>
      </w:r>
      <w:r w:rsidRPr="00426CE8">
        <w:rPr>
          <w:rFonts w:ascii="Arial" w:hAnsi="Arial" w:cs="Arial"/>
          <w:i/>
          <w:iCs/>
        </w:rPr>
        <w:t>Environmental Science &amp; Technology</w:t>
      </w:r>
      <w:r w:rsidRPr="00426CE8">
        <w:rPr>
          <w:rFonts w:ascii="Arial" w:hAnsi="Arial" w:cs="Arial"/>
        </w:rPr>
        <w:t>, 47(8), 3548–3557.</w:t>
      </w:r>
    </w:p>
    <w:p w14:paraId="2E0FCEB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Gee, G. W., &amp; Bauder, J. W. (1986). Particle-size analysis. In A. Klute (Ed.), </w:t>
      </w:r>
      <w:r w:rsidRPr="00426CE8">
        <w:rPr>
          <w:rFonts w:ascii="Arial" w:hAnsi="Arial" w:cs="Arial"/>
          <w:i/>
          <w:iCs/>
        </w:rPr>
        <w:t>Methods of soil analysis</w:t>
      </w:r>
      <w:r w:rsidRPr="00426CE8">
        <w:rPr>
          <w:rFonts w:ascii="Arial" w:hAnsi="Arial" w:cs="Arial"/>
        </w:rPr>
        <w:t xml:space="preserve"> (pp. 383–411). ASA and SSSA.</w:t>
      </w:r>
    </w:p>
    <w:p w14:paraId="2F7A37AB"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Gitari, W. M., Karanja, N. K., &amp; </w:t>
      </w:r>
      <w:proofErr w:type="spellStart"/>
      <w:r w:rsidRPr="00426CE8">
        <w:rPr>
          <w:rFonts w:ascii="Arial" w:hAnsi="Arial" w:cs="Arial"/>
        </w:rPr>
        <w:t>Nyamwange</w:t>
      </w:r>
      <w:proofErr w:type="spellEnd"/>
      <w:r w:rsidRPr="00426CE8">
        <w:rPr>
          <w:rFonts w:ascii="Arial" w:hAnsi="Arial" w:cs="Arial"/>
        </w:rPr>
        <w:t xml:space="preserve">, M. (2023). Characterization of soil bacteria in tropical agroecosystems. </w:t>
      </w:r>
      <w:r w:rsidRPr="00426CE8">
        <w:rPr>
          <w:rFonts w:ascii="Arial" w:hAnsi="Arial" w:cs="Arial"/>
          <w:i/>
          <w:iCs/>
        </w:rPr>
        <w:t>Journal of Soil Science and Environmental Management</w:t>
      </w:r>
      <w:r w:rsidRPr="00426CE8">
        <w:rPr>
          <w:rFonts w:ascii="Arial" w:hAnsi="Arial" w:cs="Arial"/>
        </w:rPr>
        <w:t>, 14(1), 25–38.</w:t>
      </w:r>
    </w:p>
    <w:p w14:paraId="7EB67841" w14:textId="77777777" w:rsidR="000901E5" w:rsidRDefault="000901E5" w:rsidP="000901E5">
      <w:pPr>
        <w:ind w:left="567" w:hanging="567"/>
        <w:jc w:val="both"/>
      </w:pPr>
      <w:r w:rsidRPr="004431B2">
        <w:t xml:space="preserve">Gupta, A., Singh, U. B., Sahu, P. K., Paul, S., Kumar, A., Malviya, D., ... &amp; Saxena, A. K. (2022). Linking soil microbial diversity to modern agriculture practices: a review. </w:t>
      </w:r>
      <w:r w:rsidRPr="004431B2">
        <w:rPr>
          <w:i/>
          <w:iCs/>
        </w:rPr>
        <w:t>International journal of environmental research and public health</w:t>
      </w:r>
      <w:r w:rsidRPr="004431B2">
        <w:t xml:space="preserve">, </w:t>
      </w:r>
      <w:r w:rsidRPr="004431B2">
        <w:rPr>
          <w:i/>
          <w:iCs/>
        </w:rPr>
        <w:t>19</w:t>
      </w:r>
      <w:r w:rsidRPr="004431B2">
        <w:t>(5), 3141.</w:t>
      </w:r>
    </w:p>
    <w:p w14:paraId="39304D59"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Harir, M., </w:t>
      </w:r>
      <w:proofErr w:type="spellStart"/>
      <w:r w:rsidRPr="00426CE8">
        <w:rPr>
          <w:rFonts w:ascii="Arial" w:hAnsi="Arial" w:cs="Arial"/>
        </w:rPr>
        <w:t>Bendif</w:t>
      </w:r>
      <w:proofErr w:type="spellEnd"/>
      <w:r w:rsidRPr="00426CE8">
        <w:rPr>
          <w:rFonts w:ascii="Arial" w:hAnsi="Arial" w:cs="Arial"/>
        </w:rPr>
        <w:t xml:space="preserve">, H., Bellahcene, M., Fortas, Z., &amp; </w:t>
      </w:r>
      <w:proofErr w:type="spellStart"/>
      <w:r w:rsidRPr="00426CE8">
        <w:rPr>
          <w:rFonts w:ascii="Arial" w:hAnsi="Arial" w:cs="Arial"/>
        </w:rPr>
        <w:t>Pogni</w:t>
      </w:r>
      <w:proofErr w:type="spellEnd"/>
      <w:r w:rsidRPr="00426CE8">
        <w:rPr>
          <w:rFonts w:ascii="Arial" w:hAnsi="Arial" w:cs="Arial"/>
        </w:rPr>
        <w:t xml:space="preserve">, R. (2018). Streptomyces secondary metabolites. </w:t>
      </w:r>
      <w:r w:rsidRPr="00426CE8">
        <w:rPr>
          <w:rFonts w:ascii="Arial" w:hAnsi="Arial" w:cs="Arial"/>
          <w:i/>
          <w:iCs/>
        </w:rPr>
        <w:t>Microbiological Research</w:t>
      </w:r>
      <w:r w:rsidRPr="00426CE8">
        <w:rPr>
          <w:rFonts w:ascii="Arial" w:hAnsi="Arial" w:cs="Arial"/>
        </w:rPr>
        <w:t>, 212–213, 56–65.</w:t>
      </w:r>
    </w:p>
    <w:p w14:paraId="0D14335D"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Hartmann, M., Frey, B., Mayer, J., </w:t>
      </w:r>
      <w:proofErr w:type="spellStart"/>
      <w:r w:rsidRPr="00426CE8">
        <w:rPr>
          <w:rFonts w:ascii="Arial" w:hAnsi="Arial" w:cs="Arial"/>
        </w:rPr>
        <w:t>Mäder</w:t>
      </w:r>
      <w:proofErr w:type="spellEnd"/>
      <w:r w:rsidRPr="00426CE8">
        <w:rPr>
          <w:rFonts w:ascii="Arial" w:hAnsi="Arial" w:cs="Arial"/>
        </w:rPr>
        <w:t xml:space="preserve">, P., &amp; Widmer, F. (2021). Distinct soil microbial diversity under different management systems. </w:t>
      </w:r>
      <w:r w:rsidRPr="00426CE8">
        <w:rPr>
          <w:rFonts w:ascii="Arial" w:hAnsi="Arial" w:cs="Arial"/>
          <w:i/>
          <w:iCs/>
        </w:rPr>
        <w:t>ISME Journal</w:t>
      </w:r>
      <w:r w:rsidRPr="00426CE8">
        <w:rPr>
          <w:rFonts w:ascii="Arial" w:hAnsi="Arial" w:cs="Arial"/>
        </w:rPr>
        <w:t>, 15(2), 1–12.</w:t>
      </w:r>
    </w:p>
    <w:p w14:paraId="5B033D11" w14:textId="77777777" w:rsidR="000901E5" w:rsidRPr="00426CE8" w:rsidRDefault="000901E5" w:rsidP="000901E5">
      <w:pPr>
        <w:pStyle w:val="Body"/>
        <w:spacing w:after="0"/>
        <w:ind w:left="567" w:hanging="567"/>
        <w:rPr>
          <w:rFonts w:ascii="Arial" w:hAnsi="Arial" w:cs="Arial"/>
        </w:rPr>
      </w:pPr>
      <w:r w:rsidRPr="00317AF3">
        <w:rPr>
          <w:rFonts w:ascii="Arial" w:hAnsi="Arial" w:cs="Arial"/>
          <w:lang w:val="en-GB"/>
        </w:rPr>
        <w:lastRenderedPageBreak/>
        <w:t>Holt, J. G., Krieg, N. R., &amp; Sneath, P. H. A.</w:t>
      </w:r>
      <w:r w:rsidRPr="00317AF3">
        <w:rPr>
          <w:rFonts w:ascii="Arial" w:hAnsi="Arial" w:cs="Arial"/>
        </w:rPr>
        <w:t xml:space="preserve"> (1994). </w:t>
      </w:r>
      <w:r w:rsidRPr="00317AF3">
        <w:rPr>
          <w:rFonts w:ascii="Arial" w:hAnsi="Arial" w:cs="Arial"/>
          <w:i/>
          <w:iCs/>
        </w:rPr>
        <w:t>Bergey’s manual of determinative bacteriology</w:t>
      </w:r>
      <w:r w:rsidRPr="00317AF3">
        <w:rPr>
          <w:rFonts w:ascii="Arial" w:hAnsi="Arial" w:cs="Arial"/>
        </w:rPr>
        <w:t xml:space="preserve"> (9th ed.). Williams &amp; Wilkins.</w:t>
      </w:r>
    </w:p>
    <w:p w14:paraId="264A9D8E"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Imfeld, G., &amp; </w:t>
      </w:r>
      <w:proofErr w:type="spellStart"/>
      <w:r w:rsidRPr="00426CE8">
        <w:rPr>
          <w:rFonts w:ascii="Arial" w:hAnsi="Arial" w:cs="Arial"/>
        </w:rPr>
        <w:t>Vuilleumier</w:t>
      </w:r>
      <w:proofErr w:type="spellEnd"/>
      <w:r w:rsidRPr="00426CE8">
        <w:rPr>
          <w:rFonts w:ascii="Arial" w:hAnsi="Arial" w:cs="Arial"/>
        </w:rPr>
        <w:t xml:space="preserve">, S. (2012). Measuring pesticide effects on bacterial communities. </w:t>
      </w:r>
      <w:r w:rsidRPr="00426CE8">
        <w:rPr>
          <w:rFonts w:ascii="Arial" w:hAnsi="Arial" w:cs="Arial"/>
          <w:i/>
          <w:iCs/>
        </w:rPr>
        <w:t>Soil Biology &amp; Biochemistry</w:t>
      </w:r>
      <w:r w:rsidRPr="00426CE8">
        <w:rPr>
          <w:rFonts w:ascii="Arial" w:hAnsi="Arial" w:cs="Arial"/>
        </w:rPr>
        <w:t>, 45, 31–41.</w:t>
      </w:r>
    </w:p>
    <w:p w14:paraId="178B050A" w14:textId="77777777" w:rsidR="000901E5" w:rsidRDefault="000901E5" w:rsidP="000901E5">
      <w:pPr>
        <w:ind w:left="567" w:hanging="567"/>
        <w:jc w:val="both"/>
      </w:pPr>
      <w:r w:rsidRPr="00446D1E">
        <w:t xml:space="preserve">Innocent, M. O., Mustapha, A., Abdulsalam, M., Livinus, M. U., Samuel, J. O., Elelu, S. A., ... &amp; Muhammad, A. S. (2024). Soil microbes and soil contamination. In </w:t>
      </w:r>
      <w:r w:rsidRPr="00446D1E">
        <w:rPr>
          <w:i/>
          <w:iCs/>
        </w:rPr>
        <w:t>Soil Microbiome in Green Technology Sustainability</w:t>
      </w:r>
      <w:r w:rsidRPr="00446D1E">
        <w:t xml:space="preserve"> (pp. 3-35). Cham: Springer Nature Switzerland.</w:t>
      </w:r>
    </w:p>
    <w:p w14:paraId="4B4D09CE"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Jacobsen, C. S., &amp; Hjelmsø, M. H. (2014). Agricultural soils and pesticide degradation. </w:t>
      </w:r>
      <w:r w:rsidRPr="00426CE8">
        <w:rPr>
          <w:rFonts w:ascii="Arial" w:hAnsi="Arial" w:cs="Arial"/>
          <w:i/>
          <w:iCs/>
        </w:rPr>
        <w:t>Environmental Science and Pollution Research</w:t>
      </w:r>
      <w:r w:rsidRPr="00426CE8">
        <w:rPr>
          <w:rFonts w:ascii="Arial" w:hAnsi="Arial" w:cs="Arial"/>
        </w:rPr>
        <w:t>, 21(1), 1–9.</w:t>
      </w:r>
    </w:p>
    <w:p w14:paraId="657DEE03" w14:textId="77777777" w:rsidR="000901E5" w:rsidRDefault="000901E5" w:rsidP="000901E5">
      <w:pPr>
        <w:ind w:left="567" w:hanging="567"/>
        <w:jc w:val="both"/>
      </w:pPr>
      <w:r w:rsidRPr="00176779">
        <w:t xml:space="preserve">Jat, M., </w:t>
      </w:r>
      <w:proofErr w:type="spellStart"/>
      <w:r w:rsidRPr="00176779">
        <w:t>Dohling</w:t>
      </w:r>
      <w:proofErr w:type="spellEnd"/>
      <w:r w:rsidRPr="00176779">
        <w:t xml:space="preserve">, P. N. K., Ahuja, A., &amp; Singh, J. (2022). Effect of pesticides on soil ecosystem services and processes. </w:t>
      </w:r>
      <w:r w:rsidRPr="00176779">
        <w:rPr>
          <w:i/>
          <w:iCs/>
        </w:rPr>
        <w:t>Indian Journal of Entomology</w:t>
      </w:r>
      <w:r w:rsidRPr="00176779">
        <w:t>, 981-990.</w:t>
      </w:r>
    </w:p>
    <w:p w14:paraId="2B20E28D"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Jeon, C. O., Park, W., &amp; </w:t>
      </w:r>
      <w:proofErr w:type="spellStart"/>
      <w:r w:rsidRPr="00426CE8">
        <w:rPr>
          <w:rFonts w:ascii="Arial" w:hAnsi="Arial" w:cs="Arial"/>
        </w:rPr>
        <w:t>Ghiorse</w:t>
      </w:r>
      <w:proofErr w:type="spellEnd"/>
      <w:r w:rsidRPr="00426CE8">
        <w:rPr>
          <w:rFonts w:ascii="Arial" w:hAnsi="Arial" w:cs="Arial"/>
        </w:rPr>
        <w:t xml:space="preserve">, W. C. (2024). Biodegradation potential of actinomycetes in polluted environments. </w:t>
      </w:r>
      <w:r w:rsidRPr="00426CE8">
        <w:rPr>
          <w:rFonts w:ascii="Arial" w:hAnsi="Arial" w:cs="Arial"/>
          <w:i/>
          <w:iCs/>
        </w:rPr>
        <w:t>Biodegradation</w:t>
      </w:r>
      <w:r w:rsidRPr="00426CE8">
        <w:rPr>
          <w:rFonts w:ascii="Arial" w:hAnsi="Arial" w:cs="Arial"/>
        </w:rPr>
        <w:t>, 35(1), 89–104.</w:t>
      </w:r>
    </w:p>
    <w:p w14:paraId="401BDD9A" w14:textId="77777777" w:rsidR="000901E5" w:rsidRDefault="000901E5" w:rsidP="000901E5">
      <w:pPr>
        <w:ind w:left="567" w:hanging="567"/>
        <w:jc w:val="both"/>
      </w:pPr>
      <w:proofErr w:type="spellStart"/>
      <w:r w:rsidRPr="00446D1E">
        <w:t>Khouni</w:t>
      </w:r>
      <w:proofErr w:type="spellEnd"/>
      <w:r w:rsidRPr="00446D1E">
        <w:t xml:space="preserve">, M., Hammecker, C., Grunberger, O., &amp; Chaabane, H. (2023). Effect of salinity on the fate of pesticides in irrigated systems: a first overview. </w:t>
      </w:r>
      <w:r w:rsidRPr="00446D1E">
        <w:rPr>
          <w:i/>
          <w:iCs/>
        </w:rPr>
        <w:t>Environmental Science and Pollution Research</w:t>
      </w:r>
      <w:r w:rsidRPr="00446D1E">
        <w:t xml:space="preserve">, </w:t>
      </w:r>
      <w:r w:rsidRPr="00446D1E">
        <w:rPr>
          <w:i/>
          <w:iCs/>
        </w:rPr>
        <w:t>30</w:t>
      </w:r>
      <w:r w:rsidRPr="00446D1E">
        <w:t>(39), 90471-90488.</w:t>
      </w:r>
    </w:p>
    <w:p w14:paraId="08112FD2" w14:textId="77777777" w:rsidR="000901E5" w:rsidRDefault="000901E5" w:rsidP="000901E5">
      <w:pPr>
        <w:ind w:left="567" w:hanging="567"/>
        <w:jc w:val="both"/>
      </w:pPr>
      <w:r w:rsidRPr="004431B2">
        <w:t xml:space="preserve">Kumar, A., Singh, H. S., Kumar, A., Singh, M. P., Singh, A., Maurya, N. K., &amp; Kumar, R. (2025). A Comprehensive review on plant-soil interactions: Microbial dynamics, nutrient cycling and sustainable crop production. </w:t>
      </w:r>
      <w:r w:rsidRPr="004431B2">
        <w:rPr>
          <w:i/>
          <w:iCs/>
        </w:rPr>
        <w:t>Asian Journal of Soil Science and Plant Nutrition</w:t>
      </w:r>
      <w:r w:rsidRPr="004431B2">
        <w:t xml:space="preserve">, </w:t>
      </w:r>
      <w:r w:rsidRPr="004431B2">
        <w:rPr>
          <w:i/>
          <w:iCs/>
        </w:rPr>
        <w:t>11</w:t>
      </w:r>
      <w:r w:rsidRPr="004431B2">
        <w:t>(2), 44-62.</w:t>
      </w:r>
    </w:p>
    <w:p w14:paraId="16643AB9"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Li, X., Zhang, H., &amp; Wang, Y. (2024). Effects of pesticides on soil microbial community and enzyme activity. </w:t>
      </w:r>
      <w:r w:rsidRPr="00426CE8">
        <w:rPr>
          <w:rFonts w:ascii="Arial" w:hAnsi="Arial" w:cs="Arial"/>
          <w:i/>
          <w:iCs/>
        </w:rPr>
        <w:t>Science of the Total Environment</w:t>
      </w:r>
      <w:r w:rsidRPr="00426CE8">
        <w:rPr>
          <w:rFonts w:ascii="Arial" w:hAnsi="Arial" w:cs="Arial"/>
        </w:rPr>
        <w:t>, 906, 167–180.</w:t>
      </w:r>
    </w:p>
    <w:p w14:paraId="1E2D7DDC" w14:textId="77777777" w:rsidR="000901E5" w:rsidRDefault="000901E5" w:rsidP="000901E5">
      <w:pPr>
        <w:ind w:left="567" w:hanging="567"/>
        <w:jc w:val="both"/>
      </w:pPr>
      <w:r w:rsidRPr="00931976">
        <w:t xml:space="preserve">Mandal, A., Sarkar, B., Mandal, S., Vithanage, M., Patra, A. K., &amp; Manna, M. C. (2020). Impact of agrochemicals on soil health. In </w:t>
      </w:r>
      <w:r w:rsidRPr="00931976">
        <w:rPr>
          <w:i/>
          <w:iCs/>
        </w:rPr>
        <w:t>Agrochemicals detection, treatment and remediation</w:t>
      </w:r>
      <w:r w:rsidRPr="00931976">
        <w:t xml:space="preserve"> (pp. 161-187). Butterworth-Heinemann.</w:t>
      </w:r>
    </w:p>
    <w:p w14:paraId="524232AB"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Meena, V. S., Maurya, B. R., &amp; Verma, R. (2020). Soil microbial diversity under pesticide application. </w:t>
      </w:r>
      <w:r w:rsidRPr="00426CE8">
        <w:rPr>
          <w:rFonts w:ascii="Arial" w:hAnsi="Arial" w:cs="Arial"/>
          <w:i/>
          <w:iCs/>
        </w:rPr>
        <w:t>Archives of Agronomy and Soil Science</w:t>
      </w:r>
      <w:r w:rsidRPr="00426CE8">
        <w:rPr>
          <w:rFonts w:ascii="Arial" w:hAnsi="Arial" w:cs="Arial"/>
        </w:rPr>
        <w:t>, 66(8), 1045–1060.</w:t>
      </w:r>
    </w:p>
    <w:p w14:paraId="509EAA7A" w14:textId="77777777" w:rsidR="000901E5" w:rsidRDefault="000901E5" w:rsidP="000901E5">
      <w:pPr>
        <w:ind w:left="567" w:hanging="567"/>
        <w:jc w:val="both"/>
      </w:pPr>
      <w:r w:rsidRPr="0031131C">
        <w:t xml:space="preserve">Mihai, M., Mihai, V. C., </w:t>
      </w:r>
      <w:proofErr w:type="spellStart"/>
      <w:r w:rsidRPr="0031131C">
        <w:t>Pocol</w:t>
      </w:r>
      <w:proofErr w:type="spellEnd"/>
      <w:r w:rsidRPr="0031131C">
        <w:t xml:space="preserve">, C. B., Ursa, A., &amp; </w:t>
      </w:r>
      <w:proofErr w:type="spellStart"/>
      <w:r w:rsidRPr="0031131C">
        <w:t>Dumitras</w:t>
      </w:r>
      <w:proofErr w:type="spellEnd"/>
      <w:r w:rsidRPr="0031131C">
        <w:t xml:space="preserve">, D. E. (2025). Young Romanian Farmers’ Perspective and Behavior Toward Fertilizer Use in View of the European Union’s Farm to Fork Sustainable Strategy. </w:t>
      </w:r>
      <w:r w:rsidRPr="0031131C">
        <w:rPr>
          <w:i/>
          <w:iCs/>
        </w:rPr>
        <w:t>Sustainability</w:t>
      </w:r>
      <w:r w:rsidRPr="0031131C">
        <w:t xml:space="preserve">, </w:t>
      </w:r>
      <w:r w:rsidRPr="0031131C">
        <w:rPr>
          <w:i/>
          <w:iCs/>
        </w:rPr>
        <w:t>17</w:t>
      </w:r>
      <w:r w:rsidRPr="0031131C">
        <w:t>(22), 9952.</w:t>
      </w:r>
    </w:p>
    <w:p w14:paraId="71FEFAC9" w14:textId="77777777" w:rsidR="000901E5" w:rsidRDefault="000901E5" w:rsidP="000901E5">
      <w:pPr>
        <w:ind w:left="567" w:hanging="567"/>
        <w:jc w:val="both"/>
      </w:pPr>
      <w:proofErr w:type="spellStart"/>
      <w:r w:rsidRPr="004431B2">
        <w:t>Moncaster</w:t>
      </w:r>
      <w:proofErr w:type="spellEnd"/>
      <w:r w:rsidRPr="004431B2">
        <w:t xml:space="preserve">, S. J., Bottrell, S. H., </w:t>
      </w:r>
      <w:proofErr w:type="spellStart"/>
      <w:r w:rsidRPr="004431B2">
        <w:t>Tellam</w:t>
      </w:r>
      <w:proofErr w:type="spellEnd"/>
      <w:r w:rsidRPr="004431B2">
        <w:t xml:space="preserve">, J. H., Lloyd, J. W., &amp; Konhauser, K. O. (2000). Migration and attenuation of agrochemical pollutants: insights from isotopic analysis of groundwater sulphate. </w:t>
      </w:r>
      <w:r w:rsidRPr="004431B2">
        <w:rPr>
          <w:i/>
          <w:iCs/>
        </w:rPr>
        <w:t>Journal of Contaminant Hydrology</w:t>
      </w:r>
      <w:r w:rsidRPr="004431B2">
        <w:t xml:space="preserve">, </w:t>
      </w:r>
      <w:r w:rsidRPr="004431B2">
        <w:rPr>
          <w:i/>
          <w:iCs/>
        </w:rPr>
        <w:t>43</w:t>
      </w:r>
      <w:r w:rsidRPr="004431B2">
        <w:t>(2), 147-163.</w:t>
      </w:r>
    </w:p>
    <w:p w14:paraId="5DE7E382"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Nelson, D. W., &amp; Sommers, L. E. (1996). Total carbon, organic carbon, and organic matter. In </w:t>
      </w:r>
      <w:r w:rsidRPr="00426CE8">
        <w:rPr>
          <w:rFonts w:ascii="Arial" w:hAnsi="Arial" w:cs="Arial"/>
          <w:i/>
          <w:iCs/>
        </w:rPr>
        <w:t>Methods of soil analysis</w:t>
      </w:r>
      <w:r w:rsidRPr="00426CE8">
        <w:rPr>
          <w:rFonts w:ascii="Arial" w:hAnsi="Arial" w:cs="Arial"/>
        </w:rPr>
        <w:t xml:space="preserve"> (pp. 961–1010). ASA.</w:t>
      </w:r>
    </w:p>
    <w:p w14:paraId="240FE10C"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Ni, Y., Wang, X., &amp; Li, Z. (2025). Long-term pesticide impacts on soil ecosystems. </w:t>
      </w:r>
      <w:r w:rsidRPr="00426CE8">
        <w:rPr>
          <w:rFonts w:ascii="Arial" w:hAnsi="Arial" w:cs="Arial"/>
          <w:i/>
          <w:iCs/>
        </w:rPr>
        <w:t>Environmental Research</w:t>
      </w:r>
      <w:r w:rsidRPr="00426CE8">
        <w:rPr>
          <w:rFonts w:ascii="Arial" w:hAnsi="Arial" w:cs="Arial"/>
        </w:rPr>
        <w:t>, 240, 117–130.</w:t>
      </w:r>
    </w:p>
    <w:p w14:paraId="103955A4" w14:textId="77777777" w:rsidR="000901E5" w:rsidRDefault="000901E5" w:rsidP="000901E5">
      <w:pPr>
        <w:ind w:left="567" w:hanging="567"/>
        <w:jc w:val="both"/>
      </w:pPr>
      <w:r w:rsidRPr="00931976">
        <w:t xml:space="preserve">Nikitina, O., Vasylenko, O., </w:t>
      </w:r>
      <w:proofErr w:type="spellStart"/>
      <w:r w:rsidRPr="00931976">
        <w:t>Balabak</w:t>
      </w:r>
      <w:proofErr w:type="spellEnd"/>
      <w:r w:rsidRPr="00931976">
        <w:t xml:space="preserve">, A., </w:t>
      </w:r>
      <w:proofErr w:type="spellStart"/>
      <w:r w:rsidRPr="00931976">
        <w:t>Balabak</w:t>
      </w:r>
      <w:proofErr w:type="spellEnd"/>
      <w:r w:rsidRPr="00931976">
        <w:t xml:space="preserve">, O., Hnatiuk, N., </w:t>
      </w:r>
      <w:proofErr w:type="spellStart"/>
      <w:r w:rsidRPr="00931976">
        <w:t>Hurskyi</w:t>
      </w:r>
      <w:proofErr w:type="spellEnd"/>
      <w:r w:rsidRPr="00931976">
        <w:t xml:space="preserve">, I., ... &amp; </w:t>
      </w:r>
      <w:proofErr w:type="spellStart"/>
      <w:r w:rsidRPr="00931976">
        <w:t>Zalizniak</w:t>
      </w:r>
      <w:proofErr w:type="spellEnd"/>
      <w:r w:rsidRPr="00931976">
        <w:t xml:space="preserve">, A. (2024). Ecological and Agrochemical Evaluation of Continuous Mineral Fertilizer Usage in Field </w:t>
      </w:r>
      <w:proofErr w:type="spellStart"/>
      <w:r w:rsidRPr="00931976">
        <w:t>Сrop</w:t>
      </w:r>
      <w:proofErr w:type="spellEnd"/>
      <w:r w:rsidRPr="00931976">
        <w:t xml:space="preserve"> Rotation. </w:t>
      </w:r>
      <w:r w:rsidRPr="00931976">
        <w:rPr>
          <w:i/>
          <w:iCs/>
        </w:rPr>
        <w:t>Journal of Ecological Engineering</w:t>
      </w:r>
      <w:r w:rsidRPr="00931976">
        <w:t xml:space="preserve">, </w:t>
      </w:r>
      <w:r w:rsidRPr="00931976">
        <w:rPr>
          <w:i/>
          <w:iCs/>
        </w:rPr>
        <w:t>25</w:t>
      </w:r>
      <w:r w:rsidRPr="00931976">
        <w:t>(11), 124-133.</w:t>
      </w:r>
    </w:p>
    <w:p w14:paraId="0297249C"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Nonoh</w:t>
      </w:r>
      <w:proofErr w:type="spellEnd"/>
      <w:r w:rsidRPr="00426CE8">
        <w:rPr>
          <w:rFonts w:ascii="Arial" w:hAnsi="Arial" w:cs="Arial"/>
        </w:rPr>
        <w:t xml:space="preserve">, J. O., Lwande, W., &amp; Masiga, D. (2010). Diversity of actinomycetes in Kenyan soils. </w:t>
      </w:r>
      <w:r w:rsidRPr="00426CE8">
        <w:rPr>
          <w:rFonts w:ascii="Arial" w:hAnsi="Arial" w:cs="Arial"/>
          <w:i/>
          <w:iCs/>
        </w:rPr>
        <w:t>African Journal of Microbiology Research</w:t>
      </w:r>
      <w:r w:rsidRPr="00426CE8">
        <w:rPr>
          <w:rFonts w:ascii="Arial" w:hAnsi="Arial" w:cs="Arial"/>
        </w:rPr>
        <w:t>, 4(5), 362–370.</w:t>
      </w:r>
    </w:p>
    <w:p w14:paraId="7B6438B4"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Nwachukwu, E. O., &amp; Ugwu, O. C. (2023). Soil fertility and microbial dynamics in agrochemical soils. </w:t>
      </w:r>
      <w:r w:rsidRPr="00426CE8">
        <w:rPr>
          <w:rFonts w:ascii="Arial" w:hAnsi="Arial" w:cs="Arial"/>
          <w:i/>
          <w:iCs/>
        </w:rPr>
        <w:t>Nigerian Journal of Soil Science</w:t>
      </w:r>
      <w:r w:rsidRPr="00426CE8">
        <w:rPr>
          <w:rFonts w:ascii="Arial" w:hAnsi="Arial" w:cs="Arial"/>
        </w:rPr>
        <w:t>, 33(2), 89–102.</w:t>
      </w:r>
    </w:p>
    <w:p w14:paraId="4EE04EE6"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Olsen, S. R., Cole, C. V., Watanabe, F. S., &amp; Dean, L. A. (1954). </w:t>
      </w:r>
      <w:r w:rsidRPr="00426CE8">
        <w:rPr>
          <w:rFonts w:ascii="Arial" w:hAnsi="Arial" w:cs="Arial"/>
          <w:i/>
          <w:iCs/>
        </w:rPr>
        <w:t>Estimation of available phosphorus in soils by extraction with sodium bicarbonate</w:t>
      </w:r>
      <w:r w:rsidRPr="00426CE8">
        <w:rPr>
          <w:rFonts w:ascii="Arial" w:hAnsi="Arial" w:cs="Arial"/>
        </w:rPr>
        <w:t>. USDA.</w:t>
      </w:r>
    </w:p>
    <w:p w14:paraId="0E3FA18D"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Patel, D. R., Singh, P., &amp; Kumar, S. (2023). Pesticide-driven microbial changes in soil ecosystems. </w:t>
      </w:r>
      <w:r w:rsidRPr="00426CE8">
        <w:rPr>
          <w:rFonts w:ascii="Arial" w:hAnsi="Arial" w:cs="Arial"/>
          <w:i/>
          <w:iCs/>
        </w:rPr>
        <w:t>Environmental Toxicology and Chemistry</w:t>
      </w:r>
      <w:r w:rsidRPr="00426CE8">
        <w:rPr>
          <w:rFonts w:ascii="Arial" w:hAnsi="Arial" w:cs="Arial"/>
        </w:rPr>
        <w:t>, 42(6), 1455–1470.</w:t>
      </w:r>
    </w:p>
    <w:p w14:paraId="3A256974"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Pathak, V. M., Verma, V. K., Rawat, B. S., Kaur, B., Babu, N., Sharma, A., … Rai, B. N. (2022). Current status of pesticide effects on environment. </w:t>
      </w:r>
      <w:r w:rsidRPr="00426CE8">
        <w:rPr>
          <w:rFonts w:ascii="Arial" w:hAnsi="Arial" w:cs="Arial"/>
          <w:i/>
          <w:iCs/>
        </w:rPr>
        <w:t>Chemosphere</w:t>
      </w:r>
      <w:r w:rsidRPr="00426CE8">
        <w:rPr>
          <w:rFonts w:ascii="Arial" w:hAnsi="Arial" w:cs="Arial"/>
        </w:rPr>
        <w:t>, 283, 131–148.</w:t>
      </w:r>
    </w:p>
    <w:p w14:paraId="484B48B4"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Patin, N. V., Duncan, K. R., &amp; </w:t>
      </w:r>
      <w:proofErr w:type="spellStart"/>
      <w:r w:rsidRPr="00426CE8">
        <w:rPr>
          <w:rFonts w:ascii="Arial" w:hAnsi="Arial" w:cs="Arial"/>
        </w:rPr>
        <w:t>Dorrestein</w:t>
      </w:r>
      <w:proofErr w:type="spellEnd"/>
      <w:r w:rsidRPr="00426CE8">
        <w:rPr>
          <w:rFonts w:ascii="Arial" w:hAnsi="Arial" w:cs="Arial"/>
        </w:rPr>
        <w:t xml:space="preserve">, P. C. (2017). Secondary metabolites from soil bacteria. </w:t>
      </w:r>
      <w:r w:rsidRPr="00426CE8">
        <w:rPr>
          <w:rFonts w:ascii="Arial" w:hAnsi="Arial" w:cs="Arial"/>
          <w:i/>
          <w:iCs/>
        </w:rPr>
        <w:t>Journal of Natural Products</w:t>
      </w:r>
      <w:r w:rsidRPr="00426CE8">
        <w:rPr>
          <w:rFonts w:ascii="Arial" w:hAnsi="Arial" w:cs="Arial"/>
        </w:rPr>
        <w:t>, 80(6), 1853–1860.</w:t>
      </w:r>
    </w:p>
    <w:p w14:paraId="0B30F8C3"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lastRenderedPageBreak/>
        <w:t xml:space="preserve">Rahman, M. M., Islam, M. A., &amp; Hossain, M. S. (2022). Soil pH and nutrient dynamics in agricultural soils. </w:t>
      </w:r>
      <w:r w:rsidRPr="00426CE8">
        <w:rPr>
          <w:rFonts w:ascii="Arial" w:hAnsi="Arial" w:cs="Arial"/>
          <w:i/>
          <w:iCs/>
        </w:rPr>
        <w:t>Environmental Sustainability</w:t>
      </w:r>
      <w:r w:rsidRPr="00426CE8">
        <w:rPr>
          <w:rFonts w:ascii="Arial" w:hAnsi="Arial" w:cs="Arial"/>
        </w:rPr>
        <w:t>, 5(3), 245–258.</w:t>
      </w:r>
    </w:p>
    <w:p w14:paraId="70C3FC5F" w14:textId="77777777" w:rsidR="000901E5" w:rsidRDefault="000901E5" w:rsidP="000901E5">
      <w:pPr>
        <w:ind w:left="567" w:hanging="567"/>
        <w:jc w:val="both"/>
      </w:pPr>
      <w:r w:rsidRPr="00931976">
        <w:t xml:space="preserve">Sabir, M. S., Shahzadi, F., Ali, F., Shakeela, Q., Niaz, Z., &amp; Ahmed, S. (2021). Comparative effect of fertilization practices on soil microbial diversity and activity: an overview. </w:t>
      </w:r>
      <w:r w:rsidRPr="00931976">
        <w:rPr>
          <w:i/>
          <w:iCs/>
        </w:rPr>
        <w:t>Current Microbiology</w:t>
      </w:r>
      <w:r w:rsidRPr="00931976">
        <w:t xml:space="preserve">, </w:t>
      </w:r>
      <w:r w:rsidRPr="00931976">
        <w:rPr>
          <w:i/>
          <w:iCs/>
        </w:rPr>
        <w:t>78</w:t>
      </w:r>
      <w:r w:rsidRPr="00931976">
        <w:t>(10), 3644-3655.</w:t>
      </w:r>
    </w:p>
    <w:p w14:paraId="29B5B6CF" w14:textId="77777777" w:rsidR="000901E5" w:rsidRDefault="000901E5" w:rsidP="000901E5">
      <w:pPr>
        <w:ind w:left="567" w:hanging="567"/>
        <w:jc w:val="both"/>
      </w:pPr>
      <w:r w:rsidRPr="00176779">
        <w:t xml:space="preserve">Shahbaz, M., Kuzyakov, Y., Sanaullah, M., Heitkamp, F., Zelenev, V., Kumar, A., &amp; </w:t>
      </w:r>
      <w:proofErr w:type="spellStart"/>
      <w:r w:rsidRPr="00176779">
        <w:t>Blagodatskaya</w:t>
      </w:r>
      <w:proofErr w:type="spellEnd"/>
      <w:r w:rsidRPr="00176779">
        <w:t xml:space="preserve">, E. (2017). Microbial decomposition of soil organic matter is mediated by quality and quantity of crop residues: mechanisms and thresholds. </w:t>
      </w:r>
      <w:r w:rsidRPr="00176779">
        <w:rPr>
          <w:i/>
          <w:iCs/>
        </w:rPr>
        <w:t>Biology and Fertility of Soils</w:t>
      </w:r>
      <w:r w:rsidRPr="00176779">
        <w:t xml:space="preserve">, </w:t>
      </w:r>
      <w:r w:rsidRPr="00176779">
        <w:rPr>
          <w:i/>
          <w:iCs/>
        </w:rPr>
        <w:t>53</w:t>
      </w:r>
      <w:r w:rsidRPr="00176779">
        <w:t>(3), 287-301.</w:t>
      </w:r>
    </w:p>
    <w:p w14:paraId="3B32E510"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Sharma, A., Kumar, V., Shahzad, B., Tanveer, M., Sidhu, G. P. S., Handa, N., … Thukral, A. K. (2019). Worldwide pesticide usage and environmental impacts. </w:t>
      </w:r>
      <w:r w:rsidRPr="00426CE8">
        <w:rPr>
          <w:rFonts w:ascii="Arial" w:hAnsi="Arial" w:cs="Arial"/>
          <w:i/>
          <w:iCs/>
        </w:rPr>
        <w:t>Ecotoxicology and Environmental Safety</w:t>
      </w:r>
      <w:r w:rsidRPr="00426CE8">
        <w:rPr>
          <w:rFonts w:ascii="Arial" w:hAnsi="Arial" w:cs="Arial"/>
        </w:rPr>
        <w:t>, 177, 37–50.</w:t>
      </w:r>
    </w:p>
    <w:p w14:paraId="2A8A63B1" w14:textId="77777777" w:rsidR="000901E5" w:rsidRDefault="000901E5" w:rsidP="000901E5">
      <w:pPr>
        <w:ind w:left="567" w:hanging="567"/>
        <w:jc w:val="both"/>
      </w:pPr>
      <w:r w:rsidRPr="00AA45EF">
        <w:t xml:space="preserve">Sharma, P., Sharma, P., &amp; Thakur, N. (2024). Sustainable farming practices and soil health: A pathway to achieving SDGs and future prospects. </w:t>
      </w:r>
      <w:r w:rsidRPr="00AA45EF">
        <w:rPr>
          <w:i/>
          <w:iCs/>
        </w:rPr>
        <w:t>Discover Sustainability</w:t>
      </w:r>
      <w:r w:rsidRPr="00AA45EF">
        <w:t xml:space="preserve">, </w:t>
      </w:r>
      <w:r w:rsidRPr="00AA45EF">
        <w:rPr>
          <w:i/>
          <w:iCs/>
        </w:rPr>
        <w:t>5</w:t>
      </w:r>
      <w:r w:rsidRPr="00AA45EF">
        <w:t>(1), 250.</w:t>
      </w:r>
    </w:p>
    <w:p w14:paraId="1A1F3EB7"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Sharma, R., Singh, S., &amp; Kaur, G. (2024). Soilborne pathogens and food safety concerns. </w:t>
      </w:r>
      <w:r w:rsidRPr="00426CE8">
        <w:rPr>
          <w:rFonts w:ascii="Arial" w:hAnsi="Arial" w:cs="Arial"/>
          <w:i/>
          <w:iCs/>
        </w:rPr>
        <w:t>Food Control</w:t>
      </w:r>
      <w:r w:rsidRPr="00426CE8">
        <w:rPr>
          <w:rFonts w:ascii="Arial" w:hAnsi="Arial" w:cs="Arial"/>
        </w:rPr>
        <w:t>, 150, 109–125.</w:t>
      </w:r>
    </w:p>
    <w:p w14:paraId="3BB5BBE9" w14:textId="77777777" w:rsidR="000901E5" w:rsidRDefault="000901E5" w:rsidP="000901E5">
      <w:pPr>
        <w:ind w:left="567" w:hanging="567"/>
        <w:jc w:val="both"/>
      </w:pPr>
      <w:r w:rsidRPr="004431B2">
        <w:t xml:space="preserve">Song, Q., Zhou, B., Song, Y., Du, X., Chen, H., Zuo, R., ... &amp; Li, J. (2025). Microbial community dynamics and bioremediation strategies for petroleum contamination in an in-service oil Depot, middle-lower Yellow River Basin. </w:t>
      </w:r>
      <w:r w:rsidRPr="004431B2">
        <w:rPr>
          <w:i/>
          <w:iCs/>
        </w:rPr>
        <w:t>Frontiers in microbiology</w:t>
      </w:r>
      <w:r w:rsidRPr="004431B2">
        <w:t xml:space="preserve">, </w:t>
      </w:r>
      <w:r w:rsidRPr="004431B2">
        <w:rPr>
          <w:i/>
          <w:iCs/>
        </w:rPr>
        <w:t>16</w:t>
      </w:r>
      <w:r w:rsidRPr="004431B2">
        <w:t>, 1544233.</w:t>
      </w:r>
    </w:p>
    <w:p w14:paraId="45F6B3C9"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Uneze</w:t>
      </w:r>
      <w:proofErr w:type="spellEnd"/>
      <w:r w:rsidRPr="00426CE8">
        <w:rPr>
          <w:rFonts w:ascii="Arial" w:hAnsi="Arial" w:cs="Arial"/>
        </w:rPr>
        <w:t xml:space="preserve">, E. C., Nwosu, P. C., &amp; Okeke, I. N. (2024). Microbial adaptation in pesticide-contaminated soils. </w:t>
      </w:r>
      <w:r w:rsidRPr="00426CE8">
        <w:rPr>
          <w:rFonts w:ascii="Arial" w:hAnsi="Arial" w:cs="Arial"/>
          <w:i/>
          <w:iCs/>
        </w:rPr>
        <w:t>Journal of Environmental Microbiology</w:t>
      </w:r>
      <w:r w:rsidRPr="00426CE8">
        <w:rPr>
          <w:rFonts w:ascii="Arial" w:hAnsi="Arial" w:cs="Arial"/>
        </w:rPr>
        <w:t>, 26(4), 678–690.</w:t>
      </w:r>
    </w:p>
    <w:p w14:paraId="245BED34" w14:textId="77777777" w:rsidR="000901E5" w:rsidRDefault="000901E5" w:rsidP="000901E5">
      <w:pPr>
        <w:ind w:left="567" w:hanging="567"/>
        <w:jc w:val="both"/>
      </w:pPr>
      <w:r w:rsidRPr="000E7662">
        <w:t xml:space="preserve">Usharani, K. V., Roopashree, K. M., &amp; Naik, D. (2019). Role of soil physical, chemical and biological properties for soil health improvement and sustainable agriculture. </w:t>
      </w:r>
      <w:r w:rsidRPr="000E7662">
        <w:rPr>
          <w:i/>
          <w:iCs/>
        </w:rPr>
        <w:t>Journal of Pharmacognosy and Phytochemistry</w:t>
      </w:r>
      <w:r w:rsidRPr="000E7662">
        <w:t xml:space="preserve">, </w:t>
      </w:r>
      <w:r w:rsidRPr="000E7662">
        <w:rPr>
          <w:i/>
          <w:iCs/>
        </w:rPr>
        <w:t>8</w:t>
      </w:r>
      <w:r w:rsidRPr="000E7662">
        <w:t>(5), 1256-1267.</w:t>
      </w:r>
    </w:p>
    <w:p w14:paraId="75A7ACCB"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Walkley, A., &amp; Black, I. A. (1934). An examination of the </w:t>
      </w:r>
      <w:proofErr w:type="spellStart"/>
      <w:r w:rsidRPr="00426CE8">
        <w:rPr>
          <w:rFonts w:ascii="Arial" w:hAnsi="Arial" w:cs="Arial"/>
        </w:rPr>
        <w:t>Degtjareff</w:t>
      </w:r>
      <w:proofErr w:type="spellEnd"/>
      <w:r w:rsidRPr="00426CE8">
        <w:rPr>
          <w:rFonts w:ascii="Arial" w:hAnsi="Arial" w:cs="Arial"/>
        </w:rPr>
        <w:t xml:space="preserve"> method for determining soil organic matter. </w:t>
      </w:r>
      <w:r w:rsidRPr="00426CE8">
        <w:rPr>
          <w:rFonts w:ascii="Arial" w:hAnsi="Arial" w:cs="Arial"/>
          <w:i/>
          <w:iCs/>
        </w:rPr>
        <w:t>Soil Science</w:t>
      </w:r>
      <w:r w:rsidRPr="00426CE8">
        <w:rPr>
          <w:rFonts w:ascii="Arial" w:hAnsi="Arial" w:cs="Arial"/>
        </w:rPr>
        <w:t>, 37(1), 29–38.</w:t>
      </w:r>
    </w:p>
    <w:p w14:paraId="3C9CDDD5" w14:textId="77777777" w:rsidR="000901E5" w:rsidRDefault="000901E5" w:rsidP="000901E5">
      <w:pPr>
        <w:ind w:left="567" w:hanging="567"/>
        <w:jc w:val="both"/>
      </w:pPr>
      <w:r w:rsidRPr="0031131C">
        <w:t xml:space="preserve">Wei, B., Peng, Y., Lin, L., Zhang, D., Ma, L., Jiang, L., ... &amp; Wang, Z. (2023). Drivers of biochar-mediated improvement of soil water retention capacity based on soil texture: A meta-analysis. </w:t>
      </w:r>
      <w:proofErr w:type="spellStart"/>
      <w:r w:rsidRPr="0031131C">
        <w:rPr>
          <w:i/>
          <w:iCs/>
        </w:rPr>
        <w:t>Geoderma</w:t>
      </w:r>
      <w:proofErr w:type="spellEnd"/>
      <w:r w:rsidRPr="0031131C">
        <w:t xml:space="preserve">, </w:t>
      </w:r>
      <w:r w:rsidRPr="0031131C">
        <w:rPr>
          <w:i/>
          <w:iCs/>
        </w:rPr>
        <w:t>437</w:t>
      </w:r>
      <w:r w:rsidRPr="0031131C">
        <w:t>, 116591.</w:t>
      </w:r>
    </w:p>
    <w:p w14:paraId="68F7186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Woodford, N., Turton, J. F., &amp; Livermore, D. M. (2024). Emerging resistance in environmental pathogens. </w:t>
      </w:r>
      <w:r w:rsidRPr="00426CE8">
        <w:rPr>
          <w:rFonts w:ascii="Arial" w:hAnsi="Arial" w:cs="Arial"/>
          <w:i/>
          <w:iCs/>
        </w:rPr>
        <w:t>Clinical Microbiology Reviews</w:t>
      </w:r>
      <w:r w:rsidRPr="00426CE8">
        <w:rPr>
          <w:rFonts w:ascii="Arial" w:hAnsi="Arial" w:cs="Arial"/>
        </w:rPr>
        <w:t>, 37(1), e00123-23.</w:t>
      </w:r>
    </w:p>
    <w:p w14:paraId="6A703A6D" w14:textId="77777777" w:rsidR="000901E5" w:rsidRDefault="000901E5" w:rsidP="000901E5">
      <w:pPr>
        <w:ind w:left="567" w:hanging="567"/>
        <w:jc w:val="both"/>
      </w:pPr>
      <w:r w:rsidRPr="00176779">
        <w:t xml:space="preserve">Xing, Y., Wang, X., &amp; Mustafa, A. (2025). Exploring the link between soil health and crop productivity. </w:t>
      </w:r>
      <w:r w:rsidRPr="00176779">
        <w:rPr>
          <w:i/>
          <w:iCs/>
        </w:rPr>
        <w:t>Ecotoxicology and environmental safety</w:t>
      </w:r>
      <w:r w:rsidRPr="00176779">
        <w:t xml:space="preserve">, </w:t>
      </w:r>
      <w:r w:rsidRPr="00176779">
        <w:rPr>
          <w:i/>
          <w:iCs/>
        </w:rPr>
        <w:t>289</w:t>
      </w:r>
      <w:r w:rsidRPr="00176779">
        <w:t>, 117703.</w:t>
      </w:r>
    </w:p>
    <w:p w14:paraId="6E7E4FF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Yasir, M. (2025). Environmental fate of pesticides in tropical soils. </w:t>
      </w:r>
      <w:r w:rsidRPr="00426CE8">
        <w:rPr>
          <w:rFonts w:ascii="Arial" w:hAnsi="Arial" w:cs="Arial"/>
          <w:i/>
          <w:iCs/>
        </w:rPr>
        <w:t>Environmental Chemistry Letters</w:t>
      </w:r>
      <w:r w:rsidRPr="00426CE8">
        <w:rPr>
          <w:rFonts w:ascii="Arial" w:hAnsi="Arial" w:cs="Arial"/>
        </w:rPr>
        <w:t>, 23(2), 345–360.</w:t>
      </w:r>
    </w:p>
    <w:p w14:paraId="7ECEDE44" w14:textId="77777777" w:rsidR="000901E5" w:rsidRDefault="000901E5" w:rsidP="000901E5">
      <w:pPr>
        <w:ind w:left="567" w:hanging="567"/>
        <w:jc w:val="both"/>
      </w:pPr>
      <w:r w:rsidRPr="000E7662">
        <w:t>Yasir, M., Hossain, A., &amp; Pratap-Singh, A. (2025). Pesticide degradation: Impacts on soil fertility and nutrient cycling. Environments, 12(8), 272.</w:t>
      </w:r>
    </w:p>
    <w:p w14:paraId="6131DC99" w14:textId="77777777" w:rsidR="000901E5" w:rsidRDefault="000901E5" w:rsidP="000901E5">
      <w:pPr>
        <w:ind w:left="567" w:hanging="567"/>
        <w:jc w:val="both"/>
      </w:pPr>
      <w:r w:rsidRPr="00176779">
        <w:t xml:space="preserve">Zhan, C. (2024). Microbial decomposition and soil health: Mechanisms and ecological implications. </w:t>
      </w:r>
      <w:r w:rsidRPr="00176779">
        <w:rPr>
          <w:i/>
          <w:iCs/>
        </w:rPr>
        <w:t>Molecular Soil Biology</w:t>
      </w:r>
      <w:r w:rsidRPr="00176779">
        <w:t xml:space="preserve">, </w:t>
      </w:r>
      <w:r w:rsidRPr="00176779">
        <w:rPr>
          <w:i/>
          <w:iCs/>
        </w:rPr>
        <w:t>15</w:t>
      </w:r>
      <w:r w:rsidRPr="00176779">
        <w:t>.</w:t>
      </w:r>
    </w:p>
    <w:p w14:paraId="6E33BEAA" w14:textId="77777777" w:rsidR="00426CE8" w:rsidRPr="00426CE8" w:rsidRDefault="00426CE8" w:rsidP="00445DD9">
      <w:pPr>
        <w:pStyle w:val="Body"/>
        <w:spacing w:after="0"/>
        <w:rPr>
          <w:rFonts w:ascii="Arial" w:hAnsi="Arial" w:cs="Arial"/>
        </w:rPr>
        <w:sectPr w:rsidR="00426CE8" w:rsidRPr="00426CE8" w:rsidSect="006A665C">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2A94ABB4" w14:textId="77777777" w:rsidR="00510FAC" w:rsidRPr="00426CE8" w:rsidRDefault="00510FAC"/>
    <w:sectPr w:rsidR="00510FAC" w:rsidRPr="00426CE8" w:rsidSect="006A66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26EB9" w14:textId="77777777" w:rsidR="002F1757" w:rsidRDefault="002F1757">
      <w:r>
        <w:separator/>
      </w:r>
    </w:p>
  </w:endnote>
  <w:endnote w:type="continuationSeparator" w:id="0">
    <w:p w14:paraId="35DD9E01" w14:textId="77777777" w:rsidR="002F1757" w:rsidRDefault="002F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9721" w14:textId="77777777" w:rsidR="002E1C6A" w:rsidRDefault="002E1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8BAC" w14:textId="77777777" w:rsidR="002E1C6A" w:rsidRDefault="002E1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5690" w14:textId="0CB221A3" w:rsidR="002E1C6A" w:rsidRPr="00024E1A" w:rsidRDefault="002E1C6A" w:rsidP="00024E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25D7" w14:textId="77777777" w:rsidR="002E1C6A" w:rsidRPr="00C37E61" w:rsidRDefault="002E1C6A" w:rsidP="0051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C25C" w14:textId="77777777" w:rsidR="002F1757" w:rsidRDefault="002F1757">
      <w:r>
        <w:separator/>
      </w:r>
    </w:p>
  </w:footnote>
  <w:footnote w:type="continuationSeparator" w:id="0">
    <w:p w14:paraId="16595CA0" w14:textId="77777777" w:rsidR="002F1757" w:rsidRDefault="002F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9FA8" w14:textId="233E3E8C" w:rsidR="002E1C6A" w:rsidRDefault="002F1757">
    <w:pPr>
      <w:pStyle w:val="Header"/>
    </w:pPr>
    <w:r>
      <w:rPr>
        <w:noProof/>
      </w:rPr>
      <w:pict w14:anchorId="2A7D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9EE9" w14:textId="15FB8C10" w:rsidR="002E1C6A" w:rsidRDefault="002F1757">
    <w:pPr>
      <w:pStyle w:val="Header"/>
    </w:pPr>
    <w:r>
      <w:rPr>
        <w:noProof/>
      </w:rPr>
      <w:pict w14:anchorId="5B74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3971" w14:textId="0AC18439" w:rsidR="002E1C6A" w:rsidRPr="00296529" w:rsidRDefault="002F1757" w:rsidP="00510FAC">
    <w:pPr>
      <w:ind w:left="2160"/>
      <w:jc w:val="center"/>
      <w:rPr>
        <w:rFonts w:ascii="Times New Roman" w:eastAsia="Calibri" w:hAnsi="Times New Roman"/>
        <w:i/>
        <w:sz w:val="18"/>
        <w:szCs w:val="22"/>
      </w:rPr>
    </w:pPr>
    <w:r>
      <w:rPr>
        <w:noProof/>
      </w:rPr>
      <w:pict w14:anchorId="5FE26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62573A" w14:textId="77777777" w:rsidR="002E1C6A" w:rsidRPr="00296529" w:rsidRDefault="002E1C6A" w:rsidP="00510FAC">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1B9283B" w14:textId="77777777" w:rsidR="002E1C6A" w:rsidRPr="00296529" w:rsidRDefault="002E1C6A" w:rsidP="00510FAC">
    <w:pPr>
      <w:jc w:val="center"/>
      <w:rPr>
        <w:rFonts w:ascii="Times New Roman" w:eastAsia="Calibri" w:hAnsi="Times New Roman"/>
        <w:i/>
        <w:sz w:val="18"/>
        <w:szCs w:val="22"/>
      </w:rPr>
    </w:pPr>
    <w:r>
      <w:rPr>
        <w:rFonts w:ascii="Times New Roman" w:eastAsia="Calibri" w:hAnsi="Times New Roman"/>
        <w:i/>
        <w:sz w:val="18"/>
        <w:szCs w:val="22"/>
      </w:rPr>
      <w:t>.</w:t>
    </w:r>
  </w:p>
  <w:p w14:paraId="6749494E" w14:textId="77777777" w:rsidR="002E1C6A" w:rsidRPr="00296529" w:rsidRDefault="002E1C6A" w:rsidP="00510FAC">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E2881" w14:textId="77777777" w:rsidR="002E1C6A" w:rsidRDefault="002E1C6A" w:rsidP="00510FAC">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B4974F" w14:textId="77777777" w:rsidR="002E1C6A" w:rsidRDefault="002E1C6A" w:rsidP="00510FA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1D7F40" w14:textId="77777777" w:rsidR="002E1C6A" w:rsidRDefault="002E1C6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FD2F" w14:textId="77993F12" w:rsidR="002E1C6A" w:rsidRDefault="002F1757">
    <w:pPr>
      <w:pStyle w:val="Header"/>
    </w:pPr>
    <w:r>
      <w:rPr>
        <w:noProof/>
      </w:rPr>
      <w:pict w14:anchorId="5DCC0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A7E9" w14:textId="79A4BAE1" w:rsidR="002E1C6A" w:rsidRDefault="002F1757">
    <w:pPr>
      <w:pStyle w:val="Header"/>
    </w:pPr>
    <w:r>
      <w:rPr>
        <w:noProof/>
      </w:rPr>
      <w:pict w14:anchorId="1F64D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AD70" w14:textId="30E339C4" w:rsidR="002E1C6A" w:rsidRDefault="002F1757">
    <w:pPr>
      <w:pStyle w:val="Header"/>
    </w:pPr>
    <w:r>
      <w:rPr>
        <w:noProof/>
      </w:rPr>
      <w:pict w14:anchorId="1A790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27A29"/>
    <w:multiLevelType w:val="multilevel"/>
    <w:tmpl w:val="A31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124D0"/>
    <w:multiLevelType w:val="multilevel"/>
    <w:tmpl w:val="F3A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A0C8F"/>
    <w:multiLevelType w:val="multilevel"/>
    <w:tmpl w:val="EF0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A03D5"/>
    <w:multiLevelType w:val="multilevel"/>
    <w:tmpl w:val="88E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308EC"/>
    <w:multiLevelType w:val="multilevel"/>
    <w:tmpl w:val="090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64B68"/>
    <w:multiLevelType w:val="multilevel"/>
    <w:tmpl w:val="1A1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B073D"/>
    <w:multiLevelType w:val="multilevel"/>
    <w:tmpl w:val="9BB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15:restartNumberingAfterBreak="0">
    <w:nsid w:val="755A4C00"/>
    <w:multiLevelType w:val="multilevel"/>
    <w:tmpl w:val="CD18BF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6E74AA"/>
    <w:multiLevelType w:val="multilevel"/>
    <w:tmpl w:val="BEFC80F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6"/>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5"/>
  </w:num>
  <w:num w:numId="12">
    <w:abstractNumId w:val="9"/>
  </w:num>
  <w:num w:numId="13">
    <w:abstractNumId w:val="13"/>
  </w:num>
  <w:num w:numId="14">
    <w:abstractNumId w:val="10"/>
  </w:num>
  <w:num w:numId="15">
    <w:abstractNumId w:val="12"/>
  </w:num>
  <w:num w:numId="16">
    <w:abstractNumId w:val="18"/>
  </w:num>
  <w:num w:numId="17">
    <w:abstractNumId w:val="17"/>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D9"/>
    <w:rsid w:val="00024E1A"/>
    <w:rsid w:val="000901E5"/>
    <w:rsid w:val="00144497"/>
    <w:rsid w:val="001933AF"/>
    <w:rsid w:val="001A5D0B"/>
    <w:rsid w:val="001C24EF"/>
    <w:rsid w:val="00203E36"/>
    <w:rsid w:val="00217B49"/>
    <w:rsid w:val="00221315"/>
    <w:rsid w:val="002226B4"/>
    <w:rsid w:val="0023270D"/>
    <w:rsid w:val="00276B63"/>
    <w:rsid w:val="0028319F"/>
    <w:rsid w:val="002B2077"/>
    <w:rsid w:val="002B3244"/>
    <w:rsid w:val="002D77EF"/>
    <w:rsid w:val="002E1C6A"/>
    <w:rsid w:val="002F1757"/>
    <w:rsid w:val="002F2DFB"/>
    <w:rsid w:val="00313B10"/>
    <w:rsid w:val="00317AF3"/>
    <w:rsid w:val="00324DEB"/>
    <w:rsid w:val="00385C1C"/>
    <w:rsid w:val="003B1AED"/>
    <w:rsid w:val="003D37E8"/>
    <w:rsid w:val="0042699E"/>
    <w:rsid w:val="00426CE8"/>
    <w:rsid w:val="00445DD9"/>
    <w:rsid w:val="00455300"/>
    <w:rsid w:val="004566BD"/>
    <w:rsid w:val="00477FBD"/>
    <w:rsid w:val="00510FAC"/>
    <w:rsid w:val="00561EAB"/>
    <w:rsid w:val="00562AE2"/>
    <w:rsid w:val="00591D13"/>
    <w:rsid w:val="005B468B"/>
    <w:rsid w:val="0062034A"/>
    <w:rsid w:val="00627ED0"/>
    <w:rsid w:val="0064557D"/>
    <w:rsid w:val="0066484C"/>
    <w:rsid w:val="006760EE"/>
    <w:rsid w:val="006A665C"/>
    <w:rsid w:val="006B69C2"/>
    <w:rsid w:val="006E6E9E"/>
    <w:rsid w:val="006F72E0"/>
    <w:rsid w:val="0076305E"/>
    <w:rsid w:val="00773C48"/>
    <w:rsid w:val="007766E4"/>
    <w:rsid w:val="007A56C8"/>
    <w:rsid w:val="007C478D"/>
    <w:rsid w:val="007D1F13"/>
    <w:rsid w:val="007F2210"/>
    <w:rsid w:val="007F51B9"/>
    <w:rsid w:val="00841042"/>
    <w:rsid w:val="00845F79"/>
    <w:rsid w:val="00852833"/>
    <w:rsid w:val="008B5BAA"/>
    <w:rsid w:val="008C66F6"/>
    <w:rsid w:val="00917C88"/>
    <w:rsid w:val="0092632A"/>
    <w:rsid w:val="00964E8E"/>
    <w:rsid w:val="009A09FD"/>
    <w:rsid w:val="009C31BF"/>
    <w:rsid w:val="00A12964"/>
    <w:rsid w:val="00A33855"/>
    <w:rsid w:val="00A83129"/>
    <w:rsid w:val="00AA60C3"/>
    <w:rsid w:val="00AE5597"/>
    <w:rsid w:val="00B573CE"/>
    <w:rsid w:val="00B60043"/>
    <w:rsid w:val="00B770F7"/>
    <w:rsid w:val="00B80EB8"/>
    <w:rsid w:val="00C432CE"/>
    <w:rsid w:val="00C5698D"/>
    <w:rsid w:val="00C62DBB"/>
    <w:rsid w:val="00C7458D"/>
    <w:rsid w:val="00C904A1"/>
    <w:rsid w:val="00CD2E77"/>
    <w:rsid w:val="00CE67FE"/>
    <w:rsid w:val="00D010E2"/>
    <w:rsid w:val="00D066C7"/>
    <w:rsid w:val="00D06940"/>
    <w:rsid w:val="00D42367"/>
    <w:rsid w:val="00D50F0D"/>
    <w:rsid w:val="00D603C0"/>
    <w:rsid w:val="00D6094C"/>
    <w:rsid w:val="00D61094"/>
    <w:rsid w:val="00D80006"/>
    <w:rsid w:val="00DA5F8F"/>
    <w:rsid w:val="00DB430A"/>
    <w:rsid w:val="00DC1E05"/>
    <w:rsid w:val="00E11A9D"/>
    <w:rsid w:val="00E4400A"/>
    <w:rsid w:val="00E50896"/>
    <w:rsid w:val="00E74B1D"/>
    <w:rsid w:val="00E767AB"/>
    <w:rsid w:val="00EE273E"/>
    <w:rsid w:val="00EE59EC"/>
    <w:rsid w:val="00EF419A"/>
    <w:rsid w:val="00F32881"/>
    <w:rsid w:val="00FC4B57"/>
    <w:rsid w:val="00FD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149984"/>
  <w15:chartTrackingRefBased/>
  <w15:docId w15:val="{A878A618-E2B5-4D48-8319-19CF1DB2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DD9"/>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477F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7F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67AB"/>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unhideWhenUsed/>
    <w:qFormat/>
    <w:rsid w:val="00445DD9"/>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semiHidden/>
    <w:unhideWhenUsed/>
    <w:qFormat/>
    <w:rsid w:val="00E767AB"/>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E767AB"/>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E767AB"/>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E767AB"/>
    <w:pPr>
      <w:keepNext/>
      <w:keepLines/>
      <w:spacing w:before="200" w:line="276" w:lineRule="auto"/>
      <w:outlineLvl w:val="7"/>
    </w:pPr>
    <w:rPr>
      <w:rFonts w:asciiTheme="majorHAnsi" w:eastAsiaTheme="majorEastAsia" w:hAnsiTheme="majorHAnsi" w:cstheme="majorBidi"/>
      <w:color w:val="5B9BD5" w:themeColor="accent1"/>
    </w:rPr>
  </w:style>
  <w:style w:type="paragraph" w:styleId="Heading9">
    <w:name w:val="heading 9"/>
    <w:basedOn w:val="Normal"/>
    <w:next w:val="Normal"/>
    <w:link w:val="Heading9Char"/>
    <w:uiPriority w:val="9"/>
    <w:semiHidden/>
    <w:unhideWhenUsed/>
    <w:qFormat/>
    <w:rsid w:val="00E767AB"/>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45DD9"/>
    <w:pPr>
      <w:spacing w:line="280" w:lineRule="exact"/>
      <w:jc w:val="right"/>
    </w:pPr>
    <w:rPr>
      <w:b/>
      <w:sz w:val="24"/>
    </w:rPr>
  </w:style>
  <w:style w:type="paragraph" w:customStyle="1" w:styleId="Affiliation">
    <w:name w:val="Affiliation"/>
    <w:basedOn w:val="Normal"/>
    <w:rsid w:val="00445DD9"/>
    <w:pPr>
      <w:spacing w:after="240" w:line="240" w:lineRule="exact"/>
      <w:jc w:val="right"/>
    </w:pPr>
  </w:style>
  <w:style w:type="paragraph" w:customStyle="1" w:styleId="Body">
    <w:name w:val="Body"/>
    <w:basedOn w:val="Normal"/>
    <w:rsid w:val="00445DD9"/>
    <w:pPr>
      <w:spacing w:after="240"/>
      <w:jc w:val="both"/>
    </w:pPr>
  </w:style>
  <w:style w:type="paragraph" w:customStyle="1" w:styleId="AbstHead">
    <w:name w:val="Abst Head"/>
    <w:basedOn w:val="Normal"/>
    <w:rsid w:val="00445DD9"/>
    <w:pPr>
      <w:keepNext/>
      <w:spacing w:after="240"/>
    </w:pPr>
    <w:rPr>
      <w:b/>
      <w:caps/>
      <w:sz w:val="22"/>
    </w:rPr>
  </w:style>
  <w:style w:type="paragraph" w:customStyle="1" w:styleId="ConcHead">
    <w:name w:val="Conc Head"/>
    <w:basedOn w:val="Normal"/>
    <w:rsid w:val="00445DD9"/>
    <w:pPr>
      <w:keepNext/>
      <w:spacing w:after="240"/>
    </w:pPr>
    <w:rPr>
      <w:b/>
      <w:caps/>
      <w:sz w:val="22"/>
    </w:rPr>
  </w:style>
  <w:style w:type="paragraph" w:customStyle="1" w:styleId="AcknHead">
    <w:name w:val="Ackn Head"/>
    <w:basedOn w:val="Normal"/>
    <w:rsid w:val="00445DD9"/>
    <w:pPr>
      <w:keepNext/>
      <w:spacing w:after="240"/>
    </w:pPr>
    <w:rPr>
      <w:b/>
      <w:caps/>
      <w:sz w:val="22"/>
    </w:rPr>
  </w:style>
  <w:style w:type="paragraph" w:customStyle="1" w:styleId="ReferHead">
    <w:name w:val="Refer Head"/>
    <w:basedOn w:val="Normal"/>
    <w:rsid w:val="00445DD9"/>
    <w:pPr>
      <w:keepNext/>
      <w:spacing w:after="240"/>
    </w:pPr>
    <w:rPr>
      <w:b/>
      <w:caps/>
      <w:sz w:val="22"/>
    </w:rPr>
  </w:style>
  <w:style w:type="paragraph" w:customStyle="1" w:styleId="DefAcrHead">
    <w:name w:val="DefAcrHead"/>
    <w:basedOn w:val="Normal"/>
    <w:rsid w:val="00445DD9"/>
    <w:pPr>
      <w:keepNext/>
      <w:spacing w:after="240"/>
    </w:pPr>
    <w:rPr>
      <w:b/>
      <w:caps/>
      <w:sz w:val="22"/>
    </w:rPr>
  </w:style>
  <w:style w:type="paragraph" w:customStyle="1" w:styleId="Copyright">
    <w:name w:val="Copyright"/>
    <w:basedOn w:val="Normal"/>
    <w:rsid w:val="00445DD9"/>
    <w:pPr>
      <w:spacing w:after="960" w:line="200" w:lineRule="exact"/>
    </w:pPr>
    <w:rPr>
      <w:sz w:val="16"/>
    </w:rPr>
  </w:style>
  <w:style w:type="paragraph" w:styleId="Title">
    <w:name w:val="Title"/>
    <w:basedOn w:val="Normal"/>
    <w:link w:val="TitleChar"/>
    <w:uiPriority w:val="10"/>
    <w:qFormat/>
    <w:rsid w:val="00445DD9"/>
    <w:pPr>
      <w:spacing w:after="360"/>
      <w:jc w:val="right"/>
    </w:pPr>
    <w:rPr>
      <w:b/>
      <w:kern w:val="28"/>
      <w:sz w:val="36"/>
    </w:rPr>
  </w:style>
  <w:style w:type="character" w:customStyle="1" w:styleId="TitleChar">
    <w:name w:val="Title Char"/>
    <w:basedOn w:val="DefaultParagraphFont"/>
    <w:link w:val="Title"/>
    <w:uiPriority w:val="10"/>
    <w:rsid w:val="00445DD9"/>
    <w:rPr>
      <w:rFonts w:ascii="Helvetica" w:eastAsia="Times New Roman" w:hAnsi="Helvetica" w:cs="Times New Roman"/>
      <w:b/>
      <w:kern w:val="28"/>
      <w:sz w:val="36"/>
      <w:szCs w:val="20"/>
      <w:lang w:val="en-US"/>
    </w:rPr>
  </w:style>
  <w:style w:type="paragraph" w:customStyle="1" w:styleId="Reference">
    <w:name w:val="Reference"/>
    <w:basedOn w:val="Body"/>
    <w:rsid w:val="00445DD9"/>
    <w:pPr>
      <w:numPr>
        <w:numId w:val="1"/>
      </w:numPr>
      <w:spacing w:after="0" w:line="240" w:lineRule="exact"/>
    </w:pPr>
  </w:style>
  <w:style w:type="paragraph" w:customStyle="1" w:styleId="Head1">
    <w:name w:val="Head1"/>
    <w:basedOn w:val="Normal"/>
    <w:rsid w:val="00445DD9"/>
    <w:pPr>
      <w:keepNext/>
      <w:spacing w:after="240"/>
    </w:pPr>
    <w:rPr>
      <w:b/>
      <w:caps/>
      <w:sz w:val="22"/>
    </w:rPr>
  </w:style>
  <w:style w:type="paragraph" w:customStyle="1" w:styleId="Appendix">
    <w:name w:val="Appendix"/>
    <w:basedOn w:val="Normal"/>
    <w:rsid w:val="00445DD9"/>
    <w:pPr>
      <w:keepNext/>
      <w:spacing w:after="240"/>
    </w:pPr>
    <w:rPr>
      <w:b/>
      <w:caps/>
      <w:sz w:val="22"/>
    </w:rPr>
  </w:style>
  <w:style w:type="paragraph" w:styleId="Footer">
    <w:name w:val="footer"/>
    <w:basedOn w:val="Normal"/>
    <w:link w:val="FooterChar"/>
    <w:uiPriority w:val="99"/>
    <w:rsid w:val="00445DD9"/>
    <w:pPr>
      <w:tabs>
        <w:tab w:val="center" w:pos="4320"/>
        <w:tab w:val="right" w:pos="8640"/>
      </w:tabs>
    </w:pPr>
  </w:style>
  <w:style w:type="character" w:customStyle="1" w:styleId="FooterChar">
    <w:name w:val="Footer Char"/>
    <w:basedOn w:val="DefaultParagraphFont"/>
    <w:link w:val="Footer"/>
    <w:uiPriority w:val="99"/>
    <w:rsid w:val="00445DD9"/>
    <w:rPr>
      <w:rFonts w:ascii="Helvetica" w:eastAsia="Times New Roman" w:hAnsi="Helvetica" w:cs="Times New Roman"/>
      <w:sz w:val="20"/>
      <w:szCs w:val="20"/>
      <w:lang w:val="en-US"/>
    </w:rPr>
  </w:style>
  <w:style w:type="paragraph" w:styleId="Header">
    <w:name w:val="header"/>
    <w:basedOn w:val="Normal"/>
    <w:link w:val="HeaderChar"/>
    <w:uiPriority w:val="99"/>
    <w:rsid w:val="00445DD9"/>
    <w:pPr>
      <w:tabs>
        <w:tab w:val="center" w:pos="4320"/>
        <w:tab w:val="right" w:pos="8640"/>
      </w:tabs>
    </w:pPr>
  </w:style>
  <w:style w:type="character" w:customStyle="1" w:styleId="HeaderChar">
    <w:name w:val="Header Char"/>
    <w:basedOn w:val="DefaultParagraphFont"/>
    <w:link w:val="Header"/>
    <w:uiPriority w:val="99"/>
    <w:rsid w:val="00445DD9"/>
    <w:rPr>
      <w:rFonts w:ascii="Helvetica" w:eastAsia="Times New Roman" w:hAnsi="Helvetica" w:cs="Times New Roman"/>
      <w:sz w:val="20"/>
      <w:szCs w:val="20"/>
      <w:lang w:val="en-US"/>
    </w:rPr>
  </w:style>
  <w:style w:type="character" w:styleId="Hyperlink">
    <w:name w:val="Hyperlink"/>
    <w:basedOn w:val="DefaultParagraphFont"/>
    <w:uiPriority w:val="99"/>
    <w:rsid w:val="00445DD9"/>
    <w:rPr>
      <w:color w:val="FF0080"/>
      <w:u w:val="single"/>
    </w:rPr>
  </w:style>
  <w:style w:type="paragraph" w:styleId="BodyText3">
    <w:name w:val="Body Text 3"/>
    <w:basedOn w:val="Normal"/>
    <w:link w:val="BodyText3Char"/>
    <w:uiPriority w:val="99"/>
    <w:rsid w:val="00445DD9"/>
    <w:pPr>
      <w:spacing w:after="120"/>
    </w:pPr>
    <w:rPr>
      <w:sz w:val="16"/>
      <w:szCs w:val="16"/>
    </w:rPr>
  </w:style>
  <w:style w:type="character" w:customStyle="1" w:styleId="BodyText3Char">
    <w:name w:val="Body Text 3 Char"/>
    <w:basedOn w:val="DefaultParagraphFont"/>
    <w:link w:val="BodyText3"/>
    <w:uiPriority w:val="99"/>
    <w:rsid w:val="00445DD9"/>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445DD9"/>
  </w:style>
  <w:style w:type="character" w:customStyle="1" w:styleId="Heading4Char">
    <w:name w:val="Heading 4 Char"/>
    <w:basedOn w:val="DefaultParagraphFont"/>
    <w:link w:val="Heading4"/>
    <w:uiPriority w:val="9"/>
    <w:rsid w:val="00445DD9"/>
    <w:rPr>
      <w:rFonts w:asciiTheme="majorHAnsi" w:eastAsiaTheme="majorEastAsia" w:hAnsiTheme="majorHAnsi" w:cstheme="majorBidi"/>
      <w:b/>
      <w:bCs/>
      <w:i/>
      <w:iCs/>
      <w:color w:val="5B9BD5" w:themeColor="accent1"/>
      <w:lang w:val="en-US"/>
    </w:rPr>
  </w:style>
  <w:style w:type="character" w:styleId="Emphasis">
    <w:name w:val="Emphasis"/>
    <w:basedOn w:val="DefaultParagraphFont"/>
    <w:uiPriority w:val="20"/>
    <w:qFormat/>
    <w:rsid w:val="00477FBD"/>
    <w:rPr>
      <w:i/>
      <w:iCs/>
    </w:rPr>
  </w:style>
  <w:style w:type="paragraph" w:styleId="NormalWeb">
    <w:name w:val="Normal (Web)"/>
    <w:basedOn w:val="Normal"/>
    <w:uiPriority w:val="99"/>
    <w:unhideWhenUsed/>
    <w:rsid w:val="00477FBD"/>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477FBD"/>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477FBD"/>
    <w:rPr>
      <w:rFonts w:asciiTheme="majorHAnsi" w:eastAsiaTheme="majorEastAsia" w:hAnsiTheme="majorHAnsi" w:cstheme="majorBidi"/>
      <w:color w:val="2E74B5" w:themeColor="accent1" w:themeShade="BF"/>
      <w:sz w:val="26"/>
      <w:szCs w:val="26"/>
      <w:lang w:val="en-US"/>
    </w:rPr>
  </w:style>
  <w:style w:type="character" w:styleId="Strong">
    <w:name w:val="Strong"/>
    <w:basedOn w:val="DefaultParagraphFont"/>
    <w:uiPriority w:val="22"/>
    <w:qFormat/>
    <w:rsid w:val="00477FBD"/>
    <w:rPr>
      <w:b/>
      <w:bCs/>
    </w:rPr>
  </w:style>
  <w:style w:type="character" w:customStyle="1" w:styleId="Heading3Char">
    <w:name w:val="Heading 3 Char"/>
    <w:basedOn w:val="DefaultParagraphFont"/>
    <w:link w:val="Heading3"/>
    <w:uiPriority w:val="9"/>
    <w:rsid w:val="00E767AB"/>
    <w:rPr>
      <w:rFonts w:asciiTheme="majorHAnsi" w:eastAsiaTheme="majorEastAsia" w:hAnsiTheme="majorHAnsi" w:cstheme="majorBidi"/>
      <w:b/>
      <w:bCs/>
      <w:color w:val="5B9BD5" w:themeColor="accent1"/>
      <w:lang w:val="en-US"/>
    </w:rPr>
  </w:style>
  <w:style w:type="character" w:customStyle="1" w:styleId="Heading5Char">
    <w:name w:val="Heading 5 Char"/>
    <w:basedOn w:val="DefaultParagraphFont"/>
    <w:link w:val="Heading5"/>
    <w:uiPriority w:val="9"/>
    <w:semiHidden/>
    <w:rsid w:val="00E767AB"/>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E767AB"/>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E767A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E767AB"/>
    <w:rPr>
      <w:rFonts w:asciiTheme="majorHAnsi" w:eastAsiaTheme="majorEastAsia" w:hAnsiTheme="majorHAnsi" w:cstheme="majorBidi"/>
      <w:color w:val="5B9BD5" w:themeColor="accent1"/>
      <w:sz w:val="20"/>
      <w:szCs w:val="20"/>
      <w:lang w:val="en-US"/>
    </w:rPr>
  </w:style>
  <w:style w:type="character" w:customStyle="1" w:styleId="Heading9Char">
    <w:name w:val="Heading 9 Char"/>
    <w:basedOn w:val="DefaultParagraphFont"/>
    <w:link w:val="Heading9"/>
    <w:uiPriority w:val="9"/>
    <w:semiHidden/>
    <w:rsid w:val="00E767AB"/>
    <w:rPr>
      <w:rFonts w:asciiTheme="majorHAnsi" w:eastAsiaTheme="majorEastAsia" w:hAnsiTheme="majorHAnsi" w:cstheme="majorBidi"/>
      <w:i/>
      <w:iCs/>
      <w:color w:val="404040" w:themeColor="text1" w:themeTint="BF"/>
      <w:sz w:val="20"/>
      <w:szCs w:val="20"/>
      <w:lang w:val="en-US"/>
    </w:rPr>
  </w:style>
  <w:style w:type="paragraph" w:styleId="NoSpacing">
    <w:name w:val="No Spacing"/>
    <w:uiPriority w:val="1"/>
    <w:qFormat/>
    <w:rsid w:val="00E767AB"/>
    <w:pPr>
      <w:spacing w:after="0" w:line="240" w:lineRule="auto"/>
    </w:pPr>
    <w:rPr>
      <w:rFonts w:eastAsiaTheme="minorEastAsia"/>
      <w:lang w:val="en-US"/>
    </w:rPr>
  </w:style>
  <w:style w:type="paragraph" w:styleId="Subtitle">
    <w:name w:val="Subtitle"/>
    <w:basedOn w:val="Normal"/>
    <w:next w:val="Normal"/>
    <w:link w:val="SubtitleChar"/>
    <w:uiPriority w:val="11"/>
    <w:qFormat/>
    <w:rsid w:val="00E767A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767AB"/>
    <w:rPr>
      <w:rFonts w:asciiTheme="majorHAnsi" w:eastAsiaTheme="majorEastAsia" w:hAnsiTheme="majorHAnsi" w:cstheme="majorBidi"/>
      <w:i/>
      <w:iCs/>
      <w:color w:val="5B9BD5" w:themeColor="accent1"/>
      <w:spacing w:val="15"/>
      <w:sz w:val="24"/>
      <w:szCs w:val="24"/>
      <w:lang w:val="en-US"/>
    </w:rPr>
  </w:style>
  <w:style w:type="paragraph" w:styleId="ListParagraph">
    <w:name w:val="List Paragraph"/>
    <w:basedOn w:val="Normal"/>
    <w:uiPriority w:val="34"/>
    <w:qFormat/>
    <w:rsid w:val="00E767AB"/>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E767AB"/>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767AB"/>
    <w:rPr>
      <w:rFonts w:eastAsiaTheme="minorEastAsia"/>
      <w:lang w:val="en-US"/>
    </w:rPr>
  </w:style>
  <w:style w:type="paragraph" w:styleId="BodyText2">
    <w:name w:val="Body Text 2"/>
    <w:basedOn w:val="Normal"/>
    <w:link w:val="BodyText2Char"/>
    <w:uiPriority w:val="99"/>
    <w:unhideWhenUsed/>
    <w:rsid w:val="00E767AB"/>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E767AB"/>
    <w:rPr>
      <w:rFonts w:eastAsiaTheme="minorEastAsia"/>
      <w:lang w:val="en-US"/>
    </w:rPr>
  </w:style>
  <w:style w:type="paragraph" w:styleId="List">
    <w:name w:val="List"/>
    <w:basedOn w:val="Normal"/>
    <w:uiPriority w:val="99"/>
    <w:unhideWhenUsed/>
    <w:rsid w:val="00E767AB"/>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E767AB"/>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E767AB"/>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E767AB"/>
    <w:pPr>
      <w:numPr>
        <w:numId w:val="2"/>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767AB"/>
    <w:pPr>
      <w:numPr>
        <w:numId w:val="3"/>
      </w:numPr>
      <w:spacing w:after="200" w:line="276" w:lineRule="auto"/>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E767AB"/>
    <w:pPr>
      <w:numPr>
        <w:numId w:val="4"/>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E767AB"/>
    <w:pPr>
      <w:numPr>
        <w:numId w:val="6"/>
      </w:numPr>
      <w:spacing w:after="200" w:line="276" w:lineRule="auto"/>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E767AB"/>
    <w:pPr>
      <w:numPr>
        <w:numId w:val="7"/>
      </w:numPr>
      <w:spacing w:after="200" w:line="276" w:lineRule="auto"/>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E767AB"/>
    <w:pPr>
      <w:numPr>
        <w:numId w:val="8"/>
      </w:numPr>
      <w:spacing w:after="200" w:line="276" w:lineRule="auto"/>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E767AB"/>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E767AB"/>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E767AB"/>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E767A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E767AB"/>
    <w:rPr>
      <w:rFonts w:ascii="Courier" w:eastAsiaTheme="minorEastAsia" w:hAnsi="Courier"/>
      <w:sz w:val="20"/>
      <w:szCs w:val="20"/>
      <w:lang w:val="en-US"/>
    </w:rPr>
  </w:style>
  <w:style w:type="paragraph" w:styleId="Quote">
    <w:name w:val="Quote"/>
    <w:basedOn w:val="Normal"/>
    <w:next w:val="Normal"/>
    <w:link w:val="QuoteChar"/>
    <w:uiPriority w:val="29"/>
    <w:qFormat/>
    <w:rsid w:val="00E767AB"/>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E767AB"/>
    <w:rPr>
      <w:rFonts w:eastAsiaTheme="minorEastAsia"/>
      <w:i/>
      <w:iCs/>
      <w:color w:val="000000" w:themeColor="text1"/>
      <w:lang w:val="en-US"/>
    </w:rPr>
  </w:style>
  <w:style w:type="paragraph" w:styleId="Caption">
    <w:name w:val="caption"/>
    <w:basedOn w:val="Normal"/>
    <w:next w:val="Normal"/>
    <w:uiPriority w:val="35"/>
    <w:semiHidden/>
    <w:unhideWhenUsed/>
    <w:qFormat/>
    <w:rsid w:val="00E767AB"/>
    <w:pPr>
      <w:spacing w:after="200"/>
    </w:pPr>
    <w:rPr>
      <w:rFonts w:asciiTheme="minorHAnsi" w:eastAsiaTheme="minorEastAsia" w:hAnsiTheme="minorHAnsi" w:cstheme="minorBidi"/>
      <w:b/>
      <w:bCs/>
      <w:color w:val="5B9BD5" w:themeColor="accent1"/>
      <w:sz w:val="18"/>
      <w:szCs w:val="18"/>
    </w:rPr>
  </w:style>
  <w:style w:type="paragraph" w:styleId="IntenseQuote">
    <w:name w:val="Intense Quote"/>
    <w:basedOn w:val="Normal"/>
    <w:next w:val="Normal"/>
    <w:link w:val="IntenseQuoteChar"/>
    <w:uiPriority w:val="30"/>
    <w:qFormat/>
    <w:rsid w:val="00E767AB"/>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E767AB"/>
    <w:rPr>
      <w:rFonts w:eastAsiaTheme="minorEastAsia"/>
      <w:b/>
      <w:bCs/>
      <w:i/>
      <w:iCs/>
      <w:color w:val="5B9BD5" w:themeColor="accent1"/>
      <w:lang w:val="en-US"/>
    </w:rPr>
  </w:style>
  <w:style w:type="character" w:styleId="SubtleEmphasis">
    <w:name w:val="Subtle Emphasis"/>
    <w:basedOn w:val="DefaultParagraphFont"/>
    <w:uiPriority w:val="19"/>
    <w:qFormat/>
    <w:rsid w:val="00E767AB"/>
    <w:rPr>
      <w:i/>
      <w:iCs/>
      <w:color w:val="808080" w:themeColor="text1" w:themeTint="7F"/>
    </w:rPr>
  </w:style>
  <w:style w:type="character" w:styleId="IntenseEmphasis">
    <w:name w:val="Intense Emphasis"/>
    <w:basedOn w:val="DefaultParagraphFont"/>
    <w:uiPriority w:val="21"/>
    <w:qFormat/>
    <w:rsid w:val="00E767AB"/>
    <w:rPr>
      <w:b/>
      <w:bCs/>
      <w:i/>
      <w:iCs/>
      <w:color w:val="5B9BD5" w:themeColor="accent1"/>
    </w:rPr>
  </w:style>
  <w:style w:type="character" w:styleId="SubtleReference">
    <w:name w:val="Subtle Reference"/>
    <w:basedOn w:val="DefaultParagraphFont"/>
    <w:uiPriority w:val="31"/>
    <w:qFormat/>
    <w:rsid w:val="00E767AB"/>
    <w:rPr>
      <w:smallCaps/>
      <w:color w:val="ED7D31" w:themeColor="accent2"/>
      <w:u w:val="single"/>
    </w:rPr>
  </w:style>
  <w:style w:type="character" w:styleId="IntenseReference">
    <w:name w:val="Intense Reference"/>
    <w:basedOn w:val="DefaultParagraphFont"/>
    <w:uiPriority w:val="32"/>
    <w:qFormat/>
    <w:rsid w:val="00E767AB"/>
    <w:rPr>
      <w:b/>
      <w:bCs/>
      <w:smallCaps/>
      <w:color w:val="ED7D31" w:themeColor="accent2"/>
      <w:spacing w:val="5"/>
      <w:u w:val="single"/>
    </w:rPr>
  </w:style>
  <w:style w:type="character" w:styleId="BookTitle">
    <w:name w:val="Book Title"/>
    <w:basedOn w:val="DefaultParagraphFont"/>
    <w:uiPriority w:val="33"/>
    <w:qFormat/>
    <w:rsid w:val="00E767AB"/>
    <w:rPr>
      <w:b/>
      <w:bCs/>
      <w:smallCaps/>
      <w:spacing w:val="5"/>
    </w:rPr>
  </w:style>
  <w:style w:type="paragraph" w:styleId="TOCHeading">
    <w:name w:val="TOC Heading"/>
    <w:basedOn w:val="Heading1"/>
    <w:next w:val="Normal"/>
    <w:uiPriority w:val="39"/>
    <w:semiHidden/>
    <w:unhideWhenUsed/>
    <w:qFormat/>
    <w:rsid w:val="00E767AB"/>
    <w:pPr>
      <w:spacing w:before="480" w:line="276" w:lineRule="auto"/>
      <w:outlineLvl w:val="9"/>
    </w:pPr>
    <w:rPr>
      <w:b/>
      <w:bCs/>
      <w:sz w:val="28"/>
      <w:szCs w:val="28"/>
    </w:rPr>
  </w:style>
  <w:style w:type="table" w:styleId="TableGrid">
    <w:name w:val="Table Grid"/>
    <w:basedOn w:val="TableNormal"/>
    <w:uiPriority w:val="39"/>
    <w:rsid w:val="00E767A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767A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767AB"/>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E767A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767A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767A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767AB"/>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E767A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E767AB"/>
  </w:style>
  <w:style w:type="character" w:customStyle="1" w:styleId="mord">
    <w:name w:val="mord"/>
    <w:basedOn w:val="DefaultParagraphFont"/>
    <w:rsid w:val="00E767AB"/>
  </w:style>
  <w:style w:type="character" w:customStyle="1" w:styleId="mrel">
    <w:name w:val="mrel"/>
    <w:basedOn w:val="DefaultParagraphFont"/>
    <w:rsid w:val="00E767AB"/>
  </w:style>
  <w:style w:type="character" w:customStyle="1" w:styleId="mbin">
    <w:name w:val="mbin"/>
    <w:basedOn w:val="DefaultParagraphFont"/>
    <w:rsid w:val="00E767AB"/>
  </w:style>
  <w:style w:type="character" w:customStyle="1" w:styleId="vlist-s">
    <w:name w:val="vlist-s"/>
    <w:basedOn w:val="DefaultParagraphFont"/>
    <w:rsid w:val="00E767AB"/>
  </w:style>
  <w:style w:type="table" w:customStyle="1" w:styleId="ListTable6Colorful1">
    <w:name w:val="List Table 6 Colorful1"/>
    <w:basedOn w:val="TableNormal"/>
    <w:uiPriority w:val="51"/>
    <w:rsid w:val="00E767AB"/>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il">
    <w:name w:val="il"/>
    <w:basedOn w:val="DefaultParagraphFont"/>
    <w:rsid w:val="00E767AB"/>
  </w:style>
  <w:style w:type="table" w:styleId="ListTable6Colorful">
    <w:name w:val="List Table 6 Colorful"/>
    <w:basedOn w:val="TableNormal"/>
    <w:uiPriority w:val="51"/>
    <w:rsid w:val="008B5BA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27</Pages>
  <Words>9871</Words>
  <Characters>56268</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15</cp:revision>
  <dcterms:created xsi:type="dcterms:W3CDTF">2026-05-05T00:42:00Z</dcterms:created>
  <dcterms:modified xsi:type="dcterms:W3CDTF">2026-05-12T06:44:00Z</dcterms:modified>
</cp:coreProperties>
</file>