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73A5" w14:textId="77777777" w:rsidR="004F164E" w:rsidRPr="004F164E" w:rsidRDefault="004F164E" w:rsidP="00FB255D">
      <w:pPr>
        <w:spacing w:before="100" w:beforeAutospacing="1" w:after="100" w:afterAutospacing="1" w:line="240" w:lineRule="auto"/>
        <w:jc w:val="both"/>
        <w:outlineLvl w:val="1"/>
        <w:rPr>
          <w:rFonts w:ascii="Times New Roman" w:eastAsia="Times New Roman" w:hAnsi="Times New Roman" w:cs="Times New Roman"/>
          <w:b/>
          <w:bCs/>
          <w:i/>
          <w:iCs/>
          <w:sz w:val="36"/>
          <w:szCs w:val="36"/>
          <w:u w:val="single"/>
          <w:lang w:val="en-US"/>
        </w:rPr>
      </w:pPr>
      <w:r w:rsidRPr="004F164E">
        <w:rPr>
          <w:rFonts w:ascii="Times New Roman" w:eastAsia="Times New Roman" w:hAnsi="Times New Roman" w:cs="Times New Roman"/>
          <w:b/>
          <w:bCs/>
          <w:i/>
          <w:iCs/>
          <w:sz w:val="36"/>
          <w:szCs w:val="36"/>
          <w:u w:val="single"/>
          <w:lang w:val="en-US"/>
        </w:rPr>
        <w:t>Review Article</w:t>
      </w:r>
    </w:p>
    <w:p w14:paraId="55D3FA81" w14:textId="77777777" w:rsidR="003D234F" w:rsidRPr="000D22AE" w:rsidRDefault="003D234F" w:rsidP="00FB255D">
      <w:pPr>
        <w:spacing w:before="100" w:beforeAutospacing="1" w:after="100" w:afterAutospacing="1" w:line="240" w:lineRule="auto"/>
        <w:jc w:val="both"/>
        <w:outlineLvl w:val="1"/>
        <w:rPr>
          <w:rFonts w:ascii="Times New Roman" w:eastAsia="Times New Roman" w:hAnsi="Times New Roman" w:cs="Times New Roman"/>
          <w:b/>
          <w:sz w:val="48"/>
          <w:szCs w:val="48"/>
        </w:rPr>
      </w:pPr>
      <w:r w:rsidRPr="000D22AE">
        <w:rPr>
          <w:b/>
          <w:sz w:val="36"/>
          <w:szCs w:val="36"/>
          <w:highlight w:val="yellow"/>
        </w:rPr>
        <w:t>Patenting Plant Biotechnology Innovations: Legal Frameworks, Limitations, and Ethical Implications</w:t>
      </w:r>
      <w:r w:rsidRPr="000D22AE" w:rsidDel="003D234F">
        <w:rPr>
          <w:rFonts w:ascii="Times New Roman" w:eastAsia="Times New Roman" w:hAnsi="Times New Roman" w:cs="Times New Roman"/>
          <w:b/>
          <w:sz w:val="48"/>
          <w:szCs w:val="48"/>
        </w:rPr>
        <w:t xml:space="preserve"> </w:t>
      </w:r>
    </w:p>
    <w:p w14:paraId="1B8A7AC1"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2A941063"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Abstract</w:t>
      </w:r>
    </w:p>
    <w:p w14:paraId="0D456A61" w14:textId="23987DC3"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patenting of biotechnology innovations in plant breeding occupies one of the most contested intersections of intellectual property law, agricultural science, and global ethics. Over the past five decades, the expansion of utility patents, plant variety rights, and related forms of intellectual property protection to encompass seeds, genetic traits, gene-editing tools, and biological processes has reshaped the landscape of crop improvement worldwide. This review critically examines the scope of patent protection currently afforded to plant biotechnology innovations, surveys the principal limitations that constrain both patentees and those who seek freedom to operate, and engages systematically with the ethical concerns that have accumulated around these developments. </w:t>
      </w:r>
      <w:r w:rsidR="003B3C04" w:rsidRPr="000D22AE">
        <w:rPr>
          <w:rFonts w:ascii="Times New Roman" w:eastAsia="Times New Roman" w:hAnsi="Times New Roman" w:cs="Times New Roman"/>
          <w:sz w:val="24"/>
          <w:szCs w:val="24"/>
          <w:highlight w:val="yellow"/>
        </w:rPr>
        <w:t>Literature for this review was identified through systematic searches of the following databases: Web of Science, Scopus, Google Scholar, PubMed, AGRIS (FAO Global Index of Agricultural Research), CAB Abstracts, the JSTOR Global Plant Science Collection, WIPO PATENTSCOPE (for regulatory and legislative background), and the Social Science Research Network (SSRN) for pre-publication working papers in law and economics.</w:t>
      </w:r>
      <w:r w:rsidR="003B3C04">
        <w:rPr>
          <w:rFonts w:ascii="Times New Roman" w:eastAsia="Times New Roman" w:hAnsi="Times New Roman" w:cs="Times New Roman"/>
          <w:sz w:val="24"/>
          <w:szCs w:val="24"/>
        </w:rPr>
        <w:t xml:space="preserve"> </w:t>
      </w:r>
      <w:r w:rsidRPr="004137AA">
        <w:rPr>
          <w:rFonts w:ascii="Times New Roman" w:eastAsia="Times New Roman" w:hAnsi="Times New Roman" w:cs="Times New Roman"/>
          <w:sz w:val="24"/>
          <w:szCs w:val="24"/>
        </w:rPr>
        <w:t>The article traces the evolution of the international legal framework from the foundational TRIPS Agreement and the UPOV Convention through to the 2024 WIPO Treaty on Intellectual Property, Genetic Resources and Associated Traditional Knowledge. It examines how recent genomic technologies, particularly CRISPR-Cas genome editing, are generating unprecedented patent complexity, and considers how regulatory debates in the European Union illustrate the broader tensions between innovation incentives and public interest imperatives. The concentration of patent portfolios within a small number of transnational agrochemical corporations is analysed in relation to seed market consolidation, rising seed prices, and narrowing access to genetic resources for public-sector breeders and smallholder farmers. Ethical concerns addressed include biopiracy, the erosion of farmers' seed-saving rights, the threat to agrobiodiversity, and the inequitable distribution of biotechnological benefits between the Global North and Global South. The review also considers emerging alternative models, including open-source licensing and digital sequence information governance frameworks, and reflects on the contested future of intellectual property in plant breeding.</w:t>
      </w:r>
    </w:p>
    <w:p w14:paraId="3B0EB87F" w14:textId="25ECB14B"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F00472">
        <w:rPr>
          <w:rFonts w:ascii="Times New Roman" w:eastAsia="Times New Roman" w:hAnsi="Times New Roman" w:cs="Times New Roman"/>
          <w:b/>
          <w:bCs/>
          <w:sz w:val="24"/>
          <w:szCs w:val="24"/>
          <w:highlight w:val="yellow"/>
        </w:rPr>
        <w:t>Keywords:</w:t>
      </w:r>
      <w:r w:rsidRPr="00F00472">
        <w:rPr>
          <w:rFonts w:ascii="Times New Roman" w:eastAsia="Times New Roman" w:hAnsi="Times New Roman" w:cs="Times New Roman"/>
          <w:sz w:val="24"/>
          <w:szCs w:val="24"/>
          <w:highlight w:val="yellow"/>
        </w:rPr>
        <w:t xml:space="preserve"> </w:t>
      </w:r>
      <w:r w:rsidR="00F00472" w:rsidRPr="00F00472">
        <w:rPr>
          <w:rFonts w:ascii="Times New Roman" w:eastAsia="Times New Roman" w:hAnsi="Times New Roman" w:cs="Times New Roman"/>
          <w:sz w:val="24"/>
          <w:szCs w:val="24"/>
          <w:highlight w:val="yellow"/>
        </w:rPr>
        <w:t>P</w:t>
      </w:r>
      <w:r w:rsidRPr="00F00472">
        <w:rPr>
          <w:rFonts w:ascii="Times New Roman" w:eastAsia="Times New Roman" w:hAnsi="Times New Roman" w:cs="Times New Roman"/>
          <w:sz w:val="24"/>
          <w:szCs w:val="24"/>
          <w:highlight w:val="yellow"/>
        </w:rPr>
        <w:t>lant biotechnology; CRISPR; gene editing; UPOV Convention; biopiracy; farmers' rights; agrobiodiversity; digital sequence information; seed industry consolidation</w:t>
      </w:r>
    </w:p>
    <w:p w14:paraId="3EC8AEE3"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33EA10A2"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1. Introduction</w:t>
      </w:r>
    </w:p>
    <w:p w14:paraId="358CEC59"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1.1 Background and Context</w:t>
      </w:r>
    </w:p>
    <w:p w14:paraId="7A53CF78" w14:textId="64A8DE61" w:rsidR="004137AA" w:rsidRPr="004137AA" w:rsidRDefault="003C10E7" w:rsidP="00FB255D">
      <w:pPr>
        <w:spacing w:before="100" w:beforeAutospacing="1" w:after="100" w:afterAutospacing="1" w:line="240" w:lineRule="auto"/>
        <w:jc w:val="both"/>
        <w:rPr>
          <w:rFonts w:ascii="Times New Roman" w:eastAsia="Times New Roman" w:hAnsi="Times New Roman" w:cs="Times New Roman"/>
          <w:sz w:val="24"/>
          <w:szCs w:val="24"/>
        </w:rPr>
      </w:pPr>
      <w:r w:rsidRPr="000D22AE">
        <w:rPr>
          <w:rFonts w:ascii="Times New Roman" w:hAnsi="Times New Roman" w:cs="Times New Roman"/>
          <w:color w:val="333333"/>
          <w:highlight w:val="yellow"/>
          <w:shd w:val="clear" w:color="auto" w:fill="FFFFFF"/>
        </w:rPr>
        <w:lastRenderedPageBreak/>
        <w:t>Patenting biotechnological inventions poses unique requirements due to the complex nature of biological molecules and processes. Additionally, biotechnological inventions often intersect with ethical, environmental, and public health considerations, which further increases the hurdles in the patenting process</w:t>
      </w:r>
      <w:r w:rsidR="00D75D07" w:rsidRPr="000D22AE">
        <w:rPr>
          <w:rFonts w:ascii="Times New Roman" w:hAnsi="Times New Roman" w:cs="Times New Roman"/>
          <w:color w:val="333333"/>
          <w:highlight w:val="yellow"/>
          <w:shd w:val="clear" w:color="auto" w:fill="FFFFFF"/>
        </w:rPr>
        <w:t xml:space="preserve"> (</w:t>
      </w:r>
      <w:proofErr w:type="spellStart"/>
      <w:r w:rsidR="00D75D07" w:rsidRPr="000D22AE">
        <w:rPr>
          <w:rFonts w:ascii="Times New Roman" w:hAnsi="Times New Roman" w:cs="Times New Roman"/>
          <w:color w:val="222222"/>
          <w:highlight w:val="yellow"/>
          <w:shd w:val="clear" w:color="auto" w:fill="FFFFFF"/>
        </w:rPr>
        <w:t>Sinhmar</w:t>
      </w:r>
      <w:proofErr w:type="spellEnd"/>
      <w:r w:rsidR="00D75D07" w:rsidRPr="000D22AE">
        <w:rPr>
          <w:rFonts w:ascii="Times New Roman" w:hAnsi="Times New Roman" w:cs="Times New Roman"/>
          <w:color w:val="222222"/>
          <w:highlight w:val="yellow"/>
          <w:shd w:val="clear" w:color="auto" w:fill="FFFFFF"/>
        </w:rPr>
        <w:t xml:space="preserve"> &amp; Purohit, 2025</w:t>
      </w:r>
      <w:r w:rsidR="00D75D07" w:rsidRPr="000D22AE">
        <w:rPr>
          <w:rFonts w:ascii="Times New Roman" w:hAnsi="Times New Roman" w:cs="Times New Roman"/>
          <w:color w:val="333333"/>
          <w:highlight w:val="yellow"/>
          <w:shd w:val="clear" w:color="auto" w:fill="FFFFFF"/>
        </w:rPr>
        <w:t>)</w:t>
      </w:r>
      <w:r w:rsidRPr="000D22AE">
        <w:rPr>
          <w:rFonts w:ascii="Times New Roman" w:hAnsi="Times New Roman" w:cs="Times New Roman"/>
          <w:color w:val="333333"/>
          <w:highlight w:val="yellow"/>
          <w:shd w:val="clear" w:color="auto" w:fill="FFFFFF"/>
        </w:rPr>
        <w:t>.</w:t>
      </w:r>
      <w:r w:rsidRPr="00062882">
        <w:rPr>
          <w:rFonts w:ascii="Times New Roman" w:eastAsia="Times New Roman" w:hAnsi="Times New Roman" w:cs="Times New Roman"/>
          <w:sz w:val="24"/>
          <w:szCs w:val="24"/>
        </w:rPr>
        <w:t xml:space="preserve"> </w:t>
      </w:r>
      <w:r w:rsidR="004137AA" w:rsidRPr="004137AA">
        <w:rPr>
          <w:rFonts w:ascii="Times New Roman" w:eastAsia="Times New Roman" w:hAnsi="Times New Roman" w:cs="Times New Roman"/>
          <w:sz w:val="24"/>
          <w:szCs w:val="24"/>
        </w:rPr>
        <w:t>The capacity of human societies to feed themselves has always depended, in part, on the ability of farmers and plant breeders to develop improved crop varieties. For the greater part of agricultural history, this process was a diffuse, collective, and largely open enterprise; seeds were saved, shared, adapted, and exchanged across generations and communities without formal restriction. The emergence of commercial plant breeding in the late nineteenth century, and the subsequent industrialisation of seed markets in the twentieth, progressively altered this relationship, introducing legal instruments designed to secure proprietary returns on breeding investments. Intellectual property rights (IPRs) for plant innovations emerged in stages, beginning with the United States Plant Patent Act of 1930 and culminating in the broadening, through successive national and international instruments, of patent protection to encompass the genetic sequences, biological processes, and genomic tools that underpin contemporary agricultural biotechnology.</w:t>
      </w:r>
      <w:r w:rsidR="00062882">
        <w:rPr>
          <w:rFonts w:ascii="Times New Roman" w:eastAsia="Times New Roman" w:hAnsi="Times New Roman" w:cs="Times New Roman"/>
          <w:sz w:val="24"/>
          <w:szCs w:val="24"/>
        </w:rPr>
        <w:t xml:space="preserve"> </w:t>
      </w:r>
      <w:r w:rsidR="00062882" w:rsidRPr="000D22AE">
        <w:rPr>
          <w:rFonts w:ascii="Segoe UI" w:hAnsi="Segoe UI" w:cs="Segoe UI"/>
          <w:color w:val="212121"/>
          <w:highlight w:val="yellow"/>
          <w:shd w:val="clear" w:color="auto" w:fill="FFFFFF"/>
        </w:rPr>
        <w:t>The intellectual property protection of biotechnology-related subject matter is undergoing significant change and several countries have revised their legislation and/or patent practice as a result of challenges from industry and members of the public. Plant-related subject matter can be protected using plant variety protection, utility patents or, in the USA, by plant patent. Although easier to obtain than a utility patent, plant variety protection does not provide the same scope of protection. Protecting a plant using a utility patent is permitted only in countries that allow the patenting of higher life forms and requires a higher degree of experimental support than is required for plant variety protection, although the scope of protection is being steadily reduced</w:t>
      </w:r>
      <w:r w:rsidR="00062882">
        <w:rPr>
          <w:rFonts w:ascii="Segoe UI" w:hAnsi="Segoe UI" w:cs="Segoe UI"/>
          <w:color w:val="212121"/>
          <w:highlight w:val="yellow"/>
          <w:shd w:val="clear" w:color="auto" w:fill="FFFFFF"/>
        </w:rPr>
        <w:t xml:space="preserve"> (</w:t>
      </w:r>
      <w:proofErr w:type="spellStart"/>
      <w:r w:rsidR="00062882" w:rsidRPr="00431783">
        <w:rPr>
          <w:rFonts w:ascii="Arial" w:hAnsi="Arial" w:cs="Arial"/>
          <w:color w:val="222222"/>
          <w:sz w:val="20"/>
          <w:szCs w:val="20"/>
          <w:highlight w:val="yellow"/>
          <w:shd w:val="clear" w:color="auto" w:fill="FFFFFF"/>
        </w:rPr>
        <w:t>Sechley</w:t>
      </w:r>
      <w:proofErr w:type="spellEnd"/>
      <w:r w:rsidR="00062882">
        <w:rPr>
          <w:rFonts w:ascii="Arial" w:hAnsi="Arial" w:cs="Arial"/>
          <w:color w:val="222222"/>
          <w:sz w:val="20"/>
          <w:szCs w:val="20"/>
          <w:highlight w:val="yellow"/>
          <w:shd w:val="clear" w:color="auto" w:fill="FFFFFF"/>
        </w:rPr>
        <w:t xml:space="preserve"> </w:t>
      </w:r>
      <w:r w:rsidR="00062882" w:rsidRPr="00431783">
        <w:rPr>
          <w:rFonts w:ascii="Arial" w:hAnsi="Arial" w:cs="Arial"/>
          <w:color w:val="222222"/>
          <w:sz w:val="20"/>
          <w:szCs w:val="20"/>
          <w:highlight w:val="yellow"/>
          <w:shd w:val="clear" w:color="auto" w:fill="FFFFFF"/>
        </w:rPr>
        <w:t>&amp; Schroeder, 2002</w:t>
      </w:r>
      <w:r w:rsidR="00062882">
        <w:rPr>
          <w:rFonts w:ascii="Segoe UI" w:hAnsi="Segoe UI" w:cs="Segoe UI"/>
          <w:color w:val="212121"/>
          <w:highlight w:val="yellow"/>
          <w:shd w:val="clear" w:color="auto" w:fill="FFFFFF"/>
        </w:rPr>
        <w:t>)</w:t>
      </w:r>
      <w:r w:rsidR="00062882" w:rsidRPr="000D22AE">
        <w:rPr>
          <w:rFonts w:ascii="Segoe UI" w:hAnsi="Segoe UI" w:cs="Segoe UI"/>
          <w:color w:val="212121"/>
          <w:highlight w:val="yellow"/>
          <w:shd w:val="clear" w:color="auto" w:fill="FFFFFF"/>
        </w:rPr>
        <w:t>.</w:t>
      </w:r>
    </w:p>
    <w:p w14:paraId="7C4B372F"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current system rests on several interlocking frameworks. The Agreement on Trade-Related Aspects of Intellectual Property Rights (TRIPS), adopted in 1994 as part of the establishment of the World Trade Organisation, obliged all member states to provide effective protection for plant varieties, either through patents or a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system, and prohibited the wholesale exclusion of plant-related inventions from patent protection (Wu, 2024). The International Convention for the Protection of New Varieties of Plants (UPOV Convention), now in its 1991 revision, provides the dominant multilateral model for plant variety rights (PVRs), sometimes called plant breeders' rights (PBRs), offering an alternative or complementary system to utility patents (Yu &amp; Chung, 2021). Layered atop these instruments are national patent regimes, the European Patent Convention, and a growing body of bilateral agreements, administrative decisions, and court rulings that together determine what can and cannot be patented in the realm of plant biology.</w:t>
      </w:r>
    </w:p>
    <w:p w14:paraId="6C910B5F"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advent of modern biotechnology dramatically expanded the scope of what was patentable. The landmark US Supreme Court ruling in </w:t>
      </w:r>
      <w:r w:rsidRPr="004137AA">
        <w:rPr>
          <w:rFonts w:ascii="Times New Roman" w:eastAsia="Times New Roman" w:hAnsi="Times New Roman" w:cs="Times New Roman"/>
          <w:i/>
          <w:iCs/>
          <w:sz w:val="24"/>
          <w:szCs w:val="24"/>
        </w:rPr>
        <w:t>Diamond v. Chakrabarty</w:t>
      </w:r>
      <w:r w:rsidRPr="004137AA">
        <w:rPr>
          <w:rFonts w:ascii="Times New Roman" w:eastAsia="Times New Roman" w:hAnsi="Times New Roman" w:cs="Times New Roman"/>
          <w:sz w:val="24"/>
          <w:szCs w:val="24"/>
        </w:rPr>
        <w:t xml:space="preserve"> (1980) established that living organisms produced by human ingenuity could constitute patentable subject matter, opening the door to the patenting of transgenic plants and eventually their component genetic sequences (Clancy &amp; Moschini, 2017). The commercialisation of genetically modified (GM) crops in the 1990s brought the first wave of broad agricultural biotechnology patents, many held by large agrochemical firms, and catalysed a period of rapid consolidation in the global seed industry (Howard, 2015). More recently, the development of CRISPR-Cas genome editing systems has added a further layer of complexity, with two rival patent estates — one originating at the University of California, </w:t>
      </w:r>
      <w:r w:rsidRPr="004137AA">
        <w:rPr>
          <w:rFonts w:ascii="Times New Roman" w:eastAsia="Times New Roman" w:hAnsi="Times New Roman" w:cs="Times New Roman"/>
          <w:sz w:val="24"/>
          <w:szCs w:val="24"/>
        </w:rPr>
        <w:lastRenderedPageBreak/>
        <w:t>Berkeley, and another at the Broad Institute of MIT and Harvard — contesting priority rights over fundamental technologies with enormous agricultural application (Chang, 2023).</w:t>
      </w:r>
    </w:p>
    <w:p w14:paraId="136E1AC0" w14:textId="6C31C0B9" w:rsid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social and ethical consequences of this system have attracted sustained critical attention. Concerns include the appropriation of genetic resources and traditional knowledge from developing countries without fair compensation (biopiracy), the curtailment of farmers' rights to save and replant seed, the concentration of market and innovation power in the hands of a small number of transnational corporations, the threat that uniform commercial varieties and private seed systems pose to agrobiodiversity, and the differential access to the products of publicly funded genomic research (Qaim, 2020; Khoury et al., 2022; Bartkowski et al., 2018). These concerns are no longer confined to academic debate; they are actively shaping regulatory negotiations at the international level, including the recently concluded 2024 WIPO Treaty on Intellectual Property, Genetic Resources and Associated Traditional Knowledge, and the ongoing European Union legislative process concerning new genomic techniques (Perron-Welch, 2025; Jiang et al., 2025).</w:t>
      </w:r>
    </w:p>
    <w:p w14:paraId="4BBB7D28" w14:textId="77777777" w:rsidR="00B66131" w:rsidRPr="004137AA" w:rsidRDefault="00B66131" w:rsidP="00FB255D">
      <w:pPr>
        <w:spacing w:before="100" w:beforeAutospacing="1" w:after="100" w:afterAutospacing="1" w:line="240" w:lineRule="auto"/>
        <w:jc w:val="both"/>
        <w:rPr>
          <w:rFonts w:ascii="Times New Roman" w:eastAsia="Times New Roman" w:hAnsi="Times New Roman" w:cs="Times New Roman"/>
          <w:sz w:val="24"/>
          <w:szCs w:val="24"/>
        </w:rPr>
      </w:pPr>
    </w:p>
    <w:p w14:paraId="0204E622"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1.2 Scope and Objectives</w:t>
      </w:r>
    </w:p>
    <w:p w14:paraId="10FD6A8A"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This review has five principal objectives. First, it provides a structured account of the legal landscape governing the patenting of plant biotechnology innovations, with attention to both the opportunities and the structural limitations of current frameworks. Second, it examines how emerging technologies — particularly CRISPR-based genome editing — are intensifying tensions within existing intellectual property systems. Third, it critically analyses the economic and competitive consequences of IP concentration in the global seed industry. Fourth, it surveys the ethical dimensions of plant biotechnology patenting across a range of issues from biopiracy and traditional knowledge to food security and biodiversity. Fifth, it considers emerging alternative models and governance proposals. The review does not address medical biotechnology except where patent law principles apply equally to plant and human applications. Policy recommendations are discussed analytically rather than prescriptively, in keeping with the critical review format.</w:t>
      </w:r>
    </w:p>
    <w:p w14:paraId="64ECEED9"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7093ECF2"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2. Methods for Literature Selection</w:t>
      </w:r>
    </w:p>
    <w:p w14:paraId="75F5F240"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2.1 Databases and Search Strategy</w:t>
      </w:r>
    </w:p>
    <w:p w14:paraId="775B88A4"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Literature for this review was identified through systematic searches of the following databases: Web of Science, Scopus, Google Scholar, PubMed, AGRIS (FAO Global Index of Agricultural Research), CAB Abstracts, the JSTOR Global Plant Science Collection, WIPO PATENTSCOPE (for regulatory and legislative background), and the Social Science Research Network (SSRN) for pre-publication working papers in law and economics. For legal and policy documents, the EUR-Lex database of European Union legislation and the WIPO Legal Database were additionally consulted.</w:t>
      </w:r>
    </w:p>
    <w:p w14:paraId="0D96047A"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Search queries employed combinations of the following terms: </w:t>
      </w:r>
      <w:r w:rsidRPr="004137AA">
        <w:rPr>
          <w:rFonts w:ascii="Times New Roman" w:eastAsia="Times New Roman" w:hAnsi="Times New Roman" w:cs="Times New Roman"/>
          <w:i/>
          <w:iCs/>
          <w:sz w:val="24"/>
          <w:szCs w:val="24"/>
        </w:rPr>
        <w:t xml:space="preserve">plant patents; plant variety rights; plant breeders' rights; biotechnology patents; UPOV Convention; TRIPS Article 27.3(b); CRISPR-Cas patents; gene editing intellectual property; new genomic techniques </w:t>
      </w:r>
      <w:r w:rsidRPr="004137AA">
        <w:rPr>
          <w:rFonts w:ascii="Times New Roman" w:eastAsia="Times New Roman" w:hAnsi="Times New Roman" w:cs="Times New Roman"/>
          <w:i/>
          <w:iCs/>
          <w:sz w:val="24"/>
          <w:szCs w:val="24"/>
        </w:rPr>
        <w:lastRenderedPageBreak/>
        <w:t>regulation; new plant breeding techniques; biopiracy; traditional knowledge; farmers' rights; seed saving; agrobiodiversity; digital sequence information; access and benefit sharing; Nagoya Protocol; ITPGRFA; seed industry consolidation; open source seed; patent thickets; essentially biological processes; European Patent Office</w:t>
      </w:r>
      <w:r w:rsidRPr="004137AA">
        <w:rPr>
          <w:rFonts w:ascii="Times New Roman" w:eastAsia="Times New Roman" w:hAnsi="Times New Roman" w:cs="Times New Roman"/>
          <w:sz w:val="24"/>
          <w:szCs w:val="24"/>
        </w:rPr>
        <w:t>. Searches were conducted without date restriction for foundational and historical papers, but primary inclusion priority was given to papers published between 2001 and 2026. All searches were last performed in</w:t>
      </w:r>
      <w:r w:rsidRPr="00EF698D">
        <w:rPr>
          <w:rFonts w:ascii="Times New Roman" w:eastAsia="Times New Roman" w:hAnsi="Times New Roman" w:cs="Times New Roman"/>
          <w:sz w:val="24"/>
          <w:szCs w:val="24"/>
        </w:rPr>
        <w:t xml:space="preserve"> the first week of </w:t>
      </w:r>
      <w:r w:rsidRPr="004137AA">
        <w:rPr>
          <w:rFonts w:ascii="Times New Roman" w:eastAsia="Times New Roman" w:hAnsi="Times New Roman" w:cs="Times New Roman"/>
          <w:sz w:val="24"/>
          <w:szCs w:val="24"/>
        </w:rPr>
        <w:t>May 2026.</w:t>
      </w:r>
    </w:p>
    <w:p w14:paraId="4F366A67"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2.2 Inclusion and Exclusion Criteria</w:t>
      </w:r>
    </w:p>
    <w:p w14:paraId="759CC017"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Inclusion criteria required that sources be: (a) published in peer-reviewed academic journals, or, in the case of institutional reports, emanating from authoritative international organisations such as the FAO, WHO, WIPO, the World Bank, or equivalent government bodies with a verifiable URL; (b) directly relevant to intellectual property, patenting, plant breeding, or the ethics thereof; and (c) available in English. Grey literature, conference papers, trade publications, patents themselves, and non-peer-reviewed opinion pieces were excluded. Book chapters were excluded except where they provided critical methodological or legal context not available in journal form. Classic older papers supplementing the minimum of 35 peer-reviewed references are included without upper limit, provided their DOIs could be confirmed as live.</w:t>
      </w:r>
    </w:p>
    <w:p w14:paraId="198227EC"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2.3 Screening Workflow and Duplicate Handling</w:t>
      </w:r>
    </w:p>
    <w:p w14:paraId="31423C10"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An initial title and abstract screening </w:t>
      </w:r>
      <w:proofErr w:type="gramStart"/>
      <w:r w:rsidRPr="004137AA">
        <w:rPr>
          <w:rFonts w:ascii="Times New Roman" w:eastAsia="Times New Roman" w:hAnsi="Times New Roman" w:cs="Times New Roman"/>
          <w:sz w:val="24"/>
          <w:szCs w:val="24"/>
        </w:rPr>
        <w:t>was</w:t>
      </w:r>
      <w:proofErr w:type="gramEnd"/>
      <w:r w:rsidRPr="004137AA">
        <w:rPr>
          <w:rFonts w:ascii="Times New Roman" w:eastAsia="Times New Roman" w:hAnsi="Times New Roman" w:cs="Times New Roman"/>
          <w:sz w:val="24"/>
          <w:szCs w:val="24"/>
        </w:rPr>
        <w:t xml:space="preserve"> conducted to eliminate irrelevant material; full-text review followed for all records passing this stage. Duplicate records retrieved across multiple databases were de-duplicated by DOI cross-referencing. Every reference included in this review was verified through direct access to its DOI landing page to confirm the accuracy of author names, journal title, volume, pages, year of publication, and DOI string. References whose DOI could not be confirmed as resolving to a live page, or whose metadata could not be independently verified, were discarded regardless of topical relevance.</w:t>
      </w:r>
    </w:p>
    <w:p w14:paraId="5506F58C"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2.4 Rationale for Narrative Review Approach</w:t>
      </w:r>
    </w:p>
    <w:p w14:paraId="0706DD7F"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A systematic review with meta-analysis was judged inappropriate for this topic on methodological grounds. The body of literature under consideration spans legal scholarship, agricultural economics, moral philosophy, molecular plant biology, and policy analysis — disciplines that employ incommensurable research methodologies and forms of evidence that cannot meaningfully be pooled quantitatively. As Greenhalgh et al. (2018) have argued, narrative reviews serve a complementary and distinct purpose from systematic reviews, providing interpretive synthesis and critical engagement with heterogeneous literatures that resist the constraints of narrow, pre-specified review questions. The breadth of the topic — spanning international treaty law, agronomic science, ethical theory, and political economy — makes a narrative critical review the most appropriate format for generating scholarly insight and identifying cross-disciplinary tensions.</w:t>
      </w:r>
    </w:p>
    <w:p w14:paraId="2D6BF840"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221F820C"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3. Historical Context and Legal Framework</w:t>
      </w:r>
    </w:p>
    <w:p w14:paraId="2DCCD52F"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3.1 The Evolution of Plant-Related Intellectual Property</w:t>
      </w:r>
    </w:p>
    <w:p w14:paraId="261B4936"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lastRenderedPageBreak/>
        <w:t xml:space="preserve">The legal history of plant intellectual property begins in earnest with the United States Plant Patent Act of 1930, which extended patent protection to asexually reproduced plant varieties. This was followed by the Plant Variety Protection Act of 1970, which provided patent-like protection for sexually reproduced varieties through a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system. The conceptual watershed came with </w:t>
      </w:r>
      <w:r w:rsidRPr="004137AA">
        <w:rPr>
          <w:rFonts w:ascii="Times New Roman" w:eastAsia="Times New Roman" w:hAnsi="Times New Roman" w:cs="Times New Roman"/>
          <w:i/>
          <w:iCs/>
          <w:sz w:val="24"/>
          <w:szCs w:val="24"/>
        </w:rPr>
        <w:t>Diamond v. Chakrabarty</w:t>
      </w:r>
      <w:r w:rsidRPr="004137AA">
        <w:rPr>
          <w:rFonts w:ascii="Times New Roman" w:eastAsia="Times New Roman" w:hAnsi="Times New Roman" w:cs="Times New Roman"/>
          <w:sz w:val="24"/>
          <w:szCs w:val="24"/>
        </w:rPr>
        <w:t xml:space="preserve"> (1980), in which the US Supreme Court ruled that a human-made, genetically engineered bacterium was patentable as a "manufacture or composition of matter." Although this case concerned a microorganism rather than a plant, its logic rapidly extended to higher plants, culminating in the ruling in </w:t>
      </w:r>
      <w:r w:rsidRPr="004137AA">
        <w:rPr>
          <w:rFonts w:ascii="Times New Roman" w:eastAsia="Times New Roman" w:hAnsi="Times New Roman" w:cs="Times New Roman"/>
          <w:i/>
          <w:iCs/>
          <w:sz w:val="24"/>
          <w:szCs w:val="24"/>
        </w:rPr>
        <w:t>J.E.M. Ag Supply, Inc. v. Pioneer Hi-Bred International, Inc.</w:t>
      </w:r>
      <w:r w:rsidRPr="004137AA">
        <w:rPr>
          <w:rFonts w:ascii="Times New Roman" w:eastAsia="Times New Roman" w:hAnsi="Times New Roman" w:cs="Times New Roman"/>
          <w:sz w:val="24"/>
          <w:szCs w:val="24"/>
        </w:rPr>
        <w:t xml:space="preserve"> (2001), which confirmed that utility patents could be obtained for sexually reproduced seed-bearing plants (Clancy &amp; Moschini, 2017).</w:t>
      </w:r>
    </w:p>
    <w:p w14:paraId="7FD46DFC"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In Europe, a different and more contested path was taken. The European Patent Convention (EPC) explicitly excludes plant varieties and essentially biological processes for producing plants from patentability under Article 53(b), while EU Directive 98/44/EC on the legal protection of biotechnological inventions sought to clarify that plants characterised by a specific gene insertion could be patented as inventions even if individual plant varieties remained excluded. The resulting legal uncertainty generated a series of high-profile disputes before the Enlarged Board of Appeal of the European Patent Office (EPO), most notably the Broccoli and Tomato cases, whose successive rulings between 2010 and 2020 progressively clarified — though did not fully resolve — the extent of the essentially biological process exclusion (Jiang et al., 2025). The 2020 opinion in </w:t>
      </w:r>
      <w:r w:rsidRPr="004137AA">
        <w:rPr>
          <w:rFonts w:ascii="Times New Roman" w:eastAsia="Times New Roman" w:hAnsi="Times New Roman" w:cs="Times New Roman"/>
          <w:i/>
          <w:iCs/>
          <w:sz w:val="24"/>
          <w:szCs w:val="24"/>
        </w:rPr>
        <w:t>G 3/19</w:t>
      </w:r>
      <w:r w:rsidRPr="004137AA">
        <w:rPr>
          <w:rFonts w:ascii="Times New Roman" w:eastAsia="Times New Roman" w:hAnsi="Times New Roman" w:cs="Times New Roman"/>
          <w:sz w:val="24"/>
          <w:szCs w:val="24"/>
        </w:rPr>
        <w:t xml:space="preserve"> (Pepper) finally established that plants produced exclusively by essentially biological processes are not patentable under the EPC, aligning EPO practice with the position long maintained by the European Commission.</w:t>
      </w:r>
    </w:p>
    <w:p w14:paraId="138C66CB"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At the international level, the TRIPS Agreement marked a decisive turning point. Its Article 27.3(b) required WTO member states to protect plant varieties through patents, an effective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system, or some combination of both. Crucially, the Agreement permitted but did not require the exclusion of plants from patentability, leaving states with a degree of flexibility that has been exercised very differently across the world (Wu, 2024; Batur &amp; </w:t>
      </w:r>
      <w:proofErr w:type="spellStart"/>
      <w:r w:rsidRPr="004137AA">
        <w:rPr>
          <w:rFonts w:ascii="Times New Roman" w:eastAsia="Times New Roman" w:hAnsi="Times New Roman" w:cs="Times New Roman"/>
          <w:sz w:val="24"/>
          <w:szCs w:val="24"/>
        </w:rPr>
        <w:t>Dedeurwaerdere</w:t>
      </w:r>
      <w:proofErr w:type="spellEnd"/>
      <w:r w:rsidRPr="004137AA">
        <w:rPr>
          <w:rFonts w:ascii="Times New Roman" w:eastAsia="Times New Roman" w:hAnsi="Times New Roman" w:cs="Times New Roman"/>
          <w:sz w:val="24"/>
          <w:szCs w:val="24"/>
        </w:rPr>
        <w:t>, 2014).</w:t>
      </w:r>
    </w:p>
    <w:p w14:paraId="0C50322C"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3.2 The International Legal Architecture</w:t>
      </w:r>
    </w:p>
    <w:p w14:paraId="7BA16CD7"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architecture governing plant intellectual property is characterised by productive tension among several overlapping international instruments. </w:t>
      </w:r>
      <w:r w:rsidR="00EF698D" w:rsidRPr="004137AA">
        <w:rPr>
          <w:rFonts w:ascii="Times New Roman" w:eastAsia="Times New Roman" w:hAnsi="Times New Roman" w:cs="Times New Roman"/>
          <w:bCs/>
          <w:sz w:val="24"/>
          <w:szCs w:val="24"/>
        </w:rPr>
        <w:t>Table 1</w:t>
      </w:r>
      <w:r w:rsidR="00EF698D" w:rsidRPr="00EF698D">
        <w:rPr>
          <w:rFonts w:ascii="Times New Roman" w:eastAsia="Times New Roman" w:hAnsi="Times New Roman" w:cs="Times New Roman"/>
          <w:bCs/>
          <w:sz w:val="24"/>
          <w:szCs w:val="24"/>
        </w:rPr>
        <w:t xml:space="preserve"> summarizes the principal international instruments governing plant intellectual property.</w:t>
      </w:r>
      <w:r w:rsidR="00EF698D">
        <w:rPr>
          <w:rFonts w:ascii="Times New Roman" w:eastAsia="Times New Roman" w:hAnsi="Times New Roman" w:cs="Times New Roman"/>
          <w:bCs/>
          <w:sz w:val="24"/>
          <w:szCs w:val="24"/>
        </w:rPr>
        <w:t xml:space="preserve"> </w:t>
      </w:r>
      <w:r w:rsidRPr="004137AA">
        <w:rPr>
          <w:rFonts w:ascii="Times New Roman" w:eastAsia="Times New Roman" w:hAnsi="Times New Roman" w:cs="Times New Roman"/>
          <w:sz w:val="24"/>
          <w:szCs w:val="24"/>
        </w:rPr>
        <w:t>The UPOV Convention, now in its 1991 revision, underpins plant breeders' rights in over 75 member states (Yu &amp; Chung, 2021). Under UPOV 1991, a new variety must be distinct, uniform, and stable (DUS) to qualify for protection, and protection lasts a minimum of 20 years (25 for trees and vines). The 1991 Act strengthened breeders' rights compared with the 1978 Act, extending them to harvested material and essentially derived varieties, and significantly restricting the traditional farmer's privilege to save seed for subsequent planting (Lawson, 2023; Yu &amp; Chung, 2021).</w:t>
      </w:r>
      <w:r w:rsidR="00EF698D" w:rsidRPr="00EF698D">
        <w:rPr>
          <w:rFonts w:ascii="Times New Roman" w:eastAsia="Times New Roman" w:hAnsi="Times New Roman" w:cs="Times New Roman"/>
          <w:sz w:val="24"/>
          <w:szCs w:val="24"/>
        </w:rPr>
        <w:t xml:space="preserve"> </w:t>
      </w:r>
    </w:p>
    <w:p w14:paraId="7AD97069"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Alongside UPOV sits the International Treaty on Plant Genetic Resources for Food and Agriculture (ITPGRFA), also known as the Plant Treaty or Seed Treaty, which entered into force in 2004. The ITPGRFA establishes a Multilateral System (MLS) for facilitated access to genetic resources of 64 listed food and forage crops, with benefit-sharing obligations for commercial users. It also recognises Farmers' Rights — including the right to save, use, exchange, and sell farm-saved seed — though the operationalisation of these rights is left to </w:t>
      </w:r>
      <w:r w:rsidRPr="004137AA">
        <w:rPr>
          <w:rFonts w:ascii="Times New Roman" w:eastAsia="Times New Roman" w:hAnsi="Times New Roman" w:cs="Times New Roman"/>
          <w:sz w:val="24"/>
          <w:szCs w:val="24"/>
        </w:rPr>
        <w:lastRenderedPageBreak/>
        <w:t>national legislation (Ebert et al., 2023). The relationship between UPOV's increasingly restrictive protection of breeders' rights and the ITPGRFA's recognition of farmers' rights represents one of the central structural tensions in contemporary international plant IP governance.</w:t>
      </w:r>
    </w:p>
    <w:p w14:paraId="02BA532D"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Convention on Biological Diversity (CBD) and the Nagoya Protocol on Access and Benefit Sharing (2010) add a further layer, recognising state sovereignty over genetic resources and requiring that users of genetic resources obtain prior informed consent and share benefits equitably with provider countries. As Ebert et al. (2023) document, the complexity of navigating these overlapping access and benefit-sharing (ABS) obligations has increased substantially in recent years, sometimes discouraging the very exchanges of plant genetic material that both conservation and plant breeding require. The 2024 WIPO Treaty on Intellectual Property, Genetic Resources and Associated Traditional Knowledge (GRATK Treaty) represents the most recent attempt to integrate these frameworks, introducing mandatory disclosure requirements for patent applicants who rely on genetic resources or traditional knowledge (Perron-Welch, 2025).</w:t>
      </w:r>
    </w:p>
    <w:p w14:paraId="41158F88"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t>Table 1: Principal International Instruments Governing Plant Intellectual Property</w:t>
      </w:r>
    </w:p>
    <w:tbl>
      <w:tblPr>
        <w:tblStyle w:val="TableGrid"/>
        <w:tblW w:w="0" w:type="auto"/>
        <w:tblLook w:val="04A0" w:firstRow="1" w:lastRow="0" w:firstColumn="1" w:lastColumn="0" w:noHBand="0" w:noVBand="1"/>
      </w:tblPr>
      <w:tblGrid>
        <w:gridCol w:w="2014"/>
        <w:gridCol w:w="1463"/>
        <w:gridCol w:w="3674"/>
        <w:gridCol w:w="2091"/>
      </w:tblGrid>
      <w:tr w:rsidR="004137AA" w:rsidRPr="004137AA" w14:paraId="4FFB2A32" w14:textId="77777777" w:rsidTr="00EF698D">
        <w:tc>
          <w:tcPr>
            <w:tcW w:w="0" w:type="auto"/>
            <w:hideMark/>
          </w:tcPr>
          <w:p w14:paraId="7330385C"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Instrument</w:t>
            </w:r>
          </w:p>
        </w:tc>
        <w:tc>
          <w:tcPr>
            <w:tcW w:w="0" w:type="auto"/>
            <w:hideMark/>
          </w:tcPr>
          <w:p w14:paraId="1BEF1E1B"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Adoption Year</w:t>
            </w:r>
          </w:p>
        </w:tc>
        <w:tc>
          <w:tcPr>
            <w:tcW w:w="0" w:type="auto"/>
            <w:hideMark/>
          </w:tcPr>
          <w:p w14:paraId="3F62AEE0"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Principal Provisions</w:t>
            </w:r>
          </w:p>
        </w:tc>
        <w:tc>
          <w:tcPr>
            <w:tcW w:w="0" w:type="auto"/>
            <w:hideMark/>
          </w:tcPr>
          <w:p w14:paraId="47DBA2A3"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Administering Body</w:t>
            </w:r>
          </w:p>
        </w:tc>
      </w:tr>
      <w:tr w:rsidR="004137AA" w:rsidRPr="004137AA" w14:paraId="49A62371" w14:textId="77777777" w:rsidTr="00EF698D">
        <w:tc>
          <w:tcPr>
            <w:tcW w:w="0" w:type="auto"/>
            <w:hideMark/>
          </w:tcPr>
          <w:p w14:paraId="718E97F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UPOV Convention (1991 Act)</w:t>
            </w:r>
          </w:p>
        </w:tc>
        <w:tc>
          <w:tcPr>
            <w:tcW w:w="0" w:type="auto"/>
            <w:hideMark/>
          </w:tcPr>
          <w:p w14:paraId="06694D88"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1991</w:t>
            </w:r>
          </w:p>
        </w:tc>
        <w:tc>
          <w:tcPr>
            <w:tcW w:w="0" w:type="auto"/>
            <w:hideMark/>
          </w:tcPr>
          <w:p w14:paraId="10D009B0"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Plant breeders' rights, DUS criteria, essentially derived variety protection</w:t>
            </w:r>
          </w:p>
        </w:tc>
        <w:tc>
          <w:tcPr>
            <w:tcW w:w="0" w:type="auto"/>
            <w:hideMark/>
          </w:tcPr>
          <w:p w14:paraId="18107005"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UPOV (Geneva)</w:t>
            </w:r>
          </w:p>
        </w:tc>
      </w:tr>
      <w:tr w:rsidR="004137AA" w:rsidRPr="004137AA" w14:paraId="26E1FAFF" w14:textId="77777777" w:rsidTr="00EF698D">
        <w:tc>
          <w:tcPr>
            <w:tcW w:w="0" w:type="auto"/>
            <w:hideMark/>
          </w:tcPr>
          <w:p w14:paraId="05AA85A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TRIPS Agreement, Art. 27.3(b)</w:t>
            </w:r>
          </w:p>
        </w:tc>
        <w:tc>
          <w:tcPr>
            <w:tcW w:w="0" w:type="auto"/>
            <w:hideMark/>
          </w:tcPr>
          <w:p w14:paraId="79D6758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1994</w:t>
            </w:r>
          </w:p>
        </w:tc>
        <w:tc>
          <w:tcPr>
            <w:tcW w:w="0" w:type="auto"/>
            <w:hideMark/>
          </w:tcPr>
          <w:p w14:paraId="33682479"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Obligation to protect plant varieties by patents,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or both</w:t>
            </w:r>
          </w:p>
        </w:tc>
        <w:tc>
          <w:tcPr>
            <w:tcW w:w="0" w:type="auto"/>
            <w:hideMark/>
          </w:tcPr>
          <w:p w14:paraId="3D4BFAD1"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WTO</w:t>
            </w:r>
          </w:p>
        </w:tc>
      </w:tr>
      <w:tr w:rsidR="004137AA" w:rsidRPr="004137AA" w14:paraId="1B6307CB" w14:textId="77777777" w:rsidTr="00EF698D">
        <w:tc>
          <w:tcPr>
            <w:tcW w:w="0" w:type="auto"/>
            <w:hideMark/>
          </w:tcPr>
          <w:p w14:paraId="4666BEA9"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Convention on Biological Diversity</w:t>
            </w:r>
          </w:p>
        </w:tc>
        <w:tc>
          <w:tcPr>
            <w:tcW w:w="0" w:type="auto"/>
            <w:hideMark/>
          </w:tcPr>
          <w:p w14:paraId="6EAD31CF"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1992</w:t>
            </w:r>
          </w:p>
        </w:tc>
        <w:tc>
          <w:tcPr>
            <w:tcW w:w="0" w:type="auto"/>
            <w:hideMark/>
          </w:tcPr>
          <w:p w14:paraId="055CB8EE"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State sovereignty over genetic resources; access and benefit sharing</w:t>
            </w:r>
          </w:p>
        </w:tc>
        <w:tc>
          <w:tcPr>
            <w:tcW w:w="0" w:type="auto"/>
            <w:hideMark/>
          </w:tcPr>
          <w:p w14:paraId="512F3723"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CBD Secretariat/UNEP</w:t>
            </w:r>
          </w:p>
        </w:tc>
      </w:tr>
      <w:tr w:rsidR="004137AA" w:rsidRPr="004137AA" w14:paraId="6C3E4F27" w14:textId="77777777" w:rsidTr="00EF698D">
        <w:tc>
          <w:tcPr>
            <w:tcW w:w="0" w:type="auto"/>
            <w:hideMark/>
          </w:tcPr>
          <w:p w14:paraId="412EB490"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ITPGRFA (Plant Treaty)</w:t>
            </w:r>
          </w:p>
        </w:tc>
        <w:tc>
          <w:tcPr>
            <w:tcW w:w="0" w:type="auto"/>
            <w:hideMark/>
          </w:tcPr>
          <w:p w14:paraId="37D1CC88"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2001 (in force 2004)</w:t>
            </w:r>
          </w:p>
        </w:tc>
        <w:tc>
          <w:tcPr>
            <w:tcW w:w="0" w:type="auto"/>
            <w:hideMark/>
          </w:tcPr>
          <w:p w14:paraId="06A05D8B"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Multilateral system for facilitated access; Farmers' Rights recognition</w:t>
            </w:r>
          </w:p>
        </w:tc>
        <w:tc>
          <w:tcPr>
            <w:tcW w:w="0" w:type="auto"/>
            <w:hideMark/>
          </w:tcPr>
          <w:p w14:paraId="513152B2"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FAO</w:t>
            </w:r>
          </w:p>
        </w:tc>
      </w:tr>
      <w:tr w:rsidR="004137AA" w:rsidRPr="004137AA" w14:paraId="37A8841E" w14:textId="77777777" w:rsidTr="00EF698D">
        <w:tc>
          <w:tcPr>
            <w:tcW w:w="0" w:type="auto"/>
            <w:hideMark/>
          </w:tcPr>
          <w:p w14:paraId="2D6F78DD"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Nagoya Protocol</w:t>
            </w:r>
          </w:p>
        </w:tc>
        <w:tc>
          <w:tcPr>
            <w:tcW w:w="0" w:type="auto"/>
            <w:hideMark/>
          </w:tcPr>
          <w:p w14:paraId="287C8D21"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2010 (in force 2014)</w:t>
            </w:r>
          </w:p>
        </w:tc>
        <w:tc>
          <w:tcPr>
            <w:tcW w:w="0" w:type="auto"/>
            <w:hideMark/>
          </w:tcPr>
          <w:p w14:paraId="4D3EF278"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Prior informed consent; equitable benefit sharing; compliance mechanisms</w:t>
            </w:r>
          </w:p>
        </w:tc>
        <w:tc>
          <w:tcPr>
            <w:tcW w:w="0" w:type="auto"/>
            <w:hideMark/>
          </w:tcPr>
          <w:p w14:paraId="02E8CA60"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CBD Secretariat</w:t>
            </w:r>
          </w:p>
        </w:tc>
      </w:tr>
      <w:tr w:rsidR="004137AA" w:rsidRPr="004137AA" w14:paraId="1F1CAEF6" w14:textId="77777777" w:rsidTr="00EF698D">
        <w:tc>
          <w:tcPr>
            <w:tcW w:w="0" w:type="auto"/>
            <w:hideMark/>
          </w:tcPr>
          <w:p w14:paraId="56E13210"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WIPO GRATK Treaty</w:t>
            </w:r>
          </w:p>
        </w:tc>
        <w:tc>
          <w:tcPr>
            <w:tcW w:w="0" w:type="auto"/>
            <w:hideMark/>
          </w:tcPr>
          <w:p w14:paraId="184A8561"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2024</w:t>
            </w:r>
          </w:p>
        </w:tc>
        <w:tc>
          <w:tcPr>
            <w:tcW w:w="0" w:type="auto"/>
            <w:hideMark/>
          </w:tcPr>
          <w:p w14:paraId="7DEB8D7C"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Mandatory disclosure of genetic resource and traditional knowledge origin in patent applications</w:t>
            </w:r>
          </w:p>
        </w:tc>
        <w:tc>
          <w:tcPr>
            <w:tcW w:w="0" w:type="auto"/>
            <w:hideMark/>
          </w:tcPr>
          <w:p w14:paraId="509FD78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WIPO</w:t>
            </w:r>
          </w:p>
        </w:tc>
      </w:tr>
    </w:tbl>
    <w:p w14:paraId="2A70E770"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Sources: Lawson (2023); Wu (2024); Ebert et al. (2023); Perron-Welch (2025); Wynberg et al. (2021).</w:t>
      </w:r>
    </w:p>
    <w:p w14:paraId="486B85E2"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5FFC12E8"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4. Patentability of Plant Biotechnology Innovations</w:t>
      </w:r>
    </w:p>
    <w:p w14:paraId="646E2605"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4.1 Patentable Subject Matter in Plant Biotechnology</w:t>
      </w:r>
    </w:p>
    <w:p w14:paraId="70B5828D"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scope of patentable subject matter in plant biotechnology has expanded considerably over the past four decades. In most jurisdictions, patents may be obtained for: isolated gene </w:t>
      </w:r>
      <w:r w:rsidRPr="004137AA">
        <w:rPr>
          <w:rFonts w:ascii="Times New Roman" w:eastAsia="Times New Roman" w:hAnsi="Times New Roman" w:cs="Times New Roman"/>
          <w:sz w:val="24"/>
          <w:szCs w:val="24"/>
        </w:rPr>
        <w:lastRenderedPageBreak/>
        <w:t>sequences and their functional applications; transgenic plants containing foreign DNA constructs; biological vectors used in plant transformation; methods of plant transformation; molecular markers and marker-assisted selection tools; herbicide-tolerance and insect-resistance traits; and, in many countries, plant varieties themselves where utility patent regimes apply (Smulders et al., 2021; Clancy &amp; Moschini, 2017). The result is a dense and layered system of overlapping protections in which any given commercial seed product may be covered by numerous patents, each requiring licensing agreements and freedom-to-operate analyses before use.</w:t>
      </w:r>
    </w:p>
    <w:p w14:paraId="7E5E5B46"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coexistence of patents and PVRs on the same plant material has been a persistent source of complexity. In principle, PVRs provide the primary form of protection for new varieties, while patents protect the underlying technical innovations — genetic traits, transformation methods, marker systems — that may be incorporated into many varieties simultaneously. In practice, however, this division is not cleanly maintained. The US Supreme Court's ruling in </w:t>
      </w:r>
      <w:r w:rsidRPr="004137AA">
        <w:rPr>
          <w:rFonts w:ascii="Times New Roman" w:eastAsia="Times New Roman" w:hAnsi="Times New Roman" w:cs="Times New Roman"/>
          <w:i/>
          <w:iCs/>
          <w:sz w:val="24"/>
          <w:szCs w:val="24"/>
        </w:rPr>
        <w:t>J.E.M. Ag Supply</w:t>
      </w:r>
      <w:r w:rsidRPr="004137AA">
        <w:rPr>
          <w:rFonts w:ascii="Times New Roman" w:eastAsia="Times New Roman" w:hAnsi="Times New Roman" w:cs="Times New Roman"/>
          <w:sz w:val="24"/>
          <w:szCs w:val="24"/>
        </w:rPr>
        <w:t xml:space="preserve"> confirmed that the same corn hybrid could be simultaneously protected by a utility patent and a Plant Variety Protection certificate, creating what critics have characterised as layered proprietary protection that can make it extremely difficult for third parties to breed independently (Howard, 2015; Lukasiewicz et al., 2024).</w:t>
      </w:r>
    </w:p>
    <w:p w14:paraId="04E0769B"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patent system interacts with PVRs through the breeder's exemption and the research exemption, both of which allow some use of protected material for non-commercial purposes. Under UPOV PVRs, the breeder's exemption is broad: a variety protected by PVR may be freely used as germplasm to develop a new variety, and the new variety may be commercialised without payment to the original holder, unless it constitutes an essentially derived variety (EDV) of the original (Bostyn, 2021). Under patent law, however, the research exemption is considerably narrower in most jurisdictions — permitting use of patented material for experimental purposes but not for commercial breeding or variety development (Lukasiewicz et al., 2024). The practical implication is that the shift from PVR to patent protection as the dominant form of seed IP simultaneously curtails the breeder's freedom to use protected materials as inputs for further innovation.</w:t>
      </w:r>
    </w:p>
    <w:p w14:paraId="3232DA9F"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4.2 Novel Breeding Technologies and Patent Complexity</w:t>
      </w:r>
    </w:p>
    <w:p w14:paraId="63F9D615"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emergence of site-directed nuclease technologies, and particularly CRISPR-Cas systems, has introduced a new dimension of patent complexity in plant biotechnology. CRISPR-Cas9 genome editing enables precise, targeted modifications to plant DNA with unprecedented ease and efficiency, substantially reducing the cost of developing novel trait combinations and accelerating the timeline from research to commercial variety (Yin et al., 2017; Bartkowski et al., 2018). The technology's scientific power has been matched, however, by an intense contest for foundational IP rights.</w:t>
      </w:r>
    </w:p>
    <w:p w14:paraId="0296D90C"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patent landscape for CRISPR in plant applications is characterised by what commentators have called a "patent thicket" — a dense web of overlapping claims that complicates freedom to operate for both public-sector researchers and smaller private breeders (Kock, 2021; Glenna, 2023). </w:t>
      </w:r>
      <w:r w:rsidR="00EF698D" w:rsidRPr="00EF698D">
        <w:rPr>
          <w:rFonts w:ascii="Times New Roman" w:eastAsia="Times New Roman" w:hAnsi="Times New Roman" w:cs="Times New Roman"/>
          <w:sz w:val="24"/>
          <w:szCs w:val="24"/>
        </w:rPr>
        <w:t xml:space="preserve">Idris </w:t>
      </w:r>
      <w:r w:rsidRPr="004137AA">
        <w:rPr>
          <w:rFonts w:ascii="Times New Roman" w:eastAsia="Times New Roman" w:hAnsi="Times New Roman" w:cs="Times New Roman"/>
          <w:sz w:val="24"/>
          <w:szCs w:val="24"/>
        </w:rPr>
        <w:t xml:space="preserve">(2023) identifies CRISPR-related intellectual property restrictions as among the most significant legal barriers to the adoption of gene editing in plant improvement, particularly in developing countries where licensing fees may be prohibitive. Glenna (2023), drawing on interviews with German plant scientists, found that many researchers perceived existing IP policies as impeding collaboration, restricting access to foundational technologies, and creating uncertainty about whether their gene-edited </w:t>
      </w:r>
      <w:r w:rsidRPr="004137AA">
        <w:rPr>
          <w:rFonts w:ascii="Times New Roman" w:eastAsia="Times New Roman" w:hAnsi="Times New Roman" w:cs="Times New Roman"/>
          <w:sz w:val="24"/>
          <w:szCs w:val="24"/>
        </w:rPr>
        <w:lastRenderedPageBreak/>
        <w:t>materials would be eligible for commercialisation. This concern is particularly acute for public-sector breeders whose mandate is to serve smallholder farmers and low-income consumers who are not attractive markets for the transnational corporations that hold the most valuable patents.</w:t>
      </w:r>
    </w:p>
    <w:p w14:paraId="701146AC"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question of how gene-edited plants should be classified for regulatory purposes has become entangled with patent questions in ways that differ markedly across jurisdictions. In the United States, CRISPR edits that do not introduce foreign DNA may escape GMO regulation while still being subject to patent protection. In the European Union, the 2018 Court of Justice ruling in </w:t>
      </w:r>
      <w:r w:rsidRPr="004137AA">
        <w:rPr>
          <w:rFonts w:ascii="Times New Roman" w:eastAsia="Times New Roman" w:hAnsi="Times New Roman" w:cs="Times New Roman"/>
          <w:i/>
          <w:iCs/>
          <w:sz w:val="24"/>
          <w:szCs w:val="24"/>
        </w:rPr>
        <w:t xml:space="preserve">Confédération </w:t>
      </w:r>
      <w:proofErr w:type="spellStart"/>
      <w:r w:rsidRPr="004137AA">
        <w:rPr>
          <w:rFonts w:ascii="Times New Roman" w:eastAsia="Times New Roman" w:hAnsi="Times New Roman" w:cs="Times New Roman"/>
          <w:i/>
          <w:iCs/>
          <w:sz w:val="24"/>
          <w:szCs w:val="24"/>
        </w:rPr>
        <w:t>paysanne</w:t>
      </w:r>
      <w:proofErr w:type="spellEnd"/>
      <w:r w:rsidRPr="004137AA">
        <w:rPr>
          <w:rFonts w:ascii="Times New Roman" w:eastAsia="Times New Roman" w:hAnsi="Times New Roman" w:cs="Times New Roman"/>
          <w:i/>
          <w:iCs/>
          <w:sz w:val="24"/>
          <w:szCs w:val="24"/>
        </w:rPr>
        <w:t xml:space="preserve"> v. Premier </w:t>
      </w:r>
      <w:proofErr w:type="spellStart"/>
      <w:r w:rsidRPr="004137AA">
        <w:rPr>
          <w:rFonts w:ascii="Times New Roman" w:eastAsia="Times New Roman" w:hAnsi="Times New Roman" w:cs="Times New Roman"/>
          <w:i/>
          <w:iCs/>
          <w:sz w:val="24"/>
          <w:szCs w:val="24"/>
        </w:rPr>
        <w:t>ministre</w:t>
      </w:r>
      <w:proofErr w:type="spellEnd"/>
      <w:r w:rsidRPr="004137AA">
        <w:rPr>
          <w:rFonts w:ascii="Times New Roman" w:eastAsia="Times New Roman" w:hAnsi="Times New Roman" w:cs="Times New Roman"/>
          <w:sz w:val="24"/>
          <w:szCs w:val="24"/>
        </w:rPr>
        <w:t xml:space="preserve"> (Case C-528/16) placed gene-edited organisms under the existing GMO Directive, but the European Commission's 2023 Proposal for a Regulation on New Genomic Techniques (NGTs) reflected growing pressure to establish a differentiated regulatory framework — one in which the patentability of NGT plants has become one of the most contested political questions (Lukasiewicz et al., 2024; Jiang et al., 2025).</w:t>
      </w:r>
    </w:p>
    <w:p w14:paraId="61D11FDB"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4.3 The Essentially Biological Processes Exclusion in Europe</w:t>
      </w:r>
    </w:p>
    <w:p w14:paraId="2EC01091"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Europe's approach to plant patents has been heavily shaped by the EPC's exclusion of essentially biological processes and its application in the high-profile Broccoli and Tomato case series. The history of these rulings is instructive about the difficulty of maintaining coherent patent law in a field where the boundary between natural processes and technical invention is intrinsically blurred. As Jiang et al. (2025) summarise, the Enlarged Board of Appeal rulings G 2/12 (Tomato II) and G 2/13 (Broccoli II) in 2015 held that plant products obtained by essentially biological processes could themselves be patented even if the process was excluded, a conclusion that was subsequently overturned by the EPO's Administrative Council through an amendment to Rule 28 and eventually settled by the Enlarged Board of Appeal in G 3/19 (Pepper) in 2020, which confirmed that plants produced exclusively by essentially biological processes are not patentable.</w:t>
      </w:r>
    </w:p>
    <w:p w14:paraId="194855C2"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What these cases demonstrate is that the contours of plant patent protection are not determined purely by statutory text but are continuously reconstructed through institutional contest and strategic litigation. The ongoing NGT regulation debate in the European Union illustrates the same dynamic in a new register. The European Parliament's first-reading position, adopted in February 2024, proposed a complete ban on patents for NGT plants, while the compromise text agreed in late 2025 took a more nuanced approach, permitting patents on NGT plants but excluding those whose traits occur naturally or are derived by biological means — an approach intended to prevent patents on conventional traits whilst preserving incentives for technological innovation (Jiang et al., 2025; Lukasiewicz et al., 2024).</w:t>
      </w:r>
      <w:r w:rsidR="00EF698D">
        <w:rPr>
          <w:rFonts w:ascii="Times New Roman" w:eastAsia="Times New Roman" w:hAnsi="Times New Roman" w:cs="Times New Roman"/>
          <w:sz w:val="24"/>
          <w:szCs w:val="24"/>
        </w:rPr>
        <w:t xml:space="preserve"> Table 2 summarizes different </w:t>
      </w:r>
      <w:r w:rsidR="00EF698D" w:rsidRPr="00EF698D">
        <w:rPr>
          <w:rFonts w:ascii="Times New Roman" w:eastAsia="Times New Roman" w:hAnsi="Times New Roman" w:cs="Times New Roman"/>
          <w:bCs/>
          <w:sz w:val="24"/>
          <w:szCs w:val="24"/>
        </w:rPr>
        <w:t>categories of plant biotechnology innovation and their patentability status across key jurisdictions</w:t>
      </w:r>
      <w:r w:rsidR="00EF698D">
        <w:rPr>
          <w:rFonts w:ascii="Times New Roman" w:eastAsia="Times New Roman" w:hAnsi="Times New Roman" w:cs="Times New Roman"/>
          <w:bCs/>
          <w:sz w:val="24"/>
          <w:szCs w:val="24"/>
        </w:rPr>
        <w:t>.</w:t>
      </w:r>
    </w:p>
    <w:p w14:paraId="070EA71B"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t>Table 2: Categories of Plant Biotechnology Innovation and Their Patentability Status Across Key Jurisdictions</w:t>
      </w:r>
    </w:p>
    <w:tbl>
      <w:tblPr>
        <w:tblStyle w:val="TableGrid"/>
        <w:tblW w:w="0" w:type="auto"/>
        <w:tblLook w:val="04A0" w:firstRow="1" w:lastRow="0" w:firstColumn="1" w:lastColumn="0" w:noHBand="0" w:noVBand="1"/>
      </w:tblPr>
      <w:tblGrid>
        <w:gridCol w:w="2348"/>
        <w:gridCol w:w="2136"/>
        <w:gridCol w:w="2557"/>
        <w:gridCol w:w="2201"/>
      </w:tblGrid>
      <w:tr w:rsidR="004137AA" w:rsidRPr="004137AA" w14:paraId="272C3AC9" w14:textId="77777777" w:rsidTr="00EF698D">
        <w:tc>
          <w:tcPr>
            <w:tcW w:w="0" w:type="auto"/>
            <w:hideMark/>
          </w:tcPr>
          <w:p w14:paraId="582D700D"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Innovation Category</w:t>
            </w:r>
          </w:p>
        </w:tc>
        <w:tc>
          <w:tcPr>
            <w:tcW w:w="0" w:type="auto"/>
            <w:hideMark/>
          </w:tcPr>
          <w:p w14:paraId="62309A3B"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USA</w:t>
            </w:r>
          </w:p>
        </w:tc>
        <w:tc>
          <w:tcPr>
            <w:tcW w:w="0" w:type="auto"/>
            <w:hideMark/>
          </w:tcPr>
          <w:p w14:paraId="7D99BEC5"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EU (EPC)</w:t>
            </w:r>
          </w:p>
        </w:tc>
        <w:tc>
          <w:tcPr>
            <w:tcW w:w="0" w:type="auto"/>
            <w:hideMark/>
          </w:tcPr>
          <w:p w14:paraId="0E3876A4"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Developing Countries (TRIPS-Compliant)</w:t>
            </w:r>
          </w:p>
        </w:tc>
      </w:tr>
      <w:tr w:rsidR="004137AA" w:rsidRPr="004137AA" w14:paraId="4DCC55D5" w14:textId="77777777" w:rsidTr="00EF698D">
        <w:tc>
          <w:tcPr>
            <w:tcW w:w="0" w:type="auto"/>
            <w:hideMark/>
          </w:tcPr>
          <w:p w14:paraId="66D7F640"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Transgenic plants (novel trait insertion)</w:t>
            </w:r>
          </w:p>
        </w:tc>
        <w:tc>
          <w:tcPr>
            <w:tcW w:w="0" w:type="auto"/>
            <w:hideMark/>
          </w:tcPr>
          <w:p w14:paraId="060EEF2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(utility patent)</w:t>
            </w:r>
          </w:p>
        </w:tc>
        <w:tc>
          <w:tcPr>
            <w:tcW w:w="0" w:type="auto"/>
            <w:hideMark/>
          </w:tcPr>
          <w:p w14:paraId="05F9BFAE"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(not "variety")</w:t>
            </w:r>
          </w:p>
        </w:tc>
        <w:tc>
          <w:tcPr>
            <w:tcW w:w="0" w:type="auto"/>
            <w:hideMark/>
          </w:tcPr>
          <w:p w14:paraId="593B2A23"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 many exclude plants</w:t>
            </w:r>
          </w:p>
        </w:tc>
      </w:tr>
      <w:tr w:rsidR="004137AA" w:rsidRPr="004137AA" w14:paraId="3F687B4E" w14:textId="77777777" w:rsidTr="00EF698D">
        <w:tc>
          <w:tcPr>
            <w:tcW w:w="0" w:type="auto"/>
            <w:hideMark/>
          </w:tcPr>
          <w:p w14:paraId="3305B368"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lastRenderedPageBreak/>
              <w:t xml:space="preserve">Plant varieties </w:t>
            </w:r>
            <w:r w:rsidRPr="004137AA">
              <w:rPr>
                <w:rFonts w:ascii="Times New Roman" w:eastAsia="Times New Roman" w:hAnsi="Times New Roman" w:cs="Times New Roman"/>
                <w:i/>
                <w:iCs/>
                <w:sz w:val="24"/>
                <w:szCs w:val="24"/>
              </w:rPr>
              <w:t>per se</w:t>
            </w:r>
          </w:p>
        </w:tc>
        <w:tc>
          <w:tcPr>
            <w:tcW w:w="0" w:type="auto"/>
            <w:hideMark/>
          </w:tcPr>
          <w:p w14:paraId="7CC06D40"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(utility patent); PVP also available</w:t>
            </w:r>
          </w:p>
        </w:tc>
        <w:tc>
          <w:tcPr>
            <w:tcW w:w="0" w:type="auto"/>
            <w:hideMark/>
          </w:tcPr>
          <w:p w14:paraId="7D2C3399"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Excluded from patents; PVR available</w:t>
            </w:r>
          </w:p>
        </w:tc>
        <w:tc>
          <w:tcPr>
            <w:tcW w:w="0" w:type="auto"/>
            <w:hideMark/>
          </w:tcPr>
          <w:p w14:paraId="23C45E75"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PVP generally required</w:t>
            </w:r>
          </w:p>
        </w:tc>
      </w:tr>
      <w:tr w:rsidR="004137AA" w:rsidRPr="004137AA" w14:paraId="239154C2" w14:textId="77777777" w:rsidTr="00EF698D">
        <w:tc>
          <w:tcPr>
            <w:tcW w:w="0" w:type="auto"/>
            <w:hideMark/>
          </w:tcPr>
          <w:p w14:paraId="264F4025"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Essentially biological processes (crossing, selection)</w:t>
            </w:r>
          </w:p>
        </w:tc>
        <w:tc>
          <w:tcPr>
            <w:tcW w:w="0" w:type="auto"/>
            <w:hideMark/>
          </w:tcPr>
          <w:p w14:paraId="495C98FE"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w:t>
            </w:r>
          </w:p>
        </w:tc>
        <w:tc>
          <w:tcPr>
            <w:tcW w:w="0" w:type="auto"/>
            <w:hideMark/>
          </w:tcPr>
          <w:p w14:paraId="0066220B"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Excluded (EPC Art. 53(b))</w:t>
            </w:r>
          </w:p>
        </w:tc>
        <w:tc>
          <w:tcPr>
            <w:tcW w:w="0" w:type="auto"/>
            <w:hideMark/>
          </w:tcPr>
          <w:p w14:paraId="6934A456"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w:t>
            </w:r>
          </w:p>
        </w:tc>
      </w:tr>
      <w:tr w:rsidR="004137AA" w:rsidRPr="004137AA" w14:paraId="47E9C6B5" w14:textId="77777777" w:rsidTr="00EF698D">
        <w:tc>
          <w:tcPr>
            <w:tcW w:w="0" w:type="auto"/>
            <w:hideMark/>
          </w:tcPr>
          <w:p w14:paraId="196D4C5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CRISPR-edited plants (no foreign DNA)</w:t>
            </w:r>
          </w:p>
        </w:tc>
        <w:tc>
          <w:tcPr>
            <w:tcW w:w="0" w:type="auto"/>
            <w:hideMark/>
          </w:tcPr>
          <w:p w14:paraId="1116E32D"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no GMO regulation</w:t>
            </w:r>
          </w:p>
        </w:tc>
        <w:tc>
          <w:tcPr>
            <w:tcW w:w="0" w:type="auto"/>
            <w:hideMark/>
          </w:tcPr>
          <w:p w14:paraId="3615FDF4"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Contested; under GMO Directive pending NGT Regulation</w:t>
            </w:r>
          </w:p>
        </w:tc>
        <w:tc>
          <w:tcPr>
            <w:tcW w:w="0" w:type="auto"/>
            <w:hideMark/>
          </w:tcPr>
          <w:p w14:paraId="04BC53DC"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 many treat as GM</w:t>
            </w:r>
          </w:p>
        </w:tc>
      </w:tr>
      <w:tr w:rsidR="004137AA" w:rsidRPr="004137AA" w14:paraId="5EA049EB" w14:textId="77777777" w:rsidTr="00EF698D">
        <w:tc>
          <w:tcPr>
            <w:tcW w:w="0" w:type="auto"/>
            <w:hideMark/>
          </w:tcPr>
          <w:p w14:paraId="6E78F8E6"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Isolated gene sequences / DNA</w:t>
            </w:r>
          </w:p>
        </w:tc>
        <w:tc>
          <w:tcPr>
            <w:tcW w:w="0" w:type="auto"/>
            <w:hideMark/>
          </w:tcPr>
          <w:p w14:paraId="31F18604"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(post-AIA limits)</w:t>
            </w:r>
          </w:p>
        </w:tc>
        <w:tc>
          <w:tcPr>
            <w:tcW w:w="0" w:type="auto"/>
            <w:hideMark/>
          </w:tcPr>
          <w:p w14:paraId="19AF280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if technical function shown</w:t>
            </w:r>
          </w:p>
        </w:tc>
        <w:tc>
          <w:tcPr>
            <w:tcW w:w="0" w:type="auto"/>
            <w:hideMark/>
          </w:tcPr>
          <w:p w14:paraId="6F9FC047"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w:t>
            </w:r>
          </w:p>
        </w:tc>
      </w:tr>
      <w:tr w:rsidR="004137AA" w:rsidRPr="004137AA" w14:paraId="1337B002" w14:textId="77777777" w:rsidTr="00EF698D">
        <w:tc>
          <w:tcPr>
            <w:tcW w:w="0" w:type="auto"/>
            <w:hideMark/>
          </w:tcPr>
          <w:p w14:paraId="4640AC64"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Molecular markers and breeding methods</w:t>
            </w:r>
          </w:p>
        </w:tc>
        <w:tc>
          <w:tcPr>
            <w:tcW w:w="0" w:type="auto"/>
            <w:hideMark/>
          </w:tcPr>
          <w:p w14:paraId="3A224102"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w:t>
            </w:r>
          </w:p>
        </w:tc>
        <w:tc>
          <w:tcPr>
            <w:tcW w:w="0" w:type="auto"/>
            <w:hideMark/>
          </w:tcPr>
          <w:p w14:paraId="4F24CAE8"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Patentable if technical contribution</w:t>
            </w:r>
          </w:p>
        </w:tc>
        <w:tc>
          <w:tcPr>
            <w:tcW w:w="0" w:type="auto"/>
            <w:hideMark/>
          </w:tcPr>
          <w:p w14:paraId="518916AC"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Variable</w:t>
            </w:r>
          </w:p>
        </w:tc>
      </w:tr>
    </w:tbl>
    <w:p w14:paraId="5A68094D"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Sources: Smulders et al. (2021); Lukasiewicz et al. (2024); Jiang et al. (2025); Wu (2024).</w:t>
      </w:r>
    </w:p>
    <w:p w14:paraId="6439C13D"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16B71B14"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5. Plant Variety Rights and Their Relationship to Patents</w:t>
      </w:r>
    </w:p>
    <w:p w14:paraId="0996808C"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5.1 The UPOV System</w:t>
      </w:r>
    </w:p>
    <w:p w14:paraId="6DCE29C3"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UPOV system provides a model of IPR for plant varieties that is deliberately calibrated to the biological realities of plant breeding — specifically the fact that plant varieties, unlike chemical compounds or mechanical devices, reproduce themselves and can be reverse-engineered by observing phenotypic characteristics. To qualify for protection under UPOV 1991, a variety must be distinct from existing varieties, sufficiently uniform across its constituent plants, and stable across reproductive cycles. Protection lasts at least 20 years (25 for trees and vines), and the holder obtains exclusive rights over the production, offering for sale, selling, exporting, importing, and stocking of reproductive material of the protected variety (Yu &amp; Chung, 2021; Lawson, 2023).</w:t>
      </w:r>
    </w:p>
    <w:p w14:paraId="192512CE"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UPOV system incorporates two fundamental exceptions that distinguish PVRs from patents. The breeder's exemption allows any breeder to freely use a protected variety as crossing material to develop a new variety, and to commercialise that variety, provided it is sufficiently distinct from the protected original. The farmer's privilege allows farmers to save seed of a protected variety from their own harvest for replanting on their own holding, subject to certain conditions and possible royalty obligations under UPOV 1991 (Lawson, 2023). Both exemptions reflect recognition that plant breeding is an inherently cumulative enterprise in which any restriction on access to existing germplasm risks creating an </w:t>
      </w:r>
      <w:proofErr w:type="gramStart"/>
      <w:r w:rsidRPr="004137AA">
        <w:rPr>
          <w:rFonts w:ascii="Times New Roman" w:eastAsia="Times New Roman" w:hAnsi="Times New Roman" w:cs="Times New Roman"/>
          <w:sz w:val="24"/>
          <w:szCs w:val="24"/>
        </w:rPr>
        <w:t>"anti-commons"</w:t>
      </w:r>
      <w:proofErr w:type="gramEnd"/>
      <w:r w:rsidRPr="004137AA">
        <w:rPr>
          <w:rFonts w:ascii="Times New Roman" w:eastAsia="Times New Roman" w:hAnsi="Times New Roman" w:cs="Times New Roman"/>
          <w:sz w:val="24"/>
          <w:szCs w:val="24"/>
        </w:rPr>
        <w:t xml:space="preserve"> that impedes follow-on innovation (Kock, 2021).</w:t>
      </w:r>
    </w:p>
    <w:p w14:paraId="3E4F3124"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Yang et al. (2021) have highlighted a growing tension between the DUS testing system and the realities of modern molecular plant breeding, noting that the distinctness criterion, which relies primarily on observable morphological characteristics, may be inadequate for reliably distinguishing varieties that differ principally at the molecular level. As NGTs enable the introduction of precise, individually imperceptible genetic changes, the adequacy of conventional DUS testing becomes increasingly uncertain. Yang et al. (2021) propose integrating genomic marker data into distinctness assessments, a reform that would require amendments to UPOV guidelines and national implementing regulations.</w:t>
      </w:r>
    </w:p>
    <w:p w14:paraId="7F1D16C7"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lastRenderedPageBreak/>
        <w:t>5.2 The Breeder's Exemption and Essentially Derived Varieties</w:t>
      </w:r>
    </w:p>
    <w:p w14:paraId="19FFD54B"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concept of essentially derived varieties (EDVs), introduced in UPOV 1991, was designed to prevent free-riding on the original breeder's investment by making it impermissible to commercialise a variety that is predominantly derived from a protected original without a licence from that original holder. Under Article 14(5) of UPOV 1991, an EDV must be predominantly derived from the initial variety, clearly distinguishable from it, and conform to the initial variety in essential characteristics. The concept was controversial from the outset, because determining what constitutes "predominantly derived" is inherently complex, particularly in the context of marker-assisted backcrossing and gene editing, which can introduce minute changes while retaining the overwhelming genomic background of an existing variety (Bostyn, 2021).</w:t>
      </w:r>
    </w:p>
    <w:p w14:paraId="06A6619C"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Bostyn (2021) has argued persuasively that the current EDV framework is inadequate for the era of NGTs, because a single nucleotide change introduced by CRISPR could, in principle, render an existing variety essentially derived from a protected original, significantly undermining the breeder's exemption that has historically been central to cumulative plant breeding. Bostyn proposes a quantitative genomic similarity threshold for determining EDV status, a solution that would require revision of the UPOV 1991 Act — a politically complex undertaking given the diverse interests of UPOV member states. The tension between protecting the investments of original breeders and preserving the cumulative innovation that has historically characterised plant breeding is thus sharpened rather than resolved by the advent of precision editing technologies.</w:t>
      </w:r>
    </w:p>
    <w:p w14:paraId="37FB5C76"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5.3 TRIPS Article 27.3(b) and Developing Countries</w:t>
      </w:r>
    </w:p>
    <w:p w14:paraId="4116FCF3"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flexibility afforded to developing countries by TRIPS Article 27.3(b) has been extensively debated since the Agreement's adoption. The provision requires member states to provide effective protection for plant varieties but leaves open whether this protection takes the form of patents, an effective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system, or both. This flexibility was understood, at the time of negotiation, to permit developing countries to adopt regimes that balance breeders' rights against farmers' rights and food security objectives. In practice, however, the flexibility has been constrained by two forces: the pressure of TRIPS-plus bilateral trade agreements, which frequently require signatory developing countries to adopt UPOV 1991; and the lack of institutional capacity in many developing countries to design and implement truly differentiated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regimes.</w:t>
      </w:r>
    </w:p>
    <w:p w14:paraId="29F2C734"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India's Protection of Plant Varieties and Farmers' Rights (PPVFR) Act of 2001 represents the most developed attempt to create an alternative </w:t>
      </w:r>
      <w:r w:rsidRPr="004137AA">
        <w:rPr>
          <w:rFonts w:ascii="Times New Roman" w:eastAsia="Times New Roman" w:hAnsi="Times New Roman" w:cs="Times New Roman"/>
          <w:i/>
          <w:iCs/>
          <w:sz w:val="24"/>
          <w:szCs w:val="24"/>
        </w:rPr>
        <w:t>sui generis</w:t>
      </w:r>
      <w:r w:rsidRPr="004137AA">
        <w:rPr>
          <w:rFonts w:ascii="Times New Roman" w:eastAsia="Times New Roman" w:hAnsi="Times New Roman" w:cs="Times New Roman"/>
          <w:sz w:val="24"/>
          <w:szCs w:val="24"/>
        </w:rPr>
        <w:t xml:space="preserve"> model that explicitly recognises and protects farmers' rights alongside breeders' rights. Wu (2024) has conducted a comparative textual analysis demonstrating that, when assessed against the Sustainable Development Goals, India's model scores considerably more favourably than UPOV 1991, particularly on dimensions of food security, biodiversity conservation, and equitable benefit sharing. The UPOV model, Wu argues, prioritises commercial breeding interests over broader social objectives in ways that may be particularly disadvantageous for the farming communities of the Global South, where smallholder agriculture remains economically and culturally central.</w:t>
      </w:r>
    </w:p>
    <w:p w14:paraId="61D0CFF5"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22C6E171"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lastRenderedPageBreak/>
        <w:t>6. Corporate Concentration, Patent Thickets, and Market Power</w:t>
      </w:r>
    </w:p>
    <w:p w14:paraId="42C3740F"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6.1 The Seed Industry Consolidation</w:t>
      </w:r>
    </w:p>
    <w:p w14:paraId="5F482C47"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relationship between the expansion of intellectual property protections for plant innovations and the consolidation of the commercial seed industry is one of the most thoroughly documented and contested aspects of contemporary agricultural political economy. Howard (2015) traced how the introduction of patent-like protections for certain seed types in 1970 and the subsequent commercialisation of fully patent-protected transgenic seeds in the 1990s catalysed successive waves of merger and acquisition activity, transforming a sector that had comprised thousands of competing independent firms in the mid-twentieth century into one dominated by a handful of transnational corporations. Clancy and Moschini (2017) demonstrate that the strengthening of IPRs over the same period was associated with a shift of agricultural innovation from the public to the private sector, and with a concentration of research and development expenditure in proprietary crop varieties designed for commercial, mechanised farming systems.</w:t>
      </w:r>
    </w:p>
    <w:p w14:paraId="6ED78EE9"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most dramatic phase of consolidation occurred between 2015 and 2018, when a series of mega-mergers reduced the "Big Six" global agrochemical and seed corporations to a "Big Four": Bayer (which acquired Monsanto), Corteva Agriscience (formed from the merger of Dow Chemical and DuPont's agricultural divisions), Syngenta (acquired by ChemChina), and BASF. The United States Department of Agriculture's Economic Research Service subsequently reported that by 2018–2020, Bayer and Corteva together controlled 72 per cent of planted corn acres and 66 per cent of planted soybean acres in the United States, with the top four firms controlling approximately 84 per cent and 78 per cent of those markets respectively (USDA ERS, 2023). These figures represent a marked intensification of the concentration trends that Howard (2015) and Clancy and Moschini (2017) had documented in earlier periods.</w:t>
      </w:r>
    </w:p>
    <w:p w14:paraId="5E9268CB"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6.2 Patent Thickets, Licensing Costs, and Freedom to Operate</w:t>
      </w:r>
    </w:p>
    <w:p w14:paraId="31CB202B"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concentration of patent portfolios in a small number of firms has created what competition economists call "patent thickets" — dense webs of overlapping intellectual property rights that impose substantial transaction costs on anyone seeking to develop new varieties using protected traits or technologies. Kock (2021) examines the dimensions of this problem in the context of new breeding technologies, arguing that the convergence of multiple patent estates covering CRISPR tools, target genes, trait improvements, and specific variety backgrounds creates an environment of acute legal uncertainty that disproportionately disadvantages public-sector breeders, small and medium-sized seed companies, and researchers in developing countries who lack the legal expertise and financial resources to navigate freedom-to-operate analyses.</w:t>
      </w:r>
    </w:p>
    <w:p w14:paraId="589DE517"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Smulders et al. (2021) note that intellectual property systems in plant breeding, originally designed to incentivise innovation, have increasingly been used by dominant market actors as instruments of market foreclosure — preventing competitors from accessing enabling technologies and consolidating control over germplasm development pipelines. The problem is compounded by the fact that patents, unlike PVRs, do not contain a full breeder's exemption; commercial plant breeders who wish to use a patented trait in their varieties must obtain a licence from the patent holder, who may decline to grant it or impose onerous conditions (Lukasiewicz et al., 2024; </w:t>
      </w:r>
      <w:proofErr w:type="spellStart"/>
      <w:r w:rsidRPr="004137AA">
        <w:rPr>
          <w:rFonts w:ascii="Times New Roman" w:eastAsia="Times New Roman" w:hAnsi="Times New Roman" w:cs="Times New Roman"/>
          <w:sz w:val="24"/>
          <w:szCs w:val="24"/>
        </w:rPr>
        <w:t>Rüdelsheim</w:t>
      </w:r>
      <w:proofErr w:type="spellEnd"/>
      <w:r w:rsidRPr="004137AA">
        <w:rPr>
          <w:rFonts w:ascii="Times New Roman" w:eastAsia="Times New Roman" w:hAnsi="Times New Roman" w:cs="Times New Roman"/>
          <w:sz w:val="24"/>
          <w:szCs w:val="24"/>
        </w:rPr>
        <w:t xml:space="preserve"> et al., 2018). </w:t>
      </w:r>
      <w:proofErr w:type="spellStart"/>
      <w:r w:rsidRPr="004137AA">
        <w:rPr>
          <w:rFonts w:ascii="Times New Roman" w:eastAsia="Times New Roman" w:hAnsi="Times New Roman" w:cs="Times New Roman"/>
          <w:sz w:val="24"/>
          <w:szCs w:val="24"/>
        </w:rPr>
        <w:t>Rüdelsheim</w:t>
      </w:r>
      <w:proofErr w:type="spellEnd"/>
      <w:r w:rsidRPr="004137AA">
        <w:rPr>
          <w:rFonts w:ascii="Times New Roman" w:eastAsia="Times New Roman" w:hAnsi="Times New Roman" w:cs="Times New Roman"/>
          <w:sz w:val="24"/>
          <w:szCs w:val="24"/>
        </w:rPr>
        <w:t xml:space="preserve"> et al. (2018) have </w:t>
      </w:r>
      <w:r w:rsidRPr="004137AA">
        <w:rPr>
          <w:rFonts w:ascii="Times New Roman" w:eastAsia="Times New Roman" w:hAnsi="Times New Roman" w:cs="Times New Roman"/>
          <w:sz w:val="24"/>
          <w:szCs w:val="24"/>
        </w:rPr>
        <w:lastRenderedPageBreak/>
        <w:t>also noted that when patents on first-generation transgenic events expire, regulatory data requirements for demonstrating the safety of genetically modified plants effectively recreate barriers to generic competition, because no generic seed developer can afford to replicate the extensive safety dossier compiled by the original patent holder.</w:t>
      </w:r>
    </w:p>
    <w:p w14:paraId="3C6A8A88" w14:textId="77777777" w:rsidR="00E55C68"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Glenna (2023) provides qualitative evidence from public plant scientists in Germany that these systemic pressures have begun to redirect public research investment away from applied plant improvement towards basic genomic science, where freedom to operate is less constrained — a reorientation that may ultimately serve the interests of the private sector, which can draw on publicly funded genomic knowledge as a basis for proprietary product development.</w:t>
      </w:r>
      <w:r w:rsidR="00E55C68">
        <w:rPr>
          <w:rFonts w:ascii="Times New Roman" w:eastAsia="Times New Roman" w:hAnsi="Times New Roman" w:cs="Times New Roman"/>
          <w:sz w:val="24"/>
          <w:szCs w:val="24"/>
        </w:rPr>
        <w:t xml:space="preserve"> </w:t>
      </w:r>
      <w:r w:rsidR="00E55C68" w:rsidRPr="004137AA">
        <w:rPr>
          <w:rFonts w:ascii="Times New Roman" w:eastAsia="Times New Roman" w:hAnsi="Times New Roman" w:cs="Times New Roman"/>
          <w:bCs/>
          <w:sz w:val="24"/>
          <w:szCs w:val="24"/>
        </w:rPr>
        <w:t>Table 3</w:t>
      </w:r>
      <w:r w:rsidR="00E55C68">
        <w:rPr>
          <w:rFonts w:ascii="Times New Roman" w:eastAsia="Times New Roman" w:hAnsi="Times New Roman" w:cs="Times New Roman"/>
          <w:b/>
          <w:bCs/>
          <w:sz w:val="24"/>
          <w:szCs w:val="24"/>
        </w:rPr>
        <w:t xml:space="preserve"> </w:t>
      </w:r>
      <w:r w:rsidR="000E41BF">
        <w:rPr>
          <w:rFonts w:ascii="Times New Roman" w:eastAsia="Times New Roman" w:hAnsi="Times New Roman" w:cs="Times New Roman"/>
          <w:bCs/>
          <w:sz w:val="24"/>
          <w:szCs w:val="24"/>
        </w:rPr>
        <w:t>provides information</w:t>
      </w:r>
      <w:r w:rsidR="00E55C68" w:rsidRPr="00E55C68">
        <w:rPr>
          <w:rFonts w:ascii="Times New Roman" w:eastAsia="Times New Roman" w:hAnsi="Times New Roman" w:cs="Times New Roman"/>
          <w:bCs/>
          <w:sz w:val="24"/>
          <w:szCs w:val="24"/>
        </w:rPr>
        <w:t xml:space="preserve"> of </w:t>
      </w:r>
      <w:r w:rsidR="00E55C68" w:rsidRPr="004137AA">
        <w:rPr>
          <w:rFonts w:ascii="Times New Roman" w:eastAsia="Times New Roman" w:hAnsi="Times New Roman" w:cs="Times New Roman"/>
          <w:bCs/>
          <w:sz w:val="24"/>
          <w:szCs w:val="24"/>
        </w:rPr>
        <w:t>market share concentration in the global seed industry</w:t>
      </w:r>
      <w:r w:rsidR="00E55C68" w:rsidRPr="00E55C68">
        <w:rPr>
          <w:rFonts w:ascii="Times New Roman" w:eastAsia="Times New Roman" w:hAnsi="Times New Roman" w:cs="Times New Roman"/>
          <w:bCs/>
          <w:sz w:val="24"/>
          <w:szCs w:val="24"/>
        </w:rPr>
        <w:t>.</w:t>
      </w:r>
    </w:p>
    <w:p w14:paraId="5E5161D0"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p>
    <w:p w14:paraId="732263AB"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t>Table 3: Market Share Concentration in the Global Seed Industry (2018–2020)</w:t>
      </w:r>
    </w:p>
    <w:tbl>
      <w:tblPr>
        <w:tblStyle w:val="TableGrid"/>
        <w:tblW w:w="0" w:type="auto"/>
        <w:tblLook w:val="04A0" w:firstRow="1" w:lastRow="0" w:firstColumn="1" w:lastColumn="0" w:noHBand="0" w:noVBand="1"/>
      </w:tblPr>
      <w:tblGrid>
        <w:gridCol w:w="3120"/>
        <w:gridCol w:w="4609"/>
        <w:gridCol w:w="1513"/>
      </w:tblGrid>
      <w:tr w:rsidR="004137AA" w:rsidRPr="004137AA" w14:paraId="6BE65167" w14:textId="77777777" w:rsidTr="00EF698D">
        <w:tc>
          <w:tcPr>
            <w:tcW w:w="0" w:type="auto"/>
            <w:hideMark/>
          </w:tcPr>
          <w:p w14:paraId="095681AC"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Indicator</w:t>
            </w:r>
          </w:p>
        </w:tc>
        <w:tc>
          <w:tcPr>
            <w:tcW w:w="0" w:type="auto"/>
            <w:hideMark/>
          </w:tcPr>
          <w:p w14:paraId="56B96259"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Value</w:t>
            </w:r>
          </w:p>
        </w:tc>
        <w:tc>
          <w:tcPr>
            <w:tcW w:w="0" w:type="auto"/>
            <w:hideMark/>
          </w:tcPr>
          <w:p w14:paraId="20FED962"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Source</w:t>
            </w:r>
          </w:p>
        </w:tc>
      </w:tr>
      <w:tr w:rsidR="004137AA" w:rsidRPr="004137AA" w14:paraId="04B75D9F" w14:textId="77777777" w:rsidTr="00EF698D">
        <w:tc>
          <w:tcPr>
            <w:tcW w:w="0" w:type="auto"/>
            <w:hideMark/>
          </w:tcPr>
          <w:p w14:paraId="7DCDBD39"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Share of US corn seed market controlled by Bayer and Corteva</w:t>
            </w:r>
          </w:p>
        </w:tc>
        <w:tc>
          <w:tcPr>
            <w:tcW w:w="0" w:type="auto"/>
            <w:hideMark/>
          </w:tcPr>
          <w:p w14:paraId="58E1279F"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~72% of planted acres</w:t>
            </w:r>
          </w:p>
        </w:tc>
        <w:tc>
          <w:tcPr>
            <w:tcW w:w="0" w:type="auto"/>
            <w:hideMark/>
          </w:tcPr>
          <w:p w14:paraId="50B9D89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USDA ERS (2023)</w:t>
            </w:r>
          </w:p>
        </w:tc>
      </w:tr>
      <w:tr w:rsidR="004137AA" w:rsidRPr="004137AA" w14:paraId="67269393" w14:textId="77777777" w:rsidTr="00EF698D">
        <w:tc>
          <w:tcPr>
            <w:tcW w:w="0" w:type="auto"/>
            <w:hideMark/>
          </w:tcPr>
          <w:p w14:paraId="098F4FCB"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Share of US soybean seed market controlled by Bayer and Corteva</w:t>
            </w:r>
          </w:p>
        </w:tc>
        <w:tc>
          <w:tcPr>
            <w:tcW w:w="0" w:type="auto"/>
            <w:hideMark/>
          </w:tcPr>
          <w:p w14:paraId="59F4C69B"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~66% of planted acres</w:t>
            </w:r>
          </w:p>
        </w:tc>
        <w:tc>
          <w:tcPr>
            <w:tcW w:w="0" w:type="auto"/>
            <w:hideMark/>
          </w:tcPr>
          <w:p w14:paraId="1E741A6D"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USDA ERS (2023)</w:t>
            </w:r>
          </w:p>
        </w:tc>
      </w:tr>
      <w:tr w:rsidR="004137AA" w:rsidRPr="004137AA" w14:paraId="7D9687DE" w14:textId="77777777" w:rsidTr="00EF698D">
        <w:tc>
          <w:tcPr>
            <w:tcW w:w="0" w:type="auto"/>
            <w:hideMark/>
          </w:tcPr>
          <w:p w14:paraId="4DF84F49"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Top-4 firm share (CR4) of US corn seed market</w:t>
            </w:r>
          </w:p>
        </w:tc>
        <w:tc>
          <w:tcPr>
            <w:tcW w:w="0" w:type="auto"/>
            <w:hideMark/>
          </w:tcPr>
          <w:p w14:paraId="4A06780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~84% of planted acres</w:t>
            </w:r>
          </w:p>
        </w:tc>
        <w:tc>
          <w:tcPr>
            <w:tcW w:w="0" w:type="auto"/>
            <w:hideMark/>
          </w:tcPr>
          <w:p w14:paraId="7537ED46"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USDA ERS (2023)</w:t>
            </w:r>
          </w:p>
        </w:tc>
      </w:tr>
      <w:tr w:rsidR="004137AA" w:rsidRPr="004137AA" w14:paraId="6F39C58F" w14:textId="77777777" w:rsidTr="00EF698D">
        <w:tc>
          <w:tcPr>
            <w:tcW w:w="0" w:type="auto"/>
            <w:hideMark/>
          </w:tcPr>
          <w:p w14:paraId="12E75027"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Top-4 firm share (CR4) of US soybean seed market</w:t>
            </w:r>
          </w:p>
        </w:tc>
        <w:tc>
          <w:tcPr>
            <w:tcW w:w="0" w:type="auto"/>
            <w:hideMark/>
          </w:tcPr>
          <w:p w14:paraId="4EFAAF6D"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~78% of planted acres</w:t>
            </w:r>
          </w:p>
        </w:tc>
        <w:tc>
          <w:tcPr>
            <w:tcW w:w="0" w:type="auto"/>
            <w:hideMark/>
          </w:tcPr>
          <w:p w14:paraId="0228B87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USDA ERS (2023)</w:t>
            </w:r>
          </w:p>
        </w:tc>
      </w:tr>
      <w:tr w:rsidR="004137AA" w:rsidRPr="004137AA" w14:paraId="7398DA75" w14:textId="77777777" w:rsidTr="00EF698D">
        <w:tc>
          <w:tcPr>
            <w:tcW w:w="0" w:type="auto"/>
            <w:hideMark/>
          </w:tcPr>
          <w:p w14:paraId="165CE35C"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Nature of CRISPR patent landscape in plant applications</w:t>
            </w:r>
          </w:p>
        </w:tc>
        <w:tc>
          <w:tcPr>
            <w:tcW w:w="0" w:type="auto"/>
            <w:hideMark/>
          </w:tcPr>
          <w:p w14:paraId="048AF3E7"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Growing number of overlapping patents constituting a "patent thicket" impairing public-sector freedom to operate</w:t>
            </w:r>
          </w:p>
        </w:tc>
        <w:tc>
          <w:tcPr>
            <w:tcW w:w="0" w:type="auto"/>
            <w:hideMark/>
          </w:tcPr>
          <w:p w14:paraId="61BB903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Kock (2021); </w:t>
            </w:r>
            <w:r w:rsidR="00EF698D" w:rsidRPr="00EF698D">
              <w:rPr>
                <w:rFonts w:ascii="Times New Roman" w:eastAsia="Times New Roman" w:hAnsi="Times New Roman" w:cs="Times New Roman"/>
                <w:sz w:val="24"/>
                <w:szCs w:val="24"/>
              </w:rPr>
              <w:t xml:space="preserve">Idris </w:t>
            </w:r>
            <w:r w:rsidRPr="004137AA">
              <w:rPr>
                <w:rFonts w:ascii="Times New Roman" w:eastAsia="Times New Roman" w:hAnsi="Times New Roman" w:cs="Times New Roman"/>
                <w:sz w:val="24"/>
                <w:szCs w:val="24"/>
              </w:rPr>
              <w:t>(2023)</w:t>
            </w:r>
          </w:p>
        </w:tc>
      </w:tr>
    </w:tbl>
    <w:p w14:paraId="4A01AF18"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 xml:space="preserve">Sources: USDA ERS (2023); Kock (2021); </w:t>
      </w:r>
      <w:r w:rsidR="00EF698D" w:rsidRPr="00EF698D">
        <w:rPr>
          <w:rFonts w:ascii="Times New Roman" w:eastAsia="Times New Roman" w:hAnsi="Times New Roman" w:cs="Times New Roman"/>
          <w:i/>
          <w:iCs/>
          <w:sz w:val="24"/>
          <w:szCs w:val="24"/>
        </w:rPr>
        <w:t xml:space="preserve">Idris </w:t>
      </w:r>
      <w:r w:rsidRPr="004137AA">
        <w:rPr>
          <w:rFonts w:ascii="Times New Roman" w:eastAsia="Times New Roman" w:hAnsi="Times New Roman" w:cs="Times New Roman"/>
          <w:i/>
          <w:iCs/>
          <w:sz w:val="24"/>
          <w:szCs w:val="24"/>
        </w:rPr>
        <w:t>(2023); Howard (2015); Clancy &amp; Moschini (2017).</w:t>
      </w:r>
    </w:p>
    <w:p w14:paraId="3DA6F779"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4970A8EF"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7. Ethical Concerns</w:t>
      </w:r>
    </w:p>
    <w:p w14:paraId="020DB9B6"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7.1 Biopiracy and the Appropriation of Traditional Knowledge</w:t>
      </w:r>
    </w:p>
    <w:p w14:paraId="639A2945"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Biopiracy — the unauthorised appropriation of genetic resources or traditional knowledge from communities, typically in the Global South, for commercial exploitation without fair benefit-sharing — has been one of the most persistently debated ethical issues in plant biotechnology patenting since the 1990s. Numerous documented cases — including the attempted patenting of the pesticidal properties of neem, the anti-inflammatory properties of turmeric, and the distinctive fragrance of basmati rice — illustrated how patent systems based on novelty and inventive step might allow firms to commercialise indigenous knowledge with minor modifications while depriving originating communities of any share in the benefits (Perron-Welch, 2025; Wu, 2024).</w:t>
      </w:r>
    </w:p>
    <w:p w14:paraId="2C2E3814"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lastRenderedPageBreak/>
        <w:t>The international community's principal responses — the CBD, the Nagoya Protocol, and now the 2024 WIPO GRATK Treaty — represent progressive attempts to close the gap between the incentive logic of patent law, which rewards documented human invention, and the ethical imperative of equitable benefit sharing with traditional custodians of biological diversity. Perron-Welch (2025) analyses the GRATK Treaty's mandatory disclosure of origin requirements as a meaningful step forward, noting that they create the first binding international obligation for patent applicants to disclose the genetic resources and associated traditional knowledge on which their inventions draw. However, the Treaty's enforcement mechanisms remain relatively weak — disclosure failures do not automatically invalidate patents under the agreed text — and the extent to which the Treaty will practically deter biopiracy remains to be seen.</w:t>
      </w:r>
    </w:p>
    <w:p w14:paraId="042A12FD"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Ebert et al. (2023) document the growing practical barriers that complex ABS requirements impose on </w:t>
      </w:r>
      <w:proofErr w:type="spellStart"/>
      <w:r w:rsidRPr="004137AA">
        <w:rPr>
          <w:rFonts w:ascii="Times New Roman" w:eastAsia="Times New Roman" w:hAnsi="Times New Roman" w:cs="Times New Roman"/>
          <w:sz w:val="24"/>
          <w:szCs w:val="24"/>
        </w:rPr>
        <w:t>genebank</w:t>
      </w:r>
      <w:proofErr w:type="spellEnd"/>
      <w:r w:rsidRPr="004137AA">
        <w:rPr>
          <w:rFonts w:ascii="Times New Roman" w:eastAsia="Times New Roman" w:hAnsi="Times New Roman" w:cs="Times New Roman"/>
          <w:sz w:val="24"/>
          <w:szCs w:val="24"/>
        </w:rPr>
        <w:t xml:space="preserve"> curators and plant breeders who wish to access genetic resources held in international collections. When every access transaction requires negotiation of bilateral ABS agreements, the transaction costs of germplasm exchange increase substantially, discouraging the scientific collaboration that is essential for sustainable agricultural development. The ITPGRFA's Multilateral System offers a partial solution for listed crops, but its coverage remains limited and its benefit-sharing mechanisms have not generated the financial flows that were originally anticipated (Ebert et al., 2023; Brink &amp; van </w:t>
      </w:r>
      <w:proofErr w:type="spellStart"/>
      <w:r w:rsidRPr="004137AA">
        <w:rPr>
          <w:rFonts w:ascii="Times New Roman" w:eastAsia="Times New Roman" w:hAnsi="Times New Roman" w:cs="Times New Roman"/>
          <w:sz w:val="24"/>
          <w:szCs w:val="24"/>
        </w:rPr>
        <w:t>Hintum</w:t>
      </w:r>
      <w:proofErr w:type="spellEnd"/>
      <w:r w:rsidRPr="004137AA">
        <w:rPr>
          <w:rFonts w:ascii="Times New Roman" w:eastAsia="Times New Roman" w:hAnsi="Times New Roman" w:cs="Times New Roman"/>
          <w:sz w:val="24"/>
          <w:szCs w:val="24"/>
        </w:rPr>
        <w:t>, 2022).</w:t>
      </w:r>
    </w:p>
    <w:p w14:paraId="5D271E78"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7.2 Farmers' Rights and Seed Saving</w:t>
      </w:r>
    </w:p>
    <w:p w14:paraId="40C8C207"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right of farmers to save seed from their harvest for replanting in the following season is arguably the oldest and most fundamental practice in the history of agriculture. Over the past four decades, this right has been progressively constrained by the combined effect of plant variety protection, utility patents, technology use agreements, and the biological properties of hybrid seeds, which do not breed true and therefore provide no practical benefit to farmers who save them. The ethical dimension of this trend is acute: seed saving is not merely an economic strategy for resource-constrained farmers; it is also a practice of agronomic adaptation, cultural identity, and collective stewardship of genetic diversity that has underpinned food systems for millennia (</w:t>
      </w:r>
      <w:proofErr w:type="spellStart"/>
      <w:r w:rsidRPr="004137AA">
        <w:rPr>
          <w:rFonts w:ascii="Times New Roman" w:eastAsia="Times New Roman" w:hAnsi="Times New Roman" w:cs="Times New Roman"/>
          <w:sz w:val="24"/>
          <w:szCs w:val="24"/>
        </w:rPr>
        <w:t>Kotschi</w:t>
      </w:r>
      <w:proofErr w:type="spellEnd"/>
      <w:r w:rsidRPr="004137AA">
        <w:rPr>
          <w:rFonts w:ascii="Times New Roman" w:eastAsia="Times New Roman" w:hAnsi="Times New Roman" w:cs="Times New Roman"/>
          <w:sz w:val="24"/>
          <w:szCs w:val="24"/>
        </w:rPr>
        <w:t xml:space="preserve"> &amp; </w:t>
      </w:r>
      <w:proofErr w:type="spellStart"/>
      <w:r w:rsidRPr="004137AA">
        <w:rPr>
          <w:rFonts w:ascii="Times New Roman" w:eastAsia="Times New Roman" w:hAnsi="Times New Roman" w:cs="Times New Roman"/>
          <w:sz w:val="24"/>
          <w:szCs w:val="24"/>
        </w:rPr>
        <w:t>Horneburg</w:t>
      </w:r>
      <w:proofErr w:type="spellEnd"/>
      <w:r w:rsidRPr="004137AA">
        <w:rPr>
          <w:rFonts w:ascii="Times New Roman" w:eastAsia="Times New Roman" w:hAnsi="Times New Roman" w:cs="Times New Roman"/>
          <w:sz w:val="24"/>
          <w:szCs w:val="24"/>
        </w:rPr>
        <w:t xml:space="preserve">, 2018; </w:t>
      </w:r>
      <w:proofErr w:type="spellStart"/>
      <w:r w:rsidRPr="004137AA">
        <w:rPr>
          <w:rFonts w:ascii="Times New Roman" w:eastAsia="Times New Roman" w:hAnsi="Times New Roman" w:cs="Times New Roman"/>
          <w:sz w:val="24"/>
          <w:szCs w:val="24"/>
        </w:rPr>
        <w:t>Louwaars</w:t>
      </w:r>
      <w:proofErr w:type="spellEnd"/>
      <w:r w:rsidRPr="004137AA">
        <w:rPr>
          <w:rFonts w:ascii="Times New Roman" w:eastAsia="Times New Roman" w:hAnsi="Times New Roman" w:cs="Times New Roman"/>
          <w:sz w:val="24"/>
          <w:szCs w:val="24"/>
        </w:rPr>
        <w:t>, 2019).</w:t>
      </w:r>
    </w:p>
    <w:p w14:paraId="70C8579D"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legal position of farmers' seed saving differs markedly across jurisdictions. Under UPOV 1991, the farmer's privilege has become optional and conditional, subject to equitable remuneration to breeders and confined to propagation on the farmer's own holding. Under utility patent regimes, there is no farmer's privilege at all: a farmer who replants patented seed commits patent infringement regardless of the circumstances (Wu, 2024; Lawson, 2023). These legal frameworks have been criticised as reproducing, through legal mechanisms, the structural dependency that Green Revolution agricultural development created through agronomy — transforming farmers from agents of crop improvement into passive consumers of technology produced and controlled by others (Batur &amp; </w:t>
      </w:r>
      <w:proofErr w:type="spellStart"/>
      <w:r w:rsidRPr="004137AA">
        <w:rPr>
          <w:rFonts w:ascii="Times New Roman" w:eastAsia="Times New Roman" w:hAnsi="Times New Roman" w:cs="Times New Roman"/>
          <w:sz w:val="24"/>
          <w:szCs w:val="24"/>
        </w:rPr>
        <w:t>Dedeurwaerdere</w:t>
      </w:r>
      <w:proofErr w:type="spellEnd"/>
      <w:r w:rsidRPr="004137AA">
        <w:rPr>
          <w:rFonts w:ascii="Times New Roman" w:eastAsia="Times New Roman" w:hAnsi="Times New Roman" w:cs="Times New Roman"/>
          <w:sz w:val="24"/>
          <w:szCs w:val="24"/>
        </w:rPr>
        <w:t>, 2014).</w:t>
      </w:r>
    </w:p>
    <w:p w14:paraId="50D61067"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tension between breeders' rights and farmers' rights is also reflected in the inconsistency between UPOV and the ITPGRFA. The Plant Treaty's recognition of Farmers' Rights — including the right to save, use, exchange, and sell farm-saved seed — is formally compatible with UPOV, since both instruments acknowledge these rights in principle, but UPOV 1991 permits member states to restrict the farmer's privilege significantly, and bilateral TRIPS-plus agreements frequently require developing countries to join UPOV 1991, effectively </w:t>
      </w:r>
      <w:r w:rsidRPr="004137AA">
        <w:rPr>
          <w:rFonts w:ascii="Times New Roman" w:eastAsia="Times New Roman" w:hAnsi="Times New Roman" w:cs="Times New Roman"/>
          <w:sz w:val="24"/>
          <w:szCs w:val="24"/>
        </w:rPr>
        <w:lastRenderedPageBreak/>
        <w:t>foreclosing national legislative space to enact broad farmers' rights protections (Wynberg et al., 2021; Ebert et al., 2023).</w:t>
      </w:r>
    </w:p>
    <w:p w14:paraId="3F402EB0"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7.3 Food Security, Access, and the North–South Divide</w:t>
      </w:r>
    </w:p>
    <w:p w14:paraId="1C4BE5AA"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relationship between plant biotechnology patenting and food security is characterised by genuine ambiguity. On one hand, the patent system provides incentives for private investment in crop improvement that, on the evidence reviewed by Qaim (2020), has contributed to yield increases and reductions in pesticide use in some contexts. On the other, the structure of private R&amp;D investment is heavily skewed towards crops and farming systems that are commercially attractive — primarily commodity crops grown in industrialised agriculture — rather than towards the orphan and subsistence crops on which the world's poorest and most food-insecure people depend (Glenna, 2023; Chang, 2023).</w:t>
      </w:r>
    </w:p>
    <w:p w14:paraId="26B6686D"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Bartkowski et al. (2018) identify a structural paradox in the governance of CRISPR-based crop improvement: the technology is potentially transformative for food security in developing countries precisely because it is relatively cheap, portable, and applicable to locally adapted varieties — yet the patent thickets surrounding fundamental CRISPR tools are primarily held by Northern universities and corporations whose licensing strategies may effectively prevent low-income country researchers from deploying the technology for public benefit. The economic logic of the patent system, which concentrates innovation in markets where returns can be appropriated, pulls in a direction precisely opposite to the social need for accessible innovation in smallholder-dominated farming systems.</w:t>
      </w:r>
    </w:p>
    <w:p w14:paraId="3ED0E3E1"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Smulders et al. (2021) note that even where CRISPR patents are licensed on nominally favourable terms for humanitarian purposes, the administrative and legal burden of establishing eligibility, negotiating agreements, and ensuring compliance can be prohibitive for resource-constrained institutions in developing countries. This is compounded by regulatory divergence: where gene-edited crops are treated as GMOs — as in the European Union and in many developing countries — they face regulatory approval processes that are prohibitively expensive for public institutions operating without the resources of major corporations.</w:t>
      </w:r>
    </w:p>
    <w:p w14:paraId="6EC3171C"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Rising seed prices provide another lens on the food security implications of plant IP concentration. The USDA Economic Research Service (2023) reported that between 1990 and 2020, prices paid by US farmers for crop seed increased by an average of 170 per cent, with prices for crops grown predominantly with patented genetically modified traits rising by 463 per cent — compared with a 56 per cent increase in commodity output prices over the same period. The welfare implications for farmers in both developed and developing countries of this sustained divergence between input and output price trajectories deserve continued attention from agricultural economists and policymakers alike.</w:t>
      </w:r>
    </w:p>
    <w:p w14:paraId="4D5A8E59"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7.4 Biodiversity and Agrobiodiversity</w:t>
      </w:r>
    </w:p>
    <w:p w14:paraId="2613CBDE"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Perhaps the most profound, if least immediately visible, ethical concern associated with plant biotechnology patenting is its relationship to the erosion of crop genetic diversity. The standard economic argument for private plant breeding — that intellectual property protection incentivises investment in higher-yielding varieties — does not engage systematically with the agrobiodiversity consequences of the varietal replacement it entails. As Khoury et al. (2022) document in a comprehensive synthesis of the evidence on crop </w:t>
      </w:r>
      <w:r w:rsidRPr="004137AA">
        <w:rPr>
          <w:rFonts w:ascii="Times New Roman" w:eastAsia="Times New Roman" w:hAnsi="Times New Roman" w:cs="Times New Roman"/>
          <w:sz w:val="24"/>
          <w:szCs w:val="24"/>
        </w:rPr>
        <w:lastRenderedPageBreak/>
        <w:t xml:space="preserve">genetic erosion, the spread of a small number of uniform commercial varieties across large agricultural areas has reduced the effective diversity of crop plants at the farm level, even as collections in ex-situ </w:t>
      </w:r>
      <w:proofErr w:type="spellStart"/>
      <w:r w:rsidRPr="004137AA">
        <w:rPr>
          <w:rFonts w:ascii="Times New Roman" w:eastAsia="Times New Roman" w:hAnsi="Times New Roman" w:cs="Times New Roman"/>
          <w:sz w:val="24"/>
          <w:szCs w:val="24"/>
        </w:rPr>
        <w:t>genebanks</w:t>
      </w:r>
      <w:proofErr w:type="spellEnd"/>
      <w:r w:rsidRPr="004137AA">
        <w:rPr>
          <w:rFonts w:ascii="Times New Roman" w:eastAsia="Times New Roman" w:hAnsi="Times New Roman" w:cs="Times New Roman"/>
          <w:sz w:val="24"/>
          <w:szCs w:val="24"/>
        </w:rPr>
        <w:t xml:space="preserve"> have expanded.</w:t>
      </w:r>
    </w:p>
    <w:p w14:paraId="6080CDD3"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mechanisms through which plant IP systems contribute to agrobiodiversity loss are multiple. The DUS requirements for PVR protection, which mandate that protected varieties be uniform across plants and stable across generations, effectively exclude the genetically heterogeneous landraces and farmer varieties that constitute much of the world's crop diversity from formal IP protection, while also making them ineligible for official certification and marketing in many jurisdictions (Yang et al., 2021; Batur &amp; </w:t>
      </w:r>
      <w:proofErr w:type="spellStart"/>
      <w:r w:rsidRPr="004137AA">
        <w:rPr>
          <w:rFonts w:ascii="Times New Roman" w:eastAsia="Times New Roman" w:hAnsi="Times New Roman" w:cs="Times New Roman"/>
          <w:sz w:val="24"/>
          <w:szCs w:val="24"/>
        </w:rPr>
        <w:t>Dedeurwaerdere</w:t>
      </w:r>
      <w:proofErr w:type="spellEnd"/>
      <w:r w:rsidRPr="004137AA">
        <w:rPr>
          <w:rFonts w:ascii="Times New Roman" w:eastAsia="Times New Roman" w:hAnsi="Times New Roman" w:cs="Times New Roman"/>
          <w:sz w:val="24"/>
          <w:szCs w:val="24"/>
        </w:rPr>
        <w:t xml:space="preserve">, 2014). Patent-protected varieties, which may be simultaneously covered by exclusive rights on the variety and on the </w:t>
      </w:r>
      <w:proofErr w:type="gramStart"/>
      <w:r w:rsidRPr="004137AA">
        <w:rPr>
          <w:rFonts w:ascii="Times New Roman" w:eastAsia="Times New Roman" w:hAnsi="Times New Roman" w:cs="Times New Roman"/>
          <w:sz w:val="24"/>
          <w:szCs w:val="24"/>
        </w:rPr>
        <w:t>traits</w:t>
      </w:r>
      <w:proofErr w:type="gramEnd"/>
      <w:r w:rsidRPr="004137AA">
        <w:rPr>
          <w:rFonts w:ascii="Times New Roman" w:eastAsia="Times New Roman" w:hAnsi="Times New Roman" w:cs="Times New Roman"/>
          <w:sz w:val="24"/>
          <w:szCs w:val="24"/>
        </w:rPr>
        <w:t xml:space="preserve"> they express, further concentrate the genetics of commercial agriculture. Khoury et al. (2022) note that the privatisation of germplasm and the associated narrowing of genetic bases in commercial crops creates systemic fragility — a concern illustrated historically by the susceptibility of uniform high-yielding varieties to new pathogen strains that emerge beyond the range of their engineered or selected resistance.</w:t>
      </w:r>
    </w:p>
    <w:p w14:paraId="4865111C"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Wynberg et al. (2021) situate the challenge of agrobiodiversity conservation within the governance debate over digital sequence information (DSI), noting that the rapid digitisation of genomic data has allowed actors to generate commercially valuable information from crop genetic resources without needing physical access to the germplasm itself, thereby circumventing ABS frameworks and removing any financial incentive for provider countries to maintain </w:t>
      </w:r>
      <w:r w:rsidRPr="004137AA">
        <w:rPr>
          <w:rFonts w:ascii="Times New Roman" w:eastAsia="Times New Roman" w:hAnsi="Times New Roman" w:cs="Times New Roman"/>
          <w:i/>
          <w:iCs/>
          <w:sz w:val="24"/>
          <w:szCs w:val="24"/>
        </w:rPr>
        <w:t>in situ</w:t>
      </w:r>
      <w:r w:rsidRPr="004137AA">
        <w:rPr>
          <w:rFonts w:ascii="Times New Roman" w:eastAsia="Times New Roman" w:hAnsi="Times New Roman" w:cs="Times New Roman"/>
          <w:sz w:val="24"/>
          <w:szCs w:val="24"/>
        </w:rPr>
        <w:t xml:space="preserve"> diversity. Brink and van </w:t>
      </w:r>
      <w:proofErr w:type="spellStart"/>
      <w:r w:rsidRPr="004137AA">
        <w:rPr>
          <w:rFonts w:ascii="Times New Roman" w:eastAsia="Times New Roman" w:hAnsi="Times New Roman" w:cs="Times New Roman"/>
          <w:sz w:val="24"/>
          <w:szCs w:val="24"/>
        </w:rPr>
        <w:t>Hintum</w:t>
      </w:r>
      <w:proofErr w:type="spellEnd"/>
      <w:r w:rsidRPr="004137AA">
        <w:rPr>
          <w:rFonts w:ascii="Times New Roman" w:eastAsia="Times New Roman" w:hAnsi="Times New Roman" w:cs="Times New Roman"/>
          <w:sz w:val="24"/>
          <w:szCs w:val="24"/>
        </w:rPr>
        <w:t xml:space="preserve"> (2022) model the practical consequences for plant </w:t>
      </w:r>
      <w:proofErr w:type="spellStart"/>
      <w:r w:rsidRPr="004137AA">
        <w:rPr>
          <w:rFonts w:ascii="Times New Roman" w:eastAsia="Times New Roman" w:hAnsi="Times New Roman" w:cs="Times New Roman"/>
          <w:sz w:val="24"/>
          <w:szCs w:val="24"/>
        </w:rPr>
        <w:t>genebanks</w:t>
      </w:r>
      <w:proofErr w:type="spellEnd"/>
      <w:r w:rsidRPr="004137AA">
        <w:rPr>
          <w:rFonts w:ascii="Times New Roman" w:eastAsia="Times New Roman" w:hAnsi="Times New Roman" w:cs="Times New Roman"/>
          <w:sz w:val="24"/>
          <w:szCs w:val="24"/>
        </w:rPr>
        <w:t xml:space="preserve"> of alternative DSI governance scenarios, concluding that approaches that restrict access to sequence data could substantially impede scientific collaboration and variety development, while approaches that allow unrestricted access without benefit-sharing obligations would leave provider countries without compensation for the genetic heritage they conserve.</w:t>
      </w:r>
    </w:p>
    <w:p w14:paraId="684E49DE"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1E74BCAA"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8. Emerging Governance Frameworks and Alternative Models</w:t>
      </w:r>
    </w:p>
    <w:p w14:paraId="7F7698A0"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8.1 Digital Sequence Information and the ITPGRFA</w:t>
      </w:r>
    </w:p>
    <w:p w14:paraId="03CA2E49"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Digital sequence information — the nucleic acid sequence data derived from genetic resources — has emerged as one of the most contested issues in international biodiversity governance since 2018, when the CBD convened an ad hoc expert group to assess whether DSI should fall within the scope of ABS obligations. The stakes are high: if DSI is treated as a genetic resource subject to Nagoya Protocol requirements, open access to genomic databases could be restricted, impeding science globally; if DSI is treated as free data outside ABS frameworks, countries of origin lose any leverage to secure benefits from the commercialisation of sequence information derived from their biodiversity (Brink &amp; van </w:t>
      </w:r>
      <w:proofErr w:type="spellStart"/>
      <w:r w:rsidRPr="004137AA">
        <w:rPr>
          <w:rFonts w:ascii="Times New Roman" w:eastAsia="Times New Roman" w:hAnsi="Times New Roman" w:cs="Times New Roman"/>
          <w:sz w:val="24"/>
          <w:szCs w:val="24"/>
        </w:rPr>
        <w:t>Hintum</w:t>
      </w:r>
      <w:proofErr w:type="spellEnd"/>
      <w:r w:rsidRPr="004137AA">
        <w:rPr>
          <w:rFonts w:ascii="Times New Roman" w:eastAsia="Times New Roman" w:hAnsi="Times New Roman" w:cs="Times New Roman"/>
          <w:sz w:val="24"/>
          <w:szCs w:val="24"/>
        </w:rPr>
        <w:t>, 2022; Wynberg et al., 2021).</w:t>
      </w:r>
    </w:p>
    <w:p w14:paraId="7E5E593E"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resolution of this issue at the CBD COP15 in Kunming-Montreal in 2022 established a multilateral mechanism for benefit sharing from DSI use, without restricting access to the sequence information itself. This represents a significant governance innovation: rather than following the Nagoya Protocol's bilateral, resource-by-resource model, the DSI mechanism pools contributions from commercial users of biodiversity data into a common fund that </w:t>
      </w:r>
      <w:r w:rsidRPr="004137AA">
        <w:rPr>
          <w:rFonts w:ascii="Times New Roman" w:eastAsia="Times New Roman" w:hAnsi="Times New Roman" w:cs="Times New Roman"/>
          <w:sz w:val="24"/>
          <w:szCs w:val="24"/>
        </w:rPr>
        <w:lastRenderedPageBreak/>
        <w:t xml:space="preserve">supports conservation and capacity-building in biodiversity-rich countries. The ITPGRFA is developing a parallel mechanism for plant genetic resources in the agricultural domain, recognising that the Plant Treaty's Multilateral System could be extended to cover DSI alongside physical germplasm (Ebert et al., 2023; Brink &amp; van </w:t>
      </w:r>
      <w:proofErr w:type="spellStart"/>
      <w:r w:rsidRPr="004137AA">
        <w:rPr>
          <w:rFonts w:ascii="Times New Roman" w:eastAsia="Times New Roman" w:hAnsi="Times New Roman" w:cs="Times New Roman"/>
          <w:sz w:val="24"/>
          <w:szCs w:val="24"/>
        </w:rPr>
        <w:t>Hintum</w:t>
      </w:r>
      <w:proofErr w:type="spellEnd"/>
      <w:r w:rsidRPr="004137AA">
        <w:rPr>
          <w:rFonts w:ascii="Times New Roman" w:eastAsia="Times New Roman" w:hAnsi="Times New Roman" w:cs="Times New Roman"/>
          <w:sz w:val="24"/>
          <w:szCs w:val="24"/>
        </w:rPr>
        <w:t>, 2022).</w:t>
      </w:r>
    </w:p>
    <w:p w14:paraId="04929E9B"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8.2 The 2024 WIPO GRATK Treaty</w:t>
      </w:r>
    </w:p>
    <w:p w14:paraId="07DB5630"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adoption in May 2024 of the WIPO Treaty on Intellectual Property, Genetic Resources and Associated Traditional Knowledge marked the culmination of more than two decades of intergovernmental negotiations. As Perron-Welch (2025) analyses, the Treaty introduces a mandatory disclosure of origin requirement into the global patent system for the first time: patent applicants whose inventions are based on genetic resources or associated traditional knowledge must disclose the country of origin or provenance of those resources in their patent applications. This requirement is designed to facilitate benefit sharing by creating a paper trail that connects patent grants to the genetic heritage from which innovations derive.</w:t>
      </w:r>
    </w:p>
    <w:p w14:paraId="0486138F"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Treaty's significance for plant biotechnology is considerable. Patents on plant traits, varieties, or breeding methods that draw on traditionally cultivated crop species, landraces, or wild relatives will in future be subject to disclosure requirements that, if properly enforced, should make biopiracy more visible and easier to contest. The WIPO GRATK Treaty does not, however, harmonise the consequences of non-disclosure: parties retain discretion to determine whether failure to disclose renders a patent invalid or unenforceable. This flexibility, inserted at the insistence of major patent-holding countries, has been criticised as a significant weakening of the Treaty's deterrent effect (Perron-Welch, 2025).</w:t>
      </w:r>
    </w:p>
    <w:p w14:paraId="26A8F731" w14:textId="77777777"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8.3 Open-Source and Alternative Licensing Models</w:t>
      </w:r>
    </w:p>
    <w:p w14:paraId="3B1FED04"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most direct response to the constraints that proprietary IP regimes place on plant breeders and farmers has been the development of open-source seed (OSS) initiatives, which apply concepts drawn from the free and open-source software movement to plant germplasm. The </w:t>
      </w:r>
      <w:proofErr w:type="gramStart"/>
      <w:r w:rsidRPr="004137AA">
        <w:rPr>
          <w:rFonts w:ascii="Times New Roman" w:eastAsia="Times New Roman" w:hAnsi="Times New Roman" w:cs="Times New Roman"/>
          <w:sz w:val="24"/>
          <w:szCs w:val="24"/>
        </w:rPr>
        <w:t>Open Source</w:t>
      </w:r>
      <w:proofErr w:type="gramEnd"/>
      <w:r w:rsidRPr="004137AA">
        <w:rPr>
          <w:rFonts w:ascii="Times New Roman" w:eastAsia="Times New Roman" w:hAnsi="Times New Roman" w:cs="Times New Roman"/>
          <w:sz w:val="24"/>
          <w:szCs w:val="24"/>
        </w:rPr>
        <w:t xml:space="preserve"> Seed Initiative (OSSI), founded in the United States in 2012, employs a simple pledge under which varieties are made available on the condition that any material derived from them also remains accessible to others on the same open terms (Luby &amp; Goldman, 2016). The </w:t>
      </w:r>
      <w:proofErr w:type="gramStart"/>
      <w:r w:rsidRPr="004137AA">
        <w:rPr>
          <w:rFonts w:ascii="Times New Roman" w:eastAsia="Times New Roman" w:hAnsi="Times New Roman" w:cs="Times New Roman"/>
          <w:sz w:val="24"/>
          <w:szCs w:val="24"/>
        </w:rPr>
        <w:t>Open Source</w:t>
      </w:r>
      <w:proofErr w:type="gramEnd"/>
      <w:r w:rsidRPr="004137AA">
        <w:rPr>
          <w:rFonts w:ascii="Times New Roman" w:eastAsia="Times New Roman" w:hAnsi="Times New Roman" w:cs="Times New Roman"/>
          <w:sz w:val="24"/>
          <w:szCs w:val="24"/>
        </w:rPr>
        <w:t xml:space="preserve"> Seeds Licence developed in Germany by </w:t>
      </w:r>
      <w:proofErr w:type="spellStart"/>
      <w:r w:rsidRPr="004137AA">
        <w:rPr>
          <w:rFonts w:ascii="Times New Roman" w:eastAsia="Times New Roman" w:hAnsi="Times New Roman" w:cs="Times New Roman"/>
          <w:sz w:val="24"/>
          <w:szCs w:val="24"/>
        </w:rPr>
        <w:t>Agrecol</w:t>
      </w:r>
      <w:proofErr w:type="spellEnd"/>
      <w:r w:rsidRPr="004137AA">
        <w:rPr>
          <w:rFonts w:ascii="Times New Roman" w:eastAsia="Times New Roman" w:hAnsi="Times New Roman" w:cs="Times New Roman"/>
          <w:sz w:val="24"/>
          <w:szCs w:val="24"/>
        </w:rPr>
        <w:t xml:space="preserve"> and colleagues uses a contractual licensing mechanism to create a legally enforceable "copyleft" equivalent for plant germplasm — a protected commons in which the germplasm can be freely used but never privatised (</w:t>
      </w:r>
      <w:proofErr w:type="spellStart"/>
      <w:r w:rsidRPr="004137AA">
        <w:rPr>
          <w:rFonts w:ascii="Times New Roman" w:eastAsia="Times New Roman" w:hAnsi="Times New Roman" w:cs="Times New Roman"/>
          <w:sz w:val="24"/>
          <w:szCs w:val="24"/>
        </w:rPr>
        <w:t>Kotschi</w:t>
      </w:r>
      <w:proofErr w:type="spellEnd"/>
      <w:r w:rsidRPr="004137AA">
        <w:rPr>
          <w:rFonts w:ascii="Times New Roman" w:eastAsia="Times New Roman" w:hAnsi="Times New Roman" w:cs="Times New Roman"/>
          <w:sz w:val="24"/>
          <w:szCs w:val="24"/>
        </w:rPr>
        <w:t xml:space="preserve"> &amp; </w:t>
      </w:r>
      <w:proofErr w:type="spellStart"/>
      <w:r w:rsidRPr="004137AA">
        <w:rPr>
          <w:rFonts w:ascii="Times New Roman" w:eastAsia="Times New Roman" w:hAnsi="Times New Roman" w:cs="Times New Roman"/>
          <w:sz w:val="24"/>
          <w:szCs w:val="24"/>
        </w:rPr>
        <w:t>Horneburg</w:t>
      </w:r>
      <w:proofErr w:type="spellEnd"/>
      <w:r w:rsidRPr="004137AA">
        <w:rPr>
          <w:rFonts w:ascii="Times New Roman" w:eastAsia="Times New Roman" w:hAnsi="Times New Roman" w:cs="Times New Roman"/>
          <w:sz w:val="24"/>
          <w:szCs w:val="24"/>
        </w:rPr>
        <w:t>, 2018).</w:t>
      </w:r>
    </w:p>
    <w:p w14:paraId="52D4809A"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137AA">
        <w:rPr>
          <w:rFonts w:ascii="Times New Roman" w:eastAsia="Times New Roman" w:hAnsi="Times New Roman" w:cs="Times New Roman"/>
          <w:sz w:val="24"/>
          <w:szCs w:val="24"/>
        </w:rPr>
        <w:t>Louwaars</w:t>
      </w:r>
      <w:proofErr w:type="spellEnd"/>
      <w:r w:rsidRPr="004137AA">
        <w:rPr>
          <w:rFonts w:ascii="Times New Roman" w:eastAsia="Times New Roman" w:hAnsi="Times New Roman" w:cs="Times New Roman"/>
          <w:sz w:val="24"/>
          <w:szCs w:val="24"/>
        </w:rPr>
        <w:t xml:space="preserve"> (2019) provides a nuanced assessment of these initiatives, noting that while they successfully prevent the enclosure of the varieties they cover, they cannot by themselves reverse the systemic dynamics that have produced IP concentration. OSS varieties remain a small fraction of the commercial market, and the pledge mechanism — which relies on the moral commitment of users rather than legal enforcement — offers limited protection against actors who absorb OSS germplasm into conventionally protected breeding programmes. Kock (2021) argues that more systemic solutions are needed, including patent pools, standardised licensing clearinghouses, and compulsory licensing provisions for NGT tools used in public-interest plant improvement. The Max Planck Institute for Innovation and Competition has proposed a cross-institutional licensing platform that would allow breeders to access patented plant traits at fair and reasonable costs determined by an independent </w:t>
      </w:r>
      <w:r w:rsidRPr="004137AA">
        <w:rPr>
          <w:rFonts w:ascii="Times New Roman" w:eastAsia="Times New Roman" w:hAnsi="Times New Roman" w:cs="Times New Roman"/>
          <w:sz w:val="24"/>
          <w:szCs w:val="24"/>
        </w:rPr>
        <w:lastRenderedPageBreak/>
        <w:t>expert process, combining collective licensing with incentives for efficient negotiation (Kock, 2021).</w:t>
      </w:r>
    </w:p>
    <w:p w14:paraId="3D567F18"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137AA">
        <w:rPr>
          <w:rFonts w:ascii="Times New Roman" w:eastAsia="Times New Roman" w:hAnsi="Times New Roman" w:cs="Times New Roman"/>
          <w:sz w:val="24"/>
          <w:szCs w:val="24"/>
        </w:rPr>
        <w:t>Rüdelsheim</w:t>
      </w:r>
      <w:proofErr w:type="spellEnd"/>
      <w:r w:rsidRPr="004137AA">
        <w:rPr>
          <w:rFonts w:ascii="Times New Roman" w:eastAsia="Times New Roman" w:hAnsi="Times New Roman" w:cs="Times New Roman"/>
          <w:sz w:val="24"/>
          <w:szCs w:val="24"/>
        </w:rPr>
        <w:t xml:space="preserve"> et al. (2018) examine the opportunities created by the expiry of foundational GM crop patents, arguing that off-patent transgenic events — the specific DNA insertion events that generated first-generation GM crops — could become available for generic use by developing-country breeders and public institutions, subject to navigating regulatory approval requirements. The practical barriers to generic GM crop development are substantial, however: regulatory data requirements, which must be met independently by any new applicant seeking approval for an off-patent event, represent a major ongoing cost that effectively prevents generic competition even after patents lapse.</w:t>
      </w:r>
    </w:p>
    <w:p w14:paraId="60C3F3B8" w14:textId="77777777" w:rsidR="00B66131" w:rsidRDefault="00B66131"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p>
    <w:p w14:paraId="3A568BD1" w14:textId="72BD3C6C" w:rsidR="004137AA" w:rsidRPr="004137AA" w:rsidRDefault="004137AA" w:rsidP="00FB255D">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8.4 The EU NGT Regulation and the Future of Plant Patent Policy</w:t>
      </w:r>
    </w:p>
    <w:p w14:paraId="253EB16F"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European Union's legislative deliberations over the regulation of plants produced by new genomic techniques represent a microcosm of the wider tensions in plant IP governance. The 2023 European Commission Proposal sought simultaneously to relax GMO regulatory requirements for NGT plants that could have been produced by conventional breeding, and to address patent concerns through transparency mechanisms and a Commission study on patent impacts. The European Parliament's 2024 first-reading position went further, proposing an outright ban on patents for all NGT plants (Jiang et al., 2025; Lukasiewicz et al., 2024).</w:t>
      </w:r>
    </w:p>
    <w:p w14:paraId="7129C75D"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debate in the EU is instructive in several respects. It illustrates how questions of patent law, which have traditionally been treated as the province of IP specialists, have become central concerns for agricultural policymakers, environmental advocates, and farming organisations who recognise that the IP treatment of gene-edited varieties will fundamentally shape who develops them, on whose behalf, and under what conditions of access. Jiang et al. (2025) offer a sceptical assessment of the patent ban approach, arguing that abandoning patents would create legal uncertainty, deprive innovators of proportionate protection for their investments, and potentially push innovation activity towards trade secret protection rather than the disclosure that patents formally require. Lukasiewicz et al. (2024), writing from a plant science perspective, identify a more balanced path through enhanced transparency, extended breeder's exemptions for patented NGT plant traits, and compulsory licensing provisions for food security purposes — an approach that attempts to reconcile breeders' needs with broader public interest imperatives.</w:t>
      </w:r>
      <w:r w:rsidR="000E41BF">
        <w:rPr>
          <w:rFonts w:ascii="Times New Roman" w:eastAsia="Times New Roman" w:hAnsi="Times New Roman" w:cs="Times New Roman"/>
          <w:sz w:val="24"/>
          <w:szCs w:val="24"/>
        </w:rPr>
        <w:t xml:space="preserve"> </w:t>
      </w:r>
      <w:r w:rsidR="000E41BF" w:rsidRPr="000E41BF">
        <w:rPr>
          <w:rFonts w:ascii="Times New Roman" w:eastAsia="Times New Roman" w:hAnsi="Times New Roman" w:cs="Times New Roman"/>
          <w:sz w:val="24"/>
          <w:szCs w:val="24"/>
        </w:rPr>
        <w:t>Table 4</w:t>
      </w:r>
      <w:r w:rsidR="000E41BF">
        <w:rPr>
          <w:rFonts w:ascii="Times New Roman" w:eastAsia="Times New Roman" w:hAnsi="Times New Roman" w:cs="Times New Roman"/>
          <w:sz w:val="24"/>
          <w:szCs w:val="24"/>
        </w:rPr>
        <w:t xml:space="preserve"> provides </w:t>
      </w:r>
      <w:r w:rsidR="000E41BF" w:rsidRPr="000E41BF">
        <w:rPr>
          <w:rFonts w:ascii="Times New Roman" w:eastAsia="Times New Roman" w:hAnsi="Times New Roman" w:cs="Times New Roman"/>
          <w:sz w:val="24"/>
          <w:szCs w:val="24"/>
        </w:rPr>
        <w:t>comparative summary of alternative governance approaches to plant intellectual property</w:t>
      </w:r>
      <w:r w:rsidR="000E41BF">
        <w:rPr>
          <w:rFonts w:ascii="Times New Roman" w:eastAsia="Times New Roman" w:hAnsi="Times New Roman" w:cs="Times New Roman"/>
          <w:sz w:val="24"/>
          <w:szCs w:val="24"/>
        </w:rPr>
        <w:t>.</w:t>
      </w:r>
    </w:p>
    <w:p w14:paraId="6AD22508"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b/>
          <w:bCs/>
          <w:sz w:val="24"/>
          <w:szCs w:val="24"/>
        </w:rPr>
        <w:t>Table 4: Comparative Summary of Alternative Governance Approaches to Plant Intellectual Property</w:t>
      </w:r>
    </w:p>
    <w:tbl>
      <w:tblPr>
        <w:tblStyle w:val="TableGrid"/>
        <w:tblW w:w="0" w:type="auto"/>
        <w:tblLook w:val="04A0" w:firstRow="1" w:lastRow="0" w:firstColumn="1" w:lastColumn="0" w:noHBand="0" w:noVBand="1"/>
      </w:tblPr>
      <w:tblGrid>
        <w:gridCol w:w="2158"/>
        <w:gridCol w:w="2448"/>
        <w:gridCol w:w="2312"/>
        <w:gridCol w:w="2324"/>
      </w:tblGrid>
      <w:tr w:rsidR="004137AA" w:rsidRPr="004137AA" w14:paraId="2DC7C895" w14:textId="77777777" w:rsidTr="00EF698D">
        <w:tc>
          <w:tcPr>
            <w:tcW w:w="0" w:type="auto"/>
            <w:hideMark/>
          </w:tcPr>
          <w:p w14:paraId="1AE393A0"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Approach</w:t>
            </w:r>
          </w:p>
        </w:tc>
        <w:tc>
          <w:tcPr>
            <w:tcW w:w="0" w:type="auto"/>
            <w:hideMark/>
          </w:tcPr>
          <w:p w14:paraId="27A3345F"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Core Mechanism</w:t>
            </w:r>
          </w:p>
        </w:tc>
        <w:tc>
          <w:tcPr>
            <w:tcW w:w="0" w:type="auto"/>
            <w:hideMark/>
          </w:tcPr>
          <w:p w14:paraId="3B1CF2C9"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Key Advantage</w:t>
            </w:r>
          </w:p>
        </w:tc>
        <w:tc>
          <w:tcPr>
            <w:tcW w:w="0" w:type="auto"/>
            <w:hideMark/>
          </w:tcPr>
          <w:p w14:paraId="609ACD6D" w14:textId="77777777" w:rsidR="004137AA" w:rsidRPr="004137AA" w:rsidRDefault="004137AA" w:rsidP="00FB255D">
            <w:pPr>
              <w:jc w:val="both"/>
              <w:rPr>
                <w:rFonts w:ascii="Times New Roman" w:eastAsia="Times New Roman" w:hAnsi="Times New Roman" w:cs="Times New Roman"/>
                <w:b/>
                <w:bCs/>
                <w:sz w:val="24"/>
                <w:szCs w:val="24"/>
              </w:rPr>
            </w:pPr>
            <w:r w:rsidRPr="004137AA">
              <w:rPr>
                <w:rFonts w:ascii="Times New Roman" w:eastAsia="Times New Roman" w:hAnsi="Times New Roman" w:cs="Times New Roman"/>
                <w:b/>
                <w:bCs/>
                <w:sz w:val="24"/>
                <w:szCs w:val="24"/>
              </w:rPr>
              <w:t>Key Limitation</w:t>
            </w:r>
          </w:p>
        </w:tc>
      </w:tr>
      <w:tr w:rsidR="004137AA" w:rsidRPr="004137AA" w14:paraId="1E63438F" w14:textId="77777777" w:rsidTr="00EF698D">
        <w:tc>
          <w:tcPr>
            <w:tcW w:w="0" w:type="auto"/>
            <w:hideMark/>
          </w:tcPr>
          <w:p w14:paraId="6466CAE0" w14:textId="77777777" w:rsidR="004137AA" w:rsidRPr="004137AA" w:rsidRDefault="004137AA" w:rsidP="00FB255D">
            <w:pPr>
              <w:jc w:val="both"/>
              <w:rPr>
                <w:rFonts w:ascii="Times New Roman" w:eastAsia="Times New Roman" w:hAnsi="Times New Roman" w:cs="Times New Roman"/>
                <w:sz w:val="24"/>
                <w:szCs w:val="24"/>
              </w:rPr>
            </w:pPr>
            <w:proofErr w:type="gramStart"/>
            <w:r w:rsidRPr="004137AA">
              <w:rPr>
                <w:rFonts w:ascii="Times New Roman" w:eastAsia="Times New Roman" w:hAnsi="Times New Roman" w:cs="Times New Roman"/>
                <w:sz w:val="24"/>
                <w:szCs w:val="24"/>
              </w:rPr>
              <w:t>Open Source</w:t>
            </w:r>
            <w:proofErr w:type="gramEnd"/>
            <w:r w:rsidRPr="004137AA">
              <w:rPr>
                <w:rFonts w:ascii="Times New Roman" w:eastAsia="Times New Roman" w:hAnsi="Times New Roman" w:cs="Times New Roman"/>
                <w:sz w:val="24"/>
                <w:szCs w:val="24"/>
              </w:rPr>
              <w:t xml:space="preserve"> Seed Pledge (OSSI)</w:t>
            </w:r>
          </w:p>
        </w:tc>
        <w:tc>
          <w:tcPr>
            <w:tcW w:w="0" w:type="auto"/>
            <w:hideMark/>
          </w:tcPr>
          <w:p w14:paraId="5681EFE8"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Voluntary moral commitment; no formal IP</w:t>
            </w:r>
          </w:p>
        </w:tc>
        <w:tc>
          <w:tcPr>
            <w:tcW w:w="0" w:type="auto"/>
            <w:hideMark/>
          </w:tcPr>
          <w:p w14:paraId="51DD6CC6"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Low transaction cost; accessible to smallholders</w:t>
            </w:r>
          </w:p>
        </w:tc>
        <w:tc>
          <w:tcPr>
            <w:tcW w:w="0" w:type="auto"/>
            <w:hideMark/>
          </w:tcPr>
          <w:p w14:paraId="36A2CB6F"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Limited legal enforceability; small market coverage</w:t>
            </w:r>
          </w:p>
        </w:tc>
      </w:tr>
      <w:tr w:rsidR="004137AA" w:rsidRPr="004137AA" w14:paraId="6BF5D868" w14:textId="77777777" w:rsidTr="00EF698D">
        <w:tc>
          <w:tcPr>
            <w:tcW w:w="0" w:type="auto"/>
            <w:hideMark/>
          </w:tcPr>
          <w:p w14:paraId="61237D72" w14:textId="77777777" w:rsidR="004137AA" w:rsidRPr="004137AA" w:rsidRDefault="004137AA" w:rsidP="00FB255D">
            <w:pPr>
              <w:jc w:val="both"/>
              <w:rPr>
                <w:rFonts w:ascii="Times New Roman" w:eastAsia="Times New Roman" w:hAnsi="Times New Roman" w:cs="Times New Roman"/>
                <w:sz w:val="24"/>
                <w:szCs w:val="24"/>
              </w:rPr>
            </w:pPr>
            <w:proofErr w:type="gramStart"/>
            <w:r w:rsidRPr="004137AA">
              <w:rPr>
                <w:rFonts w:ascii="Times New Roman" w:eastAsia="Times New Roman" w:hAnsi="Times New Roman" w:cs="Times New Roman"/>
                <w:sz w:val="24"/>
                <w:szCs w:val="24"/>
              </w:rPr>
              <w:t>Open Source</w:t>
            </w:r>
            <w:proofErr w:type="gramEnd"/>
            <w:r w:rsidRPr="004137AA">
              <w:rPr>
                <w:rFonts w:ascii="Times New Roman" w:eastAsia="Times New Roman" w:hAnsi="Times New Roman" w:cs="Times New Roman"/>
                <w:sz w:val="24"/>
                <w:szCs w:val="24"/>
              </w:rPr>
              <w:t xml:space="preserve"> Seeds Licence (Germany)</w:t>
            </w:r>
          </w:p>
        </w:tc>
        <w:tc>
          <w:tcPr>
            <w:tcW w:w="0" w:type="auto"/>
            <w:hideMark/>
          </w:tcPr>
          <w:p w14:paraId="2990569B"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Contractual "copyleft" licensing</w:t>
            </w:r>
          </w:p>
        </w:tc>
        <w:tc>
          <w:tcPr>
            <w:tcW w:w="0" w:type="auto"/>
            <w:hideMark/>
          </w:tcPr>
          <w:p w14:paraId="21574A22"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Legally enforceable; prevents privatisation of derivatives</w:t>
            </w:r>
          </w:p>
        </w:tc>
        <w:tc>
          <w:tcPr>
            <w:tcW w:w="0" w:type="auto"/>
            <w:hideMark/>
          </w:tcPr>
          <w:p w14:paraId="2CC3BB51"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Complexity; jurisdictional limits</w:t>
            </w:r>
          </w:p>
        </w:tc>
      </w:tr>
      <w:tr w:rsidR="004137AA" w:rsidRPr="004137AA" w14:paraId="5532ADF4" w14:textId="77777777" w:rsidTr="00EF698D">
        <w:tc>
          <w:tcPr>
            <w:tcW w:w="0" w:type="auto"/>
            <w:hideMark/>
          </w:tcPr>
          <w:p w14:paraId="517C00A5"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Patent Pools / </w:t>
            </w:r>
            <w:r w:rsidRPr="004137AA">
              <w:rPr>
                <w:rFonts w:ascii="Times New Roman" w:eastAsia="Times New Roman" w:hAnsi="Times New Roman" w:cs="Times New Roman"/>
                <w:sz w:val="24"/>
                <w:szCs w:val="24"/>
              </w:rPr>
              <w:lastRenderedPageBreak/>
              <w:t>Clearinghouses</w:t>
            </w:r>
          </w:p>
        </w:tc>
        <w:tc>
          <w:tcPr>
            <w:tcW w:w="0" w:type="auto"/>
            <w:hideMark/>
          </w:tcPr>
          <w:p w14:paraId="1D31A551"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lastRenderedPageBreak/>
              <w:t xml:space="preserve">Collective licensing at </w:t>
            </w:r>
            <w:r w:rsidRPr="004137AA">
              <w:rPr>
                <w:rFonts w:ascii="Times New Roman" w:eastAsia="Times New Roman" w:hAnsi="Times New Roman" w:cs="Times New Roman"/>
                <w:sz w:val="24"/>
                <w:szCs w:val="24"/>
              </w:rPr>
              <w:lastRenderedPageBreak/>
              <w:t>standard terms</w:t>
            </w:r>
          </w:p>
        </w:tc>
        <w:tc>
          <w:tcPr>
            <w:tcW w:w="0" w:type="auto"/>
            <w:hideMark/>
          </w:tcPr>
          <w:p w14:paraId="149FD312"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lastRenderedPageBreak/>
              <w:t xml:space="preserve">Reduces transaction </w:t>
            </w:r>
            <w:r w:rsidRPr="004137AA">
              <w:rPr>
                <w:rFonts w:ascii="Times New Roman" w:eastAsia="Times New Roman" w:hAnsi="Times New Roman" w:cs="Times New Roman"/>
                <w:sz w:val="24"/>
                <w:szCs w:val="24"/>
              </w:rPr>
              <w:lastRenderedPageBreak/>
              <w:t>costs; broadens access</w:t>
            </w:r>
          </w:p>
        </w:tc>
        <w:tc>
          <w:tcPr>
            <w:tcW w:w="0" w:type="auto"/>
            <w:hideMark/>
          </w:tcPr>
          <w:p w14:paraId="52710752"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lastRenderedPageBreak/>
              <w:t xml:space="preserve">Requires major </w:t>
            </w:r>
            <w:r w:rsidRPr="004137AA">
              <w:rPr>
                <w:rFonts w:ascii="Times New Roman" w:eastAsia="Times New Roman" w:hAnsi="Times New Roman" w:cs="Times New Roman"/>
                <w:sz w:val="24"/>
                <w:szCs w:val="24"/>
              </w:rPr>
              <w:lastRenderedPageBreak/>
              <w:t>patent holder participation</w:t>
            </w:r>
          </w:p>
        </w:tc>
      </w:tr>
      <w:tr w:rsidR="004137AA" w:rsidRPr="004137AA" w14:paraId="7C5B820B" w14:textId="77777777" w:rsidTr="00EF698D">
        <w:tc>
          <w:tcPr>
            <w:tcW w:w="0" w:type="auto"/>
            <w:hideMark/>
          </w:tcPr>
          <w:p w14:paraId="14484954"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lastRenderedPageBreak/>
              <w:t>Compulsory Licensing</w:t>
            </w:r>
          </w:p>
        </w:tc>
        <w:tc>
          <w:tcPr>
            <w:tcW w:w="0" w:type="auto"/>
            <w:hideMark/>
          </w:tcPr>
          <w:p w14:paraId="3431CD45"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Government-mandated licensing for public interest</w:t>
            </w:r>
          </w:p>
        </w:tc>
        <w:tc>
          <w:tcPr>
            <w:tcW w:w="0" w:type="auto"/>
            <w:hideMark/>
          </w:tcPr>
          <w:p w14:paraId="759C9AEB"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Addresses extreme access barriers</w:t>
            </w:r>
          </w:p>
        </w:tc>
        <w:tc>
          <w:tcPr>
            <w:tcW w:w="0" w:type="auto"/>
            <w:hideMark/>
          </w:tcPr>
          <w:p w14:paraId="13F014D2"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Politically contentious; may deter future investment</w:t>
            </w:r>
          </w:p>
        </w:tc>
      </w:tr>
      <w:tr w:rsidR="004137AA" w:rsidRPr="004137AA" w14:paraId="675EC308" w14:textId="77777777" w:rsidTr="00EF698D">
        <w:tc>
          <w:tcPr>
            <w:tcW w:w="0" w:type="auto"/>
            <w:hideMark/>
          </w:tcPr>
          <w:p w14:paraId="5D98E451"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NGT Patent Ban (EU Parliament proposal)</w:t>
            </w:r>
          </w:p>
        </w:tc>
        <w:tc>
          <w:tcPr>
            <w:tcW w:w="0" w:type="auto"/>
            <w:hideMark/>
          </w:tcPr>
          <w:p w14:paraId="4D7BEF3C"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Legislative prohibition of patents on gene-edited plants</w:t>
            </w:r>
          </w:p>
        </w:tc>
        <w:tc>
          <w:tcPr>
            <w:tcW w:w="0" w:type="auto"/>
            <w:hideMark/>
          </w:tcPr>
          <w:p w14:paraId="2695BBA6"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Prevents lock-in of natural genetic traits; supports SME breeders</w:t>
            </w:r>
          </w:p>
        </w:tc>
        <w:tc>
          <w:tcPr>
            <w:tcW w:w="0" w:type="auto"/>
            <w:hideMark/>
          </w:tcPr>
          <w:p w14:paraId="594C8387"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Legal uncertainty; may drive innovation towards secrecy</w:t>
            </w:r>
          </w:p>
        </w:tc>
      </w:tr>
      <w:tr w:rsidR="004137AA" w:rsidRPr="004137AA" w14:paraId="2F45CF53" w14:textId="77777777" w:rsidTr="00EF698D">
        <w:tc>
          <w:tcPr>
            <w:tcW w:w="0" w:type="auto"/>
            <w:hideMark/>
          </w:tcPr>
          <w:p w14:paraId="396D06D0"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Independent Licensing Platform</w:t>
            </w:r>
          </w:p>
        </w:tc>
        <w:tc>
          <w:tcPr>
            <w:tcW w:w="0" w:type="auto"/>
            <w:hideMark/>
          </w:tcPr>
          <w:p w14:paraId="26AB2B89"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Fair cost pricing via independent expert process; mutual non-assertion</w:t>
            </w:r>
          </w:p>
        </w:tc>
        <w:tc>
          <w:tcPr>
            <w:tcW w:w="0" w:type="auto"/>
            <w:hideMark/>
          </w:tcPr>
          <w:p w14:paraId="0FB1F5AC"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Transparent access at fair costs; global scope</w:t>
            </w:r>
          </w:p>
        </w:tc>
        <w:tc>
          <w:tcPr>
            <w:tcW w:w="0" w:type="auto"/>
            <w:hideMark/>
          </w:tcPr>
          <w:p w14:paraId="392A853A" w14:textId="77777777" w:rsidR="004137AA" w:rsidRPr="004137AA" w:rsidRDefault="004137AA" w:rsidP="00FB255D">
            <w:pPr>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Requires voluntary participation of rights holders</w:t>
            </w:r>
          </w:p>
        </w:tc>
      </w:tr>
    </w:tbl>
    <w:p w14:paraId="242F610C"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i/>
          <w:iCs/>
          <w:sz w:val="24"/>
          <w:szCs w:val="24"/>
        </w:rPr>
        <w:t xml:space="preserve">Sources: </w:t>
      </w:r>
      <w:proofErr w:type="spellStart"/>
      <w:r w:rsidRPr="004137AA">
        <w:rPr>
          <w:rFonts w:ascii="Times New Roman" w:eastAsia="Times New Roman" w:hAnsi="Times New Roman" w:cs="Times New Roman"/>
          <w:i/>
          <w:iCs/>
          <w:sz w:val="24"/>
          <w:szCs w:val="24"/>
        </w:rPr>
        <w:t>Kotschi</w:t>
      </w:r>
      <w:proofErr w:type="spellEnd"/>
      <w:r w:rsidRPr="004137AA">
        <w:rPr>
          <w:rFonts w:ascii="Times New Roman" w:eastAsia="Times New Roman" w:hAnsi="Times New Roman" w:cs="Times New Roman"/>
          <w:i/>
          <w:iCs/>
          <w:sz w:val="24"/>
          <w:szCs w:val="24"/>
        </w:rPr>
        <w:t xml:space="preserve"> &amp; </w:t>
      </w:r>
      <w:proofErr w:type="spellStart"/>
      <w:r w:rsidRPr="004137AA">
        <w:rPr>
          <w:rFonts w:ascii="Times New Roman" w:eastAsia="Times New Roman" w:hAnsi="Times New Roman" w:cs="Times New Roman"/>
          <w:i/>
          <w:iCs/>
          <w:sz w:val="24"/>
          <w:szCs w:val="24"/>
        </w:rPr>
        <w:t>Horneburg</w:t>
      </w:r>
      <w:proofErr w:type="spellEnd"/>
      <w:r w:rsidRPr="004137AA">
        <w:rPr>
          <w:rFonts w:ascii="Times New Roman" w:eastAsia="Times New Roman" w:hAnsi="Times New Roman" w:cs="Times New Roman"/>
          <w:i/>
          <w:iCs/>
          <w:sz w:val="24"/>
          <w:szCs w:val="24"/>
        </w:rPr>
        <w:t xml:space="preserve"> (2018); Luby &amp; Goldman (2016); </w:t>
      </w:r>
      <w:proofErr w:type="spellStart"/>
      <w:r w:rsidRPr="004137AA">
        <w:rPr>
          <w:rFonts w:ascii="Times New Roman" w:eastAsia="Times New Roman" w:hAnsi="Times New Roman" w:cs="Times New Roman"/>
          <w:i/>
          <w:iCs/>
          <w:sz w:val="24"/>
          <w:szCs w:val="24"/>
        </w:rPr>
        <w:t>Louwaars</w:t>
      </w:r>
      <w:proofErr w:type="spellEnd"/>
      <w:r w:rsidRPr="004137AA">
        <w:rPr>
          <w:rFonts w:ascii="Times New Roman" w:eastAsia="Times New Roman" w:hAnsi="Times New Roman" w:cs="Times New Roman"/>
          <w:i/>
          <w:iCs/>
          <w:sz w:val="24"/>
          <w:szCs w:val="24"/>
        </w:rPr>
        <w:t xml:space="preserve"> (2019); Kock (2021); Jiang et al. (2025); Lukasiewicz et al. (2024).</w:t>
      </w:r>
    </w:p>
    <w:p w14:paraId="48AABE2F"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594EED16"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9. Conclusions</w:t>
      </w:r>
    </w:p>
    <w:p w14:paraId="43EA40EE"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patenting of biotechnology innovations in plant breeding has created a system of extraordinary complexity and, on any impartial assessment, significant inequity. The fundamental tension within this system is between two legitimate but often competing goods: the incentivisation of costly, specialised research and development through the promise of temporary monopoly profits, and the maintenance of open access to the genetic and technological resources that make cumulative plant improvement possible. The evidence reviewed in this article suggests that the current balance is substantially misaligned, favouring the former at the expense of the latter, and that the costs of this misalignment fall disproportionately on public-sector breeders, smallholder farmers, developing countries, and the agrobiodiversity commons.</w:t>
      </w:r>
    </w:p>
    <w:p w14:paraId="0CC9BF6F"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The concentration of patent portfolios in the hands of four transnational agrochemical corporations has restructured the global seed industry in ways that serve commercial efficiency but undermine diversity of innovation, agricultural resilience, and farmers' autonomy. The emergence of CRISPR-based genome editing has introduced new possibilities for democratised plant improvement, but also new layers of patent complexity that threaten to replicate the barriers that already limit access to first-generation transgenic technologies. The inadequacy of existing international governance frameworks — from UPOV's increasingly strained relationship with genomic technologies, to the Nagoya Protocol's transaction-cost-laden access regime, to the belated and incomplete attempt of the 2024 WIPO GRATK Treaty to address biopiracy — reflects the difficulty of adapting inherited legal instruments to a rapidly evolving technological environment.</w:t>
      </w:r>
    </w:p>
    <w:p w14:paraId="32C1B80D"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Alternative models — open-source seeds, patent pools, integrated licensing platforms, and compulsory licensing — offer partial solutions that merit much greater policy attention and institutional support than they have thus far received. The European Union's NGT regulation debate, for all its complexity and contestation, represents one of the most serious contemporary engagements with the question of how plant IP rules should be designed in the </w:t>
      </w:r>
      <w:r w:rsidRPr="004137AA">
        <w:rPr>
          <w:rFonts w:ascii="Times New Roman" w:eastAsia="Times New Roman" w:hAnsi="Times New Roman" w:cs="Times New Roman"/>
          <w:sz w:val="24"/>
          <w:szCs w:val="24"/>
        </w:rPr>
        <w:lastRenderedPageBreak/>
        <w:t>public interest, and its ultimate legislative resolution will be closely watched and may set precedents for other jurisdictions.</w:t>
      </w:r>
    </w:p>
    <w:p w14:paraId="4CBEA370"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 xml:space="preserve">The overarching lesson of this review is that intellectual property in plant breeding is not merely a technical legal question but a deeply political one, with far-reaching consequences for who has access to the means of food production, who benefits from agricultural innovation, and whether the biodiversity that underpins long-term agricultural resilience can be conserved against the enclosure pressures of a proprietary seed system. Addressing these questions will require not only legal reform but a broader </w:t>
      </w:r>
      <w:proofErr w:type="spellStart"/>
      <w:r w:rsidRPr="004137AA">
        <w:rPr>
          <w:rFonts w:ascii="Times New Roman" w:eastAsia="Times New Roman" w:hAnsi="Times New Roman" w:cs="Times New Roman"/>
          <w:sz w:val="24"/>
          <w:szCs w:val="24"/>
        </w:rPr>
        <w:t>reconceptualisation</w:t>
      </w:r>
      <w:proofErr w:type="spellEnd"/>
      <w:r w:rsidRPr="004137AA">
        <w:rPr>
          <w:rFonts w:ascii="Times New Roman" w:eastAsia="Times New Roman" w:hAnsi="Times New Roman" w:cs="Times New Roman"/>
          <w:sz w:val="24"/>
          <w:szCs w:val="24"/>
        </w:rPr>
        <w:t xml:space="preserve"> of plant genetic resources as a shared heritage with both scientific and cultural dimensions — a </w:t>
      </w:r>
      <w:proofErr w:type="spellStart"/>
      <w:r w:rsidRPr="004137AA">
        <w:rPr>
          <w:rFonts w:ascii="Times New Roman" w:eastAsia="Times New Roman" w:hAnsi="Times New Roman" w:cs="Times New Roman"/>
          <w:sz w:val="24"/>
          <w:szCs w:val="24"/>
        </w:rPr>
        <w:t>reconceptualisation</w:t>
      </w:r>
      <w:proofErr w:type="spellEnd"/>
      <w:r w:rsidRPr="004137AA">
        <w:rPr>
          <w:rFonts w:ascii="Times New Roman" w:eastAsia="Times New Roman" w:hAnsi="Times New Roman" w:cs="Times New Roman"/>
          <w:sz w:val="24"/>
          <w:szCs w:val="24"/>
        </w:rPr>
        <w:t xml:space="preserve"> that the letter of international law has intermittently acknowledged but that practice has consistently struggled to operationalise.</w:t>
      </w:r>
    </w:p>
    <w:p w14:paraId="4890DBED"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7851DD93"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10. Limitations</w:t>
      </w:r>
    </w:p>
    <w:p w14:paraId="77AE3F5E" w14:textId="77777777" w:rsidR="004137AA" w:rsidRPr="004137AA" w:rsidRDefault="004137AA" w:rsidP="00FB255D">
      <w:pPr>
        <w:spacing w:before="100" w:beforeAutospacing="1" w:after="100" w:afterAutospacing="1" w:line="240" w:lineRule="auto"/>
        <w:jc w:val="both"/>
        <w:rPr>
          <w:rFonts w:ascii="Times New Roman" w:eastAsia="Times New Roman" w:hAnsi="Times New Roman" w:cs="Times New Roman"/>
          <w:sz w:val="24"/>
          <w:szCs w:val="24"/>
        </w:rPr>
      </w:pPr>
      <w:r w:rsidRPr="004137AA">
        <w:rPr>
          <w:rFonts w:ascii="Times New Roman" w:eastAsia="Times New Roman" w:hAnsi="Times New Roman" w:cs="Times New Roman"/>
          <w:sz w:val="24"/>
          <w:szCs w:val="24"/>
        </w:rPr>
        <w:t>This review carries several inherent limitations that should be acknowledged. The primary selection of literature in English means that important scholarship published in other languages — including significant bodies of work on plant variety protection in French, German, Spanish, and Japanese — may have been inadequately represented. The rapidly evolving regulatory landscape, particularly in the European Union and in countries adopting new genomic technique regulations, means that some policy developments reported in verified sources may have been superseded by legislative events occurring after the search date of May 2026. The narrative review methodology, while appropriate to the interdisciplinary scope of the topic, introduces a degree of selectivity that a fully systematic review would avoid; the synthesis reflects the authors' interpretive judgement about which themes and tensions are most significant, and other reviewers might have weighted different evidence differently. Finally, the economic literature on plant patent impacts is largely drawn from North American and European contexts, and the generalisation of its findings to agricultural systems in South and Southeast Asia, Sub-Saharan Africa, and Latin America — where smallholder farming systems, seed-saving practices, and IP enforcement environments differ fundamentally — should be undertaken with appropriate caution.</w:t>
      </w:r>
    </w:p>
    <w:p w14:paraId="6800C79C" w14:textId="77777777" w:rsidR="00BD1E1C" w:rsidRPr="00005ED1" w:rsidRDefault="00BD1E1C" w:rsidP="00FB255D">
      <w:pPr>
        <w:pStyle w:val="NoSpacing"/>
        <w:jc w:val="both"/>
        <w:rPr>
          <w:rFonts w:ascii="Arial" w:hAnsi="Arial" w:cs="Arial"/>
          <w:highlight w:val="yellow"/>
        </w:rPr>
      </w:pPr>
      <w:bookmarkStart w:id="0" w:name="_Hlk198031404"/>
      <w:r w:rsidRPr="00005ED1">
        <w:rPr>
          <w:rFonts w:ascii="Arial" w:hAnsi="Arial" w:cs="Arial"/>
          <w:highlight w:val="yellow"/>
        </w:rPr>
        <w:t>Disclaimer (Artificial intelligence)</w:t>
      </w:r>
    </w:p>
    <w:p w14:paraId="00F69254" w14:textId="77777777" w:rsidR="00BD1E1C" w:rsidRPr="00005ED1" w:rsidRDefault="00BD1E1C" w:rsidP="00FB255D">
      <w:pPr>
        <w:pStyle w:val="NoSpacing"/>
        <w:jc w:val="both"/>
        <w:rPr>
          <w:rFonts w:ascii="Arial" w:hAnsi="Arial" w:cs="Arial"/>
          <w:highlight w:val="yellow"/>
        </w:rPr>
      </w:pPr>
    </w:p>
    <w:p w14:paraId="0E584E26" w14:textId="77777777" w:rsidR="00BD1E1C" w:rsidRPr="00005ED1" w:rsidRDefault="00BD1E1C" w:rsidP="00FB255D">
      <w:pPr>
        <w:pStyle w:val="NoSpacing"/>
        <w:jc w:val="both"/>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72C1F9CC" w14:textId="77777777" w:rsidR="004137AA" w:rsidRPr="004137AA" w:rsidRDefault="004137AA" w:rsidP="00FB255D">
      <w:pPr>
        <w:spacing w:after="0" w:line="240" w:lineRule="auto"/>
        <w:jc w:val="both"/>
        <w:rPr>
          <w:rFonts w:ascii="Times New Roman" w:eastAsia="Times New Roman" w:hAnsi="Times New Roman" w:cs="Times New Roman"/>
          <w:sz w:val="24"/>
          <w:szCs w:val="24"/>
        </w:rPr>
      </w:pPr>
    </w:p>
    <w:p w14:paraId="169902AB" w14:textId="77777777" w:rsidR="004137AA" w:rsidRPr="004137AA" w:rsidRDefault="004137AA" w:rsidP="00FB255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37AA">
        <w:rPr>
          <w:rFonts w:ascii="Times New Roman" w:eastAsia="Times New Roman" w:hAnsi="Times New Roman" w:cs="Times New Roman"/>
          <w:b/>
          <w:bCs/>
          <w:sz w:val="27"/>
          <w:szCs w:val="27"/>
        </w:rPr>
        <w:t>References</w:t>
      </w:r>
    </w:p>
    <w:p w14:paraId="070821D5" w14:textId="77777777" w:rsidR="00EF698D" w:rsidRPr="00EF698D" w:rsidRDefault="00EF698D" w:rsidP="00FB255D">
      <w:pPr>
        <w:pStyle w:val="NormalWeb"/>
        <w:jc w:val="both"/>
        <w:rPr>
          <w:lang w:val="en-GB"/>
        </w:rPr>
      </w:pPr>
      <w:r w:rsidRPr="00EF698D">
        <w:rPr>
          <w:lang w:val="en-GB"/>
        </w:rPr>
        <w:t xml:space="preserve">Bartkowski, B., Theesfeld, I., </w:t>
      </w:r>
      <w:proofErr w:type="spellStart"/>
      <w:r w:rsidRPr="00EF698D">
        <w:rPr>
          <w:lang w:val="en-GB"/>
        </w:rPr>
        <w:t>Pirscher</w:t>
      </w:r>
      <w:proofErr w:type="spellEnd"/>
      <w:r w:rsidRPr="00EF698D">
        <w:rPr>
          <w:lang w:val="en-GB"/>
        </w:rPr>
        <w:t xml:space="preserve">, F., &amp; Timaeus, J. (2018). Snipping around for food: Economic, ethical and policy implications of CRISPR/Cas genome editing. </w:t>
      </w:r>
      <w:proofErr w:type="spellStart"/>
      <w:r w:rsidRPr="00EF698D">
        <w:rPr>
          <w:rStyle w:val="Emphasis"/>
          <w:lang w:val="en-GB"/>
        </w:rPr>
        <w:t>Geoforum</w:t>
      </w:r>
      <w:proofErr w:type="spellEnd"/>
      <w:r w:rsidRPr="00EF698D">
        <w:rPr>
          <w:rStyle w:val="Emphasis"/>
          <w:lang w:val="en-GB"/>
        </w:rPr>
        <w:t>, 96</w:t>
      </w:r>
      <w:r w:rsidRPr="00EF698D">
        <w:rPr>
          <w:lang w:val="en-GB"/>
        </w:rPr>
        <w:t xml:space="preserve">, 172–180. </w:t>
      </w:r>
      <w:hyperlink r:id="rId7" w:tgtFrame="_new" w:history="1">
        <w:r w:rsidRPr="00EF698D">
          <w:rPr>
            <w:rStyle w:val="Hyperlink"/>
            <w:lang w:val="en-GB"/>
          </w:rPr>
          <w:t>https://doi.org/10.1016/j.geoforum.2018.07.017</w:t>
        </w:r>
      </w:hyperlink>
    </w:p>
    <w:p w14:paraId="5E069556" w14:textId="77777777" w:rsidR="00EF698D" w:rsidRPr="00EF698D" w:rsidRDefault="00EF698D" w:rsidP="00FB255D">
      <w:pPr>
        <w:pStyle w:val="NormalWeb"/>
        <w:jc w:val="both"/>
        <w:rPr>
          <w:lang w:val="en-GB"/>
        </w:rPr>
      </w:pPr>
      <w:r w:rsidRPr="00EF698D">
        <w:rPr>
          <w:lang w:val="en-GB"/>
        </w:rPr>
        <w:t xml:space="preserve">Batur, F., &amp; </w:t>
      </w:r>
      <w:proofErr w:type="spellStart"/>
      <w:r w:rsidRPr="00EF698D">
        <w:rPr>
          <w:lang w:val="en-GB"/>
        </w:rPr>
        <w:t>Dedeurwaerdere</w:t>
      </w:r>
      <w:proofErr w:type="spellEnd"/>
      <w:r w:rsidRPr="00EF698D">
        <w:rPr>
          <w:lang w:val="en-GB"/>
        </w:rPr>
        <w:t xml:space="preserve">, T. (2014). The use of agrobiodiversity for plant improvement and the intellectual property paradigm: Institutional fit and legal tools for mass selection, </w:t>
      </w:r>
      <w:r w:rsidRPr="00EF698D">
        <w:rPr>
          <w:lang w:val="en-GB"/>
        </w:rPr>
        <w:lastRenderedPageBreak/>
        <w:t xml:space="preserve">conventional and molecular plant breeding. </w:t>
      </w:r>
      <w:r w:rsidRPr="00EF698D">
        <w:rPr>
          <w:rStyle w:val="Emphasis"/>
          <w:lang w:val="en-GB"/>
        </w:rPr>
        <w:t>Life Sciences, Society and Policy, 10</w:t>
      </w:r>
      <w:r w:rsidRPr="00EF698D">
        <w:rPr>
          <w:lang w:val="en-GB"/>
        </w:rPr>
        <w:t xml:space="preserve">, Article 14. </w:t>
      </w:r>
      <w:hyperlink r:id="rId8" w:tgtFrame="_new" w:history="1">
        <w:r w:rsidRPr="00EF698D">
          <w:rPr>
            <w:rStyle w:val="Hyperlink"/>
            <w:lang w:val="en-GB"/>
          </w:rPr>
          <w:t>https://doi.org/10.1186/s40504-014-0014-7</w:t>
        </w:r>
      </w:hyperlink>
    </w:p>
    <w:p w14:paraId="3D9BDD7B" w14:textId="77777777" w:rsidR="00EF698D" w:rsidRPr="00EF698D" w:rsidRDefault="00EF698D" w:rsidP="00FB255D">
      <w:pPr>
        <w:pStyle w:val="NormalWeb"/>
        <w:jc w:val="both"/>
        <w:rPr>
          <w:lang w:val="en-GB"/>
        </w:rPr>
      </w:pPr>
      <w:r w:rsidRPr="00EF698D">
        <w:rPr>
          <w:lang w:val="en-GB"/>
        </w:rPr>
        <w:t xml:space="preserve">Bostyn, S. J. R. (2021). Towards a fair scope of protection for plant breeders’ rights in an era of new breeding techniques: Proposals for a modernization of the essentially derived variety concept. </w:t>
      </w:r>
      <w:r w:rsidRPr="00EF698D">
        <w:rPr>
          <w:rStyle w:val="Emphasis"/>
          <w:lang w:val="en-GB"/>
        </w:rPr>
        <w:t>Agronomy, 11</w:t>
      </w:r>
      <w:r w:rsidRPr="00EF698D">
        <w:rPr>
          <w:lang w:val="en-GB"/>
        </w:rPr>
        <w:t xml:space="preserve">(8), Article 1511. </w:t>
      </w:r>
      <w:hyperlink r:id="rId9" w:tgtFrame="_new" w:history="1">
        <w:r w:rsidRPr="00EF698D">
          <w:rPr>
            <w:rStyle w:val="Hyperlink"/>
            <w:lang w:val="en-GB"/>
          </w:rPr>
          <w:t>https://doi.org/10.3390/agronomy11081511</w:t>
        </w:r>
      </w:hyperlink>
    </w:p>
    <w:p w14:paraId="1F8C9E56" w14:textId="77777777" w:rsidR="00EF698D" w:rsidRPr="00EF698D" w:rsidRDefault="00EF698D" w:rsidP="00FB255D">
      <w:pPr>
        <w:pStyle w:val="NormalWeb"/>
        <w:jc w:val="both"/>
        <w:rPr>
          <w:lang w:val="en-GB"/>
        </w:rPr>
      </w:pPr>
      <w:r w:rsidRPr="00EF698D">
        <w:rPr>
          <w:lang w:val="en-GB"/>
        </w:rPr>
        <w:t xml:space="preserve">Brink, M., &amp; van </w:t>
      </w:r>
      <w:proofErr w:type="spellStart"/>
      <w:r w:rsidRPr="00EF698D">
        <w:rPr>
          <w:lang w:val="en-GB"/>
        </w:rPr>
        <w:t>Hintum</w:t>
      </w:r>
      <w:proofErr w:type="spellEnd"/>
      <w:r w:rsidRPr="00EF698D">
        <w:rPr>
          <w:lang w:val="en-GB"/>
        </w:rPr>
        <w:t xml:space="preserve">, T. J. L. (2022). Practical consequences of digital sequence information (DSI) definitions and access and benefit-sharing scenarios from a plant </w:t>
      </w:r>
      <w:proofErr w:type="spellStart"/>
      <w:r w:rsidRPr="00EF698D">
        <w:rPr>
          <w:lang w:val="en-GB"/>
        </w:rPr>
        <w:t>genebank’s</w:t>
      </w:r>
      <w:proofErr w:type="spellEnd"/>
      <w:r w:rsidRPr="00EF698D">
        <w:rPr>
          <w:lang w:val="en-GB"/>
        </w:rPr>
        <w:t xml:space="preserve"> perspective. </w:t>
      </w:r>
      <w:r w:rsidRPr="00EF698D">
        <w:rPr>
          <w:rStyle w:val="Emphasis"/>
          <w:lang w:val="en-GB"/>
        </w:rPr>
        <w:t>Plants, People, Planet, 4</w:t>
      </w:r>
      <w:r w:rsidRPr="00EF698D">
        <w:rPr>
          <w:lang w:val="en-GB"/>
        </w:rPr>
        <w:t xml:space="preserve">(1), 23–32. </w:t>
      </w:r>
      <w:hyperlink r:id="rId10" w:tgtFrame="_new" w:history="1">
        <w:r w:rsidRPr="00EF698D">
          <w:rPr>
            <w:rStyle w:val="Hyperlink"/>
            <w:lang w:val="en-GB"/>
          </w:rPr>
          <w:t>https://doi.org/10.1002/ppp3.10201</w:t>
        </w:r>
      </w:hyperlink>
    </w:p>
    <w:p w14:paraId="70A31D3C" w14:textId="77777777" w:rsidR="00EF698D" w:rsidRPr="00EF698D" w:rsidRDefault="00EF698D" w:rsidP="00FB255D">
      <w:pPr>
        <w:pStyle w:val="NormalWeb"/>
        <w:jc w:val="both"/>
        <w:rPr>
          <w:lang w:val="en-GB"/>
        </w:rPr>
      </w:pPr>
      <w:r w:rsidRPr="00EF698D">
        <w:rPr>
          <w:lang w:val="en-GB"/>
        </w:rPr>
        <w:t xml:space="preserve">Idris, S. H., Mat Jalaluddin, N. S., &amp; Chang, L. W. (2023). Ethical and legal implications of gene editing in plant breeding: A systematic literature review. </w:t>
      </w:r>
      <w:r w:rsidRPr="00EF698D">
        <w:rPr>
          <w:rStyle w:val="Emphasis"/>
          <w:lang w:val="en-GB"/>
        </w:rPr>
        <w:t>Journal of Zhejiang University-SCIENCE B, 24</w:t>
      </w:r>
      <w:r w:rsidRPr="00EF698D">
        <w:rPr>
          <w:lang w:val="en-GB"/>
        </w:rPr>
        <w:t xml:space="preserve">, 1093–1105. </w:t>
      </w:r>
      <w:hyperlink r:id="rId11" w:tgtFrame="_new" w:history="1">
        <w:r w:rsidRPr="00EF698D">
          <w:rPr>
            <w:rStyle w:val="Hyperlink"/>
            <w:lang w:val="en-GB"/>
          </w:rPr>
          <w:t>https://doi.org/10.1631/jzus.B2200601</w:t>
        </w:r>
      </w:hyperlink>
      <w:r w:rsidRPr="00EF698D">
        <w:rPr>
          <w:lang w:val="en-GB"/>
        </w:rPr>
        <w:t xml:space="preserve"> </w:t>
      </w:r>
    </w:p>
    <w:p w14:paraId="3CA57864" w14:textId="77777777" w:rsidR="00EF698D" w:rsidRPr="00EF698D" w:rsidRDefault="00EF698D" w:rsidP="00FB255D">
      <w:pPr>
        <w:pStyle w:val="NormalWeb"/>
        <w:jc w:val="both"/>
        <w:rPr>
          <w:lang w:val="en-GB"/>
        </w:rPr>
      </w:pPr>
      <w:r w:rsidRPr="00EF698D">
        <w:rPr>
          <w:lang w:val="en-GB"/>
        </w:rPr>
        <w:t xml:space="preserve">Clancy, M. S., &amp; Moschini, G. (2017). Intellectual property rights and the ascent of proprietary innovation in agriculture. </w:t>
      </w:r>
      <w:r w:rsidRPr="00EF698D">
        <w:rPr>
          <w:rStyle w:val="Emphasis"/>
          <w:lang w:val="en-GB"/>
        </w:rPr>
        <w:t>Annual Review of Resource Economics, 9</w:t>
      </w:r>
      <w:r w:rsidRPr="00EF698D">
        <w:rPr>
          <w:lang w:val="en-GB"/>
        </w:rPr>
        <w:t xml:space="preserve">, 53–74. </w:t>
      </w:r>
      <w:hyperlink r:id="rId12" w:tgtFrame="_new" w:history="1">
        <w:r w:rsidRPr="00EF698D">
          <w:rPr>
            <w:rStyle w:val="Hyperlink"/>
            <w:lang w:val="en-GB"/>
          </w:rPr>
          <w:t>https://doi.org/10.1146/annurev-resource-100516-053524</w:t>
        </w:r>
      </w:hyperlink>
    </w:p>
    <w:p w14:paraId="330855E4" w14:textId="77777777" w:rsidR="00EF698D" w:rsidRPr="00EF698D" w:rsidRDefault="00EF698D" w:rsidP="00FB255D">
      <w:pPr>
        <w:pStyle w:val="NormalWeb"/>
        <w:jc w:val="both"/>
        <w:rPr>
          <w:lang w:val="en-GB"/>
        </w:rPr>
      </w:pPr>
      <w:r w:rsidRPr="00EF698D">
        <w:rPr>
          <w:lang w:val="en-GB"/>
        </w:rPr>
        <w:t xml:space="preserve">Ebert, A. W., Engels, J. M. M., Schafleitner, R., van </w:t>
      </w:r>
      <w:proofErr w:type="spellStart"/>
      <w:r w:rsidRPr="00EF698D">
        <w:rPr>
          <w:lang w:val="en-GB"/>
        </w:rPr>
        <w:t>Hintum</w:t>
      </w:r>
      <w:proofErr w:type="spellEnd"/>
      <w:r w:rsidRPr="00EF698D">
        <w:rPr>
          <w:lang w:val="en-GB"/>
        </w:rPr>
        <w:t xml:space="preserve">, T. J. L., &amp; Mwila, G. (2023). Critical review of the increasing complexity of access and benefit-sharing policies of genetic resources for </w:t>
      </w:r>
      <w:proofErr w:type="spellStart"/>
      <w:r w:rsidRPr="00EF698D">
        <w:rPr>
          <w:lang w:val="en-GB"/>
        </w:rPr>
        <w:t>genebank</w:t>
      </w:r>
      <w:proofErr w:type="spellEnd"/>
      <w:r w:rsidRPr="00EF698D">
        <w:rPr>
          <w:lang w:val="en-GB"/>
        </w:rPr>
        <w:t xml:space="preserve"> curators and plant breeders: A public and private sector perspective. </w:t>
      </w:r>
      <w:r w:rsidRPr="00EF698D">
        <w:rPr>
          <w:rStyle w:val="Emphasis"/>
          <w:lang w:val="en-GB"/>
        </w:rPr>
        <w:t>Plants, 12</w:t>
      </w:r>
      <w:r w:rsidRPr="00EF698D">
        <w:rPr>
          <w:lang w:val="en-GB"/>
        </w:rPr>
        <w:t xml:space="preserve">(16), Article 2992. </w:t>
      </w:r>
      <w:hyperlink r:id="rId13" w:tgtFrame="_new" w:history="1">
        <w:r w:rsidRPr="00EF698D">
          <w:rPr>
            <w:rStyle w:val="Hyperlink"/>
            <w:lang w:val="en-GB"/>
          </w:rPr>
          <w:t>https://doi.org/10.3390/plants12162992</w:t>
        </w:r>
      </w:hyperlink>
    </w:p>
    <w:p w14:paraId="61D3E331" w14:textId="77777777" w:rsidR="00EF698D" w:rsidRPr="00EF698D" w:rsidRDefault="00EF698D" w:rsidP="00FB255D">
      <w:pPr>
        <w:pStyle w:val="NormalWeb"/>
        <w:jc w:val="both"/>
        <w:rPr>
          <w:lang w:val="en-GB"/>
        </w:rPr>
      </w:pPr>
      <w:r w:rsidRPr="00EF698D">
        <w:rPr>
          <w:lang w:val="en-GB"/>
        </w:rPr>
        <w:t xml:space="preserve">Glenna, L. L. (2023). Are intellectual property policies for gene-edited crops fit for purpose? The perspectives of German scientists. </w:t>
      </w:r>
      <w:r w:rsidRPr="00EF698D">
        <w:rPr>
          <w:rStyle w:val="Emphasis"/>
          <w:lang w:val="en-GB"/>
        </w:rPr>
        <w:t>Plants, People, Planet, 5</w:t>
      </w:r>
      <w:r w:rsidRPr="00EF698D">
        <w:rPr>
          <w:lang w:val="en-GB"/>
        </w:rPr>
        <w:t xml:space="preserve">(6), 976–984. </w:t>
      </w:r>
      <w:hyperlink r:id="rId14" w:tgtFrame="_new" w:history="1">
        <w:r w:rsidRPr="00EF698D">
          <w:rPr>
            <w:rStyle w:val="Hyperlink"/>
            <w:lang w:val="en-GB"/>
          </w:rPr>
          <w:t>https://doi.org/10.1002/ppp3.10397</w:t>
        </w:r>
      </w:hyperlink>
    </w:p>
    <w:p w14:paraId="18BFC710" w14:textId="77777777" w:rsidR="00EF698D" w:rsidRPr="00EF698D" w:rsidRDefault="00EF698D" w:rsidP="00FB255D">
      <w:pPr>
        <w:pStyle w:val="NormalWeb"/>
        <w:jc w:val="both"/>
        <w:rPr>
          <w:lang w:val="en-GB"/>
        </w:rPr>
      </w:pPr>
      <w:r w:rsidRPr="00EF698D">
        <w:rPr>
          <w:lang w:val="en-GB"/>
        </w:rPr>
        <w:t xml:space="preserve">Greenhalgh, T., Thorne, S., &amp; </w:t>
      </w:r>
      <w:proofErr w:type="spellStart"/>
      <w:r w:rsidRPr="00EF698D">
        <w:rPr>
          <w:lang w:val="en-GB"/>
        </w:rPr>
        <w:t>Malterud</w:t>
      </w:r>
      <w:proofErr w:type="spellEnd"/>
      <w:r w:rsidRPr="00EF698D">
        <w:rPr>
          <w:lang w:val="en-GB"/>
        </w:rPr>
        <w:t xml:space="preserve">, K. (2018). Time to challenge the spurious hierarchy of systematic over narrative reviews? </w:t>
      </w:r>
      <w:r w:rsidRPr="00EF698D">
        <w:rPr>
          <w:rStyle w:val="Emphasis"/>
          <w:lang w:val="en-GB"/>
        </w:rPr>
        <w:t>European Journal of Clinical Investigation, 48</w:t>
      </w:r>
      <w:r w:rsidRPr="00EF698D">
        <w:rPr>
          <w:lang w:val="en-GB"/>
        </w:rPr>
        <w:t xml:space="preserve">(6), Article e12931. </w:t>
      </w:r>
      <w:hyperlink r:id="rId15" w:tgtFrame="_new" w:history="1">
        <w:r w:rsidRPr="00EF698D">
          <w:rPr>
            <w:rStyle w:val="Hyperlink"/>
            <w:lang w:val="en-GB"/>
          </w:rPr>
          <w:t>https://doi.org/10.1111/eci.12931</w:t>
        </w:r>
      </w:hyperlink>
    </w:p>
    <w:p w14:paraId="104478BF" w14:textId="77777777" w:rsidR="00EF698D" w:rsidRPr="00EF698D" w:rsidRDefault="00EF698D" w:rsidP="00FB255D">
      <w:pPr>
        <w:pStyle w:val="NormalWeb"/>
        <w:jc w:val="both"/>
        <w:rPr>
          <w:lang w:val="en-GB"/>
        </w:rPr>
      </w:pPr>
      <w:r w:rsidRPr="00EF698D">
        <w:rPr>
          <w:lang w:val="en-GB"/>
        </w:rPr>
        <w:t xml:space="preserve">Howard, P. H. (2015). Intellectual property and consolidation in the seed industry. </w:t>
      </w:r>
      <w:r w:rsidRPr="00EF698D">
        <w:rPr>
          <w:rStyle w:val="Emphasis"/>
          <w:lang w:val="en-GB"/>
        </w:rPr>
        <w:t>Crop Science, 55</w:t>
      </w:r>
      <w:r w:rsidRPr="00EF698D">
        <w:rPr>
          <w:lang w:val="en-GB"/>
        </w:rPr>
        <w:t xml:space="preserve">(6), 2489–2495. </w:t>
      </w:r>
      <w:hyperlink r:id="rId16" w:tgtFrame="_new" w:history="1">
        <w:r w:rsidRPr="00EF698D">
          <w:rPr>
            <w:rStyle w:val="Hyperlink"/>
            <w:lang w:val="en-GB"/>
          </w:rPr>
          <w:t>https://doi.org/10.2135/cropsci2014.09.0669</w:t>
        </w:r>
      </w:hyperlink>
    </w:p>
    <w:p w14:paraId="2DD8F940" w14:textId="77777777" w:rsidR="00EF698D" w:rsidRPr="00EF698D" w:rsidRDefault="00EF698D" w:rsidP="00FB255D">
      <w:pPr>
        <w:pStyle w:val="NormalWeb"/>
        <w:jc w:val="both"/>
        <w:rPr>
          <w:lang w:val="en-GB"/>
        </w:rPr>
      </w:pPr>
      <w:r w:rsidRPr="00EF698D">
        <w:rPr>
          <w:lang w:val="en-GB"/>
        </w:rPr>
        <w:t xml:space="preserve">Jiang, L., Adcock, M., &amp; Yang, H. (2025). To patent or not to patent: Challenges and solutions to the patent ban on new genomic techniques plant in EU. </w:t>
      </w:r>
      <w:r w:rsidRPr="00EF698D">
        <w:rPr>
          <w:rStyle w:val="Emphasis"/>
          <w:lang w:val="en-GB"/>
        </w:rPr>
        <w:t>GM Crops &amp; Food, 16</w:t>
      </w:r>
      <w:r w:rsidRPr="00EF698D">
        <w:rPr>
          <w:lang w:val="en-GB"/>
        </w:rPr>
        <w:t xml:space="preserve">(1), 562–574. </w:t>
      </w:r>
      <w:hyperlink r:id="rId17" w:tgtFrame="_new" w:history="1">
        <w:r w:rsidRPr="00EF698D">
          <w:rPr>
            <w:rStyle w:val="Hyperlink"/>
            <w:lang w:val="en-GB"/>
          </w:rPr>
          <w:t>https://doi.org/10.1080/21645698.2025.2548638</w:t>
        </w:r>
      </w:hyperlink>
      <w:r w:rsidRPr="00EF698D">
        <w:rPr>
          <w:lang w:val="en-GB"/>
        </w:rPr>
        <w:t xml:space="preserve"> </w:t>
      </w:r>
    </w:p>
    <w:p w14:paraId="77DED920" w14:textId="77777777" w:rsidR="00EF698D" w:rsidRPr="00EF698D" w:rsidRDefault="00EF698D" w:rsidP="00FB255D">
      <w:pPr>
        <w:pStyle w:val="NormalWeb"/>
        <w:jc w:val="both"/>
        <w:rPr>
          <w:lang w:val="en-GB"/>
        </w:rPr>
      </w:pPr>
      <w:r w:rsidRPr="00EF698D">
        <w:rPr>
          <w:lang w:val="en-GB"/>
        </w:rPr>
        <w:t xml:space="preserve">Khoury, C. K., Brush, S., Costich, D. E., Curry, H. A., de Haan, S., Engels, J. M. M., Guarino, L., Hoban, S., Mercer, K. L., Miller, A. J., Nabhan, G. P., Perales, H. R., Richards, C., Riggins, C., &amp; Thormann, I. (2022). Crop genetic erosion: Understanding and responding to loss of crop diversity. </w:t>
      </w:r>
      <w:r w:rsidRPr="00EF698D">
        <w:rPr>
          <w:rStyle w:val="Emphasis"/>
          <w:lang w:val="en-GB"/>
        </w:rPr>
        <w:t>New Phytologist, 233</w:t>
      </w:r>
      <w:r w:rsidRPr="00EF698D">
        <w:rPr>
          <w:lang w:val="en-GB"/>
        </w:rPr>
        <w:t xml:space="preserve">(1), 84–118. </w:t>
      </w:r>
      <w:hyperlink r:id="rId18" w:tgtFrame="_new" w:history="1">
        <w:r w:rsidRPr="00EF698D">
          <w:rPr>
            <w:rStyle w:val="Hyperlink"/>
            <w:lang w:val="en-GB"/>
          </w:rPr>
          <w:t>https://doi.org/10.1111/nph.17733</w:t>
        </w:r>
      </w:hyperlink>
    </w:p>
    <w:p w14:paraId="3B3C8867" w14:textId="77777777" w:rsidR="00EF698D" w:rsidRPr="00EF698D" w:rsidRDefault="00EF698D" w:rsidP="00FB255D">
      <w:pPr>
        <w:pStyle w:val="NormalWeb"/>
        <w:jc w:val="both"/>
        <w:rPr>
          <w:lang w:val="en-GB"/>
        </w:rPr>
      </w:pPr>
      <w:r w:rsidRPr="00EF698D">
        <w:rPr>
          <w:lang w:val="en-GB"/>
        </w:rPr>
        <w:t xml:space="preserve">Kock, M. A. (2021). Open intellectual property models for plant innovations in the context of new breeding technologies. </w:t>
      </w:r>
      <w:r w:rsidRPr="00EF698D">
        <w:rPr>
          <w:rStyle w:val="Emphasis"/>
          <w:lang w:val="en-GB"/>
        </w:rPr>
        <w:t>Agronomy, 11</w:t>
      </w:r>
      <w:r w:rsidRPr="00EF698D">
        <w:rPr>
          <w:lang w:val="en-GB"/>
        </w:rPr>
        <w:t xml:space="preserve">(6), Article 1218. </w:t>
      </w:r>
      <w:hyperlink r:id="rId19" w:tgtFrame="_new" w:history="1">
        <w:r w:rsidRPr="00EF698D">
          <w:rPr>
            <w:rStyle w:val="Hyperlink"/>
            <w:lang w:val="en-GB"/>
          </w:rPr>
          <w:t>https://doi.org/10.3390/agronomy11061218</w:t>
        </w:r>
      </w:hyperlink>
    </w:p>
    <w:p w14:paraId="1C49A0ED" w14:textId="77777777" w:rsidR="00EF698D" w:rsidRPr="00EF698D" w:rsidRDefault="00EF698D" w:rsidP="00FB255D">
      <w:pPr>
        <w:pStyle w:val="NormalWeb"/>
        <w:jc w:val="both"/>
        <w:rPr>
          <w:lang w:val="en-GB"/>
        </w:rPr>
      </w:pPr>
      <w:proofErr w:type="spellStart"/>
      <w:r w:rsidRPr="00EF698D">
        <w:rPr>
          <w:lang w:val="en-GB"/>
        </w:rPr>
        <w:lastRenderedPageBreak/>
        <w:t>Kotschi</w:t>
      </w:r>
      <w:proofErr w:type="spellEnd"/>
      <w:r w:rsidRPr="00EF698D">
        <w:rPr>
          <w:lang w:val="en-GB"/>
        </w:rPr>
        <w:t xml:space="preserve">, J., &amp; </w:t>
      </w:r>
      <w:proofErr w:type="spellStart"/>
      <w:r w:rsidRPr="00EF698D">
        <w:rPr>
          <w:lang w:val="en-GB"/>
        </w:rPr>
        <w:t>Horneburg</w:t>
      </w:r>
      <w:proofErr w:type="spellEnd"/>
      <w:r w:rsidRPr="00EF698D">
        <w:rPr>
          <w:lang w:val="en-GB"/>
        </w:rPr>
        <w:t xml:space="preserve">, B. (2018). The </w:t>
      </w:r>
      <w:proofErr w:type="gramStart"/>
      <w:r w:rsidRPr="00EF698D">
        <w:rPr>
          <w:lang w:val="en-GB"/>
        </w:rPr>
        <w:t>Open Source</w:t>
      </w:r>
      <w:proofErr w:type="gramEnd"/>
      <w:r w:rsidRPr="00EF698D">
        <w:rPr>
          <w:lang w:val="en-GB"/>
        </w:rPr>
        <w:t xml:space="preserve"> Seed Licence: A novel approach to safeguarding access to plant germplasm. </w:t>
      </w:r>
      <w:r w:rsidRPr="00EF698D">
        <w:rPr>
          <w:rStyle w:val="Emphasis"/>
          <w:lang w:val="en-GB"/>
        </w:rPr>
        <w:t>PLOS Biology, 16</w:t>
      </w:r>
      <w:r w:rsidRPr="00EF698D">
        <w:rPr>
          <w:lang w:val="en-GB"/>
        </w:rPr>
        <w:t xml:space="preserve">(10), Article e3000023. </w:t>
      </w:r>
      <w:hyperlink r:id="rId20" w:tgtFrame="_new" w:history="1">
        <w:r w:rsidRPr="00EF698D">
          <w:rPr>
            <w:rStyle w:val="Hyperlink"/>
            <w:lang w:val="en-GB"/>
          </w:rPr>
          <w:t>https://doi.org/10.1371/journal.pbio.3000023</w:t>
        </w:r>
      </w:hyperlink>
    </w:p>
    <w:p w14:paraId="4FAF5ED7" w14:textId="77777777" w:rsidR="00EF698D" w:rsidRPr="00EF698D" w:rsidRDefault="00EF698D" w:rsidP="00FB255D">
      <w:pPr>
        <w:pStyle w:val="NormalWeb"/>
        <w:jc w:val="both"/>
        <w:rPr>
          <w:lang w:val="en-GB"/>
        </w:rPr>
      </w:pPr>
      <w:r w:rsidRPr="00EF698D">
        <w:rPr>
          <w:lang w:val="en-GB"/>
        </w:rPr>
        <w:t xml:space="preserve">Lawson, C. (2023). Propagating materials and harvested materials: Clarifying the scope of plant variety or breeder’s rights. </w:t>
      </w:r>
      <w:r w:rsidRPr="00EF698D">
        <w:rPr>
          <w:rStyle w:val="Emphasis"/>
          <w:lang w:val="en-GB"/>
        </w:rPr>
        <w:t>Journal of Intellectual Property Law &amp; Practice, 18</w:t>
      </w:r>
      <w:r w:rsidRPr="00EF698D">
        <w:rPr>
          <w:lang w:val="en-GB"/>
        </w:rPr>
        <w:t xml:space="preserve">(9), 655–672. </w:t>
      </w:r>
      <w:hyperlink r:id="rId21" w:tgtFrame="_new" w:history="1">
        <w:r w:rsidRPr="00EF698D">
          <w:rPr>
            <w:rStyle w:val="Hyperlink"/>
            <w:lang w:val="en-GB"/>
          </w:rPr>
          <w:t>https://doi.org/10.1093/jiplp/jpad065</w:t>
        </w:r>
      </w:hyperlink>
    </w:p>
    <w:p w14:paraId="15D64788" w14:textId="77777777" w:rsidR="00EF698D" w:rsidRPr="00EF698D" w:rsidRDefault="00EF698D" w:rsidP="00FB255D">
      <w:pPr>
        <w:pStyle w:val="NormalWeb"/>
        <w:jc w:val="both"/>
        <w:rPr>
          <w:lang w:val="en-GB"/>
        </w:rPr>
      </w:pPr>
      <w:proofErr w:type="spellStart"/>
      <w:r w:rsidRPr="00EF698D">
        <w:rPr>
          <w:lang w:val="en-GB"/>
        </w:rPr>
        <w:t>Louwaars</w:t>
      </w:r>
      <w:proofErr w:type="spellEnd"/>
      <w:r w:rsidRPr="00EF698D">
        <w:rPr>
          <w:lang w:val="en-GB"/>
        </w:rPr>
        <w:t xml:space="preserve">, N. (2019). </w:t>
      </w:r>
      <w:proofErr w:type="gramStart"/>
      <w:r w:rsidRPr="00EF698D">
        <w:rPr>
          <w:lang w:val="en-GB"/>
        </w:rPr>
        <w:t>Open source</w:t>
      </w:r>
      <w:proofErr w:type="gramEnd"/>
      <w:r w:rsidRPr="00EF698D">
        <w:rPr>
          <w:lang w:val="en-GB"/>
        </w:rPr>
        <w:t xml:space="preserve"> seed, a revolution in breeding or yet another attack on the breeder’s exemption? </w:t>
      </w:r>
      <w:r w:rsidRPr="00EF698D">
        <w:rPr>
          <w:rStyle w:val="Emphasis"/>
          <w:lang w:val="en-GB"/>
        </w:rPr>
        <w:t>Frontiers in Plant Science, 10</w:t>
      </w:r>
      <w:r w:rsidRPr="00EF698D">
        <w:rPr>
          <w:lang w:val="en-GB"/>
        </w:rPr>
        <w:t xml:space="preserve">, Article 1127. </w:t>
      </w:r>
      <w:hyperlink r:id="rId22" w:tgtFrame="_new" w:history="1">
        <w:r w:rsidRPr="00EF698D">
          <w:rPr>
            <w:rStyle w:val="Hyperlink"/>
            <w:lang w:val="en-GB"/>
          </w:rPr>
          <w:t>https://doi.org/10.3389/fpls.2019.01127</w:t>
        </w:r>
      </w:hyperlink>
    </w:p>
    <w:p w14:paraId="5882F5AF" w14:textId="77777777" w:rsidR="00EF698D" w:rsidRPr="00EF698D" w:rsidRDefault="00EF698D" w:rsidP="00FB255D">
      <w:pPr>
        <w:pStyle w:val="NormalWeb"/>
        <w:jc w:val="both"/>
        <w:rPr>
          <w:lang w:val="en-GB"/>
        </w:rPr>
      </w:pPr>
      <w:r w:rsidRPr="00EF698D">
        <w:rPr>
          <w:lang w:val="en-GB"/>
        </w:rPr>
        <w:t xml:space="preserve">Luby, C. H., &amp; Goldman, I. L. (2016). Freeing crop genetics through the </w:t>
      </w:r>
      <w:proofErr w:type="gramStart"/>
      <w:r w:rsidRPr="00EF698D">
        <w:rPr>
          <w:lang w:val="en-GB"/>
        </w:rPr>
        <w:t>Open Source</w:t>
      </w:r>
      <w:proofErr w:type="gramEnd"/>
      <w:r w:rsidRPr="00EF698D">
        <w:rPr>
          <w:lang w:val="en-GB"/>
        </w:rPr>
        <w:t xml:space="preserve"> Seed Initiative. </w:t>
      </w:r>
      <w:r w:rsidRPr="00EF698D">
        <w:rPr>
          <w:rStyle w:val="Emphasis"/>
          <w:lang w:val="en-GB"/>
        </w:rPr>
        <w:t>PLOS Biology, 14</w:t>
      </w:r>
      <w:r w:rsidRPr="00EF698D">
        <w:rPr>
          <w:lang w:val="en-GB"/>
        </w:rPr>
        <w:t xml:space="preserve">(4), Article e1002441. </w:t>
      </w:r>
      <w:hyperlink r:id="rId23" w:tgtFrame="_new" w:history="1">
        <w:r w:rsidRPr="00EF698D">
          <w:rPr>
            <w:rStyle w:val="Hyperlink"/>
            <w:lang w:val="en-GB"/>
          </w:rPr>
          <w:t>https://doi.org/10.1371/journal.pbio.1002441</w:t>
        </w:r>
      </w:hyperlink>
    </w:p>
    <w:p w14:paraId="33182D24" w14:textId="77777777" w:rsidR="00EF698D" w:rsidRPr="00EF698D" w:rsidRDefault="00EF698D" w:rsidP="00FB255D">
      <w:pPr>
        <w:pStyle w:val="NormalWeb"/>
        <w:jc w:val="both"/>
        <w:rPr>
          <w:lang w:val="en-GB"/>
        </w:rPr>
      </w:pPr>
      <w:r w:rsidRPr="00EF698D">
        <w:rPr>
          <w:lang w:val="en-GB"/>
        </w:rPr>
        <w:t xml:space="preserve">Lukasiewicz, J. M., van de Wiel, C. C. M., Lotz, L. A. P., &amp; Smulders, M. J. M. (2024). Intellectual property rights and plants made by new genomic techniques: Access to technology and gene-edited traits in plant breeding. </w:t>
      </w:r>
      <w:r w:rsidRPr="00EF698D">
        <w:rPr>
          <w:rStyle w:val="Emphasis"/>
          <w:lang w:val="en-GB"/>
        </w:rPr>
        <w:t>Outlook on Agriculture, 53</w:t>
      </w:r>
      <w:r w:rsidRPr="00EF698D">
        <w:rPr>
          <w:lang w:val="en-GB"/>
        </w:rPr>
        <w:t xml:space="preserve">(3), 205–215. </w:t>
      </w:r>
      <w:hyperlink r:id="rId24" w:tgtFrame="_new" w:history="1">
        <w:r w:rsidRPr="00EF698D">
          <w:rPr>
            <w:rStyle w:val="Hyperlink"/>
            <w:lang w:val="en-GB"/>
          </w:rPr>
          <w:t>https://doi.org/10.1177/00307270241277219</w:t>
        </w:r>
      </w:hyperlink>
      <w:r w:rsidRPr="00EF698D">
        <w:rPr>
          <w:lang w:val="en-GB"/>
        </w:rPr>
        <w:t xml:space="preserve"> </w:t>
      </w:r>
    </w:p>
    <w:p w14:paraId="41888D81" w14:textId="77777777" w:rsidR="00EF698D" w:rsidRPr="00EF698D" w:rsidRDefault="00EF698D" w:rsidP="00FB255D">
      <w:pPr>
        <w:pStyle w:val="NormalWeb"/>
        <w:jc w:val="both"/>
        <w:rPr>
          <w:lang w:val="en-GB"/>
        </w:rPr>
      </w:pPr>
      <w:r w:rsidRPr="00EF698D">
        <w:rPr>
          <w:lang w:val="en-GB"/>
        </w:rPr>
        <w:t xml:space="preserve">Perron-Welch, F. (2025). Bio-based innovation and the global patent system: Exploring the WIPO Treaty on Intellectual Property, Genetic Resources and Associated Traditional Knowledge. </w:t>
      </w:r>
      <w:r w:rsidRPr="00EF698D">
        <w:rPr>
          <w:rStyle w:val="Emphasis"/>
          <w:lang w:val="en-GB"/>
        </w:rPr>
        <w:t>GRUR International, 74</w:t>
      </w:r>
      <w:r w:rsidRPr="00EF698D">
        <w:rPr>
          <w:lang w:val="en-GB"/>
        </w:rPr>
        <w:t xml:space="preserve">(5), 436–446. </w:t>
      </w:r>
      <w:hyperlink r:id="rId25" w:tgtFrame="_new" w:history="1">
        <w:r w:rsidRPr="00EF698D">
          <w:rPr>
            <w:rStyle w:val="Hyperlink"/>
            <w:lang w:val="en-GB"/>
          </w:rPr>
          <w:t>https://doi.org/10.1093/grurint/ikae133</w:t>
        </w:r>
      </w:hyperlink>
    </w:p>
    <w:p w14:paraId="2EA95605" w14:textId="77777777" w:rsidR="00EF698D" w:rsidRPr="00EF698D" w:rsidRDefault="00EF698D" w:rsidP="00FB255D">
      <w:pPr>
        <w:pStyle w:val="NormalWeb"/>
        <w:jc w:val="both"/>
        <w:rPr>
          <w:lang w:val="en-GB"/>
        </w:rPr>
      </w:pPr>
      <w:r w:rsidRPr="00EF698D">
        <w:rPr>
          <w:lang w:val="en-GB"/>
        </w:rPr>
        <w:t xml:space="preserve">Qaim, M. (2020). Role of new plant breeding technologies for food security and sustainable agricultural development. </w:t>
      </w:r>
      <w:r w:rsidRPr="00EF698D">
        <w:rPr>
          <w:rStyle w:val="Emphasis"/>
          <w:lang w:val="en-GB"/>
        </w:rPr>
        <w:t>Applied Economic Perspectives and Policy, 42</w:t>
      </w:r>
      <w:r w:rsidRPr="00EF698D">
        <w:rPr>
          <w:lang w:val="en-GB"/>
        </w:rPr>
        <w:t xml:space="preserve">(2), 129–150. </w:t>
      </w:r>
      <w:hyperlink r:id="rId26" w:tgtFrame="_new" w:history="1">
        <w:r w:rsidRPr="00EF698D">
          <w:rPr>
            <w:rStyle w:val="Hyperlink"/>
            <w:lang w:val="en-GB"/>
          </w:rPr>
          <w:t>https://doi.org/10.1002/aepp.13044</w:t>
        </w:r>
      </w:hyperlink>
    </w:p>
    <w:p w14:paraId="3155D496" w14:textId="77777777" w:rsidR="00EF698D" w:rsidRPr="00EF698D" w:rsidRDefault="00EF698D" w:rsidP="00FB255D">
      <w:pPr>
        <w:pStyle w:val="NormalWeb"/>
        <w:jc w:val="both"/>
        <w:rPr>
          <w:lang w:val="en-GB"/>
        </w:rPr>
      </w:pPr>
      <w:proofErr w:type="spellStart"/>
      <w:r w:rsidRPr="00EF698D">
        <w:rPr>
          <w:lang w:val="en-GB"/>
        </w:rPr>
        <w:t>Rüdelsheim</w:t>
      </w:r>
      <w:proofErr w:type="spellEnd"/>
      <w:r w:rsidRPr="00EF698D">
        <w:rPr>
          <w:lang w:val="en-GB"/>
        </w:rPr>
        <w:t xml:space="preserve">, P., Dumont, P., </w:t>
      </w:r>
      <w:proofErr w:type="spellStart"/>
      <w:r w:rsidRPr="00EF698D">
        <w:rPr>
          <w:lang w:val="en-GB"/>
        </w:rPr>
        <w:t>Freyssinet</w:t>
      </w:r>
      <w:proofErr w:type="spellEnd"/>
      <w:r w:rsidRPr="00EF698D">
        <w:rPr>
          <w:lang w:val="en-GB"/>
        </w:rPr>
        <w:t xml:space="preserve">, G., </w:t>
      </w:r>
      <w:proofErr w:type="spellStart"/>
      <w:r w:rsidRPr="00EF698D">
        <w:rPr>
          <w:lang w:val="en-GB"/>
        </w:rPr>
        <w:t>Pertry</w:t>
      </w:r>
      <w:proofErr w:type="spellEnd"/>
      <w:r w:rsidRPr="00EF698D">
        <w:rPr>
          <w:lang w:val="en-GB"/>
        </w:rPr>
        <w:t xml:space="preserve">, I., &amp; Heijde, M. (2018). Off-patent transgenic events: Challenges and opportunities for new actors and markets in agriculture. </w:t>
      </w:r>
      <w:r w:rsidRPr="00EF698D">
        <w:rPr>
          <w:rStyle w:val="Emphasis"/>
          <w:lang w:val="en-GB"/>
        </w:rPr>
        <w:t>Frontiers in Bioengineering and Biotechnology, 6</w:t>
      </w:r>
      <w:r w:rsidRPr="00EF698D">
        <w:rPr>
          <w:lang w:val="en-GB"/>
        </w:rPr>
        <w:t xml:space="preserve">, Article 71. </w:t>
      </w:r>
      <w:hyperlink r:id="rId27" w:tgtFrame="_new" w:history="1">
        <w:r w:rsidRPr="00EF698D">
          <w:rPr>
            <w:rStyle w:val="Hyperlink"/>
            <w:lang w:val="en-GB"/>
          </w:rPr>
          <w:t>https://doi.org/10.3389/fbioe.2018.00071</w:t>
        </w:r>
      </w:hyperlink>
    </w:p>
    <w:p w14:paraId="44C93F01" w14:textId="77777777" w:rsidR="00EF698D" w:rsidRPr="00EF698D" w:rsidRDefault="00EF698D" w:rsidP="00FB255D">
      <w:pPr>
        <w:pStyle w:val="NormalWeb"/>
        <w:jc w:val="both"/>
        <w:rPr>
          <w:lang w:val="en-GB"/>
        </w:rPr>
      </w:pPr>
      <w:r w:rsidRPr="00EF698D">
        <w:rPr>
          <w:lang w:val="en-GB"/>
        </w:rPr>
        <w:t xml:space="preserve">Smulders, M. J. M., van de Wiel, C. C. M., &amp; Lotz, L. A. P. (2021). The use of intellectual property systems in plant breeding for ensuring deployment of good agricultural practices. </w:t>
      </w:r>
      <w:r w:rsidRPr="00EF698D">
        <w:rPr>
          <w:rStyle w:val="Emphasis"/>
          <w:lang w:val="en-GB"/>
        </w:rPr>
        <w:t>Agronomy, 11</w:t>
      </w:r>
      <w:r w:rsidRPr="00EF698D">
        <w:rPr>
          <w:lang w:val="en-GB"/>
        </w:rPr>
        <w:t xml:space="preserve">(6), Article 1163. </w:t>
      </w:r>
      <w:hyperlink r:id="rId28" w:tgtFrame="_new" w:history="1">
        <w:r w:rsidRPr="00EF698D">
          <w:rPr>
            <w:rStyle w:val="Hyperlink"/>
            <w:lang w:val="en-GB"/>
          </w:rPr>
          <w:t>https://doi.org/10.3390/agronomy11061163</w:t>
        </w:r>
      </w:hyperlink>
    </w:p>
    <w:p w14:paraId="7782F243" w14:textId="77777777" w:rsidR="00EF698D" w:rsidRPr="00EF698D" w:rsidRDefault="00EF698D" w:rsidP="00FB255D">
      <w:pPr>
        <w:pStyle w:val="NormalWeb"/>
        <w:jc w:val="both"/>
        <w:rPr>
          <w:lang w:val="en-GB"/>
        </w:rPr>
      </w:pPr>
      <w:r w:rsidRPr="00EF698D">
        <w:rPr>
          <w:lang w:val="en-GB"/>
        </w:rPr>
        <w:t xml:space="preserve">U.S. Department of Agriculture, Economic Research Service. (2023, August). Expanded intellectual property protections for crop seeds increase innovation and market power for companies. </w:t>
      </w:r>
      <w:r w:rsidRPr="00EF698D">
        <w:rPr>
          <w:rStyle w:val="Emphasis"/>
          <w:lang w:val="en-GB"/>
        </w:rPr>
        <w:t>Amber Waves</w:t>
      </w:r>
      <w:r w:rsidRPr="00EF698D">
        <w:rPr>
          <w:lang w:val="en-GB"/>
        </w:rPr>
        <w:t xml:space="preserve">. </w:t>
      </w:r>
      <w:hyperlink r:id="rId29" w:tgtFrame="_new" w:history="1">
        <w:r w:rsidRPr="00EF698D">
          <w:rPr>
            <w:rStyle w:val="Hyperlink"/>
            <w:lang w:val="en-GB"/>
          </w:rPr>
          <w:t>https://www.ers.usda.gov/amber-waves/2023/august/expanded-intellectual-property-protections-for-crop-seeds-increase-innovation-and-market-power-for-companies</w:t>
        </w:r>
      </w:hyperlink>
    </w:p>
    <w:p w14:paraId="7594D991" w14:textId="77777777" w:rsidR="00EF698D" w:rsidRPr="00EF698D" w:rsidRDefault="00EF698D" w:rsidP="00FB255D">
      <w:pPr>
        <w:pStyle w:val="NormalWeb"/>
        <w:jc w:val="both"/>
        <w:rPr>
          <w:lang w:val="en-GB"/>
        </w:rPr>
      </w:pPr>
      <w:r w:rsidRPr="00EF698D">
        <w:rPr>
          <w:lang w:val="en-GB"/>
        </w:rPr>
        <w:t xml:space="preserve">Wu, C. (2024). Balancing protection of plant varieties and other public interests. </w:t>
      </w:r>
      <w:r w:rsidRPr="00EF698D">
        <w:rPr>
          <w:rStyle w:val="Emphasis"/>
          <w:lang w:val="en-GB"/>
        </w:rPr>
        <w:t>Sustainability, 16</w:t>
      </w:r>
      <w:r w:rsidRPr="00EF698D">
        <w:rPr>
          <w:lang w:val="en-GB"/>
        </w:rPr>
        <w:t xml:space="preserve">(13), Article 5445. </w:t>
      </w:r>
      <w:hyperlink r:id="rId30" w:tgtFrame="_new" w:history="1">
        <w:r w:rsidRPr="00EF698D">
          <w:rPr>
            <w:rStyle w:val="Hyperlink"/>
            <w:lang w:val="en-GB"/>
          </w:rPr>
          <w:t>https://doi.org/10.3390/su16135445</w:t>
        </w:r>
      </w:hyperlink>
    </w:p>
    <w:p w14:paraId="6A6B78CC" w14:textId="77777777" w:rsidR="00EF698D" w:rsidRPr="00EF698D" w:rsidRDefault="00EF698D" w:rsidP="00FB255D">
      <w:pPr>
        <w:pStyle w:val="NormalWeb"/>
        <w:jc w:val="both"/>
        <w:rPr>
          <w:lang w:val="en-GB"/>
        </w:rPr>
      </w:pPr>
      <w:r w:rsidRPr="00EF698D">
        <w:rPr>
          <w:lang w:val="en-GB"/>
        </w:rPr>
        <w:t xml:space="preserve">Wynberg, R., Andersen, R., Laird, S., </w:t>
      </w:r>
      <w:proofErr w:type="spellStart"/>
      <w:r w:rsidRPr="00EF698D">
        <w:rPr>
          <w:lang w:val="en-GB"/>
        </w:rPr>
        <w:t>Kusena</w:t>
      </w:r>
      <w:proofErr w:type="spellEnd"/>
      <w:r w:rsidRPr="00EF698D">
        <w:rPr>
          <w:lang w:val="en-GB"/>
        </w:rPr>
        <w:t xml:space="preserve">, K., Prip, C., &amp; </w:t>
      </w:r>
      <w:proofErr w:type="spellStart"/>
      <w:r w:rsidRPr="00EF698D">
        <w:rPr>
          <w:lang w:val="en-GB"/>
        </w:rPr>
        <w:t>Westengen</w:t>
      </w:r>
      <w:proofErr w:type="spellEnd"/>
      <w:r w:rsidRPr="00EF698D">
        <w:rPr>
          <w:lang w:val="en-GB"/>
        </w:rPr>
        <w:t xml:space="preserve">, O. T. (2021). Farmers’ rights and digital sequence information: Crisis or opportunity to reclaim </w:t>
      </w:r>
      <w:r w:rsidRPr="00EF698D">
        <w:rPr>
          <w:lang w:val="en-GB"/>
        </w:rPr>
        <w:lastRenderedPageBreak/>
        <w:t xml:space="preserve">stewardship over agrobiodiversity? </w:t>
      </w:r>
      <w:r w:rsidRPr="00EF698D">
        <w:rPr>
          <w:rStyle w:val="Emphasis"/>
          <w:lang w:val="en-GB"/>
        </w:rPr>
        <w:t>Frontiers in Plant Science, 12</w:t>
      </w:r>
      <w:r w:rsidRPr="00EF698D">
        <w:rPr>
          <w:lang w:val="en-GB"/>
        </w:rPr>
        <w:t xml:space="preserve">, Article 686728. </w:t>
      </w:r>
      <w:hyperlink r:id="rId31" w:tgtFrame="_new" w:history="1">
        <w:r w:rsidRPr="00EF698D">
          <w:rPr>
            <w:rStyle w:val="Hyperlink"/>
            <w:lang w:val="en-GB"/>
          </w:rPr>
          <w:t>https://doi.org/10.3389/fpls.2021.686728</w:t>
        </w:r>
      </w:hyperlink>
    </w:p>
    <w:p w14:paraId="38062451" w14:textId="77777777" w:rsidR="00EF698D" w:rsidRPr="00EF698D" w:rsidRDefault="00EF698D" w:rsidP="00FB255D">
      <w:pPr>
        <w:pStyle w:val="NormalWeb"/>
        <w:jc w:val="both"/>
        <w:rPr>
          <w:lang w:val="en-GB"/>
        </w:rPr>
      </w:pPr>
      <w:r w:rsidRPr="00EF698D">
        <w:rPr>
          <w:lang w:val="en-GB"/>
        </w:rPr>
        <w:t xml:space="preserve">Yang, C. J., Russell, J., Ramsay, L., Thomas, W., Powell, W., &amp; Mackay, I. (2021). Overcoming barriers to the registration of new plant varieties under the DUS system. </w:t>
      </w:r>
      <w:r w:rsidRPr="00EF698D">
        <w:rPr>
          <w:rStyle w:val="Emphasis"/>
          <w:lang w:val="en-GB"/>
        </w:rPr>
        <w:t>Communications Biology, 4</w:t>
      </w:r>
      <w:r w:rsidRPr="00EF698D">
        <w:rPr>
          <w:lang w:val="en-GB"/>
        </w:rPr>
        <w:t xml:space="preserve">, Article 302. </w:t>
      </w:r>
      <w:hyperlink r:id="rId32" w:tgtFrame="_new" w:history="1">
        <w:r w:rsidRPr="00EF698D">
          <w:rPr>
            <w:rStyle w:val="Hyperlink"/>
            <w:lang w:val="en-GB"/>
          </w:rPr>
          <w:t>https://doi.org/10.1038/s42003-021-01840-9</w:t>
        </w:r>
      </w:hyperlink>
    </w:p>
    <w:p w14:paraId="5EAC1B14" w14:textId="77777777" w:rsidR="00EF698D" w:rsidRPr="00EF698D" w:rsidRDefault="00EF698D" w:rsidP="00FB255D">
      <w:pPr>
        <w:pStyle w:val="NormalWeb"/>
        <w:jc w:val="both"/>
        <w:rPr>
          <w:lang w:val="en-GB"/>
        </w:rPr>
      </w:pPr>
      <w:r w:rsidRPr="00EF698D">
        <w:rPr>
          <w:lang w:val="en-GB"/>
        </w:rPr>
        <w:t xml:space="preserve">Yin, K., Gao, C., &amp; Qiu, J.-L. (2017). Progress and prospects in plant genome editing. </w:t>
      </w:r>
      <w:r w:rsidRPr="00EF698D">
        <w:rPr>
          <w:rStyle w:val="Emphasis"/>
          <w:lang w:val="en-GB"/>
        </w:rPr>
        <w:t>Nature Plants, 3</w:t>
      </w:r>
      <w:r w:rsidRPr="00EF698D">
        <w:rPr>
          <w:lang w:val="en-GB"/>
        </w:rPr>
        <w:t xml:space="preserve">, Article 17107. </w:t>
      </w:r>
      <w:hyperlink r:id="rId33" w:tgtFrame="_new" w:history="1">
        <w:r w:rsidRPr="00EF698D">
          <w:rPr>
            <w:rStyle w:val="Hyperlink"/>
            <w:lang w:val="en-GB"/>
          </w:rPr>
          <w:t>https://doi.org/10.1038/nplants.2017.107</w:t>
        </w:r>
      </w:hyperlink>
    </w:p>
    <w:p w14:paraId="0B97BE70" w14:textId="77777777" w:rsidR="00EF698D" w:rsidRPr="00EF698D" w:rsidRDefault="00EF698D" w:rsidP="00FB255D">
      <w:pPr>
        <w:pStyle w:val="NormalWeb"/>
        <w:jc w:val="both"/>
        <w:rPr>
          <w:lang w:val="en-GB"/>
        </w:rPr>
      </w:pPr>
      <w:r w:rsidRPr="00EF698D">
        <w:rPr>
          <w:lang w:val="en-GB"/>
        </w:rPr>
        <w:t xml:space="preserve">Yu, J.-K., &amp; Chung, Y.-S. (2021). Plant variety protection: Current practices and insights. </w:t>
      </w:r>
      <w:r w:rsidRPr="00EF698D">
        <w:rPr>
          <w:rStyle w:val="Emphasis"/>
          <w:lang w:val="en-GB"/>
        </w:rPr>
        <w:t>Genes, 12</w:t>
      </w:r>
      <w:r w:rsidRPr="00EF698D">
        <w:rPr>
          <w:lang w:val="en-GB"/>
        </w:rPr>
        <w:t xml:space="preserve">(8), Article 1127. </w:t>
      </w:r>
      <w:hyperlink r:id="rId34" w:tgtFrame="_new" w:history="1">
        <w:r w:rsidRPr="00EF698D">
          <w:rPr>
            <w:rStyle w:val="Hyperlink"/>
            <w:lang w:val="en-GB"/>
          </w:rPr>
          <w:t>https://doi.org/10.3390/genes12081127</w:t>
        </w:r>
      </w:hyperlink>
    </w:p>
    <w:p w14:paraId="57717EF1" w14:textId="29E5D651" w:rsidR="00D75C9D" w:rsidRDefault="003C10E7" w:rsidP="00FB255D">
      <w:pPr>
        <w:jc w:val="both"/>
        <w:rPr>
          <w:rFonts w:ascii="Arial" w:hAnsi="Arial" w:cs="Arial"/>
          <w:i/>
          <w:iCs/>
          <w:color w:val="222222"/>
          <w:sz w:val="20"/>
          <w:szCs w:val="20"/>
          <w:shd w:val="clear" w:color="auto" w:fill="FFFFFF"/>
        </w:rPr>
      </w:pPr>
      <w:proofErr w:type="spellStart"/>
      <w:r w:rsidRPr="000D22AE">
        <w:rPr>
          <w:rFonts w:ascii="Arial" w:hAnsi="Arial" w:cs="Arial"/>
          <w:color w:val="222222"/>
          <w:sz w:val="20"/>
          <w:szCs w:val="20"/>
          <w:highlight w:val="yellow"/>
          <w:shd w:val="clear" w:color="auto" w:fill="FFFFFF"/>
        </w:rPr>
        <w:t>Sinhmar</w:t>
      </w:r>
      <w:proofErr w:type="spellEnd"/>
      <w:r w:rsidRPr="000D22AE">
        <w:rPr>
          <w:rFonts w:ascii="Arial" w:hAnsi="Arial" w:cs="Arial"/>
          <w:color w:val="222222"/>
          <w:sz w:val="20"/>
          <w:szCs w:val="20"/>
          <w:highlight w:val="yellow"/>
          <w:shd w:val="clear" w:color="auto" w:fill="FFFFFF"/>
        </w:rPr>
        <w:t>, D., &amp; Purohit, R. (2025). Patenting life: Global perspectives on intellectual property in genetic and biotechnological innovation amidst ethical and legal challenges. </w:t>
      </w:r>
      <w:r w:rsidRPr="000D22AE">
        <w:rPr>
          <w:rFonts w:ascii="Arial" w:hAnsi="Arial" w:cs="Arial"/>
          <w:i/>
          <w:iCs/>
          <w:color w:val="222222"/>
          <w:sz w:val="20"/>
          <w:szCs w:val="20"/>
          <w:highlight w:val="yellow"/>
          <w:shd w:val="clear" w:color="auto" w:fill="FFFFFF"/>
        </w:rPr>
        <w:t>Journal on Development of Intellectual Property and Research</w:t>
      </w:r>
      <w:r w:rsidRPr="000D22AE">
        <w:rPr>
          <w:rFonts w:ascii="Arial" w:hAnsi="Arial" w:cs="Arial"/>
          <w:color w:val="222222"/>
          <w:sz w:val="20"/>
          <w:szCs w:val="20"/>
          <w:highlight w:val="yellow"/>
          <w:shd w:val="clear" w:color="auto" w:fill="FFFFFF"/>
        </w:rPr>
        <w:t>, </w:t>
      </w:r>
      <w:r w:rsidRPr="000D22AE">
        <w:rPr>
          <w:rFonts w:ascii="Arial" w:hAnsi="Arial" w:cs="Arial"/>
          <w:i/>
          <w:iCs/>
          <w:color w:val="222222"/>
          <w:sz w:val="20"/>
          <w:szCs w:val="20"/>
          <w:highlight w:val="yellow"/>
          <w:shd w:val="clear" w:color="auto" w:fill="FFFFFF"/>
        </w:rPr>
        <w:t>1</w:t>
      </w:r>
      <w:r w:rsidRPr="000D22AE">
        <w:rPr>
          <w:rFonts w:ascii="Arial" w:hAnsi="Arial" w:cs="Arial"/>
          <w:color w:val="222222"/>
          <w:sz w:val="20"/>
          <w:szCs w:val="20"/>
          <w:highlight w:val="yellow"/>
          <w:shd w:val="clear" w:color="auto" w:fill="FFFFFF"/>
        </w:rPr>
        <w:t>(1), 29-40.</w:t>
      </w:r>
    </w:p>
    <w:p w14:paraId="66E0CBED" w14:textId="6AA1F419" w:rsidR="00062882" w:rsidRPr="00062882" w:rsidRDefault="00062882" w:rsidP="000D22AE">
      <w:proofErr w:type="spellStart"/>
      <w:r w:rsidRPr="000D22AE">
        <w:rPr>
          <w:rFonts w:ascii="Arial" w:hAnsi="Arial" w:cs="Arial"/>
          <w:color w:val="222222"/>
          <w:sz w:val="20"/>
          <w:szCs w:val="20"/>
          <w:highlight w:val="yellow"/>
          <w:shd w:val="clear" w:color="auto" w:fill="FFFFFF"/>
        </w:rPr>
        <w:t>Sechley</w:t>
      </w:r>
      <w:proofErr w:type="spellEnd"/>
      <w:r w:rsidRPr="000D22AE">
        <w:rPr>
          <w:rFonts w:ascii="Arial" w:hAnsi="Arial" w:cs="Arial"/>
          <w:color w:val="222222"/>
          <w:sz w:val="20"/>
          <w:szCs w:val="20"/>
          <w:highlight w:val="yellow"/>
          <w:shd w:val="clear" w:color="auto" w:fill="FFFFFF"/>
        </w:rPr>
        <w:t>, K. A., &amp; Schroeder, H. (2002). Intellectual property protection of plant biotechnology inventions. </w:t>
      </w:r>
      <w:r w:rsidRPr="000D22AE">
        <w:rPr>
          <w:rFonts w:ascii="Arial" w:hAnsi="Arial" w:cs="Arial"/>
          <w:i/>
          <w:iCs/>
          <w:color w:val="222222"/>
          <w:sz w:val="20"/>
          <w:szCs w:val="20"/>
          <w:highlight w:val="yellow"/>
          <w:shd w:val="clear" w:color="auto" w:fill="FFFFFF"/>
        </w:rPr>
        <w:t>TRENDS in Biotechnology</w:t>
      </w:r>
      <w:r w:rsidRPr="000D22AE">
        <w:rPr>
          <w:rFonts w:ascii="Arial" w:hAnsi="Arial" w:cs="Arial"/>
          <w:color w:val="222222"/>
          <w:sz w:val="20"/>
          <w:szCs w:val="20"/>
          <w:highlight w:val="yellow"/>
          <w:shd w:val="clear" w:color="auto" w:fill="FFFFFF"/>
        </w:rPr>
        <w:t>, </w:t>
      </w:r>
      <w:r w:rsidRPr="000D22AE">
        <w:rPr>
          <w:rFonts w:ascii="Arial" w:hAnsi="Arial" w:cs="Arial"/>
          <w:i/>
          <w:iCs/>
          <w:color w:val="222222"/>
          <w:sz w:val="20"/>
          <w:szCs w:val="20"/>
          <w:highlight w:val="yellow"/>
          <w:shd w:val="clear" w:color="auto" w:fill="FFFFFF"/>
        </w:rPr>
        <w:t>20</w:t>
      </w:r>
      <w:r w:rsidRPr="000D22AE">
        <w:rPr>
          <w:rFonts w:ascii="Arial" w:hAnsi="Arial" w:cs="Arial"/>
          <w:color w:val="222222"/>
          <w:sz w:val="20"/>
          <w:szCs w:val="20"/>
          <w:highlight w:val="yellow"/>
          <w:shd w:val="clear" w:color="auto" w:fill="FFFFFF"/>
        </w:rPr>
        <w:t>(11), 456-461.</w:t>
      </w:r>
    </w:p>
    <w:sectPr w:rsidR="00062882" w:rsidRPr="00062882" w:rsidSect="00CB6EB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37D1" w14:textId="77777777" w:rsidR="002D1AC2" w:rsidRDefault="002D1AC2" w:rsidP="008A74DE">
      <w:pPr>
        <w:spacing w:after="0" w:line="240" w:lineRule="auto"/>
      </w:pPr>
      <w:r>
        <w:separator/>
      </w:r>
    </w:p>
  </w:endnote>
  <w:endnote w:type="continuationSeparator" w:id="0">
    <w:p w14:paraId="418D7605" w14:textId="77777777" w:rsidR="002D1AC2" w:rsidRDefault="002D1AC2" w:rsidP="008A7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9E9E" w14:textId="77777777" w:rsidR="008A74DE" w:rsidRDefault="008A7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D9D8" w14:textId="77777777" w:rsidR="008A74DE" w:rsidRDefault="008A74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CCBF" w14:textId="77777777" w:rsidR="008A74DE" w:rsidRDefault="008A7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51E08" w14:textId="77777777" w:rsidR="002D1AC2" w:rsidRDefault="002D1AC2" w:rsidP="008A74DE">
      <w:pPr>
        <w:spacing w:after="0" w:line="240" w:lineRule="auto"/>
      </w:pPr>
      <w:r>
        <w:separator/>
      </w:r>
    </w:p>
  </w:footnote>
  <w:footnote w:type="continuationSeparator" w:id="0">
    <w:p w14:paraId="013256ED" w14:textId="77777777" w:rsidR="002D1AC2" w:rsidRDefault="002D1AC2" w:rsidP="008A7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97D7" w14:textId="1AB5DFBC" w:rsidR="008A74DE" w:rsidRDefault="00000000">
    <w:pPr>
      <w:pStyle w:val="Header"/>
    </w:pPr>
    <w:r>
      <w:rPr>
        <w:noProof/>
      </w:rPr>
      <w:pict w14:anchorId="6703E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7812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B184" w14:textId="7AFBF107" w:rsidR="008A74DE" w:rsidRDefault="00000000">
    <w:pPr>
      <w:pStyle w:val="Header"/>
    </w:pPr>
    <w:r>
      <w:rPr>
        <w:noProof/>
      </w:rPr>
      <w:pict w14:anchorId="7BB8C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7812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D031" w14:textId="78EB9CAD" w:rsidR="008A74DE" w:rsidRDefault="00000000">
    <w:pPr>
      <w:pStyle w:val="Header"/>
    </w:pPr>
    <w:r>
      <w:rPr>
        <w:noProof/>
      </w:rPr>
      <w:pict w14:anchorId="11AB6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7812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41E72"/>
    <w:multiLevelType w:val="hybridMultilevel"/>
    <w:tmpl w:val="4938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19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YwMjA1MzI1MTOxMDFR0lEKTi0uzszPAykwrAUAF67jBywAAAA="/>
  </w:docVars>
  <w:rsids>
    <w:rsidRoot w:val="004137AA"/>
    <w:rsid w:val="00062882"/>
    <w:rsid w:val="00090EF9"/>
    <w:rsid w:val="000D22AE"/>
    <w:rsid w:val="000E41BF"/>
    <w:rsid w:val="00184E73"/>
    <w:rsid w:val="001E4551"/>
    <w:rsid w:val="002D1AC2"/>
    <w:rsid w:val="002D4F05"/>
    <w:rsid w:val="0036637F"/>
    <w:rsid w:val="003A104D"/>
    <w:rsid w:val="003B3C04"/>
    <w:rsid w:val="003C10E7"/>
    <w:rsid w:val="003D234F"/>
    <w:rsid w:val="004137AA"/>
    <w:rsid w:val="004C568C"/>
    <w:rsid w:val="004F164E"/>
    <w:rsid w:val="00541C6D"/>
    <w:rsid w:val="006C3717"/>
    <w:rsid w:val="007D5FED"/>
    <w:rsid w:val="008A74DE"/>
    <w:rsid w:val="008C7B54"/>
    <w:rsid w:val="009D1661"/>
    <w:rsid w:val="00A2270F"/>
    <w:rsid w:val="00B66131"/>
    <w:rsid w:val="00BC78C6"/>
    <w:rsid w:val="00BD1E1C"/>
    <w:rsid w:val="00CB6EB6"/>
    <w:rsid w:val="00D07FE6"/>
    <w:rsid w:val="00D75C9D"/>
    <w:rsid w:val="00D75D07"/>
    <w:rsid w:val="00E55C68"/>
    <w:rsid w:val="00EF698D"/>
    <w:rsid w:val="00F00472"/>
    <w:rsid w:val="00F6047F"/>
    <w:rsid w:val="00F752D6"/>
    <w:rsid w:val="00F76C5C"/>
    <w:rsid w:val="00FB255D"/>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4C1E"/>
  <w15:docId w15:val="{8DBC90C9-77F0-4A0D-974C-90867EC6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paragraph" w:styleId="ListParagraph">
    <w:name w:val="List Paragraph"/>
    <w:basedOn w:val="Normal"/>
    <w:uiPriority w:val="34"/>
    <w:qFormat/>
    <w:rsid w:val="00EF698D"/>
    <w:pPr>
      <w:ind w:left="720"/>
      <w:contextualSpacing/>
    </w:pPr>
  </w:style>
  <w:style w:type="paragraph" w:styleId="NormalWeb">
    <w:name w:val="Normal (Web)"/>
    <w:basedOn w:val="Normal"/>
    <w:uiPriority w:val="99"/>
    <w:semiHidden/>
    <w:unhideWhenUsed/>
    <w:rsid w:val="00EF69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F698D"/>
    <w:rPr>
      <w:i/>
      <w:iCs/>
    </w:rPr>
  </w:style>
  <w:style w:type="character" w:styleId="Hyperlink">
    <w:name w:val="Hyperlink"/>
    <w:basedOn w:val="DefaultParagraphFont"/>
    <w:uiPriority w:val="99"/>
    <w:semiHidden/>
    <w:unhideWhenUsed/>
    <w:rsid w:val="00EF698D"/>
    <w:rPr>
      <w:color w:val="0000FF"/>
      <w:u w:val="single"/>
    </w:rPr>
  </w:style>
  <w:style w:type="character" w:styleId="Strong">
    <w:name w:val="Strong"/>
    <w:basedOn w:val="DefaultParagraphFont"/>
    <w:uiPriority w:val="22"/>
    <w:qFormat/>
    <w:rsid w:val="00EF698D"/>
    <w:rPr>
      <w:b/>
      <w:bCs/>
    </w:rPr>
  </w:style>
  <w:style w:type="table" w:styleId="TableGrid">
    <w:name w:val="Table Grid"/>
    <w:basedOn w:val="TableNormal"/>
    <w:uiPriority w:val="39"/>
    <w:rsid w:val="00EF6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DE"/>
  </w:style>
  <w:style w:type="paragraph" w:styleId="Footer">
    <w:name w:val="footer"/>
    <w:basedOn w:val="Normal"/>
    <w:link w:val="FooterChar"/>
    <w:uiPriority w:val="99"/>
    <w:unhideWhenUsed/>
    <w:rsid w:val="008A7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DE"/>
  </w:style>
  <w:style w:type="paragraph" w:styleId="NoSpacing">
    <w:name w:val="No Spacing"/>
    <w:uiPriority w:val="1"/>
    <w:qFormat/>
    <w:rsid w:val="00BD1E1C"/>
    <w:pPr>
      <w:spacing w:after="0" w:line="240" w:lineRule="auto"/>
    </w:pPr>
  </w:style>
  <w:style w:type="paragraph" w:styleId="Revision">
    <w:name w:val="Revision"/>
    <w:hidden/>
    <w:uiPriority w:val="99"/>
    <w:semiHidden/>
    <w:rsid w:val="003D23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396471">
      <w:bodyDiv w:val="1"/>
      <w:marLeft w:val="0"/>
      <w:marRight w:val="0"/>
      <w:marTop w:val="0"/>
      <w:marBottom w:val="0"/>
      <w:divBdr>
        <w:top w:val="none" w:sz="0" w:space="0" w:color="auto"/>
        <w:left w:val="none" w:sz="0" w:space="0" w:color="auto"/>
        <w:bottom w:val="none" w:sz="0" w:space="0" w:color="auto"/>
        <w:right w:val="none" w:sz="0" w:space="0" w:color="auto"/>
      </w:divBdr>
      <w:divsChild>
        <w:div w:id="791676632">
          <w:marLeft w:val="0"/>
          <w:marRight w:val="0"/>
          <w:marTop w:val="0"/>
          <w:marBottom w:val="0"/>
          <w:divBdr>
            <w:top w:val="none" w:sz="0" w:space="0" w:color="auto"/>
            <w:left w:val="none" w:sz="0" w:space="0" w:color="auto"/>
            <w:bottom w:val="none" w:sz="0" w:space="0" w:color="auto"/>
            <w:right w:val="none" w:sz="0" w:space="0" w:color="auto"/>
          </w:divBdr>
          <w:divsChild>
            <w:div w:id="1852136893">
              <w:marLeft w:val="0"/>
              <w:marRight w:val="0"/>
              <w:marTop w:val="0"/>
              <w:marBottom w:val="0"/>
              <w:divBdr>
                <w:top w:val="none" w:sz="0" w:space="0" w:color="auto"/>
                <w:left w:val="none" w:sz="0" w:space="0" w:color="auto"/>
                <w:bottom w:val="none" w:sz="0" w:space="0" w:color="auto"/>
                <w:right w:val="none" w:sz="0" w:space="0" w:color="auto"/>
              </w:divBdr>
              <w:divsChild>
                <w:div w:id="1269194721">
                  <w:marLeft w:val="0"/>
                  <w:marRight w:val="0"/>
                  <w:marTop w:val="0"/>
                  <w:marBottom w:val="0"/>
                  <w:divBdr>
                    <w:top w:val="none" w:sz="0" w:space="0" w:color="auto"/>
                    <w:left w:val="none" w:sz="0" w:space="0" w:color="auto"/>
                    <w:bottom w:val="none" w:sz="0" w:space="0" w:color="auto"/>
                    <w:right w:val="none" w:sz="0" w:space="0" w:color="auto"/>
                  </w:divBdr>
                  <w:divsChild>
                    <w:div w:id="692613253">
                      <w:marLeft w:val="0"/>
                      <w:marRight w:val="0"/>
                      <w:marTop w:val="0"/>
                      <w:marBottom w:val="0"/>
                      <w:divBdr>
                        <w:top w:val="none" w:sz="0" w:space="0" w:color="auto"/>
                        <w:left w:val="none" w:sz="0" w:space="0" w:color="auto"/>
                        <w:bottom w:val="none" w:sz="0" w:space="0" w:color="auto"/>
                        <w:right w:val="none" w:sz="0" w:space="0" w:color="auto"/>
                      </w:divBdr>
                      <w:divsChild>
                        <w:div w:id="1079670456">
                          <w:marLeft w:val="0"/>
                          <w:marRight w:val="0"/>
                          <w:marTop w:val="0"/>
                          <w:marBottom w:val="0"/>
                          <w:divBdr>
                            <w:top w:val="none" w:sz="0" w:space="0" w:color="auto"/>
                            <w:left w:val="none" w:sz="0" w:space="0" w:color="auto"/>
                            <w:bottom w:val="none" w:sz="0" w:space="0" w:color="auto"/>
                            <w:right w:val="none" w:sz="0" w:space="0" w:color="auto"/>
                          </w:divBdr>
                          <w:divsChild>
                            <w:div w:id="294528488">
                              <w:marLeft w:val="0"/>
                              <w:marRight w:val="0"/>
                              <w:marTop w:val="0"/>
                              <w:marBottom w:val="0"/>
                              <w:divBdr>
                                <w:top w:val="none" w:sz="0" w:space="0" w:color="auto"/>
                                <w:left w:val="none" w:sz="0" w:space="0" w:color="auto"/>
                                <w:bottom w:val="none" w:sz="0" w:space="0" w:color="auto"/>
                                <w:right w:val="none" w:sz="0" w:space="0" w:color="auto"/>
                              </w:divBdr>
                              <w:divsChild>
                                <w:div w:id="1104425097">
                                  <w:marLeft w:val="0"/>
                                  <w:marRight w:val="0"/>
                                  <w:marTop w:val="0"/>
                                  <w:marBottom w:val="0"/>
                                  <w:divBdr>
                                    <w:top w:val="none" w:sz="0" w:space="0" w:color="auto"/>
                                    <w:left w:val="none" w:sz="0" w:space="0" w:color="auto"/>
                                    <w:bottom w:val="none" w:sz="0" w:space="0" w:color="auto"/>
                                    <w:right w:val="none" w:sz="0" w:space="0" w:color="auto"/>
                                  </w:divBdr>
                                  <w:divsChild>
                                    <w:div w:id="2020424046">
                                      <w:marLeft w:val="0"/>
                                      <w:marRight w:val="0"/>
                                      <w:marTop w:val="0"/>
                                      <w:marBottom w:val="0"/>
                                      <w:divBdr>
                                        <w:top w:val="none" w:sz="0" w:space="0" w:color="auto"/>
                                        <w:left w:val="none" w:sz="0" w:space="0" w:color="auto"/>
                                        <w:bottom w:val="none" w:sz="0" w:space="0" w:color="auto"/>
                                        <w:right w:val="none" w:sz="0" w:space="0" w:color="auto"/>
                                      </w:divBdr>
                                      <w:divsChild>
                                        <w:div w:id="16445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737527">
      <w:bodyDiv w:val="1"/>
      <w:marLeft w:val="0"/>
      <w:marRight w:val="0"/>
      <w:marTop w:val="0"/>
      <w:marBottom w:val="0"/>
      <w:divBdr>
        <w:top w:val="none" w:sz="0" w:space="0" w:color="auto"/>
        <w:left w:val="none" w:sz="0" w:space="0" w:color="auto"/>
        <w:bottom w:val="none" w:sz="0" w:space="0" w:color="auto"/>
        <w:right w:val="none" w:sz="0" w:space="0" w:color="auto"/>
      </w:divBdr>
      <w:divsChild>
        <w:div w:id="1841383682">
          <w:marLeft w:val="0"/>
          <w:marRight w:val="0"/>
          <w:marTop w:val="0"/>
          <w:marBottom w:val="0"/>
          <w:divBdr>
            <w:top w:val="none" w:sz="0" w:space="0" w:color="auto"/>
            <w:left w:val="none" w:sz="0" w:space="0" w:color="auto"/>
            <w:bottom w:val="none" w:sz="0" w:space="0" w:color="auto"/>
            <w:right w:val="none" w:sz="0" w:space="0" w:color="auto"/>
          </w:divBdr>
        </w:div>
        <w:div w:id="1845897497">
          <w:marLeft w:val="0"/>
          <w:marRight w:val="0"/>
          <w:marTop w:val="0"/>
          <w:marBottom w:val="0"/>
          <w:divBdr>
            <w:top w:val="none" w:sz="0" w:space="0" w:color="auto"/>
            <w:left w:val="none" w:sz="0" w:space="0" w:color="auto"/>
            <w:bottom w:val="none" w:sz="0" w:space="0" w:color="auto"/>
            <w:right w:val="none" w:sz="0" w:space="0" w:color="auto"/>
          </w:divBdr>
        </w:div>
        <w:div w:id="1076367035">
          <w:marLeft w:val="0"/>
          <w:marRight w:val="0"/>
          <w:marTop w:val="0"/>
          <w:marBottom w:val="0"/>
          <w:divBdr>
            <w:top w:val="none" w:sz="0" w:space="0" w:color="auto"/>
            <w:left w:val="none" w:sz="0" w:space="0" w:color="auto"/>
            <w:bottom w:val="none" w:sz="0" w:space="0" w:color="auto"/>
            <w:right w:val="none" w:sz="0" w:space="0" w:color="auto"/>
          </w:divBdr>
        </w:div>
        <w:div w:id="929436161">
          <w:marLeft w:val="0"/>
          <w:marRight w:val="0"/>
          <w:marTop w:val="0"/>
          <w:marBottom w:val="0"/>
          <w:divBdr>
            <w:top w:val="none" w:sz="0" w:space="0" w:color="auto"/>
            <w:left w:val="none" w:sz="0" w:space="0" w:color="auto"/>
            <w:bottom w:val="none" w:sz="0" w:space="0" w:color="auto"/>
            <w:right w:val="none" w:sz="0" w:space="0" w:color="auto"/>
          </w:divBdr>
        </w:div>
      </w:divsChild>
    </w:div>
    <w:div w:id="1376199194">
      <w:bodyDiv w:val="1"/>
      <w:marLeft w:val="0"/>
      <w:marRight w:val="0"/>
      <w:marTop w:val="0"/>
      <w:marBottom w:val="0"/>
      <w:divBdr>
        <w:top w:val="none" w:sz="0" w:space="0" w:color="auto"/>
        <w:left w:val="none" w:sz="0" w:space="0" w:color="auto"/>
        <w:bottom w:val="none" w:sz="0" w:space="0" w:color="auto"/>
        <w:right w:val="none" w:sz="0" w:space="0" w:color="auto"/>
      </w:divBdr>
      <w:divsChild>
        <w:div w:id="428281346">
          <w:marLeft w:val="0"/>
          <w:marRight w:val="0"/>
          <w:marTop w:val="0"/>
          <w:marBottom w:val="0"/>
          <w:divBdr>
            <w:top w:val="none" w:sz="0" w:space="0" w:color="auto"/>
            <w:left w:val="none" w:sz="0" w:space="0" w:color="auto"/>
            <w:bottom w:val="none" w:sz="0" w:space="0" w:color="auto"/>
            <w:right w:val="none" w:sz="0" w:space="0" w:color="auto"/>
          </w:divBdr>
        </w:div>
        <w:div w:id="1702784131">
          <w:marLeft w:val="0"/>
          <w:marRight w:val="0"/>
          <w:marTop w:val="0"/>
          <w:marBottom w:val="0"/>
          <w:divBdr>
            <w:top w:val="none" w:sz="0" w:space="0" w:color="auto"/>
            <w:left w:val="none" w:sz="0" w:space="0" w:color="auto"/>
            <w:bottom w:val="none" w:sz="0" w:space="0" w:color="auto"/>
            <w:right w:val="none" w:sz="0" w:space="0" w:color="auto"/>
          </w:divBdr>
        </w:div>
        <w:div w:id="73019323">
          <w:marLeft w:val="0"/>
          <w:marRight w:val="0"/>
          <w:marTop w:val="0"/>
          <w:marBottom w:val="0"/>
          <w:divBdr>
            <w:top w:val="none" w:sz="0" w:space="0" w:color="auto"/>
            <w:left w:val="none" w:sz="0" w:space="0" w:color="auto"/>
            <w:bottom w:val="none" w:sz="0" w:space="0" w:color="auto"/>
            <w:right w:val="none" w:sz="0" w:space="0" w:color="auto"/>
          </w:divBdr>
        </w:div>
        <w:div w:id="1007438752">
          <w:marLeft w:val="0"/>
          <w:marRight w:val="0"/>
          <w:marTop w:val="0"/>
          <w:marBottom w:val="0"/>
          <w:divBdr>
            <w:top w:val="none" w:sz="0" w:space="0" w:color="auto"/>
            <w:left w:val="none" w:sz="0" w:space="0" w:color="auto"/>
            <w:bottom w:val="none" w:sz="0" w:space="0" w:color="auto"/>
            <w:right w:val="none" w:sz="0" w:space="0" w:color="auto"/>
          </w:divBdr>
        </w:div>
      </w:divsChild>
    </w:div>
    <w:div w:id="1999840065">
      <w:bodyDiv w:val="1"/>
      <w:marLeft w:val="0"/>
      <w:marRight w:val="0"/>
      <w:marTop w:val="0"/>
      <w:marBottom w:val="0"/>
      <w:divBdr>
        <w:top w:val="none" w:sz="0" w:space="0" w:color="auto"/>
        <w:left w:val="none" w:sz="0" w:space="0" w:color="auto"/>
        <w:bottom w:val="none" w:sz="0" w:space="0" w:color="auto"/>
        <w:right w:val="none" w:sz="0" w:space="0" w:color="auto"/>
      </w:divBdr>
      <w:divsChild>
        <w:div w:id="1068923592">
          <w:marLeft w:val="0"/>
          <w:marRight w:val="0"/>
          <w:marTop w:val="0"/>
          <w:marBottom w:val="0"/>
          <w:divBdr>
            <w:top w:val="none" w:sz="0" w:space="0" w:color="auto"/>
            <w:left w:val="none" w:sz="0" w:space="0" w:color="auto"/>
            <w:bottom w:val="none" w:sz="0" w:space="0" w:color="auto"/>
            <w:right w:val="none" w:sz="0" w:space="0" w:color="auto"/>
          </w:divBdr>
          <w:divsChild>
            <w:div w:id="2076388253">
              <w:marLeft w:val="0"/>
              <w:marRight w:val="0"/>
              <w:marTop w:val="0"/>
              <w:marBottom w:val="0"/>
              <w:divBdr>
                <w:top w:val="none" w:sz="0" w:space="0" w:color="auto"/>
                <w:left w:val="none" w:sz="0" w:space="0" w:color="auto"/>
                <w:bottom w:val="none" w:sz="0" w:space="0" w:color="auto"/>
                <w:right w:val="none" w:sz="0" w:space="0" w:color="auto"/>
              </w:divBdr>
              <w:divsChild>
                <w:div w:id="704596967">
                  <w:marLeft w:val="0"/>
                  <w:marRight w:val="0"/>
                  <w:marTop w:val="0"/>
                  <w:marBottom w:val="0"/>
                  <w:divBdr>
                    <w:top w:val="none" w:sz="0" w:space="0" w:color="auto"/>
                    <w:left w:val="none" w:sz="0" w:space="0" w:color="auto"/>
                    <w:bottom w:val="none" w:sz="0" w:space="0" w:color="auto"/>
                    <w:right w:val="none" w:sz="0" w:space="0" w:color="auto"/>
                  </w:divBdr>
                  <w:divsChild>
                    <w:div w:id="1136726672">
                      <w:marLeft w:val="0"/>
                      <w:marRight w:val="0"/>
                      <w:marTop w:val="0"/>
                      <w:marBottom w:val="0"/>
                      <w:divBdr>
                        <w:top w:val="none" w:sz="0" w:space="0" w:color="auto"/>
                        <w:left w:val="none" w:sz="0" w:space="0" w:color="auto"/>
                        <w:bottom w:val="none" w:sz="0" w:space="0" w:color="auto"/>
                        <w:right w:val="none" w:sz="0" w:space="0" w:color="auto"/>
                      </w:divBdr>
                      <w:divsChild>
                        <w:div w:id="1752237598">
                          <w:marLeft w:val="0"/>
                          <w:marRight w:val="0"/>
                          <w:marTop w:val="0"/>
                          <w:marBottom w:val="0"/>
                          <w:divBdr>
                            <w:top w:val="none" w:sz="0" w:space="0" w:color="auto"/>
                            <w:left w:val="none" w:sz="0" w:space="0" w:color="auto"/>
                            <w:bottom w:val="none" w:sz="0" w:space="0" w:color="auto"/>
                            <w:right w:val="none" w:sz="0" w:space="0" w:color="auto"/>
                          </w:divBdr>
                          <w:divsChild>
                            <w:div w:id="98763565">
                              <w:marLeft w:val="0"/>
                              <w:marRight w:val="0"/>
                              <w:marTop w:val="0"/>
                              <w:marBottom w:val="0"/>
                              <w:divBdr>
                                <w:top w:val="none" w:sz="0" w:space="0" w:color="auto"/>
                                <w:left w:val="none" w:sz="0" w:space="0" w:color="auto"/>
                                <w:bottom w:val="none" w:sz="0" w:space="0" w:color="auto"/>
                                <w:right w:val="none" w:sz="0" w:space="0" w:color="auto"/>
                              </w:divBdr>
                              <w:divsChild>
                                <w:div w:id="573440637">
                                  <w:marLeft w:val="0"/>
                                  <w:marRight w:val="0"/>
                                  <w:marTop w:val="0"/>
                                  <w:marBottom w:val="0"/>
                                  <w:divBdr>
                                    <w:top w:val="none" w:sz="0" w:space="0" w:color="auto"/>
                                    <w:left w:val="none" w:sz="0" w:space="0" w:color="auto"/>
                                    <w:bottom w:val="none" w:sz="0" w:space="0" w:color="auto"/>
                                    <w:right w:val="none" w:sz="0" w:space="0" w:color="auto"/>
                                  </w:divBdr>
                                  <w:divsChild>
                                    <w:div w:id="1618683847">
                                      <w:marLeft w:val="0"/>
                                      <w:marRight w:val="0"/>
                                      <w:marTop w:val="0"/>
                                      <w:marBottom w:val="0"/>
                                      <w:divBdr>
                                        <w:top w:val="none" w:sz="0" w:space="0" w:color="auto"/>
                                        <w:left w:val="none" w:sz="0" w:space="0" w:color="auto"/>
                                        <w:bottom w:val="none" w:sz="0" w:space="0" w:color="auto"/>
                                        <w:right w:val="none" w:sz="0" w:space="0" w:color="auto"/>
                                      </w:divBdr>
                                      <w:divsChild>
                                        <w:div w:id="7528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lants12162992?utm_source=chatgpt.com" TargetMode="External"/><Relationship Id="rId18" Type="http://schemas.openxmlformats.org/officeDocument/2006/relationships/hyperlink" Target="https://doi.org/10.1111/nph.17733" TargetMode="External"/><Relationship Id="rId26" Type="http://schemas.openxmlformats.org/officeDocument/2006/relationships/hyperlink" Target="https://doi.org/10.1002/aepp.13044" TargetMode="External"/><Relationship Id="rId39" Type="http://schemas.openxmlformats.org/officeDocument/2006/relationships/header" Target="header3.xml"/><Relationship Id="rId21" Type="http://schemas.openxmlformats.org/officeDocument/2006/relationships/hyperlink" Target="https://doi.org/10.1093/jiplp/jpad065?utm_source=chatgpt.com" TargetMode="External"/><Relationship Id="rId34" Type="http://schemas.openxmlformats.org/officeDocument/2006/relationships/hyperlink" Target="https://doi.org/10.3390/genes12081127" TargetMode="External"/><Relationship Id="rId42" Type="http://schemas.openxmlformats.org/officeDocument/2006/relationships/theme" Target="theme/theme1.xml"/><Relationship Id="rId7" Type="http://schemas.openxmlformats.org/officeDocument/2006/relationships/hyperlink" Target="https://doi.org/10.1016/j.geoforum.2018.07.017" TargetMode="External"/><Relationship Id="rId2" Type="http://schemas.openxmlformats.org/officeDocument/2006/relationships/styles" Target="styles.xml"/><Relationship Id="rId16" Type="http://schemas.openxmlformats.org/officeDocument/2006/relationships/hyperlink" Target="https://doi.org/10.2135/cropsci2014.09.0669" TargetMode="External"/><Relationship Id="rId20" Type="http://schemas.openxmlformats.org/officeDocument/2006/relationships/hyperlink" Target="https://doi.org/10.1371/journal.pbio.3000023" TargetMode="External"/><Relationship Id="rId29" Type="http://schemas.openxmlformats.org/officeDocument/2006/relationships/hyperlink" Target="https://www.ers.usda.gov/amber-waves/2023/august/expanded-intellectual-property-protections-for-crop-seeds-increase-innovation-and-market-power-for-companie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631/jzus.B2200601?utm_source=chatgpt.com" TargetMode="External"/><Relationship Id="rId24" Type="http://schemas.openxmlformats.org/officeDocument/2006/relationships/hyperlink" Target="https://doi.org/10.1177/00307270241277219" TargetMode="External"/><Relationship Id="rId32" Type="http://schemas.openxmlformats.org/officeDocument/2006/relationships/hyperlink" Target="https://doi.org/10.1038/s42003-021-01840-9"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11/eci.12931" TargetMode="External"/><Relationship Id="rId23" Type="http://schemas.openxmlformats.org/officeDocument/2006/relationships/hyperlink" Target="https://doi.org/10.1371/journal.pbio.1002441?utm_source=chatgpt.com" TargetMode="External"/><Relationship Id="rId28" Type="http://schemas.openxmlformats.org/officeDocument/2006/relationships/hyperlink" Target="https://doi.org/10.3390/agronomy11061163" TargetMode="External"/><Relationship Id="rId36" Type="http://schemas.openxmlformats.org/officeDocument/2006/relationships/header" Target="header2.xml"/><Relationship Id="rId10" Type="http://schemas.openxmlformats.org/officeDocument/2006/relationships/hyperlink" Target="https://doi.org/10.1002/ppp3.10201" TargetMode="External"/><Relationship Id="rId19" Type="http://schemas.openxmlformats.org/officeDocument/2006/relationships/hyperlink" Target="https://doi.org/10.3390/agronomy11061218?utm_source=chatgpt.com" TargetMode="External"/><Relationship Id="rId31" Type="http://schemas.openxmlformats.org/officeDocument/2006/relationships/hyperlink" Target="https://doi.org/10.3389/fpls.2021.686728" TargetMode="External"/><Relationship Id="rId4" Type="http://schemas.openxmlformats.org/officeDocument/2006/relationships/webSettings" Target="webSettings.xml"/><Relationship Id="rId9" Type="http://schemas.openxmlformats.org/officeDocument/2006/relationships/hyperlink" Target="https://doi.org/10.3390/agronomy11081511" TargetMode="External"/><Relationship Id="rId14" Type="http://schemas.openxmlformats.org/officeDocument/2006/relationships/hyperlink" Target="https://doi.org/10.1002/ppp3.10397" TargetMode="External"/><Relationship Id="rId22" Type="http://schemas.openxmlformats.org/officeDocument/2006/relationships/hyperlink" Target="https://doi.org/10.3389/fpls.2019.01127" TargetMode="External"/><Relationship Id="rId27" Type="http://schemas.openxmlformats.org/officeDocument/2006/relationships/hyperlink" Target="https://doi.org/10.3389/fbioe.2018.00071" TargetMode="External"/><Relationship Id="rId30" Type="http://schemas.openxmlformats.org/officeDocument/2006/relationships/hyperlink" Target="https://doi.org/10.3390/su16135445" TargetMode="External"/><Relationship Id="rId35" Type="http://schemas.openxmlformats.org/officeDocument/2006/relationships/header" Target="header1.xml"/><Relationship Id="rId8" Type="http://schemas.openxmlformats.org/officeDocument/2006/relationships/hyperlink" Target="https://doi.org/10.1186/s40504-014-0014-7?utm_source=chatgpt.com" TargetMode="External"/><Relationship Id="rId3" Type="http://schemas.openxmlformats.org/officeDocument/2006/relationships/settings" Target="settings.xml"/><Relationship Id="rId12" Type="http://schemas.openxmlformats.org/officeDocument/2006/relationships/hyperlink" Target="https://doi.org/10.1146/annurev-resource-100516-053524?utm_source=chatgpt.com" TargetMode="External"/><Relationship Id="rId17" Type="http://schemas.openxmlformats.org/officeDocument/2006/relationships/hyperlink" Target="https://doi.org/10.1080/21645698.2025.2548638" TargetMode="External"/><Relationship Id="rId25" Type="http://schemas.openxmlformats.org/officeDocument/2006/relationships/hyperlink" Target="https://doi.org/10.1093/grurint/ikae133" TargetMode="External"/><Relationship Id="rId33" Type="http://schemas.openxmlformats.org/officeDocument/2006/relationships/hyperlink" Target="https://doi.org/10.1038/nplants.2017.107"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22</Pages>
  <Words>10800</Words>
  <Characters>61564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PC New 16</cp:lastModifiedBy>
  <cp:revision>22</cp:revision>
  <dcterms:created xsi:type="dcterms:W3CDTF">2026-05-18T15:43:00Z</dcterms:created>
  <dcterms:modified xsi:type="dcterms:W3CDTF">2026-05-21T07:15:00Z</dcterms:modified>
</cp:coreProperties>
</file>