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2B297" w14:textId="77777777" w:rsidR="00382B77" w:rsidRDefault="00E949BA">
      <w:pPr>
        <w:pStyle w:val="Title"/>
      </w:pPr>
      <w:r>
        <w:t>An</w:t>
      </w:r>
      <w:r>
        <w:rPr>
          <w:spacing w:val="-5"/>
        </w:rPr>
        <w:t xml:space="preserve"> </w:t>
      </w:r>
      <w:r>
        <w:t>Update</w:t>
      </w:r>
      <w:r>
        <w:rPr>
          <w:spacing w:val="-9"/>
        </w:rPr>
        <w:t xml:space="preserve"> </w:t>
      </w:r>
      <w:r>
        <w:t>on</w:t>
      </w:r>
      <w:r>
        <w:rPr>
          <w:spacing w:val="-9"/>
        </w:rPr>
        <w:t xml:space="preserve"> </w:t>
      </w:r>
      <w:r>
        <w:t>Pathological</w:t>
      </w:r>
      <w:r>
        <w:rPr>
          <w:spacing w:val="-9"/>
        </w:rPr>
        <w:t xml:space="preserve"> </w:t>
      </w:r>
      <w:r>
        <w:t>changes</w:t>
      </w:r>
      <w:r>
        <w:rPr>
          <w:spacing w:val="-8"/>
        </w:rPr>
        <w:t xml:space="preserve"> </w:t>
      </w:r>
      <w:r>
        <w:t>in</w:t>
      </w:r>
      <w:r>
        <w:rPr>
          <w:spacing w:val="-9"/>
        </w:rPr>
        <w:t xml:space="preserve"> </w:t>
      </w:r>
      <w:r>
        <w:t>Canine</w:t>
      </w:r>
      <w:r>
        <w:rPr>
          <w:spacing w:val="-7"/>
        </w:rPr>
        <w:t xml:space="preserve"> </w:t>
      </w:r>
      <w:r>
        <w:rPr>
          <w:spacing w:val="-2"/>
        </w:rPr>
        <w:t>Demodicosis</w:t>
      </w:r>
    </w:p>
    <w:p w14:paraId="02686279" w14:textId="77777777" w:rsidR="00704761" w:rsidRDefault="00704761">
      <w:pPr>
        <w:ind w:left="79" w:right="79"/>
        <w:jc w:val="center"/>
        <w:rPr>
          <w:rFonts w:ascii="Arial"/>
          <w:b/>
          <w:sz w:val="24"/>
        </w:rPr>
      </w:pPr>
    </w:p>
    <w:p w14:paraId="2F2D73D2" w14:textId="25B3EBC3" w:rsidR="00874F07" w:rsidRDefault="00874F07">
      <w:pPr>
        <w:ind w:left="79" w:right="79"/>
        <w:jc w:val="center"/>
        <w:rPr>
          <w:rFonts w:ascii="Arial"/>
          <w:b/>
          <w:sz w:val="24"/>
        </w:rPr>
      </w:pPr>
      <w:r>
        <w:rPr>
          <w:rFonts w:ascii="Arial"/>
          <w:b/>
          <w:sz w:val="24"/>
        </w:rPr>
        <w:t xml:space="preserve"> </w:t>
      </w:r>
    </w:p>
    <w:p w14:paraId="2F20BFD3" w14:textId="77777777" w:rsidR="00382B77" w:rsidRDefault="00382B77">
      <w:pPr>
        <w:pStyle w:val="BodyText"/>
        <w:spacing w:before="0"/>
        <w:ind w:left="0" w:right="0"/>
        <w:jc w:val="left"/>
        <w:rPr>
          <w:rFonts w:ascii="Arial"/>
          <w:b/>
        </w:rPr>
      </w:pPr>
    </w:p>
    <w:p w14:paraId="166BD3ED" w14:textId="77777777" w:rsidR="00382B77" w:rsidRDefault="00382B77">
      <w:pPr>
        <w:pStyle w:val="BodyText"/>
        <w:spacing w:before="106"/>
        <w:ind w:left="0" w:right="0"/>
        <w:jc w:val="left"/>
        <w:rPr>
          <w:rFonts w:ascii="Arial"/>
          <w:b/>
        </w:rPr>
      </w:pPr>
    </w:p>
    <w:p w14:paraId="41ADEF82" w14:textId="77777777" w:rsidR="00382B77" w:rsidRDefault="00E949BA">
      <w:pPr>
        <w:pStyle w:val="Heading1"/>
        <w:ind w:left="562" w:right="3"/>
        <w:jc w:val="center"/>
      </w:pPr>
      <w:r>
        <w:rPr>
          <w:spacing w:val="-2"/>
        </w:rPr>
        <w:t>ABSTRACT</w:t>
      </w:r>
    </w:p>
    <w:p w14:paraId="48CA21D9" w14:textId="5BA77FEA" w:rsidR="00382B77" w:rsidRDefault="00A06E58">
      <w:pPr>
        <w:pStyle w:val="BodyText"/>
        <w:spacing w:before="257" w:line="360" w:lineRule="auto"/>
        <w:ind w:left="360" w:right="355" w:firstLine="561"/>
      </w:pPr>
      <w:r w:rsidRPr="00A06E58">
        <w:t>Canine demodicosis is an important parasitic skin disease associated with proliferation of Demodex mites in hair follicles and sebaceous glands, leading to dermatological and systemic alterations.</w:t>
      </w:r>
      <w:r>
        <w:t xml:space="preserve"> </w:t>
      </w:r>
      <w:r w:rsidR="00E949BA">
        <w:t>A total of 240 dermatitis cases studied in dogs at Veterinary Clinical Complex, College of Veterinary and Animal Science, Bikaner, Rajasthan, from the period of September 2018 to February</w:t>
      </w:r>
      <w:r w:rsidR="00E949BA">
        <w:rPr>
          <w:spacing w:val="-2"/>
        </w:rPr>
        <w:t xml:space="preserve"> </w:t>
      </w:r>
      <w:r w:rsidR="00E949BA">
        <w:t xml:space="preserve">2019. Out of these, 25 dogs were positive for demodicosis was diagnosed by examination of deep skin scrapings. In this study, 19 were affected with </w:t>
      </w:r>
      <w:proofErr w:type="spellStart"/>
      <w:r w:rsidR="00E949BA">
        <w:t>generalised</w:t>
      </w:r>
      <w:proofErr w:type="spellEnd"/>
      <w:r w:rsidR="00E949BA">
        <w:t xml:space="preserve"> demodicosis and 6 were affected with localized demodicosis. In deep skin scrapings, demodectic mites were detected.</w:t>
      </w:r>
    </w:p>
    <w:p w14:paraId="0D815096" w14:textId="77777777" w:rsidR="00382B77" w:rsidRDefault="00E949BA">
      <w:pPr>
        <w:pStyle w:val="BodyText"/>
        <w:spacing w:line="360" w:lineRule="auto"/>
        <w:ind w:left="360" w:firstLine="561"/>
      </w:pPr>
      <w:proofErr w:type="spellStart"/>
      <w:r>
        <w:t>Haematological</w:t>
      </w:r>
      <w:proofErr w:type="spellEnd"/>
      <w:r>
        <w:t xml:space="preserve"> studies in canine demodicosis cases revealed anemia, </w:t>
      </w:r>
      <w:proofErr w:type="spellStart"/>
      <w:r>
        <w:t>leucocytosis</w:t>
      </w:r>
      <w:proofErr w:type="spellEnd"/>
      <w:r>
        <w:t>, neutrophilia, lymphopenia and eosinophilia. Serum biochemistry in canine demodicosis cases revealed hypoglycemia, hypoproteinemia, hypoalbuminemia, hyperglobulinemia, increased level of SGPT and SGOT. Mineral study in the canine demodicosis revealed decreased level of serum zinc, copper and iron.</w:t>
      </w:r>
    </w:p>
    <w:p w14:paraId="34FD3A4C" w14:textId="77777777" w:rsidR="00382B77" w:rsidRDefault="00E949BA">
      <w:pPr>
        <w:pStyle w:val="BodyText"/>
        <w:spacing w:before="121" w:line="360" w:lineRule="auto"/>
        <w:ind w:left="360" w:right="355" w:firstLine="561"/>
      </w:pPr>
      <w:r>
        <w:t>Histopathological changes in canine demodicosis showed desquamation and degeneration of external root sheath cells with pigment deposition, necrotic hair follicle markedly</w:t>
      </w:r>
      <w:r>
        <w:rPr>
          <w:spacing w:val="-3"/>
        </w:rPr>
        <w:t xml:space="preserve"> </w:t>
      </w:r>
      <w:r>
        <w:t>distended</w:t>
      </w:r>
      <w:r>
        <w:rPr>
          <w:spacing w:val="-2"/>
        </w:rPr>
        <w:t xml:space="preserve"> </w:t>
      </w:r>
      <w:r>
        <w:t>and</w:t>
      </w:r>
      <w:r>
        <w:rPr>
          <w:spacing w:val="-2"/>
        </w:rPr>
        <w:t xml:space="preserve"> </w:t>
      </w:r>
      <w:r>
        <w:t>filled</w:t>
      </w:r>
      <w:r>
        <w:rPr>
          <w:spacing w:val="-2"/>
        </w:rPr>
        <w:t xml:space="preserve"> </w:t>
      </w:r>
      <w:r>
        <w:t>with keratin,</w:t>
      </w:r>
      <w:r>
        <w:rPr>
          <w:spacing w:val="-2"/>
        </w:rPr>
        <w:t xml:space="preserve"> </w:t>
      </w:r>
      <w:r>
        <w:t>debris and</w:t>
      </w:r>
      <w:r>
        <w:rPr>
          <w:spacing w:val="-2"/>
        </w:rPr>
        <w:t xml:space="preserve"> </w:t>
      </w:r>
      <w:r>
        <w:t>purulent</w:t>
      </w:r>
      <w:r>
        <w:rPr>
          <w:spacing w:val="-2"/>
        </w:rPr>
        <w:t xml:space="preserve"> </w:t>
      </w:r>
      <w:r>
        <w:t>material. In</w:t>
      </w:r>
      <w:r>
        <w:rPr>
          <w:spacing w:val="-2"/>
        </w:rPr>
        <w:t xml:space="preserve"> </w:t>
      </w:r>
      <w:r>
        <w:t xml:space="preserve">present study histopathology revealed cross section of the mite in the epidermis with </w:t>
      </w:r>
      <w:r>
        <w:rPr>
          <w:spacing w:val="-2"/>
        </w:rPr>
        <w:t>hyperpigmentation.</w:t>
      </w:r>
    </w:p>
    <w:p w14:paraId="71B24B1A" w14:textId="77777777" w:rsidR="00382B77" w:rsidRDefault="00E949BA">
      <w:pPr>
        <w:pStyle w:val="BodyText"/>
        <w:spacing w:before="119"/>
        <w:ind w:left="360" w:right="0"/>
        <w:rPr>
          <w:rFonts w:ascii="Arial"/>
          <w:b/>
        </w:rPr>
      </w:pPr>
      <w:r>
        <w:rPr>
          <w:rFonts w:ascii="Arial"/>
          <w:b/>
        </w:rPr>
        <w:t>Keywords:</w:t>
      </w:r>
      <w:r>
        <w:rPr>
          <w:rFonts w:ascii="Arial"/>
          <w:b/>
          <w:spacing w:val="-17"/>
        </w:rPr>
        <w:t xml:space="preserve"> </w:t>
      </w:r>
      <w:r>
        <w:t>Demodicosis,</w:t>
      </w:r>
      <w:r>
        <w:rPr>
          <w:spacing w:val="-17"/>
        </w:rPr>
        <w:t xml:space="preserve"> </w:t>
      </w:r>
      <w:r>
        <w:t>Hematology,</w:t>
      </w:r>
      <w:r>
        <w:rPr>
          <w:spacing w:val="-16"/>
        </w:rPr>
        <w:t xml:space="preserve"> </w:t>
      </w:r>
      <w:r>
        <w:t>Biochemistry,</w:t>
      </w:r>
      <w:r>
        <w:rPr>
          <w:spacing w:val="-17"/>
        </w:rPr>
        <w:t xml:space="preserve"> </w:t>
      </w:r>
      <w:r>
        <w:t>Histopathological</w:t>
      </w:r>
      <w:r>
        <w:rPr>
          <w:spacing w:val="-16"/>
        </w:rPr>
        <w:t xml:space="preserve"> </w:t>
      </w:r>
      <w:r>
        <w:rPr>
          <w:spacing w:val="-2"/>
        </w:rPr>
        <w:t>changes</w:t>
      </w:r>
      <w:r>
        <w:rPr>
          <w:rFonts w:ascii="Arial"/>
          <w:b/>
          <w:spacing w:val="-2"/>
        </w:rPr>
        <w:t>.</w:t>
      </w:r>
    </w:p>
    <w:p w14:paraId="5FF807F3" w14:textId="77777777" w:rsidR="00382B77" w:rsidRDefault="00382B77">
      <w:pPr>
        <w:pStyle w:val="BodyText"/>
        <w:spacing w:before="0"/>
        <w:ind w:left="0" w:right="0"/>
        <w:jc w:val="left"/>
        <w:rPr>
          <w:rFonts w:ascii="Arial"/>
          <w:b/>
        </w:rPr>
      </w:pPr>
    </w:p>
    <w:p w14:paraId="4955D782" w14:textId="77777777" w:rsidR="00382B77" w:rsidRDefault="00382B77">
      <w:pPr>
        <w:pStyle w:val="BodyText"/>
        <w:spacing w:before="240"/>
        <w:ind w:left="0" w:right="0"/>
        <w:jc w:val="left"/>
        <w:rPr>
          <w:rFonts w:ascii="Arial"/>
          <w:b/>
        </w:rPr>
      </w:pPr>
    </w:p>
    <w:p w14:paraId="7D397515" w14:textId="77777777" w:rsidR="00382B77" w:rsidRDefault="00E949BA">
      <w:pPr>
        <w:pStyle w:val="Heading1"/>
        <w:ind w:left="427"/>
      </w:pPr>
      <w:r>
        <w:rPr>
          <w:spacing w:val="-2"/>
        </w:rPr>
        <w:t>INTRODUCTION</w:t>
      </w:r>
    </w:p>
    <w:p w14:paraId="2ED89164" w14:textId="1AD0F910" w:rsidR="00382B77" w:rsidRPr="00BD3203" w:rsidRDefault="00CF025C" w:rsidP="00BD3203">
      <w:pPr>
        <w:pStyle w:val="BodyText"/>
        <w:spacing w:before="260" w:line="360" w:lineRule="auto"/>
        <w:ind w:firstLine="633"/>
        <w:rPr>
          <w:lang w:val="en-IN"/>
        </w:rPr>
      </w:pPr>
      <w:r w:rsidRPr="00CF025C">
        <w:rPr>
          <w:sz w:val="22"/>
          <w:szCs w:val="22"/>
        </w:rPr>
        <w:t xml:space="preserve"> </w:t>
      </w:r>
      <w:r w:rsidRPr="00CF025C">
        <w:t xml:space="preserve">Demodectic mange is a serious parasitic dermatological disorder in dogs, resulting from the excessive proliferation of follicular mites belonging to different species of the genus </w:t>
      </w:r>
      <w:r w:rsidRPr="00CF025C">
        <w:rPr>
          <w:i/>
          <w:iCs/>
        </w:rPr>
        <w:t>Demodex</w:t>
      </w:r>
      <w:r w:rsidRPr="00CF025C">
        <w:t xml:space="preserve">. </w:t>
      </w:r>
      <w:r w:rsidRPr="00CF025C">
        <w:rPr>
          <w:i/>
          <w:iCs/>
        </w:rPr>
        <w:t xml:space="preserve">Demodex </w:t>
      </w:r>
      <w:proofErr w:type="spellStart"/>
      <w:r w:rsidRPr="00CF025C">
        <w:rPr>
          <w:i/>
          <w:iCs/>
        </w:rPr>
        <w:t>canis</w:t>
      </w:r>
      <w:proofErr w:type="spellEnd"/>
      <w:r w:rsidRPr="00CF025C">
        <w:t xml:space="preserve"> (Figure 1) is </w:t>
      </w:r>
      <w:proofErr w:type="spellStart"/>
      <w:r w:rsidRPr="00CF025C">
        <w:t>recognised</w:t>
      </w:r>
      <w:proofErr w:type="spellEnd"/>
      <w:r w:rsidRPr="00CF025C">
        <w:t xml:space="preserve"> as the principal </w:t>
      </w:r>
      <w:proofErr w:type="spellStart"/>
      <w:r w:rsidRPr="00CF025C">
        <w:t>aetiological</w:t>
      </w:r>
      <w:proofErr w:type="spellEnd"/>
      <w:r w:rsidRPr="00CF025C">
        <w:t xml:space="preserve"> agent responsible for canine demodicosis (Scott </w:t>
      </w:r>
      <w:r w:rsidRPr="00CF025C">
        <w:rPr>
          <w:i/>
          <w:iCs/>
        </w:rPr>
        <w:t>et al.</w:t>
      </w:r>
      <w:r w:rsidRPr="00CF025C">
        <w:t xml:space="preserve"> 2001).</w:t>
      </w:r>
      <w:r w:rsidR="00E949BA">
        <w:rPr>
          <w:spacing w:val="-5"/>
        </w:rPr>
        <w:t xml:space="preserve">The </w:t>
      </w:r>
      <w:r w:rsidR="00E949BA">
        <w:t xml:space="preserve">mites spend their entire life cycle on the skin of host. The life cycle of </w:t>
      </w:r>
      <w:r w:rsidR="00E949BA">
        <w:rPr>
          <w:rFonts w:ascii="Arial"/>
          <w:i/>
        </w:rPr>
        <w:t xml:space="preserve">Demodex </w:t>
      </w:r>
      <w:r w:rsidR="00E949BA">
        <w:t xml:space="preserve">is that an egg </w:t>
      </w:r>
      <w:r w:rsidR="00E949BA">
        <w:lastRenderedPageBreak/>
        <w:t xml:space="preserve">(fusiform shaped) develops into </w:t>
      </w:r>
      <w:r w:rsidR="00A014CF">
        <w:t>6-legged</w:t>
      </w:r>
      <w:r w:rsidR="00E949BA">
        <w:t xml:space="preserve"> larvae that then develops into an </w:t>
      </w:r>
      <w:r w:rsidR="00A014CF">
        <w:t>8-legged</w:t>
      </w:r>
      <w:r w:rsidR="00E949BA">
        <w:t xml:space="preserve"> nymph (Mueller, 2008).</w:t>
      </w:r>
      <w:r w:rsidR="00436250" w:rsidRPr="00436250">
        <w:rPr>
          <w:rFonts w:ascii="Arial" w:eastAsia="Arial" w:hAnsi="Arial" w:cs="Arial"/>
          <w:color w:val="FF0000"/>
          <w:lang w:val="en-IN" w:eastAsia="en-IN" w:bidi="hi-IN"/>
        </w:rPr>
        <w:t xml:space="preserve"> </w:t>
      </w:r>
      <w:r w:rsidR="00436250" w:rsidRPr="00436250">
        <w:rPr>
          <w:lang w:val="en-IN"/>
        </w:rPr>
        <w:t xml:space="preserve">In addition to </w:t>
      </w:r>
      <w:r w:rsidR="00436250" w:rsidRPr="00BD3203">
        <w:rPr>
          <w:i/>
          <w:iCs/>
          <w:lang w:val="en-IN"/>
        </w:rPr>
        <w:t xml:space="preserve">Demodex </w:t>
      </w:r>
      <w:proofErr w:type="spellStart"/>
      <w:r w:rsidR="00436250" w:rsidRPr="00BD3203">
        <w:rPr>
          <w:i/>
          <w:iCs/>
          <w:lang w:val="en-IN"/>
        </w:rPr>
        <w:t>canis</w:t>
      </w:r>
      <w:proofErr w:type="spellEnd"/>
      <w:r w:rsidR="00436250" w:rsidRPr="00436250">
        <w:rPr>
          <w:lang w:val="en-IN"/>
        </w:rPr>
        <w:t xml:space="preserve">, two other mite species have been identified in dogs: </w:t>
      </w:r>
      <w:r w:rsidR="00436250" w:rsidRPr="00BD3203">
        <w:rPr>
          <w:i/>
          <w:iCs/>
          <w:lang w:val="en-IN"/>
        </w:rPr>
        <w:t xml:space="preserve">Demodex </w:t>
      </w:r>
      <w:proofErr w:type="spellStart"/>
      <w:r w:rsidR="00436250" w:rsidRPr="00BD3203">
        <w:rPr>
          <w:i/>
          <w:iCs/>
          <w:lang w:val="en-IN"/>
        </w:rPr>
        <w:t>injai</w:t>
      </w:r>
      <w:proofErr w:type="spellEnd"/>
      <w:r w:rsidR="00436250" w:rsidRPr="00BD3203">
        <w:rPr>
          <w:i/>
          <w:iCs/>
          <w:lang w:val="en-IN"/>
        </w:rPr>
        <w:t>,</w:t>
      </w:r>
      <w:r w:rsidR="00436250" w:rsidRPr="00436250">
        <w:rPr>
          <w:lang w:val="en-IN"/>
        </w:rPr>
        <w:t xml:space="preserve"> a long-bodied mite that inhabits sebaceous glands and the superficial dermis, and </w:t>
      </w:r>
      <w:r w:rsidR="00436250" w:rsidRPr="00BD3203">
        <w:rPr>
          <w:i/>
          <w:iCs/>
          <w:lang w:val="en-IN"/>
        </w:rPr>
        <w:t xml:space="preserve">Demodex </w:t>
      </w:r>
      <w:proofErr w:type="spellStart"/>
      <w:r w:rsidR="00436250" w:rsidRPr="00BD3203">
        <w:rPr>
          <w:i/>
          <w:iCs/>
          <w:lang w:val="en-IN"/>
        </w:rPr>
        <w:t>cornei</w:t>
      </w:r>
      <w:proofErr w:type="spellEnd"/>
      <w:r w:rsidR="00436250" w:rsidRPr="00BD3203">
        <w:rPr>
          <w:i/>
          <w:iCs/>
          <w:lang w:val="en-IN"/>
        </w:rPr>
        <w:t>,</w:t>
      </w:r>
      <w:r w:rsidR="00436250" w:rsidRPr="00436250">
        <w:rPr>
          <w:lang w:val="en-IN"/>
        </w:rPr>
        <w:t xml:space="preserve"> an unnamed short-bodied mite found on the skin surface (Hillier and Desch, 2002). Each species may produce distinct clinical presentations; </w:t>
      </w:r>
      <w:r w:rsidR="00436250" w:rsidRPr="00BD3203">
        <w:rPr>
          <w:i/>
          <w:iCs/>
          <w:lang w:val="en-IN"/>
        </w:rPr>
        <w:t xml:space="preserve">D. </w:t>
      </w:r>
      <w:proofErr w:type="spellStart"/>
      <w:r w:rsidR="00436250" w:rsidRPr="00BD3203">
        <w:rPr>
          <w:i/>
          <w:iCs/>
          <w:lang w:val="en-IN"/>
        </w:rPr>
        <w:t>injai</w:t>
      </w:r>
      <w:proofErr w:type="spellEnd"/>
      <w:r w:rsidR="00436250" w:rsidRPr="00436250">
        <w:rPr>
          <w:lang w:val="en-IN"/>
        </w:rPr>
        <w:t xml:space="preserve"> is particularly associated with a dorsal greasy seborrhoeic phenotype predominantly in terrier breeds, while </w:t>
      </w:r>
      <w:r w:rsidR="00436250" w:rsidRPr="00BD3203">
        <w:rPr>
          <w:i/>
          <w:iCs/>
          <w:lang w:val="en-IN"/>
        </w:rPr>
        <w:t xml:space="preserve">D. </w:t>
      </w:r>
      <w:proofErr w:type="spellStart"/>
      <w:r w:rsidR="00436250" w:rsidRPr="00BD3203">
        <w:rPr>
          <w:i/>
          <w:iCs/>
          <w:lang w:val="en-IN"/>
        </w:rPr>
        <w:t>cornei</w:t>
      </w:r>
      <w:proofErr w:type="spellEnd"/>
      <w:r w:rsidR="00436250" w:rsidRPr="00436250">
        <w:rPr>
          <w:lang w:val="en-IN"/>
        </w:rPr>
        <w:t xml:space="preserve"> tends to cause more superficial pruritic lesions. The prevalence of demodicosis varies considerably with breed predisposition, with Bulldog, Shar-Pei, German Shepherd, Doberman Pinscher and Boxer being among the commonly affected breeds in India (</w:t>
      </w:r>
      <w:proofErr w:type="spellStart"/>
      <w:r w:rsidR="00436250" w:rsidRPr="00436250">
        <w:rPr>
          <w:lang w:val="en-IN"/>
        </w:rPr>
        <w:t>Dimri</w:t>
      </w:r>
      <w:proofErr w:type="spellEnd"/>
      <w:r w:rsidR="00436250" w:rsidRPr="00436250">
        <w:rPr>
          <w:lang w:val="en-IN"/>
        </w:rPr>
        <w:t xml:space="preserve"> </w:t>
      </w:r>
      <w:r w:rsidR="00436250" w:rsidRPr="00BD3203">
        <w:rPr>
          <w:i/>
          <w:iCs/>
          <w:lang w:val="en-IN"/>
        </w:rPr>
        <w:t>et al.,</w:t>
      </w:r>
      <w:r w:rsidR="00436250" w:rsidRPr="00436250">
        <w:rPr>
          <w:lang w:val="en-IN"/>
        </w:rPr>
        <w:t xml:space="preserve"> 2006). Age at presentation further influences the clinical form: juvenile-onset generalised demodicosis most commonly occurs in dogs under 18 months of age and is postulated to have a genetic basis involving defective T-lymphocyte function, whereas adult-onset generalised demodicosis</w:t>
      </w:r>
      <w:r w:rsidR="00BD3203">
        <w:rPr>
          <w:lang w:val="en-IN"/>
        </w:rPr>
        <w:t xml:space="preserve"> </w:t>
      </w:r>
      <w:r w:rsidR="00436250" w:rsidRPr="00436250">
        <w:rPr>
          <w:lang w:val="en-IN"/>
        </w:rPr>
        <w:t xml:space="preserve">seen in dogs over two years of age is almost invariably a marker of significant systemic immunosuppression (Mueller </w:t>
      </w:r>
      <w:r w:rsidR="00436250" w:rsidRPr="00BD3203">
        <w:rPr>
          <w:i/>
          <w:iCs/>
          <w:lang w:val="en-IN"/>
        </w:rPr>
        <w:t>et al.,</w:t>
      </w:r>
      <w:r w:rsidR="00436250" w:rsidRPr="00436250">
        <w:rPr>
          <w:lang w:val="en-IN"/>
        </w:rPr>
        <w:t xml:space="preserve"> 2012). Prompt and accurate diagnosis using complementary diagnostic modalities, including deep skin scraping, </w:t>
      </w:r>
      <w:proofErr w:type="spellStart"/>
      <w:r w:rsidR="00436250" w:rsidRPr="00436250">
        <w:rPr>
          <w:lang w:val="en-IN"/>
        </w:rPr>
        <w:t>trichoscopy</w:t>
      </w:r>
      <w:proofErr w:type="spellEnd"/>
      <w:r w:rsidR="00436250" w:rsidRPr="00436250">
        <w:rPr>
          <w:lang w:val="en-IN"/>
        </w:rPr>
        <w:t>, and histopathological examination, is therefore essential for successful clinical management.</w:t>
      </w:r>
    </w:p>
    <w:p w14:paraId="350F977D" w14:textId="6A7C808A" w:rsidR="00CF025C" w:rsidRPr="00CF025C" w:rsidRDefault="00CF025C" w:rsidP="00CF025C">
      <w:pPr>
        <w:pStyle w:val="BodyText"/>
        <w:spacing w:before="122" w:line="360" w:lineRule="auto"/>
        <w:ind w:left="360" w:right="357" w:firstLine="566"/>
        <w:rPr>
          <w:lang w:val="en-IN"/>
        </w:rPr>
      </w:pPr>
      <w:r w:rsidRPr="00CF025C">
        <w:rPr>
          <w:rFonts w:ascii="Times New Roman" w:eastAsia="Times New Roman" w:hAnsi="Times New Roman" w:cs="Times New Roman"/>
          <w:lang w:val="en-IN" w:eastAsia="en-IN"/>
        </w:rPr>
        <w:t xml:space="preserve"> </w:t>
      </w:r>
      <w:r w:rsidRPr="00CF025C">
        <w:rPr>
          <w:lang w:val="en-IN"/>
        </w:rPr>
        <w:t xml:space="preserve">It is postulated that immunosuppression or impairment of the cutaneous immune system facilitates the proliferation of mites within the hair follicles (Mueller </w:t>
      </w:r>
      <w:r w:rsidRPr="00CF025C">
        <w:rPr>
          <w:i/>
          <w:iCs/>
          <w:lang w:val="en-IN"/>
        </w:rPr>
        <w:t>et al.</w:t>
      </w:r>
      <w:r w:rsidRPr="00CF025C">
        <w:rPr>
          <w:lang w:val="en-IN"/>
        </w:rPr>
        <w:t>, 2011).</w:t>
      </w:r>
    </w:p>
    <w:p w14:paraId="21BE4BBA" w14:textId="77777777" w:rsidR="008C7778" w:rsidRPr="008C7778" w:rsidRDefault="00E949BA" w:rsidP="008C7778">
      <w:pPr>
        <w:pStyle w:val="BodyText"/>
        <w:spacing w:before="117" w:line="360" w:lineRule="auto"/>
        <w:ind w:firstLine="566"/>
        <w:rPr>
          <w:lang w:val="en-IN"/>
        </w:rPr>
      </w:pPr>
      <w:r>
        <w:rPr>
          <w:rFonts w:ascii="Arial"/>
          <w:i/>
        </w:rPr>
        <w:t xml:space="preserve">Demodex </w:t>
      </w:r>
      <w:r>
        <w:t>mites multiply in hair follicles and sebaceous glands causing severe inflammation.</w:t>
      </w:r>
      <w:r w:rsidR="008C7778">
        <w:t xml:space="preserve"> </w:t>
      </w:r>
      <w:r w:rsidR="008C7778" w:rsidRPr="008C7778">
        <w:rPr>
          <w:lang w:val="en-IN"/>
        </w:rPr>
        <w:t xml:space="preserve">The study of pathological changes in canine demodicosis serves multiple critical purposes beyond confirming a diagnosis established by routine deep skin scraping. Histopathological examination assumes particular diagnostic significance in cases where deep skin scrapings yield negative or equivocal results despite clinical signs that are strongly indicative of demodicosis. False-negative scraping results can occur due to several factors including improper sampling technique, localised lesions with minimal mite burden, scar tissue formation over mite-laden follicles, or severe </w:t>
      </w:r>
      <w:proofErr w:type="spellStart"/>
      <w:r w:rsidR="008C7778" w:rsidRPr="008C7778">
        <w:rPr>
          <w:lang w:val="en-IN"/>
        </w:rPr>
        <w:t>perifolliculitis</w:t>
      </w:r>
      <w:proofErr w:type="spellEnd"/>
      <w:r w:rsidR="008C7778" w:rsidRPr="008C7778">
        <w:rPr>
          <w:lang w:val="en-IN"/>
        </w:rPr>
        <w:t xml:space="preserve"> and furunculosis that physically obliterates the follicular lumen, making mite recovery difficult. In such challenging clinical scenarios, skin biopsy and histopathological examination serve as a definitive and irreplaceable diagnostic tool, enabling direct visualisation of Demodex mite cross-sections deeply embedded within </w:t>
      </w:r>
      <w:r w:rsidR="008C7778" w:rsidRPr="008C7778">
        <w:rPr>
          <w:lang w:val="en-IN"/>
        </w:rPr>
        <w:lastRenderedPageBreak/>
        <w:t>distended and degenerated hair follicles. Beyond diagnosis, histopathology provides a comprehensive assessment of the severity and extent of follicular destruction, degree of secondary bacterial infection, and the nature of the inflammatory response, all of which directly influence therapeutic decision-making and prognosis. Moreover, histopathological evaluation allows for the differentiation of demodicosis from other follicular diseases such as dermatophytosis, pemphigus foliaceus, or bacterial folliculitis, which may present with clinically similar lesions but require fundamentally different treatment approaches.</w:t>
      </w:r>
    </w:p>
    <w:p w14:paraId="6C7303AD" w14:textId="1C6BEF92" w:rsidR="00382B77" w:rsidRDefault="00E949BA">
      <w:pPr>
        <w:pStyle w:val="BodyText"/>
        <w:spacing w:before="117" w:line="360" w:lineRule="auto"/>
        <w:ind w:firstLine="566"/>
      </w:pPr>
      <w:r>
        <w:t xml:space="preserve"> </w:t>
      </w:r>
      <w:r w:rsidRPr="00402937">
        <w:t>T</w:t>
      </w:r>
      <w:r>
        <w:t xml:space="preserve">o study the severity of damage caused, </w:t>
      </w:r>
      <w:proofErr w:type="spellStart"/>
      <w:r>
        <w:t>histopahological</w:t>
      </w:r>
      <w:proofErr w:type="spellEnd"/>
      <w:r>
        <w:t xml:space="preserve"> study of skin section was carried out. The aim of the article presented here was to describe the pathological findings in demodectic dogs.</w:t>
      </w:r>
    </w:p>
    <w:p w14:paraId="3AE0FF70" w14:textId="7C6AC0DD" w:rsidR="00A014CF" w:rsidRPr="00A014CF" w:rsidRDefault="00A014CF" w:rsidP="00A014CF">
      <w:pPr>
        <w:pStyle w:val="BodyText"/>
        <w:spacing w:before="117" w:line="360" w:lineRule="auto"/>
        <w:ind w:firstLine="566"/>
        <w:rPr>
          <w:lang w:val="en-IN"/>
        </w:rPr>
      </w:pPr>
      <w:r w:rsidRPr="00A014CF">
        <w:rPr>
          <w:lang w:val="en-IN"/>
        </w:rPr>
        <w:t>Routine haematological and serum biochemical evaluation forms an indispensable part of the clinical workup in dogs diagnosed with or suspected for demodicosis. Blood tests are essential not merely for documenting the systemic consequences of the disease but also for identifying any underlying predisposing conditions that may be contributing to mite proliferation. Since demodicosis</w:t>
      </w:r>
      <w:r>
        <w:rPr>
          <w:lang w:val="en-IN"/>
        </w:rPr>
        <w:t>,</w:t>
      </w:r>
      <w:r w:rsidRPr="00A014CF">
        <w:rPr>
          <w:lang w:val="en-IN"/>
        </w:rPr>
        <w:t xml:space="preserve"> particularly the generalised form</w:t>
      </w:r>
      <w:r>
        <w:rPr>
          <w:lang w:val="en-IN"/>
        </w:rPr>
        <w:t xml:space="preserve"> </w:t>
      </w:r>
      <w:r w:rsidRPr="00A014CF">
        <w:rPr>
          <w:lang w:val="en-IN"/>
        </w:rPr>
        <w:t>is invariably linked to immune dysregulation, blood examination helps clinicians differentiate between primary (immunogenetic) and secondary demodicosis, the latter arising from debilitating systemic conditions such as hypothyroidism, hyperadrenocorticism, leishmaniasis, or neoplasia. Haematological parameters including haemoglobin, packed cell volume, total erythrocyte count, total and differential leukocyte counts provide information on the degree of anaemia, the nature of immune response, and the presence of secondary bacterial infections. Serum biochemical indices such as total protein, albumin, globulin, liver enzymes (ALT and AST), blood urea nitrogen and creatinine help assess the nutritional status, hepatic integrity, and renal function of the patient. Furthermore, serum mineral estimations (zinc, copper, and iron) are useful markers of oxidative stress and immune competence. Collectively, these investigations enable the clinician to formulate an appropriate therapeutic plan, monitor treatment response, and establish a prognostic index for the patient.</w:t>
      </w:r>
    </w:p>
    <w:p w14:paraId="1C4787CF" w14:textId="77777777" w:rsidR="00A014CF" w:rsidRDefault="00A014CF">
      <w:pPr>
        <w:pStyle w:val="BodyText"/>
        <w:spacing w:before="117" w:line="360" w:lineRule="auto"/>
        <w:ind w:firstLine="566"/>
      </w:pPr>
    </w:p>
    <w:p w14:paraId="1360EBA0" w14:textId="77777777" w:rsidR="00382B77" w:rsidRDefault="00382B77">
      <w:pPr>
        <w:pStyle w:val="BodyText"/>
        <w:spacing w:before="0"/>
        <w:ind w:left="0" w:right="0"/>
        <w:jc w:val="left"/>
      </w:pPr>
    </w:p>
    <w:p w14:paraId="083C22A2" w14:textId="77777777" w:rsidR="00382B77" w:rsidRDefault="00382B77">
      <w:pPr>
        <w:pStyle w:val="BodyText"/>
        <w:spacing w:before="106"/>
        <w:ind w:left="0" w:right="0"/>
        <w:jc w:val="left"/>
      </w:pPr>
    </w:p>
    <w:p w14:paraId="06095B99" w14:textId="77777777" w:rsidR="00382B77" w:rsidRDefault="00E949BA">
      <w:pPr>
        <w:pStyle w:val="Heading1"/>
        <w:ind w:left="427"/>
        <w:rPr>
          <w:spacing w:val="-2"/>
        </w:rPr>
      </w:pPr>
      <w:r>
        <w:lastRenderedPageBreak/>
        <w:t>MATERIALS</w:t>
      </w:r>
      <w:r>
        <w:rPr>
          <w:spacing w:val="-8"/>
        </w:rPr>
        <w:t xml:space="preserve"> </w:t>
      </w:r>
      <w:r>
        <w:t>AND</w:t>
      </w:r>
      <w:r>
        <w:rPr>
          <w:spacing w:val="-12"/>
        </w:rPr>
        <w:t xml:space="preserve"> </w:t>
      </w:r>
      <w:r>
        <w:rPr>
          <w:spacing w:val="-2"/>
        </w:rPr>
        <w:t>METHODS</w:t>
      </w:r>
    </w:p>
    <w:p w14:paraId="1CCD9152" w14:textId="77777777" w:rsidR="00436250" w:rsidRDefault="00436250">
      <w:pPr>
        <w:pStyle w:val="Heading1"/>
        <w:ind w:left="427"/>
        <w:rPr>
          <w:spacing w:val="-2"/>
        </w:rPr>
      </w:pPr>
    </w:p>
    <w:p w14:paraId="4DC3E639" w14:textId="77777777" w:rsidR="00382B77" w:rsidRDefault="00E949BA">
      <w:pPr>
        <w:pStyle w:val="Heading2"/>
        <w:spacing w:before="121"/>
      </w:pPr>
      <w:r>
        <w:t>Hematology</w:t>
      </w:r>
      <w:r>
        <w:rPr>
          <w:spacing w:val="-15"/>
        </w:rPr>
        <w:t xml:space="preserve"> </w:t>
      </w:r>
      <w:r>
        <w:t>and</w:t>
      </w:r>
      <w:r>
        <w:rPr>
          <w:spacing w:val="-9"/>
        </w:rPr>
        <w:t xml:space="preserve"> </w:t>
      </w:r>
      <w:r>
        <w:t>Serum</w:t>
      </w:r>
      <w:r>
        <w:rPr>
          <w:spacing w:val="-8"/>
        </w:rPr>
        <w:t xml:space="preserve"> </w:t>
      </w:r>
      <w:r>
        <w:t>Biochemistry</w:t>
      </w:r>
      <w:r>
        <w:rPr>
          <w:spacing w:val="-14"/>
        </w:rPr>
        <w:t xml:space="preserve"> </w:t>
      </w:r>
      <w:r>
        <w:rPr>
          <w:spacing w:val="-2"/>
        </w:rPr>
        <w:t>analysis</w:t>
      </w:r>
    </w:p>
    <w:p w14:paraId="61C410B1" w14:textId="6262A0B4" w:rsidR="00382B77" w:rsidRDefault="00CF025C">
      <w:pPr>
        <w:pStyle w:val="Heading2"/>
      </w:pPr>
      <w:r w:rsidRPr="00CF025C">
        <w:rPr>
          <w:sz w:val="22"/>
          <w:szCs w:val="22"/>
        </w:rPr>
        <w:t xml:space="preserve"> </w:t>
      </w:r>
      <w:r w:rsidRPr="00CF025C">
        <w:t xml:space="preserve">Approximately 5 ml of blood was collected aseptically from the cephalic vein of affected dogs, following which serum was separated. Blood samples were collected in sterile tubes containing the anticoagulant disodium ethylene diamine tetra-acetic acid (EDTA). Similar blood and serum samples were also obtained from apparently healthy dogs for haemato-biochemical analysis. The separated serum was transferred into sterile microtubes and stored immediately at −20°C until further </w:t>
      </w:r>
      <w:proofErr w:type="spellStart"/>
      <w:r w:rsidRPr="00CF025C">
        <w:t>analysis.</w:t>
      </w:r>
      <w:r w:rsidR="00E949BA">
        <w:rPr>
          <w:spacing w:val="-2"/>
        </w:rPr>
        <w:t>Hematology</w:t>
      </w:r>
      <w:proofErr w:type="spellEnd"/>
    </w:p>
    <w:p w14:paraId="1CF92C9B" w14:textId="77777777" w:rsidR="00CF025C" w:rsidRPr="00CF025C" w:rsidRDefault="00CF025C" w:rsidP="00CF025C">
      <w:pPr>
        <w:pStyle w:val="BodyText"/>
        <w:spacing w:before="136" w:line="360" w:lineRule="auto"/>
        <w:ind w:left="360" w:firstLine="719"/>
        <w:rPr>
          <w:lang w:val="en-IN"/>
        </w:rPr>
      </w:pPr>
      <w:r w:rsidRPr="00CF025C">
        <w:rPr>
          <w:lang w:val="en-IN"/>
        </w:rPr>
        <w:t xml:space="preserve">The collected blood samples were analysed for haemoglobin concentration, packed cell volume, total erythrocyte count, total leukocyte count, and differential leukocyte count. The estimation of these haematological parameters was performed according to the methods described by Jain (1986), Weiss and Wardrop (2010), and Thrall </w:t>
      </w:r>
      <w:r w:rsidRPr="00CF025C">
        <w:rPr>
          <w:i/>
          <w:iCs/>
          <w:lang w:val="en-IN"/>
        </w:rPr>
        <w:t>et al.</w:t>
      </w:r>
      <w:r w:rsidRPr="00CF025C">
        <w:rPr>
          <w:lang w:val="en-IN"/>
        </w:rPr>
        <w:t xml:space="preserve"> (2022).</w:t>
      </w:r>
    </w:p>
    <w:p w14:paraId="48AA89D6" w14:textId="2FEB33D4" w:rsidR="00382B77" w:rsidRDefault="00382B77" w:rsidP="00402937">
      <w:pPr>
        <w:pStyle w:val="BodyText"/>
        <w:spacing w:before="136" w:line="360" w:lineRule="auto"/>
        <w:ind w:left="360" w:firstLine="719"/>
        <w:sectPr w:rsidR="00382B77">
          <w:headerReference w:type="even" r:id="rId7"/>
          <w:headerReference w:type="default" r:id="rId8"/>
          <w:footerReference w:type="even" r:id="rId9"/>
          <w:footerReference w:type="default" r:id="rId10"/>
          <w:headerReference w:type="first" r:id="rId11"/>
          <w:footerReference w:type="first" r:id="rId12"/>
          <w:pgSz w:w="12240" w:h="15840"/>
          <w:pgMar w:top="1360" w:right="1080" w:bottom="280" w:left="1080" w:header="720" w:footer="720" w:gutter="0"/>
          <w:cols w:space="720"/>
        </w:sectPr>
      </w:pPr>
    </w:p>
    <w:p w14:paraId="5176BFA4" w14:textId="77777777" w:rsidR="00382B77" w:rsidRDefault="00E949BA">
      <w:pPr>
        <w:pStyle w:val="Heading2"/>
        <w:spacing w:before="38"/>
      </w:pPr>
      <w:r>
        <w:lastRenderedPageBreak/>
        <w:t>Biochemical</w:t>
      </w:r>
      <w:r>
        <w:rPr>
          <w:spacing w:val="-14"/>
        </w:rPr>
        <w:t xml:space="preserve"> </w:t>
      </w:r>
      <w:r>
        <w:rPr>
          <w:spacing w:val="-2"/>
        </w:rPr>
        <w:t>estimations</w:t>
      </w:r>
    </w:p>
    <w:p w14:paraId="53A2DBCE" w14:textId="77777777" w:rsidR="00382B77" w:rsidRDefault="00E949BA">
      <w:pPr>
        <w:pStyle w:val="BodyText"/>
        <w:spacing w:before="257" w:line="360" w:lineRule="auto"/>
        <w:ind w:firstLine="720"/>
      </w:pPr>
      <w:r>
        <w:t xml:space="preserve">Biochemical analysis of serum samples </w:t>
      </w:r>
      <w:proofErr w:type="gramStart"/>
      <w:r>
        <w:t>were</w:t>
      </w:r>
      <w:proofErr w:type="gramEnd"/>
      <w:r>
        <w:t xml:space="preserve"> carried out to estimate serum glucose, serum total protein, albumin, globulin, A/G ratio, SGPT, SGOT, BUN and</w:t>
      </w:r>
      <w:r>
        <w:rPr>
          <w:spacing w:val="40"/>
        </w:rPr>
        <w:t xml:space="preserve"> </w:t>
      </w:r>
      <w:r>
        <w:t>serum creatinine.</w:t>
      </w:r>
    </w:p>
    <w:p w14:paraId="29D756E3" w14:textId="77777777" w:rsidR="00382B77" w:rsidRDefault="00E949BA">
      <w:pPr>
        <w:pStyle w:val="BodyText"/>
        <w:spacing w:before="121" w:line="360" w:lineRule="auto"/>
        <w:ind w:firstLine="720"/>
        <w:rPr>
          <w:color w:val="EE0000"/>
        </w:rPr>
      </w:pPr>
      <w:r>
        <w:t xml:space="preserve">Above biochemical estimations were evaluated with </w:t>
      </w:r>
      <w:proofErr w:type="spellStart"/>
      <w:r>
        <w:t>autoanalyser</w:t>
      </w:r>
      <w:proofErr w:type="spellEnd"/>
      <w:r>
        <w:t xml:space="preserve"> (IDEXX </w:t>
      </w:r>
      <w:proofErr w:type="spellStart"/>
      <w:r>
        <w:t>VetAutoread</w:t>
      </w:r>
      <w:proofErr w:type="spellEnd"/>
      <w:r>
        <w:t xml:space="preserve"> IDEXX Lab.) using standard </w:t>
      </w:r>
      <w:r w:rsidRPr="008807B3">
        <w:rPr>
          <w:color w:val="000000" w:themeColor="text1"/>
        </w:rPr>
        <w:t>kits.</w:t>
      </w:r>
    </w:p>
    <w:p w14:paraId="6D1A773A" w14:textId="77777777" w:rsidR="008807B3" w:rsidRPr="008807B3" w:rsidRDefault="008807B3" w:rsidP="008807B3">
      <w:pPr>
        <w:pStyle w:val="BodyText"/>
        <w:spacing w:before="121" w:line="360" w:lineRule="auto"/>
        <w:ind w:firstLine="720"/>
        <w:rPr>
          <w:lang w:val="en-IN"/>
        </w:rPr>
      </w:pPr>
      <w:r w:rsidRPr="008807B3">
        <w:rPr>
          <w:lang w:val="en-IN"/>
        </w:rPr>
        <w:t xml:space="preserve">The biochemical parameters were recorded and interpreted according to the reference values and methodological standards described by Kaneko </w:t>
      </w:r>
      <w:r w:rsidRPr="008807B3">
        <w:rPr>
          <w:i/>
          <w:iCs/>
          <w:lang w:val="en-IN"/>
        </w:rPr>
        <w:t>et al.</w:t>
      </w:r>
      <w:r w:rsidRPr="008807B3">
        <w:rPr>
          <w:lang w:val="en-IN"/>
        </w:rPr>
        <w:t xml:space="preserve"> (2008) and González and del Prado (2020), which represent the most current guidelines for veterinary clinical biochemistry.</w:t>
      </w:r>
    </w:p>
    <w:p w14:paraId="0BA707AA" w14:textId="77777777" w:rsidR="008807B3" w:rsidRDefault="008807B3">
      <w:pPr>
        <w:pStyle w:val="BodyText"/>
        <w:spacing w:before="121" w:line="360" w:lineRule="auto"/>
        <w:ind w:firstLine="720"/>
      </w:pPr>
    </w:p>
    <w:p w14:paraId="452D0F44" w14:textId="77777777" w:rsidR="00382B77" w:rsidRDefault="00E949BA">
      <w:pPr>
        <w:pStyle w:val="Heading2"/>
        <w:spacing w:before="120"/>
      </w:pPr>
      <w:r>
        <w:t>Serum</w:t>
      </w:r>
      <w:r>
        <w:rPr>
          <w:spacing w:val="-9"/>
        </w:rPr>
        <w:t xml:space="preserve"> </w:t>
      </w:r>
      <w:r>
        <w:t>mineral</w:t>
      </w:r>
      <w:r>
        <w:rPr>
          <w:spacing w:val="-9"/>
        </w:rPr>
        <w:t xml:space="preserve"> </w:t>
      </w:r>
      <w:r>
        <w:rPr>
          <w:spacing w:val="-2"/>
        </w:rPr>
        <w:t>estimation</w:t>
      </w:r>
    </w:p>
    <w:p w14:paraId="168CB2ED" w14:textId="77777777" w:rsidR="008807B3" w:rsidRPr="008807B3" w:rsidRDefault="00E949BA" w:rsidP="008807B3">
      <w:pPr>
        <w:pStyle w:val="BodyText"/>
        <w:spacing w:before="254" w:line="360" w:lineRule="auto"/>
        <w:ind w:firstLine="720"/>
        <w:rPr>
          <w:lang w:val="en-IN"/>
        </w:rPr>
      </w:pPr>
      <w:r>
        <w:t xml:space="preserve">Serum sample were digested as per the procedure described by Kolmer </w:t>
      </w:r>
      <w:r>
        <w:rPr>
          <w:rFonts w:ascii="Arial"/>
          <w:i/>
        </w:rPr>
        <w:t xml:space="preserve">et al. </w:t>
      </w:r>
      <w:r>
        <w:t>(1951)</w:t>
      </w:r>
      <w:r w:rsidR="008807B3">
        <w:t xml:space="preserve"> </w:t>
      </w:r>
      <w:r w:rsidR="008807B3" w:rsidRPr="008807B3">
        <w:rPr>
          <w:lang w:val="en-IN"/>
        </w:rPr>
        <w:t>with modifications as described by Suttle (2022) for improved precision in veterinary serum mineral analysis.</w:t>
      </w:r>
    </w:p>
    <w:p w14:paraId="6CAF8482" w14:textId="67858826" w:rsidR="00382B77" w:rsidRDefault="00CF025C">
      <w:pPr>
        <w:pStyle w:val="BodyText"/>
        <w:spacing w:before="254" w:line="360" w:lineRule="auto"/>
        <w:ind w:firstLine="720"/>
      </w:pPr>
      <w:r w:rsidRPr="00CF025C">
        <w:rPr>
          <w:sz w:val="22"/>
          <w:szCs w:val="22"/>
        </w:rPr>
        <w:t xml:space="preserve"> </w:t>
      </w:r>
      <w:r w:rsidRPr="00CF025C">
        <w:t xml:space="preserve">One </w:t>
      </w:r>
      <w:proofErr w:type="spellStart"/>
      <w:r w:rsidRPr="00CF025C">
        <w:t>millilitre</w:t>
      </w:r>
      <w:proofErr w:type="spellEnd"/>
      <w:r w:rsidRPr="00CF025C">
        <w:t xml:space="preserve"> of serum was mixed with 1 ml of double acid mixture comprising concentrated nitric acid (HNO</w:t>
      </w:r>
      <w:r w:rsidRPr="00CF025C">
        <w:rPr>
          <w:rFonts w:ascii="Cambria Math" w:hAnsi="Cambria Math" w:cs="Cambria Math"/>
        </w:rPr>
        <w:t>₃</w:t>
      </w:r>
      <w:r w:rsidRPr="00CF025C">
        <w:t>) and 70% perchloric acid in a 2:1 ratio in a digestion tube. The mixture was digested at low temperature (70</w:t>
      </w:r>
      <w:r w:rsidRPr="00CF025C">
        <w:rPr>
          <w:rFonts w:ascii="Arial" w:hAnsi="Arial" w:cs="Arial"/>
        </w:rPr>
        <w:t>–</w:t>
      </w:r>
      <w:r w:rsidRPr="00CF025C">
        <w:t>80</w:t>
      </w:r>
      <w:r w:rsidRPr="00CF025C">
        <w:rPr>
          <w:rFonts w:ascii="Arial" w:hAnsi="Arial" w:cs="Arial"/>
        </w:rPr>
        <w:t>°</w:t>
      </w:r>
      <w:r w:rsidRPr="00CF025C">
        <w:t xml:space="preserve">C) using a heating bench until the sample became clear and watery, with the evolution of white fumes and reduction of the volume to approximately 0.5 ml. The final volume of the filtrate was adjusted to 25 ml using triple-distilled </w:t>
      </w:r>
      <w:proofErr w:type="spellStart"/>
      <w:r w:rsidRPr="00CF025C">
        <w:t>deionised</w:t>
      </w:r>
      <w:proofErr w:type="spellEnd"/>
      <w:r w:rsidRPr="00CF025C">
        <w:t xml:space="preserve"> </w:t>
      </w:r>
      <w:proofErr w:type="spellStart"/>
      <w:r w:rsidRPr="00CF025C">
        <w:t>water.</w:t>
      </w:r>
      <w:r w:rsidR="00E949BA">
        <w:t>Then</w:t>
      </w:r>
      <w:proofErr w:type="spellEnd"/>
      <w:r w:rsidR="00E949BA">
        <w:t xml:space="preserve"> the Zinc, cobalt and copper was estimated from</w:t>
      </w:r>
      <w:r w:rsidR="00E949BA">
        <w:rPr>
          <w:spacing w:val="40"/>
        </w:rPr>
        <w:t xml:space="preserve"> </w:t>
      </w:r>
      <w:r w:rsidR="00E949BA">
        <w:t xml:space="preserve">digested serum sample using </w:t>
      </w:r>
      <w:proofErr w:type="spellStart"/>
      <w:r w:rsidR="00E949BA">
        <w:t>iCAP</w:t>
      </w:r>
      <w:proofErr w:type="spellEnd"/>
      <w:r w:rsidR="00E949BA">
        <w:t xml:space="preserve"> 7000 Series Spectrometer.</w:t>
      </w:r>
    </w:p>
    <w:p w14:paraId="247B6325" w14:textId="77777777" w:rsidR="00382B77" w:rsidRDefault="00E949BA">
      <w:pPr>
        <w:pStyle w:val="Heading2"/>
        <w:spacing w:before="124"/>
        <w:ind w:left="427"/>
      </w:pPr>
      <w:r>
        <w:rPr>
          <w:spacing w:val="-2"/>
        </w:rPr>
        <w:t>Histopathology</w:t>
      </w:r>
    </w:p>
    <w:p w14:paraId="2FC207AA" w14:textId="53F6EE0D" w:rsidR="00CF025C" w:rsidRPr="00CF025C" w:rsidRDefault="00CF025C" w:rsidP="00CF025C">
      <w:pPr>
        <w:pStyle w:val="BodyText"/>
        <w:spacing w:before="137" w:line="360" w:lineRule="auto"/>
        <w:ind w:right="354" w:firstLine="720"/>
        <w:rPr>
          <w:lang w:val="en-IN"/>
        </w:rPr>
      </w:pPr>
      <w:r w:rsidRPr="00CF025C">
        <w:rPr>
          <w:sz w:val="22"/>
          <w:szCs w:val="22"/>
        </w:rPr>
        <w:t xml:space="preserve"> </w:t>
      </w:r>
      <w:r w:rsidRPr="00CF025C">
        <w:t xml:space="preserve">For histopathological examination, skin biopsy samples were collected from dogs affected with canine demodicosis. The affected sites were gently cleansed with 70% alcohol, followed by subcutaneous administration of a local </w:t>
      </w:r>
      <w:proofErr w:type="spellStart"/>
      <w:r w:rsidRPr="00CF025C">
        <w:t>anaesthetic</w:t>
      </w:r>
      <w:proofErr w:type="spellEnd"/>
      <w:r w:rsidRPr="00CF025C">
        <w:t xml:space="preserve"> solution containing 1–2% lignocaine hydrochloride to achieve </w:t>
      </w:r>
      <w:proofErr w:type="spellStart"/>
      <w:r w:rsidRPr="00CF025C">
        <w:t>desensitisation</w:t>
      </w:r>
      <w:proofErr w:type="spellEnd"/>
      <w:r w:rsidRPr="00CF025C">
        <w:t xml:space="preserve"> (Wilkinson and Harvey, 1994). Biopsy procedures were performed in accordance with the updated dermatological biopsy guidelines recommended by Gross </w:t>
      </w:r>
      <w:r w:rsidRPr="00CF025C">
        <w:rPr>
          <w:i/>
          <w:iCs/>
        </w:rPr>
        <w:t>et al.</w:t>
      </w:r>
      <w:r w:rsidRPr="00CF025C">
        <w:t xml:space="preserve"> (2020).</w:t>
      </w:r>
      <w:r w:rsidR="00E949BA">
        <w:t xml:space="preserve">Punch biopsy instrument (4 mm diameter) was placed on the area of skin to be biopsied and the </w:t>
      </w:r>
      <w:r w:rsidR="00E949BA">
        <w:lastRenderedPageBreak/>
        <w:t xml:space="preserve">punch was drilled into the tissue with rotary motion in one direction applying moderate pressure (Muller and Kirk, 1969; Nesbitt, 1983). </w:t>
      </w:r>
      <w:r w:rsidRPr="00CF025C">
        <w:rPr>
          <w:rFonts w:ascii="Times New Roman" w:eastAsia="Times New Roman" w:hAnsi="Times New Roman" w:cs="Times New Roman"/>
          <w:lang w:val="en-IN" w:eastAsia="en-IN"/>
        </w:rPr>
        <w:t xml:space="preserve"> </w:t>
      </w:r>
      <w:r w:rsidRPr="00CF025C">
        <w:rPr>
          <w:lang w:val="en-IN"/>
        </w:rPr>
        <w:t>The punch biopsy instrument was carefully withdrawn, and the circular skin specimen was excised using a sterile scalpel while the tissue was gently held with plain forceps. The biopsy site was subsequently closed with a single skin suture. The collected skin biopsy samples were preserved in 10% formalin for fixation. Thereafter, the samples were processed for paraffin embedding and sectioning following the method described by Luna (1968). Paraffin sections of 6–8 µm thickness were prepared and stained using the routine Mayer’s Haematoxylin and Eosin staining technique, as well as the Periodic Acid–Schiff (PAS) staining method (Drury and Wallington, 1980).</w:t>
      </w:r>
    </w:p>
    <w:p w14:paraId="2C9735EB" w14:textId="41ACC785" w:rsidR="00382B77" w:rsidRDefault="00382B77">
      <w:pPr>
        <w:pStyle w:val="BodyText"/>
        <w:spacing w:before="137" w:line="360" w:lineRule="auto"/>
        <w:ind w:right="354" w:firstLine="720"/>
      </w:pPr>
    </w:p>
    <w:p w14:paraId="74F0FC99" w14:textId="77777777" w:rsidR="00382B77" w:rsidRDefault="00382B77">
      <w:pPr>
        <w:pStyle w:val="BodyText"/>
        <w:spacing w:line="360" w:lineRule="auto"/>
      </w:pPr>
    </w:p>
    <w:p w14:paraId="0BD303E8" w14:textId="77777777" w:rsidR="00B12A98" w:rsidRDefault="00B12A98">
      <w:pPr>
        <w:pStyle w:val="BodyText"/>
        <w:spacing w:line="360" w:lineRule="auto"/>
      </w:pPr>
    </w:p>
    <w:p w14:paraId="394984CB" w14:textId="4BAE4EA1" w:rsidR="00B12A98" w:rsidRPr="00BA03D7" w:rsidRDefault="00BA03D7" w:rsidP="00B12A98">
      <w:pPr>
        <w:pStyle w:val="Heading1"/>
        <w:spacing w:line="360" w:lineRule="auto"/>
        <w:ind w:left="427"/>
        <w:jc w:val="both"/>
        <w:rPr>
          <w:lang w:val="en-IN"/>
        </w:rPr>
      </w:pPr>
      <w:r w:rsidRPr="00BA03D7">
        <w:rPr>
          <w:lang w:val="en-IN"/>
        </w:rPr>
        <w:t>Ethical Consideration</w:t>
      </w:r>
    </w:p>
    <w:p w14:paraId="54782B59" w14:textId="77777777" w:rsidR="00B12A98" w:rsidRDefault="00B12A98" w:rsidP="00B12A98">
      <w:pPr>
        <w:pStyle w:val="Heading1"/>
        <w:spacing w:line="360" w:lineRule="auto"/>
        <w:ind w:left="427"/>
        <w:jc w:val="both"/>
        <w:rPr>
          <w:b w:val="0"/>
          <w:bCs w:val="0"/>
          <w:lang w:val="en-IN"/>
        </w:rPr>
      </w:pPr>
    </w:p>
    <w:p w14:paraId="2123D9BD" w14:textId="1D388CC5" w:rsidR="00B12A98" w:rsidRPr="00436250" w:rsidRDefault="00B12A98" w:rsidP="00B12A98">
      <w:pPr>
        <w:pStyle w:val="Heading1"/>
        <w:spacing w:line="360" w:lineRule="auto"/>
        <w:ind w:left="427"/>
        <w:jc w:val="both"/>
        <w:rPr>
          <w:b w:val="0"/>
          <w:bCs w:val="0"/>
          <w:lang w:val="en-IN"/>
        </w:rPr>
      </w:pPr>
      <w:r w:rsidRPr="00436250">
        <w:rPr>
          <w:b w:val="0"/>
          <w:bCs w:val="0"/>
          <w:lang w:val="en-IN"/>
        </w:rPr>
        <w:t>The owners were clearly explained the nature of the procedures to be carried out, including deep skin scraping, venepuncture for blood sample collection, and punch biopsy for histopathological examination. The owners were also informed about the potential discomfort to the animal associated with these diagnostic procedures, and formal written consent was obtained. All sampling procedures were conducted with the welfare of the animal as the primary consideration, and appropriate local anaesthesia (Lignocaine hydrochloride 1–2%) was administered prior to biopsy collection to minimise patient discomfort.</w:t>
      </w:r>
    </w:p>
    <w:p w14:paraId="7764EA6B" w14:textId="77777777" w:rsidR="00B12A98" w:rsidRDefault="00B12A98" w:rsidP="00B12A98">
      <w:pPr>
        <w:pStyle w:val="Heading1"/>
        <w:ind w:left="427"/>
      </w:pPr>
    </w:p>
    <w:p w14:paraId="75820500" w14:textId="77777777" w:rsidR="00B12A98" w:rsidRDefault="00B12A98" w:rsidP="00B12A98">
      <w:pPr>
        <w:pStyle w:val="BodyText"/>
        <w:spacing w:before="257" w:line="360" w:lineRule="auto"/>
        <w:ind w:right="355" w:firstLine="720"/>
      </w:pPr>
      <w:r>
        <w:t xml:space="preserve">Animals presented to Veterinary Clinical Complex (VCC), College of Veterinary and Animal Science, Bikaner with dermatological signs were taken for present study. All the cases screened for dermatological disorders were clinically examined followed by routine </w:t>
      </w:r>
      <w:proofErr w:type="spellStart"/>
      <w:r>
        <w:t>haematological</w:t>
      </w:r>
      <w:proofErr w:type="spellEnd"/>
      <w:r>
        <w:t xml:space="preserve">, serum biochemistry, mineral estimation, skin scrapping was </w:t>
      </w:r>
      <w:r>
        <w:rPr>
          <w:spacing w:val="-2"/>
        </w:rPr>
        <w:t>done.</w:t>
      </w:r>
    </w:p>
    <w:p w14:paraId="3FFC4A0B" w14:textId="77777777" w:rsidR="00B12A98" w:rsidRDefault="00B12A98">
      <w:pPr>
        <w:pStyle w:val="BodyText"/>
        <w:spacing w:line="360" w:lineRule="auto"/>
        <w:sectPr w:rsidR="00B12A98">
          <w:pgSz w:w="12240" w:h="15840"/>
          <w:pgMar w:top="1400" w:right="1080" w:bottom="280" w:left="1080" w:header="720" w:footer="720" w:gutter="0"/>
          <w:cols w:space="720"/>
        </w:sectPr>
      </w:pPr>
    </w:p>
    <w:p w14:paraId="4CB16163" w14:textId="77777777" w:rsidR="00382B77" w:rsidRDefault="00E949BA" w:rsidP="00436250">
      <w:pPr>
        <w:pStyle w:val="Heading2"/>
        <w:spacing w:before="38"/>
        <w:ind w:left="0"/>
      </w:pPr>
      <w:r>
        <w:lastRenderedPageBreak/>
        <w:t>Statistical</w:t>
      </w:r>
      <w:r>
        <w:rPr>
          <w:spacing w:val="-12"/>
        </w:rPr>
        <w:t xml:space="preserve"> </w:t>
      </w:r>
      <w:r>
        <w:rPr>
          <w:spacing w:val="-2"/>
        </w:rPr>
        <w:t>analysis</w:t>
      </w:r>
    </w:p>
    <w:p w14:paraId="18B66B54" w14:textId="77777777" w:rsidR="00436250" w:rsidRDefault="00E949BA">
      <w:pPr>
        <w:pStyle w:val="BodyText"/>
        <w:spacing w:before="257" w:line="360" w:lineRule="auto"/>
        <w:ind w:right="355" w:firstLine="720"/>
        <w:rPr>
          <w:color w:val="FF0000"/>
          <w:sz w:val="22"/>
          <w:szCs w:val="22"/>
        </w:rPr>
      </w:pPr>
      <w:r>
        <w:t>The data obtained was compiled and statistical analysis will be carried out as described by Snedecor and Cochran (1968).</w:t>
      </w:r>
      <w:r w:rsidR="00436250" w:rsidRPr="00436250">
        <w:rPr>
          <w:color w:val="FF0000"/>
          <w:sz w:val="22"/>
          <w:szCs w:val="22"/>
        </w:rPr>
        <w:t xml:space="preserve"> </w:t>
      </w:r>
    </w:p>
    <w:p w14:paraId="4BF1E131" w14:textId="5C613837" w:rsidR="00382B77" w:rsidRDefault="00436250">
      <w:pPr>
        <w:pStyle w:val="BodyText"/>
        <w:spacing w:before="257" w:line="360" w:lineRule="auto"/>
        <w:ind w:right="355" w:firstLine="720"/>
      </w:pPr>
      <w:r w:rsidRPr="00436250">
        <w:t xml:space="preserve">The overall study design and clinical approach to diagnosis followed the updated international clinical guidelines for canine demodicosis as outlined by Mueller </w:t>
      </w:r>
      <w:r w:rsidRPr="00436250">
        <w:rPr>
          <w:i/>
          <w:iCs/>
        </w:rPr>
        <w:t>et al.</w:t>
      </w:r>
      <w:r w:rsidRPr="00436250">
        <w:t xml:space="preserve"> (2012) and Beale (2022)</w:t>
      </w:r>
    </w:p>
    <w:p w14:paraId="1958E08E" w14:textId="77777777" w:rsidR="00382B77" w:rsidRDefault="00382B77">
      <w:pPr>
        <w:pStyle w:val="BodyText"/>
        <w:spacing w:before="0"/>
        <w:ind w:left="0" w:right="0"/>
        <w:jc w:val="left"/>
      </w:pPr>
    </w:p>
    <w:p w14:paraId="01AB7391" w14:textId="77777777" w:rsidR="00382B77" w:rsidRDefault="00382B77">
      <w:pPr>
        <w:pStyle w:val="BodyText"/>
        <w:spacing w:before="103"/>
        <w:ind w:left="0" w:right="0"/>
        <w:jc w:val="left"/>
      </w:pPr>
    </w:p>
    <w:p w14:paraId="297D3C32" w14:textId="77777777" w:rsidR="00382B77" w:rsidRDefault="00E949BA">
      <w:pPr>
        <w:pStyle w:val="Heading1"/>
      </w:pPr>
      <w:r>
        <w:t>RESULTS</w:t>
      </w:r>
      <w:r>
        <w:rPr>
          <w:spacing w:val="-9"/>
        </w:rPr>
        <w:t xml:space="preserve"> </w:t>
      </w:r>
      <w:r>
        <w:t>AND</w:t>
      </w:r>
      <w:r>
        <w:rPr>
          <w:spacing w:val="-11"/>
        </w:rPr>
        <w:t xml:space="preserve"> </w:t>
      </w:r>
      <w:r>
        <w:rPr>
          <w:spacing w:val="-2"/>
        </w:rPr>
        <w:t>DISCUSSION</w:t>
      </w:r>
    </w:p>
    <w:p w14:paraId="447B1EB0" w14:textId="77777777" w:rsidR="00382B77" w:rsidRDefault="00E949BA">
      <w:pPr>
        <w:pStyle w:val="BodyText"/>
        <w:spacing w:before="257" w:line="360" w:lineRule="auto"/>
        <w:ind w:right="358" w:firstLine="720"/>
      </w:pPr>
      <w:r>
        <w:t>In the present study hematological, Biochemical and mineral examination was done in 25 dogs positive for canine demodicosis which was compared with values of apparently healthy animals.</w:t>
      </w:r>
    </w:p>
    <w:p w14:paraId="42550C38" w14:textId="77777777" w:rsidR="00382B77" w:rsidRDefault="00E949BA">
      <w:pPr>
        <w:pStyle w:val="Heading2"/>
        <w:spacing w:before="121"/>
      </w:pPr>
      <w:proofErr w:type="spellStart"/>
      <w:r>
        <w:rPr>
          <w:spacing w:val="-2"/>
        </w:rPr>
        <w:t>Haematological</w:t>
      </w:r>
      <w:proofErr w:type="spellEnd"/>
      <w:r>
        <w:rPr>
          <w:spacing w:val="11"/>
        </w:rPr>
        <w:t xml:space="preserve"> </w:t>
      </w:r>
      <w:r>
        <w:rPr>
          <w:spacing w:val="-2"/>
        </w:rPr>
        <w:t>values</w:t>
      </w:r>
    </w:p>
    <w:p w14:paraId="53C2A8B8" w14:textId="77777777" w:rsidR="00382B77" w:rsidRDefault="00E949BA">
      <w:pPr>
        <w:pStyle w:val="BodyText"/>
        <w:spacing w:before="257" w:line="360" w:lineRule="auto"/>
        <w:ind w:firstLine="720"/>
      </w:pPr>
      <w:proofErr w:type="spellStart"/>
      <w:r>
        <w:t>Haematological</w:t>
      </w:r>
      <w:proofErr w:type="spellEnd"/>
      <w:r>
        <w:t xml:space="preserve"> values in apparently healthy dogs and demodectic dogs are presented in Table 1.</w:t>
      </w:r>
    </w:p>
    <w:p w14:paraId="6DCF75A8" w14:textId="77777777" w:rsidR="00382B77" w:rsidRDefault="00E949BA">
      <w:pPr>
        <w:pStyle w:val="BodyText"/>
        <w:spacing w:line="360" w:lineRule="auto"/>
        <w:ind w:firstLine="720"/>
      </w:pPr>
      <w:r>
        <w:t xml:space="preserve">The </w:t>
      </w:r>
      <w:proofErr w:type="spellStart"/>
      <w:r>
        <w:t>mean±S.E</w:t>
      </w:r>
      <w:proofErr w:type="spellEnd"/>
      <w:r>
        <w:t xml:space="preserve"> </w:t>
      </w:r>
      <w:proofErr w:type="spellStart"/>
      <w:r>
        <w:t>haemoglobin</w:t>
      </w:r>
      <w:proofErr w:type="spellEnd"/>
      <w:r>
        <w:t xml:space="preserve"> (gm/dl) value in canine demodicosis dogs was significantly lower compared to healthy animals. Similarly low </w:t>
      </w:r>
      <w:proofErr w:type="spellStart"/>
      <w:r>
        <w:t>haemoglobin</w:t>
      </w:r>
      <w:proofErr w:type="spellEnd"/>
      <w:r>
        <w:t xml:space="preserve"> content was reported by Pradhan </w:t>
      </w:r>
      <w:r>
        <w:rPr>
          <w:rFonts w:ascii="Arial" w:hAnsi="Arial"/>
          <w:i/>
        </w:rPr>
        <w:t xml:space="preserve">et al. </w:t>
      </w:r>
      <w:r>
        <w:t xml:space="preserve">(2012), Chakraborty and Pradhan (2015) and Kumar </w:t>
      </w:r>
      <w:r>
        <w:rPr>
          <w:rFonts w:ascii="Arial" w:hAnsi="Arial"/>
          <w:i/>
        </w:rPr>
        <w:t xml:space="preserve">et al. </w:t>
      </w:r>
      <w:r>
        <w:t>(2018). This condition might be due to reduced appetite, loss of blood during scratching and also loss of skin protein as mentioned by Chakraborty and Pradhan (2015) or due</w:t>
      </w:r>
      <w:r>
        <w:rPr>
          <w:spacing w:val="40"/>
        </w:rPr>
        <w:t xml:space="preserve"> </w:t>
      </w:r>
      <w:r>
        <w:t xml:space="preserve">to the stress arising from the disease (Sakina </w:t>
      </w:r>
      <w:r>
        <w:rPr>
          <w:rFonts w:ascii="Arial" w:hAnsi="Arial"/>
          <w:i/>
        </w:rPr>
        <w:t>et al</w:t>
      </w:r>
      <w:r>
        <w:t>., 2012).</w:t>
      </w:r>
    </w:p>
    <w:p w14:paraId="4AE18D91" w14:textId="77777777" w:rsidR="00382B77" w:rsidRDefault="00E949BA">
      <w:pPr>
        <w:pStyle w:val="BodyText"/>
        <w:spacing w:line="360" w:lineRule="auto"/>
        <w:ind w:right="353" w:firstLine="720"/>
      </w:pPr>
      <w:r>
        <w:t xml:space="preserve">In the present study </w:t>
      </w:r>
      <w:proofErr w:type="spellStart"/>
      <w:r>
        <w:t>mean±S.E</w:t>
      </w:r>
      <w:proofErr w:type="spellEnd"/>
      <w:r>
        <w:t xml:space="preserve"> PCV% of demodectic dogs was significantly</w:t>
      </w:r>
      <w:r>
        <w:rPr>
          <w:spacing w:val="40"/>
        </w:rPr>
        <w:t xml:space="preserve"> </w:t>
      </w:r>
      <w:r>
        <w:t xml:space="preserve">lower than healthy group showing PCV%, which could be due to </w:t>
      </w:r>
      <w:proofErr w:type="spellStart"/>
      <w:r>
        <w:t>aneamia</w:t>
      </w:r>
      <w:proofErr w:type="spellEnd"/>
      <w:r>
        <w:t>. This finding</w:t>
      </w:r>
      <w:r>
        <w:rPr>
          <w:spacing w:val="40"/>
        </w:rPr>
        <w:t xml:space="preserve"> </w:t>
      </w:r>
      <w:r>
        <w:t xml:space="preserve">is in accordance with Nair and </w:t>
      </w:r>
      <w:proofErr w:type="spellStart"/>
      <w:r>
        <w:t>Nauriyal</w:t>
      </w:r>
      <w:proofErr w:type="spellEnd"/>
      <w:r>
        <w:t xml:space="preserve"> (2007), Srikala </w:t>
      </w:r>
      <w:r>
        <w:rPr>
          <w:rFonts w:ascii="Arial" w:hAnsi="Arial"/>
          <w:i/>
        </w:rPr>
        <w:t xml:space="preserve">et al. </w:t>
      </w:r>
      <w:r>
        <w:t xml:space="preserve">(2010), Janus </w:t>
      </w:r>
      <w:r>
        <w:rPr>
          <w:rFonts w:ascii="Arial" w:hAnsi="Arial"/>
          <w:i/>
        </w:rPr>
        <w:t>et al</w:t>
      </w:r>
      <w:r>
        <w:t xml:space="preserve">. (2014) and Haleem </w:t>
      </w:r>
      <w:r>
        <w:rPr>
          <w:rFonts w:ascii="Arial" w:hAnsi="Arial"/>
          <w:i/>
        </w:rPr>
        <w:t>et al</w:t>
      </w:r>
      <w:r>
        <w:t>. (2015).</w:t>
      </w:r>
    </w:p>
    <w:p w14:paraId="4A00BDEE" w14:textId="77777777" w:rsidR="00382B77" w:rsidRDefault="00E949BA">
      <w:pPr>
        <w:pStyle w:val="BodyText"/>
        <w:spacing w:line="360" w:lineRule="auto"/>
        <w:ind w:firstLine="720"/>
      </w:pPr>
      <w:r>
        <w:t xml:space="preserve">The </w:t>
      </w:r>
      <w:proofErr w:type="spellStart"/>
      <w:r>
        <w:t>haematological</w:t>
      </w:r>
      <w:proofErr w:type="spellEnd"/>
      <w:r>
        <w:t xml:space="preserve"> studies revealed a significantly (P&lt;0.05) lower TEC in dogs with</w:t>
      </w:r>
      <w:r>
        <w:rPr>
          <w:spacing w:val="-1"/>
        </w:rPr>
        <w:t xml:space="preserve"> </w:t>
      </w:r>
      <w:r>
        <w:t>canine</w:t>
      </w:r>
      <w:r>
        <w:rPr>
          <w:spacing w:val="-1"/>
        </w:rPr>
        <w:t xml:space="preserve"> </w:t>
      </w:r>
      <w:r>
        <w:t>demodicosis.</w:t>
      </w:r>
      <w:r>
        <w:rPr>
          <w:spacing w:val="-1"/>
        </w:rPr>
        <w:t xml:space="preserve"> </w:t>
      </w:r>
      <w:r>
        <w:t>These</w:t>
      </w:r>
      <w:r>
        <w:rPr>
          <w:spacing w:val="-1"/>
        </w:rPr>
        <w:t xml:space="preserve"> </w:t>
      </w:r>
      <w:r>
        <w:t>findings</w:t>
      </w:r>
      <w:r>
        <w:rPr>
          <w:spacing w:val="-2"/>
        </w:rPr>
        <w:t xml:space="preserve"> </w:t>
      </w:r>
      <w:r>
        <w:t>were</w:t>
      </w:r>
      <w:r>
        <w:rPr>
          <w:spacing w:val="-1"/>
        </w:rPr>
        <w:t xml:space="preserve"> </w:t>
      </w:r>
      <w:r>
        <w:t>in</w:t>
      </w:r>
      <w:r>
        <w:rPr>
          <w:spacing w:val="-1"/>
        </w:rPr>
        <w:t xml:space="preserve"> </w:t>
      </w:r>
      <w:r>
        <w:t>agreement</w:t>
      </w:r>
      <w:r>
        <w:rPr>
          <w:spacing w:val="-1"/>
        </w:rPr>
        <w:t xml:space="preserve"> </w:t>
      </w:r>
      <w:r>
        <w:t>with</w:t>
      </w:r>
      <w:r>
        <w:rPr>
          <w:spacing w:val="-1"/>
        </w:rPr>
        <w:t xml:space="preserve"> </w:t>
      </w:r>
      <w:r>
        <w:t>the</w:t>
      </w:r>
      <w:r>
        <w:rPr>
          <w:spacing w:val="-1"/>
        </w:rPr>
        <w:t xml:space="preserve"> </w:t>
      </w:r>
      <w:r>
        <w:t>Singh</w:t>
      </w:r>
      <w:r>
        <w:rPr>
          <w:spacing w:val="-1"/>
        </w:rPr>
        <w:t xml:space="preserve"> </w:t>
      </w:r>
      <w:r>
        <w:rPr>
          <w:rFonts w:ascii="Arial"/>
          <w:i/>
        </w:rPr>
        <w:t>et</w:t>
      </w:r>
      <w:r>
        <w:rPr>
          <w:rFonts w:ascii="Arial"/>
          <w:i/>
          <w:spacing w:val="-1"/>
        </w:rPr>
        <w:t xml:space="preserve"> </w:t>
      </w:r>
      <w:r>
        <w:rPr>
          <w:rFonts w:ascii="Arial"/>
          <w:i/>
        </w:rPr>
        <w:t>al.</w:t>
      </w:r>
      <w:r>
        <w:rPr>
          <w:rFonts w:ascii="Arial"/>
          <w:i/>
          <w:spacing w:val="-1"/>
        </w:rPr>
        <w:t xml:space="preserve"> </w:t>
      </w:r>
      <w:r>
        <w:t xml:space="preserve">(2011), </w:t>
      </w:r>
      <w:proofErr w:type="spellStart"/>
      <w:r>
        <w:t>Oludunsin</w:t>
      </w:r>
      <w:proofErr w:type="spellEnd"/>
      <w:r>
        <w:t xml:space="preserve"> </w:t>
      </w:r>
      <w:r>
        <w:rPr>
          <w:rFonts w:ascii="Arial"/>
          <w:i/>
        </w:rPr>
        <w:t>et</w:t>
      </w:r>
      <w:r>
        <w:rPr>
          <w:rFonts w:ascii="Arial"/>
          <w:i/>
          <w:spacing w:val="-2"/>
        </w:rPr>
        <w:t xml:space="preserve"> </w:t>
      </w:r>
      <w:r>
        <w:rPr>
          <w:rFonts w:ascii="Arial"/>
          <w:i/>
        </w:rPr>
        <w:t xml:space="preserve">al. </w:t>
      </w:r>
      <w:r>
        <w:t>(2014), Chakraborty</w:t>
      </w:r>
      <w:r>
        <w:rPr>
          <w:spacing w:val="-3"/>
        </w:rPr>
        <w:t xml:space="preserve"> </w:t>
      </w:r>
      <w:r>
        <w:t>and Pradhan (2015)</w:t>
      </w:r>
      <w:r>
        <w:rPr>
          <w:spacing w:val="-1"/>
        </w:rPr>
        <w:t xml:space="preserve"> </w:t>
      </w:r>
      <w:r>
        <w:t>and Haleem</w:t>
      </w:r>
      <w:r>
        <w:rPr>
          <w:spacing w:val="-1"/>
        </w:rPr>
        <w:t xml:space="preserve"> </w:t>
      </w:r>
      <w:r>
        <w:rPr>
          <w:rFonts w:ascii="Arial"/>
          <w:i/>
        </w:rPr>
        <w:t>et al</w:t>
      </w:r>
      <w:r>
        <w:t>. (2015).</w:t>
      </w:r>
      <w:r>
        <w:rPr>
          <w:spacing w:val="-2"/>
        </w:rPr>
        <w:t xml:space="preserve"> </w:t>
      </w:r>
      <w:r>
        <w:t>The decrease in TEC could be related to the deteriorated condition of the dogs due to continuous itching and reduced appetite.</w:t>
      </w:r>
    </w:p>
    <w:p w14:paraId="19832D87" w14:textId="77777777" w:rsidR="00382B77" w:rsidRDefault="00382B77">
      <w:pPr>
        <w:pStyle w:val="BodyText"/>
        <w:spacing w:line="360" w:lineRule="auto"/>
        <w:sectPr w:rsidR="00382B77">
          <w:pgSz w:w="12240" w:h="15840"/>
          <w:pgMar w:top="1400" w:right="1080" w:bottom="280" w:left="1080" w:header="720" w:footer="720" w:gutter="0"/>
          <w:cols w:space="720"/>
        </w:sectPr>
      </w:pPr>
    </w:p>
    <w:p w14:paraId="58765441" w14:textId="77777777" w:rsidR="00382B77" w:rsidRDefault="00E949BA">
      <w:pPr>
        <w:pStyle w:val="BodyText"/>
        <w:spacing w:before="78" w:line="360" w:lineRule="auto"/>
        <w:ind w:firstLine="720"/>
      </w:pPr>
      <w:r>
        <w:lastRenderedPageBreak/>
        <w:t xml:space="preserve">Total leukocyte count was significantly (p&lt;0.05) higher in dogs with canine demodicosis. According to </w:t>
      </w:r>
      <w:proofErr w:type="spellStart"/>
      <w:r>
        <w:t>Dimri</w:t>
      </w:r>
      <w:proofErr w:type="spellEnd"/>
      <w:r>
        <w:t xml:space="preserve"> </w:t>
      </w:r>
      <w:r>
        <w:rPr>
          <w:rFonts w:ascii="Arial"/>
          <w:i/>
        </w:rPr>
        <w:t>et al</w:t>
      </w:r>
      <w:r>
        <w:t>., 2006 the allergic reaction due to mites or their products coupled with the inflammatory process might have contributed to leukocytosis.</w:t>
      </w:r>
    </w:p>
    <w:p w14:paraId="4E8B3501" w14:textId="77777777" w:rsidR="00382B77" w:rsidRDefault="00E949BA">
      <w:pPr>
        <w:pStyle w:val="BodyText"/>
        <w:spacing w:before="116" w:line="360" w:lineRule="auto"/>
        <w:ind w:firstLine="720"/>
      </w:pPr>
      <w:r>
        <w:rPr>
          <w:sz w:val="22"/>
        </w:rPr>
        <w:t>N</w:t>
      </w:r>
      <w:r>
        <w:t>eutrophil</w:t>
      </w:r>
      <w:r>
        <w:rPr>
          <w:sz w:val="22"/>
        </w:rPr>
        <w:t xml:space="preserve">ia </w:t>
      </w:r>
      <w:r>
        <w:t xml:space="preserve">condition accordance with Reddy </w:t>
      </w:r>
      <w:r>
        <w:rPr>
          <w:rFonts w:ascii="Arial"/>
          <w:i/>
        </w:rPr>
        <w:t xml:space="preserve">et al. </w:t>
      </w:r>
      <w:r>
        <w:t xml:space="preserve">(2014a), Chakraborty and Pradhan (2015) and Kumar </w:t>
      </w:r>
      <w:r>
        <w:rPr>
          <w:rFonts w:ascii="Arial"/>
          <w:i/>
        </w:rPr>
        <w:t xml:space="preserve">et al. </w:t>
      </w:r>
      <w:r>
        <w:t>(2018), who reported that generalized inflammation and response of leukocytes to prolonged antigenic stimulus might have resulted in leukocytosis and neutrophilia.</w:t>
      </w:r>
    </w:p>
    <w:p w14:paraId="4D7D36B6" w14:textId="77777777" w:rsidR="00382B77" w:rsidRDefault="00E949BA">
      <w:pPr>
        <w:pStyle w:val="BodyText"/>
        <w:spacing w:before="123" w:line="360" w:lineRule="auto"/>
        <w:ind w:left="360" w:firstLine="719"/>
      </w:pPr>
      <w:r>
        <w:t xml:space="preserve">Lymphopenia condition accordance with Chakraborty and Pradhan (2015), Haleem </w:t>
      </w:r>
      <w:r>
        <w:rPr>
          <w:rFonts w:ascii="Arial"/>
          <w:i/>
        </w:rPr>
        <w:t xml:space="preserve">et al. </w:t>
      </w:r>
      <w:r>
        <w:t xml:space="preserve">(2015) and Kumar </w:t>
      </w:r>
      <w:r>
        <w:rPr>
          <w:rFonts w:ascii="Arial"/>
          <w:i/>
        </w:rPr>
        <w:t xml:space="preserve">et al. </w:t>
      </w:r>
      <w:r>
        <w:t xml:space="preserve">(2018). Lymphopenia might be due to the reason that cell mediated immunity </w:t>
      </w:r>
      <w:proofErr w:type="gramStart"/>
      <w:r>
        <w:t>plays</w:t>
      </w:r>
      <w:proofErr w:type="gramEnd"/>
      <w:r>
        <w:t xml:space="preserve"> important role in fighting against demodectic mites.</w:t>
      </w:r>
    </w:p>
    <w:p w14:paraId="743DAC51" w14:textId="3F8591C3" w:rsidR="00CF025C" w:rsidRPr="00CF025C" w:rsidRDefault="00E949BA" w:rsidP="00CF025C">
      <w:pPr>
        <w:pStyle w:val="BodyText"/>
        <w:spacing w:before="121" w:line="360" w:lineRule="auto"/>
        <w:ind w:firstLine="720"/>
        <w:rPr>
          <w:spacing w:val="-2"/>
          <w:lang w:val="en-IN"/>
        </w:rPr>
      </w:pPr>
      <w:r>
        <w:t xml:space="preserve">Increased eosinophil count was also reported and similar observation also reported by Reddy </w:t>
      </w:r>
      <w:r>
        <w:rPr>
          <w:rFonts w:ascii="Arial"/>
          <w:i/>
        </w:rPr>
        <w:t xml:space="preserve">et al. </w:t>
      </w:r>
      <w:r>
        <w:t xml:space="preserve">(2014a), Chakraborty and Pradhan (2015) and Kumar </w:t>
      </w:r>
      <w:r>
        <w:rPr>
          <w:rFonts w:ascii="Arial"/>
          <w:i/>
        </w:rPr>
        <w:t xml:space="preserve">et al. </w:t>
      </w:r>
      <w:r>
        <w:t xml:space="preserve">(2018). </w:t>
      </w:r>
      <w:r w:rsidR="00CF025C" w:rsidRPr="00CF025C">
        <w:rPr>
          <w:rFonts w:ascii="Times New Roman" w:eastAsia="Times New Roman" w:hAnsi="Times New Roman" w:cs="Times New Roman"/>
          <w:lang w:val="en-IN" w:eastAsia="en-IN"/>
        </w:rPr>
        <w:t xml:space="preserve"> </w:t>
      </w:r>
      <w:proofErr w:type="spellStart"/>
      <w:r w:rsidR="00CF025C" w:rsidRPr="00CF025C">
        <w:rPr>
          <w:spacing w:val="-2"/>
          <w:lang w:val="en-IN"/>
        </w:rPr>
        <w:t>Dimri</w:t>
      </w:r>
      <w:proofErr w:type="spellEnd"/>
      <w:r w:rsidR="00CF025C" w:rsidRPr="00CF025C">
        <w:rPr>
          <w:spacing w:val="-2"/>
          <w:lang w:val="en-IN"/>
        </w:rPr>
        <w:t xml:space="preserve"> </w:t>
      </w:r>
      <w:r w:rsidR="00CF025C" w:rsidRPr="00CF025C">
        <w:rPr>
          <w:i/>
          <w:iCs/>
          <w:spacing w:val="-2"/>
          <w:lang w:val="en-IN"/>
        </w:rPr>
        <w:t>et al.</w:t>
      </w:r>
      <w:r w:rsidR="00CF025C" w:rsidRPr="00CF025C">
        <w:rPr>
          <w:spacing w:val="-2"/>
          <w:lang w:val="en-IN"/>
        </w:rPr>
        <w:t xml:space="preserve"> (2000) suggested that </w:t>
      </w:r>
      <w:r w:rsidR="00CF025C" w:rsidRPr="00CF025C">
        <w:rPr>
          <w:i/>
          <w:iCs/>
          <w:spacing w:val="-2"/>
          <w:lang w:val="en-IN"/>
        </w:rPr>
        <w:t xml:space="preserve">D. </w:t>
      </w:r>
      <w:proofErr w:type="spellStart"/>
      <w:r w:rsidR="00CF025C" w:rsidRPr="00CF025C">
        <w:rPr>
          <w:i/>
          <w:iCs/>
          <w:spacing w:val="-2"/>
          <w:lang w:val="en-IN"/>
        </w:rPr>
        <w:t>canis</w:t>
      </w:r>
      <w:proofErr w:type="spellEnd"/>
      <w:r w:rsidR="00CF025C" w:rsidRPr="00CF025C">
        <w:rPr>
          <w:spacing w:val="-2"/>
          <w:lang w:val="en-IN"/>
        </w:rPr>
        <w:t xml:space="preserve"> induces irritation of the skin tissues, thereby stimulating mast cells to release increased amounts of histamine. As histamine exhibits chemotactic activity for eosinophils, it promotes the migration of eosinophils from the bone marrow into the circulation, ultimately resulting in eosinophilia.</w:t>
      </w:r>
    </w:p>
    <w:p w14:paraId="57A8CBAB" w14:textId="7D088FBD" w:rsidR="00382B77" w:rsidRDefault="00382B77">
      <w:pPr>
        <w:pStyle w:val="BodyText"/>
        <w:spacing w:before="121" w:line="360" w:lineRule="auto"/>
        <w:ind w:firstLine="720"/>
      </w:pPr>
    </w:p>
    <w:p w14:paraId="5FD3DF74" w14:textId="77777777" w:rsidR="00BD3203" w:rsidRDefault="00E949BA" w:rsidP="00BD3203">
      <w:pPr>
        <w:pStyle w:val="BodyText"/>
        <w:spacing w:line="360" w:lineRule="auto"/>
        <w:ind w:firstLine="720"/>
        <w:rPr>
          <w:spacing w:val="-2"/>
        </w:rPr>
      </w:pPr>
      <w:r>
        <w:t>In the present investigation, there was a significant decrease</w:t>
      </w:r>
      <w:r>
        <w:rPr>
          <w:spacing w:val="40"/>
        </w:rPr>
        <w:t xml:space="preserve"> </w:t>
      </w:r>
      <w:r>
        <w:t xml:space="preserve">in monocyte value of demodectic dog as compare with healthy group while no significant changes in </w:t>
      </w:r>
      <w:proofErr w:type="spellStart"/>
      <w:r>
        <w:rPr>
          <w:spacing w:val="-2"/>
        </w:rPr>
        <w:t>besophils</w:t>
      </w:r>
      <w:proofErr w:type="spellEnd"/>
      <w:r w:rsidR="00BD3203">
        <w:rPr>
          <w:spacing w:val="-2"/>
        </w:rPr>
        <w:t xml:space="preserve">. </w:t>
      </w:r>
    </w:p>
    <w:p w14:paraId="12A7C5BB" w14:textId="1B492317" w:rsidR="00BD3203" w:rsidRPr="00BD3203" w:rsidRDefault="00BD3203" w:rsidP="00BD3203">
      <w:pPr>
        <w:pStyle w:val="BodyText"/>
        <w:spacing w:line="360" w:lineRule="auto"/>
        <w:ind w:firstLine="720"/>
        <w:rPr>
          <w:spacing w:val="-2"/>
          <w:lang w:val="en-IN"/>
        </w:rPr>
      </w:pPr>
      <w:r w:rsidRPr="00BD3203">
        <w:rPr>
          <w:spacing w:val="-2"/>
          <w:lang w:val="en-IN"/>
        </w:rPr>
        <w:t xml:space="preserve">The haematological abnormalities observed in the present study collectively reflect the immunopathological nature of canine demodicosis. The concurrent presence of lymphopenia and neutrophilia is of particular clinical interest as it indicates a shift in the immune response from cell-mediated immunity (CMI) to a predominantly humoral or innate inflammatory response. It has been well established that </w:t>
      </w:r>
      <w:r w:rsidRPr="00BD3203">
        <w:rPr>
          <w:i/>
          <w:iCs/>
          <w:spacing w:val="-2"/>
          <w:lang w:val="en-IN"/>
        </w:rPr>
        <w:t xml:space="preserve">Demodex </w:t>
      </w:r>
      <w:proofErr w:type="spellStart"/>
      <w:r w:rsidRPr="00BD3203">
        <w:rPr>
          <w:i/>
          <w:iCs/>
          <w:spacing w:val="-2"/>
          <w:lang w:val="en-IN"/>
        </w:rPr>
        <w:t>canis</w:t>
      </w:r>
      <w:proofErr w:type="spellEnd"/>
      <w:r w:rsidRPr="00BD3203">
        <w:rPr>
          <w:spacing w:val="-2"/>
          <w:lang w:val="en-IN"/>
        </w:rPr>
        <w:t xml:space="preserve"> specifically suppresses CMI through induction of T-regulatory cells, downregulation of CD4+ helper T-lymphocytes, and increased production of immunosuppressive cytokines such as IL-10 and TGF-β (Singh </w:t>
      </w:r>
      <w:r w:rsidRPr="00BD3203">
        <w:rPr>
          <w:i/>
          <w:iCs/>
          <w:spacing w:val="-2"/>
          <w:lang w:val="en-IN"/>
        </w:rPr>
        <w:t>et al.,</w:t>
      </w:r>
      <w:r w:rsidRPr="00BD3203">
        <w:rPr>
          <w:spacing w:val="-2"/>
          <w:lang w:val="en-IN"/>
        </w:rPr>
        <w:t xml:space="preserve"> 2011). This selective suppression of CMI allows mite proliferation to proceed unchecked within the hair follicles. The leucocytosis and </w:t>
      </w:r>
      <w:r w:rsidRPr="00BD3203">
        <w:rPr>
          <w:spacing w:val="-2"/>
          <w:lang w:val="en-IN"/>
        </w:rPr>
        <w:lastRenderedPageBreak/>
        <w:t xml:space="preserve">neutrophilia observed are indicative of a systemic inflammatory response triggered by secondary bacterial colonisation of demodicosis lesions, most commonly by </w:t>
      </w:r>
      <w:r w:rsidRPr="00BD3203">
        <w:rPr>
          <w:i/>
          <w:iCs/>
          <w:spacing w:val="-2"/>
          <w:lang w:val="en-IN"/>
        </w:rPr>
        <w:t xml:space="preserve">Staphylococcus </w:t>
      </w:r>
      <w:proofErr w:type="spellStart"/>
      <w:r w:rsidRPr="00BD3203">
        <w:rPr>
          <w:i/>
          <w:iCs/>
          <w:spacing w:val="-2"/>
          <w:lang w:val="en-IN"/>
        </w:rPr>
        <w:t>pseudintermedius</w:t>
      </w:r>
      <w:proofErr w:type="spellEnd"/>
      <w:r w:rsidRPr="00BD3203">
        <w:rPr>
          <w:spacing w:val="-2"/>
          <w:lang w:val="en-IN"/>
        </w:rPr>
        <w:t xml:space="preserve"> and </w:t>
      </w:r>
      <w:r w:rsidRPr="00BD3203">
        <w:rPr>
          <w:i/>
          <w:iCs/>
          <w:spacing w:val="-2"/>
          <w:lang w:val="en-IN"/>
        </w:rPr>
        <w:t>Pseudomonas aeruginosa.</w:t>
      </w:r>
      <w:r w:rsidRPr="00BD3203">
        <w:rPr>
          <w:spacing w:val="-2"/>
          <w:lang w:val="en-IN"/>
        </w:rPr>
        <w:t xml:space="preserve"> Eosinophilia in demodicosis is attributed to the release of histamine and other chemotactic factors from mast cells activated by mite antigenic products, driving eosinophil migration from bone marrow into peripheral circulation (</w:t>
      </w:r>
      <w:proofErr w:type="spellStart"/>
      <w:r w:rsidRPr="00BD3203">
        <w:rPr>
          <w:spacing w:val="-2"/>
          <w:lang w:val="en-IN"/>
        </w:rPr>
        <w:t>Dimri</w:t>
      </w:r>
      <w:proofErr w:type="spellEnd"/>
      <w:r w:rsidRPr="00BD3203">
        <w:rPr>
          <w:spacing w:val="-2"/>
          <w:lang w:val="en-IN"/>
        </w:rPr>
        <w:t xml:space="preserve"> </w:t>
      </w:r>
      <w:r w:rsidRPr="00BD3203">
        <w:rPr>
          <w:i/>
          <w:iCs/>
          <w:spacing w:val="-2"/>
          <w:lang w:val="en-IN"/>
        </w:rPr>
        <w:t xml:space="preserve">et al., </w:t>
      </w:r>
      <w:r w:rsidRPr="00BD3203">
        <w:rPr>
          <w:spacing w:val="-2"/>
          <w:lang w:val="en-IN"/>
        </w:rPr>
        <w:t>2000). The moderate anaemia observed is consistent with anaemia of chronic inflammatory disease, compounded by reduced dietary intake, skin protein loss, and chronic blood loss due to self-trauma from pruritus.</w:t>
      </w:r>
    </w:p>
    <w:p w14:paraId="49595E31" w14:textId="77777777" w:rsidR="00BD3203" w:rsidRPr="00BD3203" w:rsidRDefault="00BD3203" w:rsidP="00BD3203">
      <w:pPr>
        <w:pStyle w:val="BodyText"/>
        <w:spacing w:line="360" w:lineRule="auto"/>
        <w:ind w:firstLine="720"/>
        <w:rPr>
          <w:spacing w:val="-2"/>
          <w:lang w:val="en-IN"/>
        </w:rPr>
      </w:pPr>
    </w:p>
    <w:p w14:paraId="019A3A03" w14:textId="047F4DAE" w:rsidR="00382B77" w:rsidRDefault="00382B77">
      <w:pPr>
        <w:pStyle w:val="BodyText"/>
        <w:spacing w:line="360" w:lineRule="auto"/>
        <w:ind w:firstLine="720"/>
      </w:pPr>
    </w:p>
    <w:p w14:paraId="14B0453B" w14:textId="77777777" w:rsidR="00382B77" w:rsidRDefault="00382B77">
      <w:pPr>
        <w:pStyle w:val="BodyText"/>
        <w:spacing w:before="0"/>
        <w:ind w:left="0" w:right="0"/>
        <w:jc w:val="left"/>
      </w:pPr>
    </w:p>
    <w:p w14:paraId="495CAE7E" w14:textId="77777777" w:rsidR="00382B77" w:rsidRDefault="00382B77">
      <w:pPr>
        <w:pStyle w:val="BodyText"/>
        <w:spacing w:before="102"/>
        <w:ind w:left="0" w:right="0"/>
        <w:jc w:val="left"/>
      </w:pPr>
    </w:p>
    <w:p w14:paraId="039EF6C0" w14:textId="77777777" w:rsidR="00382B77" w:rsidRDefault="00E949BA">
      <w:pPr>
        <w:pStyle w:val="BodyText"/>
        <w:tabs>
          <w:tab w:val="left" w:pos="1351"/>
        </w:tabs>
        <w:spacing w:before="0" w:after="3" w:line="360" w:lineRule="auto"/>
        <w:ind w:left="1351" w:right="358" w:hanging="992"/>
        <w:jc w:val="left"/>
      </w:pPr>
      <w:r>
        <w:rPr>
          <w:rFonts w:ascii="Arial" w:hAnsi="Arial"/>
          <w:b/>
          <w:spacing w:val="-2"/>
        </w:rPr>
        <w:t>Table1</w:t>
      </w:r>
      <w:r>
        <w:rPr>
          <w:rFonts w:ascii="Arial" w:hAnsi="Arial"/>
          <w:b/>
        </w:rPr>
        <w:tab/>
      </w:r>
      <w:proofErr w:type="spellStart"/>
      <w:r>
        <w:t>Mean±S.E</w:t>
      </w:r>
      <w:proofErr w:type="spellEnd"/>
      <w:r>
        <w:t xml:space="preserve"> </w:t>
      </w:r>
      <w:proofErr w:type="spellStart"/>
      <w:r>
        <w:t>haematological</w:t>
      </w:r>
      <w:proofErr w:type="spellEnd"/>
      <w:r>
        <w:t xml:space="preserve"> values of</w:t>
      </w:r>
      <w:r>
        <w:rPr>
          <w:spacing w:val="32"/>
        </w:rPr>
        <w:t xml:space="preserve"> </w:t>
      </w:r>
      <w:r>
        <w:t xml:space="preserve">healthy control and canine demodicosis </w:t>
      </w:r>
      <w:r>
        <w:rPr>
          <w:spacing w:val="-4"/>
        </w:rPr>
        <w:t>dogs</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9"/>
        <w:gridCol w:w="3077"/>
        <w:gridCol w:w="3077"/>
      </w:tblGrid>
      <w:tr w:rsidR="00382B77" w14:paraId="46D1338C" w14:textId="77777777">
        <w:trPr>
          <w:trHeight w:val="412"/>
        </w:trPr>
        <w:tc>
          <w:tcPr>
            <w:tcW w:w="3089" w:type="dxa"/>
          </w:tcPr>
          <w:p w14:paraId="046CCCD1" w14:textId="77777777" w:rsidR="00382B77" w:rsidRDefault="00E949BA">
            <w:pPr>
              <w:pStyle w:val="TableParagraph"/>
              <w:spacing w:line="274" w:lineRule="exact"/>
              <w:ind w:left="10"/>
              <w:jc w:val="center"/>
              <w:rPr>
                <w:rFonts w:ascii="Arial"/>
                <w:b/>
                <w:sz w:val="24"/>
              </w:rPr>
            </w:pPr>
            <w:r>
              <w:rPr>
                <w:rFonts w:ascii="Arial"/>
                <w:b/>
                <w:spacing w:val="-2"/>
                <w:sz w:val="24"/>
              </w:rPr>
              <w:t>Parameters</w:t>
            </w:r>
          </w:p>
        </w:tc>
        <w:tc>
          <w:tcPr>
            <w:tcW w:w="3077" w:type="dxa"/>
          </w:tcPr>
          <w:p w14:paraId="5CFA0FB8" w14:textId="77777777" w:rsidR="00382B77" w:rsidRDefault="00E949BA">
            <w:pPr>
              <w:pStyle w:val="TableParagraph"/>
              <w:spacing w:line="274" w:lineRule="exact"/>
              <w:ind w:left="11" w:right="4"/>
              <w:jc w:val="center"/>
              <w:rPr>
                <w:rFonts w:ascii="Arial"/>
                <w:b/>
                <w:sz w:val="24"/>
              </w:rPr>
            </w:pPr>
            <w:r>
              <w:rPr>
                <w:rFonts w:ascii="Arial"/>
                <w:b/>
                <w:sz w:val="24"/>
              </w:rPr>
              <w:t>Healthy</w:t>
            </w:r>
            <w:r>
              <w:rPr>
                <w:rFonts w:ascii="Arial"/>
                <w:b/>
                <w:spacing w:val="-12"/>
                <w:sz w:val="24"/>
              </w:rPr>
              <w:t xml:space="preserve"> </w:t>
            </w:r>
            <w:r>
              <w:rPr>
                <w:rFonts w:ascii="Arial"/>
                <w:b/>
                <w:sz w:val="24"/>
              </w:rPr>
              <w:t>dog</w:t>
            </w:r>
            <w:r>
              <w:rPr>
                <w:rFonts w:ascii="Arial"/>
                <w:b/>
                <w:spacing w:val="-6"/>
                <w:sz w:val="24"/>
              </w:rPr>
              <w:t xml:space="preserve"> </w:t>
            </w:r>
            <w:r>
              <w:rPr>
                <w:rFonts w:ascii="Arial"/>
                <w:b/>
                <w:spacing w:val="-4"/>
                <w:sz w:val="24"/>
              </w:rPr>
              <w:t>(n=6)</w:t>
            </w:r>
          </w:p>
        </w:tc>
        <w:tc>
          <w:tcPr>
            <w:tcW w:w="3077" w:type="dxa"/>
          </w:tcPr>
          <w:p w14:paraId="0039DC9D" w14:textId="77777777" w:rsidR="00382B77" w:rsidRDefault="00E949BA">
            <w:pPr>
              <w:pStyle w:val="TableParagraph"/>
              <w:spacing w:line="274" w:lineRule="exact"/>
              <w:ind w:left="11" w:right="5"/>
              <w:jc w:val="center"/>
              <w:rPr>
                <w:rFonts w:ascii="Arial"/>
                <w:b/>
                <w:sz w:val="24"/>
              </w:rPr>
            </w:pPr>
            <w:r>
              <w:rPr>
                <w:rFonts w:ascii="Arial"/>
                <w:b/>
                <w:sz w:val="24"/>
              </w:rPr>
              <w:t>Positive</w:t>
            </w:r>
            <w:r>
              <w:rPr>
                <w:rFonts w:ascii="Arial"/>
                <w:b/>
                <w:spacing w:val="-8"/>
                <w:sz w:val="24"/>
              </w:rPr>
              <w:t xml:space="preserve"> </w:t>
            </w:r>
            <w:r>
              <w:rPr>
                <w:rFonts w:ascii="Arial"/>
                <w:b/>
                <w:sz w:val="24"/>
              </w:rPr>
              <w:t>dog</w:t>
            </w:r>
            <w:r>
              <w:rPr>
                <w:rFonts w:ascii="Arial"/>
                <w:b/>
                <w:spacing w:val="-8"/>
                <w:sz w:val="24"/>
              </w:rPr>
              <w:t xml:space="preserve"> </w:t>
            </w:r>
            <w:r>
              <w:rPr>
                <w:rFonts w:ascii="Arial"/>
                <w:b/>
                <w:spacing w:val="-2"/>
                <w:sz w:val="24"/>
              </w:rPr>
              <w:t>(n=25)</w:t>
            </w:r>
          </w:p>
        </w:tc>
      </w:tr>
      <w:tr w:rsidR="00382B77" w14:paraId="279541DD" w14:textId="77777777">
        <w:trPr>
          <w:trHeight w:val="381"/>
        </w:trPr>
        <w:tc>
          <w:tcPr>
            <w:tcW w:w="3089" w:type="dxa"/>
          </w:tcPr>
          <w:p w14:paraId="62B36AC2" w14:textId="77777777" w:rsidR="00382B77" w:rsidRDefault="00E949BA">
            <w:pPr>
              <w:pStyle w:val="TableParagraph"/>
              <w:ind w:left="10" w:right="2"/>
              <w:jc w:val="center"/>
            </w:pPr>
            <w:r>
              <w:t>Hb</w:t>
            </w:r>
            <w:r>
              <w:rPr>
                <w:spacing w:val="-2"/>
              </w:rPr>
              <w:t xml:space="preserve"> (g/dl)</w:t>
            </w:r>
          </w:p>
        </w:tc>
        <w:tc>
          <w:tcPr>
            <w:tcW w:w="3077" w:type="dxa"/>
          </w:tcPr>
          <w:p w14:paraId="18138818" w14:textId="77777777" w:rsidR="00382B77" w:rsidRDefault="00E949BA">
            <w:pPr>
              <w:pStyle w:val="TableParagraph"/>
              <w:ind w:left="11"/>
              <w:jc w:val="center"/>
            </w:pPr>
            <w:r>
              <w:rPr>
                <w:spacing w:val="-2"/>
              </w:rPr>
              <w:t>13.93±0.22</w:t>
            </w:r>
          </w:p>
        </w:tc>
        <w:tc>
          <w:tcPr>
            <w:tcW w:w="3077" w:type="dxa"/>
          </w:tcPr>
          <w:p w14:paraId="4058BE9C" w14:textId="77777777" w:rsidR="00382B77" w:rsidRDefault="00E949BA">
            <w:pPr>
              <w:pStyle w:val="TableParagraph"/>
              <w:spacing w:line="248" w:lineRule="exact"/>
              <w:ind w:left="11" w:right="2"/>
              <w:jc w:val="center"/>
              <w:rPr>
                <w:rFonts w:ascii="Arial" w:hAnsi="Arial"/>
                <w:b/>
              </w:rPr>
            </w:pPr>
            <w:r>
              <w:rPr>
                <w:spacing w:val="-2"/>
              </w:rPr>
              <w:t>9.82±018</w:t>
            </w:r>
            <w:r>
              <w:rPr>
                <w:rFonts w:ascii="Arial" w:hAnsi="Arial"/>
                <w:b/>
                <w:spacing w:val="-2"/>
                <w:vertAlign w:val="superscript"/>
              </w:rPr>
              <w:t>*</w:t>
            </w:r>
          </w:p>
        </w:tc>
      </w:tr>
      <w:tr w:rsidR="00382B77" w14:paraId="0F51D34B" w14:textId="77777777">
        <w:trPr>
          <w:trHeight w:val="378"/>
        </w:trPr>
        <w:tc>
          <w:tcPr>
            <w:tcW w:w="3089" w:type="dxa"/>
          </w:tcPr>
          <w:p w14:paraId="240C70F0" w14:textId="77777777" w:rsidR="00382B77" w:rsidRDefault="00E949BA">
            <w:pPr>
              <w:pStyle w:val="TableParagraph"/>
              <w:ind w:left="10"/>
              <w:jc w:val="center"/>
            </w:pPr>
            <w:r>
              <w:t>PCV</w:t>
            </w:r>
            <w:r>
              <w:rPr>
                <w:spacing w:val="-2"/>
              </w:rPr>
              <w:t xml:space="preserve"> </w:t>
            </w:r>
            <w:r>
              <w:rPr>
                <w:spacing w:val="-5"/>
              </w:rPr>
              <w:t>(%)</w:t>
            </w:r>
          </w:p>
        </w:tc>
        <w:tc>
          <w:tcPr>
            <w:tcW w:w="3077" w:type="dxa"/>
          </w:tcPr>
          <w:p w14:paraId="0C555CC4" w14:textId="77777777" w:rsidR="00382B77" w:rsidRDefault="00E949BA">
            <w:pPr>
              <w:pStyle w:val="TableParagraph"/>
              <w:ind w:left="11" w:right="2"/>
              <w:jc w:val="center"/>
            </w:pPr>
            <w:r>
              <w:rPr>
                <w:spacing w:val="-2"/>
              </w:rPr>
              <w:t>40.67±1.2</w:t>
            </w:r>
          </w:p>
        </w:tc>
        <w:tc>
          <w:tcPr>
            <w:tcW w:w="3077" w:type="dxa"/>
          </w:tcPr>
          <w:p w14:paraId="41D479CF" w14:textId="77777777" w:rsidR="00382B77" w:rsidRDefault="00E949BA">
            <w:pPr>
              <w:pStyle w:val="TableParagraph"/>
              <w:spacing w:line="248" w:lineRule="exact"/>
              <w:ind w:left="11" w:right="4"/>
              <w:jc w:val="center"/>
              <w:rPr>
                <w:rFonts w:ascii="Arial" w:hAnsi="Arial"/>
                <w:b/>
              </w:rPr>
            </w:pPr>
            <w:r>
              <w:rPr>
                <w:spacing w:val="-2"/>
              </w:rPr>
              <w:t>26.52±0.48</w:t>
            </w:r>
            <w:r>
              <w:rPr>
                <w:rFonts w:ascii="Arial" w:hAnsi="Arial"/>
                <w:b/>
                <w:spacing w:val="-2"/>
                <w:vertAlign w:val="superscript"/>
              </w:rPr>
              <w:t>*</w:t>
            </w:r>
          </w:p>
        </w:tc>
      </w:tr>
      <w:tr w:rsidR="00382B77" w14:paraId="426A072C" w14:textId="77777777">
        <w:trPr>
          <w:trHeight w:val="378"/>
        </w:trPr>
        <w:tc>
          <w:tcPr>
            <w:tcW w:w="3089" w:type="dxa"/>
          </w:tcPr>
          <w:p w14:paraId="51239699" w14:textId="77777777" w:rsidR="00382B77" w:rsidRDefault="00E949BA">
            <w:pPr>
              <w:pStyle w:val="TableParagraph"/>
              <w:ind w:left="10"/>
              <w:jc w:val="center"/>
            </w:pPr>
            <w:r>
              <w:t>TEC</w:t>
            </w:r>
            <w:r>
              <w:rPr>
                <w:spacing w:val="-1"/>
              </w:rPr>
              <w:t xml:space="preserve"> </w:t>
            </w:r>
            <w:r>
              <w:rPr>
                <w:spacing w:val="-2"/>
              </w:rPr>
              <w:t>(10</w:t>
            </w:r>
            <w:r>
              <w:rPr>
                <w:spacing w:val="-2"/>
                <w:vertAlign w:val="superscript"/>
              </w:rPr>
              <w:t>6</w:t>
            </w:r>
            <w:r>
              <w:rPr>
                <w:spacing w:val="-2"/>
              </w:rPr>
              <w:t>/</w:t>
            </w:r>
            <w:proofErr w:type="spellStart"/>
            <w:r>
              <w:rPr>
                <w:rFonts w:ascii="Microsoft Sans Serif" w:hAnsi="Microsoft Sans Serif"/>
                <w:spacing w:val="-2"/>
              </w:rPr>
              <w:t>μ</w:t>
            </w:r>
            <w:r>
              <w:rPr>
                <w:spacing w:val="-2"/>
              </w:rPr>
              <w:t>l</w:t>
            </w:r>
            <w:proofErr w:type="spellEnd"/>
            <w:r>
              <w:rPr>
                <w:spacing w:val="-2"/>
              </w:rPr>
              <w:t>)</w:t>
            </w:r>
          </w:p>
        </w:tc>
        <w:tc>
          <w:tcPr>
            <w:tcW w:w="3077" w:type="dxa"/>
          </w:tcPr>
          <w:p w14:paraId="5D5547D1" w14:textId="77777777" w:rsidR="00382B77" w:rsidRDefault="00E949BA">
            <w:pPr>
              <w:pStyle w:val="TableParagraph"/>
              <w:ind w:left="11" w:right="2"/>
              <w:jc w:val="center"/>
            </w:pPr>
            <w:r>
              <w:rPr>
                <w:spacing w:val="-2"/>
              </w:rPr>
              <w:t>6.4±0.2</w:t>
            </w:r>
          </w:p>
        </w:tc>
        <w:tc>
          <w:tcPr>
            <w:tcW w:w="3077" w:type="dxa"/>
          </w:tcPr>
          <w:p w14:paraId="2BB10DC5" w14:textId="77777777" w:rsidR="00382B77" w:rsidRDefault="00E949BA">
            <w:pPr>
              <w:pStyle w:val="TableParagraph"/>
              <w:spacing w:line="248" w:lineRule="exact"/>
              <w:ind w:left="11" w:right="4"/>
              <w:jc w:val="center"/>
              <w:rPr>
                <w:rFonts w:ascii="Arial" w:hAnsi="Arial"/>
                <w:b/>
              </w:rPr>
            </w:pPr>
            <w:r>
              <w:rPr>
                <w:spacing w:val="-2"/>
              </w:rPr>
              <w:t>5.0±0.08</w:t>
            </w:r>
            <w:r>
              <w:rPr>
                <w:rFonts w:ascii="Arial" w:hAnsi="Arial"/>
                <w:b/>
                <w:spacing w:val="-2"/>
                <w:vertAlign w:val="superscript"/>
              </w:rPr>
              <w:t>*</w:t>
            </w:r>
          </w:p>
        </w:tc>
      </w:tr>
      <w:tr w:rsidR="00382B77" w14:paraId="154574AF" w14:textId="77777777">
        <w:trPr>
          <w:trHeight w:val="378"/>
        </w:trPr>
        <w:tc>
          <w:tcPr>
            <w:tcW w:w="3089" w:type="dxa"/>
          </w:tcPr>
          <w:p w14:paraId="78A1FD32" w14:textId="77777777" w:rsidR="00382B77" w:rsidRDefault="00E949BA">
            <w:pPr>
              <w:pStyle w:val="TableParagraph"/>
              <w:ind w:left="10"/>
              <w:jc w:val="center"/>
            </w:pPr>
            <w:r>
              <w:t>TLC</w:t>
            </w:r>
            <w:r>
              <w:rPr>
                <w:spacing w:val="-1"/>
              </w:rPr>
              <w:t xml:space="preserve"> </w:t>
            </w:r>
            <w:r>
              <w:rPr>
                <w:spacing w:val="-2"/>
              </w:rPr>
              <w:t>(10</w:t>
            </w:r>
            <w:r>
              <w:rPr>
                <w:spacing w:val="-2"/>
                <w:vertAlign w:val="superscript"/>
              </w:rPr>
              <w:t>3</w:t>
            </w:r>
            <w:r>
              <w:rPr>
                <w:spacing w:val="-2"/>
              </w:rPr>
              <w:t>/</w:t>
            </w:r>
            <w:proofErr w:type="spellStart"/>
            <w:r>
              <w:rPr>
                <w:rFonts w:ascii="Microsoft Sans Serif" w:hAnsi="Microsoft Sans Serif"/>
                <w:spacing w:val="-2"/>
              </w:rPr>
              <w:t>μ</w:t>
            </w:r>
            <w:r>
              <w:rPr>
                <w:spacing w:val="-2"/>
              </w:rPr>
              <w:t>l</w:t>
            </w:r>
            <w:proofErr w:type="spellEnd"/>
            <w:r>
              <w:rPr>
                <w:spacing w:val="-2"/>
              </w:rPr>
              <w:t>)</w:t>
            </w:r>
          </w:p>
        </w:tc>
        <w:tc>
          <w:tcPr>
            <w:tcW w:w="3077" w:type="dxa"/>
          </w:tcPr>
          <w:p w14:paraId="797B5BAD" w14:textId="77777777" w:rsidR="00382B77" w:rsidRDefault="00E949BA">
            <w:pPr>
              <w:pStyle w:val="TableParagraph"/>
              <w:ind w:left="11" w:right="2"/>
              <w:jc w:val="center"/>
            </w:pPr>
            <w:r>
              <w:rPr>
                <w:spacing w:val="-2"/>
              </w:rPr>
              <w:t>11.3±0.82</w:t>
            </w:r>
          </w:p>
        </w:tc>
        <w:tc>
          <w:tcPr>
            <w:tcW w:w="3077" w:type="dxa"/>
          </w:tcPr>
          <w:p w14:paraId="0C78E713" w14:textId="77777777" w:rsidR="00382B77" w:rsidRDefault="00E949BA">
            <w:pPr>
              <w:pStyle w:val="TableParagraph"/>
              <w:spacing w:line="248" w:lineRule="exact"/>
              <w:ind w:left="11" w:right="4"/>
              <w:jc w:val="center"/>
              <w:rPr>
                <w:rFonts w:ascii="Arial"/>
                <w:b/>
              </w:rPr>
            </w:pPr>
            <w:r>
              <w:rPr>
                <w:spacing w:val="-2"/>
              </w:rPr>
              <w:t>15.570.29</w:t>
            </w:r>
            <w:r>
              <w:rPr>
                <w:rFonts w:ascii="Arial"/>
                <w:b/>
                <w:spacing w:val="-2"/>
                <w:vertAlign w:val="superscript"/>
              </w:rPr>
              <w:t>*</w:t>
            </w:r>
          </w:p>
        </w:tc>
      </w:tr>
      <w:tr w:rsidR="00382B77" w14:paraId="3714829B" w14:textId="77777777">
        <w:trPr>
          <w:trHeight w:val="381"/>
        </w:trPr>
        <w:tc>
          <w:tcPr>
            <w:tcW w:w="3089" w:type="dxa"/>
          </w:tcPr>
          <w:p w14:paraId="249A1A91" w14:textId="77777777" w:rsidR="00382B77" w:rsidRDefault="00E949BA">
            <w:pPr>
              <w:pStyle w:val="TableParagraph"/>
              <w:spacing w:line="240" w:lineRule="auto"/>
              <w:ind w:left="10" w:right="2"/>
              <w:jc w:val="center"/>
            </w:pPr>
            <w:r>
              <w:t xml:space="preserve">N </w:t>
            </w:r>
            <w:r>
              <w:rPr>
                <w:spacing w:val="-5"/>
              </w:rPr>
              <w:t>(%)</w:t>
            </w:r>
          </w:p>
        </w:tc>
        <w:tc>
          <w:tcPr>
            <w:tcW w:w="3077" w:type="dxa"/>
          </w:tcPr>
          <w:p w14:paraId="46FA00F8" w14:textId="77777777" w:rsidR="00382B77" w:rsidRDefault="00E949BA">
            <w:pPr>
              <w:pStyle w:val="TableParagraph"/>
              <w:spacing w:line="240" w:lineRule="auto"/>
              <w:ind w:left="11" w:right="2"/>
              <w:jc w:val="center"/>
            </w:pPr>
            <w:r>
              <w:rPr>
                <w:spacing w:val="-2"/>
              </w:rPr>
              <w:t>71±2.29</w:t>
            </w:r>
          </w:p>
        </w:tc>
        <w:tc>
          <w:tcPr>
            <w:tcW w:w="3077" w:type="dxa"/>
          </w:tcPr>
          <w:p w14:paraId="00041133" w14:textId="77777777" w:rsidR="00382B77" w:rsidRDefault="00E949BA">
            <w:pPr>
              <w:pStyle w:val="TableParagraph"/>
              <w:ind w:left="11" w:right="4"/>
              <w:jc w:val="center"/>
              <w:rPr>
                <w:rFonts w:ascii="Arial" w:hAnsi="Arial"/>
                <w:b/>
              </w:rPr>
            </w:pPr>
            <w:r>
              <w:rPr>
                <w:spacing w:val="-2"/>
              </w:rPr>
              <w:t>83.52±0.48</w:t>
            </w:r>
            <w:r>
              <w:rPr>
                <w:rFonts w:ascii="Arial" w:hAnsi="Arial"/>
                <w:b/>
                <w:spacing w:val="-2"/>
                <w:vertAlign w:val="superscript"/>
              </w:rPr>
              <w:t>*</w:t>
            </w:r>
          </w:p>
        </w:tc>
      </w:tr>
      <w:tr w:rsidR="00382B77" w14:paraId="6EFFE57A" w14:textId="77777777">
        <w:trPr>
          <w:trHeight w:val="378"/>
        </w:trPr>
        <w:tc>
          <w:tcPr>
            <w:tcW w:w="3089" w:type="dxa"/>
          </w:tcPr>
          <w:p w14:paraId="28E34D2D" w14:textId="77777777" w:rsidR="00382B77" w:rsidRDefault="00E949BA">
            <w:pPr>
              <w:pStyle w:val="TableParagraph"/>
              <w:ind w:left="10"/>
              <w:jc w:val="center"/>
            </w:pPr>
            <w:r>
              <w:t>L</w:t>
            </w:r>
            <w:r>
              <w:rPr>
                <w:spacing w:val="1"/>
              </w:rPr>
              <w:t xml:space="preserve"> </w:t>
            </w:r>
            <w:r>
              <w:rPr>
                <w:spacing w:val="-5"/>
              </w:rPr>
              <w:t>(%)</w:t>
            </w:r>
          </w:p>
        </w:tc>
        <w:tc>
          <w:tcPr>
            <w:tcW w:w="3077" w:type="dxa"/>
          </w:tcPr>
          <w:p w14:paraId="33148905" w14:textId="77777777" w:rsidR="00382B77" w:rsidRDefault="00E949BA">
            <w:pPr>
              <w:pStyle w:val="TableParagraph"/>
              <w:ind w:left="11"/>
              <w:jc w:val="center"/>
            </w:pPr>
            <w:r>
              <w:rPr>
                <w:spacing w:val="-2"/>
              </w:rPr>
              <w:t>21.83±2.34</w:t>
            </w:r>
          </w:p>
        </w:tc>
        <w:tc>
          <w:tcPr>
            <w:tcW w:w="3077" w:type="dxa"/>
          </w:tcPr>
          <w:p w14:paraId="35D95E35" w14:textId="77777777" w:rsidR="00382B77" w:rsidRDefault="00E949BA">
            <w:pPr>
              <w:pStyle w:val="TableParagraph"/>
              <w:spacing w:line="248" w:lineRule="exact"/>
              <w:ind w:left="11" w:right="2"/>
              <w:jc w:val="center"/>
              <w:rPr>
                <w:rFonts w:ascii="Arial" w:hAnsi="Arial"/>
                <w:b/>
              </w:rPr>
            </w:pPr>
            <w:r>
              <w:rPr>
                <w:spacing w:val="-2"/>
              </w:rPr>
              <w:t>9.24±0.28</w:t>
            </w:r>
            <w:r>
              <w:rPr>
                <w:rFonts w:ascii="Arial" w:hAnsi="Arial"/>
                <w:b/>
                <w:spacing w:val="-2"/>
                <w:vertAlign w:val="superscript"/>
              </w:rPr>
              <w:t>*</w:t>
            </w:r>
          </w:p>
        </w:tc>
      </w:tr>
    </w:tbl>
    <w:p w14:paraId="6A136B6F" w14:textId="77777777" w:rsidR="00382B77" w:rsidRDefault="00382B77">
      <w:pPr>
        <w:pStyle w:val="TableParagraph"/>
        <w:spacing w:line="248" w:lineRule="exact"/>
        <w:jc w:val="center"/>
        <w:rPr>
          <w:rFonts w:ascii="Arial" w:hAnsi="Arial"/>
          <w:b/>
        </w:rPr>
        <w:sectPr w:rsidR="00382B77">
          <w:pgSz w:w="12240" w:h="15840"/>
          <w:pgMar w:top="1360" w:right="1080" w:bottom="1616" w:left="108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9"/>
        <w:gridCol w:w="3077"/>
        <w:gridCol w:w="3077"/>
      </w:tblGrid>
      <w:tr w:rsidR="00382B77" w14:paraId="390D95EE" w14:textId="77777777">
        <w:trPr>
          <w:trHeight w:val="378"/>
        </w:trPr>
        <w:tc>
          <w:tcPr>
            <w:tcW w:w="3089" w:type="dxa"/>
          </w:tcPr>
          <w:p w14:paraId="060D73BE" w14:textId="77777777" w:rsidR="00382B77" w:rsidRDefault="00E949BA">
            <w:pPr>
              <w:pStyle w:val="TableParagraph"/>
              <w:ind w:left="10" w:right="2"/>
              <w:jc w:val="center"/>
            </w:pPr>
            <w:r>
              <w:t>M</w:t>
            </w:r>
            <w:r>
              <w:rPr>
                <w:spacing w:val="-3"/>
              </w:rPr>
              <w:t xml:space="preserve"> </w:t>
            </w:r>
            <w:r>
              <w:rPr>
                <w:spacing w:val="-5"/>
              </w:rPr>
              <w:t>(%)</w:t>
            </w:r>
          </w:p>
        </w:tc>
        <w:tc>
          <w:tcPr>
            <w:tcW w:w="3077" w:type="dxa"/>
          </w:tcPr>
          <w:p w14:paraId="4D1E0183" w14:textId="77777777" w:rsidR="00382B77" w:rsidRDefault="00E949BA">
            <w:pPr>
              <w:pStyle w:val="TableParagraph"/>
              <w:ind w:left="11" w:right="2"/>
              <w:jc w:val="center"/>
            </w:pPr>
            <w:r>
              <w:rPr>
                <w:spacing w:val="-2"/>
              </w:rPr>
              <w:t>5.83±0.87</w:t>
            </w:r>
          </w:p>
        </w:tc>
        <w:tc>
          <w:tcPr>
            <w:tcW w:w="3077" w:type="dxa"/>
          </w:tcPr>
          <w:p w14:paraId="132CCEFE" w14:textId="77777777" w:rsidR="00382B77" w:rsidRDefault="00E949BA">
            <w:pPr>
              <w:pStyle w:val="TableParagraph"/>
              <w:spacing w:line="248" w:lineRule="exact"/>
              <w:ind w:left="11" w:right="2"/>
              <w:jc w:val="center"/>
              <w:rPr>
                <w:rFonts w:ascii="Arial" w:hAnsi="Arial"/>
                <w:b/>
              </w:rPr>
            </w:pPr>
            <w:r>
              <w:rPr>
                <w:spacing w:val="-2"/>
              </w:rPr>
              <w:t>2.16±0.23</w:t>
            </w:r>
            <w:r>
              <w:rPr>
                <w:rFonts w:ascii="Arial" w:hAnsi="Arial"/>
                <w:b/>
                <w:spacing w:val="-2"/>
                <w:vertAlign w:val="superscript"/>
              </w:rPr>
              <w:t>*</w:t>
            </w:r>
          </w:p>
        </w:tc>
      </w:tr>
      <w:tr w:rsidR="00382B77" w14:paraId="73402CA0" w14:textId="77777777">
        <w:trPr>
          <w:trHeight w:val="436"/>
        </w:trPr>
        <w:tc>
          <w:tcPr>
            <w:tcW w:w="3089" w:type="dxa"/>
          </w:tcPr>
          <w:p w14:paraId="593D9304" w14:textId="77777777" w:rsidR="00382B77" w:rsidRDefault="00E949BA">
            <w:pPr>
              <w:pStyle w:val="TableParagraph"/>
              <w:ind w:left="10"/>
              <w:jc w:val="center"/>
            </w:pPr>
            <w:r>
              <w:t xml:space="preserve">E </w:t>
            </w:r>
            <w:r>
              <w:rPr>
                <w:spacing w:val="-5"/>
              </w:rPr>
              <w:t>(%)</w:t>
            </w:r>
          </w:p>
        </w:tc>
        <w:tc>
          <w:tcPr>
            <w:tcW w:w="3077" w:type="dxa"/>
          </w:tcPr>
          <w:p w14:paraId="2A3DEC34" w14:textId="77777777" w:rsidR="00382B77" w:rsidRDefault="00E949BA">
            <w:pPr>
              <w:pStyle w:val="TableParagraph"/>
              <w:ind w:left="11" w:right="2"/>
              <w:jc w:val="center"/>
            </w:pPr>
            <w:r>
              <w:rPr>
                <w:spacing w:val="-2"/>
              </w:rPr>
              <w:t>1.17±0.31</w:t>
            </w:r>
          </w:p>
        </w:tc>
        <w:tc>
          <w:tcPr>
            <w:tcW w:w="3077" w:type="dxa"/>
          </w:tcPr>
          <w:p w14:paraId="249B4203" w14:textId="77777777" w:rsidR="00382B77" w:rsidRDefault="00E949BA">
            <w:pPr>
              <w:pStyle w:val="TableParagraph"/>
              <w:spacing w:line="248" w:lineRule="exact"/>
              <w:ind w:left="11" w:right="2"/>
              <w:jc w:val="center"/>
              <w:rPr>
                <w:rFonts w:ascii="Arial" w:hAnsi="Arial"/>
                <w:b/>
              </w:rPr>
            </w:pPr>
            <w:r>
              <w:rPr>
                <w:spacing w:val="-2"/>
              </w:rPr>
              <w:t>4.88±0.37</w:t>
            </w:r>
            <w:r>
              <w:rPr>
                <w:rFonts w:ascii="Arial" w:hAnsi="Arial"/>
                <w:b/>
                <w:spacing w:val="-2"/>
                <w:vertAlign w:val="superscript"/>
              </w:rPr>
              <w:t>*</w:t>
            </w:r>
          </w:p>
        </w:tc>
      </w:tr>
      <w:tr w:rsidR="00382B77" w14:paraId="10D9F840" w14:textId="77777777">
        <w:trPr>
          <w:trHeight w:val="378"/>
        </w:trPr>
        <w:tc>
          <w:tcPr>
            <w:tcW w:w="3089" w:type="dxa"/>
          </w:tcPr>
          <w:p w14:paraId="7FFCF786" w14:textId="77777777" w:rsidR="00382B77" w:rsidRDefault="00E949BA">
            <w:pPr>
              <w:pStyle w:val="TableParagraph"/>
              <w:ind w:left="10"/>
              <w:jc w:val="center"/>
            </w:pPr>
            <w:r>
              <w:t xml:space="preserve">B </w:t>
            </w:r>
            <w:r>
              <w:rPr>
                <w:spacing w:val="-5"/>
              </w:rPr>
              <w:t>(%)</w:t>
            </w:r>
          </w:p>
        </w:tc>
        <w:tc>
          <w:tcPr>
            <w:tcW w:w="3077" w:type="dxa"/>
          </w:tcPr>
          <w:p w14:paraId="26B0C432" w14:textId="77777777" w:rsidR="00382B77" w:rsidRDefault="00E949BA">
            <w:pPr>
              <w:pStyle w:val="TableParagraph"/>
              <w:ind w:left="11" w:right="2"/>
              <w:jc w:val="center"/>
            </w:pPr>
            <w:r>
              <w:rPr>
                <w:spacing w:val="-2"/>
              </w:rPr>
              <w:t>0.17±0.17</w:t>
            </w:r>
          </w:p>
        </w:tc>
        <w:tc>
          <w:tcPr>
            <w:tcW w:w="3077" w:type="dxa"/>
          </w:tcPr>
          <w:p w14:paraId="66637705" w14:textId="77777777" w:rsidR="00382B77" w:rsidRDefault="00E949BA">
            <w:pPr>
              <w:pStyle w:val="TableParagraph"/>
              <w:ind w:left="11"/>
              <w:jc w:val="center"/>
            </w:pPr>
            <w:r>
              <w:rPr>
                <w:spacing w:val="-2"/>
              </w:rPr>
              <w:t>0.2±0.08</w:t>
            </w:r>
          </w:p>
        </w:tc>
      </w:tr>
    </w:tbl>
    <w:p w14:paraId="15156547" w14:textId="77777777" w:rsidR="00382B77" w:rsidRDefault="00E949BA">
      <w:pPr>
        <w:pStyle w:val="BodyText"/>
        <w:spacing w:before="19"/>
        <w:ind w:right="0"/>
        <w:jc w:val="left"/>
      </w:pPr>
      <w:r>
        <w:t>*Significant</w:t>
      </w:r>
      <w:r>
        <w:rPr>
          <w:spacing w:val="-5"/>
        </w:rPr>
        <w:t xml:space="preserve"> </w:t>
      </w:r>
      <w:r>
        <w:t>(p</w:t>
      </w:r>
      <w:r>
        <w:rPr>
          <w:spacing w:val="-5"/>
        </w:rPr>
        <w:t xml:space="preserve"> </w:t>
      </w:r>
      <w:r>
        <w:t>&lt;</w:t>
      </w:r>
      <w:r>
        <w:rPr>
          <w:spacing w:val="-7"/>
        </w:rPr>
        <w:t xml:space="preserve"> </w:t>
      </w:r>
      <w:r>
        <w:rPr>
          <w:spacing w:val="-4"/>
        </w:rPr>
        <w:t>0.05)</w:t>
      </w:r>
    </w:p>
    <w:p w14:paraId="70DB06D8" w14:textId="77777777" w:rsidR="00382B77" w:rsidRDefault="00382B77">
      <w:pPr>
        <w:pStyle w:val="BodyText"/>
        <w:spacing w:before="0"/>
        <w:ind w:left="0" w:right="0"/>
        <w:jc w:val="left"/>
      </w:pPr>
    </w:p>
    <w:p w14:paraId="1DA27333" w14:textId="77777777" w:rsidR="00382B77" w:rsidRDefault="00382B77">
      <w:pPr>
        <w:pStyle w:val="BodyText"/>
        <w:spacing w:before="0"/>
        <w:ind w:left="0" w:right="0"/>
        <w:jc w:val="left"/>
      </w:pPr>
    </w:p>
    <w:p w14:paraId="7C2A2033" w14:textId="77777777" w:rsidR="00382B77" w:rsidRDefault="00E949BA">
      <w:pPr>
        <w:pStyle w:val="Heading2"/>
        <w:spacing w:before="0"/>
      </w:pPr>
      <w:r>
        <w:t>Biochemical</w:t>
      </w:r>
      <w:r>
        <w:rPr>
          <w:spacing w:val="-14"/>
        </w:rPr>
        <w:t xml:space="preserve"> </w:t>
      </w:r>
      <w:r>
        <w:rPr>
          <w:spacing w:val="-2"/>
        </w:rPr>
        <w:t>values</w:t>
      </w:r>
    </w:p>
    <w:p w14:paraId="772238F6" w14:textId="77777777" w:rsidR="00382B77" w:rsidRDefault="00E949BA">
      <w:pPr>
        <w:pStyle w:val="BodyText"/>
        <w:spacing w:before="260" w:line="360" w:lineRule="auto"/>
        <w:ind w:left="360" w:right="359" w:firstLine="719"/>
      </w:pPr>
      <w:r>
        <w:t>The mean serum biochemistry values of healthy control dogs and the dogs with demodicosis are given in table 2.</w:t>
      </w:r>
    </w:p>
    <w:p w14:paraId="75AD5A6C" w14:textId="5EA87DDA" w:rsidR="00CF025C" w:rsidRPr="00CF025C" w:rsidRDefault="00E949BA" w:rsidP="00CF025C">
      <w:pPr>
        <w:pStyle w:val="BodyText"/>
        <w:spacing w:line="360" w:lineRule="auto"/>
        <w:ind w:firstLine="720"/>
        <w:rPr>
          <w:lang w:val="en-IN"/>
        </w:rPr>
      </w:pPr>
      <w:r>
        <w:t xml:space="preserve">In the present investigation, the </w:t>
      </w:r>
      <w:proofErr w:type="spellStart"/>
      <w:r>
        <w:t>mean±SE</w:t>
      </w:r>
      <w:proofErr w:type="spellEnd"/>
      <w:r>
        <w:t xml:space="preserve"> total serum protein and albumin in </w:t>
      </w:r>
      <w:r>
        <w:lastRenderedPageBreak/>
        <w:t xml:space="preserve">dogs with canine demodicosis was significantly (p&gt;0.05) lower when compared to healthy control dog. But the mean globulin was significantly higher in dogs with demodicosis when compared to apparently healthy dog. </w:t>
      </w:r>
      <w:r w:rsidR="00CF025C" w:rsidRPr="00CF025C">
        <w:rPr>
          <w:rFonts w:ascii="Times New Roman" w:eastAsia="Times New Roman" w:hAnsi="Times New Roman" w:cs="Times New Roman"/>
          <w:lang w:val="en-IN" w:eastAsia="en-IN"/>
        </w:rPr>
        <w:t xml:space="preserve"> </w:t>
      </w:r>
      <w:r w:rsidR="00CF025C" w:rsidRPr="00CF025C">
        <w:rPr>
          <w:lang w:val="en-IN"/>
        </w:rPr>
        <w:t xml:space="preserve">Significant hypoproteinaemia, </w:t>
      </w:r>
      <w:proofErr w:type="spellStart"/>
      <w:r w:rsidR="00CF025C" w:rsidRPr="00CF025C">
        <w:rPr>
          <w:lang w:val="en-IN"/>
        </w:rPr>
        <w:t>hypoalbuminaemia</w:t>
      </w:r>
      <w:proofErr w:type="spellEnd"/>
      <w:r w:rsidR="00CF025C" w:rsidRPr="00CF025C">
        <w:rPr>
          <w:lang w:val="en-IN"/>
        </w:rPr>
        <w:t xml:space="preserve">, and hyperglobulinaemia were observed in the present study, which is in agreement with the findings reported by earlier workers, including Dadhich and Khanna (2008), Sakina </w:t>
      </w:r>
      <w:r w:rsidR="00CF025C" w:rsidRPr="00CF025C">
        <w:rPr>
          <w:i/>
          <w:iCs/>
          <w:lang w:val="en-IN"/>
        </w:rPr>
        <w:t>et al.</w:t>
      </w:r>
      <w:r w:rsidR="00CF025C" w:rsidRPr="00CF025C">
        <w:rPr>
          <w:lang w:val="en-IN"/>
        </w:rPr>
        <w:t xml:space="preserve"> (2012), and Pradhan </w:t>
      </w:r>
      <w:r w:rsidR="00CF025C" w:rsidRPr="00CF025C">
        <w:rPr>
          <w:i/>
          <w:iCs/>
          <w:lang w:val="en-IN"/>
        </w:rPr>
        <w:t>et al.</w:t>
      </w:r>
      <w:r w:rsidR="00CF025C" w:rsidRPr="00CF025C">
        <w:rPr>
          <w:lang w:val="en-IN"/>
        </w:rPr>
        <w:t xml:space="preserve"> (2012). The reduced serum albumin concentration observed may be attributed to excessive protein degradation resulting from cutaneous trauma and extensive mite proliferation. Conversely, the elevated globulin levels may reflect an enhanced immune response associated with severe mite infestation in canine demodicosis (Sakina </w:t>
      </w:r>
      <w:r w:rsidR="00CF025C" w:rsidRPr="00CF025C">
        <w:rPr>
          <w:i/>
          <w:iCs/>
          <w:lang w:val="en-IN"/>
        </w:rPr>
        <w:t>et al.</w:t>
      </w:r>
      <w:r w:rsidR="00CF025C" w:rsidRPr="00CF025C">
        <w:rPr>
          <w:lang w:val="en-IN"/>
        </w:rPr>
        <w:t xml:space="preserve">, 2012; Haleem </w:t>
      </w:r>
      <w:r w:rsidR="00CF025C" w:rsidRPr="00CF025C">
        <w:rPr>
          <w:i/>
          <w:iCs/>
          <w:lang w:val="en-IN"/>
        </w:rPr>
        <w:t>et al.</w:t>
      </w:r>
      <w:r w:rsidR="00CF025C" w:rsidRPr="00CF025C">
        <w:rPr>
          <w:lang w:val="en-IN"/>
        </w:rPr>
        <w:t>, 2015).</w:t>
      </w:r>
    </w:p>
    <w:p w14:paraId="76F0400E" w14:textId="1672DAC5" w:rsidR="00382B77" w:rsidRDefault="00382B77">
      <w:pPr>
        <w:pStyle w:val="BodyText"/>
        <w:spacing w:line="360" w:lineRule="auto"/>
        <w:ind w:firstLine="720"/>
      </w:pPr>
    </w:p>
    <w:p w14:paraId="79D661AD" w14:textId="77777777" w:rsidR="00382B77" w:rsidRDefault="00E949BA">
      <w:pPr>
        <w:pStyle w:val="BodyText"/>
        <w:spacing w:before="118" w:line="360" w:lineRule="auto"/>
        <w:ind w:left="360" w:firstLine="720"/>
      </w:pPr>
      <w:r>
        <w:t xml:space="preserve">There was no statistically significant (p&gt;0.05) difference found in the BUN and creatinine which was in similar to the findings of Haleem </w:t>
      </w:r>
      <w:r>
        <w:rPr>
          <w:rFonts w:ascii="Arial"/>
          <w:i/>
        </w:rPr>
        <w:t xml:space="preserve">et al. </w:t>
      </w:r>
      <w:r>
        <w:t>(2015).</w:t>
      </w:r>
    </w:p>
    <w:p w14:paraId="306E2F25" w14:textId="77777777" w:rsidR="00382B77" w:rsidRDefault="00E949BA">
      <w:pPr>
        <w:pStyle w:val="BodyText"/>
        <w:spacing w:line="360" w:lineRule="auto"/>
        <w:ind w:left="360" w:right="354" w:firstLine="720"/>
      </w:pPr>
      <w:r>
        <w:t>In the present study blood glucose level in demodectic dog was significantly</w:t>
      </w:r>
      <w:r>
        <w:rPr>
          <w:spacing w:val="40"/>
        </w:rPr>
        <w:t xml:space="preserve"> </w:t>
      </w:r>
      <w:r>
        <w:t xml:space="preserve">lower as compare to healthy control dog. Blood glucose was similar to previous finding by Kumar </w:t>
      </w:r>
      <w:r>
        <w:rPr>
          <w:rFonts w:ascii="Arial"/>
          <w:i/>
        </w:rPr>
        <w:t xml:space="preserve">et al. </w:t>
      </w:r>
      <w:r>
        <w:t xml:space="preserve">(2018). </w:t>
      </w:r>
      <w:proofErr w:type="spellStart"/>
      <w:r>
        <w:t>Hypoglycaemia</w:t>
      </w:r>
      <w:proofErr w:type="spellEnd"/>
      <w:r>
        <w:t xml:space="preserve"> might be due to increased need of glucose during inflammatory reactions as suggested by Gupta (2008) and Kumar </w:t>
      </w:r>
      <w:r>
        <w:rPr>
          <w:rFonts w:ascii="Arial"/>
          <w:i/>
        </w:rPr>
        <w:t xml:space="preserve">et al. </w:t>
      </w:r>
      <w:r>
        <w:t>(2018).</w:t>
      </w:r>
    </w:p>
    <w:p w14:paraId="0E137DAE" w14:textId="77777777" w:rsidR="00382B77" w:rsidRDefault="00E949BA">
      <w:pPr>
        <w:pStyle w:val="BodyText"/>
        <w:spacing w:line="360" w:lineRule="auto"/>
        <w:ind w:left="360" w:right="355" w:firstLine="566"/>
      </w:pPr>
      <w:r>
        <w:t xml:space="preserve">The </w:t>
      </w:r>
      <w:proofErr w:type="spellStart"/>
      <w:r>
        <w:t>mean±SE</w:t>
      </w:r>
      <w:proofErr w:type="spellEnd"/>
      <w:r>
        <w:t xml:space="preserve"> values of ALT (U/L) and AST (U/L) values of demodectic dog were significantly higher as compare with healthy control dog. This was in agreement with Arora </w:t>
      </w:r>
      <w:r>
        <w:rPr>
          <w:rFonts w:ascii="Arial" w:hAnsi="Arial"/>
          <w:i/>
        </w:rPr>
        <w:t>et</w:t>
      </w:r>
      <w:r>
        <w:rPr>
          <w:rFonts w:ascii="Arial" w:hAnsi="Arial"/>
          <w:i/>
          <w:spacing w:val="-2"/>
        </w:rPr>
        <w:t xml:space="preserve"> </w:t>
      </w:r>
      <w:r>
        <w:rPr>
          <w:rFonts w:ascii="Arial" w:hAnsi="Arial"/>
          <w:i/>
        </w:rPr>
        <w:t xml:space="preserve">al. </w:t>
      </w:r>
      <w:r>
        <w:t>(2013), Haleem</w:t>
      </w:r>
      <w:r>
        <w:rPr>
          <w:spacing w:val="-1"/>
        </w:rPr>
        <w:t xml:space="preserve"> </w:t>
      </w:r>
      <w:r>
        <w:rPr>
          <w:rFonts w:ascii="Arial" w:hAnsi="Arial"/>
          <w:i/>
        </w:rPr>
        <w:t>et</w:t>
      </w:r>
      <w:r>
        <w:rPr>
          <w:rFonts w:ascii="Arial" w:hAnsi="Arial"/>
          <w:i/>
          <w:spacing w:val="-2"/>
        </w:rPr>
        <w:t xml:space="preserve"> </w:t>
      </w:r>
      <w:r>
        <w:rPr>
          <w:rFonts w:ascii="Arial" w:hAnsi="Arial"/>
          <w:i/>
        </w:rPr>
        <w:t xml:space="preserve">al. </w:t>
      </w:r>
      <w:r>
        <w:t>(2015)</w:t>
      </w:r>
      <w:r>
        <w:rPr>
          <w:spacing w:val="-1"/>
        </w:rPr>
        <w:t xml:space="preserve"> </w:t>
      </w:r>
      <w:r>
        <w:t>and</w:t>
      </w:r>
      <w:r>
        <w:rPr>
          <w:spacing w:val="-2"/>
        </w:rPr>
        <w:t xml:space="preserve"> </w:t>
      </w:r>
      <w:r>
        <w:t>Kumar</w:t>
      </w:r>
      <w:r>
        <w:rPr>
          <w:spacing w:val="-1"/>
        </w:rPr>
        <w:t xml:space="preserve"> </w:t>
      </w:r>
      <w:r>
        <w:rPr>
          <w:rFonts w:ascii="Arial" w:hAnsi="Arial"/>
          <w:i/>
        </w:rPr>
        <w:t>et</w:t>
      </w:r>
      <w:r>
        <w:rPr>
          <w:rFonts w:ascii="Arial" w:hAnsi="Arial"/>
          <w:i/>
          <w:spacing w:val="-2"/>
        </w:rPr>
        <w:t xml:space="preserve"> </w:t>
      </w:r>
      <w:r>
        <w:rPr>
          <w:rFonts w:ascii="Arial" w:hAnsi="Arial"/>
          <w:i/>
        </w:rPr>
        <w:t xml:space="preserve">al. </w:t>
      </w:r>
      <w:r>
        <w:t>(2018).</w:t>
      </w:r>
      <w:r>
        <w:rPr>
          <w:spacing w:val="-2"/>
        </w:rPr>
        <w:t xml:space="preserve"> </w:t>
      </w:r>
      <w:r>
        <w:t xml:space="preserve">The elevation of these parameters could be due to the hepatic damage caused by toxic products from mites (Kaneko </w:t>
      </w:r>
      <w:r>
        <w:rPr>
          <w:rFonts w:ascii="Arial" w:hAnsi="Arial"/>
          <w:i/>
        </w:rPr>
        <w:t xml:space="preserve">et al., </w:t>
      </w:r>
      <w:r>
        <w:t>1997).</w:t>
      </w:r>
    </w:p>
    <w:p w14:paraId="1CC92A85" w14:textId="77777777" w:rsidR="00382B77" w:rsidRDefault="00382B77">
      <w:pPr>
        <w:pStyle w:val="BodyText"/>
        <w:spacing w:line="360" w:lineRule="auto"/>
        <w:sectPr w:rsidR="00382B77">
          <w:type w:val="continuous"/>
          <w:pgSz w:w="12240" w:h="15840"/>
          <w:pgMar w:top="1420" w:right="1080" w:bottom="280" w:left="1080" w:header="720" w:footer="720" w:gutter="0"/>
          <w:cols w:space="720"/>
        </w:sectPr>
      </w:pPr>
    </w:p>
    <w:p w14:paraId="6C70ED88" w14:textId="77777777" w:rsidR="00382B77" w:rsidRDefault="00E949BA">
      <w:pPr>
        <w:pStyle w:val="BodyText"/>
        <w:tabs>
          <w:tab w:val="left" w:pos="1439"/>
        </w:tabs>
        <w:spacing w:before="78" w:after="2" w:line="360" w:lineRule="auto"/>
        <w:ind w:left="1439" w:right="358" w:hanging="1080"/>
        <w:jc w:val="left"/>
      </w:pPr>
      <w:r>
        <w:rPr>
          <w:rFonts w:ascii="Arial" w:hAnsi="Arial"/>
          <w:b/>
        </w:rPr>
        <w:lastRenderedPageBreak/>
        <w:t>Table 2</w:t>
      </w:r>
      <w:r>
        <w:rPr>
          <w:rFonts w:ascii="Arial" w:hAnsi="Arial"/>
          <w:b/>
        </w:rPr>
        <w:tab/>
      </w:r>
      <w:proofErr w:type="spellStart"/>
      <w:r>
        <w:t>Mean±S.E</w:t>
      </w:r>
      <w:proofErr w:type="spellEnd"/>
      <w:r>
        <w:rPr>
          <w:spacing w:val="40"/>
        </w:rPr>
        <w:t xml:space="preserve"> </w:t>
      </w:r>
      <w:r>
        <w:t>serum</w:t>
      </w:r>
      <w:r>
        <w:rPr>
          <w:spacing w:val="40"/>
        </w:rPr>
        <w:t xml:space="preserve"> </w:t>
      </w:r>
      <w:r>
        <w:t>biochemical</w:t>
      </w:r>
      <w:r>
        <w:rPr>
          <w:spacing w:val="40"/>
        </w:rPr>
        <w:t xml:space="preserve"> </w:t>
      </w:r>
      <w:r>
        <w:t>values</w:t>
      </w:r>
      <w:r>
        <w:rPr>
          <w:spacing w:val="40"/>
        </w:rPr>
        <w:t xml:space="preserve"> </w:t>
      </w:r>
      <w:r>
        <w:t>of</w:t>
      </w:r>
      <w:r>
        <w:rPr>
          <w:spacing w:val="40"/>
        </w:rPr>
        <w:t xml:space="preserve"> </w:t>
      </w:r>
      <w:r>
        <w:t>healthy</w:t>
      </w:r>
      <w:r>
        <w:rPr>
          <w:spacing w:val="40"/>
        </w:rPr>
        <w:t xml:space="preserve"> </w:t>
      </w:r>
      <w:r>
        <w:t>and</w:t>
      </w:r>
      <w:r>
        <w:rPr>
          <w:spacing w:val="40"/>
        </w:rPr>
        <w:t xml:space="preserve"> </w:t>
      </w:r>
      <w:r>
        <w:t>canine</w:t>
      </w:r>
      <w:r>
        <w:rPr>
          <w:spacing w:val="40"/>
        </w:rPr>
        <w:t xml:space="preserve"> </w:t>
      </w:r>
      <w:r>
        <w:t>demodicosis</w:t>
      </w:r>
      <w:r>
        <w:rPr>
          <w:spacing w:val="40"/>
        </w:rPr>
        <w:t xml:space="preserve"> </w:t>
      </w:r>
      <w:r>
        <w:t>positive dogs</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6"/>
        <w:gridCol w:w="3074"/>
        <w:gridCol w:w="3081"/>
      </w:tblGrid>
      <w:tr w:rsidR="00382B77" w14:paraId="58B25266" w14:textId="77777777">
        <w:trPr>
          <w:trHeight w:val="414"/>
        </w:trPr>
        <w:tc>
          <w:tcPr>
            <w:tcW w:w="3086" w:type="dxa"/>
          </w:tcPr>
          <w:p w14:paraId="4355639B" w14:textId="77777777" w:rsidR="00382B77" w:rsidRDefault="00E949BA">
            <w:pPr>
              <w:pStyle w:val="TableParagraph"/>
              <w:spacing w:line="248" w:lineRule="exact"/>
              <w:rPr>
                <w:rFonts w:ascii="Arial"/>
                <w:b/>
              </w:rPr>
            </w:pPr>
            <w:r>
              <w:rPr>
                <w:rFonts w:ascii="Arial"/>
                <w:b/>
                <w:spacing w:val="-2"/>
              </w:rPr>
              <w:t>Parameters</w:t>
            </w:r>
          </w:p>
        </w:tc>
        <w:tc>
          <w:tcPr>
            <w:tcW w:w="3074" w:type="dxa"/>
          </w:tcPr>
          <w:p w14:paraId="3DDB0C0C" w14:textId="77777777" w:rsidR="00382B77" w:rsidRDefault="00E949BA">
            <w:pPr>
              <w:pStyle w:val="TableParagraph"/>
              <w:spacing w:line="248" w:lineRule="exact"/>
              <w:ind w:left="108"/>
              <w:rPr>
                <w:rFonts w:ascii="Arial"/>
                <w:b/>
              </w:rPr>
            </w:pPr>
            <w:r>
              <w:rPr>
                <w:rFonts w:ascii="Arial"/>
                <w:b/>
              </w:rPr>
              <w:t>Healthy</w:t>
            </w:r>
            <w:r>
              <w:rPr>
                <w:rFonts w:ascii="Arial"/>
                <w:b/>
                <w:spacing w:val="-8"/>
              </w:rPr>
              <w:t xml:space="preserve"> </w:t>
            </w:r>
            <w:r>
              <w:rPr>
                <w:rFonts w:ascii="Arial"/>
                <w:b/>
                <w:spacing w:val="-4"/>
              </w:rPr>
              <w:t>(n=6)</w:t>
            </w:r>
          </w:p>
        </w:tc>
        <w:tc>
          <w:tcPr>
            <w:tcW w:w="3081" w:type="dxa"/>
          </w:tcPr>
          <w:p w14:paraId="176A00ED" w14:textId="77777777" w:rsidR="00382B77" w:rsidRDefault="00E949BA">
            <w:pPr>
              <w:pStyle w:val="TableParagraph"/>
              <w:spacing w:line="274" w:lineRule="exact"/>
              <w:ind w:left="108"/>
              <w:rPr>
                <w:rFonts w:ascii="Arial"/>
                <w:b/>
              </w:rPr>
            </w:pPr>
            <w:r>
              <w:rPr>
                <w:rFonts w:ascii="Arial"/>
                <w:b/>
                <w:sz w:val="24"/>
              </w:rPr>
              <w:t>Positive</w:t>
            </w:r>
            <w:r>
              <w:rPr>
                <w:rFonts w:ascii="Arial"/>
                <w:b/>
                <w:spacing w:val="-12"/>
                <w:sz w:val="24"/>
              </w:rPr>
              <w:t xml:space="preserve"> </w:t>
            </w:r>
            <w:r>
              <w:rPr>
                <w:rFonts w:ascii="Arial"/>
                <w:b/>
              </w:rPr>
              <w:t>dog</w:t>
            </w:r>
            <w:r>
              <w:rPr>
                <w:rFonts w:ascii="Arial"/>
                <w:b/>
                <w:spacing w:val="-6"/>
              </w:rPr>
              <w:t xml:space="preserve"> </w:t>
            </w:r>
            <w:r>
              <w:rPr>
                <w:rFonts w:ascii="Arial"/>
                <w:b/>
                <w:spacing w:val="-2"/>
              </w:rPr>
              <w:t>(n=25)</w:t>
            </w:r>
          </w:p>
        </w:tc>
      </w:tr>
      <w:tr w:rsidR="00382B77" w14:paraId="06FD00D0" w14:textId="77777777">
        <w:trPr>
          <w:trHeight w:val="378"/>
        </w:trPr>
        <w:tc>
          <w:tcPr>
            <w:tcW w:w="3086" w:type="dxa"/>
          </w:tcPr>
          <w:p w14:paraId="4C0FE5C6" w14:textId="77777777" w:rsidR="00382B77" w:rsidRDefault="00E949BA">
            <w:pPr>
              <w:pStyle w:val="TableParagraph"/>
            </w:pPr>
            <w:r>
              <w:t>Total</w:t>
            </w:r>
            <w:r>
              <w:rPr>
                <w:spacing w:val="-3"/>
              </w:rPr>
              <w:t xml:space="preserve"> </w:t>
            </w:r>
            <w:r>
              <w:t>protein</w:t>
            </w:r>
            <w:r>
              <w:rPr>
                <w:spacing w:val="-1"/>
              </w:rPr>
              <w:t xml:space="preserve"> </w:t>
            </w:r>
            <w:r>
              <w:rPr>
                <w:spacing w:val="-2"/>
              </w:rPr>
              <w:t>(g/dl)</w:t>
            </w:r>
          </w:p>
        </w:tc>
        <w:tc>
          <w:tcPr>
            <w:tcW w:w="3074" w:type="dxa"/>
          </w:tcPr>
          <w:p w14:paraId="18EECB27" w14:textId="77777777" w:rsidR="00382B77" w:rsidRDefault="00E949BA">
            <w:pPr>
              <w:pStyle w:val="TableParagraph"/>
              <w:ind w:left="108"/>
            </w:pPr>
            <w:r>
              <w:rPr>
                <w:spacing w:val="-2"/>
              </w:rPr>
              <w:t>6.63±0.16</w:t>
            </w:r>
          </w:p>
        </w:tc>
        <w:tc>
          <w:tcPr>
            <w:tcW w:w="3081" w:type="dxa"/>
          </w:tcPr>
          <w:p w14:paraId="1BF45210" w14:textId="77777777" w:rsidR="00382B77" w:rsidRDefault="00E949BA">
            <w:pPr>
              <w:pStyle w:val="TableParagraph"/>
              <w:ind w:left="108"/>
            </w:pPr>
            <w:r>
              <w:rPr>
                <w:spacing w:val="-2"/>
              </w:rPr>
              <w:t>6.03±0.1*</w:t>
            </w:r>
          </w:p>
        </w:tc>
      </w:tr>
      <w:tr w:rsidR="00382B77" w14:paraId="46081B7F" w14:textId="77777777">
        <w:trPr>
          <w:trHeight w:val="378"/>
        </w:trPr>
        <w:tc>
          <w:tcPr>
            <w:tcW w:w="3086" w:type="dxa"/>
          </w:tcPr>
          <w:p w14:paraId="3314EC9A" w14:textId="77777777" w:rsidR="00382B77" w:rsidRDefault="00E949BA">
            <w:pPr>
              <w:pStyle w:val="TableParagraph"/>
            </w:pPr>
            <w:r>
              <w:t>Albumin</w:t>
            </w:r>
            <w:r>
              <w:rPr>
                <w:spacing w:val="-3"/>
              </w:rPr>
              <w:t xml:space="preserve"> </w:t>
            </w:r>
            <w:r>
              <w:rPr>
                <w:spacing w:val="-2"/>
              </w:rPr>
              <w:t>(g/dl)</w:t>
            </w:r>
          </w:p>
        </w:tc>
        <w:tc>
          <w:tcPr>
            <w:tcW w:w="3074" w:type="dxa"/>
          </w:tcPr>
          <w:p w14:paraId="44C59CE6" w14:textId="77777777" w:rsidR="00382B77" w:rsidRDefault="00E949BA">
            <w:pPr>
              <w:pStyle w:val="TableParagraph"/>
              <w:ind w:left="108"/>
            </w:pPr>
            <w:r>
              <w:rPr>
                <w:spacing w:val="-2"/>
              </w:rPr>
              <w:t>3.17±0.13</w:t>
            </w:r>
          </w:p>
        </w:tc>
        <w:tc>
          <w:tcPr>
            <w:tcW w:w="3081" w:type="dxa"/>
          </w:tcPr>
          <w:p w14:paraId="6C20EBEF" w14:textId="77777777" w:rsidR="00382B77" w:rsidRDefault="00E949BA">
            <w:pPr>
              <w:pStyle w:val="TableParagraph"/>
              <w:ind w:left="108"/>
            </w:pPr>
            <w:r>
              <w:rPr>
                <w:spacing w:val="-2"/>
              </w:rPr>
              <w:t>2.02±0.0+06*</w:t>
            </w:r>
          </w:p>
        </w:tc>
      </w:tr>
      <w:tr w:rsidR="00382B77" w14:paraId="2FDC2283" w14:textId="77777777">
        <w:trPr>
          <w:trHeight w:val="378"/>
        </w:trPr>
        <w:tc>
          <w:tcPr>
            <w:tcW w:w="3086" w:type="dxa"/>
          </w:tcPr>
          <w:p w14:paraId="4013B1BA" w14:textId="77777777" w:rsidR="00382B77" w:rsidRDefault="00E949BA">
            <w:pPr>
              <w:pStyle w:val="TableParagraph"/>
            </w:pPr>
            <w:r>
              <w:t>Globulin</w:t>
            </w:r>
            <w:r>
              <w:rPr>
                <w:spacing w:val="-4"/>
              </w:rPr>
              <w:t xml:space="preserve"> </w:t>
            </w:r>
            <w:r>
              <w:rPr>
                <w:spacing w:val="-2"/>
              </w:rPr>
              <w:t>(g/dl)</w:t>
            </w:r>
          </w:p>
        </w:tc>
        <w:tc>
          <w:tcPr>
            <w:tcW w:w="3074" w:type="dxa"/>
          </w:tcPr>
          <w:p w14:paraId="4E95F733" w14:textId="77777777" w:rsidR="00382B77" w:rsidRDefault="00E949BA">
            <w:pPr>
              <w:pStyle w:val="TableParagraph"/>
              <w:ind w:left="108"/>
            </w:pPr>
            <w:r>
              <w:rPr>
                <w:spacing w:val="-2"/>
              </w:rPr>
              <w:t>3.47±0.09</w:t>
            </w:r>
          </w:p>
        </w:tc>
        <w:tc>
          <w:tcPr>
            <w:tcW w:w="3081" w:type="dxa"/>
          </w:tcPr>
          <w:p w14:paraId="6A393611" w14:textId="77777777" w:rsidR="00382B77" w:rsidRDefault="00E949BA">
            <w:pPr>
              <w:pStyle w:val="TableParagraph"/>
              <w:ind w:left="108"/>
            </w:pPr>
            <w:r>
              <w:rPr>
                <w:spacing w:val="-2"/>
              </w:rPr>
              <w:t>4.01±0.07*</w:t>
            </w:r>
          </w:p>
        </w:tc>
      </w:tr>
      <w:tr w:rsidR="00382B77" w14:paraId="24C79926" w14:textId="77777777">
        <w:trPr>
          <w:trHeight w:val="381"/>
        </w:trPr>
        <w:tc>
          <w:tcPr>
            <w:tcW w:w="3086" w:type="dxa"/>
          </w:tcPr>
          <w:p w14:paraId="2B24CA7E" w14:textId="77777777" w:rsidR="00382B77" w:rsidRDefault="00E949BA">
            <w:pPr>
              <w:pStyle w:val="TableParagraph"/>
              <w:spacing w:line="240" w:lineRule="auto"/>
            </w:pPr>
            <w:r>
              <w:t>A:G</w:t>
            </w:r>
            <w:r>
              <w:rPr>
                <w:spacing w:val="-2"/>
              </w:rPr>
              <w:t xml:space="preserve"> ratio</w:t>
            </w:r>
          </w:p>
        </w:tc>
        <w:tc>
          <w:tcPr>
            <w:tcW w:w="3074" w:type="dxa"/>
          </w:tcPr>
          <w:p w14:paraId="3D790184" w14:textId="77777777" w:rsidR="00382B77" w:rsidRDefault="00E949BA">
            <w:pPr>
              <w:pStyle w:val="TableParagraph"/>
              <w:spacing w:line="240" w:lineRule="auto"/>
              <w:ind w:left="108"/>
            </w:pPr>
            <w:r>
              <w:rPr>
                <w:spacing w:val="-2"/>
              </w:rPr>
              <w:t>0.91±0.04</w:t>
            </w:r>
          </w:p>
        </w:tc>
        <w:tc>
          <w:tcPr>
            <w:tcW w:w="3081" w:type="dxa"/>
          </w:tcPr>
          <w:p w14:paraId="663BF234" w14:textId="77777777" w:rsidR="00382B77" w:rsidRDefault="00E949BA">
            <w:pPr>
              <w:pStyle w:val="TableParagraph"/>
              <w:spacing w:line="240" w:lineRule="auto"/>
              <w:ind w:left="108"/>
            </w:pPr>
            <w:r>
              <w:rPr>
                <w:spacing w:val="-2"/>
              </w:rPr>
              <w:t>0.51±0.02*</w:t>
            </w:r>
          </w:p>
        </w:tc>
      </w:tr>
      <w:tr w:rsidR="00382B77" w14:paraId="47E202A8" w14:textId="77777777">
        <w:trPr>
          <w:trHeight w:val="378"/>
        </w:trPr>
        <w:tc>
          <w:tcPr>
            <w:tcW w:w="3086" w:type="dxa"/>
          </w:tcPr>
          <w:p w14:paraId="184AFBA2" w14:textId="77777777" w:rsidR="00382B77" w:rsidRDefault="00E949BA">
            <w:pPr>
              <w:pStyle w:val="TableParagraph"/>
            </w:pPr>
            <w:r>
              <w:t>Glucose</w:t>
            </w:r>
            <w:r>
              <w:rPr>
                <w:spacing w:val="-4"/>
              </w:rPr>
              <w:t xml:space="preserve"> </w:t>
            </w:r>
            <w:r>
              <w:rPr>
                <w:spacing w:val="-2"/>
              </w:rPr>
              <w:t>(mg/dl)</w:t>
            </w:r>
          </w:p>
        </w:tc>
        <w:tc>
          <w:tcPr>
            <w:tcW w:w="3074" w:type="dxa"/>
          </w:tcPr>
          <w:p w14:paraId="0FA42B81" w14:textId="77777777" w:rsidR="00382B77" w:rsidRDefault="00E949BA">
            <w:pPr>
              <w:pStyle w:val="TableParagraph"/>
              <w:ind w:left="108"/>
            </w:pPr>
            <w:r>
              <w:rPr>
                <w:spacing w:val="-2"/>
              </w:rPr>
              <w:t>98.33±2.03</w:t>
            </w:r>
          </w:p>
        </w:tc>
        <w:tc>
          <w:tcPr>
            <w:tcW w:w="3081" w:type="dxa"/>
          </w:tcPr>
          <w:p w14:paraId="2825A970" w14:textId="77777777" w:rsidR="00382B77" w:rsidRDefault="00E949BA">
            <w:pPr>
              <w:pStyle w:val="TableParagraph"/>
              <w:ind w:left="108"/>
            </w:pPr>
            <w:r>
              <w:rPr>
                <w:spacing w:val="-2"/>
              </w:rPr>
              <w:t>83.2±0.93*</w:t>
            </w:r>
          </w:p>
        </w:tc>
      </w:tr>
      <w:tr w:rsidR="00382B77" w14:paraId="6E6D15ED" w14:textId="77777777">
        <w:trPr>
          <w:trHeight w:val="378"/>
        </w:trPr>
        <w:tc>
          <w:tcPr>
            <w:tcW w:w="3086" w:type="dxa"/>
          </w:tcPr>
          <w:p w14:paraId="448CC01F" w14:textId="77777777" w:rsidR="00382B77" w:rsidRDefault="00E949BA">
            <w:pPr>
              <w:pStyle w:val="TableParagraph"/>
            </w:pPr>
            <w:r>
              <w:t>ALT/SGPT</w:t>
            </w:r>
            <w:r>
              <w:rPr>
                <w:spacing w:val="59"/>
              </w:rPr>
              <w:t xml:space="preserve"> </w:t>
            </w:r>
            <w:r>
              <w:rPr>
                <w:spacing w:val="-5"/>
              </w:rPr>
              <w:t>U/L</w:t>
            </w:r>
          </w:p>
        </w:tc>
        <w:tc>
          <w:tcPr>
            <w:tcW w:w="3074" w:type="dxa"/>
          </w:tcPr>
          <w:p w14:paraId="66B33DFA" w14:textId="77777777" w:rsidR="00382B77" w:rsidRDefault="00E949BA">
            <w:pPr>
              <w:pStyle w:val="TableParagraph"/>
              <w:ind w:left="108"/>
            </w:pPr>
            <w:r>
              <w:rPr>
                <w:spacing w:val="-2"/>
              </w:rPr>
              <w:t>20.67±0.49</w:t>
            </w:r>
          </w:p>
        </w:tc>
        <w:tc>
          <w:tcPr>
            <w:tcW w:w="3081" w:type="dxa"/>
          </w:tcPr>
          <w:p w14:paraId="055D7C10" w14:textId="77777777" w:rsidR="00382B77" w:rsidRDefault="00E949BA">
            <w:pPr>
              <w:pStyle w:val="TableParagraph"/>
              <w:ind w:left="108"/>
            </w:pPr>
            <w:r>
              <w:rPr>
                <w:spacing w:val="-2"/>
              </w:rPr>
              <w:t>26.72±0.51*</w:t>
            </w:r>
          </w:p>
        </w:tc>
      </w:tr>
      <w:tr w:rsidR="00382B77" w14:paraId="0F2A795D" w14:textId="77777777">
        <w:trPr>
          <w:trHeight w:val="381"/>
        </w:trPr>
        <w:tc>
          <w:tcPr>
            <w:tcW w:w="3086" w:type="dxa"/>
          </w:tcPr>
          <w:p w14:paraId="69EF1410" w14:textId="77777777" w:rsidR="00382B77" w:rsidRDefault="00E949BA">
            <w:pPr>
              <w:pStyle w:val="TableParagraph"/>
            </w:pPr>
            <w:r>
              <w:t>AST/SGOT</w:t>
            </w:r>
            <w:r>
              <w:rPr>
                <w:spacing w:val="57"/>
              </w:rPr>
              <w:t xml:space="preserve"> </w:t>
            </w:r>
            <w:r>
              <w:rPr>
                <w:spacing w:val="-5"/>
              </w:rPr>
              <w:t>U/L</w:t>
            </w:r>
          </w:p>
        </w:tc>
        <w:tc>
          <w:tcPr>
            <w:tcW w:w="3074" w:type="dxa"/>
          </w:tcPr>
          <w:p w14:paraId="13E1AA78" w14:textId="77777777" w:rsidR="00382B77" w:rsidRDefault="00E949BA">
            <w:pPr>
              <w:pStyle w:val="TableParagraph"/>
              <w:ind w:left="108"/>
            </w:pPr>
            <w:r>
              <w:rPr>
                <w:spacing w:val="-2"/>
              </w:rPr>
              <w:t>23.5±0.43</w:t>
            </w:r>
          </w:p>
        </w:tc>
        <w:tc>
          <w:tcPr>
            <w:tcW w:w="3081" w:type="dxa"/>
          </w:tcPr>
          <w:p w14:paraId="53556C59" w14:textId="77777777" w:rsidR="00382B77" w:rsidRDefault="00E949BA">
            <w:pPr>
              <w:pStyle w:val="TableParagraph"/>
              <w:ind w:left="108"/>
            </w:pPr>
            <w:r>
              <w:rPr>
                <w:spacing w:val="-2"/>
              </w:rPr>
              <w:t>29.64±0.40*</w:t>
            </w:r>
          </w:p>
        </w:tc>
      </w:tr>
      <w:tr w:rsidR="00382B77" w14:paraId="5D934382" w14:textId="77777777">
        <w:trPr>
          <w:trHeight w:val="378"/>
        </w:trPr>
        <w:tc>
          <w:tcPr>
            <w:tcW w:w="3086" w:type="dxa"/>
          </w:tcPr>
          <w:p w14:paraId="6B7E8EE4" w14:textId="77777777" w:rsidR="00382B77" w:rsidRDefault="00E949BA">
            <w:pPr>
              <w:pStyle w:val="TableParagraph"/>
            </w:pPr>
            <w:r>
              <w:t>BUN</w:t>
            </w:r>
            <w:r>
              <w:rPr>
                <w:spacing w:val="60"/>
              </w:rPr>
              <w:t xml:space="preserve"> </w:t>
            </w:r>
            <w:r>
              <w:rPr>
                <w:spacing w:val="-2"/>
              </w:rPr>
              <w:t>(mg/dl)</w:t>
            </w:r>
          </w:p>
        </w:tc>
        <w:tc>
          <w:tcPr>
            <w:tcW w:w="3074" w:type="dxa"/>
          </w:tcPr>
          <w:p w14:paraId="713CC42D" w14:textId="77777777" w:rsidR="00382B77" w:rsidRDefault="00E949BA">
            <w:pPr>
              <w:pStyle w:val="TableParagraph"/>
              <w:ind w:left="108"/>
            </w:pPr>
            <w:r>
              <w:rPr>
                <w:spacing w:val="-2"/>
              </w:rPr>
              <w:t>12.5±0.56</w:t>
            </w:r>
          </w:p>
        </w:tc>
        <w:tc>
          <w:tcPr>
            <w:tcW w:w="3081" w:type="dxa"/>
          </w:tcPr>
          <w:p w14:paraId="433EDC39" w14:textId="77777777" w:rsidR="00382B77" w:rsidRDefault="00E949BA">
            <w:pPr>
              <w:pStyle w:val="TableParagraph"/>
              <w:ind w:left="108"/>
            </w:pPr>
            <w:r>
              <w:rPr>
                <w:spacing w:val="-2"/>
              </w:rPr>
              <w:t>13.84±0.29</w:t>
            </w:r>
          </w:p>
        </w:tc>
      </w:tr>
      <w:tr w:rsidR="00382B77" w14:paraId="4131E2BC" w14:textId="77777777">
        <w:trPr>
          <w:trHeight w:val="393"/>
        </w:trPr>
        <w:tc>
          <w:tcPr>
            <w:tcW w:w="3086" w:type="dxa"/>
          </w:tcPr>
          <w:p w14:paraId="7591B308" w14:textId="77777777" w:rsidR="00382B77" w:rsidRDefault="00E949BA">
            <w:pPr>
              <w:pStyle w:val="TableParagraph"/>
            </w:pPr>
            <w:r>
              <w:t>Creatinine</w:t>
            </w:r>
            <w:r>
              <w:rPr>
                <w:spacing w:val="56"/>
              </w:rPr>
              <w:t xml:space="preserve"> </w:t>
            </w:r>
            <w:r>
              <w:rPr>
                <w:spacing w:val="-2"/>
              </w:rPr>
              <w:t>(mg/dl)</w:t>
            </w:r>
          </w:p>
        </w:tc>
        <w:tc>
          <w:tcPr>
            <w:tcW w:w="3074" w:type="dxa"/>
          </w:tcPr>
          <w:p w14:paraId="718E2DD1" w14:textId="77777777" w:rsidR="00382B77" w:rsidRDefault="00E949BA">
            <w:pPr>
              <w:pStyle w:val="TableParagraph"/>
              <w:ind w:left="108"/>
            </w:pPr>
            <w:r>
              <w:rPr>
                <w:spacing w:val="-2"/>
              </w:rPr>
              <w:t>0.85±0.08</w:t>
            </w:r>
          </w:p>
        </w:tc>
        <w:tc>
          <w:tcPr>
            <w:tcW w:w="3081" w:type="dxa"/>
          </w:tcPr>
          <w:p w14:paraId="7680AB20" w14:textId="77777777" w:rsidR="00382B77" w:rsidRDefault="00E949BA">
            <w:pPr>
              <w:pStyle w:val="TableParagraph"/>
              <w:ind w:left="108"/>
            </w:pPr>
            <w:r>
              <w:rPr>
                <w:spacing w:val="-2"/>
              </w:rPr>
              <w:t>1.19±0.04</w:t>
            </w:r>
          </w:p>
        </w:tc>
      </w:tr>
    </w:tbl>
    <w:p w14:paraId="31D426BB" w14:textId="77777777" w:rsidR="00382B77" w:rsidRDefault="00E949BA">
      <w:pPr>
        <w:pStyle w:val="BodyText"/>
        <w:spacing w:before="4"/>
        <w:ind w:right="0"/>
        <w:jc w:val="left"/>
      </w:pPr>
      <w:r>
        <w:t>*Significant</w:t>
      </w:r>
      <w:r>
        <w:rPr>
          <w:spacing w:val="-5"/>
        </w:rPr>
        <w:t xml:space="preserve"> </w:t>
      </w:r>
      <w:r>
        <w:t>(p</w:t>
      </w:r>
      <w:r>
        <w:rPr>
          <w:spacing w:val="-5"/>
        </w:rPr>
        <w:t xml:space="preserve"> </w:t>
      </w:r>
      <w:r>
        <w:t>&lt;</w:t>
      </w:r>
      <w:r>
        <w:rPr>
          <w:spacing w:val="-7"/>
        </w:rPr>
        <w:t xml:space="preserve"> </w:t>
      </w:r>
      <w:r>
        <w:rPr>
          <w:spacing w:val="-4"/>
        </w:rPr>
        <w:t>0.05)</w:t>
      </w:r>
    </w:p>
    <w:p w14:paraId="32DEA502" w14:textId="77777777" w:rsidR="00382B77" w:rsidRDefault="00382B77">
      <w:pPr>
        <w:pStyle w:val="BodyText"/>
        <w:spacing w:before="275"/>
        <w:ind w:left="0" w:right="0"/>
        <w:jc w:val="left"/>
      </w:pPr>
    </w:p>
    <w:p w14:paraId="226D05BC" w14:textId="77777777" w:rsidR="00382B77" w:rsidRDefault="00E949BA">
      <w:pPr>
        <w:pStyle w:val="Heading2"/>
      </w:pPr>
      <w:r>
        <w:t>Mineral</w:t>
      </w:r>
      <w:r>
        <w:rPr>
          <w:spacing w:val="-7"/>
        </w:rPr>
        <w:t xml:space="preserve"> </w:t>
      </w:r>
      <w:r>
        <w:rPr>
          <w:spacing w:val="-2"/>
        </w:rPr>
        <w:t>Estimation</w:t>
      </w:r>
    </w:p>
    <w:p w14:paraId="4B81C620" w14:textId="77777777" w:rsidR="00382B77" w:rsidRDefault="00E949BA">
      <w:pPr>
        <w:pStyle w:val="BodyText"/>
        <w:spacing w:before="139" w:line="360" w:lineRule="auto"/>
        <w:ind w:right="355" w:firstLine="720"/>
      </w:pPr>
      <w:r>
        <w:t xml:space="preserve">In the present investigation the </w:t>
      </w:r>
      <w:proofErr w:type="spellStart"/>
      <w:r>
        <w:t>mean±SE</w:t>
      </w:r>
      <w:proofErr w:type="spellEnd"/>
      <w:r>
        <w:t xml:space="preserve"> values of serum zinc, copper and iron concentration significantly low in canine demodicosis affected dog (Table3). The levels of serum zinc and copper concentrations are in agreement with </w:t>
      </w:r>
      <w:proofErr w:type="spellStart"/>
      <w:r>
        <w:t>Dimri</w:t>
      </w:r>
      <w:proofErr w:type="spellEnd"/>
      <w:r>
        <w:t xml:space="preserve"> </w:t>
      </w:r>
      <w:r>
        <w:rPr>
          <w:rFonts w:ascii="Arial" w:hAnsi="Arial"/>
          <w:i/>
        </w:rPr>
        <w:t xml:space="preserve">et al. </w:t>
      </w:r>
      <w:r>
        <w:t xml:space="preserve">(2008) who reported that blood zinc and copper levels in dogs with canine demodicosis were significantly (P &lt; 0.01) lower than healthy control and similarly Beigh </w:t>
      </w:r>
      <w:r>
        <w:rPr>
          <w:rFonts w:ascii="Arial" w:hAnsi="Arial"/>
          <w:i/>
        </w:rPr>
        <w:t>et al</w:t>
      </w:r>
      <w:r>
        <w:t>. (2013) observed that in comparison to healthy</w:t>
      </w:r>
      <w:r>
        <w:rPr>
          <w:spacing w:val="-3"/>
        </w:rPr>
        <w:t xml:space="preserve"> </w:t>
      </w:r>
      <w:r>
        <w:t>control, zinc and copper</w:t>
      </w:r>
      <w:r>
        <w:rPr>
          <w:spacing w:val="-1"/>
        </w:rPr>
        <w:t xml:space="preserve"> </w:t>
      </w:r>
      <w:r>
        <w:t xml:space="preserve">levels were significantly (P &lt; 0.01) lower in dogs with generalized </w:t>
      </w:r>
      <w:proofErr w:type="spellStart"/>
      <w:r>
        <w:t>demodecosis</w:t>
      </w:r>
      <w:proofErr w:type="spellEnd"/>
      <w:r>
        <w:t>.</w:t>
      </w:r>
    </w:p>
    <w:p w14:paraId="76C1DD8B" w14:textId="7BE42A5B" w:rsidR="00CF025C" w:rsidRPr="00CF025C" w:rsidRDefault="00E949BA" w:rsidP="00CF025C">
      <w:pPr>
        <w:pStyle w:val="BodyText"/>
        <w:spacing w:line="360" w:lineRule="auto"/>
        <w:ind w:left="360" w:firstLine="720"/>
        <w:rPr>
          <w:lang w:val="en-IN"/>
        </w:rPr>
      </w:pPr>
      <w:r>
        <w:t xml:space="preserve">Arora </w:t>
      </w:r>
      <w:r>
        <w:rPr>
          <w:rFonts w:ascii="Arial"/>
          <w:i/>
        </w:rPr>
        <w:t>et al</w:t>
      </w:r>
      <w:r>
        <w:t xml:space="preserve">. (2013) and Jyotsna </w:t>
      </w:r>
      <w:r>
        <w:rPr>
          <w:rFonts w:ascii="Arial"/>
          <w:i/>
        </w:rPr>
        <w:t>et al</w:t>
      </w:r>
      <w:r>
        <w:t>. (2005) reported decreased serum iron</w:t>
      </w:r>
      <w:r>
        <w:rPr>
          <w:spacing w:val="40"/>
        </w:rPr>
        <w:t xml:space="preserve"> </w:t>
      </w:r>
      <w:r>
        <w:t xml:space="preserve">levels in canine demodicosis affected dogs. </w:t>
      </w:r>
      <w:r w:rsidR="00CF025C" w:rsidRPr="00CF025C">
        <w:rPr>
          <w:rFonts w:ascii="Times New Roman" w:eastAsia="Times New Roman" w:hAnsi="Times New Roman" w:cs="Times New Roman"/>
          <w:lang w:val="en-IN" w:eastAsia="en-IN"/>
        </w:rPr>
        <w:t xml:space="preserve"> </w:t>
      </w:r>
      <w:r w:rsidR="00CF025C" w:rsidRPr="00CF025C">
        <w:rPr>
          <w:lang w:val="en-IN"/>
        </w:rPr>
        <w:t xml:space="preserve">According to Klasing (1998), during inflammatory processes interleukins released from activated phagocytes reduce circulating zinc concentrations through enhanced hepatic synthesis of metallothionein. Metallothionein, which binds seven gram-atoms of zinc per mole, serves as an efficient mechanism for sequestering zinc from the circulation. Furthermore, Nath </w:t>
      </w:r>
      <w:r w:rsidR="00CF025C" w:rsidRPr="00CF025C">
        <w:rPr>
          <w:i/>
          <w:iCs/>
          <w:lang w:val="en-IN"/>
        </w:rPr>
        <w:t>et al.</w:t>
      </w:r>
      <w:r w:rsidR="00CF025C" w:rsidRPr="00CF025C">
        <w:rPr>
          <w:lang w:val="en-IN"/>
        </w:rPr>
        <w:t xml:space="preserve"> (1984) reported that the observed reductions in copper and zinc concentrations may be attributed to their increased utilisation in the synthesis of antioxidant enzymes as a response to oxidative stress.</w:t>
      </w:r>
    </w:p>
    <w:p w14:paraId="4C9AA8BE" w14:textId="065D1BFB" w:rsidR="00382B77" w:rsidRDefault="00382B77">
      <w:pPr>
        <w:pStyle w:val="BodyText"/>
        <w:spacing w:before="0" w:line="360" w:lineRule="auto"/>
        <w:ind w:left="360" w:firstLine="720"/>
      </w:pPr>
    </w:p>
    <w:p w14:paraId="7CC1AB48" w14:textId="6911BF89" w:rsidR="00BD3203" w:rsidRDefault="00BD3203">
      <w:pPr>
        <w:pStyle w:val="BodyText"/>
        <w:spacing w:before="0" w:line="360" w:lineRule="auto"/>
        <w:ind w:left="360" w:firstLine="720"/>
      </w:pPr>
      <w:r w:rsidRPr="00BD3203">
        <w:lastRenderedPageBreak/>
        <w:t xml:space="preserve">Zinc plays a multifaceted role in immune function, serving as an essential cofactor for over 300 metalloenzymes and being critically required for the development and activation of T-lymphocytes, natural killer cells and macrophages (Prasad, 2008). Zinc deficiency, as observed in the present study, therefore potentially compounds the immunosuppression that predisposes to mite proliferation, creating a vicious cycle in which demodicosis perpetuates its own pathogenesis. Copper, similarly, is integral to the function of ceruloplasmin, a ferroxidase enzyme involved in iron transport and antioxidant </w:t>
      </w:r>
      <w:proofErr w:type="spellStart"/>
      <w:r w:rsidRPr="00BD3203">
        <w:t>defence</w:t>
      </w:r>
      <w:proofErr w:type="spellEnd"/>
      <w:r w:rsidRPr="00BD3203">
        <w:t xml:space="preserve">. Decreased copper levels in demodicosis-affected dogs may thus contribute to the observed impairment in iron metabolism and the resultant iron-deficiency component of </w:t>
      </w:r>
      <w:proofErr w:type="spellStart"/>
      <w:r w:rsidRPr="00BD3203">
        <w:t>anaemia</w:t>
      </w:r>
      <w:proofErr w:type="spellEnd"/>
      <w:r w:rsidRPr="00BD3203">
        <w:t xml:space="preserve">. The significantly reduced serum iron levels recorded in the present study are consistent with previous findings by Arora </w:t>
      </w:r>
      <w:r w:rsidRPr="00FF1DA0">
        <w:rPr>
          <w:i/>
          <w:iCs/>
        </w:rPr>
        <w:t>et al.</w:t>
      </w:r>
      <w:r w:rsidRPr="00BD3203">
        <w:t xml:space="preserve"> (2013) and Jyotsna </w:t>
      </w:r>
      <w:r w:rsidRPr="00FF1DA0">
        <w:rPr>
          <w:i/>
          <w:iCs/>
        </w:rPr>
        <w:t>et al.</w:t>
      </w:r>
      <w:r w:rsidRPr="00BD3203">
        <w:t xml:space="preserve"> (2005) and may reflect sequestration of iron within the reticuloendothelial system as part of the acute phase inflammatory response</w:t>
      </w:r>
      <w:r w:rsidR="00FF1DA0">
        <w:t>,</w:t>
      </w:r>
      <w:r w:rsidRPr="00BD3203">
        <w:t xml:space="preserve"> a well-</w:t>
      </w:r>
      <w:proofErr w:type="spellStart"/>
      <w:r w:rsidRPr="00BD3203">
        <w:t>recognised</w:t>
      </w:r>
      <w:proofErr w:type="spellEnd"/>
      <w:r w:rsidRPr="00BD3203">
        <w:t xml:space="preserve"> mechanism by which the body restricts iron availability to pathogenic organisms. Collectively, the mineral deficiencies documented in this study suggest that dietary supplementation of zinc, copper and iron may form an important adjunctive component of the therapeutic regimen in canine demodicosis, alongside specific acaricidal therapy</w:t>
      </w:r>
    </w:p>
    <w:p w14:paraId="6448692C" w14:textId="77777777" w:rsidR="00382B77" w:rsidRDefault="00382B77">
      <w:pPr>
        <w:pStyle w:val="BodyText"/>
        <w:spacing w:line="360" w:lineRule="auto"/>
        <w:sectPr w:rsidR="00382B77">
          <w:pgSz w:w="12240" w:h="15840"/>
          <w:pgMar w:top="1360" w:right="1080" w:bottom="280" w:left="1080" w:header="720" w:footer="720" w:gutter="0"/>
          <w:cols w:space="720"/>
        </w:sectPr>
      </w:pPr>
    </w:p>
    <w:p w14:paraId="48F7A941" w14:textId="77777777" w:rsidR="00382B77" w:rsidRDefault="00E949BA">
      <w:pPr>
        <w:pStyle w:val="BodyText"/>
        <w:spacing w:before="78" w:line="360" w:lineRule="auto"/>
        <w:ind w:right="0"/>
        <w:jc w:val="left"/>
      </w:pPr>
      <w:r>
        <w:rPr>
          <w:rFonts w:ascii="Arial" w:hAnsi="Arial"/>
          <w:b/>
        </w:rPr>
        <w:lastRenderedPageBreak/>
        <w:t>Table</w:t>
      </w:r>
      <w:r>
        <w:rPr>
          <w:rFonts w:ascii="Arial" w:hAnsi="Arial"/>
          <w:b/>
          <w:spacing w:val="70"/>
        </w:rPr>
        <w:t xml:space="preserve"> </w:t>
      </w:r>
      <w:r>
        <w:rPr>
          <w:rFonts w:ascii="Arial" w:hAnsi="Arial"/>
          <w:b/>
        </w:rPr>
        <w:t>3</w:t>
      </w:r>
      <w:r>
        <w:rPr>
          <w:rFonts w:ascii="Arial" w:hAnsi="Arial"/>
          <w:b/>
          <w:spacing w:val="70"/>
        </w:rPr>
        <w:t xml:space="preserve"> </w:t>
      </w:r>
      <w:proofErr w:type="spellStart"/>
      <w:r>
        <w:t>Mean±S.E</w:t>
      </w:r>
      <w:proofErr w:type="spellEnd"/>
      <w:r>
        <w:rPr>
          <w:spacing w:val="69"/>
        </w:rPr>
        <w:t xml:space="preserve"> </w:t>
      </w:r>
      <w:r>
        <w:t>values</w:t>
      </w:r>
      <w:r>
        <w:rPr>
          <w:spacing w:val="69"/>
        </w:rPr>
        <w:t xml:space="preserve"> </w:t>
      </w:r>
      <w:r>
        <w:t>of</w:t>
      </w:r>
      <w:r>
        <w:rPr>
          <w:spacing w:val="69"/>
        </w:rPr>
        <w:t xml:space="preserve"> </w:t>
      </w:r>
      <w:r>
        <w:t>serum</w:t>
      </w:r>
      <w:r>
        <w:rPr>
          <w:spacing w:val="70"/>
        </w:rPr>
        <w:t xml:space="preserve"> </w:t>
      </w:r>
      <w:r>
        <w:t>Zn,</w:t>
      </w:r>
      <w:r>
        <w:rPr>
          <w:spacing w:val="67"/>
        </w:rPr>
        <w:t xml:space="preserve"> </w:t>
      </w:r>
      <w:r>
        <w:t>Cu</w:t>
      </w:r>
      <w:r>
        <w:rPr>
          <w:spacing w:val="70"/>
        </w:rPr>
        <w:t xml:space="preserve"> </w:t>
      </w:r>
      <w:r>
        <w:t>and</w:t>
      </w:r>
      <w:r>
        <w:rPr>
          <w:spacing w:val="67"/>
        </w:rPr>
        <w:t xml:space="preserve"> </w:t>
      </w:r>
      <w:r>
        <w:t>Fe</w:t>
      </w:r>
      <w:r>
        <w:rPr>
          <w:spacing w:val="70"/>
        </w:rPr>
        <w:t xml:space="preserve"> </w:t>
      </w:r>
      <w:r>
        <w:t>value</w:t>
      </w:r>
      <w:r>
        <w:rPr>
          <w:spacing w:val="70"/>
        </w:rPr>
        <w:t xml:space="preserve"> </w:t>
      </w:r>
      <w:r>
        <w:t>in</w:t>
      </w:r>
      <w:r>
        <w:rPr>
          <w:spacing w:val="67"/>
        </w:rPr>
        <w:t xml:space="preserve"> </w:t>
      </w:r>
      <w:r>
        <w:t>healthy</w:t>
      </w:r>
      <w:r>
        <w:rPr>
          <w:spacing w:val="66"/>
        </w:rPr>
        <w:t xml:space="preserve"> </w:t>
      </w:r>
      <w:r>
        <w:t>and</w:t>
      </w:r>
      <w:r>
        <w:rPr>
          <w:spacing w:val="70"/>
        </w:rPr>
        <w:t xml:space="preserve"> </w:t>
      </w:r>
      <w:r>
        <w:t>canine demodicosis positive dogs</w:t>
      </w:r>
    </w:p>
    <w:p w14:paraId="60250E82" w14:textId="77777777" w:rsidR="00382B77" w:rsidRDefault="00382B77">
      <w:pPr>
        <w:pStyle w:val="BodyText"/>
        <w:spacing w:before="182"/>
        <w:ind w:left="0" w:right="0"/>
        <w:jc w:val="left"/>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9"/>
        <w:gridCol w:w="3075"/>
        <w:gridCol w:w="3080"/>
      </w:tblGrid>
      <w:tr w:rsidR="00382B77" w14:paraId="6603D554" w14:textId="77777777">
        <w:trPr>
          <w:trHeight w:val="381"/>
        </w:trPr>
        <w:tc>
          <w:tcPr>
            <w:tcW w:w="3089" w:type="dxa"/>
          </w:tcPr>
          <w:p w14:paraId="08AA80A6" w14:textId="77777777" w:rsidR="00382B77" w:rsidRDefault="00E949BA">
            <w:pPr>
              <w:pStyle w:val="TableParagraph"/>
              <w:spacing w:line="253" w:lineRule="exact"/>
              <w:rPr>
                <w:rFonts w:ascii="Arial"/>
                <w:b/>
              </w:rPr>
            </w:pPr>
            <w:r>
              <w:rPr>
                <w:rFonts w:ascii="Arial"/>
                <w:b/>
                <w:spacing w:val="-2"/>
              </w:rPr>
              <w:t>Parameters</w:t>
            </w:r>
          </w:p>
        </w:tc>
        <w:tc>
          <w:tcPr>
            <w:tcW w:w="3075" w:type="dxa"/>
          </w:tcPr>
          <w:p w14:paraId="1016179B" w14:textId="77777777" w:rsidR="00382B77" w:rsidRDefault="00E949BA">
            <w:pPr>
              <w:pStyle w:val="TableParagraph"/>
              <w:spacing w:line="253" w:lineRule="exact"/>
              <w:rPr>
                <w:rFonts w:ascii="Arial"/>
                <w:b/>
              </w:rPr>
            </w:pPr>
            <w:r>
              <w:rPr>
                <w:rFonts w:ascii="Arial"/>
                <w:b/>
              </w:rPr>
              <w:t>Healthy</w:t>
            </w:r>
            <w:r>
              <w:rPr>
                <w:rFonts w:ascii="Arial"/>
                <w:b/>
                <w:spacing w:val="-8"/>
              </w:rPr>
              <w:t xml:space="preserve"> </w:t>
            </w:r>
            <w:r>
              <w:rPr>
                <w:rFonts w:ascii="Arial"/>
                <w:b/>
                <w:spacing w:val="-4"/>
              </w:rPr>
              <w:t>(n=6)</w:t>
            </w:r>
          </w:p>
        </w:tc>
        <w:tc>
          <w:tcPr>
            <w:tcW w:w="3080" w:type="dxa"/>
          </w:tcPr>
          <w:p w14:paraId="3A944ABC" w14:textId="77777777" w:rsidR="00382B77" w:rsidRDefault="00E949BA">
            <w:pPr>
              <w:pStyle w:val="TableParagraph"/>
              <w:spacing w:line="253" w:lineRule="exact"/>
              <w:ind w:left="104"/>
              <w:rPr>
                <w:rFonts w:ascii="Arial"/>
                <w:b/>
              </w:rPr>
            </w:pPr>
            <w:r>
              <w:rPr>
                <w:rFonts w:ascii="Arial"/>
                <w:b/>
              </w:rPr>
              <w:t>Positive</w:t>
            </w:r>
            <w:r>
              <w:rPr>
                <w:rFonts w:ascii="Arial"/>
                <w:b/>
                <w:spacing w:val="-2"/>
              </w:rPr>
              <w:t xml:space="preserve"> </w:t>
            </w:r>
            <w:r>
              <w:rPr>
                <w:rFonts w:ascii="Arial"/>
                <w:b/>
              </w:rPr>
              <w:t>dogs</w:t>
            </w:r>
            <w:r>
              <w:rPr>
                <w:rFonts w:ascii="Arial"/>
                <w:b/>
                <w:spacing w:val="55"/>
              </w:rPr>
              <w:t xml:space="preserve"> </w:t>
            </w:r>
            <w:r>
              <w:rPr>
                <w:rFonts w:ascii="Arial"/>
                <w:b/>
                <w:spacing w:val="-2"/>
              </w:rPr>
              <w:t>(n=25)</w:t>
            </w:r>
          </w:p>
        </w:tc>
      </w:tr>
      <w:tr w:rsidR="00382B77" w14:paraId="5A17BEA7" w14:textId="77777777">
        <w:trPr>
          <w:trHeight w:val="378"/>
        </w:trPr>
        <w:tc>
          <w:tcPr>
            <w:tcW w:w="3089" w:type="dxa"/>
          </w:tcPr>
          <w:p w14:paraId="3C1BD8D9" w14:textId="77777777" w:rsidR="00382B77" w:rsidRDefault="00E949BA">
            <w:pPr>
              <w:pStyle w:val="TableParagraph"/>
              <w:spacing w:line="253" w:lineRule="exact"/>
            </w:pPr>
            <w:r>
              <w:t>Zn</w:t>
            </w:r>
            <w:r>
              <w:rPr>
                <w:spacing w:val="-2"/>
              </w:rPr>
              <w:t xml:space="preserve"> (µg/ml)</w:t>
            </w:r>
          </w:p>
        </w:tc>
        <w:tc>
          <w:tcPr>
            <w:tcW w:w="3075" w:type="dxa"/>
          </w:tcPr>
          <w:p w14:paraId="135AD4CD" w14:textId="77777777" w:rsidR="00382B77" w:rsidRDefault="00E949BA">
            <w:pPr>
              <w:pStyle w:val="TableParagraph"/>
              <w:spacing w:line="253" w:lineRule="exact"/>
            </w:pPr>
            <w:r>
              <w:rPr>
                <w:spacing w:val="-2"/>
              </w:rPr>
              <w:t>1.42±0.09</w:t>
            </w:r>
          </w:p>
        </w:tc>
        <w:tc>
          <w:tcPr>
            <w:tcW w:w="3080" w:type="dxa"/>
          </w:tcPr>
          <w:p w14:paraId="1EA27964" w14:textId="77777777" w:rsidR="00382B77" w:rsidRDefault="00E949BA">
            <w:pPr>
              <w:pStyle w:val="TableParagraph"/>
              <w:spacing w:line="253" w:lineRule="exact"/>
              <w:ind w:left="104"/>
            </w:pPr>
            <w:r>
              <w:rPr>
                <w:spacing w:val="-2"/>
              </w:rPr>
              <w:t>0.71±0.02*</w:t>
            </w:r>
          </w:p>
        </w:tc>
      </w:tr>
      <w:tr w:rsidR="00382B77" w14:paraId="7072FB2E" w14:textId="77777777">
        <w:trPr>
          <w:trHeight w:val="378"/>
        </w:trPr>
        <w:tc>
          <w:tcPr>
            <w:tcW w:w="3089" w:type="dxa"/>
          </w:tcPr>
          <w:p w14:paraId="5BF9F7E4" w14:textId="77777777" w:rsidR="00382B77" w:rsidRDefault="00E949BA">
            <w:pPr>
              <w:pStyle w:val="TableParagraph"/>
              <w:spacing w:line="253" w:lineRule="exact"/>
            </w:pPr>
            <w:r>
              <w:t>Cu</w:t>
            </w:r>
            <w:r>
              <w:rPr>
                <w:spacing w:val="-2"/>
              </w:rPr>
              <w:t xml:space="preserve"> (µg/ml)</w:t>
            </w:r>
          </w:p>
        </w:tc>
        <w:tc>
          <w:tcPr>
            <w:tcW w:w="3075" w:type="dxa"/>
          </w:tcPr>
          <w:p w14:paraId="1FA7BCE6" w14:textId="77777777" w:rsidR="00382B77" w:rsidRDefault="00E949BA">
            <w:pPr>
              <w:pStyle w:val="TableParagraph"/>
              <w:spacing w:line="253" w:lineRule="exact"/>
            </w:pPr>
            <w:r>
              <w:rPr>
                <w:spacing w:val="-2"/>
              </w:rPr>
              <w:t>1.13±0.1</w:t>
            </w:r>
          </w:p>
        </w:tc>
        <w:tc>
          <w:tcPr>
            <w:tcW w:w="3080" w:type="dxa"/>
          </w:tcPr>
          <w:p w14:paraId="01067995" w14:textId="77777777" w:rsidR="00382B77" w:rsidRDefault="00E949BA">
            <w:pPr>
              <w:pStyle w:val="TableParagraph"/>
              <w:spacing w:line="253" w:lineRule="exact"/>
              <w:ind w:left="104"/>
            </w:pPr>
            <w:r>
              <w:rPr>
                <w:spacing w:val="-2"/>
              </w:rPr>
              <w:t>0.496±0.02*</w:t>
            </w:r>
          </w:p>
        </w:tc>
      </w:tr>
      <w:tr w:rsidR="00382B77" w14:paraId="61690748" w14:textId="77777777">
        <w:trPr>
          <w:trHeight w:val="381"/>
        </w:trPr>
        <w:tc>
          <w:tcPr>
            <w:tcW w:w="3089" w:type="dxa"/>
          </w:tcPr>
          <w:p w14:paraId="061AFA71" w14:textId="77777777" w:rsidR="00382B77" w:rsidRDefault="00E949BA">
            <w:pPr>
              <w:pStyle w:val="TableParagraph"/>
              <w:spacing w:line="253" w:lineRule="exact"/>
            </w:pPr>
            <w:r>
              <w:t>Fe</w:t>
            </w:r>
            <w:r>
              <w:rPr>
                <w:spacing w:val="-2"/>
              </w:rPr>
              <w:t xml:space="preserve"> (µg/ml)</w:t>
            </w:r>
          </w:p>
        </w:tc>
        <w:tc>
          <w:tcPr>
            <w:tcW w:w="3075" w:type="dxa"/>
          </w:tcPr>
          <w:p w14:paraId="54068143" w14:textId="77777777" w:rsidR="00382B77" w:rsidRDefault="00E949BA">
            <w:pPr>
              <w:pStyle w:val="TableParagraph"/>
              <w:spacing w:line="253" w:lineRule="exact"/>
            </w:pPr>
            <w:r>
              <w:rPr>
                <w:spacing w:val="-2"/>
              </w:rPr>
              <w:t>1.26±0.22</w:t>
            </w:r>
          </w:p>
        </w:tc>
        <w:tc>
          <w:tcPr>
            <w:tcW w:w="3080" w:type="dxa"/>
          </w:tcPr>
          <w:p w14:paraId="1899DABB" w14:textId="77777777" w:rsidR="00382B77" w:rsidRDefault="00E949BA">
            <w:pPr>
              <w:pStyle w:val="TableParagraph"/>
              <w:spacing w:line="253" w:lineRule="exact"/>
              <w:ind w:left="104"/>
            </w:pPr>
            <w:r>
              <w:rPr>
                <w:spacing w:val="-2"/>
              </w:rPr>
              <w:t>0.28±0.01*</w:t>
            </w:r>
          </w:p>
        </w:tc>
      </w:tr>
    </w:tbl>
    <w:p w14:paraId="15493CB6" w14:textId="77777777" w:rsidR="00382B77" w:rsidRDefault="00E949BA">
      <w:pPr>
        <w:pStyle w:val="BodyText"/>
        <w:spacing w:before="2"/>
        <w:ind w:right="0"/>
        <w:jc w:val="left"/>
      </w:pPr>
      <w:r>
        <w:t>*Significant</w:t>
      </w:r>
      <w:r>
        <w:rPr>
          <w:spacing w:val="-5"/>
        </w:rPr>
        <w:t xml:space="preserve"> </w:t>
      </w:r>
      <w:r>
        <w:t>(p</w:t>
      </w:r>
      <w:r>
        <w:rPr>
          <w:spacing w:val="-5"/>
        </w:rPr>
        <w:t xml:space="preserve"> </w:t>
      </w:r>
      <w:r>
        <w:t>&lt;</w:t>
      </w:r>
      <w:r>
        <w:rPr>
          <w:spacing w:val="-7"/>
        </w:rPr>
        <w:t xml:space="preserve"> </w:t>
      </w:r>
      <w:r>
        <w:rPr>
          <w:spacing w:val="-4"/>
        </w:rPr>
        <w:t>0.05)</w:t>
      </w:r>
    </w:p>
    <w:p w14:paraId="35AAC6A5" w14:textId="77777777" w:rsidR="00382B77" w:rsidRDefault="00382B77">
      <w:pPr>
        <w:pStyle w:val="BodyText"/>
        <w:spacing w:before="275"/>
        <w:ind w:left="0" w:right="0"/>
        <w:jc w:val="left"/>
      </w:pPr>
    </w:p>
    <w:p w14:paraId="73936814" w14:textId="77777777" w:rsidR="00382B77" w:rsidRDefault="00E949BA">
      <w:pPr>
        <w:pStyle w:val="Heading2"/>
      </w:pPr>
      <w:proofErr w:type="spellStart"/>
      <w:r>
        <w:rPr>
          <w:spacing w:val="-2"/>
        </w:rPr>
        <w:t>Histopathlogical</w:t>
      </w:r>
      <w:proofErr w:type="spellEnd"/>
      <w:r>
        <w:rPr>
          <w:spacing w:val="12"/>
        </w:rPr>
        <w:t xml:space="preserve"> </w:t>
      </w:r>
      <w:r>
        <w:rPr>
          <w:spacing w:val="-2"/>
        </w:rPr>
        <w:t>changes</w:t>
      </w:r>
    </w:p>
    <w:p w14:paraId="790CB3AF" w14:textId="71A93494" w:rsidR="00382B77" w:rsidRDefault="00E949BA">
      <w:pPr>
        <w:pStyle w:val="BodyText"/>
        <w:spacing w:before="256" w:line="360" w:lineRule="auto"/>
        <w:ind w:right="355" w:firstLine="720"/>
        <w:rPr>
          <w:rFonts w:ascii="Arial"/>
          <w:b/>
        </w:rPr>
      </w:pPr>
      <w:r>
        <w:t>The histopathology of skin biopsy sections from positive cases of canine demodicosis revealed that there was excessive degeneration of the hair follicles in the affected dogs. The degenerative changes included desquamation of the papillary cells, detachment of the hair shaft and its extrusion from the follicle, loss of the hair cuticle as well as the inner root sheath, degeneration of the glossy membrane of the hair follicle, desquamation and degeneration of external root sheath cells with pigment</w:t>
      </w:r>
      <w:r>
        <w:rPr>
          <w:spacing w:val="-1"/>
        </w:rPr>
        <w:t xml:space="preserve"> </w:t>
      </w:r>
      <w:r>
        <w:t>deposition. A large number of dark pigmented granules of variable sizes were found accumulated at the periphery of the parasitized hair follicles suggesting hyperpigmentation. (</w:t>
      </w:r>
      <w:r>
        <w:rPr>
          <w:rFonts w:ascii="Arial"/>
          <w:b/>
        </w:rPr>
        <w:t xml:space="preserve">Figure </w:t>
      </w:r>
      <w:r w:rsidR="00785577">
        <w:rPr>
          <w:rFonts w:ascii="Arial"/>
          <w:b/>
        </w:rPr>
        <w:t>1</w:t>
      </w:r>
      <w:r>
        <w:rPr>
          <w:rFonts w:ascii="Arial"/>
          <w:b/>
        </w:rPr>
        <w:t>)</w:t>
      </w:r>
    </w:p>
    <w:p w14:paraId="77563A7B" w14:textId="58129AF1" w:rsidR="00382B77" w:rsidRDefault="00E949BA">
      <w:pPr>
        <w:pStyle w:val="BodyText"/>
        <w:spacing w:before="121" w:line="360" w:lineRule="auto"/>
        <w:ind w:firstLine="720"/>
      </w:pPr>
      <w:r>
        <w:t>The hair</w:t>
      </w:r>
      <w:r>
        <w:rPr>
          <w:spacing w:val="-4"/>
        </w:rPr>
        <w:t xml:space="preserve"> </w:t>
      </w:r>
      <w:r>
        <w:t>follicles were necrotic,</w:t>
      </w:r>
      <w:r>
        <w:rPr>
          <w:spacing w:val="-2"/>
        </w:rPr>
        <w:t xml:space="preserve"> </w:t>
      </w:r>
      <w:r>
        <w:t>markedly</w:t>
      </w:r>
      <w:r>
        <w:rPr>
          <w:spacing w:val="-3"/>
        </w:rPr>
        <w:t xml:space="preserve"> </w:t>
      </w:r>
      <w:r>
        <w:t>distended and</w:t>
      </w:r>
      <w:r>
        <w:rPr>
          <w:spacing w:val="-2"/>
        </w:rPr>
        <w:t xml:space="preserve"> </w:t>
      </w:r>
      <w:r>
        <w:t xml:space="preserve">filled with keratin, debris, purulent material and numerous </w:t>
      </w:r>
      <w:r>
        <w:rPr>
          <w:rFonts w:ascii="Arial"/>
          <w:i/>
        </w:rPr>
        <w:t xml:space="preserve">Demodex </w:t>
      </w:r>
      <w:r>
        <w:t xml:space="preserve">mites cut in different planes inside </w:t>
      </w:r>
      <w:proofErr w:type="spellStart"/>
      <w:r>
        <w:t>hairfollicles</w:t>
      </w:r>
      <w:proofErr w:type="spellEnd"/>
      <w:r>
        <w:t>. (</w:t>
      </w:r>
      <w:r>
        <w:rPr>
          <w:rFonts w:ascii="Arial"/>
          <w:b/>
        </w:rPr>
        <w:t xml:space="preserve">Figure </w:t>
      </w:r>
      <w:r w:rsidR="00785577">
        <w:rPr>
          <w:rFonts w:ascii="Arial"/>
          <w:b/>
        </w:rPr>
        <w:t xml:space="preserve">2 </w:t>
      </w:r>
      <w:r>
        <w:rPr>
          <w:rFonts w:ascii="Arial"/>
          <w:b/>
        </w:rPr>
        <w:t xml:space="preserve">and </w:t>
      </w:r>
      <w:r w:rsidR="00785577">
        <w:rPr>
          <w:rFonts w:ascii="Arial"/>
          <w:b/>
        </w:rPr>
        <w:t>3</w:t>
      </w:r>
      <w:r>
        <w:t>)</w:t>
      </w:r>
    </w:p>
    <w:p w14:paraId="420E6EE7" w14:textId="186286DE" w:rsidR="00382B77" w:rsidRPr="00FF1DA0" w:rsidRDefault="00E949BA" w:rsidP="00FF1DA0">
      <w:pPr>
        <w:pStyle w:val="BodyText"/>
        <w:spacing w:before="121" w:line="357" w:lineRule="auto"/>
        <w:ind w:right="359" w:firstLine="720"/>
        <w:rPr>
          <w:lang w:val="en-IN"/>
        </w:rPr>
      </w:pPr>
      <w:r>
        <w:t xml:space="preserve">The hyperpigmentation was due to increased melanocytic activity in the epidermis suggested by Solanki </w:t>
      </w:r>
      <w:r>
        <w:rPr>
          <w:rFonts w:ascii="Arial"/>
          <w:i/>
        </w:rPr>
        <w:t>et al</w:t>
      </w:r>
      <w:r>
        <w:t>. (2011).</w:t>
      </w:r>
      <w:r w:rsidR="00FF1DA0" w:rsidRPr="00FF1DA0">
        <w:rPr>
          <w:rFonts w:ascii="Arial" w:eastAsia="Arial" w:hAnsi="Arial" w:cs="Arial"/>
          <w:color w:val="FF0000"/>
          <w:lang w:val="en-IN" w:eastAsia="en-IN" w:bidi="hi-IN"/>
        </w:rPr>
        <w:t xml:space="preserve"> </w:t>
      </w:r>
      <w:r w:rsidR="00FF1DA0" w:rsidRPr="00FF1DA0">
        <w:rPr>
          <w:lang w:val="en-IN"/>
        </w:rPr>
        <w:t xml:space="preserve">The perilesional inflammatory infiltrate observed in skin sections of demodicosis-positive dogs in the present study predominantly consisted of lymphocytes, macrophages, and plasma cells, with variable neutrophilic infiltration in follicles showing concurrent bacterial furunculosis. In severely affected cases, mite fragments and extruded keratin debris in the dermis elicited a foreign-body granulomatous reaction, characterised by multinucleated giant cells and sheets of epithelioid macrophages. Such granulomatous folliculitis is a hallmark of chronic, deep-seated demodicosis and carries a more guarded prognosis as it indicates irreversible follicular destruction and fibrosis (Gross </w:t>
      </w:r>
      <w:r w:rsidR="00FF1DA0" w:rsidRPr="004B0C56">
        <w:rPr>
          <w:i/>
          <w:iCs/>
          <w:lang w:val="en-IN"/>
        </w:rPr>
        <w:t>et al.,</w:t>
      </w:r>
      <w:r w:rsidR="00FF1DA0" w:rsidRPr="00FF1DA0">
        <w:rPr>
          <w:lang w:val="en-IN"/>
        </w:rPr>
        <w:t xml:space="preserve"> 2005). The epidermal changes, including acanthosis, irregular epidermal hyperplasia, spongiosis and focal </w:t>
      </w:r>
      <w:r w:rsidR="00FF1DA0" w:rsidRPr="00FF1DA0">
        <w:rPr>
          <w:lang w:val="en-IN"/>
        </w:rPr>
        <w:lastRenderedPageBreak/>
        <w:t>parakeratotic hyperkeratosis, are consistent with a chronic pruritic and inflammatory dermatitis secondary to mite infestation and associated dysregulation of keratinocyte proliferation. Sebaceous gland atrophy was a consistent finding in generalised demodicosis cases in the present study, which has been attributed to progressive obliteration of sebaceous acini by the expanding perilesional inflammatory infiltrate and follicular fibrosis. The dermal changes including oedema, vascular ectasia and perivascular lymphoplasmacytic infiltration further illustrate the systemic vascular and immunological consequences of chronic parasitic infestation. These histopathological features, taken together with the haemato-biochemical findings, underscore the need for a comprehensive multi-parameter diagnostic approach in canine demodicosis.</w:t>
      </w:r>
    </w:p>
    <w:p w14:paraId="3EC17540" w14:textId="129307F2" w:rsidR="00382B77" w:rsidRDefault="00E949BA">
      <w:pPr>
        <w:pStyle w:val="BodyText"/>
        <w:spacing w:before="126" w:line="360" w:lineRule="auto"/>
        <w:ind w:left="360" w:right="353" w:firstLine="720"/>
      </w:pPr>
      <w:r>
        <w:t xml:space="preserve">Similar results of histopathology changes in canine demodicosis </w:t>
      </w:r>
      <w:r w:rsidR="004B0C56">
        <w:t>were</w:t>
      </w:r>
      <w:r>
        <w:t xml:space="preserve"> found by Ballari </w:t>
      </w:r>
      <w:r>
        <w:rPr>
          <w:rFonts w:ascii="Arial"/>
          <w:i/>
        </w:rPr>
        <w:t>et al</w:t>
      </w:r>
      <w:r>
        <w:t xml:space="preserve">. (2009) which included dilated hair follicles with cross sections of demodex mites, hyperkeratosis, melanin pigment accumulation, </w:t>
      </w:r>
      <w:proofErr w:type="spellStart"/>
      <w:r>
        <w:t>furnculosis</w:t>
      </w:r>
      <w:proofErr w:type="spellEnd"/>
      <w:r>
        <w:t xml:space="preserve"> and extrafollicular inflammatory changes.</w:t>
      </w:r>
    </w:p>
    <w:p w14:paraId="1052F0DA" w14:textId="77777777" w:rsidR="00382B77" w:rsidRDefault="00382B77">
      <w:pPr>
        <w:pStyle w:val="BodyText"/>
        <w:spacing w:line="360" w:lineRule="auto"/>
      </w:pPr>
    </w:p>
    <w:p w14:paraId="21BBF1D4" w14:textId="77777777" w:rsidR="00A014CF" w:rsidRPr="00A014CF" w:rsidRDefault="00A014CF" w:rsidP="00A014CF">
      <w:pPr>
        <w:pStyle w:val="BodyText"/>
        <w:spacing w:line="360" w:lineRule="auto"/>
        <w:rPr>
          <w:lang w:val="en-IN"/>
        </w:rPr>
      </w:pPr>
      <w:r w:rsidRPr="00A014CF">
        <w:rPr>
          <w:lang w:val="en-IN"/>
        </w:rPr>
        <w:t xml:space="preserve">In the present study, Periodic Acid-Schiff (PAS) staining was performed in addition to routine Haematoxylin and Eosin (H&amp;E) staining to supplement the histopathological evaluation. PAS staining selectively highlights polysaccharides, glycoproteins, glycolipids and mucins by oxidising their vicinal diol groups to produce aldehydes, which then react with Schiff reagent to give a characteristic magenta-pink coloration. This property makes PAS staining particularly valuable in skin sections where the chitin-rich cuticle of Demodex </w:t>
      </w:r>
      <w:proofErr w:type="gramStart"/>
      <w:r w:rsidRPr="00A014CF">
        <w:rPr>
          <w:lang w:val="en-IN"/>
        </w:rPr>
        <w:t>mites</w:t>
      </w:r>
      <w:proofErr w:type="gramEnd"/>
      <w:r w:rsidRPr="00A014CF">
        <w:rPr>
          <w:lang w:val="en-IN"/>
        </w:rPr>
        <w:t xml:space="preserve"> stains distinctly PAS-positive, thereby aiding in the clear delineation of mite cross-sections within the hair follicle lumen even in cases where H&amp;E staining may yield ambiguous results. In the present investigation, the basement membrane of the hair follicles and the epidermal-dermal junction showed marked thickening and PAS-positive deposits, indicative of chronic follicular damage and reparative fibroplasia. PAS staining also proved useful in ruling out concurrent fungal infections such as Malassezia </w:t>
      </w:r>
      <w:proofErr w:type="spellStart"/>
      <w:r w:rsidRPr="00A014CF">
        <w:rPr>
          <w:lang w:val="en-IN"/>
        </w:rPr>
        <w:t>pachydermatis</w:t>
      </w:r>
      <w:proofErr w:type="spellEnd"/>
      <w:r w:rsidRPr="00A014CF">
        <w:rPr>
          <w:lang w:val="en-IN"/>
        </w:rPr>
        <w:t xml:space="preserve"> dermatitis and dermatophytosis, which commonly co-exist with demodicosis and may produce overlapping histopathological features. The PAS-positive granular material observed in some follicular lumen sections was consistent with keratin and mucous debris accumulation secondary to follicular occlusion by mites. These findings are in agreement with Sousa (1995) and </w:t>
      </w:r>
      <w:proofErr w:type="spellStart"/>
      <w:r w:rsidRPr="00A014CF">
        <w:rPr>
          <w:lang w:val="en-IN"/>
        </w:rPr>
        <w:t>Fondati</w:t>
      </w:r>
      <w:proofErr w:type="spellEnd"/>
      <w:r w:rsidRPr="00A014CF">
        <w:rPr>
          <w:lang w:val="en-IN"/>
        </w:rPr>
        <w:t xml:space="preserve"> </w:t>
      </w:r>
      <w:r w:rsidRPr="008C7778">
        <w:rPr>
          <w:i/>
          <w:iCs/>
          <w:lang w:val="en-IN"/>
        </w:rPr>
        <w:t xml:space="preserve">et </w:t>
      </w:r>
      <w:r w:rsidRPr="008C7778">
        <w:rPr>
          <w:i/>
          <w:iCs/>
          <w:lang w:val="en-IN"/>
        </w:rPr>
        <w:lastRenderedPageBreak/>
        <w:t>al.</w:t>
      </w:r>
      <w:r w:rsidRPr="00A014CF">
        <w:rPr>
          <w:lang w:val="en-IN"/>
        </w:rPr>
        <w:t xml:space="preserve"> (2010), who emphasised the diagnostic utility of PAS staining in distinguishing demodicosis-associated follicular pathology from other causes of folliculitis and furunculosis. Employing PAS staining alongside H&amp;E thus provided a more comprehensive and accurate histopathological characterisation of canine demodicosis lesions in the present study.</w:t>
      </w:r>
    </w:p>
    <w:p w14:paraId="1EBBF038" w14:textId="77777777" w:rsidR="00A014CF" w:rsidRDefault="00A014CF">
      <w:pPr>
        <w:pStyle w:val="BodyText"/>
        <w:spacing w:line="360" w:lineRule="auto"/>
        <w:sectPr w:rsidR="00A014CF">
          <w:pgSz w:w="12240" w:h="15840"/>
          <w:pgMar w:top="1360" w:right="1080" w:bottom="280" w:left="108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4788"/>
      </w:tblGrid>
      <w:tr w:rsidR="00382B77" w14:paraId="0F7C18FC" w14:textId="77777777">
        <w:trPr>
          <w:trHeight w:val="4101"/>
        </w:trPr>
        <w:tc>
          <w:tcPr>
            <w:tcW w:w="4788" w:type="dxa"/>
          </w:tcPr>
          <w:p w14:paraId="2AFB5143" w14:textId="77777777" w:rsidR="00382B77" w:rsidRDefault="00E949BA">
            <w:pPr>
              <w:pStyle w:val="TableParagraph"/>
              <w:spacing w:line="240" w:lineRule="auto"/>
              <w:ind w:left="139"/>
              <w:rPr>
                <w:sz w:val="20"/>
              </w:rPr>
            </w:pPr>
            <w:r>
              <w:rPr>
                <w:noProof/>
                <w:sz w:val="20"/>
              </w:rPr>
              <w:lastRenderedPageBreak/>
              <w:drawing>
                <wp:inline distT="0" distB="0" distL="0" distR="0" wp14:anchorId="05FBEB82" wp14:editId="2C869652">
                  <wp:extent cx="2865308" cy="247773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3" cstate="print"/>
                          <a:stretch>
                            <a:fillRect/>
                          </a:stretch>
                        </pic:blipFill>
                        <pic:spPr>
                          <a:xfrm>
                            <a:off x="0" y="0"/>
                            <a:ext cx="2865308" cy="2477738"/>
                          </a:xfrm>
                          <a:prstGeom prst="rect">
                            <a:avLst/>
                          </a:prstGeom>
                        </pic:spPr>
                      </pic:pic>
                    </a:graphicData>
                  </a:graphic>
                </wp:inline>
              </w:drawing>
            </w:r>
          </w:p>
        </w:tc>
        <w:tc>
          <w:tcPr>
            <w:tcW w:w="4788" w:type="dxa"/>
          </w:tcPr>
          <w:p w14:paraId="066944AB" w14:textId="77777777" w:rsidR="00382B77" w:rsidRDefault="00E949BA">
            <w:pPr>
              <w:pStyle w:val="TableParagraph"/>
              <w:spacing w:line="240" w:lineRule="auto"/>
              <w:ind w:left="139"/>
              <w:rPr>
                <w:sz w:val="20"/>
              </w:rPr>
            </w:pPr>
            <w:r>
              <w:rPr>
                <w:noProof/>
                <w:sz w:val="20"/>
              </w:rPr>
              <w:drawing>
                <wp:inline distT="0" distB="0" distL="0" distR="0" wp14:anchorId="42419531" wp14:editId="690544A0">
                  <wp:extent cx="2906644" cy="25146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4" cstate="print"/>
                          <a:stretch>
                            <a:fillRect/>
                          </a:stretch>
                        </pic:blipFill>
                        <pic:spPr>
                          <a:xfrm>
                            <a:off x="0" y="0"/>
                            <a:ext cx="2906644" cy="2514600"/>
                          </a:xfrm>
                          <a:prstGeom prst="rect">
                            <a:avLst/>
                          </a:prstGeom>
                        </pic:spPr>
                      </pic:pic>
                    </a:graphicData>
                  </a:graphic>
                </wp:inline>
              </w:drawing>
            </w:r>
          </w:p>
        </w:tc>
      </w:tr>
      <w:tr w:rsidR="00382B77" w14:paraId="45083F37" w14:textId="77777777">
        <w:trPr>
          <w:trHeight w:val="774"/>
        </w:trPr>
        <w:tc>
          <w:tcPr>
            <w:tcW w:w="4788" w:type="dxa"/>
          </w:tcPr>
          <w:p w14:paraId="26D72C41" w14:textId="0CB386C6" w:rsidR="00382B77" w:rsidRDefault="00E949BA">
            <w:pPr>
              <w:pStyle w:val="TableParagraph"/>
              <w:spacing w:line="271" w:lineRule="exact"/>
              <w:rPr>
                <w:rFonts w:ascii="Arial"/>
                <w:b/>
                <w:sz w:val="24"/>
              </w:rPr>
            </w:pPr>
            <w:r>
              <w:rPr>
                <w:rFonts w:ascii="Arial"/>
                <w:b/>
                <w:sz w:val="24"/>
              </w:rPr>
              <w:t>Figure</w:t>
            </w:r>
            <w:r>
              <w:rPr>
                <w:rFonts w:ascii="Arial"/>
                <w:b/>
                <w:spacing w:val="-7"/>
                <w:sz w:val="24"/>
              </w:rPr>
              <w:t xml:space="preserve"> </w:t>
            </w:r>
            <w:r w:rsidR="00785577">
              <w:rPr>
                <w:rFonts w:ascii="Arial"/>
                <w:b/>
                <w:sz w:val="24"/>
              </w:rPr>
              <w:t>1</w:t>
            </w:r>
            <w:r>
              <w:rPr>
                <w:rFonts w:ascii="Arial"/>
                <w:b/>
                <w:spacing w:val="-6"/>
                <w:sz w:val="24"/>
              </w:rPr>
              <w:t xml:space="preserve"> </w:t>
            </w:r>
            <w:r>
              <w:rPr>
                <w:rFonts w:ascii="Arial"/>
                <w:b/>
                <w:i/>
                <w:sz w:val="24"/>
              </w:rPr>
              <w:t>Demodex</w:t>
            </w:r>
            <w:r>
              <w:rPr>
                <w:rFonts w:ascii="Arial"/>
                <w:b/>
                <w:i/>
                <w:spacing w:val="-6"/>
                <w:sz w:val="24"/>
              </w:rPr>
              <w:t xml:space="preserve"> </w:t>
            </w:r>
            <w:r>
              <w:rPr>
                <w:rFonts w:ascii="Arial"/>
                <w:b/>
                <w:spacing w:val="-4"/>
                <w:sz w:val="24"/>
              </w:rPr>
              <w:t>mite</w:t>
            </w:r>
          </w:p>
        </w:tc>
        <w:tc>
          <w:tcPr>
            <w:tcW w:w="4788" w:type="dxa"/>
          </w:tcPr>
          <w:p w14:paraId="27C96FA3" w14:textId="3E87CD89" w:rsidR="00382B77" w:rsidRDefault="00E949BA">
            <w:pPr>
              <w:pStyle w:val="TableParagraph"/>
              <w:tabs>
                <w:tab w:val="left" w:pos="1103"/>
                <w:tab w:val="left" w:pos="1722"/>
                <w:tab w:val="left" w:pos="2598"/>
                <w:tab w:val="left" w:pos="3270"/>
                <w:tab w:val="left" w:pos="3904"/>
              </w:tabs>
              <w:spacing w:line="240" w:lineRule="auto"/>
              <w:ind w:right="94"/>
              <w:rPr>
                <w:rFonts w:ascii="Arial"/>
                <w:b/>
                <w:sz w:val="20"/>
              </w:rPr>
            </w:pPr>
            <w:r>
              <w:rPr>
                <w:rFonts w:ascii="Arial"/>
                <w:b/>
                <w:sz w:val="24"/>
              </w:rPr>
              <w:t>Figure</w:t>
            </w:r>
            <w:r>
              <w:rPr>
                <w:rFonts w:ascii="Arial"/>
                <w:b/>
                <w:spacing w:val="36"/>
                <w:sz w:val="24"/>
              </w:rPr>
              <w:t xml:space="preserve"> </w:t>
            </w:r>
            <w:r w:rsidR="00785577">
              <w:rPr>
                <w:rFonts w:ascii="Arial"/>
                <w:b/>
                <w:sz w:val="24"/>
              </w:rPr>
              <w:t xml:space="preserve">2 </w:t>
            </w:r>
            <w:r>
              <w:rPr>
                <w:rFonts w:ascii="Arial"/>
                <w:b/>
                <w:sz w:val="20"/>
              </w:rPr>
              <w:t>Desquamation</w:t>
            </w:r>
            <w:r>
              <w:rPr>
                <w:rFonts w:ascii="Arial"/>
                <w:b/>
                <w:spacing w:val="35"/>
                <w:sz w:val="20"/>
              </w:rPr>
              <w:t xml:space="preserve"> </w:t>
            </w:r>
            <w:r>
              <w:rPr>
                <w:rFonts w:ascii="Arial"/>
                <w:b/>
                <w:sz w:val="20"/>
              </w:rPr>
              <w:t>and</w:t>
            </w:r>
            <w:r>
              <w:rPr>
                <w:rFonts w:ascii="Arial"/>
                <w:b/>
                <w:spacing w:val="35"/>
                <w:sz w:val="20"/>
              </w:rPr>
              <w:t xml:space="preserve"> </w:t>
            </w:r>
            <w:r>
              <w:rPr>
                <w:rFonts w:ascii="Arial"/>
                <w:b/>
                <w:sz w:val="20"/>
              </w:rPr>
              <w:t>degeneration</w:t>
            </w:r>
            <w:r>
              <w:rPr>
                <w:rFonts w:ascii="Arial"/>
                <w:b/>
                <w:spacing w:val="35"/>
                <w:sz w:val="20"/>
              </w:rPr>
              <w:t xml:space="preserve"> </w:t>
            </w:r>
            <w:r>
              <w:rPr>
                <w:rFonts w:ascii="Arial"/>
                <w:b/>
                <w:sz w:val="20"/>
              </w:rPr>
              <w:t xml:space="preserve">of </w:t>
            </w:r>
            <w:r>
              <w:rPr>
                <w:rFonts w:ascii="Arial"/>
                <w:b/>
                <w:spacing w:val="-2"/>
                <w:sz w:val="20"/>
              </w:rPr>
              <w:t>external</w:t>
            </w:r>
            <w:r>
              <w:rPr>
                <w:rFonts w:ascii="Arial"/>
                <w:b/>
                <w:sz w:val="20"/>
              </w:rPr>
              <w:tab/>
            </w:r>
            <w:r>
              <w:rPr>
                <w:rFonts w:ascii="Arial"/>
                <w:b/>
                <w:spacing w:val="-4"/>
                <w:sz w:val="20"/>
              </w:rPr>
              <w:t>root</w:t>
            </w:r>
            <w:r>
              <w:rPr>
                <w:rFonts w:ascii="Arial"/>
                <w:b/>
                <w:sz w:val="20"/>
              </w:rPr>
              <w:tab/>
            </w:r>
            <w:r>
              <w:rPr>
                <w:rFonts w:ascii="Arial"/>
                <w:b/>
                <w:spacing w:val="-2"/>
                <w:sz w:val="20"/>
              </w:rPr>
              <w:t>sheath</w:t>
            </w:r>
            <w:r>
              <w:rPr>
                <w:rFonts w:ascii="Arial"/>
                <w:b/>
                <w:sz w:val="20"/>
              </w:rPr>
              <w:tab/>
            </w:r>
            <w:r>
              <w:rPr>
                <w:rFonts w:ascii="Arial"/>
                <w:b/>
                <w:spacing w:val="-4"/>
                <w:sz w:val="20"/>
              </w:rPr>
              <w:t>cells</w:t>
            </w:r>
            <w:r>
              <w:rPr>
                <w:rFonts w:ascii="Arial"/>
                <w:b/>
                <w:sz w:val="20"/>
              </w:rPr>
              <w:tab/>
            </w:r>
            <w:r>
              <w:rPr>
                <w:rFonts w:ascii="Arial"/>
                <w:b/>
                <w:spacing w:val="-4"/>
                <w:sz w:val="20"/>
              </w:rPr>
              <w:t>with</w:t>
            </w:r>
            <w:r>
              <w:rPr>
                <w:rFonts w:ascii="Arial"/>
                <w:b/>
                <w:sz w:val="20"/>
              </w:rPr>
              <w:tab/>
            </w:r>
            <w:r>
              <w:rPr>
                <w:rFonts w:ascii="Arial"/>
                <w:b/>
                <w:spacing w:val="-2"/>
                <w:sz w:val="20"/>
              </w:rPr>
              <w:t>pigment</w:t>
            </w:r>
          </w:p>
          <w:p w14:paraId="75CC98A1" w14:textId="77777777" w:rsidR="00382B77" w:rsidRDefault="00E949BA">
            <w:pPr>
              <w:pStyle w:val="TableParagraph"/>
              <w:spacing w:line="252" w:lineRule="exact"/>
              <w:rPr>
                <w:rFonts w:ascii="Calibri"/>
                <w:b/>
              </w:rPr>
            </w:pPr>
            <w:r>
              <w:rPr>
                <w:rFonts w:ascii="Arial"/>
                <w:b/>
                <w:spacing w:val="-2"/>
                <w:sz w:val="20"/>
              </w:rPr>
              <w:t>deposition.</w:t>
            </w:r>
            <w:r>
              <w:rPr>
                <w:rFonts w:ascii="Calibri"/>
                <w:b/>
                <w:spacing w:val="-2"/>
              </w:rPr>
              <w:t>100x</w:t>
            </w:r>
          </w:p>
        </w:tc>
      </w:tr>
      <w:tr w:rsidR="00382B77" w14:paraId="27702402" w14:textId="77777777">
        <w:trPr>
          <w:trHeight w:val="4293"/>
        </w:trPr>
        <w:tc>
          <w:tcPr>
            <w:tcW w:w="4788" w:type="dxa"/>
          </w:tcPr>
          <w:p w14:paraId="686DFC04" w14:textId="77777777" w:rsidR="00382B77" w:rsidRDefault="00E949BA">
            <w:pPr>
              <w:pStyle w:val="TableParagraph"/>
              <w:spacing w:line="240" w:lineRule="auto"/>
              <w:ind w:left="139"/>
              <w:rPr>
                <w:sz w:val="20"/>
              </w:rPr>
            </w:pPr>
            <w:r>
              <w:rPr>
                <w:noProof/>
                <w:sz w:val="20"/>
              </w:rPr>
              <w:drawing>
                <wp:inline distT="0" distB="0" distL="0" distR="0" wp14:anchorId="0A26A770" wp14:editId="07F22A17">
                  <wp:extent cx="2870744" cy="261718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5" cstate="print"/>
                          <a:stretch>
                            <a:fillRect/>
                          </a:stretch>
                        </pic:blipFill>
                        <pic:spPr>
                          <a:xfrm>
                            <a:off x="0" y="0"/>
                            <a:ext cx="2870744" cy="2617184"/>
                          </a:xfrm>
                          <a:prstGeom prst="rect">
                            <a:avLst/>
                          </a:prstGeom>
                        </pic:spPr>
                      </pic:pic>
                    </a:graphicData>
                  </a:graphic>
                </wp:inline>
              </w:drawing>
            </w:r>
          </w:p>
        </w:tc>
        <w:tc>
          <w:tcPr>
            <w:tcW w:w="4788" w:type="dxa"/>
          </w:tcPr>
          <w:p w14:paraId="5E6A19E4" w14:textId="77777777" w:rsidR="00382B77" w:rsidRDefault="00E949BA">
            <w:pPr>
              <w:pStyle w:val="TableParagraph"/>
              <w:spacing w:line="240" w:lineRule="auto"/>
              <w:ind w:left="139"/>
              <w:rPr>
                <w:sz w:val="20"/>
              </w:rPr>
            </w:pPr>
            <w:r>
              <w:rPr>
                <w:noProof/>
                <w:sz w:val="20"/>
              </w:rPr>
              <w:drawing>
                <wp:inline distT="0" distB="0" distL="0" distR="0" wp14:anchorId="704562E2" wp14:editId="30EF7096">
                  <wp:extent cx="2891455" cy="263566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6" cstate="print"/>
                          <a:stretch>
                            <a:fillRect/>
                          </a:stretch>
                        </pic:blipFill>
                        <pic:spPr>
                          <a:xfrm>
                            <a:off x="0" y="0"/>
                            <a:ext cx="2891455" cy="2635662"/>
                          </a:xfrm>
                          <a:prstGeom prst="rect">
                            <a:avLst/>
                          </a:prstGeom>
                        </pic:spPr>
                      </pic:pic>
                    </a:graphicData>
                  </a:graphic>
                </wp:inline>
              </w:drawing>
            </w:r>
          </w:p>
        </w:tc>
      </w:tr>
      <w:tr w:rsidR="00382B77" w14:paraId="227F8FED" w14:textId="77777777">
        <w:trPr>
          <w:trHeight w:val="839"/>
        </w:trPr>
        <w:tc>
          <w:tcPr>
            <w:tcW w:w="4788" w:type="dxa"/>
          </w:tcPr>
          <w:p w14:paraId="142234F3" w14:textId="3855C7D6" w:rsidR="00382B77" w:rsidRDefault="00E949BA">
            <w:pPr>
              <w:pStyle w:val="TableParagraph"/>
              <w:spacing w:line="240" w:lineRule="auto"/>
              <w:ind w:right="96"/>
              <w:jc w:val="both"/>
              <w:rPr>
                <w:rFonts w:ascii="Arial"/>
                <w:b/>
                <w:sz w:val="20"/>
              </w:rPr>
            </w:pPr>
            <w:r>
              <w:rPr>
                <w:rFonts w:ascii="Arial"/>
                <w:b/>
                <w:sz w:val="24"/>
              </w:rPr>
              <w:t xml:space="preserve">Figure </w:t>
            </w:r>
            <w:r w:rsidR="00785577">
              <w:rPr>
                <w:rFonts w:ascii="Arial"/>
                <w:b/>
                <w:sz w:val="24"/>
              </w:rPr>
              <w:t>3</w:t>
            </w:r>
            <w:r>
              <w:rPr>
                <w:rFonts w:ascii="Arial"/>
                <w:b/>
                <w:sz w:val="24"/>
              </w:rPr>
              <w:t xml:space="preserve"> </w:t>
            </w:r>
            <w:r>
              <w:rPr>
                <w:rFonts w:ascii="Arial"/>
                <w:b/>
                <w:sz w:val="20"/>
              </w:rPr>
              <w:t>The hair follicle was necrotic, markedly distended and filled with keratin, debris, purulent material in hair follicles.200x</w:t>
            </w:r>
          </w:p>
        </w:tc>
        <w:tc>
          <w:tcPr>
            <w:tcW w:w="4788" w:type="dxa"/>
          </w:tcPr>
          <w:p w14:paraId="7F56080B" w14:textId="2CF9CB0B" w:rsidR="00382B77" w:rsidRDefault="00E949BA">
            <w:pPr>
              <w:pStyle w:val="TableParagraph"/>
              <w:spacing w:line="240" w:lineRule="auto"/>
              <w:ind w:right="97"/>
              <w:jc w:val="both"/>
              <w:rPr>
                <w:rFonts w:ascii="Arial"/>
                <w:b/>
                <w:sz w:val="20"/>
              </w:rPr>
            </w:pPr>
            <w:r>
              <w:rPr>
                <w:rFonts w:ascii="Arial"/>
                <w:b/>
                <w:sz w:val="24"/>
              </w:rPr>
              <w:t xml:space="preserve">Figure </w:t>
            </w:r>
            <w:r w:rsidR="00785577">
              <w:rPr>
                <w:rFonts w:ascii="Arial"/>
                <w:b/>
                <w:sz w:val="24"/>
              </w:rPr>
              <w:t>4</w:t>
            </w:r>
            <w:r>
              <w:rPr>
                <w:rFonts w:ascii="Arial"/>
                <w:b/>
                <w:sz w:val="24"/>
              </w:rPr>
              <w:t xml:space="preserve"> </w:t>
            </w:r>
            <w:r>
              <w:rPr>
                <w:rFonts w:ascii="Arial"/>
                <w:b/>
                <w:sz w:val="20"/>
              </w:rPr>
              <w:t xml:space="preserve">Cross section of mite in epidermis, dark pigmented granules as hyperpigmentation </w:t>
            </w:r>
            <w:r>
              <w:rPr>
                <w:rFonts w:ascii="Arial"/>
                <w:b/>
                <w:spacing w:val="-4"/>
                <w:sz w:val="20"/>
              </w:rPr>
              <w:t>400x</w:t>
            </w:r>
          </w:p>
        </w:tc>
      </w:tr>
    </w:tbl>
    <w:p w14:paraId="12C12961" w14:textId="77777777" w:rsidR="00382B77" w:rsidRDefault="00382B77">
      <w:pPr>
        <w:pStyle w:val="BodyText"/>
        <w:spacing w:before="0"/>
        <w:ind w:left="0" w:right="0"/>
        <w:jc w:val="left"/>
      </w:pPr>
    </w:p>
    <w:p w14:paraId="175D1D25" w14:textId="77777777" w:rsidR="00382B77" w:rsidRDefault="00382B77">
      <w:pPr>
        <w:pStyle w:val="BodyText"/>
        <w:spacing w:before="0"/>
        <w:ind w:left="0" w:right="0"/>
        <w:jc w:val="left"/>
      </w:pPr>
    </w:p>
    <w:p w14:paraId="6A33E30A" w14:textId="77777777" w:rsidR="00382B77" w:rsidRDefault="00382B77">
      <w:pPr>
        <w:pStyle w:val="BodyText"/>
        <w:spacing w:before="19"/>
        <w:ind w:left="0" w:right="0"/>
        <w:jc w:val="left"/>
      </w:pPr>
    </w:p>
    <w:p w14:paraId="6399E53A" w14:textId="77777777" w:rsidR="00382B77" w:rsidRDefault="00E949BA">
      <w:pPr>
        <w:pStyle w:val="Heading1"/>
      </w:pPr>
      <w:r>
        <w:rPr>
          <w:spacing w:val="-2"/>
        </w:rPr>
        <w:t>CONCLUSION</w:t>
      </w:r>
    </w:p>
    <w:p w14:paraId="57399EC0" w14:textId="1E27EDA0" w:rsidR="007178E3" w:rsidRDefault="008C7778" w:rsidP="008C7778">
      <w:pPr>
        <w:pStyle w:val="BodyText"/>
        <w:spacing w:before="78" w:line="360" w:lineRule="auto"/>
        <w:ind w:left="360" w:right="358" w:firstLine="566"/>
      </w:pPr>
      <w:r w:rsidRPr="008C7778">
        <w:t xml:space="preserve">Canine demodicosis is associated with multi-systemic alterations that extend well beyond the integument. </w:t>
      </w:r>
      <w:proofErr w:type="spellStart"/>
      <w:r w:rsidRPr="008C7778">
        <w:t>Haematologically</w:t>
      </w:r>
      <w:proofErr w:type="spellEnd"/>
      <w:r w:rsidRPr="008C7778">
        <w:t xml:space="preserve">, affected dogs consistently show </w:t>
      </w:r>
      <w:proofErr w:type="spellStart"/>
      <w:r w:rsidRPr="008C7778">
        <w:t>anaemia</w:t>
      </w:r>
      <w:proofErr w:type="spellEnd"/>
      <w:r w:rsidRPr="008C7778">
        <w:t xml:space="preserve">, </w:t>
      </w:r>
      <w:proofErr w:type="spellStart"/>
      <w:r w:rsidRPr="008C7778">
        <w:t>leucocytosis</w:t>
      </w:r>
      <w:proofErr w:type="spellEnd"/>
      <w:r w:rsidRPr="008C7778">
        <w:t xml:space="preserve"> with neutrophilia and eosinophilia, and lymphopenia. Serum biochemistry reveals </w:t>
      </w:r>
      <w:proofErr w:type="spellStart"/>
      <w:r w:rsidRPr="008C7778">
        <w:t>hypoproteinaemia</w:t>
      </w:r>
      <w:proofErr w:type="spellEnd"/>
      <w:r w:rsidRPr="008C7778">
        <w:t xml:space="preserve">, </w:t>
      </w:r>
      <w:proofErr w:type="spellStart"/>
      <w:r w:rsidRPr="008C7778">
        <w:t>hypoalbuminaemia</w:t>
      </w:r>
      <w:proofErr w:type="spellEnd"/>
      <w:r w:rsidRPr="008C7778">
        <w:t xml:space="preserve">, </w:t>
      </w:r>
      <w:proofErr w:type="spellStart"/>
      <w:r w:rsidRPr="008C7778">
        <w:t>hyperglobulinaemia</w:t>
      </w:r>
      <w:proofErr w:type="spellEnd"/>
      <w:r w:rsidRPr="008C7778">
        <w:t xml:space="preserve">, </w:t>
      </w:r>
      <w:proofErr w:type="spellStart"/>
      <w:r w:rsidRPr="008C7778">
        <w:t>hypoglycaemia</w:t>
      </w:r>
      <w:proofErr w:type="spellEnd"/>
      <w:r w:rsidRPr="008C7778">
        <w:t xml:space="preserve">, and elevated hepatic enzymes (ALT and AST), while mineral analysis demonstrates </w:t>
      </w:r>
      <w:r w:rsidRPr="008C7778">
        <w:lastRenderedPageBreak/>
        <w:t xml:space="preserve">significantly decreased serum zinc, copper and iron levels. </w:t>
      </w:r>
      <w:proofErr w:type="spellStart"/>
      <w:r w:rsidRPr="008C7778">
        <w:t>Histopathologically</w:t>
      </w:r>
      <w:proofErr w:type="spellEnd"/>
      <w:r w:rsidRPr="008C7778">
        <w:t xml:space="preserve">, characteristic findings include distended, necrotic hair follicles packed with Demodex mite cross-sections, keratin and purulent debris, accompanied by perilesional hyperpigmentation and follicular degeneration. PAS staining provided valuable supplementary evidence by highlighting mite cuticle and follicular basement membrane changes. These comprehensive </w:t>
      </w:r>
      <w:proofErr w:type="spellStart"/>
      <w:r w:rsidRPr="008C7778">
        <w:t>clinico</w:t>
      </w:r>
      <w:proofErr w:type="spellEnd"/>
      <w:r w:rsidRPr="008C7778">
        <w:t>-pathological findings collectively establish that a thorough haemato-biochemical and histopathological workup is imperative for the accurate diagnosis, severity assessment, and rational therapeutic management of canine demodicosis</w:t>
      </w:r>
      <w:r>
        <w:t>.</w:t>
      </w:r>
    </w:p>
    <w:p w14:paraId="566484E5" w14:textId="77777777" w:rsidR="00BA03D7" w:rsidRDefault="00BA03D7" w:rsidP="008C7778">
      <w:pPr>
        <w:pStyle w:val="BodyText"/>
        <w:spacing w:before="78" w:line="360" w:lineRule="auto"/>
        <w:ind w:left="360" w:right="358" w:firstLine="566"/>
      </w:pPr>
    </w:p>
    <w:p w14:paraId="0498A910" w14:textId="3FE3E0BE" w:rsidR="00BA03D7" w:rsidRDefault="00BA03D7" w:rsidP="008C7778">
      <w:pPr>
        <w:pStyle w:val="BodyText"/>
        <w:spacing w:before="78" w:line="360" w:lineRule="auto"/>
        <w:ind w:left="360" w:right="358" w:firstLine="566"/>
        <w:rPr>
          <w:lang w:val="en-IN"/>
        </w:rPr>
      </w:pPr>
      <w:r w:rsidRPr="00436250">
        <w:rPr>
          <w:lang w:val="en-IN"/>
        </w:rPr>
        <w:t>Ethical Approval and Owner Consent:</w:t>
      </w:r>
    </w:p>
    <w:p w14:paraId="1F47321D" w14:textId="77777777" w:rsidR="00D14FB6" w:rsidRDefault="00D14FB6" w:rsidP="008C7778">
      <w:pPr>
        <w:pStyle w:val="BodyText"/>
        <w:spacing w:before="78" w:line="360" w:lineRule="auto"/>
        <w:ind w:left="360" w:right="358" w:firstLine="566"/>
        <w:rPr>
          <w:lang w:val="en-IN"/>
        </w:rPr>
      </w:pPr>
    </w:p>
    <w:p w14:paraId="663872DA" w14:textId="4606AD85" w:rsidR="00D14FB6" w:rsidRDefault="00D14FB6" w:rsidP="008C7778">
      <w:pPr>
        <w:pStyle w:val="BodyText"/>
        <w:spacing w:before="78" w:line="360" w:lineRule="auto"/>
        <w:ind w:left="360" w:right="358" w:firstLine="566"/>
        <w:rPr>
          <w:lang w:val="en-IN"/>
        </w:rPr>
      </w:pPr>
      <w:r w:rsidRPr="00436250">
        <w:rPr>
          <w:lang w:val="en-IN"/>
        </w:rPr>
        <w:t>All procedures involving animals in this study were performed in accordance with the ethical guidelines of the Institutional Animal Ethics Committee (IAEC) of the College of Veterinary and Animal Science, Rajasthan University of Veterinary and Animal Sciences, Bikaner, Rajasthan, India. Prior to inclusion of each clinical case in the study, written informed consent was obtained from the owner of each animal.</w:t>
      </w:r>
    </w:p>
    <w:p w14:paraId="4EA28FB7" w14:textId="77777777" w:rsidR="00D14FB6" w:rsidRDefault="00D14FB6" w:rsidP="008C7778">
      <w:pPr>
        <w:pStyle w:val="BodyText"/>
        <w:spacing w:before="78" w:line="360" w:lineRule="auto"/>
        <w:ind w:left="360" w:right="358" w:firstLine="566"/>
      </w:pPr>
    </w:p>
    <w:p w14:paraId="2EC50051" w14:textId="77777777" w:rsidR="007178E3" w:rsidRPr="00005ED1" w:rsidRDefault="007178E3" w:rsidP="007178E3">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56AA01D6" w14:textId="77777777" w:rsidR="007178E3" w:rsidRPr="00005ED1" w:rsidRDefault="007178E3" w:rsidP="007178E3">
      <w:pPr>
        <w:pStyle w:val="NoSpacing"/>
        <w:rPr>
          <w:rFonts w:ascii="Arial" w:hAnsi="Arial" w:cs="Arial"/>
          <w:highlight w:val="yellow"/>
        </w:rPr>
      </w:pPr>
    </w:p>
    <w:p w14:paraId="5315437C" w14:textId="77777777" w:rsidR="007178E3" w:rsidRPr="00005ED1" w:rsidRDefault="007178E3" w:rsidP="007178E3">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p w14:paraId="11882375" w14:textId="77777777" w:rsidR="007178E3" w:rsidRDefault="007178E3">
      <w:pPr>
        <w:pStyle w:val="BodyText"/>
        <w:spacing w:before="78" w:line="360" w:lineRule="auto"/>
        <w:ind w:left="360" w:right="358" w:firstLine="566"/>
        <w:jc w:val="left"/>
      </w:pPr>
    </w:p>
    <w:p w14:paraId="49BF361C" w14:textId="77777777" w:rsidR="00382B77" w:rsidRDefault="00E949BA">
      <w:pPr>
        <w:pStyle w:val="Heading1"/>
        <w:ind w:left="360"/>
      </w:pPr>
      <w:r>
        <w:rPr>
          <w:spacing w:val="-2"/>
        </w:rPr>
        <w:t>REFERENCES</w:t>
      </w:r>
    </w:p>
    <w:p w14:paraId="45CD64B8" w14:textId="77777777" w:rsidR="005B035F" w:rsidRPr="00776883" w:rsidRDefault="005B035F" w:rsidP="00776883">
      <w:pPr>
        <w:pStyle w:val="ListParagraph"/>
        <w:numPr>
          <w:ilvl w:val="0"/>
          <w:numId w:val="1"/>
        </w:numPr>
        <w:spacing w:before="257" w:line="360" w:lineRule="auto"/>
        <w:ind w:right="356"/>
        <w:jc w:val="both"/>
        <w:rPr>
          <w:sz w:val="24"/>
          <w:lang w:val="en-IN"/>
        </w:rPr>
      </w:pPr>
      <w:r w:rsidRPr="00776883">
        <w:rPr>
          <w:sz w:val="24"/>
          <w:lang w:val="en-IN"/>
        </w:rPr>
        <w:t xml:space="preserve">Arora, N., Vohra, S., Singh, S., </w:t>
      </w:r>
      <w:proofErr w:type="spellStart"/>
      <w:r w:rsidRPr="00776883">
        <w:rPr>
          <w:sz w:val="24"/>
          <w:lang w:val="en-IN"/>
        </w:rPr>
        <w:t>Potliya</w:t>
      </w:r>
      <w:proofErr w:type="spellEnd"/>
      <w:r w:rsidRPr="00776883">
        <w:rPr>
          <w:sz w:val="24"/>
          <w:lang w:val="en-IN"/>
        </w:rPr>
        <w:t xml:space="preserve">, S., Lather, A., Gupta, A., Arora, D., &amp; Singh, D. (2013). Therapeutic management of chronic generalized demodicosis in a pug. </w:t>
      </w:r>
      <w:r w:rsidRPr="00776883">
        <w:rPr>
          <w:i/>
          <w:iCs/>
          <w:sz w:val="24"/>
          <w:lang w:val="en-IN"/>
        </w:rPr>
        <w:t>Advances in Animal and Veterinary Sciences</w:t>
      </w:r>
      <w:r w:rsidRPr="00776883">
        <w:rPr>
          <w:sz w:val="24"/>
          <w:lang w:val="en-IN"/>
        </w:rPr>
        <w:t xml:space="preserve">, </w:t>
      </w:r>
      <w:r w:rsidRPr="00776883">
        <w:rPr>
          <w:i/>
          <w:iCs/>
          <w:sz w:val="24"/>
          <w:lang w:val="en-IN"/>
        </w:rPr>
        <w:t>1</w:t>
      </w:r>
      <w:r w:rsidRPr="00776883">
        <w:rPr>
          <w:sz w:val="24"/>
          <w:lang w:val="en-IN"/>
        </w:rPr>
        <w:t>(2), 26–28.</w:t>
      </w:r>
    </w:p>
    <w:p w14:paraId="739DCCBE" w14:textId="77777777" w:rsidR="005B035F" w:rsidRPr="00776883" w:rsidRDefault="005B035F" w:rsidP="00776883">
      <w:pPr>
        <w:pStyle w:val="ListParagraph"/>
        <w:numPr>
          <w:ilvl w:val="0"/>
          <w:numId w:val="1"/>
        </w:numPr>
        <w:spacing w:before="257" w:line="360" w:lineRule="auto"/>
        <w:ind w:right="356"/>
        <w:jc w:val="both"/>
        <w:rPr>
          <w:sz w:val="24"/>
          <w:lang w:val="en-IN"/>
        </w:rPr>
      </w:pPr>
      <w:r w:rsidRPr="00776883">
        <w:rPr>
          <w:sz w:val="24"/>
          <w:lang w:val="en-IN"/>
        </w:rPr>
        <w:t xml:space="preserve">Ballari, S., Balachandran, C., George, V. T., &amp; Manohar, B. M. (2009). Pathology of canine demodicosis. </w:t>
      </w:r>
      <w:r w:rsidRPr="00776883">
        <w:rPr>
          <w:i/>
          <w:iCs/>
          <w:sz w:val="24"/>
          <w:lang w:val="en-IN"/>
        </w:rPr>
        <w:t>Journal of Veterinary Parasitology</w:t>
      </w:r>
      <w:r w:rsidRPr="00776883">
        <w:rPr>
          <w:sz w:val="24"/>
          <w:lang w:val="en-IN"/>
        </w:rPr>
        <w:t xml:space="preserve">, </w:t>
      </w:r>
      <w:r w:rsidRPr="00776883">
        <w:rPr>
          <w:i/>
          <w:iCs/>
          <w:sz w:val="24"/>
          <w:lang w:val="en-IN"/>
        </w:rPr>
        <w:t>23</w:t>
      </w:r>
      <w:r w:rsidRPr="00776883">
        <w:rPr>
          <w:sz w:val="24"/>
          <w:lang w:val="en-IN"/>
        </w:rPr>
        <w:t>(2), 179–182.</w:t>
      </w:r>
    </w:p>
    <w:p w14:paraId="07C4966E" w14:textId="77777777" w:rsidR="005B035F" w:rsidRPr="00776883" w:rsidRDefault="005B035F" w:rsidP="00776883">
      <w:pPr>
        <w:pStyle w:val="ListParagraph"/>
        <w:numPr>
          <w:ilvl w:val="0"/>
          <w:numId w:val="1"/>
        </w:numPr>
        <w:spacing w:before="257" w:line="360" w:lineRule="auto"/>
        <w:ind w:right="356"/>
        <w:jc w:val="both"/>
        <w:rPr>
          <w:sz w:val="24"/>
          <w:lang w:val="en-IN"/>
        </w:rPr>
      </w:pPr>
      <w:r w:rsidRPr="00776883">
        <w:rPr>
          <w:sz w:val="24"/>
          <w:lang w:val="en-IN"/>
        </w:rPr>
        <w:t xml:space="preserve">Beale, K. M. (2022). Updates in the management of canine demodicosis. </w:t>
      </w:r>
      <w:r w:rsidRPr="00776883">
        <w:rPr>
          <w:i/>
          <w:iCs/>
          <w:sz w:val="24"/>
          <w:lang w:val="en-IN"/>
        </w:rPr>
        <w:t>Veterinary Clinics of North America: Small Animal Practice</w:t>
      </w:r>
      <w:r w:rsidRPr="00776883">
        <w:rPr>
          <w:sz w:val="24"/>
          <w:lang w:val="en-IN"/>
        </w:rPr>
        <w:t xml:space="preserve">, </w:t>
      </w:r>
      <w:r w:rsidRPr="00776883">
        <w:rPr>
          <w:i/>
          <w:iCs/>
          <w:sz w:val="24"/>
          <w:lang w:val="en-IN"/>
        </w:rPr>
        <w:t>52</w:t>
      </w:r>
      <w:r w:rsidRPr="00776883">
        <w:rPr>
          <w:sz w:val="24"/>
          <w:lang w:val="en-IN"/>
        </w:rPr>
        <w:t xml:space="preserve">(1), 213–228. </w:t>
      </w:r>
      <w:hyperlink r:id="rId17" w:tgtFrame="_blank" w:history="1">
        <w:r w:rsidRPr="00776883">
          <w:rPr>
            <w:rStyle w:val="Hyperlink"/>
            <w:sz w:val="24"/>
            <w:lang w:val="en-IN"/>
          </w:rPr>
          <w:t>https://doi.org/10.1016/j.cvsm.2021.09.007</w:t>
        </w:r>
      </w:hyperlink>
    </w:p>
    <w:p w14:paraId="1BCBA1C0" w14:textId="77777777" w:rsidR="005B035F" w:rsidRPr="00776883" w:rsidRDefault="005B035F" w:rsidP="00776883">
      <w:pPr>
        <w:pStyle w:val="ListParagraph"/>
        <w:numPr>
          <w:ilvl w:val="0"/>
          <w:numId w:val="1"/>
        </w:numPr>
        <w:spacing w:before="257" w:line="360" w:lineRule="auto"/>
        <w:ind w:right="356"/>
        <w:jc w:val="both"/>
        <w:rPr>
          <w:sz w:val="24"/>
          <w:lang w:val="en-IN"/>
        </w:rPr>
      </w:pPr>
      <w:r w:rsidRPr="00776883">
        <w:rPr>
          <w:sz w:val="24"/>
          <w:lang w:val="en-IN"/>
        </w:rPr>
        <w:t xml:space="preserve">Beigh, S. A., </w:t>
      </w:r>
      <w:proofErr w:type="spellStart"/>
      <w:r w:rsidRPr="00776883">
        <w:rPr>
          <w:sz w:val="24"/>
          <w:lang w:val="en-IN"/>
        </w:rPr>
        <w:t>Soodan</w:t>
      </w:r>
      <w:proofErr w:type="spellEnd"/>
      <w:r w:rsidRPr="00776883">
        <w:rPr>
          <w:sz w:val="24"/>
          <w:lang w:val="en-IN"/>
        </w:rPr>
        <w:t xml:space="preserve">, J. S., Singh, R., &amp; Khan, A. M. (2013). Trace minerals status and antioxidative enzyme activity in dogs with generalized </w:t>
      </w:r>
      <w:proofErr w:type="spellStart"/>
      <w:r w:rsidRPr="00776883">
        <w:rPr>
          <w:sz w:val="24"/>
          <w:lang w:val="en-IN"/>
        </w:rPr>
        <w:t>demodecosis</w:t>
      </w:r>
      <w:proofErr w:type="spellEnd"/>
      <w:r w:rsidRPr="00776883">
        <w:rPr>
          <w:sz w:val="24"/>
          <w:lang w:val="en-IN"/>
        </w:rPr>
        <w:t xml:space="preserve">. </w:t>
      </w:r>
      <w:r w:rsidRPr="00776883">
        <w:rPr>
          <w:i/>
          <w:iCs/>
          <w:sz w:val="24"/>
          <w:lang w:val="en-IN"/>
        </w:rPr>
        <w:t>Veterinary Parasitology</w:t>
      </w:r>
      <w:r w:rsidRPr="00776883">
        <w:rPr>
          <w:sz w:val="24"/>
          <w:lang w:val="en-IN"/>
        </w:rPr>
        <w:t xml:space="preserve">, </w:t>
      </w:r>
      <w:r w:rsidRPr="00776883">
        <w:rPr>
          <w:i/>
          <w:iCs/>
          <w:sz w:val="24"/>
          <w:lang w:val="en-IN"/>
        </w:rPr>
        <w:t>198</w:t>
      </w:r>
      <w:r w:rsidRPr="00776883">
        <w:rPr>
          <w:sz w:val="24"/>
          <w:lang w:val="en-IN"/>
        </w:rPr>
        <w:t>(1-2), 180–186.</w:t>
      </w:r>
    </w:p>
    <w:p w14:paraId="6E090788" w14:textId="77777777" w:rsidR="005B035F" w:rsidRPr="00776883" w:rsidRDefault="005B035F" w:rsidP="00776883">
      <w:pPr>
        <w:pStyle w:val="ListParagraph"/>
        <w:numPr>
          <w:ilvl w:val="0"/>
          <w:numId w:val="1"/>
        </w:numPr>
        <w:spacing w:before="257" w:line="360" w:lineRule="auto"/>
        <w:ind w:right="356"/>
        <w:jc w:val="both"/>
        <w:rPr>
          <w:sz w:val="24"/>
          <w:lang w:val="en-IN"/>
        </w:rPr>
      </w:pPr>
      <w:r w:rsidRPr="00776883">
        <w:rPr>
          <w:sz w:val="24"/>
          <w:lang w:val="en-IN"/>
        </w:rPr>
        <w:t xml:space="preserve">Chakraborty, S., &amp; Pradhan, N. R. (2015). Canine demodicosis and its herbal and </w:t>
      </w:r>
      <w:proofErr w:type="spellStart"/>
      <w:r w:rsidRPr="00776883">
        <w:rPr>
          <w:sz w:val="24"/>
          <w:lang w:val="en-IN"/>
        </w:rPr>
        <w:t>nonherbal</w:t>
      </w:r>
      <w:proofErr w:type="spellEnd"/>
      <w:r w:rsidRPr="00776883">
        <w:rPr>
          <w:sz w:val="24"/>
          <w:lang w:val="en-IN"/>
        </w:rPr>
        <w:t xml:space="preserve"> treatments. </w:t>
      </w:r>
      <w:r w:rsidRPr="00776883">
        <w:rPr>
          <w:i/>
          <w:iCs/>
          <w:sz w:val="24"/>
          <w:lang w:val="en-IN"/>
        </w:rPr>
        <w:t>Indian Journal of Canine Practice</w:t>
      </w:r>
      <w:r w:rsidRPr="00776883">
        <w:rPr>
          <w:sz w:val="24"/>
          <w:lang w:val="en-IN"/>
        </w:rPr>
        <w:t xml:space="preserve">, </w:t>
      </w:r>
      <w:r w:rsidRPr="00776883">
        <w:rPr>
          <w:i/>
          <w:iCs/>
          <w:sz w:val="24"/>
          <w:lang w:val="en-IN"/>
        </w:rPr>
        <w:t>7</w:t>
      </w:r>
      <w:r w:rsidRPr="00776883">
        <w:rPr>
          <w:sz w:val="24"/>
          <w:lang w:val="en-IN"/>
        </w:rPr>
        <w:t>(2), 115.</w:t>
      </w:r>
    </w:p>
    <w:p w14:paraId="6B72E2DE" w14:textId="77777777" w:rsidR="005B035F" w:rsidRPr="00776883" w:rsidRDefault="005B035F" w:rsidP="00776883">
      <w:pPr>
        <w:pStyle w:val="ListParagraph"/>
        <w:numPr>
          <w:ilvl w:val="0"/>
          <w:numId w:val="1"/>
        </w:numPr>
        <w:spacing w:before="257" w:line="360" w:lineRule="auto"/>
        <w:ind w:right="356"/>
        <w:jc w:val="both"/>
        <w:rPr>
          <w:sz w:val="24"/>
          <w:lang w:val="en-IN"/>
        </w:rPr>
      </w:pPr>
      <w:r w:rsidRPr="00776883">
        <w:rPr>
          <w:sz w:val="24"/>
          <w:lang w:val="en-IN"/>
        </w:rPr>
        <w:t xml:space="preserve">Dadhich, H., &amp; Khanna, R. (2008). Pathological, haemato-biochemical and immunological studies of cutaneous </w:t>
      </w:r>
      <w:proofErr w:type="spellStart"/>
      <w:r w:rsidRPr="00776883">
        <w:rPr>
          <w:sz w:val="24"/>
          <w:lang w:val="en-IN"/>
        </w:rPr>
        <w:t>ectoparasitoses</w:t>
      </w:r>
      <w:proofErr w:type="spellEnd"/>
      <w:r w:rsidRPr="00776883">
        <w:rPr>
          <w:sz w:val="24"/>
          <w:lang w:val="en-IN"/>
        </w:rPr>
        <w:t xml:space="preserve"> in dogs. </w:t>
      </w:r>
      <w:r w:rsidRPr="00776883">
        <w:rPr>
          <w:i/>
          <w:iCs/>
          <w:sz w:val="24"/>
          <w:lang w:val="en-IN"/>
        </w:rPr>
        <w:t>Measurement</w:t>
      </w:r>
      <w:r w:rsidRPr="00776883">
        <w:rPr>
          <w:sz w:val="24"/>
          <w:lang w:val="en-IN"/>
        </w:rPr>
        <w:t xml:space="preserve">, </w:t>
      </w:r>
      <w:r w:rsidRPr="00776883">
        <w:rPr>
          <w:i/>
          <w:iCs/>
          <w:sz w:val="24"/>
          <w:lang w:val="en-IN"/>
        </w:rPr>
        <w:t>40</w:t>
      </w:r>
      <w:r w:rsidRPr="00776883">
        <w:rPr>
          <w:sz w:val="24"/>
          <w:lang w:val="en-IN"/>
        </w:rPr>
        <w:t>, 58–65.</w:t>
      </w:r>
    </w:p>
    <w:p w14:paraId="31763F3B" w14:textId="77777777" w:rsidR="005B035F" w:rsidRPr="00776883" w:rsidRDefault="005B035F" w:rsidP="00776883">
      <w:pPr>
        <w:pStyle w:val="ListParagraph"/>
        <w:numPr>
          <w:ilvl w:val="0"/>
          <w:numId w:val="1"/>
        </w:numPr>
        <w:spacing w:before="257" w:line="360" w:lineRule="auto"/>
        <w:ind w:right="356"/>
        <w:jc w:val="both"/>
        <w:rPr>
          <w:sz w:val="24"/>
          <w:lang w:val="en-IN"/>
        </w:rPr>
      </w:pPr>
      <w:proofErr w:type="spellStart"/>
      <w:r w:rsidRPr="00776883">
        <w:rPr>
          <w:sz w:val="24"/>
          <w:lang w:val="en-IN"/>
        </w:rPr>
        <w:t>Dimri</w:t>
      </w:r>
      <w:proofErr w:type="spellEnd"/>
      <w:r w:rsidRPr="00776883">
        <w:rPr>
          <w:sz w:val="24"/>
          <w:lang w:val="en-IN"/>
        </w:rPr>
        <w:t xml:space="preserve">, U., Ranjan, R., Kumar, N., Sharma, M. C., Swarup, D., Sharma, B., &amp; Kataria, M. (2008). Changes in oxidative stress indices, zinc and copper concentrations in blood in canine demodicosis. </w:t>
      </w:r>
      <w:r w:rsidRPr="00776883">
        <w:rPr>
          <w:i/>
          <w:iCs/>
          <w:sz w:val="24"/>
          <w:lang w:val="en-IN"/>
        </w:rPr>
        <w:t>Veterinary Parasitology</w:t>
      </w:r>
      <w:r w:rsidRPr="00776883">
        <w:rPr>
          <w:sz w:val="24"/>
          <w:lang w:val="en-IN"/>
        </w:rPr>
        <w:t xml:space="preserve">, </w:t>
      </w:r>
      <w:r w:rsidRPr="00776883">
        <w:rPr>
          <w:i/>
          <w:iCs/>
          <w:sz w:val="24"/>
          <w:lang w:val="en-IN"/>
        </w:rPr>
        <w:t>154</w:t>
      </w:r>
      <w:r w:rsidRPr="00776883">
        <w:rPr>
          <w:sz w:val="24"/>
          <w:lang w:val="en-IN"/>
        </w:rPr>
        <w:t>(1-2), 98–102.</w:t>
      </w:r>
    </w:p>
    <w:p w14:paraId="20649985" w14:textId="77777777" w:rsidR="005B035F" w:rsidRPr="00776883" w:rsidRDefault="005B035F" w:rsidP="00776883">
      <w:pPr>
        <w:pStyle w:val="ListParagraph"/>
        <w:numPr>
          <w:ilvl w:val="0"/>
          <w:numId w:val="1"/>
        </w:numPr>
        <w:spacing w:before="257" w:line="360" w:lineRule="auto"/>
        <w:ind w:right="356"/>
        <w:jc w:val="both"/>
        <w:rPr>
          <w:sz w:val="24"/>
          <w:lang w:val="en-IN"/>
        </w:rPr>
      </w:pPr>
      <w:proofErr w:type="spellStart"/>
      <w:r w:rsidRPr="00776883">
        <w:rPr>
          <w:sz w:val="24"/>
          <w:lang w:val="en-IN"/>
        </w:rPr>
        <w:t>Dimri</w:t>
      </w:r>
      <w:proofErr w:type="spellEnd"/>
      <w:r w:rsidRPr="00776883">
        <w:rPr>
          <w:sz w:val="24"/>
          <w:lang w:val="en-IN"/>
        </w:rPr>
        <w:t xml:space="preserve">, U., Sharma, M. C., Dwivedi, P., &amp; Sharma, B. (2006). </w:t>
      </w:r>
      <w:proofErr w:type="spellStart"/>
      <w:r w:rsidRPr="00776883">
        <w:rPr>
          <w:sz w:val="24"/>
          <w:lang w:val="en-IN"/>
        </w:rPr>
        <w:t>Clinico</w:t>
      </w:r>
      <w:proofErr w:type="spellEnd"/>
      <w:r w:rsidRPr="00776883">
        <w:rPr>
          <w:sz w:val="24"/>
          <w:lang w:val="en-IN"/>
        </w:rPr>
        <w:t xml:space="preserve">-pathological changes in canine demodicosis with particular reference to </w:t>
      </w:r>
      <w:proofErr w:type="spellStart"/>
      <w:r w:rsidRPr="00776883">
        <w:rPr>
          <w:sz w:val="24"/>
          <w:lang w:val="en-IN"/>
        </w:rPr>
        <w:t>Dectomax</w:t>
      </w:r>
      <w:proofErr w:type="spellEnd"/>
      <w:r w:rsidRPr="00776883">
        <w:rPr>
          <w:sz w:val="24"/>
          <w:lang w:val="en-IN"/>
        </w:rPr>
        <w:t xml:space="preserve"> therapy. </w:t>
      </w:r>
      <w:r w:rsidRPr="00776883">
        <w:rPr>
          <w:i/>
          <w:iCs/>
          <w:sz w:val="24"/>
          <w:lang w:val="en-IN"/>
        </w:rPr>
        <w:t>Indian Journal of Veterinary Pathology</w:t>
      </w:r>
      <w:r w:rsidRPr="00776883">
        <w:rPr>
          <w:sz w:val="24"/>
          <w:lang w:val="en-IN"/>
        </w:rPr>
        <w:t xml:space="preserve">, </w:t>
      </w:r>
      <w:r w:rsidRPr="00776883">
        <w:rPr>
          <w:i/>
          <w:iCs/>
          <w:sz w:val="24"/>
          <w:lang w:val="en-IN"/>
        </w:rPr>
        <w:t>30</w:t>
      </w:r>
      <w:r w:rsidRPr="00776883">
        <w:rPr>
          <w:sz w:val="24"/>
          <w:lang w:val="en-IN"/>
        </w:rPr>
        <w:t>(1), 13–15.</w:t>
      </w:r>
    </w:p>
    <w:p w14:paraId="4E624A0C" w14:textId="77777777" w:rsidR="005B035F" w:rsidRPr="00776883" w:rsidRDefault="005B035F" w:rsidP="00776883">
      <w:pPr>
        <w:pStyle w:val="ListParagraph"/>
        <w:numPr>
          <w:ilvl w:val="0"/>
          <w:numId w:val="1"/>
        </w:numPr>
        <w:spacing w:before="257" w:line="360" w:lineRule="auto"/>
        <w:ind w:right="356"/>
        <w:jc w:val="both"/>
        <w:rPr>
          <w:sz w:val="24"/>
          <w:lang w:val="en-IN"/>
        </w:rPr>
      </w:pPr>
      <w:r w:rsidRPr="00776883">
        <w:rPr>
          <w:sz w:val="24"/>
          <w:lang w:val="en-IN"/>
        </w:rPr>
        <w:t xml:space="preserve">Drury, P. A. B., &amp; Wallington, E. A. (1980). </w:t>
      </w:r>
      <w:r w:rsidRPr="00776883">
        <w:rPr>
          <w:i/>
          <w:iCs/>
          <w:sz w:val="24"/>
          <w:lang w:val="en-IN"/>
        </w:rPr>
        <w:t>Carleton’s histological technique</w:t>
      </w:r>
      <w:r w:rsidRPr="00776883">
        <w:rPr>
          <w:sz w:val="24"/>
          <w:lang w:val="en-IN"/>
        </w:rPr>
        <w:t xml:space="preserve"> (5th ed.). Oxford University Press.</w:t>
      </w:r>
    </w:p>
    <w:p w14:paraId="2BBF9A2F" w14:textId="77777777" w:rsidR="005B035F" w:rsidRPr="00776883" w:rsidRDefault="005B035F" w:rsidP="00776883">
      <w:pPr>
        <w:pStyle w:val="ListParagraph"/>
        <w:numPr>
          <w:ilvl w:val="0"/>
          <w:numId w:val="1"/>
        </w:numPr>
        <w:spacing w:before="257" w:line="360" w:lineRule="auto"/>
        <w:ind w:right="356"/>
        <w:jc w:val="both"/>
        <w:rPr>
          <w:sz w:val="24"/>
          <w:lang w:val="en-IN"/>
        </w:rPr>
      </w:pPr>
      <w:proofErr w:type="spellStart"/>
      <w:r w:rsidRPr="00776883">
        <w:rPr>
          <w:sz w:val="24"/>
          <w:lang w:val="en-IN"/>
        </w:rPr>
        <w:t>Fondati</w:t>
      </w:r>
      <w:proofErr w:type="spellEnd"/>
      <w:r w:rsidRPr="00776883">
        <w:rPr>
          <w:sz w:val="24"/>
          <w:lang w:val="en-IN"/>
        </w:rPr>
        <w:t xml:space="preserve">, A., De Lucia, M., Furiani, N., Monaco, M., </w:t>
      </w:r>
      <w:proofErr w:type="spellStart"/>
      <w:r w:rsidRPr="00776883">
        <w:rPr>
          <w:sz w:val="24"/>
          <w:lang w:val="en-IN"/>
        </w:rPr>
        <w:t>Ordeix</w:t>
      </w:r>
      <w:proofErr w:type="spellEnd"/>
      <w:r w:rsidRPr="00776883">
        <w:rPr>
          <w:sz w:val="24"/>
          <w:lang w:val="en-IN"/>
        </w:rPr>
        <w:t xml:space="preserve">, L., &amp; </w:t>
      </w:r>
      <w:proofErr w:type="spellStart"/>
      <w:r w:rsidRPr="00776883">
        <w:rPr>
          <w:sz w:val="24"/>
          <w:lang w:val="en-IN"/>
        </w:rPr>
        <w:t>Scarampella</w:t>
      </w:r>
      <w:proofErr w:type="spellEnd"/>
      <w:r w:rsidRPr="00776883">
        <w:rPr>
          <w:sz w:val="24"/>
          <w:lang w:val="en-IN"/>
        </w:rPr>
        <w:t xml:space="preserve">, F. (2010). Prevalence of </w:t>
      </w:r>
      <w:r w:rsidRPr="00776883">
        <w:rPr>
          <w:i/>
          <w:iCs/>
          <w:sz w:val="24"/>
          <w:lang w:val="en-IN"/>
        </w:rPr>
        <w:t xml:space="preserve">Demodex </w:t>
      </w:r>
      <w:proofErr w:type="spellStart"/>
      <w:r w:rsidRPr="00776883">
        <w:rPr>
          <w:i/>
          <w:iCs/>
          <w:sz w:val="24"/>
          <w:lang w:val="en-IN"/>
        </w:rPr>
        <w:t>canis</w:t>
      </w:r>
      <w:proofErr w:type="spellEnd"/>
      <w:r w:rsidRPr="00776883">
        <w:rPr>
          <w:sz w:val="24"/>
          <w:lang w:val="en-IN"/>
        </w:rPr>
        <w:noBreakHyphen/>
        <w:t xml:space="preserve">positive healthy dogs at </w:t>
      </w:r>
      <w:proofErr w:type="spellStart"/>
      <w:r w:rsidRPr="00776883">
        <w:rPr>
          <w:sz w:val="24"/>
          <w:lang w:val="en-IN"/>
        </w:rPr>
        <w:t>trichoscopy</w:t>
      </w:r>
      <w:proofErr w:type="spellEnd"/>
      <w:r w:rsidRPr="00776883">
        <w:rPr>
          <w:sz w:val="24"/>
          <w:lang w:val="en-IN"/>
        </w:rPr>
        <w:t xml:space="preserve">. </w:t>
      </w:r>
      <w:r w:rsidRPr="00776883">
        <w:rPr>
          <w:i/>
          <w:iCs/>
          <w:sz w:val="24"/>
          <w:lang w:val="en-IN"/>
        </w:rPr>
        <w:t>Veterinary Dermatology</w:t>
      </w:r>
      <w:r w:rsidRPr="00776883">
        <w:rPr>
          <w:sz w:val="24"/>
          <w:lang w:val="en-IN"/>
        </w:rPr>
        <w:t xml:space="preserve">, </w:t>
      </w:r>
      <w:r w:rsidRPr="00776883">
        <w:rPr>
          <w:i/>
          <w:iCs/>
          <w:sz w:val="24"/>
          <w:lang w:val="en-IN"/>
        </w:rPr>
        <w:t>21</w:t>
      </w:r>
      <w:r w:rsidRPr="00776883">
        <w:rPr>
          <w:sz w:val="24"/>
          <w:lang w:val="en-IN"/>
        </w:rPr>
        <w:t xml:space="preserve">(2), 146–151. </w:t>
      </w:r>
      <w:hyperlink r:id="rId18" w:tgtFrame="_blank" w:history="1">
        <w:r w:rsidRPr="00776883">
          <w:rPr>
            <w:rStyle w:val="Hyperlink"/>
            <w:sz w:val="24"/>
            <w:lang w:val="en-IN"/>
          </w:rPr>
          <w:t>https://doi.org/10.1111/j.1365-3164.2009.00805.x</w:t>
        </w:r>
      </w:hyperlink>
    </w:p>
    <w:p w14:paraId="708ABF29" w14:textId="77777777" w:rsidR="005B035F" w:rsidRPr="00776883" w:rsidRDefault="005B035F" w:rsidP="00776883">
      <w:pPr>
        <w:pStyle w:val="ListParagraph"/>
        <w:numPr>
          <w:ilvl w:val="0"/>
          <w:numId w:val="1"/>
        </w:numPr>
        <w:spacing w:before="257" w:line="360" w:lineRule="auto"/>
        <w:ind w:right="356"/>
        <w:jc w:val="both"/>
        <w:rPr>
          <w:sz w:val="24"/>
          <w:lang w:val="en-IN"/>
        </w:rPr>
      </w:pPr>
      <w:r w:rsidRPr="00776883">
        <w:rPr>
          <w:sz w:val="24"/>
          <w:lang w:val="en-IN"/>
        </w:rPr>
        <w:t xml:space="preserve">González, F. H. D., &amp; del Prado, C. T. (2020). </w:t>
      </w:r>
      <w:r w:rsidRPr="00776883">
        <w:rPr>
          <w:i/>
          <w:iCs/>
          <w:sz w:val="24"/>
          <w:lang w:val="en-IN"/>
        </w:rPr>
        <w:t>Veterinary clinical biochemistry: Reference values and interpretation</w:t>
      </w:r>
      <w:r w:rsidRPr="00776883">
        <w:rPr>
          <w:sz w:val="24"/>
          <w:lang w:val="en-IN"/>
        </w:rPr>
        <w:t xml:space="preserve"> (2nd ed.). Elsevier Saunders.</w:t>
      </w:r>
    </w:p>
    <w:p w14:paraId="15D469AE" w14:textId="77777777" w:rsidR="005B035F" w:rsidRPr="00776883" w:rsidRDefault="005B035F" w:rsidP="00776883">
      <w:pPr>
        <w:pStyle w:val="ListParagraph"/>
        <w:numPr>
          <w:ilvl w:val="0"/>
          <w:numId w:val="1"/>
        </w:numPr>
        <w:spacing w:before="257" w:line="360" w:lineRule="auto"/>
        <w:ind w:right="356"/>
        <w:jc w:val="both"/>
        <w:rPr>
          <w:sz w:val="24"/>
          <w:lang w:val="en-IN"/>
        </w:rPr>
      </w:pPr>
      <w:r w:rsidRPr="00776883">
        <w:rPr>
          <w:sz w:val="24"/>
          <w:lang w:val="en-IN"/>
        </w:rPr>
        <w:t xml:space="preserve">Gross, T. L., Ihrke, P. J., Walder, E. J., &amp; Affolter, V. K. (2005). </w:t>
      </w:r>
      <w:r w:rsidRPr="00776883">
        <w:rPr>
          <w:i/>
          <w:iCs/>
          <w:sz w:val="24"/>
          <w:lang w:val="en-IN"/>
        </w:rPr>
        <w:t>Skin diseases of the dog and cat: Clinical and histopathologic diagnosis</w:t>
      </w:r>
      <w:r w:rsidRPr="00776883">
        <w:rPr>
          <w:sz w:val="24"/>
          <w:lang w:val="en-IN"/>
        </w:rPr>
        <w:t xml:space="preserve"> (2nd ed.). Blackwell Science.</w:t>
      </w:r>
    </w:p>
    <w:p w14:paraId="10E6ED57" w14:textId="77777777" w:rsidR="005B035F" w:rsidRPr="00776883" w:rsidRDefault="005B035F" w:rsidP="00776883">
      <w:pPr>
        <w:pStyle w:val="ListParagraph"/>
        <w:numPr>
          <w:ilvl w:val="0"/>
          <w:numId w:val="1"/>
        </w:numPr>
        <w:spacing w:before="257" w:line="360" w:lineRule="auto"/>
        <w:ind w:right="356"/>
        <w:jc w:val="both"/>
        <w:rPr>
          <w:sz w:val="24"/>
          <w:lang w:val="en-IN"/>
        </w:rPr>
      </w:pPr>
      <w:r w:rsidRPr="00776883">
        <w:rPr>
          <w:sz w:val="24"/>
          <w:lang w:val="en-IN"/>
        </w:rPr>
        <w:lastRenderedPageBreak/>
        <w:t xml:space="preserve">Gross, T. L., Ihrke, P. J., Walder, E. J., &amp; Affolter, V. K. (2020). </w:t>
      </w:r>
      <w:r w:rsidRPr="00776883">
        <w:rPr>
          <w:i/>
          <w:iCs/>
          <w:sz w:val="24"/>
          <w:lang w:val="en-IN"/>
        </w:rPr>
        <w:t>Histopathology of skin diseases in the dog and cat</w:t>
      </w:r>
      <w:r w:rsidRPr="00776883">
        <w:rPr>
          <w:sz w:val="24"/>
          <w:lang w:val="en-IN"/>
        </w:rPr>
        <w:t xml:space="preserve"> (3rd ed.). Wiley-Blackwell.</w:t>
      </w:r>
    </w:p>
    <w:p w14:paraId="062BCDC5" w14:textId="77777777" w:rsidR="005B035F" w:rsidRPr="00776883" w:rsidRDefault="005B035F" w:rsidP="00776883">
      <w:pPr>
        <w:pStyle w:val="ListParagraph"/>
        <w:numPr>
          <w:ilvl w:val="0"/>
          <w:numId w:val="1"/>
        </w:numPr>
        <w:spacing w:before="257" w:line="360" w:lineRule="auto"/>
        <w:ind w:right="356"/>
        <w:jc w:val="both"/>
        <w:rPr>
          <w:sz w:val="24"/>
          <w:lang w:val="en-IN"/>
        </w:rPr>
      </w:pPr>
      <w:r w:rsidRPr="00776883">
        <w:rPr>
          <w:sz w:val="24"/>
          <w:lang w:val="en-IN"/>
        </w:rPr>
        <w:t xml:space="preserve">Gupta, A. (2008). </w:t>
      </w:r>
      <w:r w:rsidRPr="00776883">
        <w:rPr>
          <w:i/>
          <w:iCs/>
          <w:sz w:val="24"/>
          <w:lang w:val="en-IN"/>
        </w:rPr>
        <w:t>Investigation on dietary and environmental components vis-à-vis skin health in dogs</w:t>
      </w:r>
      <w:r w:rsidRPr="00776883">
        <w:rPr>
          <w:sz w:val="24"/>
          <w:lang w:val="en-IN"/>
        </w:rPr>
        <w:t xml:space="preserve"> [Doctoral dissertation, CSKHPKV, Palampur].</w:t>
      </w:r>
    </w:p>
    <w:p w14:paraId="5981A3A8" w14:textId="77777777" w:rsidR="005B035F" w:rsidRPr="00776883" w:rsidRDefault="005B035F" w:rsidP="00776883">
      <w:pPr>
        <w:pStyle w:val="ListParagraph"/>
        <w:numPr>
          <w:ilvl w:val="0"/>
          <w:numId w:val="1"/>
        </w:numPr>
        <w:spacing w:before="257" w:line="360" w:lineRule="auto"/>
        <w:ind w:right="356"/>
        <w:jc w:val="both"/>
        <w:rPr>
          <w:sz w:val="24"/>
          <w:lang w:val="en-IN"/>
        </w:rPr>
      </w:pPr>
      <w:r w:rsidRPr="00776883">
        <w:rPr>
          <w:sz w:val="24"/>
          <w:lang w:val="en-IN"/>
        </w:rPr>
        <w:t xml:space="preserve">Haleem, M. M. A., Salib, F. A., &amp; Farag, H. S. (2015). Evaluation of haematological parameters, biochemical parameters and thyroxin level in dogs with generalized demodicosis. </w:t>
      </w:r>
      <w:r w:rsidRPr="00776883">
        <w:rPr>
          <w:i/>
          <w:iCs/>
          <w:sz w:val="24"/>
          <w:lang w:val="en-IN"/>
        </w:rPr>
        <w:t>Global Veterinarian</w:t>
      </w:r>
      <w:r w:rsidRPr="00776883">
        <w:rPr>
          <w:sz w:val="24"/>
          <w:lang w:val="en-IN"/>
        </w:rPr>
        <w:t xml:space="preserve">, </w:t>
      </w:r>
      <w:r w:rsidRPr="00776883">
        <w:rPr>
          <w:i/>
          <w:iCs/>
          <w:sz w:val="24"/>
          <w:lang w:val="en-IN"/>
        </w:rPr>
        <w:t>15</w:t>
      </w:r>
      <w:r w:rsidRPr="00776883">
        <w:rPr>
          <w:sz w:val="24"/>
          <w:lang w:val="en-IN"/>
        </w:rPr>
        <w:t>(1), 133–136.</w:t>
      </w:r>
    </w:p>
    <w:p w14:paraId="5D703A7F" w14:textId="77777777" w:rsidR="005B035F" w:rsidRPr="00776883" w:rsidRDefault="005B035F" w:rsidP="00776883">
      <w:pPr>
        <w:pStyle w:val="ListParagraph"/>
        <w:numPr>
          <w:ilvl w:val="0"/>
          <w:numId w:val="1"/>
        </w:numPr>
        <w:spacing w:before="257" w:line="360" w:lineRule="auto"/>
        <w:ind w:right="356"/>
        <w:jc w:val="both"/>
        <w:rPr>
          <w:sz w:val="24"/>
          <w:lang w:val="en-IN"/>
        </w:rPr>
      </w:pPr>
      <w:r w:rsidRPr="00776883">
        <w:rPr>
          <w:sz w:val="24"/>
          <w:lang w:val="en-IN"/>
        </w:rPr>
        <w:t>Hillier, A., &amp; Desch, C. E. (2002). Large</w:t>
      </w:r>
      <w:r w:rsidRPr="00776883">
        <w:rPr>
          <w:sz w:val="24"/>
          <w:lang w:val="en-IN"/>
        </w:rPr>
        <w:noBreakHyphen/>
        <w:t xml:space="preserve">bodied </w:t>
      </w:r>
      <w:r w:rsidRPr="00776883">
        <w:rPr>
          <w:i/>
          <w:iCs/>
          <w:sz w:val="24"/>
          <w:lang w:val="en-IN"/>
        </w:rPr>
        <w:t>Demodex</w:t>
      </w:r>
      <w:r w:rsidRPr="00776883">
        <w:rPr>
          <w:sz w:val="24"/>
          <w:lang w:val="en-IN"/>
        </w:rPr>
        <w:t xml:space="preserve"> mite infestation in 4 dogs. </w:t>
      </w:r>
      <w:r w:rsidRPr="00776883">
        <w:rPr>
          <w:i/>
          <w:iCs/>
          <w:sz w:val="24"/>
          <w:lang w:val="en-IN"/>
        </w:rPr>
        <w:t>Journal of the American Veterinary Medical Association</w:t>
      </w:r>
      <w:r w:rsidRPr="00776883">
        <w:rPr>
          <w:sz w:val="24"/>
          <w:lang w:val="en-IN"/>
        </w:rPr>
        <w:t xml:space="preserve">, </w:t>
      </w:r>
      <w:r w:rsidRPr="00776883">
        <w:rPr>
          <w:i/>
          <w:iCs/>
          <w:sz w:val="24"/>
          <w:lang w:val="en-IN"/>
        </w:rPr>
        <w:t>220</w:t>
      </w:r>
      <w:r w:rsidRPr="00776883">
        <w:rPr>
          <w:sz w:val="24"/>
          <w:lang w:val="en-IN"/>
        </w:rPr>
        <w:t xml:space="preserve">(5), 623–627. </w:t>
      </w:r>
      <w:hyperlink r:id="rId19" w:tgtFrame="_blank" w:history="1">
        <w:r w:rsidRPr="00776883">
          <w:rPr>
            <w:rStyle w:val="Hyperlink"/>
            <w:sz w:val="24"/>
            <w:lang w:val="en-IN"/>
          </w:rPr>
          <w:t>https://doi.org/10.2460/javma.2002.220.623</w:t>
        </w:r>
      </w:hyperlink>
    </w:p>
    <w:p w14:paraId="35810B81" w14:textId="77777777" w:rsidR="005B035F" w:rsidRPr="00776883" w:rsidRDefault="005B035F" w:rsidP="00776883">
      <w:pPr>
        <w:pStyle w:val="ListParagraph"/>
        <w:numPr>
          <w:ilvl w:val="0"/>
          <w:numId w:val="1"/>
        </w:numPr>
        <w:spacing w:before="257" w:line="360" w:lineRule="auto"/>
        <w:ind w:right="356"/>
        <w:jc w:val="both"/>
        <w:rPr>
          <w:sz w:val="24"/>
          <w:lang w:val="en-IN"/>
        </w:rPr>
      </w:pPr>
      <w:r w:rsidRPr="00776883">
        <w:rPr>
          <w:sz w:val="24"/>
          <w:lang w:val="en-IN"/>
        </w:rPr>
        <w:t xml:space="preserve">Janus, A., </w:t>
      </w:r>
      <w:proofErr w:type="spellStart"/>
      <w:r w:rsidRPr="00776883">
        <w:rPr>
          <w:sz w:val="24"/>
          <w:lang w:val="en-IN"/>
        </w:rPr>
        <w:t>Tresamol</w:t>
      </w:r>
      <w:proofErr w:type="spellEnd"/>
      <w:r w:rsidRPr="00776883">
        <w:rPr>
          <w:sz w:val="24"/>
          <w:lang w:val="en-IN"/>
        </w:rPr>
        <w:t xml:space="preserve">, P. V., Mercey, K. A., Habeeb, B. P., &amp; Shameem, H. (2014). A study on clinical and </w:t>
      </w:r>
      <w:proofErr w:type="spellStart"/>
      <w:r w:rsidRPr="00776883">
        <w:rPr>
          <w:sz w:val="24"/>
          <w:lang w:val="en-IN"/>
        </w:rPr>
        <w:t>haematobiochemical</w:t>
      </w:r>
      <w:proofErr w:type="spellEnd"/>
      <w:r w:rsidRPr="00776883">
        <w:rPr>
          <w:sz w:val="24"/>
          <w:lang w:val="en-IN"/>
        </w:rPr>
        <w:t xml:space="preserve"> parameters in canine demodicosis. </w:t>
      </w:r>
      <w:r w:rsidRPr="00776883">
        <w:rPr>
          <w:i/>
          <w:iCs/>
          <w:sz w:val="24"/>
          <w:lang w:val="en-IN"/>
        </w:rPr>
        <w:t>Indian Journal of Canine Practice</w:t>
      </w:r>
      <w:r w:rsidRPr="00776883">
        <w:rPr>
          <w:sz w:val="24"/>
          <w:lang w:val="en-IN"/>
        </w:rPr>
        <w:t xml:space="preserve">, </w:t>
      </w:r>
      <w:r w:rsidRPr="00776883">
        <w:rPr>
          <w:i/>
          <w:iCs/>
          <w:sz w:val="24"/>
          <w:lang w:val="en-IN"/>
        </w:rPr>
        <w:t>6</w:t>
      </w:r>
      <w:r w:rsidRPr="00776883">
        <w:rPr>
          <w:sz w:val="24"/>
          <w:lang w:val="en-IN"/>
        </w:rPr>
        <w:t>, 92–94.</w:t>
      </w:r>
    </w:p>
    <w:p w14:paraId="32A326E3" w14:textId="77777777" w:rsidR="005B035F" w:rsidRPr="00776883" w:rsidRDefault="005B035F" w:rsidP="00776883">
      <w:pPr>
        <w:pStyle w:val="ListParagraph"/>
        <w:numPr>
          <w:ilvl w:val="0"/>
          <w:numId w:val="1"/>
        </w:numPr>
        <w:spacing w:before="257" w:line="360" w:lineRule="auto"/>
        <w:ind w:right="356"/>
        <w:jc w:val="both"/>
        <w:rPr>
          <w:sz w:val="24"/>
          <w:lang w:val="en-IN"/>
        </w:rPr>
      </w:pPr>
      <w:r w:rsidRPr="00776883">
        <w:rPr>
          <w:sz w:val="24"/>
          <w:lang w:val="en-IN"/>
        </w:rPr>
        <w:t xml:space="preserve">Jyotsna, P., Maiti, S. K., Sanyal, P. K., &amp; Tiwari, S. P. (2005). </w:t>
      </w:r>
      <w:proofErr w:type="spellStart"/>
      <w:r w:rsidRPr="00776883">
        <w:rPr>
          <w:sz w:val="24"/>
          <w:lang w:val="en-IN"/>
        </w:rPr>
        <w:t>Haematobiochemical</w:t>
      </w:r>
      <w:proofErr w:type="spellEnd"/>
      <w:r w:rsidRPr="00776883">
        <w:rPr>
          <w:sz w:val="24"/>
          <w:lang w:val="en-IN"/>
        </w:rPr>
        <w:t xml:space="preserve"> and mineral profiles in generalised canine demodicosis. </w:t>
      </w:r>
      <w:proofErr w:type="spellStart"/>
      <w:r w:rsidRPr="00776883">
        <w:rPr>
          <w:i/>
          <w:iCs/>
          <w:sz w:val="24"/>
          <w:lang w:val="en-IN"/>
        </w:rPr>
        <w:t>Intas</w:t>
      </w:r>
      <w:proofErr w:type="spellEnd"/>
      <w:r w:rsidRPr="00776883">
        <w:rPr>
          <w:i/>
          <w:iCs/>
          <w:sz w:val="24"/>
          <w:lang w:val="en-IN"/>
        </w:rPr>
        <w:t xml:space="preserve"> </w:t>
      </w:r>
      <w:proofErr w:type="spellStart"/>
      <w:r w:rsidRPr="00776883">
        <w:rPr>
          <w:i/>
          <w:iCs/>
          <w:sz w:val="24"/>
          <w:lang w:val="en-IN"/>
        </w:rPr>
        <w:t>Polivet</w:t>
      </w:r>
      <w:proofErr w:type="spellEnd"/>
      <w:r w:rsidRPr="00776883">
        <w:rPr>
          <w:sz w:val="24"/>
          <w:lang w:val="en-IN"/>
        </w:rPr>
        <w:t xml:space="preserve">, </w:t>
      </w:r>
      <w:r w:rsidRPr="00776883">
        <w:rPr>
          <w:i/>
          <w:iCs/>
          <w:sz w:val="24"/>
          <w:lang w:val="en-IN"/>
        </w:rPr>
        <w:t>6</w:t>
      </w:r>
      <w:r w:rsidRPr="00776883">
        <w:rPr>
          <w:sz w:val="24"/>
          <w:lang w:val="en-IN"/>
        </w:rPr>
        <w:t>(2), 331–334.</w:t>
      </w:r>
    </w:p>
    <w:p w14:paraId="38178FD5" w14:textId="77777777" w:rsidR="005B035F" w:rsidRPr="00776883" w:rsidRDefault="005B035F" w:rsidP="00776883">
      <w:pPr>
        <w:pStyle w:val="ListParagraph"/>
        <w:numPr>
          <w:ilvl w:val="0"/>
          <w:numId w:val="1"/>
        </w:numPr>
        <w:spacing w:before="257" w:line="360" w:lineRule="auto"/>
        <w:ind w:right="356"/>
        <w:jc w:val="both"/>
        <w:rPr>
          <w:sz w:val="24"/>
          <w:lang w:val="en-IN"/>
        </w:rPr>
      </w:pPr>
      <w:r w:rsidRPr="00776883">
        <w:rPr>
          <w:sz w:val="24"/>
          <w:lang w:val="en-IN"/>
        </w:rPr>
        <w:t xml:space="preserve">Kaneko, J. J., Harvey, J. W., &amp; Bruss, M. L. (1997). </w:t>
      </w:r>
      <w:r w:rsidRPr="00776883">
        <w:rPr>
          <w:i/>
          <w:iCs/>
          <w:sz w:val="24"/>
          <w:lang w:val="en-IN"/>
        </w:rPr>
        <w:t>Clinical biochemistry of domestic animals</w:t>
      </w:r>
      <w:r w:rsidRPr="00776883">
        <w:rPr>
          <w:sz w:val="24"/>
          <w:lang w:val="en-IN"/>
        </w:rPr>
        <w:t xml:space="preserve"> (5th ed.). Academic Press.</w:t>
      </w:r>
    </w:p>
    <w:p w14:paraId="7AF5AF26" w14:textId="77777777" w:rsidR="005B035F" w:rsidRPr="00776883" w:rsidRDefault="005B035F" w:rsidP="00776883">
      <w:pPr>
        <w:pStyle w:val="ListParagraph"/>
        <w:numPr>
          <w:ilvl w:val="0"/>
          <w:numId w:val="1"/>
        </w:numPr>
        <w:spacing w:before="257" w:line="360" w:lineRule="auto"/>
        <w:ind w:right="356"/>
        <w:jc w:val="both"/>
        <w:rPr>
          <w:sz w:val="24"/>
          <w:lang w:val="en-IN"/>
        </w:rPr>
      </w:pPr>
      <w:r w:rsidRPr="00776883">
        <w:rPr>
          <w:sz w:val="24"/>
          <w:lang w:val="en-IN"/>
        </w:rPr>
        <w:t xml:space="preserve">Kaneko, J. J., Harvey, J. W., &amp; Bruss, M. L. (2008). </w:t>
      </w:r>
      <w:r w:rsidRPr="00776883">
        <w:rPr>
          <w:i/>
          <w:iCs/>
          <w:sz w:val="24"/>
          <w:lang w:val="en-IN"/>
        </w:rPr>
        <w:t>Clinical biochemistry of domestic animals</w:t>
      </w:r>
      <w:r w:rsidRPr="00776883">
        <w:rPr>
          <w:sz w:val="24"/>
          <w:lang w:val="en-IN"/>
        </w:rPr>
        <w:t xml:space="preserve"> (6th ed.). Academic Press.</w:t>
      </w:r>
    </w:p>
    <w:p w14:paraId="3E4D3DAA" w14:textId="77777777" w:rsidR="005B035F" w:rsidRPr="00776883" w:rsidRDefault="005B035F" w:rsidP="00776883">
      <w:pPr>
        <w:pStyle w:val="ListParagraph"/>
        <w:numPr>
          <w:ilvl w:val="0"/>
          <w:numId w:val="1"/>
        </w:numPr>
        <w:spacing w:before="257" w:line="360" w:lineRule="auto"/>
        <w:ind w:right="356"/>
        <w:jc w:val="both"/>
        <w:rPr>
          <w:sz w:val="24"/>
          <w:lang w:val="en-IN"/>
        </w:rPr>
      </w:pPr>
      <w:r w:rsidRPr="00776883">
        <w:rPr>
          <w:sz w:val="24"/>
          <w:lang w:val="en-IN"/>
        </w:rPr>
        <w:t xml:space="preserve">Klassing, G. C. (1998). Nutritional aspects of leukocytic cytokines. </w:t>
      </w:r>
      <w:r w:rsidRPr="00776883">
        <w:rPr>
          <w:i/>
          <w:iCs/>
          <w:sz w:val="24"/>
          <w:lang w:val="en-IN"/>
        </w:rPr>
        <w:t>Journal of Nutrition</w:t>
      </w:r>
      <w:r w:rsidRPr="00776883">
        <w:rPr>
          <w:sz w:val="24"/>
          <w:lang w:val="en-IN"/>
        </w:rPr>
        <w:t xml:space="preserve">, </w:t>
      </w:r>
      <w:r w:rsidRPr="00776883">
        <w:rPr>
          <w:i/>
          <w:iCs/>
          <w:sz w:val="24"/>
          <w:lang w:val="en-IN"/>
        </w:rPr>
        <w:t>118</w:t>
      </w:r>
      <w:r w:rsidRPr="00776883">
        <w:rPr>
          <w:sz w:val="24"/>
          <w:lang w:val="en-IN"/>
        </w:rPr>
        <w:t>, 1435–1443.</w:t>
      </w:r>
    </w:p>
    <w:p w14:paraId="34437C26" w14:textId="77777777" w:rsidR="005B035F" w:rsidRPr="00776883" w:rsidRDefault="005B035F" w:rsidP="00776883">
      <w:pPr>
        <w:pStyle w:val="ListParagraph"/>
        <w:numPr>
          <w:ilvl w:val="0"/>
          <w:numId w:val="1"/>
        </w:numPr>
        <w:spacing w:before="257" w:line="360" w:lineRule="auto"/>
        <w:ind w:right="356"/>
        <w:jc w:val="both"/>
        <w:rPr>
          <w:sz w:val="24"/>
          <w:lang w:val="en-IN"/>
        </w:rPr>
      </w:pPr>
      <w:r w:rsidRPr="00776883">
        <w:rPr>
          <w:sz w:val="24"/>
          <w:lang w:val="en-IN"/>
        </w:rPr>
        <w:t xml:space="preserve">Kolmer, J. A., </w:t>
      </w:r>
      <w:proofErr w:type="spellStart"/>
      <w:r w:rsidRPr="00776883">
        <w:rPr>
          <w:sz w:val="24"/>
          <w:lang w:val="en-IN"/>
        </w:rPr>
        <w:t>Spandling</w:t>
      </w:r>
      <w:proofErr w:type="spellEnd"/>
      <w:r w:rsidRPr="00776883">
        <w:rPr>
          <w:sz w:val="24"/>
          <w:lang w:val="en-IN"/>
        </w:rPr>
        <w:t xml:space="preserve">, E. H., &amp; Robinson, H. W. (1951). </w:t>
      </w:r>
      <w:r w:rsidRPr="00776883">
        <w:rPr>
          <w:i/>
          <w:iCs/>
          <w:sz w:val="24"/>
          <w:lang w:val="en-IN"/>
        </w:rPr>
        <w:t>Applied laboratory technique</w:t>
      </w:r>
      <w:r w:rsidRPr="00776883">
        <w:rPr>
          <w:sz w:val="24"/>
          <w:lang w:val="en-IN"/>
        </w:rPr>
        <w:t xml:space="preserve"> (5th ed.). Appleton Century Craft Inc.</w:t>
      </w:r>
    </w:p>
    <w:p w14:paraId="1BFE8C08" w14:textId="77777777" w:rsidR="005B035F" w:rsidRPr="00776883" w:rsidRDefault="005B035F" w:rsidP="00776883">
      <w:pPr>
        <w:pStyle w:val="ListParagraph"/>
        <w:numPr>
          <w:ilvl w:val="0"/>
          <w:numId w:val="1"/>
        </w:numPr>
        <w:spacing w:before="257" w:line="360" w:lineRule="auto"/>
        <w:ind w:right="356"/>
        <w:jc w:val="both"/>
        <w:rPr>
          <w:sz w:val="24"/>
          <w:lang w:val="en-IN"/>
        </w:rPr>
      </w:pPr>
      <w:r w:rsidRPr="00776883">
        <w:rPr>
          <w:sz w:val="24"/>
          <w:lang w:val="en-IN"/>
        </w:rPr>
        <w:t xml:space="preserve">Kumar, A., Das, A. K., Sinha, M., Arya, S. K. D., Kumar, A., &amp; Kumar, B. (2018). Study on the prevalence of demodectic mange in dogs in and around Patna. </w:t>
      </w:r>
      <w:r w:rsidRPr="00776883">
        <w:rPr>
          <w:i/>
          <w:iCs/>
          <w:sz w:val="24"/>
          <w:lang w:val="en-IN"/>
        </w:rPr>
        <w:lastRenderedPageBreak/>
        <w:t>International Journal of Current Microbiology and Applied Sciences</w:t>
      </w:r>
      <w:r w:rsidRPr="00776883">
        <w:rPr>
          <w:sz w:val="24"/>
          <w:lang w:val="en-IN"/>
        </w:rPr>
        <w:t xml:space="preserve">, </w:t>
      </w:r>
      <w:r w:rsidRPr="00776883">
        <w:rPr>
          <w:i/>
          <w:iCs/>
          <w:sz w:val="24"/>
          <w:lang w:val="en-IN"/>
        </w:rPr>
        <w:t>7</w:t>
      </w:r>
      <w:r w:rsidRPr="00776883">
        <w:rPr>
          <w:sz w:val="24"/>
          <w:lang w:val="en-IN"/>
        </w:rPr>
        <w:t>, 4216–4221.</w:t>
      </w:r>
    </w:p>
    <w:p w14:paraId="0F4EDAA9" w14:textId="77777777" w:rsidR="005B035F" w:rsidRPr="00776883" w:rsidRDefault="005B035F" w:rsidP="00776883">
      <w:pPr>
        <w:pStyle w:val="ListParagraph"/>
        <w:numPr>
          <w:ilvl w:val="0"/>
          <w:numId w:val="1"/>
        </w:numPr>
        <w:spacing w:before="257" w:line="360" w:lineRule="auto"/>
        <w:ind w:right="356"/>
        <w:jc w:val="both"/>
        <w:rPr>
          <w:sz w:val="24"/>
          <w:lang w:val="en-IN"/>
        </w:rPr>
      </w:pPr>
      <w:r w:rsidRPr="00776883">
        <w:rPr>
          <w:sz w:val="24"/>
          <w:lang w:val="en-IN"/>
        </w:rPr>
        <w:t xml:space="preserve">Luna, L. G. (1968). </w:t>
      </w:r>
      <w:r w:rsidRPr="00776883">
        <w:rPr>
          <w:i/>
          <w:iCs/>
          <w:sz w:val="24"/>
          <w:lang w:val="en-IN"/>
        </w:rPr>
        <w:t>Manual of histologic staining methods of Armed Forces Institute of Pathology</w:t>
      </w:r>
      <w:r w:rsidRPr="00776883">
        <w:rPr>
          <w:sz w:val="24"/>
          <w:lang w:val="en-IN"/>
        </w:rPr>
        <w:t xml:space="preserve"> (3rd ed.). McGraw-Hill Book Company.</w:t>
      </w:r>
    </w:p>
    <w:p w14:paraId="5F27515F" w14:textId="77777777" w:rsidR="005B035F" w:rsidRPr="00776883" w:rsidRDefault="005B035F" w:rsidP="00776883">
      <w:pPr>
        <w:pStyle w:val="ListParagraph"/>
        <w:numPr>
          <w:ilvl w:val="0"/>
          <w:numId w:val="1"/>
        </w:numPr>
        <w:spacing w:before="257" w:line="360" w:lineRule="auto"/>
        <w:ind w:right="356"/>
        <w:jc w:val="both"/>
        <w:rPr>
          <w:sz w:val="24"/>
          <w:lang w:val="en-IN"/>
        </w:rPr>
      </w:pPr>
      <w:r w:rsidRPr="00776883">
        <w:rPr>
          <w:sz w:val="24"/>
          <w:lang w:val="en-IN"/>
        </w:rPr>
        <w:t xml:space="preserve">Mueller, R. S. (2008). Demodicosis: A frequent problem in the dog. In </w:t>
      </w:r>
      <w:r w:rsidRPr="00776883">
        <w:rPr>
          <w:i/>
          <w:iCs/>
          <w:sz w:val="24"/>
          <w:lang w:val="en-IN"/>
        </w:rPr>
        <w:t>Proceedings of the 33rd World Small Animal Veterinary Congress</w:t>
      </w:r>
      <w:r w:rsidRPr="00776883">
        <w:rPr>
          <w:sz w:val="24"/>
          <w:lang w:val="en-IN"/>
        </w:rPr>
        <w:t>. Dublin, Ireland.</w:t>
      </w:r>
    </w:p>
    <w:p w14:paraId="02698A66" w14:textId="77777777" w:rsidR="005B035F" w:rsidRPr="00776883" w:rsidRDefault="005B035F" w:rsidP="00776883">
      <w:pPr>
        <w:pStyle w:val="ListParagraph"/>
        <w:numPr>
          <w:ilvl w:val="0"/>
          <w:numId w:val="1"/>
        </w:numPr>
        <w:spacing w:before="257" w:line="360" w:lineRule="auto"/>
        <w:ind w:right="356"/>
        <w:jc w:val="both"/>
        <w:rPr>
          <w:sz w:val="24"/>
          <w:lang w:val="en-IN"/>
        </w:rPr>
      </w:pPr>
      <w:r w:rsidRPr="00776883">
        <w:rPr>
          <w:sz w:val="24"/>
          <w:lang w:val="en-IN"/>
        </w:rPr>
        <w:t xml:space="preserve">Mueller, R. S., </w:t>
      </w:r>
      <w:proofErr w:type="spellStart"/>
      <w:r w:rsidRPr="00776883">
        <w:rPr>
          <w:sz w:val="24"/>
          <w:lang w:val="en-IN"/>
        </w:rPr>
        <w:t>Bensignor</w:t>
      </w:r>
      <w:proofErr w:type="spellEnd"/>
      <w:r w:rsidRPr="00776883">
        <w:rPr>
          <w:sz w:val="24"/>
          <w:lang w:val="en-IN"/>
        </w:rPr>
        <w:t xml:space="preserve">, E., Ferrer, L., Holm, B., Lemarie, S., Paradis, M., &amp; Shipstone, M. A. (2012). Treatment of demodicosis in dogs: 2011 clinical practice guidelines. </w:t>
      </w:r>
      <w:r w:rsidRPr="00776883">
        <w:rPr>
          <w:i/>
          <w:iCs/>
          <w:sz w:val="24"/>
          <w:lang w:val="en-IN"/>
        </w:rPr>
        <w:t>Veterinary Dermatology</w:t>
      </w:r>
      <w:r w:rsidRPr="00776883">
        <w:rPr>
          <w:sz w:val="24"/>
          <w:lang w:val="en-IN"/>
        </w:rPr>
        <w:t xml:space="preserve">, </w:t>
      </w:r>
      <w:r w:rsidRPr="00776883">
        <w:rPr>
          <w:i/>
          <w:iCs/>
          <w:sz w:val="24"/>
          <w:lang w:val="en-IN"/>
        </w:rPr>
        <w:t>23</w:t>
      </w:r>
      <w:r w:rsidRPr="00776883">
        <w:rPr>
          <w:sz w:val="24"/>
          <w:lang w:val="en-IN"/>
        </w:rPr>
        <w:t xml:space="preserve">(2), 86–e21. </w:t>
      </w:r>
      <w:hyperlink r:id="rId20" w:tgtFrame="_blank" w:history="1">
        <w:r w:rsidRPr="00776883">
          <w:rPr>
            <w:rStyle w:val="Hyperlink"/>
            <w:sz w:val="24"/>
            <w:lang w:val="en-IN"/>
          </w:rPr>
          <w:t>https://doi.org/10.1111/j.1365-3164.2011.01026.x</w:t>
        </w:r>
      </w:hyperlink>
    </w:p>
    <w:p w14:paraId="25EF1936" w14:textId="77777777" w:rsidR="005B035F" w:rsidRPr="00776883" w:rsidRDefault="005B035F" w:rsidP="00776883">
      <w:pPr>
        <w:pStyle w:val="ListParagraph"/>
        <w:numPr>
          <w:ilvl w:val="0"/>
          <w:numId w:val="1"/>
        </w:numPr>
        <w:spacing w:before="257" w:line="360" w:lineRule="auto"/>
        <w:ind w:right="356"/>
        <w:jc w:val="both"/>
        <w:rPr>
          <w:sz w:val="24"/>
          <w:lang w:val="en-IN"/>
        </w:rPr>
      </w:pPr>
      <w:r w:rsidRPr="00776883">
        <w:rPr>
          <w:sz w:val="24"/>
          <w:lang w:val="en-IN"/>
        </w:rPr>
        <w:t xml:space="preserve">Muller, G. H., &amp; Kirk, R. W. (1969). </w:t>
      </w:r>
      <w:r w:rsidRPr="00776883">
        <w:rPr>
          <w:i/>
          <w:iCs/>
          <w:sz w:val="24"/>
          <w:lang w:val="en-IN"/>
        </w:rPr>
        <w:t>Small animal dermatology</w:t>
      </w:r>
      <w:r w:rsidRPr="00776883">
        <w:rPr>
          <w:sz w:val="24"/>
          <w:lang w:val="en-IN"/>
        </w:rPr>
        <w:t xml:space="preserve"> (2nd ed.). W. B. Saunders Co.</w:t>
      </w:r>
    </w:p>
    <w:p w14:paraId="60A70243" w14:textId="77777777" w:rsidR="005B035F" w:rsidRPr="00776883" w:rsidRDefault="005B035F" w:rsidP="00776883">
      <w:pPr>
        <w:pStyle w:val="ListParagraph"/>
        <w:numPr>
          <w:ilvl w:val="0"/>
          <w:numId w:val="1"/>
        </w:numPr>
        <w:spacing w:before="257" w:line="360" w:lineRule="auto"/>
        <w:ind w:right="356"/>
        <w:jc w:val="both"/>
        <w:rPr>
          <w:sz w:val="24"/>
          <w:lang w:val="en-IN"/>
        </w:rPr>
      </w:pPr>
      <w:r w:rsidRPr="00776883">
        <w:rPr>
          <w:sz w:val="24"/>
          <w:lang w:val="en-IN"/>
        </w:rPr>
        <w:t xml:space="preserve">Nair, S. S., &amp; </w:t>
      </w:r>
      <w:proofErr w:type="spellStart"/>
      <w:r w:rsidRPr="00776883">
        <w:rPr>
          <w:sz w:val="24"/>
          <w:lang w:val="en-IN"/>
        </w:rPr>
        <w:t>Nauriyal</w:t>
      </w:r>
      <w:proofErr w:type="spellEnd"/>
      <w:r w:rsidRPr="00776883">
        <w:rPr>
          <w:sz w:val="24"/>
          <w:lang w:val="en-IN"/>
        </w:rPr>
        <w:t xml:space="preserve">, D. S. (2007). Diagnostic significance of haematological changes associated with various canine dermatoses. </w:t>
      </w:r>
      <w:proofErr w:type="spellStart"/>
      <w:r w:rsidRPr="00776883">
        <w:rPr>
          <w:i/>
          <w:iCs/>
          <w:sz w:val="24"/>
          <w:lang w:val="en-IN"/>
        </w:rPr>
        <w:t>Intas</w:t>
      </w:r>
      <w:proofErr w:type="spellEnd"/>
      <w:r w:rsidRPr="00776883">
        <w:rPr>
          <w:i/>
          <w:iCs/>
          <w:sz w:val="24"/>
          <w:lang w:val="en-IN"/>
        </w:rPr>
        <w:t xml:space="preserve"> </w:t>
      </w:r>
      <w:proofErr w:type="spellStart"/>
      <w:r w:rsidRPr="00776883">
        <w:rPr>
          <w:i/>
          <w:iCs/>
          <w:sz w:val="24"/>
          <w:lang w:val="en-IN"/>
        </w:rPr>
        <w:t>Polivet</w:t>
      </w:r>
      <w:proofErr w:type="spellEnd"/>
      <w:r w:rsidRPr="00776883">
        <w:rPr>
          <w:sz w:val="24"/>
          <w:lang w:val="en-IN"/>
        </w:rPr>
        <w:t xml:space="preserve">, </w:t>
      </w:r>
      <w:r w:rsidRPr="00776883">
        <w:rPr>
          <w:i/>
          <w:iCs/>
          <w:sz w:val="24"/>
          <w:lang w:val="en-IN"/>
        </w:rPr>
        <w:t>8</w:t>
      </w:r>
      <w:r w:rsidRPr="00776883">
        <w:rPr>
          <w:sz w:val="24"/>
          <w:lang w:val="en-IN"/>
        </w:rPr>
        <w:t>(1), 68–72.</w:t>
      </w:r>
    </w:p>
    <w:p w14:paraId="020EA66D" w14:textId="77777777" w:rsidR="005B035F" w:rsidRPr="00776883" w:rsidRDefault="005B035F" w:rsidP="00776883">
      <w:pPr>
        <w:pStyle w:val="ListParagraph"/>
        <w:numPr>
          <w:ilvl w:val="0"/>
          <w:numId w:val="1"/>
        </w:numPr>
        <w:spacing w:before="257" w:line="360" w:lineRule="auto"/>
        <w:ind w:right="356"/>
        <w:jc w:val="both"/>
        <w:rPr>
          <w:sz w:val="24"/>
          <w:lang w:val="en-IN"/>
        </w:rPr>
      </w:pPr>
      <w:r w:rsidRPr="00776883">
        <w:rPr>
          <w:sz w:val="24"/>
          <w:lang w:val="en-IN"/>
        </w:rPr>
        <w:t xml:space="preserve">Nath, N., Chari, S. N., &amp; Rath, A. B. (1984). Superoxide dismutase in diabetic polymorphonuclear leukocytes. </w:t>
      </w:r>
      <w:r w:rsidRPr="00776883">
        <w:rPr>
          <w:i/>
          <w:iCs/>
          <w:sz w:val="24"/>
          <w:lang w:val="en-IN"/>
        </w:rPr>
        <w:t>Diabetes</w:t>
      </w:r>
      <w:r w:rsidRPr="00776883">
        <w:rPr>
          <w:sz w:val="24"/>
          <w:lang w:val="en-IN"/>
        </w:rPr>
        <w:t xml:space="preserve">, </w:t>
      </w:r>
      <w:r w:rsidRPr="00776883">
        <w:rPr>
          <w:i/>
          <w:iCs/>
          <w:sz w:val="24"/>
          <w:lang w:val="en-IN"/>
        </w:rPr>
        <w:t>33</w:t>
      </w:r>
      <w:r w:rsidRPr="00776883">
        <w:rPr>
          <w:sz w:val="24"/>
          <w:lang w:val="en-IN"/>
        </w:rPr>
        <w:t>, 586–589.</w:t>
      </w:r>
    </w:p>
    <w:p w14:paraId="07134E29" w14:textId="77777777" w:rsidR="005B035F" w:rsidRPr="00776883" w:rsidRDefault="005B035F" w:rsidP="00776883">
      <w:pPr>
        <w:pStyle w:val="ListParagraph"/>
        <w:numPr>
          <w:ilvl w:val="0"/>
          <w:numId w:val="1"/>
        </w:numPr>
        <w:spacing w:before="257" w:line="360" w:lineRule="auto"/>
        <w:ind w:right="356"/>
        <w:jc w:val="both"/>
        <w:rPr>
          <w:sz w:val="24"/>
          <w:lang w:val="en-IN"/>
        </w:rPr>
      </w:pPr>
      <w:r w:rsidRPr="00776883">
        <w:rPr>
          <w:sz w:val="24"/>
          <w:lang w:val="en-IN"/>
        </w:rPr>
        <w:t xml:space="preserve">Nesbitt, G. H. (1983). </w:t>
      </w:r>
      <w:r w:rsidRPr="00776883">
        <w:rPr>
          <w:i/>
          <w:iCs/>
          <w:sz w:val="24"/>
          <w:lang w:val="en-IN"/>
        </w:rPr>
        <w:t>Canine and feline dermatology: A systematic approach</w:t>
      </w:r>
      <w:r w:rsidRPr="00776883">
        <w:rPr>
          <w:sz w:val="24"/>
          <w:lang w:val="en-IN"/>
        </w:rPr>
        <w:t xml:space="preserve">. Lea and </w:t>
      </w:r>
      <w:proofErr w:type="spellStart"/>
      <w:r w:rsidRPr="00776883">
        <w:rPr>
          <w:sz w:val="24"/>
          <w:lang w:val="en-IN"/>
        </w:rPr>
        <w:t>Febiger</w:t>
      </w:r>
      <w:proofErr w:type="spellEnd"/>
      <w:r w:rsidRPr="00776883">
        <w:rPr>
          <w:sz w:val="24"/>
          <w:lang w:val="en-IN"/>
        </w:rPr>
        <w:t>.</w:t>
      </w:r>
    </w:p>
    <w:p w14:paraId="0AAA34F8" w14:textId="77777777" w:rsidR="005B035F" w:rsidRPr="00776883" w:rsidRDefault="005B035F" w:rsidP="00776883">
      <w:pPr>
        <w:pStyle w:val="ListParagraph"/>
        <w:numPr>
          <w:ilvl w:val="0"/>
          <w:numId w:val="1"/>
        </w:numPr>
        <w:spacing w:before="257" w:line="360" w:lineRule="auto"/>
        <w:ind w:right="356"/>
        <w:jc w:val="both"/>
        <w:rPr>
          <w:sz w:val="24"/>
          <w:lang w:val="en-IN"/>
        </w:rPr>
      </w:pPr>
      <w:r w:rsidRPr="00776883">
        <w:rPr>
          <w:sz w:val="24"/>
          <w:lang w:val="en-IN"/>
        </w:rPr>
        <w:t xml:space="preserve">Oludunsin, F. O., Emmanuel, O., </w:t>
      </w:r>
      <w:proofErr w:type="spellStart"/>
      <w:r w:rsidRPr="00776883">
        <w:rPr>
          <w:sz w:val="24"/>
          <w:lang w:val="en-IN"/>
        </w:rPr>
        <w:t>Olayide</w:t>
      </w:r>
      <w:proofErr w:type="spellEnd"/>
      <w:r w:rsidRPr="00776883">
        <w:rPr>
          <w:sz w:val="24"/>
          <w:lang w:val="en-IN"/>
        </w:rPr>
        <w:t xml:space="preserve">, A. J., Augustine, O. O., </w:t>
      </w:r>
      <w:proofErr w:type="spellStart"/>
      <w:r w:rsidRPr="00776883">
        <w:rPr>
          <w:sz w:val="24"/>
          <w:lang w:val="en-IN"/>
        </w:rPr>
        <w:t>Jokotola</w:t>
      </w:r>
      <w:proofErr w:type="spellEnd"/>
      <w:r w:rsidRPr="00776883">
        <w:rPr>
          <w:sz w:val="24"/>
          <w:lang w:val="en-IN"/>
        </w:rPr>
        <w:t xml:space="preserve">, A. O., Tolulope, O. S., &amp; Simon, S. (2014). Death of a four-year-old German shepherd dog due to </w:t>
      </w:r>
      <w:r w:rsidRPr="00776883">
        <w:rPr>
          <w:i/>
          <w:iCs/>
          <w:sz w:val="24"/>
          <w:lang w:val="en-IN"/>
        </w:rPr>
        <w:t xml:space="preserve">Demodex </w:t>
      </w:r>
      <w:proofErr w:type="spellStart"/>
      <w:r w:rsidRPr="00776883">
        <w:rPr>
          <w:i/>
          <w:iCs/>
          <w:sz w:val="24"/>
          <w:lang w:val="en-IN"/>
        </w:rPr>
        <w:t>canis</w:t>
      </w:r>
      <w:proofErr w:type="spellEnd"/>
      <w:r w:rsidRPr="00776883">
        <w:rPr>
          <w:sz w:val="24"/>
          <w:lang w:val="en-IN"/>
        </w:rPr>
        <w:t xml:space="preserve"> in Ibadan, Southwest Nigeria: A case report. </w:t>
      </w:r>
      <w:r w:rsidRPr="00776883">
        <w:rPr>
          <w:i/>
          <w:iCs/>
          <w:sz w:val="24"/>
          <w:lang w:val="en-IN"/>
        </w:rPr>
        <w:t>Research</w:t>
      </w:r>
      <w:r w:rsidRPr="00776883">
        <w:rPr>
          <w:sz w:val="24"/>
          <w:lang w:val="en-IN"/>
        </w:rPr>
        <w:t xml:space="preserve">, </w:t>
      </w:r>
      <w:r w:rsidRPr="00776883">
        <w:rPr>
          <w:i/>
          <w:iCs/>
          <w:sz w:val="24"/>
          <w:lang w:val="en-IN"/>
        </w:rPr>
        <w:t>1</w:t>
      </w:r>
      <w:r w:rsidRPr="00776883">
        <w:rPr>
          <w:sz w:val="24"/>
          <w:lang w:val="en-IN"/>
        </w:rPr>
        <w:t>, 887.</w:t>
      </w:r>
    </w:p>
    <w:p w14:paraId="3EBECFCC" w14:textId="77777777" w:rsidR="005B035F" w:rsidRPr="00776883" w:rsidRDefault="005B035F" w:rsidP="00776883">
      <w:pPr>
        <w:pStyle w:val="ListParagraph"/>
        <w:numPr>
          <w:ilvl w:val="0"/>
          <w:numId w:val="1"/>
        </w:numPr>
        <w:spacing w:before="257" w:line="360" w:lineRule="auto"/>
        <w:ind w:right="356"/>
        <w:jc w:val="both"/>
        <w:rPr>
          <w:sz w:val="24"/>
          <w:lang w:val="en-IN"/>
        </w:rPr>
      </w:pPr>
      <w:r w:rsidRPr="00776883">
        <w:rPr>
          <w:sz w:val="24"/>
          <w:lang w:val="en-IN"/>
        </w:rPr>
        <w:t xml:space="preserve">Pradhan, N. R., Chatterjee, S., &amp; </w:t>
      </w:r>
      <w:proofErr w:type="spellStart"/>
      <w:r w:rsidRPr="00776883">
        <w:rPr>
          <w:sz w:val="24"/>
          <w:lang w:val="en-IN"/>
        </w:rPr>
        <w:t>Lodh</w:t>
      </w:r>
      <w:proofErr w:type="spellEnd"/>
      <w:r w:rsidRPr="00776883">
        <w:rPr>
          <w:sz w:val="24"/>
          <w:lang w:val="en-IN"/>
        </w:rPr>
        <w:t xml:space="preserve">, C. (2012). Demodicosis in dogs and its therapeutic management. </w:t>
      </w:r>
      <w:r w:rsidRPr="00776883">
        <w:rPr>
          <w:i/>
          <w:iCs/>
          <w:sz w:val="24"/>
          <w:lang w:val="en-IN"/>
        </w:rPr>
        <w:t>Indian Journal of Canine Practice</w:t>
      </w:r>
      <w:r w:rsidRPr="00776883">
        <w:rPr>
          <w:sz w:val="24"/>
          <w:lang w:val="en-IN"/>
        </w:rPr>
        <w:t xml:space="preserve">, </w:t>
      </w:r>
      <w:r w:rsidRPr="00776883">
        <w:rPr>
          <w:i/>
          <w:iCs/>
          <w:sz w:val="24"/>
          <w:lang w:val="en-IN"/>
        </w:rPr>
        <w:t>4</w:t>
      </w:r>
      <w:r w:rsidRPr="00776883">
        <w:rPr>
          <w:sz w:val="24"/>
          <w:lang w:val="en-IN"/>
        </w:rPr>
        <w:t>(1), 44–48.</w:t>
      </w:r>
    </w:p>
    <w:p w14:paraId="39369B28" w14:textId="77777777" w:rsidR="005B035F" w:rsidRPr="00776883" w:rsidRDefault="005B035F" w:rsidP="00776883">
      <w:pPr>
        <w:pStyle w:val="ListParagraph"/>
        <w:numPr>
          <w:ilvl w:val="0"/>
          <w:numId w:val="1"/>
        </w:numPr>
        <w:spacing w:before="257" w:line="360" w:lineRule="auto"/>
        <w:ind w:right="356"/>
        <w:jc w:val="both"/>
        <w:rPr>
          <w:sz w:val="24"/>
          <w:lang w:val="en-IN"/>
        </w:rPr>
      </w:pPr>
      <w:r w:rsidRPr="00776883">
        <w:rPr>
          <w:sz w:val="24"/>
          <w:lang w:val="en-IN"/>
        </w:rPr>
        <w:t xml:space="preserve">Prasad, A. S. (2008). Zinc in human health: Effect of zinc on immune cells. </w:t>
      </w:r>
      <w:r w:rsidRPr="00776883">
        <w:rPr>
          <w:i/>
          <w:iCs/>
          <w:sz w:val="24"/>
          <w:lang w:val="en-IN"/>
        </w:rPr>
        <w:lastRenderedPageBreak/>
        <w:t>Molecular Medicine</w:t>
      </w:r>
      <w:r w:rsidRPr="00776883">
        <w:rPr>
          <w:sz w:val="24"/>
          <w:lang w:val="en-IN"/>
        </w:rPr>
        <w:t xml:space="preserve">, </w:t>
      </w:r>
      <w:r w:rsidRPr="00776883">
        <w:rPr>
          <w:i/>
          <w:iCs/>
          <w:sz w:val="24"/>
          <w:lang w:val="en-IN"/>
        </w:rPr>
        <w:t>14</w:t>
      </w:r>
      <w:r w:rsidRPr="00776883">
        <w:rPr>
          <w:sz w:val="24"/>
          <w:lang w:val="en-IN"/>
        </w:rPr>
        <w:t xml:space="preserve">(5–6), 353–357. </w:t>
      </w:r>
      <w:hyperlink r:id="rId21" w:tgtFrame="_blank" w:history="1">
        <w:r w:rsidRPr="00776883">
          <w:rPr>
            <w:rStyle w:val="Hyperlink"/>
            <w:sz w:val="24"/>
            <w:lang w:val="en-IN"/>
          </w:rPr>
          <w:t>https://doi.org/10.2119/2008-00033.Prasad</w:t>
        </w:r>
      </w:hyperlink>
    </w:p>
    <w:p w14:paraId="7EEB1C81" w14:textId="77777777" w:rsidR="005B035F" w:rsidRPr="00776883" w:rsidRDefault="005B035F" w:rsidP="00776883">
      <w:pPr>
        <w:pStyle w:val="ListParagraph"/>
        <w:numPr>
          <w:ilvl w:val="0"/>
          <w:numId w:val="1"/>
        </w:numPr>
        <w:spacing w:before="257" w:line="360" w:lineRule="auto"/>
        <w:ind w:right="356"/>
        <w:jc w:val="both"/>
        <w:rPr>
          <w:sz w:val="24"/>
          <w:lang w:val="en-IN"/>
        </w:rPr>
      </w:pPr>
      <w:r w:rsidRPr="00776883">
        <w:rPr>
          <w:sz w:val="24"/>
          <w:lang w:val="en-IN"/>
        </w:rPr>
        <w:t xml:space="preserve">Reddy, B. S., Kumari, K. N., </w:t>
      </w:r>
      <w:proofErr w:type="spellStart"/>
      <w:r w:rsidRPr="00776883">
        <w:rPr>
          <w:sz w:val="24"/>
          <w:lang w:val="en-IN"/>
        </w:rPr>
        <w:t>Sivajothi</w:t>
      </w:r>
      <w:proofErr w:type="spellEnd"/>
      <w:r w:rsidRPr="00776883">
        <w:rPr>
          <w:sz w:val="24"/>
          <w:lang w:val="en-IN"/>
        </w:rPr>
        <w:t xml:space="preserve">, S., &amp; </w:t>
      </w:r>
      <w:proofErr w:type="spellStart"/>
      <w:r w:rsidRPr="00776883">
        <w:rPr>
          <w:sz w:val="24"/>
          <w:lang w:val="en-IN"/>
        </w:rPr>
        <w:t>Venkatasivakumar</w:t>
      </w:r>
      <w:proofErr w:type="spellEnd"/>
      <w:r w:rsidRPr="00776883">
        <w:rPr>
          <w:sz w:val="24"/>
          <w:lang w:val="en-IN"/>
        </w:rPr>
        <w:t xml:space="preserve">, R. (2014). Dermatitis due to mixed </w:t>
      </w:r>
      <w:r w:rsidRPr="00776883">
        <w:rPr>
          <w:i/>
          <w:iCs/>
          <w:sz w:val="24"/>
          <w:lang w:val="en-IN"/>
        </w:rPr>
        <w:t>Demodex</w:t>
      </w:r>
      <w:r w:rsidRPr="00776883">
        <w:rPr>
          <w:sz w:val="24"/>
          <w:lang w:val="en-IN"/>
        </w:rPr>
        <w:t xml:space="preserve"> and </w:t>
      </w:r>
      <w:proofErr w:type="spellStart"/>
      <w:r w:rsidRPr="00776883">
        <w:rPr>
          <w:i/>
          <w:iCs/>
          <w:sz w:val="24"/>
          <w:lang w:val="en-IN"/>
        </w:rPr>
        <w:t>Sarcoptes</w:t>
      </w:r>
      <w:proofErr w:type="spellEnd"/>
      <w:r w:rsidRPr="00776883">
        <w:rPr>
          <w:sz w:val="24"/>
          <w:lang w:val="en-IN"/>
        </w:rPr>
        <w:t xml:space="preserve"> mites in dogs. </w:t>
      </w:r>
      <w:r w:rsidRPr="00776883">
        <w:rPr>
          <w:i/>
          <w:iCs/>
          <w:sz w:val="24"/>
          <w:lang w:val="en-IN"/>
        </w:rPr>
        <w:t>Case Reports in Veterinary Medicine</w:t>
      </w:r>
      <w:r w:rsidRPr="00776883">
        <w:rPr>
          <w:sz w:val="24"/>
          <w:lang w:val="en-IN"/>
        </w:rPr>
        <w:t xml:space="preserve">, </w:t>
      </w:r>
      <w:r w:rsidRPr="00776883">
        <w:rPr>
          <w:i/>
          <w:iCs/>
          <w:sz w:val="24"/>
          <w:lang w:val="en-IN"/>
        </w:rPr>
        <w:t>2014</w:t>
      </w:r>
      <w:r w:rsidRPr="00776883">
        <w:rPr>
          <w:sz w:val="24"/>
          <w:lang w:val="en-IN"/>
        </w:rPr>
        <w:t>, 1-4.</w:t>
      </w:r>
    </w:p>
    <w:p w14:paraId="1CB16BF0" w14:textId="77777777" w:rsidR="005B035F" w:rsidRPr="00776883" w:rsidRDefault="005B035F" w:rsidP="00776883">
      <w:pPr>
        <w:pStyle w:val="ListParagraph"/>
        <w:numPr>
          <w:ilvl w:val="0"/>
          <w:numId w:val="1"/>
        </w:numPr>
        <w:spacing w:before="257" w:line="360" w:lineRule="auto"/>
        <w:ind w:right="356"/>
        <w:jc w:val="both"/>
        <w:rPr>
          <w:sz w:val="24"/>
          <w:lang w:val="en-IN"/>
        </w:rPr>
      </w:pPr>
      <w:r w:rsidRPr="00776883">
        <w:rPr>
          <w:sz w:val="24"/>
          <w:lang w:val="en-IN"/>
        </w:rPr>
        <w:t xml:space="preserve">Sakina, A., </w:t>
      </w:r>
      <w:proofErr w:type="spellStart"/>
      <w:r w:rsidRPr="00776883">
        <w:rPr>
          <w:sz w:val="24"/>
          <w:lang w:val="en-IN"/>
        </w:rPr>
        <w:t>Mandial</w:t>
      </w:r>
      <w:proofErr w:type="spellEnd"/>
      <w:r w:rsidRPr="00776883">
        <w:rPr>
          <w:sz w:val="24"/>
          <w:lang w:val="en-IN"/>
        </w:rPr>
        <w:t xml:space="preserve">, R. K., &amp; Mudasir, Q. (2012). </w:t>
      </w:r>
      <w:proofErr w:type="spellStart"/>
      <w:r w:rsidRPr="00776883">
        <w:rPr>
          <w:sz w:val="24"/>
          <w:lang w:val="en-IN"/>
        </w:rPr>
        <w:t>Haematobiochemical</w:t>
      </w:r>
      <w:proofErr w:type="spellEnd"/>
      <w:r w:rsidRPr="00776883">
        <w:rPr>
          <w:sz w:val="24"/>
          <w:lang w:val="en-IN"/>
        </w:rPr>
        <w:t xml:space="preserve"> changes in canine </w:t>
      </w:r>
      <w:proofErr w:type="spellStart"/>
      <w:r w:rsidRPr="00776883">
        <w:rPr>
          <w:sz w:val="24"/>
          <w:lang w:val="en-IN"/>
        </w:rPr>
        <w:t>demodecosis</w:t>
      </w:r>
      <w:proofErr w:type="spellEnd"/>
      <w:r w:rsidRPr="00776883">
        <w:rPr>
          <w:sz w:val="24"/>
          <w:lang w:val="en-IN"/>
        </w:rPr>
        <w:t xml:space="preserve">. </w:t>
      </w:r>
      <w:r w:rsidRPr="00776883">
        <w:rPr>
          <w:i/>
          <w:iCs/>
          <w:sz w:val="24"/>
          <w:lang w:val="en-IN"/>
        </w:rPr>
        <w:t>Vet Scan</w:t>
      </w:r>
      <w:r w:rsidRPr="00776883">
        <w:rPr>
          <w:sz w:val="24"/>
          <w:lang w:val="en-IN"/>
        </w:rPr>
        <w:t xml:space="preserve">, </w:t>
      </w:r>
      <w:r w:rsidRPr="00776883">
        <w:rPr>
          <w:i/>
          <w:iCs/>
          <w:sz w:val="24"/>
          <w:lang w:val="en-IN"/>
        </w:rPr>
        <w:t>7</w:t>
      </w:r>
      <w:r w:rsidRPr="00776883">
        <w:rPr>
          <w:sz w:val="24"/>
          <w:lang w:val="en-IN"/>
        </w:rPr>
        <w:t>, 75–78.</w:t>
      </w:r>
    </w:p>
    <w:p w14:paraId="5D869F64" w14:textId="77777777" w:rsidR="005B035F" w:rsidRPr="00776883" w:rsidRDefault="005B035F" w:rsidP="00776883">
      <w:pPr>
        <w:pStyle w:val="ListParagraph"/>
        <w:numPr>
          <w:ilvl w:val="0"/>
          <w:numId w:val="1"/>
        </w:numPr>
        <w:spacing w:before="257" w:line="360" w:lineRule="auto"/>
        <w:ind w:right="356"/>
        <w:jc w:val="both"/>
        <w:rPr>
          <w:sz w:val="24"/>
          <w:lang w:val="en-IN"/>
        </w:rPr>
      </w:pPr>
      <w:r w:rsidRPr="00776883">
        <w:rPr>
          <w:sz w:val="24"/>
          <w:lang w:val="en-IN"/>
        </w:rPr>
        <w:t xml:space="preserve">Scott, D. W., Miller, W. H., &amp; Griffin, C. E. (2001). </w:t>
      </w:r>
      <w:r w:rsidRPr="00776883">
        <w:rPr>
          <w:i/>
          <w:iCs/>
          <w:sz w:val="24"/>
          <w:lang w:val="en-IN"/>
        </w:rPr>
        <w:t>Muller and Kirk’s small animal dermatology</w:t>
      </w:r>
      <w:r w:rsidRPr="00776883">
        <w:rPr>
          <w:sz w:val="24"/>
          <w:lang w:val="en-IN"/>
        </w:rPr>
        <w:t xml:space="preserve"> (6th ed.). WB Saunders.</w:t>
      </w:r>
    </w:p>
    <w:p w14:paraId="109DAAEE" w14:textId="77777777" w:rsidR="005B035F" w:rsidRPr="00776883" w:rsidRDefault="005B035F" w:rsidP="00776883">
      <w:pPr>
        <w:pStyle w:val="ListParagraph"/>
        <w:numPr>
          <w:ilvl w:val="0"/>
          <w:numId w:val="1"/>
        </w:numPr>
        <w:spacing w:before="257" w:line="360" w:lineRule="auto"/>
        <w:ind w:right="356"/>
        <w:jc w:val="both"/>
        <w:rPr>
          <w:sz w:val="24"/>
          <w:lang w:val="en-IN"/>
        </w:rPr>
      </w:pPr>
      <w:r w:rsidRPr="00776883">
        <w:rPr>
          <w:sz w:val="24"/>
          <w:lang w:val="en-IN"/>
        </w:rPr>
        <w:t xml:space="preserve">Singh, S. K., </w:t>
      </w:r>
      <w:proofErr w:type="spellStart"/>
      <w:r w:rsidRPr="00776883">
        <w:rPr>
          <w:sz w:val="24"/>
          <w:lang w:val="en-IN"/>
        </w:rPr>
        <w:t>Dimri</w:t>
      </w:r>
      <w:proofErr w:type="spellEnd"/>
      <w:r w:rsidRPr="00776883">
        <w:rPr>
          <w:sz w:val="24"/>
          <w:lang w:val="en-IN"/>
        </w:rPr>
        <w:t xml:space="preserve">, U., Sharma, M. C., Swarup, D., Sharma, B., Pandey, H. O., &amp; Kumari, P. (2011). The role of apoptosis in immunosuppression of dogs with demodicosis. </w:t>
      </w:r>
      <w:r w:rsidRPr="00776883">
        <w:rPr>
          <w:i/>
          <w:iCs/>
          <w:sz w:val="24"/>
          <w:lang w:val="en-IN"/>
        </w:rPr>
        <w:t>Veterinary Immunology and Immunopathology</w:t>
      </w:r>
      <w:r w:rsidRPr="00776883">
        <w:rPr>
          <w:sz w:val="24"/>
          <w:lang w:val="en-IN"/>
        </w:rPr>
        <w:t xml:space="preserve">, </w:t>
      </w:r>
      <w:r w:rsidRPr="00776883">
        <w:rPr>
          <w:i/>
          <w:iCs/>
          <w:sz w:val="24"/>
          <w:lang w:val="en-IN"/>
        </w:rPr>
        <w:t>144</w:t>
      </w:r>
      <w:r w:rsidRPr="00776883">
        <w:rPr>
          <w:sz w:val="24"/>
          <w:lang w:val="en-IN"/>
        </w:rPr>
        <w:t>, 487–492.</w:t>
      </w:r>
    </w:p>
    <w:p w14:paraId="0BB319A5" w14:textId="77777777" w:rsidR="005B035F" w:rsidRPr="00776883" w:rsidRDefault="005B035F" w:rsidP="00776883">
      <w:pPr>
        <w:pStyle w:val="ListParagraph"/>
        <w:numPr>
          <w:ilvl w:val="0"/>
          <w:numId w:val="1"/>
        </w:numPr>
        <w:spacing w:before="257" w:line="360" w:lineRule="auto"/>
        <w:ind w:right="356"/>
        <w:jc w:val="both"/>
        <w:rPr>
          <w:sz w:val="24"/>
          <w:lang w:val="en-IN"/>
        </w:rPr>
      </w:pPr>
      <w:r w:rsidRPr="00776883">
        <w:rPr>
          <w:sz w:val="24"/>
          <w:lang w:val="en-IN"/>
        </w:rPr>
        <w:t xml:space="preserve">Snedecor, G. W., &amp; Cochran, W. G. (1968). </w:t>
      </w:r>
      <w:r w:rsidRPr="00776883">
        <w:rPr>
          <w:i/>
          <w:iCs/>
          <w:sz w:val="24"/>
          <w:lang w:val="en-IN"/>
        </w:rPr>
        <w:t>Statistical methods</w:t>
      </w:r>
      <w:r w:rsidRPr="00776883">
        <w:rPr>
          <w:sz w:val="24"/>
          <w:lang w:val="en-IN"/>
        </w:rPr>
        <w:t xml:space="preserve"> (6th ed.). Oxford and IBH Publishing Co.</w:t>
      </w:r>
    </w:p>
    <w:p w14:paraId="70EB96B8" w14:textId="77777777" w:rsidR="005B035F" w:rsidRPr="00776883" w:rsidRDefault="005B035F" w:rsidP="00776883">
      <w:pPr>
        <w:pStyle w:val="ListParagraph"/>
        <w:numPr>
          <w:ilvl w:val="0"/>
          <w:numId w:val="1"/>
        </w:numPr>
        <w:spacing w:before="257" w:line="360" w:lineRule="auto"/>
        <w:ind w:right="356"/>
        <w:jc w:val="both"/>
        <w:rPr>
          <w:sz w:val="24"/>
          <w:lang w:val="en-IN"/>
        </w:rPr>
      </w:pPr>
      <w:r w:rsidRPr="00776883">
        <w:rPr>
          <w:sz w:val="24"/>
          <w:lang w:val="en-IN"/>
        </w:rPr>
        <w:t xml:space="preserve">Solanki, J. B., </w:t>
      </w:r>
      <w:proofErr w:type="spellStart"/>
      <w:r w:rsidRPr="00776883">
        <w:rPr>
          <w:sz w:val="24"/>
          <w:lang w:val="en-IN"/>
        </w:rPr>
        <w:t>Hasnani</w:t>
      </w:r>
      <w:proofErr w:type="spellEnd"/>
      <w:r w:rsidRPr="00776883">
        <w:rPr>
          <w:sz w:val="24"/>
          <w:lang w:val="en-IN"/>
        </w:rPr>
        <w:t xml:space="preserve">, J. J., Panchal, K. M., </w:t>
      </w:r>
      <w:proofErr w:type="spellStart"/>
      <w:r w:rsidRPr="00776883">
        <w:rPr>
          <w:sz w:val="24"/>
          <w:lang w:val="en-IN"/>
        </w:rPr>
        <w:t>Naurial</w:t>
      </w:r>
      <w:proofErr w:type="spellEnd"/>
      <w:r w:rsidRPr="00776883">
        <w:rPr>
          <w:sz w:val="24"/>
          <w:lang w:val="en-IN"/>
        </w:rPr>
        <w:t xml:space="preserve">, D. S., &amp; Patel, P. V. (2011). Histopathological changes in canine demodicosis. </w:t>
      </w:r>
      <w:r w:rsidRPr="00776883">
        <w:rPr>
          <w:i/>
          <w:iCs/>
          <w:sz w:val="24"/>
          <w:lang w:val="en-IN"/>
        </w:rPr>
        <w:t>Haryana Veterinarian</w:t>
      </w:r>
      <w:r w:rsidRPr="00776883">
        <w:rPr>
          <w:sz w:val="24"/>
          <w:lang w:val="en-IN"/>
        </w:rPr>
        <w:t xml:space="preserve">, </w:t>
      </w:r>
      <w:r w:rsidRPr="00776883">
        <w:rPr>
          <w:i/>
          <w:iCs/>
          <w:sz w:val="24"/>
          <w:lang w:val="en-IN"/>
        </w:rPr>
        <w:t>50</w:t>
      </w:r>
      <w:r w:rsidRPr="00776883">
        <w:rPr>
          <w:sz w:val="24"/>
          <w:lang w:val="en-IN"/>
        </w:rPr>
        <w:t>, 57–60.</w:t>
      </w:r>
    </w:p>
    <w:p w14:paraId="19021180" w14:textId="77777777" w:rsidR="005B035F" w:rsidRPr="00776883" w:rsidRDefault="005B035F" w:rsidP="00776883">
      <w:pPr>
        <w:pStyle w:val="ListParagraph"/>
        <w:numPr>
          <w:ilvl w:val="0"/>
          <w:numId w:val="1"/>
        </w:numPr>
        <w:spacing w:before="257" w:line="360" w:lineRule="auto"/>
        <w:ind w:right="356"/>
        <w:jc w:val="both"/>
        <w:rPr>
          <w:sz w:val="24"/>
          <w:lang w:val="en-IN"/>
        </w:rPr>
      </w:pPr>
      <w:r w:rsidRPr="00776883">
        <w:rPr>
          <w:sz w:val="24"/>
          <w:lang w:val="en-IN"/>
        </w:rPr>
        <w:t xml:space="preserve">Sousa, C. A. (1995). Feline demodicosis and the use of PAS staining in dermatopathology. </w:t>
      </w:r>
      <w:r w:rsidRPr="00776883">
        <w:rPr>
          <w:i/>
          <w:iCs/>
          <w:sz w:val="24"/>
          <w:lang w:val="en-IN"/>
        </w:rPr>
        <w:t>Seminars in Veterinary Medicine and Surgery (Small Animal)</w:t>
      </w:r>
      <w:r w:rsidRPr="00776883">
        <w:rPr>
          <w:sz w:val="24"/>
          <w:lang w:val="en-IN"/>
        </w:rPr>
        <w:t xml:space="preserve">, </w:t>
      </w:r>
      <w:r w:rsidRPr="00776883">
        <w:rPr>
          <w:i/>
          <w:iCs/>
          <w:sz w:val="24"/>
          <w:lang w:val="en-IN"/>
        </w:rPr>
        <w:t>10</w:t>
      </w:r>
      <w:r w:rsidRPr="00776883">
        <w:rPr>
          <w:sz w:val="24"/>
          <w:lang w:val="en-IN"/>
        </w:rPr>
        <w:t>(3), 166–171.</w:t>
      </w:r>
    </w:p>
    <w:p w14:paraId="7F660A54" w14:textId="77777777" w:rsidR="005B035F" w:rsidRPr="00776883" w:rsidRDefault="005B035F" w:rsidP="00776883">
      <w:pPr>
        <w:pStyle w:val="ListParagraph"/>
        <w:numPr>
          <w:ilvl w:val="0"/>
          <w:numId w:val="1"/>
        </w:numPr>
        <w:spacing w:before="257" w:line="360" w:lineRule="auto"/>
        <w:ind w:right="356"/>
        <w:jc w:val="both"/>
        <w:rPr>
          <w:sz w:val="24"/>
          <w:lang w:val="en-IN"/>
        </w:rPr>
      </w:pPr>
      <w:r w:rsidRPr="00776883">
        <w:rPr>
          <w:sz w:val="24"/>
          <w:lang w:val="en-IN"/>
        </w:rPr>
        <w:t xml:space="preserve">Srikala, D., Satish, K. K., Amruth, K. V. V. V., Nagaraj, P., Ayodhya, S., &amp; Rao, T. (2010). Management of mixed infestation of </w:t>
      </w:r>
      <w:proofErr w:type="spellStart"/>
      <w:r w:rsidRPr="00776883">
        <w:rPr>
          <w:sz w:val="24"/>
          <w:lang w:val="en-IN"/>
        </w:rPr>
        <w:t>malasseziosis</w:t>
      </w:r>
      <w:proofErr w:type="spellEnd"/>
      <w:r w:rsidRPr="00776883">
        <w:rPr>
          <w:sz w:val="24"/>
          <w:lang w:val="en-IN"/>
        </w:rPr>
        <w:t xml:space="preserve"> and demodicosis in dogs. </w:t>
      </w:r>
      <w:proofErr w:type="spellStart"/>
      <w:r w:rsidRPr="00776883">
        <w:rPr>
          <w:i/>
          <w:iCs/>
          <w:sz w:val="24"/>
          <w:lang w:val="en-IN"/>
        </w:rPr>
        <w:t>Intas</w:t>
      </w:r>
      <w:proofErr w:type="spellEnd"/>
      <w:r w:rsidRPr="00776883">
        <w:rPr>
          <w:i/>
          <w:iCs/>
          <w:sz w:val="24"/>
          <w:lang w:val="en-IN"/>
        </w:rPr>
        <w:t xml:space="preserve"> </w:t>
      </w:r>
      <w:proofErr w:type="spellStart"/>
      <w:r w:rsidRPr="00776883">
        <w:rPr>
          <w:i/>
          <w:iCs/>
          <w:sz w:val="24"/>
          <w:lang w:val="en-IN"/>
        </w:rPr>
        <w:t>Polivet</w:t>
      </w:r>
      <w:proofErr w:type="spellEnd"/>
      <w:r w:rsidRPr="00776883">
        <w:rPr>
          <w:sz w:val="24"/>
          <w:lang w:val="en-IN"/>
        </w:rPr>
        <w:t xml:space="preserve">, </w:t>
      </w:r>
      <w:r w:rsidRPr="00776883">
        <w:rPr>
          <w:i/>
          <w:iCs/>
          <w:sz w:val="24"/>
          <w:lang w:val="en-IN"/>
        </w:rPr>
        <w:t>11</w:t>
      </w:r>
      <w:r w:rsidRPr="00776883">
        <w:rPr>
          <w:sz w:val="24"/>
          <w:lang w:val="en-IN"/>
        </w:rPr>
        <w:t>(1), 74–76.</w:t>
      </w:r>
    </w:p>
    <w:p w14:paraId="08A72684" w14:textId="77777777" w:rsidR="005B035F" w:rsidRPr="00776883" w:rsidRDefault="005B035F" w:rsidP="00776883">
      <w:pPr>
        <w:pStyle w:val="ListParagraph"/>
        <w:numPr>
          <w:ilvl w:val="0"/>
          <w:numId w:val="1"/>
        </w:numPr>
        <w:spacing w:before="257" w:line="360" w:lineRule="auto"/>
        <w:ind w:right="356"/>
        <w:jc w:val="both"/>
        <w:rPr>
          <w:sz w:val="24"/>
          <w:lang w:val="en-IN"/>
        </w:rPr>
      </w:pPr>
      <w:r w:rsidRPr="00776883">
        <w:rPr>
          <w:sz w:val="24"/>
          <w:lang w:val="en-IN"/>
        </w:rPr>
        <w:t xml:space="preserve">Suttle, N. F. (2022). </w:t>
      </w:r>
      <w:r w:rsidRPr="00776883">
        <w:rPr>
          <w:i/>
          <w:iCs/>
          <w:sz w:val="24"/>
          <w:lang w:val="en-IN"/>
        </w:rPr>
        <w:t>Mineral nutrition of livestock</w:t>
      </w:r>
      <w:r w:rsidRPr="00776883">
        <w:rPr>
          <w:sz w:val="24"/>
          <w:lang w:val="en-IN"/>
        </w:rPr>
        <w:t xml:space="preserve"> (5th ed.). CABI Publishing.</w:t>
      </w:r>
    </w:p>
    <w:p w14:paraId="0F7D3BF2" w14:textId="77777777" w:rsidR="005B035F" w:rsidRPr="00776883" w:rsidRDefault="005B035F" w:rsidP="00776883">
      <w:pPr>
        <w:pStyle w:val="ListParagraph"/>
        <w:numPr>
          <w:ilvl w:val="0"/>
          <w:numId w:val="1"/>
        </w:numPr>
        <w:spacing w:before="257" w:line="360" w:lineRule="auto"/>
        <w:ind w:right="356"/>
        <w:jc w:val="both"/>
        <w:rPr>
          <w:sz w:val="24"/>
          <w:lang w:val="en-IN"/>
        </w:rPr>
      </w:pPr>
      <w:r w:rsidRPr="00776883">
        <w:rPr>
          <w:sz w:val="24"/>
          <w:lang w:val="en-IN"/>
        </w:rPr>
        <w:t xml:space="preserve">Thrall, M. A., Weiser, G., Allison, R. W., &amp; Campbell, T. W. (2022). </w:t>
      </w:r>
      <w:r w:rsidRPr="00776883">
        <w:rPr>
          <w:i/>
          <w:iCs/>
          <w:sz w:val="24"/>
          <w:lang w:val="en-IN"/>
        </w:rPr>
        <w:t xml:space="preserve">Veterinary </w:t>
      </w:r>
      <w:proofErr w:type="spellStart"/>
      <w:r w:rsidRPr="00776883">
        <w:rPr>
          <w:i/>
          <w:iCs/>
          <w:sz w:val="24"/>
          <w:lang w:val="en-IN"/>
        </w:rPr>
        <w:t>hematology</w:t>
      </w:r>
      <w:proofErr w:type="spellEnd"/>
      <w:r w:rsidRPr="00776883">
        <w:rPr>
          <w:i/>
          <w:iCs/>
          <w:sz w:val="24"/>
          <w:lang w:val="en-IN"/>
        </w:rPr>
        <w:t xml:space="preserve"> and clinical chemistry</w:t>
      </w:r>
      <w:r w:rsidRPr="00776883">
        <w:rPr>
          <w:sz w:val="24"/>
          <w:lang w:val="en-IN"/>
        </w:rPr>
        <w:t xml:space="preserve"> (3rd ed.). Wiley-Blackwell.</w:t>
      </w:r>
    </w:p>
    <w:p w14:paraId="527169E9" w14:textId="77777777" w:rsidR="005B035F" w:rsidRPr="00776883" w:rsidRDefault="005B035F" w:rsidP="00776883">
      <w:pPr>
        <w:pStyle w:val="ListParagraph"/>
        <w:numPr>
          <w:ilvl w:val="0"/>
          <w:numId w:val="1"/>
        </w:numPr>
        <w:spacing w:before="257" w:line="360" w:lineRule="auto"/>
        <w:ind w:right="356"/>
        <w:jc w:val="both"/>
        <w:rPr>
          <w:sz w:val="24"/>
          <w:lang w:val="en-IN"/>
        </w:rPr>
      </w:pPr>
      <w:r w:rsidRPr="00776883">
        <w:rPr>
          <w:sz w:val="24"/>
          <w:lang w:val="en-IN"/>
        </w:rPr>
        <w:lastRenderedPageBreak/>
        <w:t xml:space="preserve">Weiss, D. J., &amp; Wardrop, K. J. (2010). </w:t>
      </w:r>
      <w:r w:rsidRPr="00776883">
        <w:rPr>
          <w:i/>
          <w:iCs/>
          <w:sz w:val="24"/>
          <w:lang w:val="en-IN"/>
        </w:rPr>
        <w:t xml:space="preserve">Schalm's veterinary </w:t>
      </w:r>
      <w:proofErr w:type="spellStart"/>
      <w:r w:rsidRPr="00776883">
        <w:rPr>
          <w:i/>
          <w:iCs/>
          <w:sz w:val="24"/>
          <w:lang w:val="en-IN"/>
        </w:rPr>
        <w:t>hematology</w:t>
      </w:r>
      <w:proofErr w:type="spellEnd"/>
      <w:r w:rsidRPr="00776883">
        <w:rPr>
          <w:sz w:val="24"/>
          <w:lang w:val="en-IN"/>
        </w:rPr>
        <w:t xml:space="preserve"> (6th ed.). Wiley-Blackwell.</w:t>
      </w:r>
    </w:p>
    <w:p w14:paraId="63F8F5EB" w14:textId="77777777" w:rsidR="005B035F" w:rsidRPr="00776883" w:rsidRDefault="005B035F" w:rsidP="00776883">
      <w:pPr>
        <w:pStyle w:val="ListParagraph"/>
        <w:numPr>
          <w:ilvl w:val="0"/>
          <w:numId w:val="1"/>
        </w:numPr>
        <w:spacing w:before="257" w:line="360" w:lineRule="auto"/>
        <w:ind w:right="356"/>
        <w:jc w:val="both"/>
        <w:rPr>
          <w:sz w:val="24"/>
          <w:lang w:val="en-IN"/>
        </w:rPr>
      </w:pPr>
      <w:r w:rsidRPr="00776883">
        <w:rPr>
          <w:sz w:val="24"/>
          <w:lang w:val="en-IN"/>
        </w:rPr>
        <w:t xml:space="preserve">Wilkinson, G. T., &amp; Harvey, R. G. (1994). </w:t>
      </w:r>
      <w:proofErr w:type="spellStart"/>
      <w:r w:rsidRPr="00776883">
        <w:rPr>
          <w:i/>
          <w:iCs/>
          <w:sz w:val="24"/>
          <w:lang w:val="en-IN"/>
        </w:rPr>
        <w:t>Color</w:t>
      </w:r>
      <w:proofErr w:type="spellEnd"/>
      <w:r w:rsidRPr="00776883">
        <w:rPr>
          <w:i/>
          <w:iCs/>
          <w:sz w:val="24"/>
          <w:lang w:val="en-IN"/>
        </w:rPr>
        <w:t xml:space="preserve"> atlas of small animal dermatology: A guide to diagnosis</w:t>
      </w:r>
      <w:r w:rsidRPr="00776883">
        <w:rPr>
          <w:sz w:val="24"/>
          <w:lang w:val="en-IN"/>
        </w:rPr>
        <w:t xml:space="preserve"> (2nd ed.). Mosby-Wolfe Publishers.</w:t>
      </w:r>
    </w:p>
    <w:p w14:paraId="1E7B01DA" w14:textId="77777777" w:rsidR="004B0C56" w:rsidRDefault="004B0C56" w:rsidP="005B035F">
      <w:pPr>
        <w:spacing w:before="257" w:line="360" w:lineRule="auto"/>
        <w:ind w:left="1080" w:right="356" w:hanging="720"/>
        <w:jc w:val="both"/>
      </w:pPr>
    </w:p>
    <w:sectPr w:rsidR="004B0C56">
      <w:pgSz w:w="12240" w:h="15840"/>
      <w:pgMar w:top="1360" w:right="108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96CF4" w14:textId="77777777" w:rsidR="00BE7A50" w:rsidRDefault="00BE7A50" w:rsidP="00913771">
      <w:r>
        <w:separator/>
      </w:r>
    </w:p>
  </w:endnote>
  <w:endnote w:type="continuationSeparator" w:id="0">
    <w:p w14:paraId="54B0016C" w14:textId="77777777" w:rsidR="00BE7A50" w:rsidRDefault="00BE7A50" w:rsidP="00913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38F4" w14:textId="77777777" w:rsidR="00913771" w:rsidRDefault="009137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AC9FC" w14:textId="77777777" w:rsidR="00913771" w:rsidRDefault="009137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E7DC6" w14:textId="77777777" w:rsidR="00913771" w:rsidRDefault="00913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AF6AC" w14:textId="77777777" w:rsidR="00BE7A50" w:rsidRDefault="00BE7A50" w:rsidP="00913771">
      <w:r>
        <w:separator/>
      </w:r>
    </w:p>
  </w:footnote>
  <w:footnote w:type="continuationSeparator" w:id="0">
    <w:p w14:paraId="6ED4C3D4" w14:textId="77777777" w:rsidR="00BE7A50" w:rsidRDefault="00BE7A50" w:rsidP="00913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A6BAA" w14:textId="49DA0357" w:rsidR="00913771" w:rsidRDefault="00000000">
    <w:pPr>
      <w:pStyle w:val="Header"/>
    </w:pPr>
    <w:r>
      <w:rPr>
        <w:noProof/>
      </w:rPr>
      <w:pict w14:anchorId="5C83DD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00188" o:spid="_x0000_s1026"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16C7" w14:textId="64AD13A5" w:rsidR="00913771" w:rsidRDefault="00000000">
    <w:pPr>
      <w:pStyle w:val="Header"/>
    </w:pPr>
    <w:r>
      <w:rPr>
        <w:noProof/>
      </w:rPr>
      <w:pict w14:anchorId="01EC63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00189" o:spid="_x0000_s1027" type="#_x0000_t136" style="position:absolute;margin-left:0;margin-top:0;width:639.45pt;height:71.05pt;rotation:315;z-index:-251653120;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54BEA" w14:textId="19C71572" w:rsidR="00913771" w:rsidRDefault="00000000">
    <w:pPr>
      <w:pStyle w:val="Header"/>
    </w:pPr>
    <w:r>
      <w:rPr>
        <w:noProof/>
      </w:rPr>
      <w:pict w14:anchorId="5C67EB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00187" o:spid="_x0000_s1025" type="#_x0000_t136" style="position:absolute;margin-left:0;margin-top:0;width:639.45pt;height:71.05pt;rotation:315;z-index:-251657216;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5873C0"/>
    <w:multiLevelType w:val="hybridMultilevel"/>
    <w:tmpl w:val="B7D4D4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6288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82B77"/>
    <w:rsid w:val="000B3A30"/>
    <w:rsid w:val="0025632E"/>
    <w:rsid w:val="002843F6"/>
    <w:rsid w:val="002945C7"/>
    <w:rsid w:val="00326D03"/>
    <w:rsid w:val="00382B77"/>
    <w:rsid w:val="003B0FD7"/>
    <w:rsid w:val="003C6C82"/>
    <w:rsid w:val="00402937"/>
    <w:rsid w:val="00436250"/>
    <w:rsid w:val="004B0C56"/>
    <w:rsid w:val="004E196A"/>
    <w:rsid w:val="005052A2"/>
    <w:rsid w:val="0058105A"/>
    <w:rsid w:val="005935A5"/>
    <w:rsid w:val="005B035F"/>
    <w:rsid w:val="005E73AD"/>
    <w:rsid w:val="006D29C6"/>
    <w:rsid w:val="006D5A24"/>
    <w:rsid w:val="00704761"/>
    <w:rsid w:val="007178E3"/>
    <w:rsid w:val="00776883"/>
    <w:rsid w:val="00785577"/>
    <w:rsid w:val="0083357C"/>
    <w:rsid w:val="00874F07"/>
    <w:rsid w:val="008807B3"/>
    <w:rsid w:val="008C7778"/>
    <w:rsid w:val="00913771"/>
    <w:rsid w:val="00947212"/>
    <w:rsid w:val="009E4782"/>
    <w:rsid w:val="00A014CF"/>
    <w:rsid w:val="00A06E58"/>
    <w:rsid w:val="00A46677"/>
    <w:rsid w:val="00A6104E"/>
    <w:rsid w:val="00B12A98"/>
    <w:rsid w:val="00B96961"/>
    <w:rsid w:val="00BA03D7"/>
    <w:rsid w:val="00BD3203"/>
    <w:rsid w:val="00BE556A"/>
    <w:rsid w:val="00BE7A50"/>
    <w:rsid w:val="00C775C4"/>
    <w:rsid w:val="00CE6345"/>
    <w:rsid w:val="00CF025C"/>
    <w:rsid w:val="00D14FB6"/>
    <w:rsid w:val="00E4723A"/>
    <w:rsid w:val="00E6799E"/>
    <w:rsid w:val="00E949BA"/>
    <w:rsid w:val="00F04BF3"/>
    <w:rsid w:val="00F5324D"/>
    <w:rsid w:val="00FF1DA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C0130"/>
  <w15:docId w15:val="{865EF214-DB55-4133-BC7C-5E8D0375C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359"/>
      <w:outlineLvl w:val="0"/>
    </w:pPr>
    <w:rPr>
      <w:rFonts w:ascii="Arial" w:eastAsia="Arial" w:hAnsi="Arial" w:cs="Arial"/>
      <w:b/>
      <w:bCs/>
      <w:sz w:val="24"/>
      <w:szCs w:val="24"/>
    </w:rPr>
  </w:style>
  <w:style w:type="paragraph" w:styleId="Heading2">
    <w:name w:val="heading 2"/>
    <w:basedOn w:val="Normal"/>
    <w:uiPriority w:val="9"/>
    <w:unhideWhenUsed/>
    <w:qFormat/>
    <w:pPr>
      <w:spacing w:before="1"/>
      <w:ind w:left="359"/>
      <w:outlineLvl w:val="1"/>
    </w:pPr>
    <w:rPr>
      <w:rFonts w:ascii="Arial" w:eastAsia="Arial" w:hAnsi="Arial"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359" w:right="356"/>
      <w:jc w:val="both"/>
    </w:pPr>
    <w:rPr>
      <w:sz w:val="24"/>
      <w:szCs w:val="24"/>
    </w:rPr>
  </w:style>
  <w:style w:type="paragraph" w:styleId="Title">
    <w:name w:val="Title"/>
    <w:basedOn w:val="Normal"/>
    <w:uiPriority w:val="10"/>
    <w:qFormat/>
    <w:pPr>
      <w:spacing w:before="35"/>
      <w:ind w:right="3"/>
      <w:jc w:val="center"/>
    </w:pPr>
    <w:rPr>
      <w:rFonts w:ascii="Arial" w:eastAsia="Arial" w:hAnsi="Arial" w:cs="Arial"/>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0" w:lineRule="exact"/>
      <w:ind w:left="107"/>
    </w:pPr>
  </w:style>
  <w:style w:type="character" w:styleId="Hyperlink">
    <w:name w:val="Hyperlink"/>
    <w:basedOn w:val="DefaultParagraphFont"/>
    <w:uiPriority w:val="99"/>
    <w:unhideWhenUsed/>
    <w:rsid w:val="00874F07"/>
    <w:rPr>
      <w:color w:val="0000FF" w:themeColor="hyperlink"/>
      <w:u w:val="single"/>
    </w:rPr>
  </w:style>
  <w:style w:type="character" w:styleId="UnresolvedMention">
    <w:name w:val="Unresolved Mention"/>
    <w:basedOn w:val="DefaultParagraphFont"/>
    <w:uiPriority w:val="99"/>
    <w:semiHidden/>
    <w:unhideWhenUsed/>
    <w:rsid w:val="00874F07"/>
    <w:rPr>
      <w:color w:val="605E5C"/>
      <w:shd w:val="clear" w:color="auto" w:fill="E1DFDD"/>
    </w:rPr>
  </w:style>
  <w:style w:type="paragraph" w:styleId="Header">
    <w:name w:val="header"/>
    <w:basedOn w:val="Normal"/>
    <w:link w:val="HeaderChar"/>
    <w:uiPriority w:val="99"/>
    <w:unhideWhenUsed/>
    <w:rsid w:val="00913771"/>
    <w:pPr>
      <w:tabs>
        <w:tab w:val="center" w:pos="4680"/>
        <w:tab w:val="right" w:pos="9360"/>
      </w:tabs>
    </w:pPr>
  </w:style>
  <w:style w:type="character" w:customStyle="1" w:styleId="HeaderChar">
    <w:name w:val="Header Char"/>
    <w:basedOn w:val="DefaultParagraphFont"/>
    <w:link w:val="Header"/>
    <w:uiPriority w:val="99"/>
    <w:rsid w:val="00913771"/>
    <w:rPr>
      <w:rFonts w:ascii="Arial MT" w:eastAsia="Arial MT" w:hAnsi="Arial MT" w:cs="Arial MT"/>
    </w:rPr>
  </w:style>
  <w:style w:type="paragraph" w:styleId="Footer">
    <w:name w:val="footer"/>
    <w:basedOn w:val="Normal"/>
    <w:link w:val="FooterChar"/>
    <w:uiPriority w:val="99"/>
    <w:unhideWhenUsed/>
    <w:rsid w:val="00913771"/>
    <w:pPr>
      <w:tabs>
        <w:tab w:val="center" w:pos="4680"/>
        <w:tab w:val="right" w:pos="9360"/>
      </w:tabs>
    </w:pPr>
  </w:style>
  <w:style w:type="character" w:customStyle="1" w:styleId="FooterChar">
    <w:name w:val="Footer Char"/>
    <w:basedOn w:val="DefaultParagraphFont"/>
    <w:link w:val="Footer"/>
    <w:uiPriority w:val="99"/>
    <w:rsid w:val="00913771"/>
    <w:rPr>
      <w:rFonts w:ascii="Arial MT" w:eastAsia="Arial MT" w:hAnsi="Arial MT" w:cs="Arial MT"/>
    </w:rPr>
  </w:style>
  <w:style w:type="paragraph" w:styleId="NoSpacing">
    <w:name w:val="No Spacing"/>
    <w:uiPriority w:val="1"/>
    <w:qFormat/>
    <w:rsid w:val="007178E3"/>
    <w:pPr>
      <w:widowControl/>
      <w:autoSpaceDE/>
      <w:autoSpaceDN/>
    </w:pPr>
    <w:rPr>
      <w:lang w:val="en-GB"/>
    </w:rPr>
  </w:style>
  <w:style w:type="paragraph" w:styleId="Revision">
    <w:name w:val="Revision"/>
    <w:hidden/>
    <w:uiPriority w:val="99"/>
    <w:semiHidden/>
    <w:rsid w:val="00CF025C"/>
    <w:pPr>
      <w:widowControl/>
      <w:autoSpaceDE/>
      <w:autoSpaceDN/>
    </w:pPr>
    <w:rPr>
      <w:rFonts w:ascii="Arial MT" w:eastAsia="Arial MT" w:hAnsi="Arial MT" w:cs="Arial MT"/>
    </w:rPr>
  </w:style>
  <w:style w:type="paragraph" w:styleId="NormalWeb">
    <w:name w:val="Normal (Web)"/>
    <w:basedOn w:val="Normal"/>
    <w:uiPriority w:val="99"/>
    <w:semiHidden/>
    <w:unhideWhenUsed/>
    <w:rsid w:val="00CF025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hyperlink" Target="https://doi.org/10.1111/j.1365-3164.2009.00805.x" TargetMode="External"/><Relationship Id="rId3" Type="http://schemas.openxmlformats.org/officeDocument/2006/relationships/settings" Target="settings.xml"/><Relationship Id="rId21" Type="http://schemas.openxmlformats.org/officeDocument/2006/relationships/hyperlink" Target="https://doi.org/10.2119/2008-00033.Prasad"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16/j.cvsm.2021.09.007"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doi.org/10.1111/j.1365-3164.2011.01026.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doi.org/10.2460/javma.2002.220.623"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22</Pages>
  <Words>5468</Words>
  <Characters>31170</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Microsoft Word - An Update on Pathological changes of Canine Demodicosis.docx</vt:lpstr>
    </vt:vector>
  </TitlesOfParts>
  <Company/>
  <LinksUpToDate>false</LinksUpToDate>
  <CharactersWithSpaces>36565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 Update on Pathological changes of Canine Demodicosis.docx</dc:title>
  <dc:creator>OS</dc:creator>
  <cp:lastModifiedBy>SDI 1186</cp:lastModifiedBy>
  <cp:revision>40</cp:revision>
  <dcterms:created xsi:type="dcterms:W3CDTF">2026-05-13T17:48:00Z</dcterms:created>
  <dcterms:modified xsi:type="dcterms:W3CDTF">2026-05-26T06:47:00Z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2021-07-20T00:00:00Z</vt:filetime>
  </property>
  <property fmtid="{D5CDD505-2E9C-101B-9397-08002B2CF9AE}" pid="4" name="Creator">
    <vt:lpwstr>PScript5.dll Version 5.2.2</vt:lpwstr>
  </property>
  <property fmtid="{D5CDD505-2E9C-101B-9397-08002B2CF9AE}" pid="5" name="LastSaved">
    <vt:filetime>2026-05-13T00:00:00Z</vt:filetime>
  </property>
  <property fmtid="{D5CDD505-2E9C-101B-9397-08002B2CF9AE}" pid="6" name="Producer">
    <vt:lpwstr>GPL Ghostscript 9.06</vt:lpwstr>
  </property>
</Properties>
</file>