
<file path=[Content_Types].xml><?xml version="1.0" encoding="utf-8"?>
<Types xmlns="http://schemas.openxmlformats.org/package/2006/content-types">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596E09" w14:textId="77777777" w:rsidR="008A222F" w:rsidRPr="008A222F" w:rsidRDefault="008A222F" w:rsidP="008A222F">
      <w:pPr>
        <w:spacing w:after="60"/>
        <w:jc w:val="center"/>
        <w:rPr>
          <w:b/>
          <w:bCs/>
          <w:sz w:val="28"/>
          <w:szCs w:val="28"/>
        </w:rPr>
      </w:pPr>
      <w:r w:rsidRPr="008A222F">
        <w:rPr>
          <w:b/>
          <w:bCs/>
          <w:sz w:val="28"/>
          <w:szCs w:val="28"/>
        </w:rPr>
        <w:t xml:space="preserve">Comparative Evaluation of Bioagents, Botanical Extracts, and Fungicides for Enhancing Seed Germination and Seedling Vigour in </w:t>
      </w:r>
      <w:r w:rsidRPr="008A222F">
        <w:rPr>
          <w:b/>
          <w:bCs/>
          <w:i/>
          <w:iCs/>
          <w:sz w:val="28"/>
          <w:szCs w:val="28"/>
        </w:rPr>
        <w:t>Brassica juncea</w:t>
      </w:r>
    </w:p>
    <w:p w14:paraId="10682809" w14:textId="77777777" w:rsidR="008A222F" w:rsidRPr="008A222F" w:rsidRDefault="008A222F" w:rsidP="008A222F">
      <w:pPr>
        <w:spacing w:after="60"/>
        <w:jc w:val="center"/>
        <w:rPr>
          <w:b/>
          <w:bCs/>
          <w:sz w:val="28"/>
          <w:szCs w:val="28"/>
        </w:rPr>
      </w:pPr>
    </w:p>
    <w:p w14:paraId="746B5F62" w14:textId="77777777" w:rsidR="000C6358" w:rsidRDefault="00000000">
      <w:pPr>
        <w:pStyle w:val="Heading2"/>
      </w:pPr>
      <w:r>
        <w:t>Abstract</w:t>
      </w:r>
    </w:p>
    <w:p w14:paraId="587EBF60" w14:textId="46481C60" w:rsidR="008A222F" w:rsidRDefault="008A222F" w:rsidP="008A222F">
      <w:pPr>
        <w:spacing w:after="120" w:line="360" w:lineRule="auto"/>
        <w:jc w:val="both"/>
      </w:pPr>
      <w:r>
        <w:t xml:space="preserve">Seed-borne pathogens, particularly </w:t>
      </w:r>
      <w:r>
        <w:rPr>
          <w:i/>
          <w:iCs/>
        </w:rPr>
        <w:t>Alternaria brassicae</w:t>
      </w:r>
      <w:r>
        <w:t xml:space="preserve">, cause significant losses in </w:t>
      </w:r>
      <w:r>
        <w:rPr>
          <w:i/>
          <w:iCs/>
        </w:rPr>
        <w:t>Brassica juncea</w:t>
      </w:r>
      <w:r>
        <w:t xml:space="preserve"> by reducing germination, lowering seedling vigour, and increasing early-season mortality. Eco-friendly seed treatment approaches using bioagents and botanical extracts may offer viable alternatives to chemical fungicides by enhancing seed health and crop stand establishment. Seventeen treatments comprising bioagents (</w:t>
      </w:r>
      <w:r>
        <w:rPr>
          <w:i/>
          <w:iCs/>
        </w:rPr>
        <w:t>Trichoderma</w:t>
      </w:r>
      <w:r>
        <w:t xml:space="preserve"> spp., </w:t>
      </w:r>
      <w:r>
        <w:rPr>
          <w:i/>
          <w:iCs/>
        </w:rPr>
        <w:t>Pseudomonas fluorescens</w:t>
      </w:r>
      <w:r>
        <w:t xml:space="preserve">, </w:t>
      </w:r>
      <w:r>
        <w:rPr>
          <w:i/>
          <w:iCs/>
        </w:rPr>
        <w:t>Bacillus subtilis</w:t>
      </w:r>
      <w:r>
        <w:t xml:space="preserve">), botanical extracts (garlic, ginger, turmeric, </w:t>
      </w:r>
      <w:proofErr w:type="spellStart"/>
      <w:r>
        <w:t>tulsi</w:t>
      </w:r>
      <w:proofErr w:type="spellEnd"/>
      <w:r>
        <w:t xml:space="preserve">, lantana), and fungicides (Carbendazim + Mancozeb, Difenoconazole, </w:t>
      </w:r>
      <w:proofErr w:type="spellStart"/>
      <w:r>
        <w:t>Trifloxystrobin</w:t>
      </w:r>
      <w:proofErr w:type="spellEnd"/>
      <w:r>
        <w:t xml:space="preserve">, Fluxapyroxad, </w:t>
      </w:r>
      <w:proofErr w:type="spellStart"/>
      <w:r>
        <w:t>Penflufen</w:t>
      </w:r>
      <w:proofErr w:type="spellEnd"/>
      <w:r>
        <w:t xml:space="preserve">) were evaluated using the standard blotter method (ISTA guidelines). Germination percentage, seedling length, and seed vigour index (SVI) were recorded from three replications in a completely </w:t>
      </w:r>
      <w:r w:rsidR="002B1905">
        <w:t>randomized</w:t>
      </w:r>
      <w:r>
        <w:t xml:space="preserve"> design, and treatment means were compared using Duncan's Multiple Range Test at the 5% probability level. </w:t>
      </w:r>
      <w:r>
        <w:rPr>
          <w:i/>
          <w:iCs/>
        </w:rPr>
        <w:t>Allium sativum</w:t>
      </w:r>
      <w:r>
        <w:t xml:space="preserve"> (garlic) extract achieved the highest germination (96%), seedling length (4.1 cm), and vigour index (393.6), followed by </w:t>
      </w:r>
      <w:r>
        <w:rPr>
          <w:i/>
          <w:iCs/>
        </w:rPr>
        <w:t>Zingiber officinale</w:t>
      </w:r>
      <w:r>
        <w:t xml:space="preserve"> (ginger) extract (92%, 3.8 cm, 349.6) and the </w:t>
      </w:r>
      <w:r>
        <w:rPr>
          <w:i/>
          <w:iCs/>
        </w:rPr>
        <w:t xml:space="preserve">Trichoderma </w:t>
      </w:r>
      <w:proofErr w:type="spellStart"/>
      <w:r>
        <w:rPr>
          <w:i/>
          <w:iCs/>
        </w:rPr>
        <w:t>harzianum</w:t>
      </w:r>
      <w:proofErr w:type="spellEnd"/>
      <w:r>
        <w:rPr>
          <w:i/>
          <w:iCs/>
        </w:rPr>
        <w:t xml:space="preserve"> + T. viride</w:t>
      </w:r>
      <w:r>
        <w:t xml:space="preserve"> consortium (92%, 3.6 cm, 331.2). Under laboratory conditions, botanical extracts generally performed better than bioagents and fungicides in enhancing vigour, while fungicide treatments showed moderate efficacy with mild phytotoxic effects at the concentrations tested. The untreated control recorded the lowest values (56%, 2.0 cm, 112.0). Statistical analysis confirmed highly significant inter-treatment differences (</w:t>
      </w:r>
      <w:proofErr w:type="spellStart"/>
      <w:r>
        <w:t>SEm</w:t>
      </w:r>
      <w:proofErr w:type="spellEnd"/>
      <w:r>
        <w:t xml:space="preserve"> ± 0.91; CD₀₅ = 2.63 for germination percentage). These findings suggest that garlic and ginger extracts, as well as Trichoderma-based consortia, </w:t>
      </w:r>
      <w:r w:rsidRPr="008A222F">
        <w:t>are cost effective and environmentally compatible alternatives to chemical fungicides for integrated seed health management in mustard cultivation</w:t>
      </w:r>
    </w:p>
    <w:p w14:paraId="71A8FAA0" w14:textId="77777777" w:rsidR="008A222F" w:rsidRDefault="00000000" w:rsidP="008A222F">
      <w:pPr>
        <w:spacing w:after="120" w:line="360" w:lineRule="auto"/>
        <w:jc w:val="both"/>
        <w:rPr>
          <w:i/>
          <w:iCs/>
        </w:rPr>
      </w:pPr>
      <w:r>
        <w:rPr>
          <w:b/>
          <w:bCs/>
        </w:rPr>
        <w:t xml:space="preserve">Keywords: </w:t>
      </w:r>
      <w:r>
        <w:t xml:space="preserve">Seed treatment, Bioagents, Botanical extracts, Seed vigour index, Germination enhancement, </w:t>
      </w:r>
      <w:r>
        <w:rPr>
          <w:i/>
          <w:iCs/>
        </w:rPr>
        <w:t>Brassica juncea</w:t>
      </w:r>
    </w:p>
    <w:p w14:paraId="7613E497" w14:textId="77777777" w:rsidR="008A222F" w:rsidRDefault="008A222F" w:rsidP="008A222F">
      <w:pPr>
        <w:spacing w:after="120" w:line="360" w:lineRule="auto"/>
        <w:jc w:val="both"/>
        <w:rPr>
          <w:i/>
          <w:iCs/>
        </w:rPr>
      </w:pPr>
    </w:p>
    <w:p w14:paraId="4200D063" w14:textId="77777777" w:rsidR="008A222F" w:rsidRDefault="008A222F" w:rsidP="008A222F">
      <w:pPr>
        <w:spacing w:after="120" w:line="360" w:lineRule="auto"/>
        <w:jc w:val="both"/>
      </w:pPr>
    </w:p>
    <w:p w14:paraId="6AEC8022" w14:textId="1D2A0FB3" w:rsidR="000C6358" w:rsidRPr="008A222F" w:rsidRDefault="00000000" w:rsidP="008A222F">
      <w:pPr>
        <w:spacing w:after="120" w:line="360" w:lineRule="auto"/>
        <w:jc w:val="both"/>
        <w:rPr>
          <w:b/>
          <w:bCs/>
          <w:sz w:val="26"/>
          <w:szCs w:val="26"/>
        </w:rPr>
      </w:pPr>
      <w:r w:rsidRPr="008A222F">
        <w:rPr>
          <w:b/>
          <w:bCs/>
          <w:sz w:val="26"/>
          <w:szCs w:val="26"/>
        </w:rPr>
        <w:t>1. Introduction</w:t>
      </w:r>
    </w:p>
    <w:p w14:paraId="0DFC8B5F" w14:textId="7A74F1DF" w:rsidR="000C6358" w:rsidRDefault="00C55A5B" w:rsidP="00C55A5B">
      <w:pPr>
        <w:spacing w:after="240" w:line="360" w:lineRule="auto"/>
        <w:jc w:val="both"/>
      </w:pPr>
      <w:r>
        <w:rPr>
          <w:i/>
          <w:iCs/>
        </w:rPr>
        <w:t xml:space="preserve">Brassica juncea </w:t>
      </w:r>
      <w:r>
        <w:t xml:space="preserve">L. (Indian mustard), an economically significant oilseed crop cultivated on 14.23 million hectares in India, faces substantial productivity challenges from biotic and abiotic </w:t>
      </w:r>
      <w:r>
        <w:lastRenderedPageBreak/>
        <w:t xml:space="preserve">stresses that affect seed quality, germination, and seedling establishment. Among these constraints, seed-borne pathogens, particularly </w:t>
      </w:r>
      <w:r>
        <w:rPr>
          <w:i/>
          <w:iCs/>
        </w:rPr>
        <w:t>Alternaria brassicae</w:t>
      </w:r>
      <w:r>
        <w:t xml:space="preserve">, cause significant economic losses by reducing germination rates, lowering seedling vigour, and increasing early-season mortality, ultimately affecting crop productivity and farmers' livelihoods (Saharan </w:t>
      </w:r>
      <w:r>
        <w:rPr>
          <w:i/>
          <w:iCs/>
        </w:rPr>
        <w:t>et al.,</w:t>
      </w:r>
      <w:r>
        <w:t xml:space="preserve"> 2016; </w:t>
      </w:r>
      <w:proofErr w:type="spellStart"/>
      <w:r>
        <w:t>Rajarammohan</w:t>
      </w:r>
      <w:proofErr w:type="spellEnd"/>
      <w:r>
        <w:t xml:space="preserve"> 2023).</w:t>
      </w:r>
    </w:p>
    <w:p w14:paraId="2C7B6818" w14:textId="05CF0F1C" w:rsidR="000C6358" w:rsidRDefault="00C55A5B" w:rsidP="00C55A5B">
      <w:pPr>
        <w:spacing w:after="240" w:line="360" w:lineRule="auto"/>
        <w:jc w:val="both"/>
      </w:pPr>
      <w:r>
        <w:t xml:space="preserve">Seed treatment is a critical first line of defence in crop protection, providing targeted pathogen control while promoting healthy seedling establishment. Traditional chemical fungicide treatments, while effective against seed-borne pathogens, raise concerns about environmental persistence, residue accumulation, and </w:t>
      </w:r>
      <w:r w:rsidR="003240E3">
        <w:t xml:space="preserve">the development of resistance </w:t>
      </w:r>
      <w:r>
        <w:t>in target organisms. The growing demand for sustainable agricultural practices has accelerated research into eco-friendly seed treatment alternatives, including biological control agents and plant-derived compounds.</w:t>
      </w:r>
    </w:p>
    <w:p w14:paraId="15553D7C" w14:textId="30A1A41D" w:rsidR="000C6358" w:rsidRDefault="00C55A5B" w:rsidP="00C55A5B">
      <w:pPr>
        <w:spacing w:after="240" w:line="360" w:lineRule="auto"/>
        <w:jc w:val="both"/>
      </w:pPr>
      <w:r>
        <w:t xml:space="preserve">Biological control agents, particularly </w:t>
      </w:r>
      <w:r w:rsidRPr="008A222F">
        <w:rPr>
          <w:i/>
          <w:iCs/>
        </w:rPr>
        <w:t>Trichoderma</w:t>
      </w:r>
      <w:r>
        <w:t xml:space="preserve"> species, offer multifaceted benefits for seed treatment by directly antagonising seed-borne pathogens, producing growth-promoting metabolites, and enhancing plant defence mechanisms. These beneficial microorganisms colonise seed surfaces, establishing protective biofilms and producing antimicrobial compounds, plant growth regulators, and enzymes that improve nutrient availability and seedling vigour (Harman </w:t>
      </w:r>
      <w:r>
        <w:rPr>
          <w:i/>
          <w:iCs/>
        </w:rPr>
        <w:t>et al.,</w:t>
      </w:r>
      <w:r>
        <w:t xml:space="preserve"> 2004; </w:t>
      </w:r>
      <w:proofErr w:type="spellStart"/>
      <w:r>
        <w:t>Mastouri</w:t>
      </w:r>
      <w:proofErr w:type="spellEnd"/>
      <w:r>
        <w:t xml:space="preserve"> </w:t>
      </w:r>
      <w:r>
        <w:rPr>
          <w:i/>
          <w:iCs/>
        </w:rPr>
        <w:t>et al.,</w:t>
      </w:r>
      <w:r>
        <w:t xml:space="preserve"> 2010; </w:t>
      </w:r>
      <w:r w:rsidR="00616CB1" w:rsidRPr="0060238B">
        <w:rPr>
          <w:color w:val="000000" w:themeColor="text1"/>
          <w:sz w:val="22"/>
          <w:szCs w:val="22"/>
        </w:rPr>
        <w:t>Sharma</w:t>
      </w:r>
      <w:r w:rsidR="00616CB1">
        <w:t xml:space="preserve"> </w:t>
      </w:r>
      <w:r w:rsidR="00616CB1">
        <w:rPr>
          <w:i/>
          <w:iCs/>
        </w:rPr>
        <w:t>et al.,</w:t>
      </w:r>
      <w:r w:rsidR="00616CB1">
        <w:t xml:space="preserve"> 2023</w:t>
      </w:r>
      <w:r>
        <w:t>).</w:t>
      </w:r>
    </w:p>
    <w:p w14:paraId="02246C95" w14:textId="58920C95" w:rsidR="000C6358" w:rsidRDefault="00000000" w:rsidP="00C55A5B">
      <w:pPr>
        <w:spacing w:after="240" w:line="360" w:lineRule="auto"/>
        <w:jc w:val="both"/>
      </w:pPr>
      <w:r>
        <w:t>Botanical extracts derived from medicinal and aromatic plants contain diverse bioactive compounds, including alkaloids, phenolics, essential oils, and phytohormone-like substances that exhibit both antimicrobial and growth-promoting properties. Plants such as garlic (</w:t>
      </w:r>
      <w:r>
        <w:rPr>
          <w:i/>
          <w:iCs/>
        </w:rPr>
        <w:t>Allium sativum</w:t>
      </w:r>
      <w:r>
        <w:t>), ginger (</w:t>
      </w:r>
      <w:r>
        <w:rPr>
          <w:i/>
          <w:iCs/>
        </w:rPr>
        <w:t>Zingiber officinale</w:t>
      </w:r>
      <w:r>
        <w:t>), and turmeric (</w:t>
      </w:r>
      <w:r>
        <w:rPr>
          <w:i/>
          <w:iCs/>
        </w:rPr>
        <w:t>Curcuma longa</w:t>
      </w:r>
      <w:r>
        <w:t xml:space="preserve">) possess well-documented antimicrobial activities along with compounds that enhance seed germination and seedling vigour through multiple physiological mechanisms (Aleem </w:t>
      </w:r>
      <w:r>
        <w:rPr>
          <w:i/>
          <w:iCs/>
        </w:rPr>
        <w:t>et al.,</w:t>
      </w:r>
      <w:r>
        <w:t xml:space="preserve"> 2020; </w:t>
      </w:r>
      <w:r w:rsidR="00616CB1" w:rsidRPr="00616CB1">
        <w:rPr>
          <w:color w:val="000000" w:themeColor="text1"/>
          <w:sz w:val="22"/>
          <w:szCs w:val="22"/>
        </w:rPr>
        <w:t>Vani</w:t>
      </w:r>
      <w:r>
        <w:t xml:space="preserve"> </w:t>
      </w:r>
      <w:r>
        <w:rPr>
          <w:i/>
          <w:iCs/>
        </w:rPr>
        <w:t>et al.,</w:t>
      </w:r>
      <w:r>
        <w:t xml:space="preserve"> 202</w:t>
      </w:r>
      <w:r w:rsidR="00616CB1">
        <w:t>4</w:t>
      </w:r>
      <w:r>
        <w:t xml:space="preserve">; </w:t>
      </w:r>
      <w:r w:rsidR="0060238B" w:rsidRPr="0060238B">
        <w:rPr>
          <w:color w:val="000000" w:themeColor="text1"/>
          <w:sz w:val="22"/>
          <w:szCs w:val="22"/>
        </w:rPr>
        <w:t>Sharma</w:t>
      </w:r>
      <w:r>
        <w:t xml:space="preserve"> </w:t>
      </w:r>
      <w:r>
        <w:rPr>
          <w:i/>
          <w:iCs/>
        </w:rPr>
        <w:t>et al.,</w:t>
      </w:r>
      <w:r>
        <w:t xml:space="preserve"> 202</w:t>
      </w:r>
      <w:r w:rsidR="0060238B">
        <w:t>3</w:t>
      </w:r>
      <w:r>
        <w:t>).</w:t>
      </w:r>
    </w:p>
    <w:p w14:paraId="39D28EED" w14:textId="21D3AFE6" w:rsidR="002B1905" w:rsidRPr="002B1905" w:rsidRDefault="00C55A5B" w:rsidP="002B1905">
      <w:pPr>
        <w:spacing w:after="480" w:line="360" w:lineRule="auto"/>
        <w:jc w:val="both"/>
      </w:pPr>
      <w:r>
        <w:t xml:space="preserve">Understanding the comparative efficacy of seed treatment approaches is essential for developing integrated seed enhancement strategies that optimise pathogen control and growth promotion while maintaining environmental sustainability. However, systematic comparative data on the relative performance of bioagents, botanical extracts, and fungicides under identical laboratory conditions remain limited for mustard, and the underlying physiological mechanisms of germination enhancement are insufficiently </w:t>
      </w:r>
      <w:r w:rsidR="002B1905">
        <w:t>characterized</w:t>
      </w:r>
      <w:r>
        <w:t xml:space="preserve">. </w:t>
      </w:r>
      <w:r w:rsidR="002B1905" w:rsidRPr="002B1905">
        <w:t xml:space="preserve">The present study, </w:t>
      </w:r>
      <w:r w:rsidR="002B1905" w:rsidRPr="002B1905">
        <w:lastRenderedPageBreak/>
        <w:t xml:space="preserve">therefore, was formulated with the hypothesis that eco-friendly seed treatments (botanical extracts and bioagents) would perform at least comparably to chemical fungicides in enhancing seed germination and seedling vigour in </w:t>
      </w:r>
      <w:r w:rsidR="002B1905" w:rsidRPr="002B1905">
        <w:rPr>
          <w:i/>
          <w:iCs/>
        </w:rPr>
        <w:t>B. juncea</w:t>
      </w:r>
      <w:r w:rsidR="002B1905" w:rsidRPr="002B1905">
        <w:t>, and aimed to evaluate and compare the effectiveness of these three treatment categories on seed germination, seedling vigour, and seed health parameters under controlled laboratory conditions, and to identify treatment strategies suitable for integration into sustainable mustard production systems.</w:t>
      </w:r>
    </w:p>
    <w:p w14:paraId="4F14504E" w14:textId="5DC1E327" w:rsidR="000C6358" w:rsidRPr="002B1905" w:rsidRDefault="00000000" w:rsidP="002B1905">
      <w:pPr>
        <w:spacing w:after="480" w:line="360" w:lineRule="auto"/>
        <w:jc w:val="both"/>
        <w:rPr>
          <w:b/>
          <w:bCs/>
          <w:sz w:val="26"/>
          <w:szCs w:val="26"/>
        </w:rPr>
      </w:pPr>
      <w:r w:rsidRPr="002B1905">
        <w:rPr>
          <w:b/>
          <w:bCs/>
          <w:sz w:val="26"/>
          <w:szCs w:val="26"/>
        </w:rPr>
        <w:t>2. Materials and Methods</w:t>
      </w:r>
    </w:p>
    <w:p w14:paraId="59598CD6" w14:textId="77777777" w:rsidR="000C6358" w:rsidRDefault="00000000" w:rsidP="00C55A5B">
      <w:pPr>
        <w:pStyle w:val="Heading2"/>
        <w:spacing w:line="360" w:lineRule="auto"/>
        <w:jc w:val="both"/>
      </w:pPr>
      <w:r>
        <w:t>2.1 Experimental Materials and Treatment Preparation</w:t>
      </w:r>
    </w:p>
    <w:p w14:paraId="5B7CD90A" w14:textId="32FC201F" w:rsidR="000C6358" w:rsidRPr="00C55A5B" w:rsidRDefault="00C55A5B" w:rsidP="00C55A5B">
      <w:pPr>
        <w:spacing w:after="240" w:line="360" w:lineRule="auto"/>
        <w:jc w:val="both"/>
      </w:pPr>
      <w:r>
        <w:t xml:space="preserve">Uniform, healthy </w:t>
      </w:r>
      <w:r>
        <w:rPr>
          <w:i/>
          <w:iCs/>
        </w:rPr>
        <w:t>Brassica juncea</w:t>
      </w:r>
      <w:r>
        <w:t xml:space="preserve"> seeds were procured from certified sources and subjected to a preliminary quality assessment comprising moisture content determination, physical purity testing, and viability evaluation by tetrazolium chloride staining. Seeds with &gt;85% viability were selected for experimental use. All seeds were surface-</w:t>
      </w:r>
      <w:r w:rsidR="002B1905">
        <w:t>sterilized</w:t>
      </w:r>
      <w:r>
        <w:t xml:space="preserve"> with 1% sodium hypochlorite for 1–2 minutes, followed by three successive washes with sterile distilled water to remove chemical residues, and then air-dried under laminar airflow conditions.</w:t>
      </w:r>
    </w:p>
    <w:p w14:paraId="5F9F32AB" w14:textId="710D51A0" w:rsidR="000C6358" w:rsidRDefault="00C55A5B" w:rsidP="00C55A5B">
      <w:pPr>
        <w:spacing w:after="240" w:line="360" w:lineRule="auto"/>
        <w:jc w:val="both"/>
      </w:pPr>
      <w:r>
        <w:t xml:space="preserve">Bioagent formulations comprised talc-based preparations of </w:t>
      </w:r>
      <w:r w:rsidR="00A52928">
        <w:t>(</w:t>
      </w:r>
      <w:r w:rsidR="00A52928" w:rsidRPr="005E78B9">
        <w:rPr>
          <w:i/>
          <w:iCs/>
        </w:rPr>
        <w:t xml:space="preserve">T. </w:t>
      </w:r>
      <w:proofErr w:type="spellStart"/>
      <w:r w:rsidR="00A52928" w:rsidRPr="005E78B9">
        <w:rPr>
          <w:i/>
          <w:iCs/>
        </w:rPr>
        <w:t>harzianum</w:t>
      </w:r>
      <w:proofErr w:type="spellEnd"/>
      <w:r w:rsidR="00A52928">
        <w:rPr>
          <w:i/>
          <w:iCs/>
        </w:rPr>
        <w:t xml:space="preserve"> </w:t>
      </w:r>
      <w:r w:rsidR="00A52928" w:rsidRPr="00DF47BD">
        <w:t>(</w:t>
      </w:r>
      <w:r w:rsidR="00A52928">
        <w:t>IIHR-TH-2</w:t>
      </w:r>
      <w:r w:rsidR="00A52928" w:rsidRPr="00DF47BD">
        <w:t>)</w:t>
      </w:r>
      <w:r w:rsidR="00A52928" w:rsidRPr="005E78B9">
        <w:rPr>
          <w:i/>
          <w:iCs/>
        </w:rPr>
        <w:t>, T. viride</w:t>
      </w:r>
      <w:r w:rsidR="00A52928">
        <w:rPr>
          <w:i/>
          <w:iCs/>
        </w:rPr>
        <w:t xml:space="preserve"> </w:t>
      </w:r>
      <w:r w:rsidR="00A52928" w:rsidRPr="00DF47BD">
        <w:t>(</w:t>
      </w:r>
      <w:r w:rsidR="00A52928">
        <w:t>IIHR-TV-5</w:t>
      </w:r>
      <w:r w:rsidR="00A52928" w:rsidRPr="00DF47BD">
        <w:t>)</w:t>
      </w:r>
      <w:r w:rsidR="00A52928">
        <w:rPr>
          <w:i/>
          <w:iCs/>
        </w:rPr>
        <w:t>,</w:t>
      </w:r>
      <w:r w:rsidR="00A52928" w:rsidRPr="00AC0905">
        <w:t xml:space="preserve"> </w:t>
      </w:r>
      <w:r w:rsidR="00A52928" w:rsidRPr="005E78B9">
        <w:rPr>
          <w:i/>
          <w:iCs/>
        </w:rPr>
        <w:t xml:space="preserve">T. </w:t>
      </w:r>
      <w:proofErr w:type="spellStart"/>
      <w:r w:rsidR="00A52928" w:rsidRPr="005E78B9">
        <w:rPr>
          <w:i/>
          <w:iCs/>
        </w:rPr>
        <w:t>asperellum</w:t>
      </w:r>
      <w:proofErr w:type="spellEnd"/>
      <w:r w:rsidR="00A52928">
        <w:rPr>
          <w:i/>
          <w:iCs/>
        </w:rPr>
        <w:t xml:space="preserve"> </w:t>
      </w:r>
      <w:r w:rsidR="00A52928" w:rsidRPr="00DF47BD">
        <w:t>(</w:t>
      </w:r>
      <w:r w:rsidR="00A52928">
        <w:t>IIPRTh-31</w:t>
      </w:r>
      <w:r w:rsidR="00A52928" w:rsidRPr="00DF47BD">
        <w:t>)</w:t>
      </w:r>
      <w:r w:rsidR="00A52928">
        <w:t xml:space="preserve">, </w:t>
      </w:r>
      <w:r w:rsidR="00A52928" w:rsidRPr="005E78B9">
        <w:rPr>
          <w:i/>
          <w:iCs/>
        </w:rPr>
        <w:t>P. fluorescens</w:t>
      </w:r>
      <w:r w:rsidR="00A52928">
        <w:rPr>
          <w:i/>
          <w:iCs/>
        </w:rPr>
        <w:t xml:space="preserve"> </w:t>
      </w:r>
      <w:r w:rsidR="00A52928" w:rsidRPr="00DF47BD">
        <w:t>(</w:t>
      </w:r>
      <w:r w:rsidR="00A52928">
        <w:t>IIHR-PF-2</w:t>
      </w:r>
      <w:r w:rsidR="00A52928" w:rsidRPr="00DF47BD">
        <w:t>)</w:t>
      </w:r>
      <w:r w:rsidR="00A52928" w:rsidRPr="005E78B9">
        <w:rPr>
          <w:i/>
          <w:iCs/>
        </w:rPr>
        <w:t xml:space="preserve"> </w:t>
      </w:r>
      <w:r w:rsidR="00A52928" w:rsidRPr="00AC0905">
        <w:t>and</w:t>
      </w:r>
      <w:r w:rsidR="00A52928" w:rsidRPr="005E78B9">
        <w:rPr>
          <w:i/>
          <w:iCs/>
        </w:rPr>
        <w:t xml:space="preserve"> B. subtilis</w:t>
      </w:r>
      <w:r w:rsidR="00A52928">
        <w:rPr>
          <w:i/>
          <w:iCs/>
        </w:rPr>
        <w:t xml:space="preserve"> </w:t>
      </w:r>
      <w:r w:rsidR="00A52928" w:rsidRPr="00DF47BD">
        <w:t>(</w:t>
      </w:r>
      <w:r w:rsidR="00A52928">
        <w:t>IIHR-1</w:t>
      </w:r>
      <w:r w:rsidR="00A52928" w:rsidRPr="00DF47BD">
        <w:t>)</w:t>
      </w:r>
      <w:r w:rsidR="00A52928">
        <w:t xml:space="preserve"> </w:t>
      </w:r>
      <w:r>
        <w:t>obtained from certified commercial sources. Working suspensions (10% w/v) were prepared by dissolving 10 g of the formulation in 100 mL of sterile distilled water and mixing thoroughly on a magnetic stirrer for 10 minutes to ensure uniform distribution. Fresh suspensions were prepared immediately before use to maintain viability and efficacy.</w:t>
      </w:r>
    </w:p>
    <w:p w14:paraId="7967A262" w14:textId="572A97A0" w:rsidR="000C6358" w:rsidRDefault="00C55A5B" w:rsidP="00C55A5B">
      <w:pPr>
        <w:spacing w:after="240" w:line="360" w:lineRule="auto"/>
        <w:jc w:val="both"/>
      </w:pPr>
      <w:r>
        <w:t>Botanical extracts were prepared from fresh plant materials, including garlic (</w:t>
      </w:r>
      <w:r>
        <w:rPr>
          <w:i/>
          <w:iCs/>
        </w:rPr>
        <w:t>Allium sativum</w:t>
      </w:r>
      <w:r>
        <w:t>) bulbs, ginger (</w:t>
      </w:r>
      <w:r>
        <w:rPr>
          <w:i/>
          <w:iCs/>
        </w:rPr>
        <w:t>Zingiber officinale</w:t>
      </w:r>
      <w:r>
        <w:t>) rhizomes, turmeric (</w:t>
      </w:r>
      <w:r>
        <w:rPr>
          <w:i/>
          <w:iCs/>
        </w:rPr>
        <w:t>Curcuma longa</w:t>
      </w:r>
      <w:r>
        <w:t xml:space="preserve">) rhizomes, </w:t>
      </w:r>
      <w:proofErr w:type="spellStart"/>
      <w:r>
        <w:t>tulsi</w:t>
      </w:r>
      <w:proofErr w:type="spellEnd"/>
      <w:r>
        <w:t xml:space="preserve"> (</w:t>
      </w:r>
      <w:r>
        <w:rPr>
          <w:i/>
          <w:iCs/>
        </w:rPr>
        <w:t xml:space="preserve">Ocimum </w:t>
      </w:r>
      <w:proofErr w:type="spellStart"/>
      <w:r>
        <w:rPr>
          <w:i/>
          <w:iCs/>
        </w:rPr>
        <w:t>tenuiflorum</w:t>
      </w:r>
      <w:proofErr w:type="spellEnd"/>
      <w:r>
        <w:t>) leaves, and lantana (</w:t>
      </w:r>
      <w:r>
        <w:rPr>
          <w:i/>
          <w:iCs/>
        </w:rPr>
        <w:t>Lantana camara</w:t>
      </w:r>
      <w:r>
        <w:t>) leaves. Plant materials were thoroughly washed with sterile distilled water, surface-sterili</w:t>
      </w:r>
      <w:r w:rsidR="002B1905">
        <w:t>z</w:t>
      </w:r>
      <w:r>
        <w:t xml:space="preserve">ed with 0.1% sodium hypochlorite, and separately crushed using a </w:t>
      </w:r>
      <w:r w:rsidR="002B1905">
        <w:t>sterilized</w:t>
      </w:r>
      <w:r>
        <w:t xml:space="preserve"> mortar and pestle. Crude extracts were filtered through double-layered muslin cloth, then through Whatman No. 1 filter paper, and finally diluted to 10% (v/v) with sterile distilled water.</w:t>
      </w:r>
    </w:p>
    <w:p w14:paraId="17CD88C2" w14:textId="18BC8FC4" w:rsidR="000C6358" w:rsidRDefault="00C55A5B" w:rsidP="00C55A5B">
      <w:pPr>
        <w:spacing w:after="240" w:line="360" w:lineRule="auto"/>
        <w:jc w:val="both"/>
      </w:pPr>
      <w:r>
        <w:t xml:space="preserve">Fungicidal solutions were prepared from commercial formulations, including Carbendazim 12% + Mancozeb 63% WP, Difenoconazole 25% EC, </w:t>
      </w:r>
      <w:proofErr w:type="spellStart"/>
      <w:r>
        <w:t>Trifloxystrobin</w:t>
      </w:r>
      <w:proofErr w:type="spellEnd"/>
      <w:r>
        <w:t xml:space="preserve"> 50% WDG, </w:t>
      </w:r>
      <w:r>
        <w:lastRenderedPageBreak/>
        <w:t xml:space="preserve">Fluxapyroxad 33.3% G/L, and </w:t>
      </w:r>
      <w:proofErr w:type="spellStart"/>
      <w:r>
        <w:t>Penflufen</w:t>
      </w:r>
      <w:proofErr w:type="spellEnd"/>
      <w:r>
        <w:t xml:space="preserve"> 240 FS. Required quantities </w:t>
      </w:r>
      <w:r w:rsidR="002B1905">
        <w:t xml:space="preserve">of fungicides </w:t>
      </w:r>
      <w:r>
        <w:t>were accurately weighed on an analytical balance and dissolved in sterile distilled water to prepare 0.1% (w/v) solutions. All solutions were freshly prepared and used within 2 hours to prevent degradation of active ingredients.</w:t>
      </w:r>
    </w:p>
    <w:p w14:paraId="43043765" w14:textId="77777777" w:rsidR="000C6358" w:rsidRDefault="00000000" w:rsidP="00C55A5B">
      <w:pPr>
        <w:pStyle w:val="Heading2"/>
        <w:spacing w:line="360" w:lineRule="auto"/>
        <w:jc w:val="both"/>
      </w:pPr>
      <w:r>
        <w:t>2.2 Seed Treatment and Incubation Procedures</w:t>
      </w:r>
    </w:p>
    <w:p w14:paraId="13CDEB05" w14:textId="79E70A5D" w:rsidR="000C6358" w:rsidRDefault="00F7481C" w:rsidP="00C55A5B">
      <w:pPr>
        <w:spacing w:after="240" w:line="360" w:lineRule="auto"/>
        <w:jc w:val="both"/>
      </w:pPr>
      <w:r>
        <w:t>Surface-</w:t>
      </w:r>
      <w:r w:rsidR="002B1905">
        <w:t>sterilized</w:t>
      </w:r>
      <w:r>
        <w:t xml:space="preserve"> seeds were treated with respective bioagent suspensions, botanical extracts, or fungicidal solutions under aseptic conditions in a laminar airflow chamber. Seeds were immersed in the treatment solutions for 30 minutes, with gentle agitation every 10 minutes to ensure uniform coverage. Control seeds were treated with sterile distilled water using identical procedures. After treatment, seeds were air-dried on sterile filter papers for 15 minutes to remove excess moisture while retaining treatment efficacy.</w:t>
      </w:r>
    </w:p>
    <w:p w14:paraId="5DBDE3AD" w14:textId="217528B5" w:rsidR="000C6358" w:rsidRDefault="00F7481C" w:rsidP="00C55A5B">
      <w:pPr>
        <w:spacing w:after="240" w:line="360" w:lineRule="auto"/>
        <w:jc w:val="both"/>
      </w:pPr>
      <w:r>
        <w:t xml:space="preserve">Treated seeds were placed on sterilized, moist blotter papers in sterile Petri plates (10 cm diameter) </w:t>
      </w:r>
      <w:r w:rsidR="002B1905">
        <w:t>following</w:t>
      </w:r>
      <w:r>
        <w:t xml:space="preserve"> the standard blotter method as per International Seed Testing Association (ISTA) guidelines, a widely </w:t>
      </w:r>
      <w:r w:rsidR="002B1905">
        <w:t>adopted</w:t>
      </w:r>
      <w:r>
        <w:t xml:space="preserve"> protocol for assessing seed treatment </w:t>
      </w:r>
      <w:proofErr w:type="spellStart"/>
      <w:r>
        <w:t>biostimulant</w:t>
      </w:r>
      <w:proofErr w:type="spellEnd"/>
      <w:r>
        <w:t xml:space="preserve"> effects on germination and early seedling growth (Puglisi </w:t>
      </w:r>
      <w:r>
        <w:rPr>
          <w:i/>
          <w:iCs/>
        </w:rPr>
        <w:t>et al.,</w:t>
      </w:r>
      <w:r>
        <w:t xml:space="preserve"> 2022). Each plate contained exactly 30 seeds arranged in a systematic grid pattern with adequate spacing to prevent contact between seeds. Three replications were maintained per treatment, with each replication comprising separate plates to ensure statistical validity.</w:t>
      </w:r>
    </w:p>
    <w:p w14:paraId="58D43AEA" w14:textId="653BCF4C" w:rsidR="000C6358" w:rsidRDefault="00F7481C" w:rsidP="00C55A5B">
      <w:pPr>
        <w:spacing w:after="240" w:line="360" w:lineRule="auto"/>
        <w:jc w:val="both"/>
      </w:pPr>
      <w:r>
        <w:t>Petri plates were incubated in a BOD incubator at 27±1°C under a 12-hour light</w:t>
      </w:r>
      <w:r w:rsidR="003240E3">
        <w:t>/</w:t>
      </w:r>
      <w:r>
        <w:t xml:space="preserve">12-hour dark photoperiod to simulate natural conditions. Relative humidity was maintained at 85-90% using saturated blotting papers, with sterile distilled water added as required to maintain optimal moisture levels. Temperature and humidity were </w:t>
      </w:r>
      <w:r w:rsidR="003240E3">
        <w:t>continuously monitored using digital sensors to maintain</w:t>
      </w:r>
      <w:r>
        <w:t xml:space="preserve"> consistent environmental conditions throughout the incubation period.</w:t>
      </w:r>
    </w:p>
    <w:p w14:paraId="60E4FF65" w14:textId="48A1EE40" w:rsidR="000C6358" w:rsidRDefault="00F7481C" w:rsidP="00C55A5B">
      <w:pPr>
        <w:spacing w:after="240" w:line="360" w:lineRule="auto"/>
        <w:jc w:val="both"/>
      </w:pPr>
      <w:r>
        <w:t xml:space="preserve">Germination assessments were conducted daily from the 3rd day post-incubation to monitor germination kinetics. Seeds </w:t>
      </w:r>
      <w:r w:rsidR="002B1905">
        <w:t>showing</w:t>
      </w:r>
      <w:r>
        <w:t xml:space="preserve"> visible radicle emergence (≥2 mm) were considered germinated. Final observations were recorded on the 12th day after incubation, when the maximum difference in germination between treatments was evident, enabling a clear assessment of treatment effects on early germination vigour and seedling establishment potential.</w:t>
      </w:r>
    </w:p>
    <w:p w14:paraId="4C269E1B" w14:textId="77777777" w:rsidR="000C6358" w:rsidRDefault="00000000" w:rsidP="00C55A5B">
      <w:pPr>
        <w:pStyle w:val="Heading2"/>
        <w:spacing w:line="360" w:lineRule="auto"/>
        <w:jc w:val="both"/>
      </w:pPr>
      <w:r>
        <w:t>2.3 Data Collection and Analysis</w:t>
      </w:r>
    </w:p>
    <w:p w14:paraId="008C588A" w14:textId="1446DB79" w:rsidR="000C6358" w:rsidRDefault="00F7481C" w:rsidP="00C55A5B">
      <w:pPr>
        <w:spacing w:after="240" w:line="360" w:lineRule="auto"/>
        <w:jc w:val="both"/>
      </w:pPr>
      <w:r>
        <w:lastRenderedPageBreak/>
        <w:t>Germination percentage was calculated using the formula: Germination (%) = (Number of seeds germinated / Total number of seeds) × 100. Seedling length was measured from the root tip to the shoot apex using digital callipers with 0.1 mm precision for 10 randomly selected normal seedlings per replicate. Seed vigour index was calculated using the formula of Abdul-Baki and Anderson (1973): SVI = Germination (%) × Mean seedling length (cm).</w:t>
      </w:r>
    </w:p>
    <w:p w14:paraId="232D5ABC" w14:textId="511085B1" w:rsidR="000C6358" w:rsidRDefault="00F7481C" w:rsidP="00C55A5B">
      <w:pPr>
        <w:spacing w:after="240" w:line="360" w:lineRule="auto"/>
        <w:jc w:val="both"/>
      </w:pPr>
      <w:r>
        <w:t xml:space="preserve">Morphological observations included assessments of radicle development, shoot emergence, seedling uniformity, and any abnormalities or phytotoxic effects. Digital photography was used to document representative seedlings from each treatment for comparative analysis. Data from three replicates were subjected to analysis of variance (ANOVA) using a completely </w:t>
      </w:r>
      <w:r w:rsidR="002B1905">
        <w:t>randomized</w:t>
      </w:r>
      <w:r>
        <w:t xml:space="preserve"> design.</w:t>
      </w:r>
    </w:p>
    <w:p w14:paraId="1DFEA568" w14:textId="09AEDEEE" w:rsidR="000C6358" w:rsidRDefault="00F7481C" w:rsidP="00C55A5B">
      <w:pPr>
        <w:spacing w:after="480" w:line="360" w:lineRule="auto"/>
        <w:jc w:val="both"/>
      </w:pPr>
      <w:r>
        <w:t xml:space="preserve">Statistical analysis was performed using SPSS version 26.0 after testing the data for normality and homogeneity of variances. Treatment means were compared using Duncan's Multiple Range Test (DMRT) at the 5% </w:t>
      </w:r>
      <w:r w:rsidR="003240E3">
        <w:t>significance level</w:t>
      </w:r>
      <w:r>
        <w:t>. Standard error of the mean (</w:t>
      </w:r>
      <w:proofErr w:type="spellStart"/>
      <w:r>
        <w:t>SEm</w:t>
      </w:r>
      <w:proofErr w:type="spellEnd"/>
      <w:r>
        <w:t>±) and critical difference (CD) values were calculated to assess statistical significance and establish confidence intervals for treatment comparisons.</w:t>
      </w:r>
    </w:p>
    <w:p w14:paraId="4D1C5438" w14:textId="77777777" w:rsidR="000C6358" w:rsidRDefault="00000000">
      <w:pPr>
        <w:pStyle w:val="Heading1"/>
      </w:pPr>
      <w:r>
        <w:t>3. Results</w:t>
      </w:r>
    </w:p>
    <w:p w14:paraId="52D7CAD6" w14:textId="5DBC6543" w:rsidR="000C6358" w:rsidRDefault="00000000" w:rsidP="00F7481C">
      <w:pPr>
        <w:pStyle w:val="Heading2"/>
        <w:spacing w:line="360" w:lineRule="auto"/>
        <w:jc w:val="both"/>
      </w:pPr>
      <w:r>
        <w:t>3.1 Comparative Efficacy of Seed Treatments on Germination and Vigour</w:t>
      </w:r>
    </w:p>
    <w:p w14:paraId="3B8D57D9" w14:textId="15C8E306" w:rsidR="000C6358" w:rsidRDefault="00F7481C" w:rsidP="00F7481C">
      <w:pPr>
        <w:spacing w:after="240" w:line="360" w:lineRule="auto"/>
        <w:jc w:val="both"/>
      </w:pPr>
      <w:r>
        <w:t xml:space="preserve">The evaluation of various bioagents, botanical extracts, and fungicides revealed substantial variation among treatments in seed germination enhancement and seedling growth promotion </w:t>
      </w:r>
      <w:r w:rsidR="002B1905">
        <w:t>compared</w:t>
      </w:r>
      <w:r>
        <w:t xml:space="preserve"> to the untreated control (Table 1). Treatments showed distinct patterns of efficacy, with botanical extracts consistently outperforming others across most parameters evaluated.</w:t>
      </w:r>
    </w:p>
    <w:p w14:paraId="386FED15" w14:textId="0F0F82B5" w:rsidR="000C6358" w:rsidRPr="00F7481C" w:rsidRDefault="00F7481C" w:rsidP="00F7481C">
      <w:pPr>
        <w:spacing w:after="240" w:line="360" w:lineRule="auto"/>
        <w:jc w:val="both"/>
      </w:pPr>
      <w:r>
        <w:rPr>
          <w:i/>
          <w:iCs/>
        </w:rPr>
        <w:t xml:space="preserve">Allium sativum </w:t>
      </w:r>
      <w:r>
        <w:t xml:space="preserve">(garlic) extract </w:t>
      </w:r>
      <w:r w:rsidR="002B1905" w:rsidRPr="0078648C">
        <w:rPr>
          <w:rFonts w:eastAsia="SimSun"/>
        </w:rPr>
        <w:t>exhibited the highest overall performance</w:t>
      </w:r>
      <w:r>
        <w:t xml:space="preserve">, </w:t>
      </w:r>
      <w:r w:rsidR="002B1905">
        <w:t>recording</w:t>
      </w:r>
      <w:r>
        <w:t xml:space="preserve"> 96% germination, 4.1 cm seedling length, and a remarkable seed vigour index of 393.6. The treated seeds showed exceptionally dense germination, pronounced radicle elongation, and vigorous shoot development, indicating potent growth-promoting effects. </w:t>
      </w:r>
      <w:r>
        <w:rPr>
          <w:i/>
          <w:iCs/>
        </w:rPr>
        <w:t>Zingiber officinale</w:t>
      </w:r>
      <w:r>
        <w:t xml:space="preserve"> (ginger) extract ranked second, with 92% germination, 3.8 cm seedling length, and a vigour index of 349.6, </w:t>
      </w:r>
      <w:r w:rsidR="002B1905" w:rsidRPr="0078648C">
        <w:rPr>
          <w:rFonts w:eastAsia="SimSun"/>
        </w:rPr>
        <w:t>along with</w:t>
      </w:r>
      <w:r>
        <w:t xml:space="preserve"> uniform seedling emergence with well-developed radicles and healthy shoots.</w:t>
      </w:r>
    </w:p>
    <w:p w14:paraId="38E722E2" w14:textId="43EC8865" w:rsidR="000C6358" w:rsidRPr="00F7481C" w:rsidRDefault="00F7481C" w:rsidP="00F7481C">
      <w:pPr>
        <w:spacing w:after="240" w:line="360" w:lineRule="auto"/>
        <w:jc w:val="both"/>
      </w:pPr>
      <w:r>
        <w:rPr>
          <w:i/>
          <w:iCs/>
        </w:rPr>
        <w:t xml:space="preserve">Curcuma longa </w:t>
      </w:r>
      <w:r>
        <w:t xml:space="preserve">(turmeric) extract demonstrated significant positive effects, with 88% germination, 3.6 cm seedling length, and a vigour index of 316.8, </w:t>
      </w:r>
      <w:r w:rsidR="002B1905">
        <w:t>characterized</w:t>
      </w:r>
      <w:r>
        <w:t xml:space="preserve"> by clear radicle </w:t>
      </w:r>
      <w:r>
        <w:lastRenderedPageBreak/>
        <w:t xml:space="preserve">and shoot elongation. </w:t>
      </w:r>
      <w:r>
        <w:rPr>
          <w:i/>
          <w:iCs/>
        </w:rPr>
        <w:t xml:space="preserve">Ocimum </w:t>
      </w:r>
      <w:proofErr w:type="spellStart"/>
      <w:r>
        <w:rPr>
          <w:i/>
          <w:iCs/>
        </w:rPr>
        <w:t>tenuiflorum</w:t>
      </w:r>
      <w:proofErr w:type="spellEnd"/>
      <w:r>
        <w:t xml:space="preserve"> (</w:t>
      </w:r>
      <w:proofErr w:type="spellStart"/>
      <w:r>
        <w:t>tulsi</w:t>
      </w:r>
      <w:proofErr w:type="spellEnd"/>
      <w:r>
        <w:t xml:space="preserve">) extract recorded 80% germination, 3.0 cm seedling length, and a vigour index of 240.0, while </w:t>
      </w:r>
      <w:r>
        <w:rPr>
          <w:i/>
          <w:iCs/>
        </w:rPr>
        <w:t>Lantana camara</w:t>
      </w:r>
      <w:r>
        <w:t xml:space="preserve"> extract achieved 76% germination, 2.5 cm seedling length, and a vigour index of 190.0. All botanical extracts significantly performed</w:t>
      </w:r>
      <w:r w:rsidR="00292CE7">
        <w:t xml:space="preserve"> superior over </w:t>
      </w:r>
      <w:r>
        <w:t>control treatments, demonstrating consistent growth-promoting capabilities.</w:t>
      </w:r>
    </w:p>
    <w:p w14:paraId="1632134B" w14:textId="0CC3938E" w:rsidR="000C6358" w:rsidRDefault="00F7481C" w:rsidP="00F7481C">
      <w:pPr>
        <w:spacing w:after="240" w:line="360" w:lineRule="auto"/>
        <w:jc w:val="both"/>
      </w:pPr>
      <w:r>
        <w:t xml:space="preserve">Regarding bioagent efficacy, the combined formulation of </w:t>
      </w:r>
      <w:r>
        <w:rPr>
          <w:i/>
          <w:iCs/>
        </w:rPr>
        <w:t xml:space="preserve">Trichoderma </w:t>
      </w:r>
      <w:proofErr w:type="spellStart"/>
      <w:r>
        <w:rPr>
          <w:i/>
          <w:iCs/>
        </w:rPr>
        <w:t>harzianum</w:t>
      </w:r>
      <w:proofErr w:type="spellEnd"/>
      <w:r>
        <w:rPr>
          <w:i/>
          <w:iCs/>
        </w:rPr>
        <w:t xml:space="preserve"> + T. viride</w:t>
      </w:r>
      <w:r>
        <w:t xml:space="preserve"> showed the highest performance among microbial treatments, with 92% germination, 3.6 cm seedling length, and a vigour index of 331.2, exhibiting uniform germination patterns and well-developed radicle structures. Individual </w:t>
      </w:r>
      <w:r w:rsidRPr="00292CE7">
        <w:rPr>
          <w:i/>
          <w:iCs/>
        </w:rPr>
        <w:t>Trichoderma</w:t>
      </w:r>
      <w:r>
        <w:t xml:space="preserve"> species showed differential effects: </w:t>
      </w:r>
      <w:r>
        <w:rPr>
          <w:i/>
          <w:iCs/>
        </w:rPr>
        <w:t xml:space="preserve">T. </w:t>
      </w:r>
      <w:proofErr w:type="spellStart"/>
      <w:r>
        <w:rPr>
          <w:i/>
          <w:iCs/>
        </w:rPr>
        <w:t>harzianum</w:t>
      </w:r>
      <w:proofErr w:type="spellEnd"/>
      <w:r>
        <w:t xml:space="preserve"> achieved 88% germination with 3.4 cm length (vigour index 299.2), while </w:t>
      </w:r>
      <w:r>
        <w:rPr>
          <w:i/>
          <w:iCs/>
        </w:rPr>
        <w:t>T. viride</w:t>
      </w:r>
      <w:r>
        <w:t xml:space="preserve"> recorded 80% germination with 3.2 cm length (vigour index 256.0). </w:t>
      </w:r>
      <w:r>
        <w:rPr>
          <w:i/>
          <w:iCs/>
        </w:rPr>
        <w:t xml:space="preserve">T. </w:t>
      </w:r>
      <w:proofErr w:type="spellStart"/>
      <w:r>
        <w:rPr>
          <w:i/>
          <w:iCs/>
        </w:rPr>
        <w:t>asperellum</w:t>
      </w:r>
      <w:proofErr w:type="spellEnd"/>
      <w:r>
        <w:t xml:space="preserve"> showed moderate performance with 72% germination, 2.9 cm length, and a vigour index of 208.8.</w:t>
      </w:r>
    </w:p>
    <w:p w14:paraId="1A1AD9E6" w14:textId="6DF70406" w:rsidR="000C6358" w:rsidRDefault="00F7481C" w:rsidP="00F7481C">
      <w:pPr>
        <w:spacing w:after="240" w:line="360" w:lineRule="auto"/>
        <w:jc w:val="both"/>
      </w:pPr>
      <w:r>
        <w:t xml:space="preserve">Bacterial bioagents showed variable effectiveness, with </w:t>
      </w:r>
      <w:r>
        <w:rPr>
          <w:i/>
          <w:iCs/>
        </w:rPr>
        <w:t>Pseudomonas fluorescens</w:t>
      </w:r>
      <w:r>
        <w:t xml:space="preserve"> </w:t>
      </w:r>
      <w:r w:rsidR="00292CE7" w:rsidRPr="0078648C">
        <w:rPr>
          <w:rFonts w:eastAsia="SimSun"/>
        </w:rPr>
        <w:t>showing comparatively better performance by</w:t>
      </w:r>
      <w:r w:rsidR="00292CE7">
        <w:rPr>
          <w:rFonts w:eastAsia="SimSun"/>
        </w:rPr>
        <w:t xml:space="preserve"> recording</w:t>
      </w:r>
      <w:r w:rsidR="00292CE7" w:rsidRPr="0078648C">
        <w:rPr>
          <w:rFonts w:eastAsia="SimSun"/>
        </w:rPr>
        <w:t xml:space="preserve"> </w:t>
      </w:r>
      <w:r>
        <w:t xml:space="preserve"> 75% germination, </w:t>
      </w:r>
      <w:r w:rsidR="003240E3">
        <w:t>a seedling length of 2.8 cm</w:t>
      </w:r>
      <w:r>
        <w:t xml:space="preserve">, and a vigour index of 210.0, indicating moderate seed enhancement. </w:t>
      </w:r>
      <w:r>
        <w:rPr>
          <w:i/>
          <w:iCs/>
        </w:rPr>
        <w:t>Bacillus subtilis</w:t>
      </w:r>
      <w:r>
        <w:t xml:space="preserve"> showed lower efficacy, with 68% germination, a seedling length of 2.4 cm, and a vigour index of 163.2, indicating species-specific variation in growth-promotion mechanisms.</w:t>
      </w:r>
    </w:p>
    <w:p w14:paraId="13260222" w14:textId="7513E2D1" w:rsidR="000C6358" w:rsidRDefault="00F7481C" w:rsidP="00F7481C">
      <w:pPr>
        <w:spacing w:after="240" w:line="360" w:lineRule="auto"/>
        <w:jc w:val="both"/>
      </w:pPr>
      <w:r>
        <w:t xml:space="preserve">Fungicidal treatments showed moderate effectiveness, with some exhibiting mild phytotoxic effects. Carbendazim 12% + Mancozeb 63% WP and </w:t>
      </w:r>
      <w:proofErr w:type="spellStart"/>
      <w:r>
        <w:t>Trifloxystrobin</w:t>
      </w:r>
      <w:proofErr w:type="spellEnd"/>
      <w:r>
        <w:t xml:space="preserve"> 50% WDG performed comparably, with germination rates of 72% and 73%, seedling lengths of 2.5 and 2.6 cm, and vigour indices of 180.0 and 189.8, respectively. Fluxapyroxad 33.3% G/L and Difenoconazole 25% EC achieved germination rates of 67% and 64%, with corresponding vigour indices of 167.5 and 153.6. </w:t>
      </w:r>
      <w:proofErr w:type="spellStart"/>
      <w:r>
        <w:t>Penflufen</w:t>
      </w:r>
      <w:proofErr w:type="spellEnd"/>
      <w:r>
        <w:t xml:space="preserve"> 240 FS showed the poorest fungicidal performance, with only 60% germination, a seedling length of 2.2 cm, and a vigour index of 132.0, suggesting potential phytotoxic effects at the tested concentrations.</w:t>
      </w:r>
    </w:p>
    <w:p w14:paraId="342C80F5" w14:textId="4F6FF88F" w:rsidR="000C6358" w:rsidRDefault="00F7481C" w:rsidP="00F7481C">
      <w:pPr>
        <w:spacing w:after="480" w:line="360" w:lineRule="auto"/>
        <w:jc w:val="both"/>
      </w:pPr>
      <w:r>
        <w:t xml:space="preserve">The untreated control exhibited the lowest values across all parameters, with 56% germination, 2.0 cm seedling length, and a vigour index of 112.0, </w:t>
      </w:r>
      <w:r w:rsidR="003240E3">
        <w:t xml:space="preserve">and was </w:t>
      </w:r>
      <w:r w:rsidR="002B1905">
        <w:t>characterized</w:t>
      </w:r>
      <w:r w:rsidR="003240E3">
        <w:t xml:space="preserve"> by sparse,</w:t>
      </w:r>
      <w:r>
        <w:t xml:space="preserve"> irregular germination patterns and weak seedling development. Statistical analysis revealed highly significant inter-treatment variation, with standard </w:t>
      </w:r>
      <w:r w:rsidR="003240E3">
        <w:t>errors of the mean (</w:t>
      </w:r>
      <w:proofErr w:type="spellStart"/>
      <w:r w:rsidR="003240E3">
        <w:t>SEm</w:t>
      </w:r>
      <w:proofErr w:type="spellEnd"/>
      <w:r w:rsidR="003240E3">
        <w:t xml:space="preserve">) </w:t>
      </w:r>
      <w:r>
        <w:t xml:space="preserve">of 0.91 for germination percentage and 0.04 cm for seedling length. The critical difference (CD) at the 5% </w:t>
      </w:r>
      <w:r>
        <w:lastRenderedPageBreak/>
        <w:t>significance level was 2.63 for germination percentage and 0.12 cm for seedling length, confirming that the observed differences represent genuine treatment effects.</w:t>
      </w:r>
    </w:p>
    <w:p w14:paraId="1B3D7216" w14:textId="77777777" w:rsidR="00F7481C" w:rsidRDefault="00F7481C" w:rsidP="00F7481C">
      <w:pPr>
        <w:spacing w:before="240" w:after="120" w:line="360" w:lineRule="auto"/>
        <w:jc w:val="both"/>
        <w:rPr>
          <w:b/>
          <w:bCs/>
          <w:sz w:val="22"/>
          <w:szCs w:val="22"/>
        </w:rPr>
        <w:sectPr w:rsidR="00F7481C" w:rsidSect="00F7481C">
          <w:pgSz w:w="11906" w:h="16838" w:code="9"/>
          <w:pgMar w:top="1440" w:right="1440" w:bottom="1440" w:left="1440" w:header="708" w:footer="708" w:gutter="0"/>
          <w:cols w:space="720"/>
          <w:docGrid w:linePitch="360"/>
        </w:sectPr>
      </w:pPr>
    </w:p>
    <w:p w14:paraId="55FFB573" w14:textId="5C3CFD7F" w:rsidR="00F7481C" w:rsidRDefault="00F7481C" w:rsidP="00F7481C">
      <w:pPr>
        <w:spacing w:line="276" w:lineRule="auto"/>
        <w:jc w:val="both"/>
        <w:outlineLvl w:val="2"/>
        <w:rPr>
          <w:b/>
          <w:bCs/>
          <w:sz w:val="27"/>
          <w:szCs w:val="27"/>
        </w:rPr>
      </w:pPr>
      <w:r>
        <w:rPr>
          <w:b/>
          <w:bCs/>
          <w:sz w:val="27"/>
          <w:szCs w:val="27"/>
        </w:rPr>
        <w:lastRenderedPageBreak/>
        <w:t>Table 1: Effect of different bioagents, botanical extracts and fungicides on seed germination</w:t>
      </w:r>
    </w:p>
    <w:p w14:paraId="4DE0CE00" w14:textId="77777777" w:rsidR="00F7481C" w:rsidRDefault="00F7481C" w:rsidP="00F7481C">
      <w:pPr>
        <w:spacing w:line="276" w:lineRule="auto"/>
        <w:jc w:val="both"/>
        <w:outlineLvl w:val="2"/>
        <w:rPr>
          <w:b/>
          <w:bCs/>
          <w:sz w:val="27"/>
          <w:szCs w:val="27"/>
        </w:rPr>
      </w:pPr>
    </w:p>
    <w:tbl>
      <w:tblPr>
        <w:tblStyle w:val="TableGrid"/>
        <w:tblpPr w:leftFromText="180" w:rightFromText="180" w:vertAnchor="page" w:horzAnchor="margin" w:tblpY="1825"/>
        <w:tblW w:w="0" w:type="auto"/>
        <w:tblLook w:val="04A0" w:firstRow="1" w:lastRow="0" w:firstColumn="1" w:lastColumn="0" w:noHBand="0" w:noVBand="1"/>
      </w:tblPr>
      <w:tblGrid>
        <w:gridCol w:w="1309"/>
        <w:gridCol w:w="2994"/>
        <w:gridCol w:w="1258"/>
        <w:gridCol w:w="1536"/>
        <w:gridCol w:w="1167"/>
        <w:gridCol w:w="1081"/>
        <w:gridCol w:w="4603"/>
      </w:tblGrid>
      <w:tr w:rsidR="00292CE7" w:rsidRPr="003240E3" w14:paraId="0491DC37" w14:textId="77777777" w:rsidTr="00292CE7">
        <w:tc>
          <w:tcPr>
            <w:tcW w:w="1309" w:type="dxa"/>
            <w:vAlign w:val="center"/>
          </w:tcPr>
          <w:p w14:paraId="444BABF1" w14:textId="77777777" w:rsidR="00292CE7" w:rsidRPr="003240E3" w:rsidRDefault="00292CE7" w:rsidP="00292CE7">
            <w:pPr>
              <w:rPr>
                <w:rFonts w:ascii="Times New Roman" w:hAnsi="Times New Roman" w:cs="Times New Roman"/>
                <w:sz w:val="24"/>
                <w:szCs w:val="24"/>
              </w:rPr>
            </w:pPr>
            <w:r w:rsidRPr="003240E3">
              <w:rPr>
                <w:rFonts w:ascii="Times New Roman" w:hAnsi="Times New Roman" w:cs="Times New Roman"/>
                <w:b/>
                <w:bCs/>
                <w:sz w:val="24"/>
                <w:szCs w:val="24"/>
              </w:rPr>
              <w:t>Treatment no.</w:t>
            </w:r>
          </w:p>
        </w:tc>
        <w:tc>
          <w:tcPr>
            <w:tcW w:w="2994" w:type="dxa"/>
            <w:vAlign w:val="center"/>
          </w:tcPr>
          <w:p w14:paraId="26102381" w14:textId="77777777" w:rsidR="00292CE7" w:rsidRPr="003240E3" w:rsidRDefault="00292CE7" w:rsidP="00292CE7">
            <w:pPr>
              <w:rPr>
                <w:rFonts w:ascii="Times New Roman" w:hAnsi="Times New Roman" w:cs="Times New Roman"/>
                <w:sz w:val="24"/>
                <w:szCs w:val="24"/>
              </w:rPr>
            </w:pPr>
            <w:r w:rsidRPr="003240E3">
              <w:rPr>
                <w:rFonts w:ascii="Times New Roman" w:hAnsi="Times New Roman" w:cs="Times New Roman"/>
                <w:b/>
                <w:bCs/>
                <w:sz w:val="24"/>
                <w:szCs w:val="24"/>
              </w:rPr>
              <w:t>Treatment details</w:t>
            </w:r>
          </w:p>
        </w:tc>
        <w:tc>
          <w:tcPr>
            <w:tcW w:w="1258" w:type="dxa"/>
            <w:vAlign w:val="center"/>
          </w:tcPr>
          <w:p w14:paraId="3F742307" w14:textId="495A0201" w:rsidR="00292CE7" w:rsidRPr="00292CE7" w:rsidRDefault="00292CE7" w:rsidP="00292CE7">
            <w:pPr>
              <w:rPr>
                <w:rFonts w:ascii="Times New Roman" w:hAnsi="Times New Roman" w:cs="Times New Roman"/>
                <w:b/>
                <w:bCs/>
                <w:sz w:val="24"/>
                <w:szCs w:val="24"/>
              </w:rPr>
            </w:pPr>
            <w:r w:rsidRPr="00292CE7">
              <w:rPr>
                <w:rFonts w:ascii="Times New Roman" w:hAnsi="Times New Roman" w:cs="Times New Roman"/>
                <w:b/>
                <w:bCs/>
                <w:color w:val="000000" w:themeColor="text1"/>
                <w:sz w:val="24"/>
                <w:szCs w:val="24"/>
              </w:rPr>
              <w:t>Conc. used</w:t>
            </w:r>
          </w:p>
        </w:tc>
        <w:tc>
          <w:tcPr>
            <w:tcW w:w="1536" w:type="dxa"/>
            <w:vAlign w:val="center"/>
          </w:tcPr>
          <w:p w14:paraId="542ED55E" w14:textId="43C38939" w:rsidR="00292CE7" w:rsidRPr="003240E3" w:rsidRDefault="00292CE7" w:rsidP="00292CE7">
            <w:pPr>
              <w:rPr>
                <w:rFonts w:ascii="Times New Roman" w:hAnsi="Times New Roman" w:cs="Times New Roman"/>
                <w:sz w:val="24"/>
                <w:szCs w:val="24"/>
              </w:rPr>
            </w:pPr>
            <w:r w:rsidRPr="003240E3">
              <w:rPr>
                <w:rFonts w:ascii="Times New Roman" w:hAnsi="Times New Roman" w:cs="Times New Roman"/>
                <w:b/>
                <w:bCs/>
                <w:sz w:val="24"/>
                <w:szCs w:val="24"/>
              </w:rPr>
              <w:t>Germination (%)</w:t>
            </w:r>
          </w:p>
        </w:tc>
        <w:tc>
          <w:tcPr>
            <w:tcW w:w="1167" w:type="dxa"/>
            <w:vAlign w:val="center"/>
          </w:tcPr>
          <w:p w14:paraId="23BC5842" w14:textId="77777777" w:rsidR="00292CE7" w:rsidRPr="003240E3" w:rsidRDefault="00292CE7" w:rsidP="00292CE7">
            <w:pPr>
              <w:rPr>
                <w:rFonts w:ascii="Times New Roman" w:hAnsi="Times New Roman" w:cs="Times New Roman"/>
                <w:sz w:val="24"/>
                <w:szCs w:val="24"/>
              </w:rPr>
            </w:pPr>
            <w:r w:rsidRPr="003240E3">
              <w:rPr>
                <w:rFonts w:ascii="Times New Roman" w:hAnsi="Times New Roman" w:cs="Times New Roman"/>
                <w:b/>
                <w:bCs/>
                <w:sz w:val="24"/>
                <w:szCs w:val="24"/>
              </w:rPr>
              <w:t>Seedling length (cm)</w:t>
            </w:r>
          </w:p>
        </w:tc>
        <w:tc>
          <w:tcPr>
            <w:tcW w:w="1081" w:type="dxa"/>
            <w:vAlign w:val="center"/>
          </w:tcPr>
          <w:p w14:paraId="0B929F0A" w14:textId="77777777" w:rsidR="00292CE7" w:rsidRPr="003240E3" w:rsidRDefault="00292CE7" w:rsidP="00292CE7">
            <w:pPr>
              <w:rPr>
                <w:rFonts w:ascii="Times New Roman" w:hAnsi="Times New Roman" w:cs="Times New Roman"/>
                <w:sz w:val="24"/>
                <w:szCs w:val="24"/>
              </w:rPr>
            </w:pPr>
            <w:r w:rsidRPr="003240E3">
              <w:rPr>
                <w:rFonts w:ascii="Times New Roman" w:hAnsi="Times New Roman" w:cs="Times New Roman"/>
                <w:b/>
                <w:bCs/>
                <w:sz w:val="24"/>
                <w:szCs w:val="24"/>
              </w:rPr>
              <w:t>Seed vigour index</w:t>
            </w:r>
          </w:p>
        </w:tc>
        <w:tc>
          <w:tcPr>
            <w:tcW w:w="4603" w:type="dxa"/>
            <w:vAlign w:val="center"/>
          </w:tcPr>
          <w:p w14:paraId="12EC0BEA" w14:textId="77777777" w:rsidR="00292CE7" w:rsidRPr="003240E3" w:rsidRDefault="00292CE7" w:rsidP="00292CE7">
            <w:pPr>
              <w:jc w:val="center"/>
              <w:rPr>
                <w:rFonts w:ascii="Times New Roman" w:hAnsi="Times New Roman" w:cs="Times New Roman"/>
                <w:sz w:val="24"/>
                <w:szCs w:val="24"/>
              </w:rPr>
            </w:pPr>
            <w:r w:rsidRPr="003240E3">
              <w:rPr>
                <w:rFonts w:ascii="Times New Roman" w:hAnsi="Times New Roman" w:cs="Times New Roman"/>
                <w:b/>
                <w:bCs/>
                <w:sz w:val="24"/>
                <w:szCs w:val="24"/>
              </w:rPr>
              <w:t>Appearance</w:t>
            </w:r>
          </w:p>
        </w:tc>
      </w:tr>
      <w:tr w:rsidR="00292CE7" w:rsidRPr="003240E3" w14:paraId="064C6D80" w14:textId="77777777" w:rsidTr="00F31590">
        <w:tc>
          <w:tcPr>
            <w:tcW w:w="1309" w:type="dxa"/>
            <w:vAlign w:val="center"/>
          </w:tcPr>
          <w:p w14:paraId="6AB9D30A" w14:textId="77777777" w:rsidR="00292CE7" w:rsidRPr="00292CE7" w:rsidRDefault="00292CE7" w:rsidP="00292CE7">
            <w:pPr>
              <w:rPr>
                <w:rFonts w:ascii="Times New Roman" w:hAnsi="Times New Roman" w:cs="Times New Roman"/>
              </w:rPr>
            </w:pPr>
            <w:r w:rsidRPr="00292CE7">
              <w:rPr>
                <w:rFonts w:ascii="Times New Roman" w:hAnsi="Times New Roman" w:cs="Times New Roman"/>
              </w:rPr>
              <w:t>T₁</w:t>
            </w:r>
          </w:p>
        </w:tc>
        <w:tc>
          <w:tcPr>
            <w:tcW w:w="2994" w:type="dxa"/>
            <w:vAlign w:val="center"/>
          </w:tcPr>
          <w:p w14:paraId="75E21526" w14:textId="5B82B487" w:rsidR="00292CE7" w:rsidRPr="00292CE7" w:rsidRDefault="00292CE7" w:rsidP="00292CE7">
            <w:pPr>
              <w:rPr>
                <w:rFonts w:ascii="Times New Roman" w:hAnsi="Times New Roman" w:cs="Times New Roman"/>
              </w:rPr>
            </w:pPr>
            <w:r w:rsidRPr="00292CE7">
              <w:rPr>
                <w:rFonts w:ascii="Times New Roman" w:hAnsi="Times New Roman" w:cs="Times New Roman"/>
                <w:i/>
                <w:iCs/>
              </w:rPr>
              <w:t>T</w:t>
            </w:r>
            <w:r w:rsidR="00A52928">
              <w:rPr>
                <w:rFonts w:ascii="Times New Roman" w:hAnsi="Times New Roman" w:cs="Times New Roman"/>
                <w:i/>
                <w:iCs/>
              </w:rPr>
              <w:t>.</w:t>
            </w:r>
            <w:r w:rsidRPr="00292CE7">
              <w:rPr>
                <w:rFonts w:ascii="Times New Roman" w:hAnsi="Times New Roman" w:cs="Times New Roman"/>
                <w:i/>
                <w:iCs/>
              </w:rPr>
              <w:t xml:space="preserve"> </w:t>
            </w:r>
            <w:proofErr w:type="spellStart"/>
            <w:r w:rsidRPr="00A52928">
              <w:rPr>
                <w:rFonts w:ascii="Times New Roman" w:hAnsi="Times New Roman" w:cs="Times New Roman"/>
                <w:i/>
                <w:iCs/>
              </w:rPr>
              <w:t>harzianum</w:t>
            </w:r>
            <w:proofErr w:type="spellEnd"/>
            <w:r w:rsidR="00A52928" w:rsidRPr="00A52928">
              <w:rPr>
                <w:rFonts w:ascii="Times New Roman" w:hAnsi="Times New Roman" w:cs="Times New Roman"/>
                <w:i/>
                <w:iCs/>
              </w:rPr>
              <w:t xml:space="preserve"> </w:t>
            </w:r>
            <w:r w:rsidR="00A52928" w:rsidRPr="00A52928">
              <w:rPr>
                <w:rFonts w:ascii="Times New Roman" w:hAnsi="Times New Roman" w:cs="Times New Roman"/>
              </w:rPr>
              <w:t>(IIHR-TH-2)</w:t>
            </w:r>
          </w:p>
        </w:tc>
        <w:tc>
          <w:tcPr>
            <w:tcW w:w="1258" w:type="dxa"/>
            <w:vAlign w:val="center"/>
          </w:tcPr>
          <w:p w14:paraId="2C3B8B4F" w14:textId="1D0BCD50" w:rsidR="00292CE7" w:rsidRPr="00F31590" w:rsidRDefault="00292CE7" w:rsidP="00292CE7">
            <w:pPr>
              <w:rPr>
                <w:rFonts w:ascii="Times New Roman" w:hAnsi="Times New Roman" w:cs="Times New Roman"/>
              </w:rPr>
            </w:pPr>
            <w:r w:rsidRPr="00F31590">
              <w:rPr>
                <w:rFonts w:ascii="Times New Roman" w:hAnsi="Times New Roman" w:cs="Times New Roman"/>
              </w:rPr>
              <w:t>10% w/v</w:t>
            </w:r>
          </w:p>
        </w:tc>
        <w:tc>
          <w:tcPr>
            <w:tcW w:w="1536" w:type="dxa"/>
            <w:vAlign w:val="center"/>
          </w:tcPr>
          <w:p w14:paraId="7D524FEE" w14:textId="65709CC8" w:rsidR="00292CE7" w:rsidRPr="00292CE7" w:rsidRDefault="00292CE7" w:rsidP="00292CE7">
            <w:pPr>
              <w:rPr>
                <w:rFonts w:ascii="Times New Roman" w:hAnsi="Times New Roman" w:cs="Times New Roman"/>
              </w:rPr>
            </w:pPr>
            <w:r w:rsidRPr="00292CE7">
              <w:rPr>
                <w:rFonts w:ascii="Times New Roman" w:hAnsi="Times New Roman" w:cs="Times New Roman"/>
              </w:rPr>
              <w:t>88</w:t>
            </w:r>
          </w:p>
        </w:tc>
        <w:tc>
          <w:tcPr>
            <w:tcW w:w="1167" w:type="dxa"/>
            <w:vAlign w:val="center"/>
          </w:tcPr>
          <w:p w14:paraId="59D16AD9" w14:textId="77777777" w:rsidR="00292CE7" w:rsidRPr="00292CE7" w:rsidRDefault="00292CE7" w:rsidP="00292CE7">
            <w:pPr>
              <w:rPr>
                <w:rFonts w:ascii="Times New Roman" w:hAnsi="Times New Roman" w:cs="Times New Roman"/>
              </w:rPr>
            </w:pPr>
            <w:r w:rsidRPr="00292CE7">
              <w:rPr>
                <w:rFonts w:ascii="Times New Roman" w:hAnsi="Times New Roman" w:cs="Times New Roman"/>
              </w:rPr>
              <w:t>3.4</w:t>
            </w:r>
          </w:p>
        </w:tc>
        <w:tc>
          <w:tcPr>
            <w:tcW w:w="1081" w:type="dxa"/>
            <w:vAlign w:val="center"/>
          </w:tcPr>
          <w:p w14:paraId="51FCFDBE" w14:textId="77777777" w:rsidR="00292CE7" w:rsidRPr="00292CE7" w:rsidRDefault="00292CE7" w:rsidP="00292CE7">
            <w:pPr>
              <w:rPr>
                <w:rFonts w:ascii="Times New Roman" w:hAnsi="Times New Roman" w:cs="Times New Roman"/>
              </w:rPr>
            </w:pPr>
            <w:r w:rsidRPr="00292CE7">
              <w:rPr>
                <w:rFonts w:ascii="Times New Roman" w:hAnsi="Times New Roman" w:cs="Times New Roman"/>
              </w:rPr>
              <w:t>299.2</w:t>
            </w:r>
          </w:p>
        </w:tc>
        <w:tc>
          <w:tcPr>
            <w:tcW w:w="4603" w:type="dxa"/>
            <w:vAlign w:val="center"/>
          </w:tcPr>
          <w:p w14:paraId="719F45FA" w14:textId="77777777" w:rsidR="00292CE7" w:rsidRPr="00292CE7" w:rsidRDefault="00292CE7" w:rsidP="00292CE7">
            <w:pPr>
              <w:rPr>
                <w:rFonts w:ascii="Times New Roman" w:hAnsi="Times New Roman" w:cs="Times New Roman"/>
              </w:rPr>
            </w:pPr>
            <w:r w:rsidRPr="00292CE7">
              <w:rPr>
                <w:rFonts w:ascii="Times New Roman" w:hAnsi="Times New Roman" w:cs="Times New Roman"/>
              </w:rPr>
              <w:t>Dense root development and healthy seedlings</w:t>
            </w:r>
          </w:p>
        </w:tc>
      </w:tr>
      <w:tr w:rsidR="00292CE7" w:rsidRPr="003240E3" w14:paraId="249BB126" w14:textId="77777777" w:rsidTr="00F31590">
        <w:tc>
          <w:tcPr>
            <w:tcW w:w="1309" w:type="dxa"/>
            <w:vAlign w:val="center"/>
          </w:tcPr>
          <w:p w14:paraId="3D118DB5" w14:textId="77777777" w:rsidR="00292CE7" w:rsidRPr="00292CE7" w:rsidRDefault="00292CE7" w:rsidP="00292CE7">
            <w:pPr>
              <w:rPr>
                <w:rFonts w:ascii="Times New Roman" w:hAnsi="Times New Roman" w:cs="Times New Roman"/>
              </w:rPr>
            </w:pPr>
            <w:r w:rsidRPr="00292CE7">
              <w:rPr>
                <w:rFonts w:ascii="Times New Roman" w:hAnsi="Times New Roman" w:cs="Times New Roman"/>
              </w:rPr>
              <w:t>T₂</w:t>
            </w:r>
          </w:p>
        </w:tc>
        <w:tc>
          <w:tcPr>
            <w:tcW w:w="2994" w:type="dxa"/>
            <w:vAlign w:val="center"/>
          </w:tcPr>
          <w:p w14:paraId="65763A29" w14:textId="278ADC17" w:rsidR="00292CE7" w:rsidRPr="00292CE7" w:rsidRDefault="00292CE7" w:rsidP="00292CE7">
            <w:pPr>
              <w:rPr>
                <w:rFonts w:ascii="Times New Roman" w:hAnsi="Times New Roman" w:cs="Times New Roman"/>
              </w:rPr>
            </w:pPr>
            <w:r w:rsidRPr="00292CE7">
              <w:rPr>
                <w:rFonts w:ascii="Times New Roman" w:hAnsi="Times New Roman" w:cs="Times New Roman"/>
                <w:i/>
                <w:iCs/>
              </w:rPr>
              <w:t>T</w:t>
            </w:r>
            <w:r w:rsidR="00A52928">
              <w:rPr>
                <w:rFonts w:ascii="Times New Roman" w:hAnsi="Times New Roman" w:cs="Times New Roman"/>
                <w:i/>
                <w:iCs/>
              </w:rPr>
              <w:t>.</w:t>
            </w:r>
            <w:r w:rsidRPr="00292CE7">
              <w:rPr>
                <w:rFonts w:ascii="Times New Roman" w:hAnsi="Times New Roman" w:cs="Times New Roman"/>
                <w:i/>
                <w:iCs/>
              </w:rPr>
              <w:t xml:space="preserve"> viride</w:t>
            </w:r>
            <w:r w:rsidR="00A52928">
              <w:rPr>
                <w:rFonts w:ascii="Times New Roman" w:hAnsi="Times New Roman" w:cs="Times New Roman"/>
                <w:i/>
                <w:iCs/>
              </w:rPr>
              <w:t xml:space="preserve"> </w:t>
            </w:r>
            <w:r w:rsidR="00A52928" w:rsidRPr="00A52928">
              <w:rPr>
                <w:rFonts w:ascii="Times New Roman" w:hAnsi="Times New Roman" w:cs="Times New Roman"/>
              </w:rPr>
              <w:t>(IIHR-TV-5)</w:t>
            </w:r>
          </w:p>
        </w:tc>
        <w:tc>
          <w:tcPr>
            <w:tcW w:w="1258" w:type="dxa"/>
            <w:vAlign w:val="center"/>
          </w:tcPr>
          <w:p w14:paraId="01B85CE5" w14:textId="68D02D95" w:rsidR="00292CE7" w:rsidRPr="00F31590" w:rsidRDefault="00292CE7" w:rsidP="00292CE7">
            <w:pPr>
              <w:rPr>
                <w:rFonts w:ascii="Times New Roman" w:hAnsi="Times New Roman" w:cs="Times New Roman"/>
              </w:rPr>
            </w:pPr>
            <w:r w:rsidRPr="00F31590">
              <w:rPr>
                <w:rFonts w:ascii="Times New Roman" w:hAnsi="Times New Roman" w:cs="Times New Roman"/>
              </w:rPr>
              <w:t>10% w/v</w:t>
            </w:r>
          </w:p>
        </w:tc>
        <w:tc>
          <w:tcPr>
            <w:tcW w:w="1536" w:type="dxa"/>
            <w:vAlign w:val="center"/>
          </w:tcPr>
          <w:p w14:paraId="03A215D5" w14:textId="035C29B3" w:rsidR="00292CE7" w:rsidRPr="00292CE7" w:rsidRDefault="00292CE7" w:rsidP="00292CE7">
            <w:pPr>
              <w:rPr>
                <w:rFonts w:ascii="Times New Roman" w:hAnsi="Times New Roman" w:cs="Times New Roman"/>
              </w:rPr>
            </w:pPr>
            <w:r w:rsidRPr="00292CE7">
              <w:rPr>
                <w:rFonts w:ascii="Times New Roman" w:hAnsi="Times New Roman" w:cs="Times New Roman"/>
              </w:rPr>
              <w:t>80</w:t>
            </w:r>
          </w:p>
        </w:tc>
        <w:tc>
          <w:tcPr>
            <w:tcW w:w="1167" w:type="dxa"/>
            <w:vAlign w:val="center"/>
          </w:tcPr>
          <w:p w14:paraId="7C2C452C" w14:textId="77777777" w:rsidR="00292CE7" w:rsidRPr="00292CE7" w:rsidRDefault="00292CE7" w:rsidP="00292CE7">
            <w:pPr>
              <w:rPr>
                <w:rFonts w:ascii="Times New Roman" w:hAnsi="Times New Roman" w:cs="Times New Roman"/>
              </w:rPr>
            </w:pPr>
            <w:r w:rsidRPr="00292CE7">
              <w:rPr>
                <w:rFonts w:ascii="Times New Roman" w:hAnsi="Times New Roman" w:cs="Times New Roman"/>
              </w:rPr>
              <w:t>3.2</w:t>
            </w:r>
          </w:p>
        </w:tc>
        <w:tc>
          <w:tcPr>
            <w:tcW w:w="1081" w:type="dxa"/>
            <w:vAlign w:val="center"/>
          </w:tcPr>
          <w:p w14:paraId="49669D0C" w14:textId="77777777" w:rsidR="00292CE7" w:rsidRPr="00292CE7" w:rsidRDefault="00292CE7" w:rsidP="00292CE7">
            <w:pPr>
              <w:rPr>
                <w:rFonts w:ascii="Times New Roman" w:hAnsi="Times New Roman" w:cs="Times New Roman"/>
              </w:rPr>
            </w:pPr>
            <w:r w:rsidRPr="00292CE7">
              <w:rPr>
                <w:rFonts w:ascii="Times New Roman" w:hAnsi="Times New Roman" w:cs="Times New Roman"/>
              </w:rPr>
              <w:t>256.0</w:t>
            </w:r>
          </w:p>
        </w:tc>
        <w:tc>
          <w:tcPr>
            <w:tcW w:w="4603" w:type="dxa"/>
            <w:vAlign w:val="center"/>
          </w:tcPr>
          <w:p w14:paraId="00A3BD24" w14:textId="77777777" w:rsidR="00292CE7" w:rsidRPr="00292CE7" w:rsidRDefault="00292CE7" w:rsidP="00292CE7">
            <w:pPr>
              <w:rPr>
                <w:rFonts w:ascii="Times New Roman" w:hAnsi="Times New Roman" w:cs="Times New Roman"/>
              </w:rPr>
            </w:pPr>
            <w:r w:rsidRPr="00292CE7">
              <w:rPr>
                <w:rFonts w:ascii="Times New Roman" w:hAnsi="Times New Roman" w:cs="Times New Roman"/>
              </w:rPr>
              <w:t xml:space="preserve">Good germination with long radicles </w:t>
            </w:r>
          </w:p>
        </w:tc>
      </w:tr>
      <w:tr w:rsidR="00292CE7" w:rsidRPr="003240E3" w14:paraId="65003822" w14:textId="77777777" w:rsidTr="00F31590">
        <w:tc>
          <w:tcPr>
            <w:tcW w:w="1309" w:type="dxa"/>
            <w:vAlign w:val="center"/>
          </w:tcPr>
          <w:p w14:paraId="03E7B296" w14:textId="77777777" w:rsidR="00292CE7" w:rsidRPr="00292CE7" w:rsidRDefault="00292CE7" w:rsidP="00292CE7">
            <w:pPr>
              <w:rPr>
                <w:rFonts w:ascii="Times New Roman" w:hAnsi="Times New Roman" w:cs="Times New Roman"/>
              </w:rPr>
            </w:pPr>
            <w:r w:rsidRPr="00292CE7">
              <w:rPr>
                <w:rFonts w:ascii="Times New Roman" w:hAnsi="Times New Roman" w:cs="Times New Roman"/>
              </w:rPr>
              <w:t>T₃</w:t>
            </w:r>
          </w:p>
        </w:tc>
        <w:tc>
          <w:tcPr>
            <w:tcW w:w="2994" w:type="dxa"/>
            <w:vAlign w:val="center"/>
          </w:tcPr>
          <w:p w14:paraId="6ABAD0CF" w14:textId="78F3B7C3" w:rsidR="00292CE7" w:rsidRPr="00292CE7" w:rsidRDefault="00292CE7" w:rsidP="00292CE7">
            <w:pPr>
              <w:rPr>
                <w:rFonts w:ascii="Times New Roman" w:hAnsi="Times New Roman" w:cs="Times New Roman"/>
              </w:rPr>
            </w:pPr>
            <w:r w:rsidRPr="00292CE7">
              <w:rPr>
                <w:rFonts w:ascii="Times New Roman" w:hAnsi="Times New Roman" w:cs="Times New Roman"/>
                <w:i/>
                <w:iCs/>
              </w:rPr>
              <w:t>T</w:t>
            </w:r>
            <w:r w:rsidR="00A52928">
              <w:rPr>
                <w:rFonts w:ascii="Times New Roman" w:hAnsi="Times New Roman" w:cs="Times New Roman"/>
                <w:i/>
                <w:iCs/>
              </w:rPr>
              <w:t>.</w:t>
            </w:r>
            <w:r w:rsidRPr="00292CE7">
              <w:rPr>
                <w:rFonts w:ascii="Times New Roman" w:hAnsi="Times New Roman" w:cs="Times New Roman"/>
                <w:i/>
                <w:iCs/>
              </w:rPr>
              <w:t xml:space="preserve"> </w:t>
            </w:r>
            <w:proofErr w:type="spellStart"/>
            <w:r w:rsidRPr="00292CE7">
              <w:rPr>
                <w:rFonts w:ascii="Times New Roman" w:hAnsi="Times New Roman" w:cs="Times New Roman"/>
                <w:i/>
                <w:iCs/>
              </w:rPr>
              <w:t>asperellum</w:t>
            </w:r>
            <w:proofErr w:type="spellEnd"/>
            <w:r w:rsidR="00A52928">
              <w:rPr>
                <w:rFonts w:ascii="Times New Roman" w:hAnsi="Times New Roman" w:cs="Times New Roman"/>
                <w:i/>
                <w:iCs/>
              </w:rPr>
              <w:t xml:space="preserve"> </w:t>
            </w:r>
            <w:r w:rsidR="00A52928" w:rsidRPr="00A52928">
              <w:rPr>
                <w:rFonts w:ascii="Times New Roman" w:hAnsi="Times New Roman" w:cs="Times New Roman"/>
              </w:rPr>
              <w:t>(IIPRTh-31)</w:t>
            </w:r>
          </w:p>
        </w:tc>
        <w:tc>
          <w:tcPr>
            <w:tcW w:w="1258" w:type="dxa"/>
            <w:vAlign w:val="center"/>
          </w:tcPr>
          <w:p w14:paraId="119B897C" w14:textId="15719DD3" w:rsidR="00292CE7" w:rsidRPr="00F31590" w:rsidRDefault="00292CE7" w:rsidP="00292CE7">
            <w:pPr>
              <w:rPr>
                <w:rFonts w:ascii="Times New Roman" w:hAnsi="Times New Roman" w:cs="Times New Roman"/>
              </w:rPr>
            </w:pPr>
            <w:r w:rsidRPr="00F31590">
              <w:rPr>
                <w:rFonts w:ascii="Times New Roman" w:hAnsi="Times New Roman" w:cs="Times New Roman"/>
              </w:rPr>
              <w:t>10% w/v</w:t>
            </w:r>
          </w:p>
        </w:tc>
        <w:tc>
          <w:tcPr>
            <w:tcW w:w="1536" w:type="dxa"/>
            <w:vAlign w:val="center"/>
          </w:tcPr>
          <w:p w14:paraId="1BE9931E" w14:textId="18D07EC2" w:rsidR="00292CE7" w:rsidRPr="00292CE7" w:rsidRDefault="00292CE7" w:rsidP="00292CE7">
            <w:pPr>
              <w:rPr>
                <w:rFonts w:ascii="Times New Roman" w:hAnsi="Times New Roman" w:cs="Times New Roman"/>
              </w:rPr>
            </w:pPr>
            <w:r w:rsidRPr="00292CE7">
              <w:rPr>
                <w:rFonts w:ascii="Times New Roman" w:hAnsi="Times New Roman" w:cs="Times New Roman"/>
              </w:rPr>
              <w:t>72</w:t>
            </w:r>
          </w:p>
        </w:tc>
        <w:tc>
          <w:tcPr>
            <w:tcW w:w="1167" w:type="dxa"/>
            <w:vAlign w:val="center"/>
          </w:tcPr>
          <w:p w14:paraId="6ABDB612" w14:textId="77777777" w:rsidR="00292CE7" w:rsidRPr="00292CE7" w:rsidRDefault="00292CE7" w:rsidP="00292CE7">
            <w:pPr>
              <w:rPr>
                <w:rFonts w:ascii="Times New Roman" w:hAnsi="Times New Roman" w:cs="Times New Roman"/>
              </w:rPr>
            </w:pPr>
            <w:r w:rsidRPr="00292CE7">
              <w:rPr>
                <w:rFonts w:ascii="Times New Roman" w:hAnsi="Times New Roman" w:cs="Times New Roman"/>
              </w:rPr>
              <w:t>2.9</w:t>
            </w:r>
          </w:p>
        </w:tc>
        <w:tc>
          <w:tcPr>
            <w:tcW w:w="1081" w:type="dxa"/>
            <w:vAlign w:val="center"/>
          </w:tcPr>
          <w:p w14:paraId="0AFEB805" w14:textId="77777777" w:rsidR="00292CE7" w:rsidRPr="00292CE7" w:rsidRDefault="00292CE7" w:rsidP="00292CE7">
            <w:pPr>
              <w:rPr>
                <w:rFonts w:ascii="Times New Roman" w:hAnsi="Times New Roman" w:cs="Times New Roman"/>
              </w:rPr>
            </w:pPr>
            <w:r w:rsidRPr="00292CE7">
              <w:rPr>
                <w:rFonts w:ascii="Times New Roman" w:hAnsi="Times New Roman" w:cs="Times New Roman"/>
              </w:rPr>
              <w:t>208.8</w:t>
            </w:r>
          </w:p>
        </w:tc>
        <w:tc>
          <w:tcPr>
            <w:tcW w:w="4603" w:type="dxa"/>
            <w:vAlign w:val="center"/>
          </w:tcPr>
          <w:p w14:paraId="68E6455F" w14:textId="77777777" w:rsidR="00292CE7" w:rsidRPr="00292CE7" w:rsidRDefault="00292CE7" w:rsidP="00292CE7">
            <w:pPr>
              <w:rPr>
                <w:rFonts w:ascii="Times New Roman" w:hAnsi="Times New Roman" w:cs="Times New Roman"/>
              </w:rPr>
            </w:pPr>
            <w:r w:rsidRPr="00292CE7">
              <w:rPr>
                <w:rFonts w:ascii="Times New Roman" w:hAnsi="Times New Roman" w:cs="Times New Roman"/>
              </w:rPr>
              <w:t>Moderate germination with medium seedlings</w:t>
            </w:r>
          </w:p>
        </w:tc>
      </w:tr>
      <w:tr w:rsidR="00292CE7" w:rsidRPr="003240E3" w14:paraId="6218C666" w14:textId="77777777" w:rsidTr="00F31590">
        <w:tc>
          <w:tcPr>
            <w:tcW w:w="1309" w:type="dxa"/>
            <w:vAlign w:val="center"/>
          </w:tcPr>
          <w:p w14:paraId="54765C66" w14:textId="77777777" w:rsidR="00292CE7" w:rsidRPr="00292CE7" w:rsidRDefault="00292CE7" w:rsidP="00292CE7">
            <w:pPr>
              <w:rPr>
                <w:rFonts w:ascii="Times New Roman" w:hAnsi="Times New Roman" w:cs="Times New Roman"/>
              </w:rPr>
            </w:pPr>
            <w:r w:rsidRPr="00292CE7">
              <w:rPr>
                <w:rFonts w:ascii="Times New Roman" w:hAnsi="Times New Roman" w:cs="Times New Roman"/>
              </w:rPr>
              <w:t>T₄</w:t>
            </w:r>
          </w:p>
        </w:tc>
        <w:tc>
          <w:tcPr>
            <w:tcW w:w="2994" w:type="dxa"/>
            <w:vAlign w:val="center"/>
          </w:tcPr>
          <w:p w14:paraId="5BC38C0C" w14:textId="77777777" w:rsidR="00292CE7" w:rsidRPr="00292CE7" w:rsidRDefault="00292CE7" w:rsidP="00292CE7">
            <w:pPr>
              <w:rPr>
                <w:rFonts w:ascii="Times New Roman" w:hAnsi="Times New Roman" w:cs="Times New Roman"/>
              </w:rPr>
            </w:pPr>
            <w:r w:rsidRPr="00292CE7">
              <w:rPr>
                <w:rFonts w:ascii="Times New Roman" w:hAnsi="Times New Roman" w:cs="Times New Roman"/>
                <w:i/>
                <w:iCs/>
              </w:rPr>
              <w:t xml:space="preserve">T. </w:t>
            </w:r>
            <w:proofErr w:type="spellStart"/>
            <w:r w:rsidRPr="00292CE7">
              <w:rPr>
                <w:rFonts w:ascii="Times New Roman" w:hAnsi="Times New Roman" w:cs="Times New Roman"/>
                <w:i/>
                <w:iCs/>
              </w:rPr>
              <w:t>harzianum</w:t>
            </w:r>
            <w:proofErr w:type="spellEnd"/>
            <w:r w:rsidRPr="00292CE7">
              <w:rPr>
                <w:rFonts w:ascii="Times New Roman" w:hAnsi="Times New Roman" w:cs="Times New Roman"/>
                <w:i/>
                <w:iCs/>
              </w:rPr>
              <w:t xml:space="preserve"> + T. viride</w:t>
            </w:r>
          </w:p>
        </w:tc>
        <w:tc>
          <w:tcPr>
            <w:tcW w:w="1258" w:type="dxa"/>
            <w:vAlign w:val="center"/>
          </w:tcPr>
          <w:p w14:paraId="7AB3655B" w14:textId="42C06252" w:rsidR="00292CE7" w:rsidRPr="00F31590" w:rsidRDefault="00292CE7" w:rsidP="00292CE7">
            <w:pPr>
              <w:rPr>
                <w:rFonts w:ascii="Times New Roman" w:hAnsi="Times New Roman" w:cs="Times New Roman"/>
              </w:rPr>
            </w:pPr>
            <w:r w:rsidRPr="00F31590">
              <w:rPr>
                <w:rFonts w:ascii="Times New Roman" w:hAnsi="Times New Roman" w:cs="Times New Roman"/>
              </w:rPr>
              <w:t>10% w/v</w:t>
            </w:r>
          </w:p>
        </w:tc>
        <w:tc>
          <w:tcPr>
            <w:tcW w:w="1536" w:type="dxa"/>
            <w:vAlign w:val="center"/>
          </w:tcPr>
          <w:p w14:paraId="77E07DC6" w14:textId="16F61C96" w:rsidR="00292CE7" w:rsidRPr="00292CE7" w:rsidRDefault="00292CE7" w:rsidP="00292CE7">
            <w:pPr>
              <w:rPr>
                <w:rFonts w:ascii="Times New Roman" w:hAnsi="Times New Roman" w:cs="Times New Roman"/>
              </w:rPr>
            </w:pPr>
            <w:r w:rsidRPr="00292CE7">
              <w:rPr>
                <w:rFonts w:ascii="Times New Roman" w:hAnsi="Times New Roman" w:cs="Times New Roman"/>
              </w:rPr>
              <w:t>92</w:t>
            </w:r>
          </w:p>
        </w:tc>
        <w:tc>
          <w:tcPr>
            <w:tcW w:w="1167" w:type="dxa"/>
            <w:vAlign w:val="center"/>
          </w:tcPr>
          <w:p w14:paraId="7A4617D4" w14:textId="77777777" w:rsidR="00292CE7" w:rsidRPr="00292CE7" w:rsidRDefault="00292CE7" w:rsidP="00292CE7">
            <w:pPr>
              <w:rPr>
                <w:rFonts w:ascii="Times New Roman" w:hAnsi="Times New Roman" w:cs="Times New Roman"/>
              </w:rPr>
            </w:pPr>
            <w:r w:rsidRPr="00292CE7">
              <w:rPr>
                <w:rFonts w:ascii="Times New Roman" w:hAnsi="Times New Roman" w:cs="Times New Roman"/>
              </w:rPr>
              <w:t>3.6</w:t>
            </w:r>
          </w:p>
        </w:tc>
        <w:tc>
          <w:tcPr>
            <w:tcW w:w="1081" w:type="dxa"/>
            <w:vAlign w:val="center"/>
          </w:tcPr>
          <w:p w14:paraId="6E0D0671" w14:textId="77777777" w:rsidR="00292CE7" w:rsidRPr="00292CE7" w:rsidRDefault="00292CE7" w:rsidP="00292CE7">
            <w:pPr>
              <w:rPr>
                <w:rFonts w:ascii="Times New Roman" w:hAnsi="Times New Roman" w:cs="Times New Roman"/>
              </w:rPr>
            </w:pPr>
            <w:r w:rsidRPr="00292CE7">
              <w:rPr>
                <w:rFonts w:ascii="Times New Roman" w:hAnsi="Times New Roman" w:cs="Times New Roman"/>
              </w:rPr>
              <w:t>331.2</w:t>
            </w:r>
          </w:p>
        </w:tc>
        <w:tc>
          <w:tcPr>
            <w:tcW w:w="4603" w:type="dxa"/>
            <w:vAlign w:val="center"/>
          </w:tcPr>
          <w:p w14:paraId="04BD0295" w14:textId="77777777" w:rsidR="00292CE7" w:rsidRPr="00292CE7" w:rsidRDefault="00292CE7" w:rsidP="00292CE7">
            <w:pPr>
              <w:rPr>
                <w:rFonts w:ascii="Times New Roman" w:hAnsi="Times New Roman" w:cs="Times New Roman"/>
              </w:rPr>
            </w:pPr>
            <w:r w:rsidRPr="00292CE7">
              <w:rPr>
                <w:rFonts w:ascii="Times New Roman" w:hAnsi="Times New Roman" w:cs="Times New Roman"/>
              </w:rPr>
              <w:t>Uniform germination with well-developed radicles</w:t>
            </w:r>
          </w:p>
        </w:tc>
      </w:tr>
      <w:tr w:rsidR="00292CE7" w:rsidRPr="003240E3" w14:paraId="74C2F691" w14:textId="77777777" w:rsidTr="00F31590">
        <w:tc>
          <w:tcPr>
            <w:tcW w:w="1309" w:type="dxa"/>
            <w:vAlign w:val="center"/>
          </w:tcPr>
          <w:p w14:paraId="6B8020B4" w14:textId="77777777" w:rsidR="00292CE7" w:rsidRPr="00292CE7" w:rsidRDefault="00292CE7" w:rsidP="00292CE7">
            <w:pPr>
              <w:rPr>
                <w:rFonts w:ascii="Times New Roman" w:hAnsi="Times New Roman" w:cs="Times New Roman"/>
              </w:rPr>
            </w:pPr>
            <w:r w:rsidRPr="00292CE7">
              <w:rPr>
                <w:rFonts w:ascii="Times New Roman" w:hAnsi="Times New Roman" w:cs="Times New Roman"/>
              </w:rPr>
              <w:t>T₅</w:t>
            </w:r>
          </w:p>
        </w:tc>
        <w:tc>
          <w:tcPr>
            <w:tcW w:w="2994" w:type="dxa"/>
            <w:vAlign w:val="center"/>
          </w:tcPr>
          <w:p w14:paraId="2D737794" w14:textId="0002401F" w:rsidR="00292CE7" w:rsidRPr="00292CE7" w:rsidRDefault="00292CE7" w:rsidP="00292CE7">
            <w:pPr>
              <w:rPr>
                <w:rFonts w:ascii="Times New Roman" w:hAnsi="Times New Roman" w:cs="Times New Roman"/>
              </w:rPr>
            </w:pPr>
            <w:r w:rsidRPr="00292CE7">
              <w:rPr>
                <w:rFonts w:ascii="Times New Roman" w:hAnsi="Times New Roman" w:cs="Times New Roman"/>
                <w:i/>
                <w:iCs/>
              </w:rPr>
              <w:t>P</w:t>
            </w:r>
            <w:r w:rsidR="00A52928">
              <w:rPr>
                <w:rFonts w:ascii="Times New Roman" w:hAnsi="Times New Roman" w:cs="Times New Roman"/>
                <w:i/>
                <w:iCs/>
              </w:rPr>
              <w:t>.</w:t>
            </w:r>
            <w:r w:rsidRPr="00292CE7">
              <w:rPr>
                <w:rFonts w:ascii="Times New Roman" w:hAnsi="Times New Roman" w:cs="Times New Roman"/>
                <w:i/>
                <w:iCs/>
              </w:rPr>
              <w:t xml:space="preserve"> fluorescens</w:t>
            </w:r>
            <w:r w:rsidR="00A52928">
              <w:rPr>
                <w:rFonts w:ascii="Times New Roman" w:hAnsi="Times New Roman" w:cs="Times New Roman"/>
                <w:i/>
                <w:iCs/>
              </w:rPr>
              <w:t xml:space="preserve"> </w:t>
            </w:r>
            <w:r w:rsidR="00A52928" w:rsidRPr="00A52928">
              <w:rPr>
                <w:rFonts w:ascii="Times New Roman" w:hAnsi="Times New Roman" w:cs="Times New Roman"/>
              </w:rPr>
              <w:t>(IIHR-PF-2)</w:t>
            </w:r>
            <w:r w:rsidR="00A52928" w:rsidRPr="005E78B9">
              <w:rPr>
                <w:i/>
                <w:iCs/>
              </w:rPr>
              <w:t xml:space="preserve"> </w:t>
            </w:r>
          </w:p>
        </w:tc>
        <w:tc>
          <w:tcPr>
            <w:tcW w:w="1258" w:type="dxa"/>
            <w:vAlign w:val="center"/>
          </w:tcPr>
          <w:p w14:paraId="07E92821" w14:textId="6988C63E" w:rsidR="00292CE7" w:rsidRPr="00F31590" w:rsidRDefault="00292CE7" w:rsidP="00292CE7">
            <w:pPr>
              <w:rPr>
                <w:rFonts w:ascii="Times New Roman" w:hAnsi="Times New Roman" w:cs="Times New Roman"/>
              </w:rPr>
            </w:pPr>
            <w:r w:rsidRPr="00F31590">
              <w:rPr>
                <w:rFonts w:ascii="Times New Roman" w:hAnsi="Times New Roman" w:cs="Times New Roman"/>
              </w:rPr>
              <w:t>10% w/v</w:t>
            </w:r>
          </w:p>
        </w:tc>
        <w:tc>
          <w:tcPr>
            <w:tcW w:w="1536" w:type="dxa"/>
            <w:vAlign w:val="center"/>
          </w:tcPr>
          <w:p w14:paraId="41BF28AE" w14:textId="4F443D1C" w:rsidR="00292CE7" w:rsidRPr="00292CE7" w:rsidRDefault="00292CE7" w:rsidP="00292CE7">
            <w:pPr>
              <w:rPr>
                <w:rFonts w:ascii="Times New Roman" w:hAnsi="Times New Roman" w:cs="Times New Roman"/>
              </w:rPr>
            </w:pPr>
            <w:r w:rsidRPr="00292CE7">
              <w:rPr>
                <w:rFonts w:ascii="Times New Roman" w:hAnsi="Times New Roman" w:cs="Times New Roman"/>
              </w:rPr>
              <w:t>75</w:t>
            </w:r>
          </w:p>
        </w:tc>
        <w:tc>
          <w:tcPr>
            <w:tcW w:w="1167" w:type="dxa"/>
            <w:vAlign w:val="center"/>
          </w:tcPr>
          <w:p w14:paraId="5D8872BA" w14:textId="77777777" w:rsidR="00292CE7" w:rsidRPr="00292CE7" w:rsidRDefault="00292CE7" w:rsidP="00292CE7">
            <w:pPr>
              <w:rPr>
                <w:rFonts w:ascii="Times New Roman" w:hAnsi="Times New Roman" w:cs="Times New Roman"/>
              </w:rPr>
            </w:pPr>
            <w:r w:rsidRPr="00292CE7">
              <w:rPr>
                <w:rFonts w:ascii="Times New Roman" w:hAnsi="Times New Roman" w:cs="Times New Roman"/>
              </w:rPr>
              <w:t>2.8</w:t>
            </w:r>
          </w:p>
        </w:tc>
        <w:tc>
          <w:tcPr>
            <w:tcW w:w="1081" w:type="dxa"/>
            <w:vAlign w:val="center"/>
          </w:tcPr>
          <w:p w14:paraId="56A62967" w14:textId="77777777" w:rsidR="00292CE7" w:rsidRPr="00292CE7" w:rsidRDefault="00292CE7" w:rsidP="00292CE7">
            <w:pPr>
              <w:rPr>
                <w:rFonts w:ascii="Times New Roman" w:hAnsi="Times New Roman" w:cs="Times New Roman"/>
              </w:rPr>
            </w:pPr>
            <w:r w:rsidRPr="00292CE7">
              <w:rPr>
                <w:rFonts w:ascii="Times New Roman" w:hAnsi="Times New Roman" w:cs="Times New Roman"/>
              </w:rPr>
              <w:t>210.0</w:t>
            </w:r>
          </w:p>
        </w:tc>
        <w:tc>
          <w:tcPr>
            <w:tcW w:w="4603" w:type="dxa"/>
            <w:vAlign w:val="center"/>
          </w:tcPr>
          <w:p w14:paraId="3F8F3A78" w14:textId="77777777" w:rsidR="00292CE7" w:rsidRPr="00292CE7" w:rsidRDefault="00292CE7" w:rsidP="00292CE7">
            <w:pPr>
              <w:rPr>
                <w:rFonts w:ascii="Times New Roman" w:hAnsi="Times New Roman" w:cs="Times New Roman"/>
              </w:rPr>
            </w:pPr>
            <w:r w:rsidRPr="00292CE7">
              <w:rPr>
                <w:rFonts w:ascii="Times New Roman" w:hAnsi="Times New Roman" w:cs="Times New Roman"/>
              </w:rPr>
              <w:t>Moderate germination with visible radicle development</w:t>
            </w:r>
          </w:p>
        </w:tc>
      </w:tr>
      <w:tr w:rsidR="00292CE7" w:rsidRPr="003240E3" w14:paraId="2F648821" w14:textId="77777777" w:rsidTr="00F31590">
        <w:tc>
          <w:tcPr>
            <w:tcW w:w="1309" w:type="dxa"/>
            <w:vAlign w:val="center"/>
          </w:tcPr>
          <w:p w14:paraId="767A04DF" w14:textId="77777777" w:rsidR="00292CE7" w:rsidRPr="00292CE7" w:rsidRDefault="00292CE7" w:rsidP="00292CE7">
            <w:pPr>
              <w:rPr>
                <w:rFonts w:ascii="Times New Roman" w:hAnsi="Times New Roman" w:cs="Times New Roman"/>
              </w:rPr>
            </w:pPr>
            <w:r w:rsidRPr="00292CE7">
              <w:rPr>
                <w:rFonts w:ascii="Times New Roman" w:hAnsi="Times New Roman" w:cs="Times New Roman"/>
              </w:rPr>
              <w:t>T₆</w:t>
            </w:r>
          </w:p>
        </w:tc>
        <w:tc>
          <w:tcPr>
            <w:tcW w:w="2994" w:type="dxa"/>
            <w:vAlign w:val="center"/>
          </w:tcPr>
          <w:p w14:paraId="4219C3F1" w14:textId="11D79D9D" w:rsidR="00292CE7" w:rsidRPr="00292CE7" w:rsidRDefault="00292CE7" w:rsidP="00292CE7">
            <w:pPr>
              <w:rPr>
                <w:rFonts w:ascii="Times New Roman" w:hAnsi="Times New Roman" w:cs="Times New Roman"/>
              </w:rPr>
            </w:pPr>
            <w:r w:rsidRPr="00292CE7">
              <w:rPr>
                <w:rFonts w:ascii="Times New Roman" w:hAnsi="Times New Roman" w:cs="Times New Roman"/>
                <w:i/>
                <w:iCs/>
              </w:rPr>
              <w:t>Bacillus subtilis</w:t>
            </w:r>
            <w:r w:rsidR="00A52928" w:rsidRPr="00A52928">
              <w:rPr>
                <w:rFonts w:ascii="Times New Roman" w:hAnsi="Times New Roman" w:cs="Times New Roman"/>
                <w:i/>
                <w:iCs/>
              </w:rPr>
              <w:t xml:space="preserve"> </w:t>
            </w:r>
            <w:r w:rsidR="00A52928" w:rsidRPr="00A52928">
              <w:rPr>
                <w:rFonts w:ascii="Times New Roman" w:hAnsi="Times New Roman" w:cs="Times New Roman"/>
              </w:rPr>
              <w:t xml:space="preserve">(IIHR-1) </w:t>
            </w:r>
          </w:p>
        </w:tc>
        <w:tc>
          <w:tcPr>
            <w:tcW w:w="1258" w:type="dxa"/>
            <w:vAlign w:val="center"/>
          </w:tcPr>
          <w:p w14:paraId="3D003E09" w14:textId="3F2A2C4A" w:rsidR="00292CE7" w:rsidRPr="00F31590" w:rsidRDefault="00292CE7" w:rsidP="00292CE7">
            <w:pPr>
              <w:rPr>
                <w:rFonts w:ascii="Times New Roman" w:hAnsi="Times New Roman" w:cs="Times New Roman"/>
              </w:rPr>
            </w:pPr>
            <w:r w:rsidRPr="00F31590">
              <w:rPr>
                <w:rFonts w:ascii="Times New Roman" w:hAnsi="Times New Roman" w:cs="Times New Roman"/>
              </w:rPr>
              <w:t>10% w/v</w:t>
            </w:r>
          </w:p>
        </w:tc>
        <w:tc>
          <w:tcPr>
            <w:tcW w:w="1536" w:type="dxa"/>
            <w:vAlign w:val="center"/>
          </w:tcPr>
          <w:p w14:paraId="717EC1CD" w14:textId="16B51C02" w:rsidR="00292CE7" w:rsidRPr="00292CE7" w:rsidRDefault="00292CE7" w:rsidP="00292CE7">
            <w:pPr>
              <w:rPr>
                <w:rFonts w:ascii="Times New Roman" w:hAnsi="Times New Roman" w:cs="Times New Roman"/>
              </w:rPr>
            </w:pPr>
            <w:r w:rsidRPr="00292CE7">
              <w:rPr>
                <w:rFonts w:ascii="Times New Roman" w:hAnsi="Times New Roman" w:cs="Times New Roman"/>
              </w:rPr>
              <w:t>68</w:t>
            </w:r>
          </w:p>
        </w:tc>
        <w:tc>
          <w:tcPr>
            <w:tcW w:w="1167" w:type="dxa"/>
            <w:vAlign w:val="center"/>
          </w:tcPr>
          <w:p w14:paraId="26DDB9BB" w14:textId="77777777" w:rsidR="00292CE7" w:rsidRPr="00292CE7" w:rsidRDefault="00292CE7" w:rsidP="00292CE7">
            <w:pPr>
              <w:rPr>
                <w:rFonts w:ascii="Times New Roman" w:hAnsi="Times New Roman" w:cs="Times New Roman"/>
              </w:rPr>
            </w:pPr>
            <w:r w:rsidRPr="00292CE7">
              <w:rPr>
                <w:rFonts w:ascii="Times New Roman" w:hAnsi="Times New Roman" w:cs="Times New Roman"/>
              </w:rPr>
              <w:t>2.4</w:t>
            </w:r>
          </w:p>
        </w:tc>
        <w:tc>
          <w:tcPr>
            <w:tcW w:w="1081" w:type="dxa"/>
            <w:vAlign w:val="center"/>
          </w:tcPr>
          <w:p w14:paraId="232AEFE9" w14:textId="77777777" w:rsidR="00292CE7" w:rsidRPr="00292CE7" w:rsidRDefault="00292CE7" w:rsidP="00292CE7">
            <w:pPr>
              <w:rPr>
                <w:rFonts w:ascii="Times New Roman" w:hAnsi="Times New Roman" w:cs="Times New Roman"/>
              </w:rPr>
            </w:pPr>
            <w:r w:rsidRPr="00292CE7">
              <w:rPr>
                <w:rFonts w:ascii="Times New Roman" w:hAnsi="Times New Roman" w:cs="Times New Roman"/>
              </w:rPr>
              <w:t>163.2</w:t>
            </w:r>
          </w:p>
        </w:tc>
        <w:tc>
          <w:tcPr>
            <w:tcW w:w="4603" w:type="dxa"/>
            <w:vAlign w:val="center"/>
          </w:tcPr>
          <w:p w14:paraId="4142813B" w14:textId="77777777" w:rsidR="00292CE7" w:rsidRPr="00292CE7" w:rsidRDefault="00292CE7" w:rsidP="00292CE7">
            <w:pPr>
              <w:rPr>
                <w:rFonts w:ascii="Times New Roman" w:hAnsi="Times New Roman" w:cs="Times New Roman"/>
              </w:rPr>
            </w:pPr>
            <w:r w:rsidRPr="00292CE7">
              <w:rPr>
                <w:rFonts w:ascii="Times New Roman" w:hAnsi="Times New Roman" w:cs="Times New Roman"/>
              </w:rPr>
              <w:t>Moderate germination with small seedlings</w:t>
            </w:r>
          </w:p>
        </w:tc>
      </w:tr>
      <w:tr w:rsidR="00292CE7" w:rsidRPr="003240E3" w14:paraId="19AAAFDD" w14:textId="77777777" w:rsidTr="00F31590">
        <w:tc>
          <w:tcPr>
            <w:tcW w:w="1309" w:type="dxa"/>
            <w:vAlign w:val="center"/>
          </w:tcPr>
          <w:p w14:paraId="3EC72FB5" w14:textId="77777777" w:rsidR="00292CE7" w:rsidRPr="00292CE7" w:rsidRDefault="00292CE7" w:rsidP="00292CE7">
            <w:pPr>
              <w:rPr>
                <w:rFonts w:ascii="Times New Roman" w:hAnsi="Times New Roman" w:cs="Times New Roman"/>
              </w:rPr>
            </w:pPr>
            <w:r w:rsidRPr="00292CE7">
              <w:rPr>
                <w:rFonts w:ascii="Times New Roman" w:hAnsi="Times New Roman" w:cs="Times New Roman"/>
              </w:rPr>
              <w:t>T₇</w:t>
            </w:r>
          </w:p>
        </w:tc>
        <w:tc>
          <w:tcPr>
            <w:tcW w:w="2994" w:type="dxa"/>
            <w:vAlign w:val="center"/>
          </w:tcPr>
          <w:p w14:paraId="7A7E04CC" w14:textId="77777777" w:rsidR="00292CE7" w:rsidRPr="00292CE7" w:rsidRDefault="00292CE7" w:rsidP="00292CE7">
            <w:pPr>
              <w:rPr>
                <w:rFonts w:ascii="Times New Roman" w:hAnsi="Times New Roman" w:cs="Times New Roman"/>
              </w:rPr>
            </w:pPr>
            <w:r w:rsidRPr="00292CE7">
              <w:rPr>
                <w:rFonts w:ascii="Times New Roman" w:hAnsi="Times New Roman" w:cs="Times New Roman"/>
                <w:i/>
                <w:iCs/>
              </w:rPr>
              <w:t>Allium sativum</w:t>
            </w:r>
            <w:r w:rsidRPr="00292CE7">
              <w:rPr>
                <w:rFonts w:ascii="Times New Roman" w:hAnsi="Times New Roman" w:cs="Times New Roman"/>
              </w:rPr>
              <w:t xml:space="preserve"> (Garlic extract)</w:t>
            </w:r>
          </w:p>
        </w:tc>
        <w:tc>
          <w:tcPr>
            <w:tcW w:w="1258" w:type="dxa"/>
            <w:vAlign w:val="center"/>
          </w:tcPr>
          <w:p w14:paraId="5FDC17AE" w14:textId="4FF1DEB6" w:rsidR="00292CE7" w:rsidRPr="00F31590" w:rsidRDefault="00292CE7" w:rsidP="00292CE7">
            <w:pPr>
              <w:rPr>
                <w:rFonts w:ascii="Times New Roman" w:hAnsi="Times New Roman" w:cs="Times New Roman"/>
              </w:rPr>
            </w:pPr>
            <w:r w:rsidRPr="00F31590">
              <w:rPr>
                <w:rFonts w:ascii="Times New Roman" w:hAnsi="Times New Roman" w:cs="Times New Roman"/>
              </w:rPr>
              <w:t>10% v/v</w:t>
            </w:r>
          </w:p>
        </w:tc>
        <w:tc>
          <w:tcPr>
            <w:tcW w:w="1536" w:type="dxa"/>
            <w:vAlign w:val="center"/>
          </w:tcPr>
          <w:p w14:paraId="4F8B0257" w14:textId="4D58B9C8" w:rsidR="00292CE7" w:rsidRPr="00292CE7" w:rsidRDefault="00292CE7" w:rsidP="00292CE7">
            <w:pPr>
              <w:rPr>
                <w:rFonts w:ascii="Times New Roman" w:hAnsi="Times New Roman" w:cs="Times New Roman"/>
              </w:rPr>
            </w:pPr>
            <w:r w:rsidRPr="00292CE7">
              <w:rPr>
                <w:rFonts w:ascii="Times New Roman" w:hAnsi="Times New Roman" w:cs="Times New Roman"/>
              </w:rPr>
              <w:t>96</w:t>
            </w:r>
          </w:p>
        </w:tc>
        <w:tc>
          <w:tcPr>
            <w:tcW w:w="1167" w:type="dxa"/>
            <w:vAlign w:val="center"/>
          </w:tcPr>
          <w:p w14:paraId="22E5A3BE" w14:textId="77777777" w:rsidR="00292CE7" w:rsidRPr="00292CE7" w:rsidRDefault="00292CE7" w:rsidP="00292CE7">
            <w:pPr>
              <w:rPr>
                <w:rFonts w:ascii="Times New Roman" w:hAnsi="Times New Roman" w:cs="Times New Roman"/>
              </w:rPr>
            </w:pPr>
            <w:r w:rsidRPr="00292CE7">
              <w:rPr>
                <w:rFonts w:ascii="Times New Roman" w:hAnsi="Times New Roman" w:cs="Times New Roman"/>
              </w:rPr>
              <w:t>4.1</w:t>
            </w:r>
          </w:p>
        </w:tc>
        <w:tc>
          <w:tcPr>
            <w:tcW w:w="1081" w:type="dxa"/>
            <w:vAlign w:val="center"/>
          </w:tcPr>
          <w:p w14:paraId="5EC76539" w14:textId="77777777" w:rsidR="00292CE7" w:rsidRPr="00292CE7" w:rsidRDefault="00292CE7" w:rsidP="00292CE7">
            <w:pPr>
              <w:rPr>
                <w:rFonts w:ascii="Times New Roman" w:hAnsi="Times New Roman" w:cs="Times New Roman"/>
              </w:rPr>
            </w:pPr>
            <w:r w:rsidRPr="00292CE7">
              <w:rPr>
                <w:rFonts w:ascii="Times New Roman" w:hAnsi="Times New Roman" w:cs="Times New Roman"/>
              </w:rPr>
              <w:t>393.6</w:t>
            </w:r>
          </w:p>
        </w:tc>
        <w:tc>
          <w:tcPr>
            <w:tcW w:w="4603" w:type="dxa"/>
            <w:vAlign w:val="center"/>
          </w:tcPr>
          <w:p w14:paraId="22831433" w14:textId="77777777" w:rsidR="00292CE7" w:rsidRPr="00292CE7" w:rsidRDefault="00292CE7" w:rsidP="00292CE7">
            <w:pPr>
              <w:rPr>
                <w:rFonts w:ascii="Times New Roman" w:hAnsi="Times New Roman" w:cs="Times New Roman"/>
              </w:rPr>
            </w:pPr>
            <w:r w:rsidRPr="00292CE7">
              <w:rPr>
                <w:rFonts w:ascii="Times New Roman" w:hAnsi="Times New Roman" w:cs="Times New Roman"/>
              </w:rPr>
              <w:t>Very dense germination with long radicles and vigorous shoots</w:t>
            </w:r>
          </w:p>
        </w:tc>
      </w:tr>
      <w:tr w:rsidR="00292CE7" w:rsidRPr="003240E3" w14:paraId="363E458B" w14:textId="77777777" w:rsidTr="00F31590">
        <w:tc>
          <w:tcPr>
            <w:tcW w:w="1309" w:type="dxa"/>
            <w:vAlign w:val="center"/>
          </w:tcPr>
          <w:p w14:paraId="442961C4" w14:textId="77777777" w:rsidR="00292CE7" w:rsidRPr="00292CE7" w:rsidRDefault="00292CE7" w:rsidP="00292CE7">
            <w:pPr>
              <w:rPr>
                <w:rFonts w:ascii="Times New Roman" w:hAnsi="Times New Roman" w:cs="Times New Roman"/>
              </w:rPr>
            </w:pPr>
            <w:r w:rsidRPr="00292CE7">
              <w:rPr>
                <w:rFonts w:ascii="Times New Roman" w:hAnsi="Times New Roman" w:cs="Times New Roman"/>
              </w:rPr>
              <w:t>T₈</w:t>
            </w:r>
          </w:p>
        </w:tc>
        <w:tc>
          <w:tcPr>
            <w:tcW w:w="2994" w:type="dxa"/>
            <w:vAlign w:val="center"/>
          </w:tcPr>
          <w:p w14:paraId="029863B0" w14:textId="77777777" w:rsidR="00292CE7" w:rsidRPr="00292CE7" w:rsidRDefault="00292CE7" w:rsidP="00292CE7">
            <w:pPr>
              <w:rPr>
                <w:rFonts w:ascii="Times New Roman" w:hAnsi="Times New Roman" w:cs="Times New Roman"/>
              </w:rPr>
            </w:pPr>
            <w:r w:rsidRPr="00292CE7">
              <w:rPr>
                <w:rFonts w:ascii="Times New Roman" w:hAnsi="Times New Roman" w:cs="Times New Roman"/>
                <w:i/>
                <w:iCs/>
              </w:rPr>
              <w:t>Zingiber officinale</w:t>
            </w:r>
            <w:r w:rsidRPr="00292CE7">
              <w:rPr>
                <w:rFonts w:ascii="Times New Roman" w:hAnsi="Times New Roman" w:cs="Times New Roman"/>
              </w:rPr>
              <w:t xml:space="preserve"> (Ginger extract)</w:t>
            </w:r>
          </w:p>
        </w:tc>
        <w:tc>
          <w:tcPr>
            <w:tcW w:w="1258" w:type="dxa"/>
            <w:vAlign w:val="center"/>
          </w:tcPr>
          <w:p w14:paraId="29498AF9" w14:textId="0CF9BF11" w:rsidR="00292CE7" w:rsidRPr="00F31590" w:rsidRDefault="00292CE7" w:rsidP="00292CE7">
            <w:pPr>
              <w:rPr>
                <w:rFonts w:ascii="Times New Roman" w:hAnsi="Times New Roman" w:cs="Times New Roman"/>
              </w:rPr>
            </w:pPr>
            <w:r w:rsidRPr="00F31590">
              <w:rPr>
                <w:rFonts w:ascii="Times New Roman" w:hAnsi="Times New Roman" w:cs="Times New Roman"/>
              </w:rPr>
              <w:t>10% v/v</w:t>
            </w:r>
          </w:p>
        </w:tc>
        <w:tc>
          <w:tcPr>
            <w:tcW w:w="1536" w:type="dxa"/>
            <w:vAlign w:val="center"/>
          </w:tcPr>
          <w:p w14:paraId="2B35155B" w14:textId="198548E0" w:rsidR="00292CE7" w:rsidRPr="00292CE7" w:rsidRDefault="00292CE7" w:rsidP="00292CE7">
            <w:pPr>
              <w:rPr>
                <w:rFonts w:ascii="Times New Roman" w:hAnsi="Times New Roman" w:cs="Times New Roman"/>
              </w:rPr>
            </w:pPr>
            <w:r w:rsidRPr="00292CE7">
              <w:rPr>
                <w:rFonts w:ascii="Times New Roman" w:hAnsi="Times New Roman" w:cs="Times New Roman"/>
              </w:rPr>
              <w:t>92</w:t>
            </w:r>
          </w:p>
        </w:tc>
        <w:tc>
          <w:tcPr>
            <w:tcW w:w="1167" w:type="dxa"/>
            <w:vAlign w:val="center"/>
          </w:tcPr>
          <w:p w14:paraId="2E81034D" w14:textId="77777777" w:rsidR="00292CE7" w:rsidRPr="00292CE7" w:rsidRDefault="00292CE7" w:rsidP="00292CE7">
            <w:pPr>
              <w:rPr>
                <w:rFonts w:ascii="Times New Roman" w:hAnsi="Times New Roman" w:cs="Times New Roman"/>
              </w:rPr>
            </w:pPr>
            <w:r w:rsidRPr="00292CE7">
              <w:rPr>
                <w:rFonts w:ascii="Times New Roman" w:hAnsi="Times New Roman" w:cs="Times New Roman"/>
              </w:rPr>
              <w:t>3.8</w:t>
            </w:r>
          </w:p>
        </w:tc>
        <w:tc>
          <w:tcPr>
            <w:tcW w:w="1081" w:type="dxa"/>
            <w:vAlign w:val="center"/>
          </w:tcPr>
          <w:p w14:paraId="26687724" w14:textId="77777777" w:rsidR="00292CE7" w:rsidRPr="00292CE7" w:rsidRDefault="00292CE7" w:rsidP="00292CE7">
            <w:pPr>
              <w:rPr>
                <w:rFonts w:ascii="Times New Roman" w:hAnsi="Times New Roman" w:cs="Times New Roman"/>
              </w:rPr>
            </w:pPr>
            <w:r w:rsidRPr="00292CE7">
              <w:rPr>
                <w:rFonts w:ascii="Times New Roman" w:hAnsi="Times New Roman" w:cs="Times New Roman"/>
              </w:rPr>
              <w:t>349.6</w:t>
            </w:r>
          </w:p>
        </w:tc>
        <w:tc>
          <w:tcPr>
            <w:tcW w:w="4603" w:type="dxa"/>
            <w:vAlign w:val="center"/>
          </w:tcPr>
          <w:p w14:paraId="10AF7593" w14:textId="77777777" w:rsidR="00292CE7" w:rsidRPr="00292CE7" w:rsidRDefault="00292CE7" w:rsidP="00292CE7">
            <w:pPr>
              <w:rPr>
                <w:rFonts w:ascii="Times New Roman" w:hAnsi="Times New Roman" w:cs="Times New Roman"/>
              </w:rPr>
            </w:pPr>
            <w:r w:rsidRPr="00292CE7">
              <w:rPr>
                <w:rFonts w:ascii="Times New Roman" w:hAnsi="Times New Roman" w:cs="Times New Roman"/>
              </w:rPr>
              <w:t>Vigorous seedlings with long radicles and healthy shoots</w:t>
            </w:r>
          </w:p>
        </w:tc>
      </w:tr>
      <w:tr w:rsidR="00292CE7" w:rsidRPr="003240E3" w14:paraId="0C5CA561" w14:textId="77777777" w:rsidTr="00F31590">
        <w:tc>
          <w:tcPr>
            <w:tcW w:w="1309" w:type="dxa"/>
            <w:vAlign w:val="center"/>
          </w:tcPr>
          <w:p w14:paraId="0DFEC7BB" w14:textId="77777777" w:rsidR="00292CE7" w:rsidRPr="00292CE7" w:rsidRDefault="00292CE7" w:rsidP="00292CE7">
            <w:pPr>
              <w:rPr>
                <w:rFonts w:ascii="Times New Roman" w:hAnsi="Times New Roman" w:cs="Times New Roman"/>
              </w:rPr>
            </w:pPr>
            <w:r w:rsidRPr="00292CE7">
              <w:rPr>
                <w:rFonts w:ascii="Times New Roman" w:hAnsi="Times New Roman" w:cs="Times New Roman"/>
              </w:rPr>
              <w:t>T₉</w:t>
            </w:r>
          </w:p>
        </w:tc>
        <w:tc>
          <w:tcPr>
            <w:tcW w:w="2994" w:type="dxa"/>
            <w:vAlign w:val="center"/>
          </w:tcPr>
          <w:p w14:paraId="0241096F" w14:textId="77777777" w:rsidR="00292CE7" w:rsidRPr="00292CE7" w:rsidRDefault="00292CE7" w:rsidP="00292CE7">
            <w:pPr>
              <w:rPr>
                <w:rFonts w:ascii="Times New Roman" w:hAnsi="Times New Roman" w:cs="Times New Roman"/>
              </w:rPr>
            </w:pPr>
            <w:r w:rsidRPr="00292CE7">
              <w:rPr>
                <w:rFonts w:ascii="Times New Roman" w:hAnsi="Times New Roman" w:cs="Times New Roman"/>
                <w:i/>
                <w:iCs/>
              </w:rPr>
              <w:t>Curcuma longa</w:t>
            </w:r>
            <w:r w:rsidRPr="00292CE7">
              <w:rPr>
                <w:rFonts w:ascii="Times New Roman" w:hAnsi="Times New Roman" w:cs="Times New Roman"/>
              </w:rPr>
              <w:t xml:space="preserve"> (Turmeric extract)</w:t>
            </w:r>
          </w:p>
        </w:tc>
        <w:tc>
          <w:tcPr>
            <w:tcW w:w="1258" w:type="dxa"/>
            <w:vAlign w:val="center"/>
          </w:tcPr>
          <w:p w14:paraId="19103E16" w14:textId="6423A592" w:rsidR="00292CE7" w:rsidRPr="00F31590" w:rsidRDefault="00292CE7" w:rsidP="00292CE7">
            <w:pPr>
              <w:rPr>
                <w:rFonts w:ascii="Times New Roman" w:hAnsi="Times New Roman" w:cs="Times New Roman"/>
              </w:rPr>
            </w:pPr>
            <w:r w:rsidRPr="00F31590">
              <w:rPr>
                <w:rFonts w:ascii="Times New Roman" w:hAnsi="Times New Roman" w:cs="Times New Roman"/>
              </w:rPr>
              <w:t>10% v/v</w:t>
            </w:r>
          </w:p>
        </w:tc>
        <w:tc>
          <w:tcPr>
            <w:tcW w:w="1536" w:type="dxa"/>
            <w:vAlign w:val="center"/>
          </w:tcPr>
          <w:p w14:paraId="14139928" w14:textId="056544E2" w:rsidR="00292CE7" w:rsidRPr="00292CE7" w:rsidRDefault="00292CE7" w:rsidP="00292CE7">
            <w:pPr>
              <w:rPr>
                <w:rFonts w:ascii="Times New Roman" w:hAnsi="Times New Roman" w:cs="Times New Roman"/>
              </w:rPr>
            </w:pPr>
            <w:r w:rsidRPr="00292CE7">
              <w:rPr>
                <w:rFonts w:ascii="Times New Roman" w:hAnsi="Times New Roman" w:cs="Times New Roman"/>
              </w:rPr>
              <w:t>88</w:t>
            </w:r>
          </w:p>
        </w:tc>
        <w:tc>
          <w:tcPr>
            <w:tcW w:w="1167" w:type="dxa"/>
            <w:vAlign w:val="center"/>
          </w:tcPr>
          <w:p w14:paraId="4EE73EFE" w14:textId="77777777" w:rsidR="00292CE7" w:rsidRPr="00292CE7" w:rsidRDefault="00292CE7" w:rsidP="00292CE7">
            <w:pPr>
              <w:rPr>
                <w:rFonts w:ascii="Times New Roman" w:hAnsi="Times New Roman" w:cs="Times New Roman"/>
              </w:rPr>
            </w:pPr>
            <w:r w:rsidRPr="00292CE7">
              <w:rPr>
                <w:rFonts w:ascii="Times New Roman" w:hAnsi="Times New Roman" w:cs="Times New Roman"/>
              </w:rPr>
              <w:t>3.6</w:t>
            </w:r>
          </w:p>
        </w:tc>
        <w:tc>
          <w:tcPr>
            <w:tcW w:w="1081" w:type="dxa"/>
            <w:vAlign w:val="center"/>
          </w:tcPr>
          <w:p w14:paraId="18686E3E" w14:textId="77777777" w:rsidR="00292CE7" w:rsidRPr="00292CE7" w:rsidRDefault="00292CE7" w:rsidP="00292CE7">
            <w:pPr>
              <w:rPr>
                <w:rFonts w:ascii="Times New Roman" w:hAnsi="Times New Roman" w:cs="Times New Roman"/>
              </w:rPr>
            </w:pPr>
            <w:r w:rsidRPr="00292CE7">
              <w:rPr>
                <w:rFonts w:ascii="Times New Roman" w:hAnsi="Times New Roman" w:cs="Times New Roman"/>
              </w:rPr>
              <w:t>316.8</w:t>
            </w:r>
          </w:p>
        </w:tc>
        <w:tc>
          <w:tcPr>
            <w:tcW w:w="4603" w:type="dxa"/>
            <w:vAlign w:val="center"/>
          </w:tcPr>
          <w:p w14:paraId="7959FD70" w14:textId="77777777" w:rsidR="00292CE7" w:rsidRPr="00292CE7" w:rsidRDefault="00292CE7" w:rsidP="00292CE7">
            <w:pPr>
              <w:rPr>
                <w:rFonts w:ascii="Times New Roman" w:hAnsi="Times New Roman" w:cs="Times New Roman"/>
              </w:rPr>
            </w:pPr>
            <w:r w:rsidRPr="00292CE7">
              <w:rPr>
                <w:rFonts w:ascii="Times New Roman" w:hAnsi="Times New Roman" w:cs="Times New Roman"/>
              </w:rPr>
              <w:t>Good germination with long radicles and moderate shoot growth</w:t>
            </w:r>
          </w:p>
        </w:tc>
      </w:tr>
      <w:tr w:rsidR="00292CE7" w:rsidRPr="003240E3" w14:paraId="77365319" w14:textId="77777777" w:rsidTr="00F31590">
        <w:tc>
          <w:tcPr>
            <w:tcW w:w="1309" w:type="dxa"/>
            <w:vAlign w:val="center"/>
          </w:tcPr>
          <w:p w14:paraId="59413F19" w14:textId="77777777" w:rsidR="00292CE7" w:rsidRPr="00292CE7" w:rsidRDefault="00292CE7" w:rsidP="00292CE7">
            <w:pPr>
              <w:rPr>
                <w:rFonts w:ascii="Times New Roman" w:hAnsi="Times New Roman" w:cs="Times New Roman"/>
              </w:rPr>
            </w:pPr>
            <w:r w:rsidRPr="00292CE7">
              <w:rPr>
                <w:rFonts w:ascii="Times New Roman" w:hAnsi="Times New Roman" w:cs="Times New Roman"/>
              </w:rPr>
              <w:t>T₁₀</w:t>
            </w:r>
          </w:p>
        </w:tc>
        <w:tc>
          <w:tcPr>
            <w:tcW w:w="2994" w:type="dxa"/>
            <w:vAlign w:val="center"/>
          </w:tcPr>
          <w:p w14:paraId="371E7926" w14:textId="77777777" w:rsidR="00292CE7" w:rsidRPr="00292CE7" w:rsidRDefault="00292CE7" w:rsidP="00292CE7">
            <w:pPr>
              <w:rPr>
                <w:rFonts w:ascii="Times New Roman" w:hAnsi="Times New Roman" w:cs="Times New Roman"/>
              </w:rPr>
            </w:pPr>
            <w:r w:rsidRPr="00292CE7">
              <w:rPr>
                <w:rFonts w:ascii="Times New Roman" w:hAnsi="Times New Roman" w:cs="Times New Roman"/>
                <w:i/>
                <w:iCs/>
              </w:rPr>
              <w:t xml:space="preserve">Ocimum </w:t>
            </w:r>
            <w:proofErr w:type="spellStart"/>
            <w:r w:rsidRPr="00292CE7">
              <w:rPr>
                <w:rFonts w:ascii="Times New Roman" w:hAnsi="Times New Roman" w:cs="Times New Roman"/>
                <w:i/>
                <w:iCs/>
              </w:rPr>
              <w:t>tenuiflorum</w:t>
            </w:r>
            <w:proofErr w:type="spellEnd"/>
            <w:r w:rsidRPr="00292CE7">
              <w:rPr>
                <w:rFonts w:ascii="Times New Roman" w:hAnsi="Times New Roman" w:cs="Times New Roman"/>
              </w:rPr>
              <w:t xml:space="preserve"> (Tulsi extract)</w:t>
            </w:r>
          </w:p>
        </w:tc>
        <w:tc>
          <w:tcPr>
            <w:tcW w:w="1258" w:type="dxa"/>
            <w:vAlign w:val="center"/>
          </w:tcPr>
          <w:p w14:paraId="40E41503" w14:textId="4693CD4C" w:rsidR="00292CE7" w:rsidRPr="00F31590" w:rsidRDefault="00292CE7" w:rsidP="00292CE7">
            <w:pPr>
              <w:rPr>
                <w:rFonts w:ascii="Times New Roman" w:hAnsi="Times New Roman" w:cs="Times New Roman"/>
              </w:rPr>
            </w:pPr>
            <w:r w:rsidRPr="00F31590">
              <w:rPr>
                <w:rFonts w:ascii="Times New Roman" w:hAnsi="Times New Roman" w:cs="Times New Roman"/>
              </w:rPr>
              <w:t>10% v/v</w:t>
            </w:r>
          </w:p>
        </w:tc>
        <w:tc>
          <w:tcPr>
            <w:tcW w:w="1536" w:type="dxa"/>
            <w:vAlign w:val="center"/>
          </w:tcPr>
          <w:p w14:paraId="271A8331" w14:textId="1F2A9D5F" w:rsidR="00292CE7" w:rsidRPr="00292CE7" w:rsidRDefault="00292CE7" w:rsidP="00292CE7">
            <w:pPr>
              <w:rPr>
                <w:rFonts w:ascii="Times New Roman" w:hAnsi="Times New Roman" w:cs="Times New Roman"/>
              </w:rPr>
            </w:pPr>
            <w:r w:rsidRPr="00292CE7">
              <w:rPr>
                <w:rFonts w:ascii="Times New Roman" w:hAnsi="Times New Roman" w:cs="Times New Roman"/>
              </w:rPr>
              <w:t>80</w:t>
            </w:r>
          </w:p>
        </w:tc>
        <w:tc>
          <w:tcPr>
            <w:tcW w:w="1167" w:type="dxa"/>
            <w:vAlign w:val="center"/>
          </w:tcPr>
          <w:p w14:paraId="3F27C737" w14:textId="77777777" w:rsidR="00292CE7" w:rsidRPr="00292CE7" w:rsidRDefault="00292CE7" w:rsidP="00292CE7">
            <w:pPr>
              <w:rPr>
                <w:rFonts w:ascii="Times New Roman" w:hAnsi="Times New Roman" w:cs="Times New Roman"/>
              </w:rPr>
            </w:pPr>
            <w:r w:rsidRPr="00292CE7">
              <w:rPr>
                <w:rFonts w:ascii="Times New Roman" w:hAnsi="Times New Roman" w:cs="Times New Roman"/>
              </w:rPr>
              <w:t>3.0</w:t>
            </w:r>
          </w:p>
        </w:tc>
        <w:tc>
          <w:tcPr>
            <w:tcW w:w="1081" w:type="dxa"/>
            <w:vAlign w:val="center"/>
          </w:tcPr>
          <w:p w14:paraId="74126FB4" w14:textId="77777777" w:rsidR="00292CE7" w:rsidRPr="00292CE7" w:rsidRDefault="00292CE7" w:rsidP="00292CE7">
            <w:pPr>
              <w:rPr>
                <w:rFonts w:ascii="Times New Roman" w:hAnsi="Times New Roman" w:cs="Times New Roman"/>
              </w:rPr>
            </w:pPr>
            <w:r w:rsidRPr="00292CE7">
              <w:rPr>
                <w:rFonts w:ascii="Times New Roman" w:hAnsi="Times New Roman" w:cs="Times New Roman"/>
              </w:rPr>
              <w:t>240.0</w:t>
            </w:r>
          </w:p>
        </w:tc>
        <w:tc>
          <w:tcPr>
            <w:tcW w:w="4603" w:type="dxa"/>
            <w:vAlign w:val="center"/>
          </w:tcPr>
          <w:p w14:paraId="02544DB9" w14:textId="77777777" w:rsidR="00292CE7" w:rsidRPr="00292CE7" w:rsidRDefault="00292CE7" w:rsidP="00292CE7">
            <w:pPr>
              <w:rPr>
                <w:rFonts w:ascii="Times New Roman" w:hAnsi="Times New Roman" w:cs="Times New Roman"/>
              </w:rPr>
            </w:pPr>
            <w:r w:rsidRPr="00292CE7">
              <w:rPr>
                <w:rFonts w:ascii="Times New Roman" w:hAnsi="Times New Roman" w:cs="Times New Roman"/>
              </w:rPr>
              <w:t>Moderate seedling growth with medium shoots</w:t>
            </w:r>
          </w:p>
        </w:tc>
      </w:tr>
      <w:tr w:rsidR="00292CE7" w:rsidRPr="003240E3" w14:paraId="33C15789" w14:textId="77777777" w:rsidTr="00F31590">
        <w:tc>
          <w:tcPr>
            <w:tcW w:w="1309" w:type="dxa"/>
            <w:vAlign w:val="center"/>
          </w:tcPr>
          <w:p w14:paraId="7A1EDC51" w14:textId="77777777" w:rsidR="00292CE7" w:rsidRPr="00292CE7" w:rsidRDefault="00292CE7" w:rsidP="00292CE7">
            <w:pPr>
              <w:rPr>
                <w:rFonts w:ascii="Times New Roman" w:hAnsi="Times New Roman" w:cs="Times New Roman"/>
              </w:rPr>
            </w:pPr>
            <w:r w:rsidRPr="00292CE7">
              <w:rPr>
                <w:rFonts w:ascii="Times New Roman" w:hAnsi="Times New Roman" w:cs="Times New Roman"/>
              </w:rPr>
              <w:t>T₁₁</w:t>
            </w:r>
          </w:p>
        </w:tc>
        <w:tc>
          <w:tcPr>
            <w:tcW w:w="2994" w:type="dxa"/>
            <w:vAlign w:val="center"/>
          </w:tcPr>
          <w:p w14:paraId="0CF71879" w14:textId="77777777" w:rsidR="00292CE7" w:rsidRPr="00292CE7" w:rsidRDefault="00292CE7" w:rsidP="00292CE7">
            <w:pPr>
              <w:rPr>
                <w:rFonts w:ascii="Times New Roman" w:hAnsi="Times New Roman" w:cs="Times New Roman"/>
              </w:rPr>
            </w:pPr>
            <w:r w:rsidRPr="00292CE7">
              <w:rPr>
                <w:rFonts w:ascii="Times New Roman" w:hAnsi="Times New Roman" w:cs="Times New Roman"/>
                <w:i/>
                <w:iCs/>
              </w:rPr>
              <w:t>Lantana camara</w:t>
            </w:r>
            <w:r w:rsidRPr="00292CE7">
              <w:rPr>
                <w:rFonts w:ascii="Times New Roman" w:hAnsi="Times New Roman" w:cs="Times New Roman"/>
              </w:rPr>
              <w:t xml:space="preserve"> extract</w:t>
            </w:r>
          </w:p>
        </w:tc>
        <w:tc>
          <w:tcPr>
            <w:tcW w:w="1258" w:type="dxa"/>
            <w:vAlign w:val="center"/>
          </w:tcPr>
          <w:p w14:paraId="684787A0" w14:textId="2F37AEBB" w:rsidR="00292CE7" w:rsidRPr="00F31590" w:rsidRDefault="00292CE7" w:rsidP="00292CE7">
            <w:pPr>
              <w:rPr>
                <w:rFonts w:ascii="Times New Roman" w:hAnsi="Times New Roman" w:cs="Times New Roman"/>
              </w:rPr>
            </w:pPr>
            <w:r w:rsidRPr="00F31590">
              <w:rPr>
                <w:rFonts w:ascii="Times New Roman" w:hAnsi="Times New Roman" w:cs="Times New Roman"/>
              </w:rPr>
              <w:t>10% v/v</w:t>
            </w:r>
          </w:p>
        </w:tc>
        <w:tc>
          <w:tcPr>
            <w:tcW w:w="1536" w:type="dxa"/>
            <w:vAlign w:val="center"/>
          </w:tcPr>
          <w:p w14:paraId="7E7295F9" w14:textId="0906E338" w:rsidR="00292CE7" w:rsidRPr="00292CE7" w:rsidRDefault="00292CE7" w:rsidP="00292CE7">
            <w:pPr>
              <w:rPr>
                <w:rFonts w:ascii="Times New Roman" w:hAnsi="Times New Roman" w:cs="Times New Roman"/>
              </w:rPr>
            </w:pPr>
            <w:r w:rsidRPr="00292CE7">
              <w:rPr>
                <w:rFonts w:ascii="Times New Roman" w:hAnsi="Times New Roman" w:cs="Times New Roman"/>
              </w:rPr>
              <w:t>76</w:t>
            </w:r>
          </w:p>
        </w:tc>
        <w:tc>
          <w:tcPr>
            <w:tcW w:w="1167" w:type="dxa"/>
            <w:vAlign w:val="center"/>
          </w:tcPr>
          <w:p w14:paraId="0CF05E42" w14:textId="77777777" w:rsidR="00292CE7" w:rsidRPr="00292CE7" w:rsidRDefault="00292CE7" w:rsidP="00292CE7">
            <w:pPr>
              <w:rPr>
                <w:rFonts w:ascii="Times New Roman" w:hAnsi="Times New Roman" w:cs="Times New Roman"/>
              </w:rPr>
            </w:pPr>
            <w:r w:rsidRPr="00292CE7">
              <w:rPr>
                <w:rFonts w:ascii="Times New Roman" w:hAnsi="Times New Roman" w:cs="Times New Roman"/>
              </w:rPr>
              <w:t>2.5</w:t>
            </w:r>
          </w:p>
        </w:tc>
        <w:tc>
          <w:tcPr>
            <w:tcW w:w="1081" w:type="dxa"/>
            <w:vAlign w:val="center"/>
          </w:tcPr>
          <w:p w14:paraId="7C5CB38F" w14:textId="77777777" w:rsidR="00292CE7" w:rsidRPr="00292CE7" w:rsidRDefault="00292CE7" w:rsidP="00292CE7">
            <w:pPr>
              <w:rPr>
                <w:rFonts w:ascii="Times New Roman" w:hAnsi="Times New Roman" w:cs="Times New Roman"/>
              </w:rPr>
            </w:pPr>
            <w:r w:rsidRPr="00292CE7">
              <w:rPr>
                <w:rFonts w:ascii="Times New Roman" w:hAnsi="Times New Roman" w:cs="Times New Roman"/>
              </w:rPr>
              <w:t>190.0</w:t>
            </w:r>
          </w:p>
        </w:tc>
        <w:tc>
          <w:tcPr>
            <w:tcW w:w="4603" w:type="dxa"/>
            <w:vAlign w:val="center"/>
          </w:tcPr>
          <w:p w14:paraId="0B616DE3" w14:textId="77777777" w:rsidR="00292CE7" w:rsidRPr="00292CE7" w:rsidRDefault="00292CE7" w:rsidP="00292CE7">
            <w:pPr>
              <w:rPr>
                <w:rFonts w:ascii="Times New Roman" w:hAnsi="Times New Roman" w:cs="Times New Roman"/>
              </w:rPr>
            </w:pPr>
            <w:r w:rsidRPr="00292CE7">
              <w:rPr>
                <w:rFonts w:ascii="Times New Roman" w:hAnsi="Times New Roman" w:cs="Times New Roman"/>
              </w:rPr>
              <w:t>Moderate germination with short shoots and roots</w:t>
            </w:r>
          </w:p>
        </w:tc>
      </w:tr>
      <w:tr w:rsidR="00292CE7" w:rsidRPr="003240E3" w14:paraId="1FA9A169" w14:textId="77777777" w:rsidTr="00F31590">
        <w:tc>
          <w:tcPr>
            <w:tcW w:w="1309" w:type="dxa"/>
            <w:vAlign w:val="center"/>
          </w:tcPr>
          <w:p w14:paraId="1B47F3D8" w14:textId="77777777" w:rsidR="00292CE7" w:rsidRPr="00292CE7" w:rsidRDefault="00292CE7" w:rsidP="00292CE7">
            <w:pPr>
              <w:rPr>
                <w:rFonts w:ascii="Times New Roman" w:hAnsi="Times New Roman" w:cs="Times New Roman"/>
              </w:rPr>
            </w:pPr>
            <w:r w:rsidRPr="00292CE7">
              <w:rPr>
                <w:rFonts w:ascii="Times New Roman" w:hAnsi="Times New Roman" w:cs="Times New Roman"/>
              </w:rPr>
              <w:t>T₁₂</w:t>
            </w:r>
          </w:p>
        </w:tc>
        <w:tc>
          <w:tcPr>
            <w:tcW w:w="2994" w:type="dxa"/>
            <w:vAlign w:val="center"/>
          </w:tcPr>
          <w:p w14:paraId="32626D7A" w14:textId="77777777" w:rsidR="00292CE7" w:rsidRPr="00292CE7" w:rsidRDefault="00292CE7" w:rsidP="00292CE7">
            <w:pPr>
              <w:rPr>
                <w:rFonts w:ascii="Times New Roman" w:hAnsi="Times New Roman" w:cs="Times New Roman"/>
              </w:rPr>
            </w:pPr>
            <w:r w:rsidRPr="00292CE7">
              <w:rPr>
                <w:rFonts w:ascii="Times New Roman" w:hAnsi="Times New Roman" w:cs="Times New Roman"/>
              </w:rPr>
              <w:t>Carbendazim 12% + Mancozeb 63% WP</w:t>
            </w:r>
          </w:p>
        </w:tc>
        <w:tc>
          <w:tcPr>
            <w:tcW w:w="1258" w:type="dxa"/>
            <w:vAlign w:val="center"/>
          </w:tcPr>
          <w:p w14:paraId="58BB0440" w14:textId="063718C6" w:rsidR="00292CE7" w:rsidRPr="00F31590" w:rsidRDefault="00292CE7" w:rsidP="00292CE7">
            <w:pPr>
              <w:rPr>
                <w:rFonts w:ascii="Times New Roman" w:hAnsi="Times New Roman" w:cs="Times New Roman"/>
              </w:rPr>
            </w:pPr>
            <w:r w:rsidRPr="00F31590">
              <w:rPr>
                <w:rFonts w:ascii="Times New Roman" w:hAnsi="Times New Roman" w:cs="Times New Roman"/>
              </w:rPr>
              <w:t>0.1% w/v</w:t>
            </w:r>
          </w:p>
        </w:tc>
        <w:tc>
          <w:tcPr>
            <w:tcW w:w="1536" w:type="dxa"/>
            <w:vAlign w:val="center"/>
          </w:tcPr>
          <w:p w14:paraId="050EAA28" w14:textId="1B2AEC61" w:rsidR="00292CE7" w:rsidRPr="00292CE7" w:rsidRDefault="00292CE7" w:rsidP="00292CE7">
            <w:pPr>
              <w:rPr>
                <w:rFonts w:ascii="Times New Roman" w:hAnsi="Times New Roman" w:cs="Times New Roman"/>
              </w:rPr>
            </w:pPr>
            <w:r w:rsidRPr="00292CE7">
              <w:rPr>
                <w:rFonts w:ascii="Times New Roman" w:hAnsi="Times New Roman" w:cs="Times New Roman"/>
              </w:rPr>
              <w:t>72</w:t>
            </w:r>
          </w:p>
        </w:tc>
        <w:tc>
          <w:tcPr>
            <w:tcW w:w="1167" w:type="dxa"/>
            <w:vAlign w:val="center"/>
          </w:tcPr>
          <w:p w14:paraId="1EA262ED" w14:textId="77777777" w:rsidR="00292CE7" w:rsidRPr="00292CE7" w:rsidRDefault="00292CE7" w:rsidP="00292CE7">
            <w:pPr>
              <w:rPr>
                <w:rFonts w:ascii="Times New Roman" w:hAnsi="Times New Roman" w:cs="Times New Roman"/>
              </w:rPr>
            </w:pPr>
            <w:r w:rsidRPr="00292CE7">
              <w:rPr>
                <w:rFonts w:ascii="Times New Roman" w:hAnsi="Times New Roman" w:cs="Times New Roman"/>
              </w:rPr>
              <w:t>2.5</w:t>
            </w:r>
          </w:p>
        </w:tc>
        <w:tc>
          <w:tcPr>
            <w:tcW w:w="1081" w:type="dxa"/>
            <w:vAlign w:val="center"/>
          </w:tcPr>
          <w:p w14:paraId="56B9DFE2" w14:textId="77777777" w:rsidR="00292CE7" w:rsidRPr="00292CE7" w:rsidRDefault="00292CE7" w:rsidP="00292CE7">
            <w:pPr>
              <w:rPr>
                <w:rFonts w:ascii="Times New Roman" w:hAnsi="Times New Roman" w:cs="Times New Roman"/>
              </w:rPr>
            </w:pPr>
            <w:r w:rsidRPr="00292CE7">
              <w:rPr>
                <w:rFonts w:ascii="Times New Roman" w:hAnsi="Times New Roman" w:cs="Times New Roman"/>
              </w:rPr>
              <w:t>180.0</w:t>
            </w:r>
          </w:p>
        </w:tc>
        <w:tc>
          <w:tcPr>
            <w:tcW w:w="4603" w:type="dxa"/>
            <w:vAlign w:val="center"/>
          </w:tcPr>
          <w:p w14:paraId="33CECD60" w14:textId="77777777" w:rsidR="00292CE7" w:rsidRPr="00292CE7" w:rsidRDefault="00292CE7" w:rsidP="00292CE7">
            <w:pPr>
              <w:rPr>
                <w:rFonts w:ascii="Times New Roman" w:hAnsi="Times New Roman" w:cs="Times New Roman"/>
              </w:rPr>
            </w:pPr>
            <w:r w:rsidRPr="00292CE7">
              <w:rPr>
                <w:rFonts w:ascii="Times New Roman" w:hAnsi="Times New Roman" w:cs="Times New Roman"/>
              </w:rPr>
              <w:t>Moderate germination with medium radicles</w:t>
            </w:r>
          </w:p>
        </w:tc>
      </w:tr>
      <w:tr w:rsidR="00292CE7" w:rsidRPr="003240E3" w14:paraId="06DA6022" w14:textId="77777777" w:rsidTr="00F31590">
        <w:tc>
          <w:tcPr>
            <w:tcW w:w="1309" w:type="dxa"/>
            <w:vAlign w:val="center"/>
          </w:tcPr>
          <w:p w14:paraId="49A20233" w14:textId="77777777" w:rsidR="00292CE7" w:rsidRPr="00292CE7" w:rsidRDefault="00292CE7" w:rsidP="00292CE7">
            <w:pPr>
              <w:rPr>
                <w:rFonts w:ascii="Times New Roman" w:hAnsi="Times New Roman" w:cs="Times New Roman"/>
              </w:rPr>
            </w:pPr>
            <w:r w:rsidRPr="00292CE7">
              <w:rPr>
                <w:rFonts w:ascii="Times New Roman" w:hAnsi="Times New Roman" w:cs="Times New Roman"/>
              </w:rPr>
              <w:t>T₁₃</w:t>
            </w:r>
          </w:p>
        </w:tc>
        <w:tc>
          <w:tcPr>
            <w:tcW w:w="2994" w:type="dxa"/>
            <w:vAlign w:val="center"/>
          </w:tcPr>
          <w:p w14:paraId="673B3C30" w14:textId="77777777" w:rsidR="00292CE7" w:rsidRPr="00292CE7" w:rsidRDefault="00292CE7" w:rsidP="00292CE7">
            <w:pPr>
              <w:rPr>
                <w:rFonts w:ascii="Times New Roman" w:hAnsi="Times New Roman" w:cs="Times New Roman"/>
              </w:rPr>
            </w:pPr>
            <w:r w:rsidRPr="00292CE7">
              <w:rPr>
                <w:rFonts w:ascii="Times New Roman" w:hAnsi="Times New Roman" w:cs="Times New Roman"/>
              </w:rPr>
              <w:t>Difenoconazole 25% EC</w:t>
            </w:r>
          </w:p>
        </w:tc>
        <w:tc>
          <w:tcPr>
            <w:tcW w:w="1258" w:type="dxa"/>
            <w:vAlign w:val="center"/>
          </w:tcPr>
          <w:p w14:paraId="0425A2B9" w14:textId="0ABE196F" w:rsidR="00292CE7" w:rsidRPr="00F31590" w:rsidRDefault="00292CE7" w:rsidP="00292CE7">
            <w:pPr>
              <w:rPr>
                <w:rFonts w:ascii="Times New Roman" w:hAnsi="Times New Roman" w:cs="Times New Roman"/>
              </w:rPr>
            </w:pPr>
            <w:r w:rsidRPr="00F31590">
              <w:rPr>
                <w:rFonts w:ascii="Times New Roman" w:hAnsi="Times New Roman" w:cs="Times New Roman"/>
              </w:rPr>
              <w:t>0.1% w/v</w:t>
            </w:r>
          </w:p>
        </w:tc>
        <w:tc>
          <w:tcPr>
            <w:tcW w:w="1536" w:type="dxa"/>
            <w:vAlign w:val="center"/>
          </w:tcPr>
          <w:p w14:paraId="6680D939" w14:textId="199F023D" w:rsidR="00292CE7" w:rsidRPr="00292CE7" w:rsidRDefault="00292CE7" w:rsidP="00292CE7">
            <w:pPr>
              <w:rPr>
                <w:rFonts w:ascii="Times New Roman" w:hAnsi="Times New Roman" w:cs="Times New Roman"/>
              </w:rPr>
            </w:pPr>
            <w:r w:rsidRPr="00292CE7">
              <w:rPr>
                <w:rFonts w:ascii="Times New Roman" w:hAnsi="Times New Roman" w:cs="Times New Roman"/>
              </w:rPr>
              <w:t>64</w:t>
            </w:r>
          </w:p>
        </w:tc>
        <w:tc>
          <w:tcPr>
            <w:tcW w:w="1167" w:type="dxa"/>
            <w:vAlign w:val="center"/>
          </w:tcPr>
          <w:p w14:paraId="781A4D19" w14:textId="77777777" w:rsidR="00292CE7" w:rsidRPr="00292CE7" w:rsidRDefault="00292CE7" w:rsidP="00292CE7">
            <w:pPr>
              <w:rPr>
                <w:rFonts w:ascii="Times New Roman" w:hAnsi="Times New Roman" w:cs="Times New Roman"/>
              </w:rPr>
            </w:pPr>
            <w:r w:rsidRPr="00292CE7">
              <w:rPr>
                <w:rFonts w:ascii="Times New Roman" w:hAnsi="Times New Roman" w:cs="Times New Roman"/>
              </w:rPr>
              <w:t>2.4</w:t>
            </w:r>
          </w:p>
        </w:tc>
        <w:tc>
          <w:tcPr>
            <w:tcW w:w="1081" w:type="dxa"/>
            <w:vAlign w:val="center"/>
          </w:tcPr>
          <w:p w14:paraId="240CBFC7" w14:textId="77777777" w:rsidR="00292CE7" w:rsidRPr="00292CE7" w:rsidRDefault="00292CE7" w:rsidP="00292CE7">
            <w:pPr>
              <w:rPr>
                <w:rFonts w:ascii="Times New Roman" w:hAnsi="Times New Roman" w:cs="Times New Roman"/>
              </w:rPr>
            </w:pPr>
            <w:r w:rsidRPr="00292CE7">
              <w:rPr>
                <w:rFonts w:ascii="Times New Roman" w:hAnsi="Times New Roman" w:cs="Times New Roman"/>
              </w:rPr>
              <w:t>153.6</w:t>
            </w:r>
          </w:p>
        </w:tc>
        <w:tc>
          <w:tcPr>
            <w:tcW w:w="4603" w:type="dxa"/>
            <w:vAlign w:val="center"/>
          </w:tcPr>
          <w:p w14:paraId="18260D56" w14:textId="77777777" w:rsidR="00292CE7" w:rsidRPr="00292CE7" w:rsidRDefault="00292CE7" w:rsidP="00292CE7">
            <w:pPr>
              <w:rPr>
                <w:rFonts w:ascii="Times New Roman" w:hAnsi="Times New Roman" w:cs="Times New Roman"/>
              </w:rPr>
            </w:pPr>
            <w:r w:rsidRPr="00292CE7">
              <w:rPr>
                <w:rFonts w:ascii="Times New Roman" w:hAnsi="Times New Roman" w:cs="Times New Roman"/>
              </w:rPr>
              <w:t>Lower germination with small seedlings</w:t>
            </w:r>
          </w:p>
        </w:tc>
      </w:tr>
      <w:tr w:rsidR="00292CE7" w:rsidRPr="003240E3" w14:paraId="475F9BE9" w14:textId="77777777" w:rsidTr="00F31590">
        <w:tc>
          <w:tcPr>
            <w:tcW w:w="1309" w:type="dxa"/>
            <w:vAlign w:val="center"/>
          </w:tcPr>
          <w:p w14:paraId="02A69B33" w14:textId="77777777" w:rsidR="00292CE7" w:rsidRPr="00292CE7" w:rsidRDefault="00292CE7" w:rsidP="00292CE7">
            <w:pPr>
              <w:rPr>
                <w:rFonts w:ascii="Times New Roman" w:hAnsi="Times New Roman" w:cs="Times New Roman"/>
              </w:rPr>
            </w:pPr>
            <w:r w:rsidRPr="00292CE7">
              <w:rPr>
                <w:rFonts w:ascii="Times New Roman" w:hAnsi="Times New Roman" w:cs="Times New Roman"/>
              </w:rPr>
              <w:t>T₁₄</w:t>
            </w:r>
          </w:p>
        </w:tc>
        <w:tc>
          <w:tcPr>
            <w:tcW w:w="2994" w:type="dxa"/>
            <w:vAlign w:val="center"/>
          </w:tcPr>
          <w:p w14:paraId="4C9C9266" w14:textId="77777777" w:rsidR="00292CE7" w:rsidRPr="00292CE7" w:rsidRDefault="00292CE7" w:rsidP="00292CE7">
            <w:pPr>
              <w:rPr>
                <w:rFonts w:ascii="Times New Roman" w:hAnsi="Times New Roman" w:cs="Times New Roman"/>
              </w:rPr>
            </w:pPr>
            <w:r w:rsidRPr="00292CE7">
              <w:rPr>
                <w:rFonts w:ascii="Times New Roman" w:hAnsi="Times New Roman" w:cs="Times New Roman"/>
              </w:rPr>
              <w:t>Fluxapyroxad 33.3% G/L</w:t>
            </w:r>
          </w:p>
        </w:tc>
        <w:tc>
          <w:tcPr>
            <w:tcW w:w="1258" w:type="dxa"/>
            <w:vAlign w:val="center"/>
          </w:tcPr>
          <w:p w14:paraId="622C8BEC" w14:textId="39E25EF6" w:rsidR="00292CE7" w:rsidRPr="00F31590" w:rsidRDefault="00292CE7" w:rsidP="00292CE7">
            <w:pPr>
              <w:rPr>
                <w:rFonts w:ascii="Times New Roman" w:hAnsi="Times New Roman" w:cs="Times New Roman"/>
              </w:rPr>
            </w:pPr>
            <w:r w:rsidRPr="00F31590">
              <w:rPr>
                <w:rFonts w:ascii="Times New Roman" w:hAnsi="Times New Roman" w:cs="Times New Roman"/>
              </w:rPr>
              <w:t>0.1% w/v</w:t>
            </w:r>
          </w:p>
        </w:tc>
        <w:tc>
          <w:tcPr>
            <w:tcW w:w="1536" w:type="dxa"/>
            <w:vAlign w:val="center"/>
          </w:tcPr>
          <w:p w14:paraId="2DA9269B" w14:textId="32E04E67" w:rsidR="00292CE7" w:rsidRPr="00292CE7" w:rsidRDefault="00292CE7" w:rsidP="00292CE7">
            <w:pPr>
              <w:rPr>
                <w:rFonts w:ascii="Times New Roman" w:hAnsi="Times New Roman" w:cs="Times New Roman"/>
              </w:rPr>
            </w:pPr>
            <w:r w:rsidRPr="00292CE7">
              <w:rPr>
                <w:rFonts w:ascii="Times New Roman" w:hAnsi="Times New Roman" w:cs="Times New Roman"/>
              </w:rPr>
              <w:t>67</w:t>
            </w:r>
          </w:p>
        </w:tc>
        <w:tc>
          <w:tcPr>
            <w:tcW w:w="1167" w:type="dxa"/>
            <w:vAlign w:val="center"/>
          </w:tcPr>
          <w:p w14:paraId="4D3AC0BB" w14:textId="77777777" w:rsidR="00292CE7" w:rsidRPr="00292CE7" w:rsidRDefault="00292CE7" w:rsidP="00292CE7">
            <w:pPr>
              <w:rPr>
                <w:rFonts w:ascii="Times New Roman" w:hAnsi="Times New Roman" w:cs="Times New Roman"/>
              </w:rPr>
            </w:pPr>
            <w:r w:rsidRPr="00292CE7">
              <w:rPr>
                <w:rFonts w:ascii="Times New Roman" w:hAnsi="Times New Roman" w:cs="Times New Roman"/>
              </w:rPr>
              <w:t>2.5</w:t>
            </w:r>
          </w:p>
        </w:tc>
        <w:tc>
          <w:tcPr>
            <w:tcW w:w="1081" w:type="dxa"/>
            <w:vAlign w:val="center"/>
          </w:tcPr>
          <w:p w14:paraId="62009727" w14:textId="77777777" w:rsidR="00292CE7" w:rsidRPr="00292CE7" w:rsidRDefault="00292CE7" w:rsidP="00292CE7">
            <w:pPr>
              <w:rPr>
                <w:rFonts w:ascii="Times New Roman" w:hAnsi="Times New Roman" w:cs="Times New Roman"/>
              </w:rPr>
            </w:pPr>
            <w:r w:rsidRPr="00292CE7">
              <w:rPr>
                <w:rFonts w:ascii="Times New Roman" w:hAnsi="Times New Roman" w:cs="Times New Roman"/>
              </w:rPr>
              <w:t>167.5</w:t>
            </w:r>
          </w:p>
        </w:tc>
        <w:tc>
          <w:tcPr>
            <w:tcW w:w="4603" w:type="dxa"/>
            <w:vAlign w:val="center"/>
          </w:tcPr>
          <w:p w14:paraId="4BB3AF79" w14:textId="77777777" w:rsidR="00292CE7" w:rsidRPr="00292CE7" w:rsidRDefault="00292CE7" w:rsidP="00292CE7">
            <w:pPr>
              <w:rPr>
                <w:rFonts w:ascii="Times New Roman" w:hAnsi="Times New Roman" w:cs="Times New Roman"/>
              </w:rPr>
            </w:pPr>
            <w:r w:rsidRPr="00292CE7">
              <w:rPr>
                <w:rFonts w:ascii="Times New Roman" w:hAnsi="Times New Roman" w:cs="Times New Roman"/>
              </w:rPr>
              <w:t>Moderate germination with slightly short radicles</w:t>
            </w:r>
          </w:p>
        </w:tc>
      </w:tr>
      <w:tr w:rsidR="00292CE7" w:rsidRPr="003240E3" w14:paraId="138F0DB0" w14:textId="77777777" w:rsidTr="00F31590">
        <w:tc>
          <w:tcPr>
            <w:tcW w:w="1309" w:type="dxa"/>
            <w:vAlign w:val="center"/>
          </w:tcPr>
          <w:p w14:paraId="39ED0326" w14:textId="77777777" w:rsidR="00292CE7" w:rsidRPr="00292CE7" w:rsidRDefault="00292CE7" w:rsidP="00292CE7">
            <w:pPr>
              <w:rPr>
                <w:rFonts w:ascii="Times New Roman" w:hAnsi="Times New Roman" w:cs="Times New Roman"/>
              </w:rPr>
            </w:pPr>
            <w:r w:rsidRPr="00292CE7">
              <w:rPr>
                <w:rFonts w:ascii="Times New Roman" w:hAnsi="Times New Roman" w:cs="Times New Roman"/>
              </w:rPr>
              <w:t>T₁₅</w:t>
            </w:r>
          </w:p>
        </w:tc>
        <w:tc>
          <w:tcPr>
            <w:tcW w:w="2994" w:type="dxa"/>
            <w:vAlign w:val="center"/>
          </w:tcPr>
          <w:p w14:paraId="549EA9E9" w14:textId="77777777" w:rsidR="00292CE7" w:rsidRPr="00292CE7" w:rsidRDefault="00292CE7" w:rsidP="00292CE7">
            <w:pPr>
              <w:rPr>
                <w:rFonts w:ascii="Times New Roman" w:hAnsi="Times New Roman" w:cs="Times New Roman"/>
              </w:rPr>
            </w:pPr>
            <w:proofErr w:type="spellStart"/>
            <w:r w:rsidRPr="00292CE7">
              <w:rPr>
                <w:rFonts w:ascii="Times New Roman" w:hAnsi="Times New Roman" w:cs="Times New Roman"/>
              </w:rPr>
              <w:t>Penflufen</w:t>
            </w:r>
            <w:proofErr w:type="spellEnd"/>
            <w:r w:rsidRPr="00292CE7">
              <w:rPr>
                <w:rFonts w:ascii="Times New Roman" w:hAnsi="Times New Roman" w:cs="Times New Roman"/>
              </w:rPr>
              <w:t xml:space="preserve"> 240 FS</w:t>
            </w:r>
          </w:p>
        </w:tc>
        <w:tc>
          <w:tcPr>
            <w:tcW w:w="1258" w:type="dxa"/>
            <w:vAlign w:val="center"/>
          </w:tcPr>
          <w:p w14:paraId="55B899E7" w14:textId="3C61E094" w:rsidR="00292CE7" w:rsidRPr="00F31590" w:rsidRDefault="00292CE7" w:rsidP="00292CE7">
            <w:pPr>
              <w:rPr>
                <w:rFonts w:ascii="Times New Roman" w:hAnsi="Times New Roman" w:cs="Times New Roman"/>
              </w:rPr>
            </w:pPr>
            <w:r w:rsidRPr="00F31590">
              <w:rPr>
                <w:rFonts w:ascii="Times New Roman" w:hAnsi="Times New Roman" w:cs="Times New Roman"/>
              </w:rPr>
              <w:t>0.1% w/v</w:t>
            </w:r>
          </w:p>
        </w:tc>
        <w:tc>
          <w:tcPr>
            <w:tcW w:w="1536" w:type="dxa"/>
            <w:vAlign w:val="center"/>
          </w:tcPr>
          <w:p w14:paraId="65E93911" w14:textId="6200DA03" w:rsidR="00292CE7" w:rsidRPr="00292CE7" w:rsidRDefault="00292CE7" w:rsidP="00292CE7">
            <w:pPr>
              <w:rPr>
                <w:rFonts w:ascii="Times New Roman" w:hAnsi="Times New Roman" w:cs="Times New Roman"/>
              </w:rPr>
            </w:pPr>
            <w:r w:rsidRPr="00292CE7">
              <w:rPr>
                <w:rFonts w:ascii="Times New Roman" w:hAnsi="Times New Roman" w:cs="Times New Roman"/>
              </w:rPr>
              <w:t>60</w:t>
            </w:r>
          </w:p>
        </w:tc>
        <w:tc>
          <w:tcPr>
            <w:tcW w:w="1167" w:type="dxa"/>
            <w:vAlign w:val="center"/>
          </w:tcPr>
          <w:p w14:paraId="3F3F30D2" w14:textId="77777777" w:rsidR="00292CE7" w:rsidRPr="00292CE7" w:rsidRDefault="00292CE7" w:rsidP="00292CE7">
            <w:pPr>
              <w:rPr>
                <w:rFonts w:ascii="Times New Roman" w:hAnsi="Times New Roman" w:cs="Times New Roman"/>
              </w:rPr>
            </w:pPr>
            <w:r w:rsidRPr="00292CE7">
              <w:rPr>
                <w:rFonts w:ascii="Times New Roman" w:hAnsi="Times New Roman" w:cs="Times New Roman"/>
              </w:rPr>
              <w:t>2.2</w:t>
            </w:r>
          </w:p>
        </w:tc>
        <w:tc>
          <w:tcPr>
            <w:tcW w:w="1081" w:type="dxa"/>
            <w:vAlign w:val="center"/>
          </w:tcPr>
          <w:p w14:paraId="7640B47D" w14:textId="77777777" w:rsidR="00292CE7" w:rsidRPr="00292CE7" w:rsidRDefault="00292CE7" w:rsidP="00292CE7">
            <w:pPr>
              <w:rPr>
                <w:rFonts w:ascii="Times New Roman" w:hAnsi="Times New Roman" w:cs="Times New Roman"/>
              </w:rPr>
            </w:pPr>
            <w:r w:rsidRPr="00292CE7">
              <w:rPr>
                <w:rFonts w:ascii="Times New Roman" w:hAnsi="Times New Roman" w:cs="Times New Roman"/>
              </w:rPr>
              <w:t>132.0</w:t>
            </w:r>
          </w:p>
        </w:tc>
        <w:tc>
          <w:tcPr>
            <w:tcW w:w="4603" w:type="dxa"/>
            <w:vAlign w:val="center"/>
          </w:tcPr>
          <w:p w14:paraId="2B591533" w14:textId="77777777" w:rsidR="00292CE7" w:rsidRPr="00292CE7" w:rsidRDefault="00292CE7" w:rsidP="00292CE7">
            <w:pPr>
              <w:rPr>
                <w:rFonts w:ascii="Times New Roman" w:hAnsi="Times New Roman" w:cs="Times New Roman"/>
              </w:rPr>
            </w:pPr>
            <w:r w:rsidRPr="00292CE7">
              <w:rPr>
                <w:rFonts w:ascii="Times New Roman" w:hAnsi="Times New Roman" w:cs="Times New Roman"/>
              </w:rPr>
              <w:t>Low germination and short seedlings</w:t>
            </w:r>
          </w:p>
        </w:tc>
      </w:tr>
      <w:tr w:rsidR="00292CE7" w:rsidRPr="003240E3" w14:paraId="33D57FEA" w14:textId="77777777" w:rsidTr="00F31590">
        <w:tc>
          <w:tcPr>
            <w:tcW w:w="1309" w:type="dxa"/>
            <w:vAlign w:val="center"/>
          </w:tcPr>
          <w:p w14:paraId="720CC957" w14:textId="77777777" w:rsidR="00292CE7" w:rsidRPr="00292CE7" w:rsidRDefault="00292CE7" w:rsidP="00292CE7">
            <w:pPr>
              <w:rPr>
                <w:rFonts w:ascii="Times New Roman" w:hAnsi="Times New Roman" w:cs="Times New Roman"/>
              </w:rPr>
            </w:pPr>
            <w:r w:rsidRPr="00292CE7">
              <w:rPr>
                <w:rFonts w:ascii="Times New Roman" w:hAnsi="Times New Roman" w:cs="Times New Roman"/>
              </w:rPr>
              <w:t>T₁₆</w:t>
            </w:r>
          </w:p>
        </w:tc>
        <w:tc>
          <w:tcPr>
            <w:tcW w:w="2994" w:type="dxa"/>
            <w:vAlign w:val="center"/>
          </w:tcPr>
          <w:p w14:paraId="6F94F57B" w14:textId="77777777" w:rsidR="00292CE7" w:rsidRPr="00292CE7" w:rsidRDefault="00292CE7" w:rsidP="00292CE7">
            <w:pPr>
              <w:rPr>
                <w:rFonts w:ascii="Times New Roman" w:hAnsi="Times New Roman" w:cs="Times New Roman"/>
              </w:rPr>
            </w:pPr>
            <w:proofErr w:type="spellStart"/>
            <w:r w:rsidRPr="00292CE7">
              <w:rPr>
                <w:rFonts w:ascii="Times New Roman" w:hAnsi="Times New Roman" w:cs="Times New Roman"/>
              </w:rPr>
              <w:t>Trifloxystrobin</w:t>
            </w:r>
            <w:proofErr w:type="spellEnd"/>
            <w:r w:rsidRPr="00292CE7">
              <w:rPr>
                <w:rFonts w:ascii="Times New Roman" w:hAnsi="Times New Roman" w:cs="Times New Roman"/>
              </w:rPr>
              <w:t xml:space="preserve"> 50% WDG</w:t>
            </w:r>
          </w:p>
        </w:tc>
        <w:tc>
          <w:tcPr>
            <w:tcW w:w="1258" w:type="dxa"/>
            <w:vAlign w:val="center"/>
          </w:tcPr>
          <w:p w14:paraId="45FCD461" w14:textId="11F1661C" w:rsidR="00292CE7" w:rsidRPr="00F31590" w:rsidRDefault="00292CE7" w:rsidP="00292CE7">
            <w:pPr>
              <w:rPr>
                <w:rFonts w:ascii="Times New Roman" w:hAnsi="Times New Roman" w:cs="Times New Roman"/>
              </w:rPr>
            </w:pPr>
            <w:r w:rsidRPr="00F31590">
              <w:rPr>
                <w:rFonts w:ascii="Times New Roman" w:hAnsi="Times New Roman" w:cs="Times New Roman"/>
              </w:rPr>
              <w:t>0.1% w/v</w:t>
            </w:r>
          </w:p>
        </w:tc>
        <w:tc>
          <w:tcPr>
            <w:tcW w:w="1536" w:type="dxa"/>
            <w:vAlign w:val="center"/>
          </w:tcPr>
          <w:p w14:paraId="409A58A9" w14:textId="25F51394" w:rsidR="00292CE7" w:rsidRPr="00292CE7" w:rsidRDefault="00292CE7" w:rsidP="00292CE7">
            <w:pPr>
              <w:rPr>
                <w:rFonts w:ascii="Times New Roman" w:hAnsi="Times New Roman" w:cs="Times New Roman"/>
              </w:rPr>
            </w:pPr>
            <w:r w:rsidRPr="00292CE7">
              <w:rPr>
                <w:rFonts w:ascii="Times New Roman" w:hAnsi="Times New Roman" w:cs="Times New Roman"/>
              </w:rPr>
              <w:t>73</w:t>
            </w:r>
          </w:p>
        </w:tc>
        <w:tc>
          <w:tcPr>
            <w:tcW w:w="1167" w:type="dxa"/>
            <w:vAlign w:val="center"/>
          </w:tcPr>
          <w:p w14:paraId="7C48114D" w14:textId="77777777" w:rsidR="00292CE7" w:rsidRPr="00292CE7" w:rsidRDefault="00292CE7" w:rsidP="00292CE7">
            <w:pPr>
              <w:rPr>
                <w:rFonts w:ascii="Times New Roman" w:hAnsi="Times New Roman" w:cs="Times New Roman"/>
              </w:rPr>
            </w:pPr>
            <w:r w:rsidRPr="00292CE7">
              <w:rPr>
                <w:rFonts w:ascii="Times New Roman" w:hAnsi="Times New Roman" w:cs="Times New Roman"/>
              </w:rPr>
              <w:t>2.6</w:t>
            </w:r>
          </w:p>
        </w:tc>
        <w:tc>
          <w:tcPr>
            <w:tcW w:w="1081" w:type="dxa"/>
            <w:vAlign w:val="center"/>
          </w:tcPr>
          <w:p w14:paraId="73CCA2DE" w14:textId="77777777" w:rsidR="00292CE7" w:rsidRPr="00292CE7" w:rsidRDefault="00292CE7" w:rsidP="00292CE7">
            <w:pPr>
              <w:rPr>
                <w:rFonts w:ascii="Times New Roman" w:hAnsi="Times New Roman" w:cs="Times New Roman"/>
              </w:rPr>
            </w:pPr>
            <w:r w:rsidRPr="00292CE7">
              <w:rPr>
                <w:rFonts w:ascii="Times New Roman" w:hAnsi="Times New Roman" w:cs="Times New Roman"/>
              </w:rPr>
              <w:t>189.8</w:t>
            </w:r>
          </w:p>
        </w:tc>
        <w:tc>
          <w:tcPr>
            <w:tcW w:w="4603" w:type="dxa"/>
            <w:vAlign w:val="center"/>
          </w:tcPr>
          <w:p w14:paraId="0C910E12" w14:textId="77777777" w:rsidR="00292CE7" w:rsidRPr="00292CE7" w:rsidRDefault="00292CE7" w:rsidP="00292CE7">
            <w:pPr>
              <w:rPr>
                <w:rFonts w:ascii="Times New Roman" w:hAnsi="Times New Roman" w:cs="Times New Roman"/>
              </w:rPr>
            </w:pPr>
            <w:r w:rsidRPr="00292CE7">
              <w:rPr>
                <w:rFonts w:ascii="Times New Roman" w:hAnsi="Times New Roman" w:cs="Times New Roman"/>
              </w:rPr>
              <w:t>Good moderate germination with good medium shoot growth</w:t>
            </w:r>
          </w:p>
        </w:tc>
      </w:tr>
      <w:tr w:rsidR="00292CE7" w:rsidRPr="003240E3" w14:paraId="60E7B5BC" w14:textId="77777777" w:rsidTr="00292CE7">
        <w:tc>
          <w:tcPr>
            <w:tcW w:w="1309" w:type="dxa"/>
            <w:vAlign w:val="center"/>
          </w:tcPr>
          <w:p w14:paraId="2098F067" w14:textId="77777777" w:rsidR="00292CE7" w:rsidRPr="00292CE7" w:rsidRDefault="00292CE7" w:rsidP="00292CE7">
            <w:pPr>
              <w:rPr>
                <w:rFonts w:ascii="Times New Roman" w:hAnsi="Times New Roman" w:cs="Times New Roman"/>
              </w:rPr>
            </w:pPr>
            <w:r w:rsidRPr="00292CE7">
              <w:rPr>
                <w:rFonts w:ascii="Times New Roman" w:hAnsi="Times New Roman" w:cs="Times New Roman"/>
              </w:rPr>
              <w:t>T₁₇</w:t>
            </w:r>
          </w:p>
        </w:tc>
        <w:tc>
          <w:tcPr>
            <w:tcW w:w="2994" w:type="dxa"/>
            <w:vAlign w:val="center"/>
          </w:tcPr>
          <w:p w14:paraId="264B6255" w14:textId="77777777" w:rsidR="00292CE7" w:rsidRPr="00292CE7" w:rsidRDefault="00292CE7" w:rsidP="00292CE7">
            <w:pPr>
              <w:rPr>
                <w:rFonts w:ascii="Times New Roman" w:hAnsi="Times New Roman" w:cs="Times New Roman"/>
              </w:rPr>
            </w:pPr>
            <w:r w:rsidRPr="00292CE7">
              <w:rPr>
                <w:rFonts w:ascii="Times New Roman" w:hAnsi="Times New Roman" w:cs="Times New Roman"/>
              </w:rPr>
              <w:t>Control (untreated)</w:t>
            </w:r>
          </w:p>
        </w:tc>
        <w:tc>
          <w:tcPr>
            <w:tcW w:w="1258" w:type="dxa"/>
          </w:tcPr>
          <w:p w14:paraId="4DF48DD7" w14:textId="104ED4A6" w:rsidR="00292CE7" w:rsidRPr="00292CE7" w:rsidRDefault="00292CE7" w:rsidP="00292CE7"/>
        </w:tc>
        <w:tc>
          <w:tcPr>
            <w:tcW w:w="1536" w:type="dxa"/>
            <w:vAlign w:val="center"/>
          </w:tcPr>
          <w:p w14:paraId="35081239" w14:textId="0F6C6F3F" w:rsidR="00292CE7" w:rsidRPr="00292CE7" w:rsidRDefault="00292CE7" w:rsidP="00292CE7">
            <w:pPr>
              <w:rPr>
                <w:rFonts w:ascii="Times New Roman" w:hAnsi="Times New Roman" w:cs="Times New Roman"/>
              </w:rPr>
            </w:pPr>
            <w:r w:rsidRPr="00292CE7">
              <w:rPr>
                <w:rFonts w:ascii="Times New Roman" w:hAnsi="Times New Roman" w:cs="Times New Roman"/>
              </w:rPr>
              <w:t>56</w:t>
            </w:r>
          </w:p>
        </w:tc>
        <w:tc>
          <w:tcPr>
            <w:tcW w:w="1167" w:type="dxa"/>
            <w:vAlign w:val="center"/>
          </w:tcPr>
          <w:p w14:paraId="11AFE928" w14:textId="77777777" w:rsidR="00292CE7" w:rsidRPr="00292CE7" w:rsidRDefault="00292CE7" w:rsidP="00292CE7">
            <w:pPr>
              <w:rPr>
                <w:rFonts w:ascii="Times New Roman" w:hAnsi="Times New Roman" w:cs="Times New Roman"/>
              </w:rPr>
            </w:pPr>
            <w:r w:rsidRPr="00292CE7">
              <w:rPr>
                <w:rFonts w:ascii="Times New Roman" w:hAnsi="Times New Roman" w:cs="Times New Roman"/>
              </w:rPr>
              <w:t>2.0</w:t>
            </w:r>
          </w:p>
        </w:tc>
        <w:tc>
          <w:tcPr>
            <w:tcW w:w="1081" w:type="dxa"/>
            <w:vAlign w:val="center"/>
          </w:tcPr>
          <w:p w14:paraId="24904BD8" w14:textId="77777777" w:rsidR="00292CE7" w:rsidRPr="00292CE7" w:rsidRDefault="00292CE7" w:rsidP="00292CE7">
            <w:pPr>
              <w:rPr>
                <w:rFonts w:ascii="Times New Roman" w:hAnsi="Times New Roman" w:cs="Times New Roman"/>
              </w:rPr>
            </w:pPr>
            <w:r w:rsidRPr="00292CE7">
              <w:rPr>
                <w:rFonts w:ascii="Times New Roman" w:hAnsi="Times New Roman" w:cs="Times New Roman"/>
              </w:rPr>
              <w:t>112.0</w:t>
            </w:r>
          </w:p>
        </w:tc>
        <w:tc>
          <w:tcPr>
            <w:tcW w:w="4603" w:type="dxa"/>
            <w:vAlign w:val="center"/>
          </w:tcPr>
          <w:p w14:paraId="4EBA6CAB" w14:textId="77777777" w:rsidR="00292CE7" w:rsidRPr="00292CE7" w:rsidRDefault="00292CE7" w:rsidP="00292CE7">
            <w:pPr>
              <w:rPr>
                <w:rFonts w:ascii="Times New Roman" w:hAnsi="Times New Roman" w:cs="Times New Roman"/>
              </w:rPr>
            </w:pPr>
            <w:r w:rsidRPr="00292CE7">
              <w:rPr>
                <w:rFonts w:ascii="Times New Roman" w:hAnsi="Times New Roman" w:cs="Times New Roman"/>
              </w:rPr>
              <w:t xml:space="preserve">Sparse germination </w:t>
            </w:r>
          </w:p>
        </w:tc>
      </w:tr>
      <w:tr w:rsidR="00292CE7" w:rsidRPr="003240E3" w14:paraId="4DE9FDD1" w14:textId="77777777" w:rsidTr="00292CE7">
        <w:tc>
          <w:tcPr>
            <w:tcW w:w="1309" w:type="dxa"/>
            <w:vAlign w:val="center"/>
          </w:tcPr>
          <w:p w14:paraId="3433D06E" w14:textId="77777777" w:rsidR="00292CE7" w:rsidRPr="00292CE7" w:rsidRDefault="00292CE7" w:rsidP="00292CE7">
            <w:pPr>
              <w:rPr>
                <w:rFonts w:ascii="Times New Roman" w:hAnsi="Times New Roman" w:cs="Times New Roman"/>
              </w:rPr>
            </w:pPr>
          </w:p>
        </w:tc>
        <w:tc>
          <w:tcPr>
            <w:tcW w:w="2994" w:type="dxa"/>
            <w:vAlign w:val="center"/>
          </w:tcPr>
          <w:p w14:paraId="42CFCB5A" w14:textId="77777777" w:rsidR="00292CE7" w:rsidRPr="00292CE7" w:rsidRDefault="00292CE7" w:rsidP="00292CE7">
            <w:pPr>
              <w:rPr>
                <w:rFonts w:ascii="Times New Roman" w:hAnsi="Times New Roman" w:cs="Times New Roman"/>
              </w:rPr>
            </w:pPr>
            <w:proofErr w:type="spellStart"/>
            <w:r w:rsidRPr="00292CE7">
              <w:rPr>
                <w:rFonts w:ascii="Times New Roman" w:hAnsi="Times New Roman" w:cs="Times New Roman"/>
              </w:rPr>
              <w:t>SEm</w:t>
            </w:r>
            <w:proofErr w:type="spellEnd"/>
            <w:r w:rsidRPr="00292CE7">
              <w:rPr>
                <w:rFonts w:ascii="Times New Roman" w:hAnsi="Times New Roman" w:cs="Times New Roman"/>
              </w:rPr>
              <w:t xml:space="preserve"> (±)</w:t>
            </w:r>
          </w:p>
        </w:tc>
        <w:tc>
          <w:tcPr>
            <w:tcW w:w="1258" w:type="dxa"/>
          </w:tcPr>
          <w:p w14:paraId="20CD0518" w14:textId="77777777" w:rsidR="00292CE7" w:rsidRPr="00292CE7" w:rsidRDefault="00292CE7" w:rsidP="00292CE7"/>
        </w:tc>
        <w:tc>
          <w:tcPr>
            <w:tcW w:w="1536" w:type="dxa"/>
            <w:vAlign w:val="center"/>
          </w:tcPr>
          <w:p w14:paraId="38B908CC" w14:textId="39F255A9" w:rsidR="00292CE7" w:rsidRPr="00292CE7" w:rsidRDefault="00292CE7" w:rsidP="00292CE7">
            <w:pPr>
              <w:rPr>
                <w:rFonts w:ascii="Times New Roman" w:hAnsi="Times New Roman" w:cs="Times New Roman"/>
              </w:rPr>
            </w:pPr>
            <w:r w:rsidRPr="00292CE7">
              <w:rPr>
                <w:rFonts w:ascii="Times New Roman" w:hAnsi="Times New Roman" w:cs="Times New Roman"/>
              </w:rPr>
              <w:t>0.91</w:t>
            </w:r>
          </w:p>
        </w:tc>
        <w:tc>
          <w:tcPr>
            <w:tcW w:w="1167" w:type="dxa"/>
            <w:vAlign w:val="center"/>
          </w:tcPr>
          <w:p w14:paraId="2D93506E" w14:textId="77777777" w:rsidR="00292CE7" w:rsidRPr="00292CE7" w:rsidRDefault="00292CE7" w:rsidP="00292CE7">
            <w:pPr>
              <w:rPr>
                <w:rFonts w:ascii="Times New Roman" w:hAnsi="Times New Roman" w:cs="Times New Roman"/>
              </w:rPr>
            </w:pPr>
            <w:r w:rsidRPr="00292CE7">
              <w:rPr>
                <w:rFonts w:ascii="Times New Roman" w:hAnsi="Times New Roman" w:cs="Times New Roman"/>
              </w:rPr>
              <w:t>0.04</w:t>
            </w:r>
          </w:p>
        </w:tc>
        <w:tc>
          <w:tcPr>
            <w:tcW w:w="1081" w:type="dxa"/>
            <w:vAlign w:val="center"/>
          </w:tcPr>
          <w:p w14:paraId="07814908" w14:textId="77777777" w:rsidR="00292CE7" w:rsidRPr="00292CE7" w:rsidRDefault="00292CE7" w:rsidP="00292CE7">
            <w:pPr>
              <w:rPr>
                <w:rFonts w:ascii="Times New Roman" w:hAnsi="Times New Roman" w:cs="Times New Roman"/>
              </w:rPr>
            </w:pPr>
            <w:r w:rsidRPr="00292CE7">
              <w:rPr>
                <w:rFonts w:ascii="Times New Roman" w:hAnsi="Times New Roman" w:cs="Times New Roman"/>
              </w:rPr>
              <w:t>11.24</w:t>
            </w:r>
          </w:p>
        </w:tc>
        <w:tc>
          <w:tcPr>
            <w:tcW w:w="4603" w:type="dxa"/>
            <w:vAlign w:val="center"/>
          </w:tcPr>
          <w:p w14:paraId="05DB6CCF" w14:textId="77777777" w:rsidR="00292CE7" w:rsidRPr="00292CE7" w:rsidRDefault="00292CE7" w:rsidP="00292CE7">
            <w:pPr>
              <w:rPr>
                <w:rFonts w:ascii="Times New Roman" w:hAnsi="Times New Roman" w:cs="Times New Roman"/>
              </w:rPr>
            </w:pPr>
          </w:p>
        </w:tc>
      </w:tr>
      <w:tr w:rsidR="00292CE7" w:rsidRPr="003240E3" w14:paraId="2FE1751C" w14:textId="77777777" w:rsidTr="00292CE7">
        <w:tc>
          <w:tcPr>
            <w:tcW w:w="1309" w:type="dxa"/>
            <w:vAlign w:val="center"/>
          </w:tcPr>
          <w:p w14:paraId="24BB12BE" w14:textId="77777777" w:rsidR="00292CE7" w:rsidRPr="00292CE7" w:rsidRDefault="00292CE7" w:rsidP="00292CE7">
            <w:pPr>
              <w:rPr>
                <w:rFonts w:ascii="Times New Roman" w:hAnsi="Times New Roman" w:cs="Times New Roman"/>
              </w:rPr>
            </w:pPr>
          </w:p>
        </w:tc>
        <w:tc>
          <w:tcPr>
            <w:tcW w:w="2994" w:type="dxa"/>
            <w:vAlign w:val="center"/>
          </w:tcPr>
          <w:p w14:paraId="37CAD85E" w14:textId="77777777" w:rsidR="00292CE7" w:rsidRPr="00292CE7" w:rsidRDefault="00292CE7" w:rsidP="00292CE7">
            <w:pPr>
              <w:rPr>
                <w:rFonts w:ascii="Times New Roman" w:hAnsi="Times New Roman" w:cs="Times New Roman"/>
              </w:rPr>
            </w:pPr>
            <w:r w:rsidRPr="00292CE7">
              <w:rPr>
                <w:rFonts w:ascii="Times New Roman" w:hAnsi="Times New Roman" w:cs="Times New Roman"/>
              </w:rPr>
              <w:t>CD (5%)</w:t>
            </w:r>
          </w:p>
        </w:tc>
        <w:tc>
          <w:tcPr>
            <w:tcW w:w="1258" w:type="dxa"/>
          </w:tcPr>
          <w:p w14:paraId="378C8F53" w14:textId="735EA0E1" w:rsidR="00292CE7" w:rsidRPr="00292CE7" w:rsidRDefault="00292CE7" w:rsidP="00292CE7"/>
        </w:tc>
        <w:tc>
          <w:tcPr>
            <w:tcW w:w="1536" w:type="dxa"/>
            <w:vAlign w:val="center"/>
          </w:tcPr>
          <w:p w14:paraId="7BDB63B7" w14:textId="7449353E" w:rsidR="00292CE7" w:rsidRPr="00292CE7" w:rsidRDefault="00292CE7" w:rsidP="00292CE7">
            <w:pPr>
              <w:rPr>
                <w:rFonts w:ascii="Times New Roman" w:hAnsi="Times New Roman" w:cs="Times New Roman"/>
              </w:rPr>
            </w:pPr>
            <w:r w:rsidRPr="00292CE7">
              <w:rPr>
                <w:rFonts w:ascii="Times New Roman" w:hAnsi="Times New Roman" w:cs="Times New Roman"/>
              </w:rPr>
              <w:t>2.63</w:t>
            </w:r>
          </w:p>
        </w:tc>
        <w:tc>
          <w:tcPr>
            <w:tcW w:w="1167" w:type="dxa"/>
            <w:vAlign w:val="center"/>
          </w:tcPr>
          <w:p w14:paraId="2A8D4DF5" w14:textId="77777777" w:rsidR="00292CE7" w:rsidRPr="00292CE7" w:rsidRDefault="00292CE7" w:rsidP="00292CE7">
            <w:pPr>
              <w:rPr>
                <w:rFonts w:ascii="Times New Roman" w:hAnsi="Times New Roman" w:cs="Times New Roman"/>
              </w:rPr>
            </w:pPr>
            <w:r w:rsidRPr="00292CE7">
              <w:rPr>
                <w:rFonts w:ascii="Times New Roman" w:hAnsi="Times New Roman" w:cs="Times New Roman"/>
              </w:rPr>
              <w:t>0.12</w:t>
            </w:r>
          </w:p>
        </w:tc>
        <w:tc>
          <w:tcPr>
            <w:tcW w:w="1081" w:type="dxa"/>
            <w:vAlign w:val="center"/>
          </w:tcPr>
          <w:p w14:paraId="09F467D4" w14:textId="77777777" w:rsidR="00292CE7" w:rsidRPr="00292CE7" w:rsidRDefault="00292CE7" w:rsidP="00292CE7">
            <w:pPr>
              <w:rPr>
                <w:rFonts w:ascii="Times New Roman" w:hAnsi="Times New Roman" w:cs="Times New Roman"/>
              </w:rPr>
            </w:pPr>
            <w:r w:rsidRPr="00292CE7">
              <w:rPr>
                <w:rFonts w:ascii="Times New Roman" w:hAnsi="Times New Roman" w:cs="Times New Roman"/>
              </w:rPr>
              <w:t>32.56</w:t>
            </w:r>
          </w:p>
        </w:tc>
        <w:tc>
          <w:tcPr>
            <w:tcW w:w="4603" w:type="dxa"/>
            <w:vAlign w:val="center"/>
          </w:tcPr>
          <w:p w14:paraId="003FEFDC" w14:textId="77777777" w:rsidR="00292CE7" w:rsidRPr="00292CE7" w:rsidRDefault="00292CE7" w:rsidP="00292CE7">
            <w:pPr>
              <w:rPr>
                <w:rFonts w:ascii="Times New Roman" w:hAnsi="Times New Roman" w:cs="Times New Roman"/>
              </w:rPr>
            </w:pPr>
          </w:p>
        </w:tc>
      </w:tr>
    </w:tbl>
    <w:p w14:paraId="775670C3" w14:textId="77777777" w:rsidR="00F7481C" w:rsidRDefault="00F7481C" w:rsidP="00F7481C">
      <w:pPr>
        <w:spacing w:line="276" w:lineRule="auto"/>
        <w:jc w:val="both"/>
        <w:outlineLvl w:val="2"/>
        <w:rPr>
          <w:b/>
          <w:bCs/>
          <w:sz w:val="27"/>
          <w:szCs w:val="27"/>
        </w:rPr>
        <w:sectPr w:rsidR="00F7481C" w:rsidSect="00F7481C">
          <w:pgSz w:w="16838" w:h="11906" w:orient="landscape"/>
          <w:pgMar w:top="1440" w:right="1440" w:bottom="1440" w:left="1440" w:header="708" w:footer="708" w:gutter="0"/>
          <w:cols w:space="708"/>
          <w:docGrid w:linePitch="360"/>
        </w:sectPr>
      </w:pPr>
    </w:p>
    <w:p w14:paraId="4A30DCE7" w14:textId="77777777" w:rsidR="00F7481C" w:rsidRPr="000C5A38" w:rsidRDefault="00F7481C" w:rsidP="00F7481C">
      <w:pPr>
        <w:spacing w:before="240" w:after="240" w:line="324" w:lineRule="auto"/>
        <w:jc w:val="both"/>
        <w:rPr>
          <w:sz w:val="25"/>
          <w:szCs w:val="25"/>
        </w:rPr>
      </w:pPr>
      <w:r>
        <w:rPr>
          <w:noProof/>
        </w:rPr>
        <w:lastRenderedPageBreak/>
        <w:drawing>
          <wp:anchor distT="0" distB="0" distL="114300" distR="114300" simplePos="0" relativeHeight="251676672" behindDoc="0" locked="0" layoutInCell="1" allowOverlap="1" wp14:anchorId="7B1724ED" wp14:editId="41F08006">
            <wp:simplePos x="0" y="0"/>
            <wp:positionH relativeFrom="margin">
              <wp:posOffset>-38100</wp:posOffset>
            </wp:positionH>
            <wp:positionV relativeFrom="paragraph">
              <wp:posOffset>0</wp:posOffset>
            </wp:positionV>
            <wp:extent cx="4503420" cy="2697480"/>
            <wp:effectExtent l="0" t="0" r="11430" b="7620"/>
            <wp:wrapSquare wrapText="bothSides"/>
            <wp:docPr id="1075393746"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7696" behindDoc="0" locked="0" layoutInCell="1" allowOverlap="1" wp14:anchorId="426C3D9F" wp14:editId="4D84D5A0">
            <wp:simplePos x="0" y="0"/>
            <wp:positionH relativeFrom="margin">
              <wp:posOffset>4488180</wp:posOffset>
            </wp:positionH>
            <wp:positionV relativeFrom="paragraph">
              <wp:posOffset>0</wp:posOffset>
            </wp:positionV>
            <wp:extent cx="4373880" cy="2636520"/>
            <wp:effectExtent l="0" t="0" r="7620" b="11430"/>
            <wp:wrapNone/>
            <wp:docPr id="113230312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14:sizeRelH relativeFrom="margin">
              <wp14:pctWidth>0</wp14:pctWidth>
            </wp14:sizeRelH>
            <wp14:sizeRelV relativeFrom="margin">
              <wp14:pctHeight>0</wp14:pctHeight>
            </wp14:sizeRelV>
          </wp:anchor>
        </w:drawing>
      </w:r>
    </w:p>
    <w:p w14:paraId="4F9771B1" w14:textId="77777777" w:rsidR="00F7481C" w:rsidRDefault="00F7481C" w:rsidP="00F7481C">
      <w:pPr>
        <w:spacing w:before="240" w:after="240" w:line="324" w:lineRule="auto"/>
        <w:jc w:val="both"/>
        <w:rPr>
          <w:sz w:val="25"/>
          <w:szCs w:val="25"/>
        </w:rPr>
      </w:pPr>
    </w:p>
    <w:p w14:paraId="7FF18317" w14:textId="77777777" w:rsidR="00F7481C" w:rsidRDefault="00F7481C" w:rsidP="00F7481C">
      <w:pPr>
        <w:spacing w:before="240" w:after="240" w:line="324" w:lineRule="auto"/>
        <w:jc w:val="both"/>
        <w:rPr>
          <w:sz w:val="25"/>
          <w:szCs w:val="25"/>
        </w:rPr>
      </w:pPr>
    </w:p>
    <w:p w14:paraId="6F3F09DB" w14:textId="77777777" w:rsidR="00F7481C" w:rsidRDefault="00F7481C" w:rsidP="00F7481C">
      <w:pPr>
        <w:spacing w:before="240" w:after="240" w:line="324" w:lineRule="auto"/>
        <w:jc w:val="both"/>
        <w:rPr>
          <w:sz w:val="25"/>
          <w:szCs w:val="25"/>
        </w:rPr>
      </w:pPr>
    </w:p>
    <w:p w14:paraId="606A042D" w14:textId="77777777" w:rsidR="00F7481C" w:rsidRDefault="00F7481C" w:rsidP="00F7481C">
      <w:pPr>
        <w:spacing w:before="240" w:after="240" w:line="324" w:lineRule="auto"/>
        <w:jc w:val="both"/>
        <w:rPr>
          <w:sz w:val="25"/>
          <w:szCs w:val="25"/>
        </w:rPr>
      </w:pPr>
    </w:p>
    <w:p w14:paraId="5E2F28A8" w14:textId="77777777" w:rsidR="00F7481C" w:rsidRDefault="00F7481C" w:rsidP="00F7481C">
      <w:pPr>
        <w:spacing w:before="240" w:after="240" w:line="324" w:lineRule="auto"/>
        <w:jc w:val="both"/>
        <w:rPr>
          <w:sz w:val="25"/>
          <w:szCs w:val="25"/>
        </w:rPr>
      </w:pPr>
    </w:p>
    <w:p w14:paraId="5237ADF7" w14:textId="77777777" w:rsidR="00F7481C" w:rsidRDefault="00F7481C" w:rsidP="00F7481C">
      <w:pPr>
        <w:spacing w:before="240" w:after="240" w:line="324" w:lineRule="auto"/>
        <w:jc w:val="both"/>
        <w:rPr>
          <w:sz w:val="25"/>
          <w:szCs w:val="25"/>
        </w:rPr>
      </w:pPr>
      <w:r>
        <w:rPr>
          <w:noProof/>
        </w:rPr>
        <w:drawing>
          <wp:anchor distT="0" distB="0" distL="114300" distR="114300" simplePos="0" relativeHeight="251678720" behindDoc="0" locked="0" layoutInCell="1" allowOverlap="1" wp14:anchorId="7C04454C" wp14:editId="4AE35D35">
            <wp:simplePos x="0" y="0"/>
            <wp:positionH relativeFrom="column">
              <wp:posOffset>-91440</wp:posOffset>
            </wp:positionH>
            <wp:positionV relativeFrom="paragraph">
              <wp:posOffset>106045</wp:posOffset>
            </wp:positionV>
            <wp:extent cx="4709160" cy="2598420"/>
            <wp:effectExtent l="0" t="0" r="15240" b="11430"/>
            <wp:wrapSquare wrapText="bothSides"/>
            <wp:docPr id="1172436945"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14:sizeRelV relativeFrom="margin">
              <wp14:pctHeight>0</wp14:pctHeight>
            </wp14:sizeRelV>
          </wp:anchor>
        </w:drawing>
      </w:r>
      <w:r>
        <w:rPr>
          <w:b/>
          <w:bCs/>
          <w:noProof/>
        </w:rPr>
        <w:drawing>
          <wp:anchor distT="0" distB="0" distL="114300" distR="114300" simplePos="0" relativeHeight="251679744" behindDoc="0" locked="0" layoutInCell="1" allowOverlap="1" wp14:anchorId="0F7BA9FA" wp14:editId="163488A1">
            <wp:simplePos x="0" y="0"/>
            <wp:positionH relativeFrom="margin">
              <wp:align>right</wp:align>
            </wp:positionH>
            <wp:positionV relativeFrom="paragraph">
              <wp:posOffset>52705</wp:posOffset>
            </wp:positionV>
            <wp:extent cx="4259580" cy="2727960"/>
            <wp:effectExtent l="0" t="0" r="7620" b="15240"/>
            <wp:wrapNone/>
            <wp:docPr id="1402932547"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margin">
              <wp14:pctWidth>0</wp14:pctWidth>
            </wp14:sizeRelH>
            <wp14:sizeRelV relativeFrom="margin">
              <wp14:pctHeight>0</wp14:pctHeight>
            </wp14:sizeRelV>
          </wp:anchor>
        </w:drawing>
      </w:r>
    </w:p>
    <w:p w14:paraId="3D19BD04" w14:textId="77777777" w:rsidR="00F7481C" w:rsidRDefault="00F7481C" w:rsidP="00F7481C">
      <w:pPr>
        <w:spacing w:before="240" w:after="240" w:line="324" w:lineRule="auto"/>
        <w:jc w:val="both"/>
        <w:rPr>
          <w:sz w:val="25"/>
          <w:szCs w:val="25"/>
        </w:rPr>
      </w:pPr>
    </w:p>
    <w:p w14:paraId="1F750597" w14:textId="77777777" w:rsidR="00F7481C" w:rsidRDefault="00F7481C" w:rsidP="00F7481C">
      <w:pPr>
        <w:spacing w:before="240" w:after="240" w:line="324" w:lineRule="auto"/>
        <w:jc w:val="both"/>
        <w:rPr>
          <w:sz w:val="25"/>
          <w:szCs w:val="25"/>
        </w:rPr>
      </w:pPr>
    </w:p>
    <w:p w14:paraId="6764421A" w14:textId="77777777" w:rsidR="00F7481C" w:rsidRDefault="00F7481C" w:rsidP="00F7481C">
      <w:pPr>
        <w:spacing w:before="240" w:after="240" w:line="324" w:lineRule="auto"/>
        <w:jc w:val="both"/>
        <w:rPr>
          <w:sz w:val="25"/>
          <w:szCs w:val="25"/>
        </w:rPr>
      </w:pPr>
    </w:p>
    <w:p w14:paraId="0C48CDE5" w14:textId="77777777" w:rsidR="00F7481C" w:rsidRDefault="00F7481C" w:rsidP="00F7481C">
      <w:pPr>
        <w:spacing w:before="240" w:after="240" w:line="324" w:lineRule="auto"/>
        <w:jc w:val="both"/>
        <w:rPr>
          <w:sz w:val="25"/>
          <w:szCs w:val="25"/>
        </w:rPr>
      </w:pPr>
    </w:p>
    <w:p w14:paraId="600F73A0" w14:textId="77777777" w:rsidR="00F7481C" w:rsidRDefault="00F7481C" w:rsidP="00F7481C">
      <w:pPr>
        <w:spacing w:before="240" w:after="240" w:line="324" w:lineRule="auto"/>
        <w:jc w:val="both"/>
        <w:rPr>
          <w:sz w:val="25"/>
          <w:szCs w:val="25"/>
        </w:rPr>
      </w:pPr>
    </w:p>
    <w:p w14:paraId="4BD3AC1F" w14:textId="77777777" w:rsidR="00F7481C" w:rsidRDefault="00F7481C" w:rsidP="00F7481C">
      <w:pPr>
        <w:spacing w:before="240" w:after="240" w:line="324" w:lineRule="auto"/>
        <w:jc w:val="both"/>
        <w:rPr>
          <w:sz w:val="25"/>
          <w:szCs w:val="25"/>
        </w:rPr>
      </w:pPr>
    </w:p>
    <w:p w14:paraId="127F09CA" w14:textId="428027A6" w:rsidR="00F7481C" w:rsidRPr="00261A7B" w:rsidRDefault="00F7481C" w:rsidP="00F7481C">
      <w:pPr>
        <w:spacing w:line="276" w:lineRule="auto"/>
        <w:jc w:val="center"/>
        <w:outlineLvl w:val="2"/>
        <w:rPr>
          <w:b/>
          <w:bCs/>
          <w:sz w:val="26"/>
          <w:szCs w:val="26"/>
        </w:rPr>
      </w:pPr>
      <w:r>
        <w:rPr>
          <w:b/>
          <w:bCs/>
          <w:sz w:val="26"/>
          <w:szCs w:val="26"/>
        </w:rPr>
        <w:t>Fig. 1: Effect of different bioagents, botanical extracts and fungicides on seed germination</w:t>
      </w:r>
    </w:p>
    <w:tbl>
      <w:tblPr>
        <w:tblStyle w:val="TableGrid"/>
        <w:tblpPr w:leftFromText="180" w:rightFromText="180" w:vertAnchor="page" w:horzAnchor="margin" w:tblpXSpec="center" w:tblpY="1201"/>
        <w:tblW w:w="123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6"/>
        <w:gridCol w:w="2126"/>
        <w:gridCol w:w="1985"/>
        <w:gridCol w:w="1984"/>
        <w:gridCol w:w="2070"/>
        <w:gridCol w:w="2037"/>
      </w:tblGrid>
      <w:tr w:rsidR="00F7481C" w:rsidRPr="00F415F4" w14:paraId="3CD8318B" w14:textId="77777777" w:rsidTr="00265DEC">
        <w:trPr>
          <w:trHeight w:val="2050"/>
        </w:trPr>
        <w:tc>
          <w:tcPr>
            <w:tcW w:w="2126" w:type="dxa"/>
          </w:tcPr>
          <w:p w14:paraId="2EA74CC5" w14:textId="77777777" w:rsidR="00F7481C" w:rsidRPr="00F415F4" w:rsidRDefault="00F7481C" w:rsidP="00265DEC">
            <w:pPr>
              <w:rPr>
                <w:b/>
                <w:bCs/>
                <w:sz w:val="24"/>
                <w:szCs w:val="24"/>
              </w:rPr>
            </w:pPr>
            <w:r>
              <w:rPr>
                <w:noProof/>
              </w:rPr>
              <w:lastRenderedPageBreak/>
              <w:drawing>
                <wp:anchor distT="0" distB="0" distL="114300" distR="114300" simplePos="0" relativeHeight="251662336" behindDoc="0" locked="0" layoutInCell="1" allowOverlap="1" wp14:anchorId="786A53CA" wp14:editId="1A7261B5">
                  <wp:simplePos x="0" y="0"/>
                  <wp:positionH relativeFrom="column">
                    <wp:posOffset>1275080</wp:posOffset>
                  </wp:positionH>
                  <wp:positionV relativeFrom="paragraph">
                    <wp:posOffset>1270</wp:posOffset>
                  </wp:positionV>
                  <wp:extent cx="1317625" cy="1310640"/>
                  <wp:effectExtent l="0" t="0" r="0" b="3810"/>
                  <wp:wrapNone/>
                  <wp:docPr id="286201359" name="Picture 16">
                    <a:extLst xmlns:a="http://schemas.openxmlformats.org/drawingml/2006/main">
                      <a:ext uri="{FF2B5EF4-FFF2-40B4-BE49-F238E27FC236}">
                        <a16:creationId xmlns:a16="http://schemas.microsoft.com/office/drawing/2014/main" id="{D142000C-270D-7348-6475-E0B34687611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6">
                            <a:extLst>
                              <a:ext uri="{FF2B5EF4-FFF2-40B4-BE49-F238E27FC236}">
                                <a16:creationId xmlns:a16="http://schemas.microsoft.com/office/drawing/2014/main" id="{D142000C-270D-7348-6475-E0B346876116}"/>
                              </a:ext>
                            </a:extLst>
                          </pic:cNvPr>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17625" cy="131064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5B438609" wp14:editId="0FFA8FFC">
                  <wp:simplePos x="0" y="0"/>
                  <wp:positionH relativeFrom="column">
                    <wp:posOffset>-73660</wp:posOffset>
                  </wp:positionH>
                  <wp:positionV relativeFrom="paragraph">
                    <wp:posOffset>1270</wp:posOffset>
                  </wp:positionV>
                  <wp:extent cx="1348740" cy="1291590"/>
                  <wp:effectExtent l="0" t="0" r="3810" b="3810"/>
                  <wp:wrapNone/>
                  <wp:docPr id="1624569139" name="Picture 24">
                    <a:extLst xmlns:a="http://schemas.openxmlformats.org/drawingml/2006/main">
                      <a:ext uri="{FF2B5EF4-FFF2-40B4-BE49-F238E27FC236}">
                        <a16:creationId xmlns:a16="http://schemas.microsoft.com/office/drawing/2014/main" id="{5712191B-DF35-2DBE-D656-8BBC01AB0B8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4">
                            <a:extLst>
                              <a:ext uri="{FF2B5EF4-FFF2-40B4-BE49-F238E27FC236}">
                                <a16:creationId xmlns:a16="http://schemas.microsoft.com/office/drawing/2014/main" id="{5712191B-DF35-2DBE-D656-8BBC01AB0B89}"/>
                              </a:ext>
                            </a:extLst>
                          </pic:cNvPr>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48952" cy="1291793"/>
                          </a:xfrm>
                          <a:prstGeom prst="rect">
                            <a:avLst/>
                          </a:prstGeom>
                        </pic:spPr>
                      </pic:pic>
                    </a:graphicData>
                  </a:graphic>
                  <wp14:sizeRelH relativeFrom="margin">
                    <wp14:pctWidth>0</wp14:pctWidth>
                  </wp14:sizeRelH>
                  <wp14:sizeRelV relativeFrom="margin">
                    <wp14:pctHeight>0</wp14:pctHeight>
                  </wp14:sizeRelV>
                </wp:anchor>
              </w:drawing>
            </w:r>
          </w:p>
        </w:tc>
        <w:tc>
          <w:tcPr>
            <w:tcW w:w="2126" w:type="dxa"/>
          </w:tcPr>
          <w:p w14:paraId="6338F8DB" w14:textId="77777777" w:rsidR="00F7481C" w:rsidRPr="00F415F4" w:rsidRDefault="00F7481C" w:rsidP="00265DEC">
            <w:pPr>
              <w:rPr>
                <w:b/>
                <w:bCs/>
                <w:sz w:val="24"/>
                <w:szCs w:val="24"/>
              </w:rPr>
            </w:pPr>
          </w:p>
        </w:tc>
        <w:tc>
          <w:tcPr>
            <w:tcW w:w="1985" w:type="dxa"/>
          </w:tcPr>
          <w:p w14:paraId="1BAFDADA" w14:textId="77777777" w:rsidR="00F7481C" w:rsidRPr="00F415F4" w:rsidRDefault="00F7481C" w:rsidP="00265DEC">
            <w:pPr>
              <w:rPr>
                <w:b/>
                <w:bCs/>
                <w:sz w:val="24"/>
                <w:szCs w:val="24"/>
              </w:rPr>
            </w:pPr>
            <w:r>
              <w:rPr>
                <w:noProof/>
              </w:rPr>
              <w:drawing>
                <wp:anchor distT="0" distB="0" distL="114300" distR="114300" simplePos="0" relativeHeight="251661312" behindDoc="0" locked="0" layoutInCell="1" allowOverlap="1" wp14:anchorId="0B5B2BB2" wp14:editId="190C8297">
                  <wp:simplePos x="0" y="0"/>
                  <wp:positionH relativeFrom="column">
                    <wp:posOffset>-106680</wp:posOffset>
                  </wp:positionH>
                  <wp:positionV relativeFrom="paragraph">
                    <wp:posOffset>1270</wp:posOffset>
                  </wp:positionV>
                  <wp:extent cx="1315720" cy="1310640"/>
                  <wp:effectExtent l="0" t="0" r="0" b="3810"/>
                  <wp:wrapNone/>
                  <wp:docPr id="390799651" name="Picture 22">
                    <a:extLst xmlns:a="http://schemas.openxmlformats.org/drawingml/2006/main">
                      <a:ext uri="{FF2B5EF4-FFF2-40B4-BE49-F238E27FC236}">
                        <a16:creationId xmlns:a16="http://schemas.microsoft.com/office/drawing/2014/main" id="{A9382E67-BD50-6430-8D40-48715F2E19F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2">
                            <a:extLst>
                              <a:ext uri="{FF2B5EF4-FFF2-40B4-BE49-F238E27FC236}">
                                <a16:creationId xmlns:a16="http://schemas.microsoft.com/office/drawing/2014/main" id="{A9382E67-BD50-6430-8D40-48715F2E19F7}"/>
                              </a:ext>
                            </a:extLst>
                          </pic:cNvPr>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15720" cy="1310640"/>
                          </a:xfrm>
                          <a:prstGeom prst="rect">
                            <a:avLst/>
                          </a:prstGeom>
                        </pic:spPr>
                      </pic:pic>
                    </a:graphicData>
                  </a:graphic>
                  <wp14:sizeRelH relativeFrom="margin">
                    <wp14:pctWidth>0</wp14:pctWidth>
                  </wp14:sizeRelH>
                  <wp14:sizeRelV relativeFrom="margin">
                    <wp14:pctHeight>0</wp14:pctHeight>
                  </wp14:sizeRelV>
                </wp:anchor>
              </w:drawing>
            </w:r>
          </w:p>
        </w:tc>
        <w:tc>
          <w:tcPr>
            <w:tcW w:w="1984" w:type="dxa"/>
          </w:tcPr>
          <w:p w14:paraId="446BA93F" w14:textId="77777777" w:rsidR="00F7481C" w:rsidRPr="00F415F4" w:rsidRDefault="00F7481C" w:rsidP="00265DEC">
            <w:pPr>
              <w:rPr>
                <w:b/>
                <w:bCs/>
                <w:sz w:val="24"/>
                <w:szCs w:val="24"/>
              </w:rPr>
            </w:pPr>
            <w:r>
              <w:rPr>
                <w:noProof/>
              </w:rPr>
              <w:drawing>
                <wp:anchor distT="0" distB="0" distL="114300" distR="114300" simplePos="0" relativeHeight="251660288" behindDoc="0" locked="0" layoutInCell="1" allowOverlap="1" wp14:anchorId="1E05447D" wp14:editId="05AEAC16">
                  <wp:simplePos x="0" y="0"/>
                  <wp:positionH relativeFrom="column">
                    <wp:posOffset>-64135</wp:posOffset>
                  </wp:positionH>
                  <wp:positionV relativeFrom="paragraph">
                    <wp:posOffset>1270</wp:posOffset>
                  </wp:positionV>
                  <wp:extent cx="1272540" cy="1291590"/>
                  <wp:effectExtent l="0" t="0" r="3810" b="3810"/>
                  <wp:wrapNone/>
                  <wp:docPr id="1072310923" name="Picture 18">
                    <a:extLst xmlns:a="http://schemas.openxmlformats.org/drawingml/2006/main">
                      <a:ext uri="{FF2B5EF4-FFF2-40B4-BE49-F238E27FC236}">
                        <a16:creationId xmlns:a16="http://schemas.microsoft.com/office/drawing/2014/main" id="{438A3619-7C94-C019-3D48-C3B870C9865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8">
                            <a:extLst>
                              <a:ext uri="{FF2B5EF4-FFF2-40B4-BE49-F238E27FC236}">
                                <a16:creationId xmlns:a16="http://schemas.microsoft.com/office/drawing/2014/main" id="{438A3619-7C94-C019-3D48-C3B870C98654}"/>
                              </a:ext>
                            </a:extLst>
                          </pic:cNvPr>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72540" cy="1291590"/>
                          </a:xfrm>
                          <a:prstGeom prst="rect">
                            <a:avLst/>
                          </a:prstGeom>
                        </pic:spPr>
                      </pic:pic>
                    </a:graphicData>
                  </a:graphic>
                  <wp14:sizeRelH relativeFrom="margin">
                    <wp14:pctWidth>0</wp14:pctWidth>
                  </wp14:sizeRelH>
                  <wp14:sizeRelV relativeFrom="margin">
                    <wp14:pctHeight>0</wp14:pctHeight>
                  </wp14:sizeRelV>
                </wp:anchor>
              </w:drawing>
            </w:r>
          </w:p>
        </w:tc>
        <w:tc>
          <w:tcPr>
            <w:tcW w:w="2070" w:type="dxa"/>
          </w:tcPr>
          <w:p w14:paraId="7148BDBC" w14:textId="77777777" w:rsidR="00F7481C" w:rsidRPr="00F415F4" w:rsidRDefault="00F7481C" w:rsidP="00265DEC">
            <w:pPr>
              <w:rPr>
                <w:b/>
                <w:bCs/>
                <w:sz w:val="24"/>
                <w:szCs w:val="24"/>
              </w:rPr>
            </w:pPr>
            <w:r>
              <w:rPr>
                <w:noProof/>
              </w:rPr>
              <w:drawing>
                <wp:anchor distT="0" distB="0" distL="114300" distR="114300" simplePos="0" relativeHeight="251663360" behindDoc="0" locked="0" layoutInCell="1" allowOverlap="1" wp14:anchorId="50B75679" wp14:editId="2747B9C6">
                  <wp:simplePos x="0" y="0"/>
                  <wp:positionH relativeFrom="column">
                    <wp:posOffset>-59055</wp:posOffset>
                  </wp:positionH>
                  <wp:positionV relativeFrom="paragraph">
                    <wp:posOffset>1270</wp:posOffset>
                  </wp:positionV>
                  <wp:extent cx="1280160" cy="1303020"/>
                  <wp:effectExtent l="0" t="0" r="0" b="0"/>
                  <wp:wrapNone/>
                  <wp:docPr id="1728127874" name="Picture 14">
                    <a:extLst xmlns:a="http://schemas.openxmlformats.org/drawingml/2006/main">
                      <a:ext uri="{FF2B5EF4-FFF2-40B4-BE49-F238E27FC236}">
                        <a16:creationId xmlns:a16="http://schemas.microsoft.com/office/drawing/2014/main" id="{3CFBF431-38E0-D70C-A3C7-49E86C8EF16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a:extLst>
                              <a:ext uri="{FF2B5EF4-FFF2-40B4-BE49-F238E27FC236}">
                                <a16:creationId xmlns:a16="http://schemas.microsoft.com/office/drawing/2014/main" id="{3CFBF431-38E0-D70C-A3C7-49E86C8EF166}"/>
                              </a:ext>
                            </a:extLst>
                          </pic:cNvPr>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280160" cy="1303020"/>
                          </a:xfrm>
                          <a:prstGeom prst="rect">
                            <a:avLst/>
                          </a:prstGeom>
                        </pic:spPr>
                      </pic:pic>
                    </a:graphicData>
                  </a:graphic>
                  <wp14:sizeRelH relativeFrom="margin">
                    <wp14:pctWidth>0</wp14:pctWidth>
                  </wp14:sizeRelH>
                  <wp14:sizeRelV relativeFrom="margin">
                    <wp14:pctHeight>0</wp14:pctHeight>
                  </wp14:sizeRelV>
                </wp:anchor>
              </w:drawing>
            </w:r>
            <w:r>
              <w:rPr>
                <w:b/>
                <w:bCs/>
                <w:noProof/>
              </w:rPr>
              <w:drawing>
                <wp:anchor distT="0" distB="0" distL="114300" distR="114300" simplePos="0" relativeHeight="251664384" behindDoc="0" locked="0" layoutInCell="1" allowOverlap="1" wp14:anchorId="7491E818" wp14:editId="6277C183">
                  <wp:simplePos x="0" y="0"/>
                  <wp:positionH relativeFrom="column">
                    <wp:posOffset>1221105</wp:posOffset>
                  </wp:positionH>
                  <wp:positionV relativeFrom="paragraph">
                    <wp:posOffset>1270</wp:posOffset>
                  </wp:positionV>
                  <wp:extent cx="1310640" cy="1291590"/>
                  <wp:effectExtent l="0" t="0" r="3810" b="3810"/>
                  <wp:wrapNone/>
                  <wp:docPr id="652755990" name="Picture 5">
                    <a:extLst xmlns:a="http://schemas.openxmlformats.org/drawingml/2006/main">
                      <a:ext uri="{FF2B5EF4-FFF2-40B4-BE49-F238E27FC236}">
                        <a16:creationId xmlns:a16="http://schemas.microsoft.com/office/drawing/2014/main" id="{9EC385BC-6E42-B0E4-6A02-278E974FD55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9EC385BC-6E42-B0E4-6A02-278E974FD55A}"/>
                              </a:ext>
                            </a:extLst>
                          </pic:cNvPr>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10640" cy="1291590"/>
                          </a:xfrm>
                          <a:prstGeom prst="rect">
                            <a:avLst/>
                          </a:prstGeom>
                        </pic:spPr>
                      </pic:pic>
                    </a:graphicData>
                  </a:graphic>
                  <wp14:sizeRelH relativeFrom="margin">
                    <wp14:pctWidth>0</wp14:pctWidth>
                  </wp14:sizeRelH>
                  <wp14:sizeRelV relativeFrom="margin">
                    <wp14:pctHeight>0</wp14:pctHeight>
                  </wp14:sizeRelV>
                </wp:anchor>
              </w:drawing>
            </w:r>
          </w:p>
        </w:tc>
        <w:tc>
          <w:tcPr>
            <w:tcW w:w="2037" w:type="dxa"/>
          </w:tcPr>
          <w:p w14:paraId="0EA3CC10" w14:textId="77777777" w:rsidR="00F7481C" w:rsidRPr="00F415F4" w:rsidRDefault="00F7481C" w:rsidP="00265DEC">
            <w:pPr>
              <w:rPr>
                <w:b/>
                <w:bCs/>
                <w:sz w:val="24"/>
                <w:szCs w:val="24"/>
              </w:rPr>
            </w:pPr>
          </w:p>
        </w:tc>
      </w:tr>
      <w:tr w:rsidR="00F7481C" w:rsidRPr="00F415F4" w14:paraId="660E9C52" w14:textId="77777777" w:rsidTr="00265DEC">
        <w:trPr>
          <w:trHeight w:val="472"/>
        </w:trPr>
        <w:tc>
          <w:tcPr>
            <w:tcW w:w="2126" w:type="dxa"/>
          </w:tcPr>
          <w:p w14:paraId="4CF17005" w14:textId="0C49B55E" w:rsidR="00F7481C" w:rsidRPr="00F415F4" w:rsidRDefault="00F415F4" w:rsidP="00265DEC">
            <w:pPr>
              <w:rPr>
                <w:rFonts w:ascii="Times New Roman" w:hAnsi="Times New Roman" w:cs="Times New Roman"/>
                <w:b/>
                <w:bCs/>
                <w:sz w:val="24"/>
                <w:szCs w:val="24"/>
              </w:rPr>
            </w:pPr>
            <w:r>
              <w:rPr>
                <w:b/>
                <w:bCs/>
                <w:noProof/>
              </w:rPr>
              <w:drawing>
                <wp:anchor distT="0" distB="0" distL="114300" distR="114300" simplePos="0" relativeHeight="251666432" behindDoc="0" locked="0" layoutInCell="1" allowOverlap="1" wp14:anchorId="3E5F26E4" wp14:editId="1E3E98C7">
                  <wp:simplePos x="0" y="0"/>
                  <wp:positionH relativeFrom="column">
                    <wp:posOffset>1252855</wp:posOffset>
                  </wp:positionH>
                  <wp:positionV relativeFrom="paragraph">
                    <wp:posOffset>323850</wp:posOffset>
                  </wp:positionV>
                  <wp:extent cx="1325245" cy="1322705"/>
                  <wp:effectExtent l="0" t="0" r="8255" b="0"/>
                  <wp:wrapNone/>
                  <wp:docPr id="1802983537" name="Picture 5">
                    <a:extLst xmlns:a="http://schemas.openxmlformats.org/drawingml/2006/main">
                      <a:ext uri="{FF2B5EF4-FFF2-40B4-BE49-F238E27FC236}">
                        <a16:creationId xmlns:a16="http://schemas.microsoft.com/office/drawing/2014/main" id="{D7EECCE7-2EA8-D95B-6BFA-88DB54E8A1B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D7EECCE7-2EA8-D95B-6BFA-88DB54E8A1B2}"/>
                              </a:ext>
                            </a:extLst>
                          </pic:cNvPr>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325245" cy="1322705"/>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b/>
                <w:bCs/>
                <w:i/>
                <w:iCs/>
                <w:sz w:val="24"/>
                <w:szCs w:val="24"/>
              </w:rPr>
              <w:t xml:space="preserve">T. </w:t>
            </w:r>
            <w:proofErr w:type="spellStart"/>
            <w:r>
              <w:rPr>
                <w:rFonts w:ascii="Times New Roman" w:hAnsi="Times New Roman" w:cs="Times New Roman"/>
                <w:b/>
                <w:bCs/>
                <w:i/>
                <w:iCs/>
                <w:sz w:val="24"/>
                <w:szCs w:val="24"/>
              </w:rPr>
              <w:t>harzianum</w:t>
            </w:r>
            <w:proofErr w:type="spellEnd"/>
          </w:p>
        </w:tc>
        <w:tc>
          <w:tcPr>
            <w:tcW w:w="2126" w:type="dxa"/>
          </w:tcPr>
          <w:p w14:paraId="65635771" w14:textId="20414F4E" w:rsidR="00F7481C" w:rsidRPr="00F415F4" w:rsidRDefault="00F415F4" w:rsidP="00265DEC">
            <w:pPr>
              <w:rPr>
                <w:rFonts w:ascii="Times New Roman" w:hAnsi="Times New Roman" w:cs="Times New Roman"/>
                <w:b/>
                <w:bCs/>
                <w:sz w:val="24"/>
                <w:szCs w:val="24"/>
              </w:rPr>
            </w:pPr>
            <w:r>
              <w:rPr>
                <w:b/>
                <w:bCs/>
                <w:noProof/>
              </w:rPr>
              <w:drawing>
                <wp:anchor distT="0" distB="0" distL="114300" distR="114300" simplePos="0" relativeHeight="251667456" behindDoc="0" locked="0" layoutInCell="1" allowOverlap="1" wp14:anchorId="0878D194" wp14:editId="248BB229">
                  <wp:simplePos x="0" y="0"/>
                  <wp:positionH relativeFrom="column">
                    <wp:posOffset>1224915</wp:posOffset>
                  </wp:positionH>
                  <wp:positionV relativeFrom="paragraph">
                    <wp:posOffset>323850</wp:posOffset>
                  </wp:positionV>
                  <wp:extent cx="1314450" cy="1308735"/>
                  <wp:effectExtent l="0" t="0" r="0" b="5715"/>
                  <wp:wrapNone/>
                  <wp:docPr id="1785511939" name="Picture 10">
                    <a:extLst xmlns:a="http://schemas.openxmlformats.org/drawingml/2006/main">
                      <a:ext uri="{FF2B5EF4-FFF2-40B4-BE49-F238E27FC236}">
                        <a16:creationId xmlns:a16="http://schemas.microsoft.com/office/drawing/2014/main" id="{95F04C43-D552-036C-B10C-8FC5439143C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a:extLst>
                              <a:ext uri="{FF2B5EF4-FFF2-40B4-BE49-F238E27FC236}">
                                <a16:creationId xmlns:a16="http://schemas.microsoft.com/office/drawing/2014/main" id="{95F04C43-D552-036C-B10C-8FC5439143C8}"/>
                              </a:ext>
                            </a:extLst>
                          </pic:cNvPr>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314450" cy="1308735"/>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b/>
                <w:bCs/>
                <w:i/>
                <w:iCs/>
                <w:sz w:val="24"/>
                <w:szCs w:val="24"/>
              </w:rPr>
              <w:t>T. viride</w:t>
            </w:r>
          </w:p>
        </w:tc>
        <w:tc>
          <w:tcPr>
            <w:tcW w:w="1985" w:type="dxa"/>
          </w:tcPr>
          <w:p w14:paraId="2F1E6BE9" w14:textId="0925EF6B" w:rsidR="00F7481C" w:rsidRPr="00F415F4" w:rsidRDefault="00590669" w:rsidP="00265DEC">
            <w:pPr>
              <w:rPr>
                <w:rFonts w:ascii="Times New Roman" w:hAnsi="Times New Roman" w:cs="Times New Roman"/>
                <w:b/>
                <w:bCs/>
                <w:sz w:val="24"/>
                <w:szCs w:val="24"/>
              </w:rPr>
            </w:pPr>
            <w:r>
              <w:rPr>
                <w:b/>
                <w:bCs/>
                <w:noProof/>
              </w:rPr>
              <w:drawing>
                <wp:anchor distT="0" distB="0" distL="114300" distR="114300" simplePos="0" relativeHeight="251668480" behindDoc="0" locked="0" layoutInCell="1" allowOverlap="1" wp14:anchorId="6F33B0F5" wp14:editId="042BEF65">
                  <wp:simplePos x="0" y="0"/>
                  <wp:positionH relativeFrom="column">
                    <wp:posOffset>1188720</wp:posOffset>
                  </wp:positionH>
                  <wp:positionV relativeFrom="paragraph">
                    <wp:posOffset>332740</wp:posOffset>
                  </wp:positionV>
                  <wp:extent cx="1337310" cy="1316355"/>
                  <wp:effectExtent l="0" t="0" r="0" b="0"/>
                  <wp:wrapNone/>
                  <wp:docPr id="1017906373" name="Picture 18">
                    <a:extLst xmlns:a="http://schemas.openxmlformats.org/drawingml/2006/main">
                      <a:ext uri="{FF2B5EF4-FFF2-40B4-BE49-F238E27FC236}">
                        <a16:creationId xmlns:a16="http://schemas.microsoft.com/office/drawing/2014/main" id="{21DAEE7D-7016-8698-5637-D15A196F0D2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8">
                            <a:extLst>
                              <a:ext uri="{FF2B5EF4-FFF2-40B4-BE49-F238E27FC236}">
                                <a16:creationId xmlns:a16="http://schemas.microsoft.com/office/drawing/2014/main" id="{21DAEE7D-7016-8698-5637-D15A196F0D23}"/>
                              </a:ext>
                            </a:extLst>
                          </pic:cNvPr>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337310" cy="1316355"/>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b/>
                <w:bCs/>
                <w:i/>
                <w:iCs/>
                <w:sz w:val="24"/>
                <w:szCs w:val="24"/>
              </w:rPr>
              <w:t xml:space="preserve">T. </w:t>
            </w:r>
            <w:proofErr w:type="spellStart"/>
            <w:r>
              <w:rPr>
                <w:rFonts w:ascii="Times New Roman" w:hAnsi="Times New Roman" w:cs="Times New Roman"/>
                <w:b/>
                <w:bCs/>
                <w:i/>
                <w:iCs/>
                <w:sz w:val="24"/>
                <w:szCs w:val="24"/>
              </w:rPr>
              <w:t>asperellum</w:t>
            </w:r>
            <w:proofErr w:type="spellEnd"/>
            <w:r>
              <w:rPr>
                <w:rFonts w:ascii="Times New Roman" w:hAnsi="Times New Roman" w:cs="Times New Roman"/>
                <w:b/>
                <w:bCs/>
                <w:i/>
                <w:iCs/>
                <w:sz w:val="24"/>
                <w:szCs w:val="24"/>
              </w:rPr>
              <w:t xml:space="preserve"> </w:t>
            </w:r>
          </w:p>
        </w:tc>
        <w:tc>
          <w:tcPr>
            <w:tcW w:w="1984" w:type="dxa"/>
          </w:tcPr>
          <w:p w14:paraId="3D1E85AA" w14:textId="2B842FAE" w:rsidR="00F7481C" w:rsidRPr="00F415F4" w:rsidRDefault="00F7481C" w:rsidP="00265DEC">
            <w:pPr>
              <w:rPr>
                <w:rFonts w:ascii="Times New Roman" w:hAnsi="Times New Roman" w:cs="Times New Roman"/>
                <w:b/>
                <w:bCs/>
                <w:sz w:val="24"/>
                <w:szCs w:val="24"/>
              </w:rPr>
            </w:pPr>
            <w:r>
              <w:rPr>
                <w:rFonts w:ascii="Times New Roman" w:hAnsi="Times New Roman" w:cs="Times New Roman"/>
                <w:b/>
                <w:bCs/>
                <w:i/>
                <w:iCs/>
                <w:sz w:val="24"/>
                <w:szCs w:val="24"/>
              </w:rPr>
              <w:t xml:space="preserve">T. </w:t>
            </w:r>
            <w:proofErr w:type="spellStart"/>
            <w:r>
              <w:rPr>
                <w:rFonts w:ascii="Times New Roman" w:hAnsi="Times New Roman" w:cs="Times New Roman"/>
                <w:b/>
                <w:bCs/>
                <w:i/>
                <w:iCs/>
                <w:sz w:val="24"/>
                <w:szCs w:val="24"/>
              </w:rPr>
              <w:t>harzianum</w:t>
            </w:r>
            <w:proofErr w:type="spellEnd"/>
            <w:r>
              <w:rPr>
                <w:rFonts w:ascii="Times New Roman" w:hAnsi="Times New Roman" w:cs="Times New Roman"/>
                <w:b/>
                <w:bCs/>
                <w:sz w:val="24"/>
                <w:szCs w:val="24"/>
              </w:rPr>
              <w:t xml:space="preserve"> +</w:t>
            </w:r>
            <w:r>
              <w:rPr>
                <w:rFonts w:ascii="Times New Roman" w:hAnsi="Times New Roman" w:cs="Times New Roman"/>
                <w:b/>
                <w:bCs/>
                <w:i/>
                <w:iCs/>
                <w:sz w:val="24"/>
                <w:szCs w:val="24"/>
              </w:rPr>
              <w:t xml:space="preserve"> T. viride</w:t>
            </w:r>
          </w:p>
        </w:tc>
        <w:tc>
          <w:tcPr>
            <w:tcW w:w="2070" w:type="dxa"/>
          </w:tcPr>
          <w:p w14:paraId="56FA9130" w14:textId="77777777" w:rsidR="00F7481C" w:rsidRPr="00F415F4" w:rsidRDefault="00F7481C" w:rsidP="00265DEC">
            <w:pPr>
              <w:rPr>
                <w:rFonts w:ascii="Times New Roman" w:hAnsi="Times New Roman" w:cs="Times New Roman"/>
                <w:b/>
                <w:bCs/>
                <w:sz w:val="24"/>
                <w:szCs w:val="24"/>
              </w:rPr>
            </w:pPr>
            <w:r>
              <w:rPr>
                <w:rFonts w:ascii="Times New Roman" w:hAnsi="Times New Roman" w:cs="Times New Roman"/>
                <w:b/>
                <w:bCs/>
                <w:i/>
                <w:iCs/>
                <w:sz w:val="24"/>
                <w:szCs w:val="24"/>
              </w:rPr>
              <w:t>P. fluorescens</w:t>
            </w:r>
          </w:p>
        </w:tc>
        <w:tc>
          <w:tcPr>
            <w:tcW w:w="2037" w:type="dxa"/>
          </w:tcPr>
          <w:p w14:paraId="65A0D4BF" w14:textId="77777777" w:rsidR="00F7481C" w:rsidRPr="00F415F4" w:rsidRDefault="00F7481C" w:rsidP="00265DEC">
            <w:pPr>
              <w:rPr>
                <w:rFonts w:ascii="Times New Roman" w:hAnsi="Times New Roman" w:cs="Times New Roman"/>
                <w:b/>
                <w:bCs/>
                <w:sz w:val="24"/>
                <w:szCs w:val="24"/>
              </w:rPr>
            </w:pPr>
            <w:r>
              <w:rPr>
                <w:rFonts w:ascii="Times New Roman" w:hAnsi="Times New Roman" w:cs="Times New Roman"/>
                <w:b/>
                <w:bCs/>
                <w:i/>
                <w:iCs/>
                <w:sz w:val="24"/>
                <w:szCs w:val="24"/>
              </w:rPr>
              <w:t>Bacillus subtilis</w:t>
            </w:r>
          </w:p>
        </w:tc>
      </w:tr>
      <w:tr w:rsidR="00F7481C" w:rsidRPr="00F415F4" w14:paraId="38C16659" w14:textId="77777777" w:rsidTr="00265DEC">
        <w:trPr>
          <w:trHeight w:val="2046"/>
        </w:trPr>
        <w:tc>
          <w:tcPr>
            <w:tcW w:w="2126" w:type="dxa"/>
          </w:tcPr>
          <w:p w14:paraId="598FD612" w14:textId="42D8A549" w:rsidR="00F7481C" w:rsidRPr="00F415F4" w:rsidRDefault="00F7481C" w:rsidP="00265DEC">
            <w:pPr>
              <w:rPr>
                <w:b/>
                <w:bCs/>
                <w:sz w:val="24"/>
                <w:szCs w:val="24"/>
              </w:rPr>
            </w:pPr>
          </w:p>
        </w:tc>
        <w:tc>
          <w:tcPr>
            <w:tcW w:w="2126" w:type="dxa"/>
          </w:tcPr>
          <w:p w14:paraId="7E145A09" w14:textId="5F281883" w:rsidR="00F7481C" w:rsidRPr="00F415F4" w:rsidRDefault="00F7481C" w:rsidP="00265DEC">
            <w:pPr>
              <w:rPr>
                <w:b/>
                <w:bCs/>
                <w:sz w:val="24"/>
                <w:szCs w:val="24"/>
              </w:rPr>
            </w:pPr>
          </w:p>
        </w:tc>
        <w:tc>
          <w:tcPr>
            <w:tcW w:w="1985" w:type="dxa"/>
          </w:tcPr>
          <w:p w14:paraId="6DCF01E1" w14:textId="19B29650" w:rsidR="00F7481C" w:rsidRPr="00F415F4" w:rsidRDefault="00F7481C" w:rsidP="00265DEC">
            <w:pPr>
              <w:rPr>
                <w:b/>
                <w:bCs/>
                <w:sz w:val="24"/>
                <w:szCs w:val="24"/>
              </w:rPr>
            </w:pPr>
          </w:p>
        </w:tc>
        <w:tc>
          <w:tcPr>
            <w:tcW w:w="1984" w:type="dxa"/>
          </w:tcPr>
          <w:p w14:paraId="39880342" w14:textId="77777777" w:rsidR="00F7481C" w:rsidRPr="00F415F4" w:rsidRDefault="00F7481C" w:rsidP="00265DEC">
            <w:pPr>
              <w:rPr>
                <w:b/>
                <w:bCs/>
                <w:sz w:val="24"/>
                <w:szCs w:val="24"/>
              </w:rPr>
            </w:pPr>
          </w:p>
        </w:tc>
        <w:tc>
          <w:tcPr>
            <w:tcW w:w="2070" w:type="dxa"/>
          </w:tcPr>
          <w:p w14:paraId="31F1D1D2" w14:textId="119E6A06" w:rsidR="00F7481C" w:rsidRPr="00F415F4" w:rsidRDefault="00F415F4" w:rsidP="00265DEC">
            <w:pPr>
              <w:rPr>
                <w:b/>
                <w:bCs/>
                <w:sz w:val="24"/>
                <w:szCs w:val="24"/>
              </w:rPr>
            </w:pPr>
            <w:r>
              <w:rPr>
                <w:b/>
                <w:bCs/>
                <w:noProof/>
              </w:rPr>
              <w:drawing>
                <wp:anchor distT="0" distB="0" distL="114300" distR="114300" simplePos="0" relativeHeight="251669504" behindDoc="0" locked="0" layoutInCell="1" allowOverlap="1" wp14:anchorId="39A08278" wp14:editId="0CCBDEB8">
                  <wp:simplePos x="0" y="0"/>
                  <wp:positionH relativeFrom="column">
                    <wp:posOffset>6985</wp:posOffset>
                  </wp:positionH>
                  <wp:positionV relativeFrom="paragraph">
                    <wp:posOffset>5080</wp:posOffset>
                  </wp:positionV>
                  <wp:extent cx="1263015" cy="1301115"/>
                  <wp:effectExtent l="0" t="0" r="0" b="0"/>
                  <wp:wrapNone/>
                  <wp:docPr id="360197449" name="Picture 14">
                    <a:extLst xmlns:a="http://schemas.openxmlformats.org/drawingml/2006/main">
                      <a:ext uri="{FF2B5EF4-FFF2-40B4-BE49-F238E27FC236}">
                        <a16:creationId xmlns:a16="http://schemas.microsoft.com/office/drawing/2014/main" id="{A85E02A1-7C35-3D4A-A508-FAD65E3E96B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a:extLst>
                              <a:ext uri="{FF2B5EF4-FFF2-40B4-BE49-F238E27FC236}">
                                <a16:creationId xmlns:a16="http://schemas.microsoft.com/office/drawing/2014/main" id="{A85E02A1-7C35-3D4A-A508-FAD65E3E96B7}"/>
                              </a:ext>
                            </a:extLst>
                          </pic:cNvPr>
                          <pic:cNvPicPr>
                            <a:picLocks noChangeAspect="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263015" cy="1301115"/>
                          </a:xfrm>
                          <a:prstGeom prst="rect">
                            <a:avLst/>
                          </a:prstGeom>
                        </pic:spPr>
                      </pic:pic>
                    </a:graphicData>
                  </a:graphic>
                  <wp14:sizeRelH relativeFrom="margin">
                    <wp14:pctWidth>0</wp14:pctWidth>
                  </wp14:sizeRelH>
                  <wp14:sizeRelV relativeFrom="margin">
                    <wp14:pctHeight>0</wp14:pctHeight>
                  </wp14:sizeRelV>
                </wp:anchor>
              </w:drawing>
            </w:r>
            <w:r>
              <w:rPr>
                <w:b/>
                <w:bCs/>
                <w:noProof/>
              </w:rPr>
              <w:drawing>
                <wp:anchor distT="0" distB="0" distL="114300" distR="114300" simplePos="0" relativeHeight="251670528" behindDoc="0" locked="0" layoutInCell="1" allowOverlap="1" wp14:anchorId="0E066B25" wp14:editId="46783667">
                  <wp:simplePos x="0" y="0"/>
                  <wp:positionH relativeFrom="column">
                    <wp:posOffset>1266825</wp:posOffset>
                  </wp:positionH>
                  <wp:positionV relativeFrom="paragraph">
                    <wp:posOffset>-2541</wp:posOffset>
                  </wp:positionV>
                  <wp:extent cx="1292225" cy="1301115"/>
                  <wp:effectExtent l="0" t="0" r="3175" b="0"/>
                  <wp:wrapNone/>
                  <wp:docPr id="841317143" name="Picture 22">
                    <a:extLst xmlns:a="http://schemas.openxmlformats.org/drawingml/2006/main">
                      <a:ext uri="{FF2B5EF4-FFF2-40B4-BE49-F238E27FC236}">
                        <a16:creationId xmlns:a16="http://schemas.microsoft.com/office/drawing/2014/main" id="{0650CD31-D509-707E-27EA-228DF70D87B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2">
                            <a:extLst>
                              <a:ext uri="{FF2B5EF4-FFF2-40B4-BE49-F238E27FC236}">
                                <a16:creationId xmlns:a16="http://schemas.microsoft.com/office/drawing/2014/main" id="{0650CD31-D509-707E-27EA-228DF70D87B6}"/>
                              </a:ext>
                            </a:extLst>
                          </pic:cNvPr>
                          <pic:cNvPicPr>
                            <a:picLocks noChangeAspect="1"/>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292225" cy="1301115"/>
                          </a:xfrm>
                          <a:prstGeom prst="rect">
                            <a:avLst/>
                          </a:prstGeom>
                        </pic:spPr>
                      </pic:pic>
                    </a:graphicData>
                  </a:graphic>
                  <wp14:sizeRelH relativeFrom="margin">
                    <wp14:pctWidth>0</wp14:pctWidth>
                  </wp14:sizeRelH>
                  <wp14:sizeRelV relativeFrom="margin">
                    <wp14:pctHeight>0</wp14:pctHeight>
                  </wp14:sizeRelV>
                </wp:anchor>
              </w:drawing>
            </w:r>
          </w:p>
        </w:tc>
        <w:tc>
          <w:tcPr>
            <w:tcW w:w="2037" w:type="dxa"/>
          </w:tcPr>
          <w:p w14:paraId="250B2CC6" w14:textId="77777777" w:rsidR="00F7481C" w:rsidRPr="00F415F4" w:rsidRDefault="00F7481C" w:rsidP="00265DEC">
            <w:pPr>
              <w:rPr>
                <w:b/>
                <w:bCs/>
                <w:sz w:val="24"/>
                <w:szCs w:val="24"/>
              </w:rPr>
            </w:pPr>
          </w:p>
        </w:tc>
      </w:tr>
      <w:tr w:rsidR="00F7481C" w:rsidRPr="00F415F4" w14:paraId="5E933B14" w14:textId="77777777" w:rsidTr="00265DEC">
        <w:trPr>
          <w:trHeight w:val="540"/>
        </w:trPr>
        <w:tc>
          <w:tcPr>
            <w:tcW w:w="2126" w:type="dxa"/>
          </w:tcPr>
          <w:p w14:paraId="6E802392" w14:textId="77777777" w:rsidR="00F7481C" w:rsidRPr="00F415F4" w:rsidRDefault="00F7481C" w:rsidP="00265DEC">
            <w:pPr>
              <w:rPr>
                <w:rFonts w:ascii="Times New Roman" w:hAnsi="Times New Roman" w:cs="Times New Roman"/>
                <w:b/>
                <w:bCs/>
                <w:sz w:val="24"/>
                <w:szCs w:val="24"/>
              </w:rPr>
            </w:pPr>
            <w:r>
              <w:rPr>
                <w:b/>
                <w:bCs/>
                <w:noProof/>
              </w:rPr>
              <w:drawing>
                <wp:anchor distT="0" distB="0" distL="114300" distR="114300" simplePos="0" relativeHeight="251673600" behindDoc="0" locked="0" layoutInCell="1" allowOverlap="1" wp14:anchorId="43CF9F70" wp14:editId="17663126">
                  <wp:simplePos x="0" y="0"/>
                  <wp:positionH relativeFrom="column">
                    <wp:posOffset>1256665</wp:posOffset>
                  </wp:positionH>
                  <wp:positionV relativeFrom="paragraph">
                    <wp:posOffset>525780</wp:posOffset>
                  </wp:positionV>
                  <wp:extent cx="1318260" cy="1322070"/>
                  <wp:effectExtent l="0" t="0" r="0" b="0"/>
                  <wp:wrapNone/>
                  <wp:docPr id="964703400" name="Picture 16">
                    <a:extLst xmlns:a="http://schemas.openxmlformats.org/drawingml/2006/main">
                      <a:ext uri="{FF2B5EF4-FFF2-40B4-BE49-F238E27FC236}">
                        <a16:creationId xmlns:a16="http://schemas.microsoft.com/office/drawing/2014/main" id="{B53DC606-CEA1-7904-90F6-5AB394D243E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6">
                            <a:extLst>
                              <a:ext uri="{FF2B5EF4-FFF2-40B4-BE49-F238E27FC236}">
                                <a16:creationId xmlns:a16="http://schemas.microsoft.com/office/drawing/2014/main" id="{B53DC606-CEA1-7904-90F6-5AB394D243ED}"/>
                              </a:ext>
                            </a:extLst>
                          </pic:cNvPr>
                          <pic:cNvPicPr>
                            <a:picLocks noChangeAspect="1"/>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318260" cy="1322070"/>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b/>
                <w:bCs/>
                <w:iCs/>
                <w:sz w:val="24"/>
                <w:szCs w:val="24"/>
              </w:rPr>
              <w:t>Garlic</w:t>
            </w:r>
          </w:p>
        </w:tc>
        <w:tc>
          <w:tcPr>
            <w:tcW w:w="2126" w:type="dxa"/>
          </w:tcPr>
          <w:p w14:paraId="44E17D91" w14:textId="77777777" w:rsidR="00F7481C" w:rsidRPr="00F415F4" w:rsidRDefault="00F7481C" w:rsidP="00265DEC">
            <w:pPr>
              <w:rPr>
                <w:rFonts w:ascii="Times New Roman" w:hAnsi="Times New Roman" w:cs="Times New Roman"/>
                <w:b/>
                <w:bCs/>
                <w:sz w:val="24"/>
                <w:szCs w:val="24"/>
              </w:rPr>
            </w:pPr>
            <w:r>
              <w:rPr>
                <w:rFonts w:ascii="Times New Roman" w:hAnsi="Times New Roman" w:cs="Times New Roman"/>
                <w:b/>
                <w:bCs/>
                <w:iCs/>
                <w:sz w:val="24"/>
                <w:szCs w:val="24"/>
              </w:rPr>
              <w:t>Ginger</w:t>
            </w:r>
          </w:p>
        </w:tc>
        <w:tc>
          <w:tcPr>
            <w:tcW w:w="1985" w:type="dxa"/>
          </w:tcPr>
          <w:p w14:paraId="199B0250" w14:textId="77777777" w:rsidR="00F7481C" w:rsidRPr="00F415F4" w:rsidRDefault="00F7481C" w:rsidP="00265DEC">
            <w:pPr>
              <w:rPr>
                <w:rFonts w:ascii="Times New Roman" w:hAnsi="Times New Roman" w:cs="Times New Roman"/>
                <w:b/>
                <w:bCs/>
                <w:sz w:val="24"/>
                <w:szCs w:val="24"/>
              </w:rPr>
            </w:pPr>
            <w:r>
              <w:rPr>
                <w:rFonts w:ascii="Times New Roman" w:hAnsi="Times New Roman" w:cs="Times New Roman"/>
                <w:b/>
                <w:bCs/>
                <w:iCs/>
                <w:sz w:val="24"/>
                <w:szCs w:val="24"/>
              </w:rPr>
              <w:t>Turmeric</w:t>
            </w:r>
          </w:p>
        </w:tc>
        <w:tc>
          <w:tcPr>
            <w:tcW w:w="1984" w:type="dxa"/>
          </w:tcPr>
          <w:p w14:paraId="6AB47A59" w14:textId="77777777" w:rsidR="00F7481C" w:rsidRPr="00F415F4" w:rsidRDefault="00F7481C" w:rsidP="00265DEC">
            <w:pPr>
              <w:rPr>
                <w:rFonts w:ascii="Times New Roman" w:hAnsi="Times New Roman" w:cs="Times New Roman"/>
                <w:b/>
                <w:bCs/>
                <w:sz w:val="24"/>
                <w:szCs w:val="24"/>
              </w:rPr>
            </w:pPr>
            <w:r>
              <w:rPr>
                <w:rFonts w:ascii="Times New Roman" w:hAnsi="Times New Roman" w:cs="Times New Roman"/>
                <w:b/>
                <w:bCs/>
                <w:sz w:val="24"/>
                <w:szCs w:val="24"/>
              </w:rPr>
              <w:t>Tulsi</w:t>
            </w:r>
          </w:p>
        </w:tc>
        <w:tc>
          <w:tcPr>
            <w:tcW w:w="2070" w:type="dxa"/>
          </w:tcPr>
          <w:p w14:paraId="28C68685" w14:textId="77777777" w:rsidR="00F7481C" w:rsidRPr="00F415F4" w:rsidRDefault="00F7481C" w:rsidP="00265DEC">
            <w:pPr>
              <w:rPr>
                <w:rFonts w:ascii="Times New Roman" w:hAnsi="Times New Roman" w:cs="Times New Roman"/>
                <w:b/>
                <w:bCs/>
                <w:sz w:val="24"/>
                <w:szCs w:val="24"/>
              </w:rPr>
            </w:pPr>
            <w:r>
              <w:rPr>
                <w:rFonts w:ascii="Times New Roman" w:hAnsi="Times New Roman" w:cs="Times New Roman"/>
                <w:b/>
                <w:bCs/>
                <w:sz w:val="24"/>
                <w:szCs w:val="24"/>
              </w:rPr>
              <w:t>Lantana</w:t>
            </w:r>
          </w:p>
        </w:tc>
        <w:tc>
          <w:tcPr>
            <w:tcW w:w="2037" w:type="dxa"/>
          </w:tcPr>
          <w:p w14:paraId="63235C27" w14:textId="77777777" w:rsidR="00F7481C" w:rsidRPr="00F415F4" w:rsidRDefault="00F7481C" w:rsidP="00265DEC">
            <w:pPr>
              <w:rPr>
                <w:rFonts w:ascii="Times New Roman" w:hAnsi="Times New Roman" w:cs="Times New Roman"/>
                <w:b/>
                <w:bCs/>
                <w:sz w:val="24"/>
                <w:szCs w:val="24"/>
              </w:rPr>
            </w:pPr>
            <w:r>
              <w:rPr>
                <w:rFonts w:ascii="Times New Roman" w:hAnsi="Times New Roman" w:cs="Times New Roman"/>
                <w:b/>
                <w:bCs/>
                <w:sz w:val="24"/>
                <w:szCs w:val="24"/>
              </w:rPr>
              <w:t>Carbendazim 12% + Mancozeb 63% WP</w:t>
            </w:r>
          </w:p>
        </w:tc>
      </w:tr>
      <w:tr w:rsidR="00F7481C" w:rsidRPr="00F415F4" w14:paraId="074CC1A1" w14:textId="77777777" w:rsidTr="00265DEC">
        <w:trPr>
          <w:trHeight w:val="2072"/>
        </w:trPr>
        <w:tc>
          <w:tcPr>
            <w:tcW w:w="2126" w:type="dxa"/>
          </w:tcPr>
          <w:p w14:paraId="514E5238" w14:textId="77777777" w:rsidR="00F7481C" w:rsidRPr="00F415F4" w:rsidRDefault="00F7481C" w:rsidP="00265DEC">
            <w:pPr>
              <w:rPr>
                <w:b/>
                <w:bCs/>
                <w:sz w:val="24"/>
                <w:szCs w:val="24"/>
              </w:rPr>
            </w:pPr>
            <w:r>
              <w:rPr>
                <w:b/>
                <w:bCs/>
                <w:noProof/>
              </w:rPr>
              <w:drawing>
                <wp:anchor distT="0" distB="0" distL="114300" distR="114300" simplePos="0" relativeHeight="251671552" behindDoc="0" locked="0" layoutInCell="1" allowOverlap="1" wp14:anchorId="04040A73" wp14:editId="2E4B3CBF">
                  <wp:simplePos x="0" y="0"/>
                  <wp:positionH relativeFrom="column">
                    <wp:posOffset>-73660</wp:posOffset>
                  </wp:positionH>
                  <wp:positionV relativeFrom="paragraph">
                    <wp:posOffset>1270</wp:posOffset>
                  </wp:positionV>
                  <wp:extent cx="1325880" cy="1335246"/>
                  <wp:effectExtent l="0" t="0" r="7620" b="0"/>
                  <wp:wrapNone/>
                  <wp:docPr id="1106178511" name="Picture 10">
                    <a:extLst xmlns:a="http://schemas.openxmlformats.org/drawingml/2006/main">
                      <a:ext uri="{FF2B5EF4-FFF2-40B4-BE49-F238E27FC236}">
                        <a16:creationId xmlns:a16="http://schemas.microsoft.com/office/drawing/2014/main" id="{F961B643-C188-B316-7206-57FA8DD09E5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a:extLst>
                              <a:ext uri="{FF2B5EF4-FFF2-40B4-BE49-F238E27FC236}">
                                <a16:creationId xmlns:a16="http://schemas.microsoft.com/office/drawing/2014/main" id="{F961B643-C188-B316-7206-57FA8DD09E57}"/>
                              </a:ext>
                            </a:extLst>
                          </pic:cNvPr>
                          <pic:cNvPicPr>
                            <a:picLocks noChangeAspect="1"/>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327429" cy="1336806"/>
                          </a:xfrm>
                          <a:prstGeom prst="rect">
                            <a:avLst/>
                          </a:prstGeom>
                        </pic:spPr>
                      </pic:pic>
                    </a:graphicData>
                  </a:graphic>
                  <wp14:sizeRelH relativeFrom="margin">
                    <wp14:pctWidth>0</wp14:pctWidth>
                  </wp14:sizeRelH>
                  <wp14:sizeRelV relativeFrom="margin">
                    <wp14:pctHeight>0</wp14:pctHeight>
                  </wp14:sizeRelV>
                </wp:anchor>
              </w:drawing>
            </w:r>
          </w:p>
        </w:tc>
        <w:tc>
          <w:tcPr>
            <w:tcW w:w="2126" w:type="dxa"/>
          </w:tcPr>
          <w:p w14:paraId="44B51405" w14:textId="77777777" w:rsidR="00F7481C" w:rsidRPr="00F415F4" w:rsidRDefault="00F7481C" w:rsidP="00265DEC">
            <w:pPr>
              <w:rPr>
                <w:b/>
                <w:bCs/>
                <w:sz w:val="24"/>
                <w:szCs w:val="24"/>
              </w:rPr>
            </w:pPr>
            <w:r>
              <w:rPr>
                <w:b/>
                <w:bCs/>
                <w:noProof/>
              </w:rPr>
              <w:drawing>
                <wp:anchor distT="0" distB="0" distL="114300" distR="114300" simplePos="0" relativeHeight="251672576" behindDoc="0" locked="0" layoutInCell="1" allowOverlap="1" wp14:anchorId="7EE45D72" wp14:editId="71C85AAB">
                  <wp:simplePos x="0" y="0"/>
                  <wp:positionH relativeFrom="column">
                    <wp:posOffset>1226820</wp:posOffset>
                  </wp:positionH>
                  <wp:positionV relativeFrom="paragraph">
                    <wp:posOffset>8255</wp:posOffset>
                  </wp:positionV>
                  <wp:extent cx="1303020" cy="1322705"/>
                  <wp:effectExtent l="0" t="0" r="0" b="0"/>
                  <wp:wrapNone/>
                  <wp:docPr id="181439449" name="Picture 20">
                    <a:extLst xmlns:a="http://schemas.openxmlformats.org/drawingml/2006/main">
                      <a:ext uri="{FF2B5EF4-FFF2-40B4-BE49-F238E27FC236}">
                        <a16:creationId xmlns:a16="http://schemas.microsoft.com/office/drawing/2014/main" id="{ADA55DE8-00BA-C71C-1DCE-6F2989FA04C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0">
                            <a:extLst>
                              <a:ext uri="{FF2B5EF4-FFF2-40B4-BE49-F238E27FC236}">
                                <a16:creationId xmlns:a16="http://schemas.microsoft.com/office/drawing/2014/main" id="{ADA55DE8-00BA-C71C-1DCE-6F2989FA04C3}"/>
                              </a:ext>
                            </a:extLst>
                          </pic:cNvPr>
                          <pic:cNvPicPr>
                            <a:picLocks noChangeAspect="1"/>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303020" cy="1322705"/>
                          </a:xfrm>
                          <a:prstGeom prst="rect">
                            <a:avLst/>
                          </a:prstGeom>
                        </pic:spPr>
                      </pic:pic>
                    </a:graphicData>
                  </a:graphic>
                  <wp14:sizeRelH relativeFrom="margin">
                    <wp14:pctWidth>0</wp14:pctWidth>
                  </wp14:sizeRelH>
                  <wp14:sizeRelV relativeFrom="margin">
                    <wp14:pctHeight>0</wp14:pctHeight>
                  </wp14:sizeRelV>
                </wp:anchor>
              </w:drawing>
            </w:r>
          </w:p>
        </w:tc>
        <w:tc>
          <w:tcPr>
            <w:tcW w:w="1985" w:type="dxa"/>
          </w:tcPr>
          <w:p w14:paraId="71CDF04F" w14:textId="77777777" w:rsidR="00F7481C" w:rsidRPr="00F415F4" w:rsidRDefault="00F7481C" w:rsidP="00265DEC">
            <w:pPr>
              <w:rPr>
                <w:b/>
                <w:bCs/>
                <w:sz w:val="24"/>
                <w:szCs w:val="24"/>
              </w:rPr>
            </w:pPr>
            <w:r>
              <w:rPr>
                <w:noProof/>
              </w:rPr>
              <w:drawing>
                <wp:anchor distT="0" distB="0" distL="114300" distR="114300" simplePos="0" relativeHeight="251674624" behindDoc="0" locked="0" layoutInCell="1" allowOverlap="1" wp14:anchorId="08E4080C" wp14:editId="78859EA8">
                  <wp:simplePos x="0" y="0"/>
                  <wp:positionH relativeFrom="column">
                    <wp:posOffset>1158240</wp:posOffset>
                  </wp:positionH>
                  <wp:positionV relativeFrom="paragraph">
                    <wp:posOffset>8890</wp:posOffset>
                  </wp:positionV>
                  <wp:extent cx="1272540" cy="1314450"/>
                  <wp:effectExtent l="0" t="0" r="3810" b="0"/>
                  <wp:wrapNone/>
                  <wp:docPr id="29386981" name="Picture 18">
                    <a:extLst xmlns:a="http://schemas.openxmlformats.org/drawingml/2006/main">
                      <a:ext uri="{FF2B5EF4-FFF2-40B4-BE49-F238E27FC236}">
                        <a16:creationId xmlns:a16="http://schemas.microsoft.com/office/drawing/2014/main" id="{155FFFA7-B04B-1989-A02E-7D81173AC0A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8">
                            <a:extLst>
                              <a:ext uri="{FF2B5EF4-FFF2-40B4-BE49-F238E27FC236}">
                                <a16:creationId xmlns:a16="http://schemas.microsoft.com/office/drawing/2014/main" id="{155FFFA7-B04B-1989-A02E-7D81173AC0AA}"/>
                              </a:ext>
                            </a:extLst>
                          </pic:cNvPr>
                          <pic:cNvPicPr>
                            <a:picLocks noChangeAspect="1"/>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272540" cy="1314450"/>
                          </a:xfrm>
                          <a:prstGeom prst="rect">
                            <a:avLst/>
                          </a:prstGeom>
                        </pic:spPr>
                      </pic:pic>
                    </a:graphicData>
                  </a:graphic>
                  <wp14:sizeRelH relativeFrom="margin">
                    <wp14:pctWidth>0</wp14:pctWidth>
                  </wp14:sizeRelH>
                  <wp14:sizeRelV relativeFrom="margin">
                    <wp14:pctHeight>0</wp14:pctHeight>
                  </wp14:sizeRelV>
                </wp:anchor>
              </w:drawing>
            </w:r>
          </w:p>
        </w:tc>
        <w:tc>
          <w:tcPr>
            <w:tcW w:w="1984" w:type="dxa"/>
          </w:tcPr>
          <w:p w14:paraId="04890781" w14:textId="77777777" w:rsidR="00F7481C" w:rsidRPr="00F415F4" w:rsidRDefault="00F7481C" w:rsidP="00265DEC">
            <w:pPr>
              <w:rPr>
                <w:b/>
                <w:bCs/>
                <w:sz w:val="24"/>
                <w:szCs w:val="24"/>
              </w:rPr>
            </w:pPr>
            <w:r>
              <w:rPr>
                <w:b/>
                <w:bCs/>
                <w:noProof/>
              </w:rPr>
              <w:drawing>
                <wp:anchor distT="0" distB="0" distL="114300" distR="114300" simplePos="0" relativeHeight="251675648" behindDoc="0" locked="0" layoutInCell="1" allowOverlap="1" wp14:anchorId="65E0D005" wp14:editId="46F3D6FE">
                  <wp:simplePos x="0" y="0"/>
                  <wp:positionH relativeFrom="column">
                    <wp:posOffset>1170305</wp:posOffset>
                  </wp:positionH>
                  <wp:positionV relativeFrom="paragraph">
                    <wp:posOffset>3810</wp:posOffset>
                  </wp:positionV>
                  <wp:extent cx="1318260" cy="1328420"/>
                  <wp:effectExtent l="0" t="0" r="0" b="5080"/>
                  <wp:wrapNone/>
                  <wp:docPr id="630162278" name="Picture 14">
                    <a:extLst xmlns:a="http://schemas.openxmlformats.org/drawingml/2006/main">
                      <a:ext uri="{FF2B5EF4-FFF2-40B4-BE49-F238E27FC236}">
                        <a16:creationId xmlns:a16="http://schemas.microsoft.com/office/drawing/2014/main" id="{2A96253C-47E1-8AF7-762A-F65CF700E0A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a:extLst>
                              <a:ext uri="{FF2B5EF4-FFF2-40B4-BE49-F238E27FC236}">
                                <a16:creationId xmlns:a16="http://schemas.microsoft.com/office/drawing/2014/main" id="{2A96253C-47E1-8AF7-762A-F65CF700E0AD}"/>
                              </a:ext>
                            </a:extLst>
                          </pic:cNvPr>
                          <pic:cNvPicPr>
                            <a:picLocks noChangeAspect="1"/>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18260" cy="1328420"/>
                          </a:xfrm>
                          <a:prstGeom prst="rect">
                            <a:avLst/>
                          </a:prstGeom>
                        </pic:spPr>
                      </pic:pic>
                    </a:graphicData>
                  </a:graphic>
                  <wp14:sizeRelH relativeFrom="margin">
                    <wp14:pctWidth>0</wp14:pctWidth>
                  </wp14:sizeRelH>
                  <wp14:sizeRelV relativeFrom="margin">
                    <wp14:pctHeight>0</wp14:pctHeight>
                  </wp14:sizeRelV>
                </wp:anchor>
              </w:drawing>
            </w:r>
          </w:p>
        </w:tc>
        <w:tc>
          <w:tcPr>
            <w:tcW w:w="2070" w:type="dxa"/>
          </w:tcPr>
          <w:p w14:paraId="17F19CA2" w14:textId="77777777" w:rsidR="00F7481C" w:rsidRPr="00F415F4" w:rsidRDefault="00F7481C" w:rsidP="00265DEC">
            <w:pPr>
              <w:rPr>
                <w:b/>
                <w:bCs/>
                <w:sz w:val="24"/>
                <w:szCs w:val="24"/>
              </w:rPr>
            </w:pPr>
          </w:p>
        </w:tc>
        <w:tc>
          <w:tcPr>
            <w:tcW w:w="2037" w:type="dxa"/>
          </w:tcPr>
          <w:p w14:paraId="2B12B23E" w14:textId="77777777" w:rsidR="00F7481C" w:rsidRPr="00F415F4" w:rsidRDefault="00F7481C" w:rsidP="00265DEC">
            <w:pPr>
              <w:rPr>
                <w:b/>
                <w:bCs/>
                <w:sz w:val="24"/>
                <w:szCs w:val="24"/>
              </w:rPr>
            </w:pPr>
          </w:p>
        </w:tc>
      </w:tr>
      <w:tr w:rsidR="00F7481C" w:rsidRPr="00F415F4" w14:paraId="6202F91B" w14:textId="77777777" w:rsidTr="00265DEC">
        <w:trPr>
          <w:trHeight w:val="294"/>
        </w:trPr>
        <w:tc>
          <w:tcPr>
            <w:tcW w:w="2126" w:type="dxa"/>
          </w:tcPr>
          <w:p w14:paraId="26ACED72" w14:textId="77777777" w:rsidR="00F7481C" w:rsidRPr="00F415F4" w:rsidRDefault="00F7481C" w:rsidP="00265DEC">
            <w:pPr>
              <w:rPr>
                <w:rFonts w:ascii="Times New Roman" w:hAnsi="Times New Roman" w:cs="Times New Roman"/>
                <w:b/>
                <w:bCs/>
                <w:sz w:val="24"/>
                <w:szCs w:val="24"/>
              </w:rPr>
            </w:pPr>
            <w:r>
              <w:rPr>
                <w:rFonts w:ascii="Times New Roman" w:hAnsi="Times New Roman" w:cs="Times New Roman"/>
                <w:b/>
                <w:bCs/>
                <w:sz w:val="24"/>
                <w:szCs w:val="24"/>
              </w:rPr>
              <w:t>Difenoconazole 25 % EC</w:t>
            </w:r>
          </w:p>
        </w:tc>
        <w:tc>
          <w:tcPr>
            <w:tcW w:w="2126" w:type="dxa"/>
          </w:tcPr>
          <w:p w14:paraId="531DEB7B" w14:textId="77777777" w:rsidR="00F7481C" w:rsidRPr="00F415F4" w:rsidRDefault="00F7481C" w:rsidP="00265DEC">
            <w:pPr>
              <w:rPr>
                <w:rFonts w:ascii="Times New Roman" w:hAnsi="Times New Roman" w:cs="Times New Roman"/>
                <w:b/>
                <w:bCs/>
                <w:sz w:val="24"/>
                <w:szCs w:val="24"/>
              </w:rPr>
            </w:pPr>
            <w:r>
              <w:rPr>
                <w:rFonts w:ascii="Times New Roman" w:hAnsi="Times New Roman" w:cs="Times New Roman"/>
                <w:b/>
                <w:bCs/>
                <w:sz w:val="24"/>
                <w:szCs w:val="24"/>
              </w:rPr>
              <w:t>Fluxapyroxad 33.3% G/L</w:t>
            </w:r>
          </w:p>
        </w:tc>
        <w:tc>
          <w:tcPr>
            <w:tcW w:w="1985" w:type="dxa"/>
          </w:tcPr>
          <w:p w14:paraId="3DDFA8F2" w14:textId="77777777" w:rsidR="00F7481C" w:rsidRPr="00F415F4" w:rsidRDefault="00F7481C" w:rsidP="00265DEC">
            <w:pPr>
              <w:rPr>
                <w:rFonts w:ascii="Times New Roman" w:hAnsi="Times New Roman" w:cs="Times New Roman"/>
                <w:b/>
                <w:bCs/>
                <w:sz w:val="24"/>
                <w:szCs w:val="24"/>
              </w:rPr>
            </w:pPr>
            <w:proofErr w:type="spellStart"/>
            <w:r>
              <w:rPr>
                <w:rFonts w:ascii="Times New Roman" w:hAnsi="Times New Roman" w:cs="Times New Roman"/>
                <w:b/>
                <w:bCs/>
                <w:sz w:val="24"/>
                <w:szCs w:val="24"/>
              </w:rPr>
              <w:t>Penflufen</w:t>
            </w:r>
            <w:proofErr w:type="spellEnd"/>
            <w:r>
              <w:rPr>
                <w:rFonts w:ascii="Times New Roman" w:hAnsi="Times New Roman" w:cs="Times New Roman"/>
                <w:b/>
                <w:bCs/>
                <w:sz w:val="24"/>
                <w:szCs w:val="24"/>
              </w:rPr>
              <w:t xml:space="preserve"> 240 FS</w:t>
            </w:r>
          </w:p>
        </w:tc>
        <w:tc>
          <w:tcPr>
            <w:tcW w:w="1984" w:type="dxa"/>
          </w:tcPr>
          <w:p w14:paraId="48612EE5" w14:textId="77777777" w:rsidR="00F7481C" w:rsidRPr="00F415F4" w:rsidRDefault="00F7481C" w:rsidP="00265DEC">
            <w:pPr>
              <w:rPr>
                <w:rFonts w:ascii="Times New Roman" w:hAnsi="Times New Roman" w:cs="Times New Roman"/>
                <w:b/>
                <w:bCs/>
                <w:sz w:val="24"/>
                <w:szCs w:val="24"/>
              </w:rPr>
            </w:pPr>
            <w:proofErr w:type="spellStart"/>
            <w:r>
              <w:rPr>
                <w:rFonts w:ascii="Times New Roman" w:hAnsi="Times New Roman" w:cs="Times New Roman"/>
                <w:b/>
                <w:bCs/>
                <w:sz w:val="24"/>
                <w:szCs w:val="24"/>
              </w:rPr>
              <w:t>Trifloxystrobin</w:t>
            </w:r>
            <w:proofErr w:type="spellEnd"/>
            <w:r>
              <w:rPr>
                <w:rFonts w:ascii="Times New Roman" w:hAnsi="Times New Roman" w:cs="Times New Roman"/>
                <w:b/>
                <w:bCs/>
                <w:sz w:val="24"/>
                <w:szCs w:val="24"/>
              </w:rPr>
              <w:t xml:space="preserve"> 50%WDG</w:t>
            </w:r>
          </w:p>
        </w:tc>
        <w:tc>
          <w:tcPr>
            <w:tcW w:w="2070" w:type="dxa"/>
          </w:tcPr>
          <w:p w14:paraId="5350DF02" w14:textId="77777777" w:rsidR="00F7481C" w:rsidRPr="00F415F4" w:rsidRDefault="00F7481C" w:rsidP="00265DEC">
            <w:pPr>
              <w:rPr>
                <w:rFonts w:ascii="Times New Roman" w:hAnsi="Times New Roman" w:cs="Times New Roman"/>
                <w:b/>
                <w:bCs/>
                <w:sz w:val="24"/>
                <w:szCs w:val="24"/>
              </w:rPr>
            </w:pPr>
            <w:r>
              <w:rPr>
                <w:rFonts w:ascii="Times New Roman" w:hAnsi="Times New Roman" w:cs="Times New Roman"/>
                <w:b/>
                <w:bCs/>
                <w:sz w:val="24"/>
                <w:szCs w:val="24"/>
              </w:rPr>
              <w:t xml:space="preserve">          Control</w:t>
            </w:r>
          </w:p>
        </w:tc>
        <w:tc>
          <w:tcPr>
            <w:tcW w:w="2037" w:type="dxa"/>
          </w:tcPr>
          <w:p w14:paraId="60882511" w14:textId="77777777" w:rsidR="00F7481C" w:rsidRPr="00F415F4" w:rsidRDefault="00F7481C" w:rsidP="00265DEC">
            <w:pPr>
              <w:rPr>
                <w:b/>
                <w:bCs/>
                <w:sz w:val="24"/>
                <w:szCs w:val="24"/>
              </w:rPr>
            </w:pPr>
          </w:p>
        </w:tc>
      </w:tr>
    </w:tbl>
    <w:p w14:paraId="271B6B49" w14:textId="77777777" w:rsidR="00F7481C" w:rsidRDefault="00F7481C" w:rsidP="00F7481C">
      <w:pPr>
        <w:spacing w:before="240" w:after="240" w:line="324" w:lineRule="auto"/>
        <w:jc w:val="both"/>
        <w:rPr>
          <w:sz w:val="25"/>
          <w:szCs w:val="25"/>
        </w:rPr>
      </w:pPr>
    </w:p>
    <w:p w14:paraId="61EF8744" w14:textId="77777777" w:rsidR="00F7481C" w:rsidRDefault="00F7481C" w:rsidP="00F7481C">
      <w:pPr>
        <w:spacing w:before="240" w:after="240" w:line="324" w:lineRule="auto"/>
        <w:jc w:val="both"/>
        <w:rPr>
          <w:sz w:val="25"/>
          <w:szCs w:val="25"/>
        </w:rPr>
      </w:pPr>
    </w:p>
    <w:p w14:paraId="3D251AF0" w14:textId="77777777" w:rsidR="00F7481C" w:rsidRDefault="00F7481C" w:rsidP="00F7481C">
      <w:pPr>
        <w:spacing w:before="240" w:after="240" w:line="324" w:lineRule="auto"/>
        <w:jc w:val="both"/>
        <w:rPr>
          <w:sz w:val="25"/>
          <w:szCs w:val="25"/>
        </w:rPr>
      </w:pPr>
    </w:p>
    <w:p w14:paraId="53873DDB" w14:textId="1CADF864" w:rsidR="00F7481C" w:rsidRDefault="00F415F4" w:rsidP="00F7481C">
      <w:pPr>
        <w:spacing w:before="240" w:after="240" w:line="324" w:lineRule="auto"/>
        <w:jc w:val="both"/>
        <w:rPr>
          <w:sz w:val="25"/>
          <w:szCs w:val="25"/>
        </w:rPr>
      </w:pPr>
      <w:r>
        <w:rPr>
          <w:b/>
          <w:bCs/>
          <w:noProof/>
        </w:rPr>
        <w:drawing>
          <wp:anchor distT="0" distB="0" distL="114300" distR="114300" simplePos="0" relativeHeight="251665408" behindDoc="0" locked="0" layoutInCell="1" allowOverlap="1" wp14:anchorId="22443713" wp14:editId="098ED0FB">
            <wp:simplePos x="0" y="0"/>
            <wp:positionH relativeFrom="column">
              <wp:posOffset>499110</wp:posOffset>
            </wp:positionH>
            <wp:positionV relativeFrom="paragraph">
              <wp:posOffset>278130</wp:posOffset>
            </wp:positionV>
            <wp:extent cx="1333500" cy="1301115"/>
            <wp:effectExtent l="0" t="0" r="0" b="0"/>
            <wp:wrapNone/>
            <wp:docPr id="933331975" name="Picture 16">
              <a:extLst xmlns:a="http://schemas.openxmlformats.org/drawingml/2006/main">
                <a:ext uri="{FF2B5EF4-FFF2-40B4-BE49-F238E27FC236}">
                  <a16:creationId xmlns:a16="http://schemas.microsoft.com/office/drawing/2014/main" id="{D15D15B4-8AB3-3E2B-07DF-CFEF5CBF553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6">
                      <a:extLst>
                        <a:ext uri="{FF2B5EF4-FFF2-40B4-BE49-F238E27FC236}">
                          <a16:creationId xmlns:a16="http://schemas.microsoft.com/office/drawing/2014/main" id="{D15D15B4-8AB3-3E2B-07DF-CFEF5CBF5537}"/>
                        </a:ext>
                      </a:extLst>
                    </pic:cNvPr>
                    <pic:cNvPicPr>
                      <a:picLocks noChangeAspect="1"/>
                    </pic:cNvPicPr>
                  </pic:nvPicPr>
                  <pic:blipFill>
                    <a:blip r:embed="rId25" cstate="print">
                      <a:extLst>
                        <a:ext uri="{28A0092B-C50C-407E-A947-70E740481C1C}">
                          <a14:useLocalDpi xmlns:a14="http://schemas.microsoft.com/office/drawing/2010/main" val="0"/>
                        </a:ext>
                      </a:extLst>
                    </a:blip>
                    <a:stretch>
                      <a:fillRect/>
                    </a:stretch>
                  </pic:blipFill>
                  <pic:spPr>
                    <a:xfrm>
                      <a:off x="0" y="0"/>
                      <a:ext cx="1333500" cy="1301115"/>
                    </a:xfrm>
                    <a:prstGeom prst="rect">
                      <a:avLst/>
                    </a:prstGeom>
                  </pic:spPr>
                </pic:pic>
              </a:graphicData>
            </a:graphic>
            <wp14:sizeRelH relativeFrom="margin">
              <wp14:pctWidth>0</wp14:pctWidth>
            </wp14:sizeRelH>
            <wp14:sizeRelV relativeFrom="margin">
              <wp14:pctHeight>0</wp14:pctHeight>
            </wp14:sizeRelV>
          </wp:anchor>
        </w:drawing>
      </w:r>
    </w:p>
    <w:p w14:paraId="065CDE24" w14:textId="77777777" w:rsidR="00F7481C" w:rsidRDefault="00F7481C" w:rsidP="00F7481C">
      <w:pPr>
        <w:spacing w:before="240" w:after="240" w:line="324" w:lineRule="auto"/>
        <w:jc w:val="both"/>
        <w:rPr>
          <w:sz w:val="25"/>
          <w:szCs w:val="25"/>
        </w:rPr>
      </w:pPr>
    </w:p>
    <w:p w14:paraId="33C2CDEA" w14:textId="77777777" w:rsidR="00F7481C" w:rsidRDefault="00F7481C" w:rsidP="00F7481C">
      <w:pPr>
        <w:spacing w:before="240" w:after="240" w:line="324" w:lineRule="auto"/>
        <w:jc w:val="both"/>
        <w:rPr>
          <w:sz w:val="25"/>
          <w:szCs w:val="25"/>
        </w:rPr>
      </w:pPr>
    </w:p>
    <w:p w14:paraId="536264BF" w14:textId="77777777" w:rsidR="00F7481C" w:rsidRDefault="00F7481C" w:rsidP="00F7481C">
      <w:pPr>
        <w:spacing w:before="240" w:after="240" w:line="324" w:lineRule="auto"/>
        <w:jc w:val="both"/>
        <w:rPr>
          <w:sz w:val="25"/>
          <w:szCs w:val="25"/>
        </w:rPr>
      </w:pPr>
    </w:p>
    <w:p w14:paraId="00BFCBF5" w14:textId="77777777" w:rsidR="00F7481C" w:rsidRDefault="00F7481C" w:rsidP="00F7481C">
      <w:pPr>
        <w:spacing w:before="240" w:after="240" w:line="324" w:lineRule="auto"/>
        <w:jc w:val="both"/>
        <w:rPr>
          <w:sz w:val="25"/>
          <w:szCs w:val="25"/>
        </w:rPr>
      </w:pPr>
    </w:p>
    <w:p w14:paraId="59001DF1" w14:textId="77777777" w:rsidR="00F7481C" w:rsidRDefault="00F7481C" w:rsidP="00F7481C">
      <w:pPr>
        <w:spacing w:before="240" w:after="240" w:line="324" w:lineRule="auto"/>
        <w:jc w:val="both"/>
        <w:rPr>
          <w:sz w:val="25"/>
          <w:szCs w:val="25"/>
        </w:rPr>
      </w:pPr>
    </w:p>
    <w:p w14:paraId="74897945" w14:textId="77777777" w:rsidR="00F7481C" w:rsidRDefault="00F7481C" w:rsidP="00F7481C">
      <w:pPr>
        <w:spacing w:before="240" w:after="240" w:line="324" w:lineRule="auto"/>
        <w:jc w:val="both"/>
        <w:rPr>
          <w:sz w:val="25"/>
          <w:szCs w:val="25"/>
        </w:rPr>
      </w:pPr>
    </w:p>
    <w:p w14:paraId="58FE45C0" w14:textId="77777777" w:rsidR="00F7481C" w:rsidRDefault="00F7481C" w:rsidP="00F7481C">
      <w:pPr>
        <w:spacing w:before="240" w:after="240" w:line="324" w:lineRule="auto"/>
        <w:jc w:val="both"/>
        <w:rPr>
          <w:sz w:val="25"/>
          <w:szCs w:val="25"/>
        </w:rPr>
      </w:pPr>
    </w:p>
    <w:p w14:paraId="2DC6AFFE" w14:textId="77777777" w:rsidR="00F7481C" w:rsidRDefault="00F7481C" w:rsidP="00F7481C">
      <w:pPr>
        <w:spacing w:before="240" w:after="240" w:line="324" w:lineRule="auto"/>
        <w:jc w:val="both"/>
        <w:rPr>
          <w:sz w:val="25"/>
          <w:szCs w:val="25"/>
        </w:rPr>
      </w:pPr>
    </w:p>
    <w:p w14:paraId="3A5A6390" w14:textId="77777777" w:rsidR="00F7481C" w:rsidRDefault="00F7481C" w:rsidP="00F7481C">
      <w:pPr>
        <w:spacing w:before="240" w:after="240" w:line="324" w:lineRule="auto"/>
        <w:jc w:val="both"/>
        <w:rPr>
          <w:sz w:val="25"/>
          <w:szCs w:val="25"/>
        </w:rPr>
      </w:pPr>
    </w:p>
    <w:p w14:paraId="38AA5F4F" w14:textId="49992CDF" w:rsidR="00F7481C" w:rsidRDefault="00F7481C" w:rsidP="00F7481C">
      <w:pPr>
        <w:spacing w:before="240" w:after="240" w:line="324" w:lineRule="auto"/>
        <w:jc w:val="both"/>
        <w:rPr>
          <w:b/>
          <w:bCs/>
          <w:sz w:val="27"/>
          <w:szCs w:val="27"/>
        </w:rPr>
      </w:pPr>
      <w:r>
        <w:rPr>
          <w:b/>
          <w:bCs/>
          <w:sz w:val="26"/>
          <w:szCs w:val="26"/>
        </w:rPr>
        <w:t xml:space="preserve">           Plate</w:t>
      </w:r>
      <w:r>
        <w:rPr>
          <w:b/>
          <w:bCs/>
          <w:sz w:val="27"/>
          <w:szCs w:val="27"/>
        </w:rPr>
        <w:t xml:space="preserve"> 1: Effect of different bioagents, botanical extracts and fungicides on seed germination</w:t>
      </w:r>
    </w:p>
    <w:p w14:paraId="3A19AF31" w14:textId="77777777" w:rsidR="00F7481C" w:rsidRDefault="00F7481C" w:rsidP="00F7481C">
      <w:pPr>
        <w:spacing w:before="240" w:after="120" w:line="360" w:lineRule="auto"/>
        <w:jc w:val="both"/>
        <w:rPr>
          <w:b/>
          <w:bCs/>
          <w:sz w:val="22"/>
          <w:szCs w:val="22"/>
        </w:rPr>
        <w:sectPr w:rsidR="00F7481C" w:rsidSect="00F7481C">
          <w:pgSz w:w="16838" w:h="11906" w:orient="landscape" w:code="9"/>
          <w:pgMar w:top="1440" w:right="1440" w:bottom="1440" w:left="1440" w:header="708" w:footer="708" w:gutter="0"/>
          <w:cols w:space="720"/>
          <w:docGrid w:linePitch="360"/>
        </w:sectPr>
      </w:pPr>
    </w:p>
    <w:p w14:paraId="5B71CDAB" w14:textId="77777777" w:rsidR="000C6358" w:rsidRDefault="00000000" w:rsidP="00F7481C">
      <w:pPr>
        <w:pStyle w:val="Heading1"/>
        <w:spacing w:line="360" w:lineRule="auto"/>
        <w:jc w:val="both"/>
      </w:pPr>
      <w:r>
        <w:lastRenderedPageBreak/>
        <w:t>4. Discussion</w:t>
      </w:r>
    </w:p>
    <w:p w14:paraId="37EC0C5D" w14:textId="665EF4BB" w:rsidR="000C6358" w:rsidRDefault="00292CE7" w:rsidP="00F7481C">
      <w:pPr>
        <w:spacing w:after="240" w:line="360" w:lineRule="auto"/>
        <w:jc w:val="both"/>
      </w:pPr>
      <w:r w:rsidRPr="00292CE7">
        <w:rPr>
          <w:rFonts w:eastAsia="SimSun"/>
        </w:rPr>
        <w:t xml:space="preserve">The enhanced performance of botanical extracts, particularly garlic and ginger, could be associated with their diverse phytochemical constituents, including growth-promoting compounds such as gibberellin-like substances, auxin-like compounds, </w:t>
      </w:r>
      <w:proofErr w:type="spellStart"/>
      <w:r w:rsidRPr="00292CE7">
        <w:rPr>
          <w:rFonts w:eastAsia="SimSun"/>
        </w:rPr>
        <w:t>cytokinins</w:t>
      </w:r>
      <w:proofErr w:type="spellEnd"/>
      <w:r w:rsidRPr="00292CE7">
        <w:rPr>
          <w:rFonts w:eastAsia="SimSun"/>
        </w:rPr>
        <w:t>, and essential micronutrients.</w:t>
      </w:r>
      <w:r>
        <w:rPr>
          <w:rFonts w:eastAsia="SimSun"/>
        </w:rPr>
        <w:t xml:space="preserve"> </w:t>
      </w:r>
      <w:r w:rsidR="00590669">
        <w:t>Garlic extract’s exceptional effectiveness (96% germination, vigour index 393.6) likely results from allicin and related organosulfur compounds that provide antimicrobial protection and metabolic stimulation, and correct poor germination in pathogen-infested seeds (</w:t>
      </w:r>
      <w:proofErr w:type="spellStart"/>
      <w:r w:rsidR="00590669">
        <w:t>Perelló</w:t>
      </w:r>
      <w:proofErr w:type="spellEnd"/>
      <w:r w:rsidR="00590669">
        <w:t xml:space="preserve"> </w:t>
      </w:r>
      <w:r w:rsidR="00590669">
        <w:rPr>
          <w:i/>
          <w:iCs/>
        </w:rPr>
        <w:t>et al.,</w:t>
      </w:r>
      <w:r w:rsidR="00590669">
        <w:t xml:space="preserve"> 2013; </w:t>
      </w:r>
      <w:r w:rsidR="0060238B" w:rsidRPr="0060238B">
        <w:rPr>
          <w:color w:val="000000" w:themeColor="text1"/>
          <w:sz w:val="22"/>
          <w:szCs w:val="22"/>
        </w:rPr>
        <w:t>Sharma</w:t>
      </w:r>
      <w:r w:rsidR="00590669">
        <w:t xml:space="preserve"> </w:t>
      </w:r>
      <w:r w:rsidR="00590669">
        <w:rPr>
          <w:i/>
          <w:iCs/>
        </w:rPr>
        <w:t>et al.,</w:t>
      </w:r>
      <w:r w:rsidR="00590669">
        <w:t xml:space="preserve"> 202</w:t>
      </w:r>
      <w:r w:rsidR="0060238B">
        <w:t>3</w:t>
      </w:r>
      <w:r w:rsidR="00590669">
        <w:t xml:space="preserve">). These compounds enhance cellular membrane permeability, accelerate enzyme activation, and promote rapid mobilisation of seed reserves during germination. Similarly, the moderate but significant performance of </w:t>
      </w:r>
      <w:r w:rsidR="00590669">
        <w:rPr>
          <w:i/>
          <w:iCs/>
        </w:rPr>
        <w:t xml:space="preserve">Ocimum </w:t>
      </w:r>
      <w:proofErr w:type="spellStart"/>
      <w:r w:rsidR="00590669">
        <w:rPr>
          <w:i/>
          <w:iCs/>
        </w:rPr>
        <w:t>tenuiflorum</w:t>
      </w:r>
      <w:proofErr w:type="spellEnd"/>
      <w:r w:rsidR="00590669">
        <w:t xml:space="preserve"> extract (vigour index 240.0) is consistent with the antimicrobial and growth-stimulating phenolics and terpenoids reported in </w:t>
      </w:r>
      <w:proofErr w:type="spellStart"/>
      <w:r w:rsidR="00590669">
        <w:t>tulsi</w:t>
      </w:r>
      <w:proofErr w:type="spellEnd"/>
      <w:r w:rsidR="00590669">
        <w:t xml:space="preserve"> (</w:t>
      </w:r>
      <w:r w:rsidR="0060238B" w:rsidRPr="0060238B">
        <w:t>Bakkali</w:t>
      </w:r>
      <w:r w:rsidR="00590669">
        <w:t xml:space="preserve"> </w:t>
      </w:r>
      <w:r w:rsidR="00590669">
        <w:rPr>
          <w:i/>
          <w:iCs/>
        </w:rPr>
        <w:t>et al.,</w:t>
      </w:r>
      <w:r w:rsidR="00590669">
        <w:t xml:space="preserve"> 20</w:t>
      </w:r>
      <w:r w:rsidR="0060238B">
        <w:t>08</w:t>
      </w:r>
      <w:r w:rsidR="00590669">
        <w:t xml:space="preserve">). The superior performance of ginger extract aligns with the well-documented presence of the antimicrobial compounds gingerols and shogaols in Zingiber officinale rhizomes (Aleem </w:t>
      </w:r>
      <w:r w:rsidR="00590669">
        <w:rPr>
          <w:i/>
          <w:iCs/>
        </w:rPr>
        <w:t>et al.,</w:t>
      </w:r>
      <w:r w:rsidR="00590669">
        <w:t xml:space="preserve"> 2020). </w:t>
      </w:r>
      <w:r w:rsidR="00590669">
        <w:rPr>
          <w:i/>
          <w:iCs/>
        </w:rPr>
        <w:t>Lantana camara</w:t>
      </w:r>
      <w:r w:rsidR="00590669">
        <w:t xml:space="preserve"> extract, though least effective among botanicals (vigour index 190.0), still outperformed all fungicidal and most bacterial bioagent treatments, indicating the broad utility of plant-derived extracts even from non-food species.</w:t>
      </w:r>
    </w:p>
    <w:p w14:paraId="75A30D32" w14:textId="4421B1FE" w:rsidR="000C6358" w:rsidRDefault="00590669" w:rsidP="00F7481C">
      <w:pPr>
        <w:spacing w:after="240" w:line="360" w:lineRule="auto"/>
        <w:jc w:val="both"/>
      </w:pPr>
      <w:r>
        <w:t xml:space="preserve">The effectiveness of </w:t>
      </w:r>
      <w:r>
        <w:rPr>
          <w:i/>
          <w:iCs/>
        </w:rPr>
        <w:t>Trichoderma</w:t>
      </w:r>
      <w:r>
        <w:t xml:space="preserve">-based treatments, particularly the </w:t>
      </w:r>
      <w:r>
        <w:rPr>
          <w:i/>
          <w:iCs/>
        </w:rPr>
        <w:t xml:space="preserve">T. </w:t>
      </w:r>
      <w:proofErr w:type="spellStart"/>
      <w:r>
        <w:rPr>
          <w:i/>
          <w:iCs/>
        </w:rPr>
        <w:t>harzianum</w:t>
      </w:r>
      <w:proofErr w:type="spellEnd"/>
      <w:r>
        <w:rPr>
          <w:i/>
          <w:iCs/>
        </w:rPr>
        <w:t xml:space="preserve"> + T. viride</w:t>
      </w:r>
      <w:r>
        <w:t xml:space="preserve"> consortium (vigour index 331.2), demonstrates the synergistic benefits of combining complementary beneficial fungi (</w:t>
      </w:r>
      <w:proofErr w:type="spellStart"/>
      <w:r>
        <w:t>Mastouri</w:t>
      </w:r>
      <w:proofErr w:type="spellEnd"/>
      <w:r>
        <w:t xml:space="preserve"> </w:t>
      </w:r>
      <w:r>
        <w:rPr>
          <w:i/>
          <w:iCs/>
        </w:rPr>
        <w:t>et al.,</w:t>
      </w:r>
      <w:r>
        <w:t xml:space="preserve"> 2010; Puglisi </w:t>
      </w:r>
      <w:r>
        <w:rPr>
          <w:i/>
          <w:iCs/>
        </w:rPr>
        <w:t>et al.,</w:t>
      </w:r>
      <w:r>
        <w:t xml:space="preserve"> 2022). This synergy likely arises from diverse metabolite production, broader-spectrum pathogen suppression, and complementary niche </w:t>
      </w:r>
      <w:r w:rsidR="00292CE7">
        <w:t>colonization</w:t>
      </w:r>
      <w:r>
        <w:t xml:space="preserve"> of the seed surface. Individual </w:t>
      </w:r>
      <w:r w:rsidRPr="00292CE7">
        <w:rPr>
          <w:i/>
          <w:iCs/>
        </w:rPr>
        <w:t>Trichoderma</w:t>
      </w:r>
      <w:r>
        <w:t xml:space="preserve"> species exhibited differential performance, suggesting strain-specific variation in growth-promoting metabolites and </w:t>
      </w:r>
      <w:proofErr w:type="spellStart"/>
      <w:r>
        <w:t>mycoparasitic</w:t>
      </w:r>
      <w:proofErr w:type="spellEnd"/>
      <w:r>
        <w:t xml:space="preserve"> potential.</w:t>
      </w:r>
    </w:p>
    <w:p w14:paraId="0B3E26F6" w14:textId="075229F2" w:rsidR="000C6358" w:rsidRDefault="00590669" w:rsidP="00F7481C">
      <w:pPr>
        <w:spacing w:after="240" w:line="360" w:lineRule="auto"/>
        <w:jc w:val="both"/>
      </w:pPr>
      <w:r>
        <w:t xml:space="preserve">Fungicidal treatments showed moderate efficacy but consistently lower vigour indices than botanical and bioagent treatments, indicating potential phytotoxic interference with seed metabolic processes. </w:t>
      </w:r>
      <w:r w:rsidR="00292CE7" w:rsidRPr="00292CE7">
        <w:t xml:space="preserve">The poor performance of </w:t>
      </w:r>
      <w:proofErr w:type="spellStart"/>
      <w:r w:rsidR="00292CE7" w:rsidRPr="00292CE7">
        <w:t>Penflufen</w:t>
      </w:r>
      <w:proofErr w:type="spellEnd"/>
      <w:r w:rsidR="00292CE7" w:rsidRPr="00292CE7">
        <w:t xml:space="preserve"> 240 FS (vigour index 132.0) suggests possible concentration-dependent phytotoxicity, indicating the need for dose optimisation. This observation is consistent with the findings of </w:t>
      </w:r>
      <w:r w:rsidR="00616CB1" w:rsidRPr="00616CB1">
        <w:rPr>
          <w:color w:val="000000" w:themeColor="text1"/>
          <w:sz w:val="22"/>
          <w:szCs w:val="22"/>
        </w:rPr>
        <w:t>Ayesha</w:t>
      </w:r>
      <w:r w:rsidR="00292CE7" w:rsidRPr="00292CE7">
        <w:t xml:space="preserve"> et al. (202</w:t>
      </w:r>
      <w:r w:rsidR="00616CB1">
        <w:t>1</w:t>
      </w:r>
      <w:r w:rsidR="00292CE7" w:rsidRPr="00292CE7">
        <w:t xml:space="preserve">), who reported that SDHI fungicides at higher seed-coat concentrations may inhibit early root enzymatic </w:t>
      </w:r>
      <w:proofErr w:type="spellStart"/>
      <w:r w:rsidR="00292CE7" w:rsidRPr="00292CE7">
        <w:t>activity.</w:t>
      </w:r>
      <w:r>
        <w:t>This</w:t>
      </w:r>
      <w:proofErr w:type="spellEnd"/>
      <w:r>
        <w:t xml:space="preserve"> finding emphasises the importance of balancing pathogen control efficacy with seedling safety in chemical seed treatments.</w:t>
      </w:r>
    </w:p>
    <w:p w14:paraId="6A695F24" w14:textId="1CD6E85D" w:rsidR="000C6358" w:rsidRDefault="00590669" w:rsidP="00F7481C">
      <w:pPr>
        <w:spacing w:after="240" w:line="360" w:lineRule="auto"/>
        <w:jc w:val="both"/>
      </w:pPr>
      <w:r>
        <w:lastRenderedPageBreak/>
        <w:t xml:space="preserve">Bacterial bioagents </w:t>
      </w:r>
      <w:r w:rsidR="00292CE7" w:rsidRPr="0078648C">
        <w:rPr>
          <w:rFonts w:eastAsia="SimSun"/>
        </w:rPr>
        <w:t xml:space="preserve">exhibited intermediate performance between the </w:t>
      </w:r>
      <w:r w:rsidR="00292CE7" w:rsidRPr="0078648C">
        <w:rPr>
          <w:rStyle w:val="Emphasis"/>
          <w:rFonts w:eastAsia="SimSun"/>
        </w:rPr>
        <w:t>Trichoderma</w:t>
      </w:r>
      <w:r w:rsidR="00292CE7" w:rsidRPr="0078648C">
        <w:rPr>
          <w:rFonts w:eastAsia="SimSun"/>
        </w:rPr>
        <w:t xml:space="preserve"> treatments and the fungicide </w:t>
      </w:r>
      <w:proofErr w:type="spellStart"/>
      <w:r w:rsidR="00292CE7" w:rsidRPr="0078648C">
        <w:rPr>
          <w:rFonts w:eastAsia="SimSun"/>
        </w:rPr>
        <w:t>treatments</w:t>
      </w:r>
      <w:r w:rsidR="00292CE7">
        <w:rPr>
          <w:rFonts w:ascii="SimSun" w:eastAsia="SimSun" w:hAnsi="SimSun" w:cs="SimSun"/>
        </w:rPr>
        <w:t>.</w:t>
      </w:r>
      <w:r>
        <w:rPr>
          <w:i/>
          <w:iCs/>
        </w:rPr>
        <w:t>Pseudomonas</w:t>
      </w:r>
      <w:proofErr w:type="spellEnd"/>
      <w:r>
        <w:rPr>
          <w:i/>
          <w:iCs/>
        </w:rPr>
        <w:t xml:space="preserve"> fluorescens</w:t>
      </w:r>
      <w:r>
        <w:t xml:space="preserve"> (vigour index 210.0) produces siderophores, HCN, and IAA, which promote root elongation and suppress seed-borne pathogens (Sindhu </w:t>
      </w:r>
      <w:r>
        <w:rPr>
          <w:i/>
          <w:iCs/>
        </w:rPr>
        <w:t>et al.,</w:t>
      </w:r>
      <w:r>
        <w:t xml:space="preserve"> 2022; Mitra </w:t>
      </w:r>
      <w:r>
        <w:rPr>
          <w:i/>
          <w:iCs/>
        </w:rPr>
        <w:t>et al.,</w:t>
      </w:r>
      <w:r>
        <w:t xml:space="preserve"> 2021), whereas </w:t>
      </w:r>
      <w:r>
        <w:rPr>
          <w:i/>
          <w:iCs/>
        </w:rPr>
        <w:t>B. subtilis</w:t>
      </w:r>
      <w:r>
        <w:t xml:space="preserve"> (vigour index 163.2) </w:t>
      </w:r>
      <w:r w:rsidR="00292CE7" w:rsidRPr="0078648C">
        <w:rPr>
          <w:rFonts w:eastAsia="SimSun"/>
        </w:rPr>
        <w:t>exhibited</w:t>
      </w:r>
      <w:r>
        <w:t xml:space="preserve"> the lowest efficacy among bioagents, possibly due to suboptimal </w:t>
      </w:r>
      <w:r w:rsidR="00292CE7">
        <w:t>colonization</w:t>
      </w:r>
      <w:r>
        <w:t xml:space="preserve"> of mustard seed surfaces under the blotter method conditions. The relative inferiority of bacterial bioagents to fungal bioagents in this study may reflect the importance of mycelial </w:t>
      </w:r>
      <w:r w:rsidR="00292CE7">
        <w:t>colonization</w:t>
      </w:r>
      <w:r>
        <w:t xml:space="preserve"> of seed surfaces and the production of cell wall-degrading enzymes, which are not available to bacterial agents, in enhancing early seedling growth under </w:t>
      </w:r>
      <w:r>
        <w:rPr>
          <w:i/>
          <w:iCs/>
        </w:rPr>
        <w:t>in vitro</w:t>
      </w:r>
      <w:r>
        <w:t xml:space="preserve"> conditions (Harman </w:t>
      </w:r>
      <w:r>
        <w:rPr>
          <w:i/>
          <w:iCs/>
        </w:rPr>
        <w:t>et al.,</w:t>
      </w:r>
      <w:r>
        <w:t xml:space="preserve"> 2004).</w:t>
      </w:r>
    </w:p>
    <w:p w14:paraId="6773D59F" w14:textId="63DE791F" w:rsidR="000C6358" w:rsidRDefault="00590669" w:rsidP="00F7481C">
      <w:pPr>
        <w:spacing w:after="480" w:line="360" w:lineRule="auto"/>
        <w:jc w:val="both"/>
      </w:pPr>
      <w:r>
        <w:t xml:space="preserve">These results align with findings from </w:t>
      </w:r>
      <w:r w:rsidR="00616CB1" w:rsidRPr="00616CB1">
        <w:rPr>
          <w:color w:val="000000" w:themeColor="text1"/>
          <w:sz w:val="22"/>
          <w:szCs w:val="22"/>
        </w:rPr>
        <w:t>Vani</w:t>
      </w:r>
      <w:r>
        <w:t xml:space="preserve"> </w:t>
      </w:r>
      <w:r>
        <w:rPr>
          <w:i/>
          <w:iCs/>
        </w:rPr>
        <w:t>et al.,</w:t>
      </w:r>
      <w:r>
        <w:t xml:space="preserve"> (202</w:t>
      </w:r>
      <w:r w:rsidR="00616CB1">
        <w:t>4</w:t>
      </w:r>
      <w:r>
        <w:t xml:space="preserve">), and </w:t>
      </w:r>
      <w:r w:rsidR="00616CB1" w:rsidRPr="0060238B">
        <w:rPr>
          <w:color w:val="000000" w:themeColor="text1"/>
          <w:sz w:val="22"/>
          <w:szCs w:val="22"/>
        </w:rPr>
        <w:t>Sharma</w:t>
      </w:r>
      <w:r w:rsidR="00616CB1">
        <w:t xml:space="preserve"> </w:t>
      </w:r>
      <w:r w:rsidR="00616CB1">
        <w:rPr>
          <w:i/>
          <w:iCs/>
        </w:rPr>
        <w:t>et al.,</w:t>
      </w:r>
      <w:r w:rsidR="00616CB1">
        <w:t xml:space="preserve"> (2023) </w:t>
      </w:r>
      <w:r>
        <w:t xml:space="preserve">confirming that botanical extracts and bioagent formulations enhance seedling vigour more effectively than chemical fungicides. The mechanisms underlying the efficacy of botanical extracts include enhanced enzyme activity, improved nutrient </w:t>
      </w:r>
      <w:r w:rsidR="003240E3">
        <w:t>mobilisation</w:t>
      </w:r>
      <w:r>
        <w:t>, and stimulation of early seedling metabolic processes via natural growth regulators and bioactive compounds.</w:t>
      </w:r>
    </w:p>
    <w:p w14:paraId="61D72407" w14:textId="77777777" w:rsidR="000C6358" w:rsidRDefault="00000000" w:rsidP="00F7481C">
      <w:pPr>
        <w:pStyle w:val="Heading1"/>
        <w:spacing w:line="360" w:lineRule="auto"/>
        <w:jc w:val="both"/>
      </w:pPr>
      <w:r>
        <w:t>5. Conclusion</w:t>
      </w:r>
    </w:p>
    <w:p w14:paraId="158E16A2" w14:textId="2259D0A2" w:rsidR="000C6358" w:rsidRDefault="00590669" w:rsidP="00F7481C">
      <w:pPr>
        <w:spacing w:after="480" w:line="360" w:lineRule="auto"/>
        <w:jc w:val="both"/>
      </w:pPr>
      <w:r>
        <w:t xml:space="preserve">This study establishes that plant-based seed treatments, particularly garlic and ginger extracts, are highly effective and environmentally compatible options for seed health management and germination enhancement in Indian mustard. The </w:t>
      </w:r>
      <w:r>
        <w:rPr>
          <w:i/>
          <w:iCs/>
        </w:rPr>
        <w:t xml:space="preserve">Trichoderma </w:t>
      </w:r>
      <w:proofErr w:type="spellStart"/>
      <w:r>
        <w:rPr>
          <w:i/>
          <w:iCs/>
        </w:rPr>
        <w:t>harzianum</w:t>
      </w:r>
      <w:proofErr w:type="spellEnd"/>
      <w:r>
        <w:rPr>
          <w:i/>
          <w:iCs/>
        </w:rPr>
        <w:t xml:space="preserve"> + T. viride</w:t>
      </w:r>
      <w:r>
        <w:t xml:space="preserve"> consortium offers a viable biological alternative when botanical extracts are unavailable, whereas chemical fungicides require careful dose optimisation to avoid phytotoxicity. Future research should validate these treatments under field conditions across diverse environments, investigate optimal combinations of botanical extracts with bioagent consortia, and elucidate the molecular mechanisms underlying seed germination enhancement, including </w:t>
      </w:r>
      <w:r w:rsidR="003240E3">
        <w:t>quantification of phytohormones</w:t>
      </w:r>
      <w:r>
        <w:t xml:space="preserve"> and transcriptomic profiling. Such research will facilitate the development of evidence-based, integrated seed treatment protocols for sustainable Brassica production systems in the Indo-Gangetic plains and comparable agroecological zones.</w:t>
      </w:r>
    </w:p>
    <w:p w14:paraId="4DCD7F07" w14:textId="77777777" w:rsidR="00E769AD" w:rsidRPr="001D7887" w:rsidRDefault="00E769AD" w:rsidP="00E769AD">
      <w:pPr>
        <w:rPr>
          <w:rFonts w:ascii="Arial" w:hAnsi="Arial" w:cs="Arial"/>
          <w:sz w:val="20"/>
          <w:szCs w:val="20"/>
        </w:rPr>
      </w:pPr>
      <w:bookmarkStart w:id="0" w:name="_Hlk229233765"/>
      <w:r w:rsidRPr="00E8485B">
        <w:t xml:space="preserve">COMPETING </w:t>
      </w:r>
      <w:r w:rsidRPr="001D7887">
        <w:t>INTERESTS</w:t>
      </w:r>
      <w:r w:rsidRPr="001D7887">
        <w:rPr>
          <w:rFonts w:ascii="Arial" w:hAnsi="Arial" w:cs="Arial"/>
          <w:sz w:val="20"/>
          <w:szCs w:val="20"/>
          <w:highlight w:val="yellow"/>
        </w:rPr>
        <w:t xml:space="preserve"> </w:t>
      </w:r>
      <w:r w:rsidRPr="001D7887">
        <w:rPr>
          <w:rFonts w:ascii="Arial" w:hAnsi="Arial" w:cs="Arial"/>
          <w:sz w:val="20"/>
          <w:szCs w:val="20"/>
        </w:rPr>
        <w:t>DISCLAIMER:</w:t>
      </w:r>
    </w:p>
    <w:p w14:paraId="5F8F081B" w14:textId="77777777" w:rsidR="00E769AD" w:rsidRPr="00E8485B" w:rsidRDefault="00E769AD" w:rsidP="00E769AD"/>
    <w:p w14:paraId="0D36E87A" w14:textId="77777777" w:rsidR="00E769AD" w:rsidRPr="00E8485B" w:rsidRDefault="00E769AD" w:rsidP="00E769AD">
      <w:r w:rsidRPr="00E8485B">
        <w:lastRenderedPageBreak/>
        <w:t>Authors have declared that they have no known competing financial interests OR non-financial interests OR personal relationships that could have appeared to influence the work reported in this paper.</w:t>
      </w:r>
    </w:p>
    <w:bookmarkEnd w:id="0"/>
    <w:p w14:paraId="1648F586" w14:textId="77777777" w:rsidR="00EA2069" w:rsidRDefault="00EA2069" w:rsidP="00EA2069">
      <w:pPr>
        <w:spacing w:before="120" w:after="120" w:line="324" w:lineRule="auto"/>
        <w:jc w:val="both"/>
        <w:rPr>
          <w:b/>
        </w:rPr>
      </w:pPr>
      <w:r>
        <w:rPr>
          <w:b/>
        </w:rPr>
        <w:t xml:space="preserve">Authors’ contributions: </w:t>
      </w:r>
      <w:r>
        <w:t>HR conceived and designed the study, conducted the experiments, analysed the data, and drafted the manuscript. MS supervised the research and critically revised the manuscript. SS assisted with data collection and statistical analysis. All authors read and approved the final manuscript.</w:t>
      </w:r>
    </w:p>
    <w:p w14:paraId="07FFE63B" w14:textId="77777777" w:rsidR="00EA2069" w:rsidRDefault="00EA2069" w:rsidP="00EA2069">
      <w:pPr>
        <w:spacing w:before="120" w:after="120" w:line="324" w:lineRule="auto"/>
        <w:jc w:val="both"/>
        <w:rPr>
          <w:b/>
        </w:rPr>
      </w:pPr>
      <w:r>
        <w:rPr>
          <w:b/>
        </w:rPr>
        <w:t xml:space="preserve">Acknowledgements: </w:t>
      </w:r>
      <w:r>
        <w:t>The authors are grateful to the Department of Plant Pathology, Chandra Shekhar Azad University of Agriculture and Technology, Kanpur, for providing laboratory facilities and support for this research.</w:t>
      </w:r>
    </w:p>
    <w:p w14:paraId="7F302305" w14:textId="77777777" w:rsidR="00EA2069" w:rsidRDefault="00EA2069" w:rsidP="00EA2069">
      <w:pPr>
        <w:pStyle w:val="Heading1"/>
      </w:pPr>
    </w:p>
    <w:p w14:paraId="51CCC7D2" w14:textId="77777777" w:rsidR="00EA2069" w:rsidRDefault="00EA2069" w:rsidP="00F7481C">
      <w:pPr>
        <w:spacing w:after="480" w:line="360" w:lineRule="auto"/>
        <w:jc w:val="both"/>
      </w:pPr>
    </w:p>
    <w:p w14:paraId="2A516C02" w14:textId="77777777" w:rsidR="00DB6760" w:rsidRPr="00DB6760" w:rsidRDefault="00DB6760" w:rsidP="00DB6760">
      <w:pPr>
        <w:spacing w:after="200" w:line="276" w:lineRule="auto"/>
        <w:rPr>
          <w:rFonts w:ascii="Calibri" w:eastAsia="Calibri" w:hAnsi="Calibri"/>
          <w:kern w:val="2"/>
          <w:sz w:val="22"/>
          <w:szCs w:val="22"/>
          <w:highlight w:val="yellow"/>
          <w:lang w:val="en-US" w:eastAsia="en-US"/>
          <w14:ligatures w14:val="standardContextual"/>
        </w:rPr>
      </w:pPr>
      <w:r w:rsidRPr="00DB6760">
        <w:rPr>
          <w:rFonts w:ascii="Calibri" w:eastAsia="Calibri" w:hAnsi="Calibri"/>
          <w:kern w:val="2"/>
          <w:sz w:val="22"/>
          <w:szCs w:val="22"/>
          <w:highlight w:val="yellow"/>
          <w:lang w:val="en-US" w:eastAsia="en-US"/>
          <w14:ligatures w14:val="standardContextual"/>
        </w:rPr>
        <w:t>Disclaimer (Artificial intelligence)</w:t>
      </w:r>
    </w:p>
    <w:p w14:paraId="10A95BD3" w14:textId="77777777" w:rsidR="00DB6760" w:rsidRPr="00DB6760" w:rsidRDefault="00DB6760" w:rsidP="00DB6760">
      <w:pPr>
        <w:spacing w:after="200" w:line="276" w:lineRule="auto"/>
        <w:rPr>
          <w:rFonts w:ascii="Calibri" w:eastAsia="Calibri" w:hAnsi="Calibri"/>
          <w:kern w:val="2"/>
          <w:sz w:val="22"/>
          <w:szCs w:val="22"/>
          <w:highlight w:val="yellow"/>
          <w:lang w:val="en-US" w:eastAsia="en-US"/>
          <w14:ligatures w14:val="standardContextual"/>
        </w:rPr>
      </w:pPr>
      <w:r w:rsidRPr="00DB6760">
        <w:rPr>
          <w:rFonts w:ascii="Calibri" w:eastAsia="Calibri" w:hAnsi="Calibri"/>
          <w:kern w:val="2"/>
          <w:sz w:val="22"/>
          <w:szCs w:val="22"/>
          <w:highlight w:val="yellow"/>
          <w:lang w:val="en-US" w:eastAsia="en-US"/>
          <w14:ligatures w14:val="standardContextual"/>
        </w:rPr>
        <w:t xml:space="preserve">Author(s) hereby declare that NO generative AI technologies such as Large Language Models (ChatGPT, COPILOT, etc.) and text-to-image generators have been used during the writing or editing of this manuscript. </w:t>
      </w:r>
    </w:p>
    <w:p w14:paraId="4C3471FD" w14:textId="77777777" w:rsidR="00DB6760" w:rsidRPr="00DB6760" w:rsidRDefault="00DB6760" w:rsidP="00DB6760">
      <w:pPr>
        <w:spacing w:after="200" w:line="276" w:lineRule="auto"/>
        <w:rPr>
          <w:rFonts w:ascii="Calibri" w:eastAsia="Calibri" w:hAnsi="Calibri"/>
          <w:kern w:val="2"/>
          <w:sz w:val="22"/>
          <w:szCs w:val="22"/>
          <w:lang w:val="en-US" w:eastAsia="en-US"/>
          <w14:ligatures w14:val="standardContextual"/>
        </w:rPr>
      </w:pPr>
    </w:p>
    <w:p w14:paraId="1ACFC9F4" w14:textId="77777777" w:rsidR="00616CB1" w:rsidRDefault="00616CB1" w:rsidP="00F7481C">
      <w:pPr>
        <w:spacing w:after="480" w:line="360" w:lineRule="auto"/>
        <w:jc w:val="both"/>
      </w:pPr>
    </w:p>
    <w:p w14:paraId="606D11C3" w14:textId="77777777" w:rsidR="00F923FA" w:rsidRDefault="00F923FA" w:rsidP="00F7481C">
      <w:pPr>
        <w:spacing w:after="480" w:line="360" w:lineRule="auto"/>
        <w:jc w:val="both"/>
      </w:pPr>
    </w:p>
    <w:p w14:paraId="56BDE37B" w14:textId="2002A6A3" w:rsidR="00E71777" w:rsidRDefault="00000000">
      <w:pPr>
        <w:pStyle w:val="Heading1"/>
      </w:pPr>
      <w:r>
        <w:t>References</w:t>
      </w:r>
    </w:p>
    <w:p w14:paraId="5EFD2340" w14:textId="77777777" w:rsidR="00616CB1" w:rsidRPr="00E71777" w:rsidRDefault="00616CB1" w:rsidP="00FD52FE">
      <w:pPr>
        <w:pStyle w:val="NormalWeb"/>
        <w:numPr>
          <w:ilvl w:val="0"/>
          <w:numId w:val="2"/>
        </w:numPr>
        <w:spacing w:before="240" w:beforeAutospacing="0" w:after="0" w:afterAutospacing="0"/>
        <w:rPr>
          <w:sz w:val="22"/>
          <w:szCs w:val="22"/>
        </w:rPr>
      </w:pPr>
      <w:r w:rsidRPr="00E71777">
        <w:rPr>
          <w:sz w:val="22"/>
          <w:szCs w:val="22"/>
        </w:rPr>
        <w:t xml:space="preserve">Abdul-Baki, A. A. and Anderson, J. D. (1973). Vigor determination in soybean seed by multiple criteria. </w:t>
      </w:r>
      <w:r w:rsidRPr="00E71777">
        <w:rPr>
          <w:i/>
          <w:iCs/>
          <w:sz w:val="22"/>
          <w:szCs w:val="22"/>
        </w:rPr>
        <w:t xml:space="preserve">Crop Science, </w:t>
      </w:r>
      <w:r w:rsidRPr="00E71777">
        <w:rPr>
          <w:sz w:val="22"/>
          <w:szCs w:val="22"/>
        </w:rPr>
        <w:t>13(6), 630–633.</w:t>
      </w:r>
      <w:r>
        <w:rPr>
          <w:sz w:val="22"/>
          <w:szCs w:val="22"/>
        </w:rPr>
        <w:t xml:space="preserve"> </w:t>
      </w:r>
      <w:r w:rsidRPr="00E71777">
        <w:rPr>
          <w:color w:val="0070C0"/>
          <w:sz w:val="22"/>
          <w:szCs w:val="22"/>
        </w:rPr>
        <w:t>https://doi.org/10.2135/cropsci1973.0011183X001300060013x</w:t>
      </w:r>
      <w:r w:rsidRPr="00E71777">
        <w:rPr>
          <w:sz w:val="22"/>
          <w:szCs w:val="22"/>
        </w:rPr>
        <w:t>.</w:t>
      </w:r>
    </w:p>
    <w:p w14:paraId="303E2D1C" w14:textId="77777777" w:rsidR="00616CB1" w:rsidRPr="00FD52FE" w:rsidRDefault="00616CB1" w:rsidP="00FD52FE">
      <w:pPr>
        <w:pStyle w:val="ListParagraph"/>
        <w:numPr>
          <w:ilvl w:val="0"/>
          <w:numId w:val="2"/>
        </w:numPr>
        <w:spacing w:before="240"/>
        <w:jc w:val="both"/>
        <w:rPr>
          <w:color w:val="0563C1"/>
          <w:sz w:val="22"/>
          <w:szCs w:val="22"/>
        </w:rPr>
      </w:pPr>
      <w:r w:rsidRPr="00FD52FE">
        <w:rPr>
          <w:sz w:val="22"/>
          <w:szCs w:val="22"/>
        </w:rPr>
        <w:t xml:space="preserve">Aleem, M., Khan, M. I., </w:t>
      </w:r>
      <w:proofErr w:type="spellStart"/>
      <w:r w:rsidRPr="00FD52FE">
        <w:rPr>
          <w:sz w:val="22"/>
          <w:szCs w:val="22"/>
        </w:rPr>
        <w:t>Shakshaz</w:t>
      </w:r>
      <w:proofErr w:type="spellEnd"/>
      <w:r w:rsidRPr="00FD52FE">
        <w:rPr>
          <w:sz w:val="22"/>
          <w:szCs w:val="22"/>
        </w:rPr>
        <w:t xml:space="preserve">, F. A., Akbari, N. and Anwar, D. (2020). Botany, phytochemistry and antimicrobial activity of ginger (Zingiber officinale): A review. </w:t>
      </w:r>
      <w:r w:rsidRPr="00FD52FE">
        <w:rPr>
          <w:i/>
          <w:iCs/>
          <w:sz w:val="22"/>
          <w:szCs w:val="22"/>
        </w:rPr>
        <w:t xml:space="preserve">International Journal of Herbal Medicine, </w:t>
      </w:r>
      <w:r w:rsidRPr="00FD52FE">
        <w:rPr>
          <w:sz w:val="22"/>
          <w:szCs w:val="22"/>
        </w:rPr>
        <w:t xml:space="preserve">8(6), 36–49. </w:t>
      </w:r>
      <w:hyperlink r:id="rId26" w:history="1">
        <w:r w:rsidRPr="00FD52FE">
          <w:rPr>
            <w:rStyle w:val="Hyperlink"/>
            <w:sz w:val="22"/>
            <w:szCs w:val="22"/>
          </w:rPr>
          <w:t>https://doi.org/10.22271/flora.2020.v8.i6a.705</w:t>
        </w:r>
      </w:hyperlink>
    </w:p>
    <w:p w14:paraId="5C55635C" w14:textId="77777777" w:rsidR="00616CB1" w:rsidRDefault="00616CB1" w:rsidP="00FD52FE">
      <w:pPr>
        <w:pStyle w:val="NormalWeb"/>
        <w:numPr>
          <w:ilvl w:val="0"/>
          <w:numId w:val="2"/>
        </w:numPr>
        <w:spacing w:before="240" w:beforeAutospacing="0" w:after="0" w:afterAutospacing="0"/>
        <w:jc w:val="both"/>
        <w:rPr>
          <w:color w:val="000000" w:themeColor="text1"/>
          <w:sz w:val="22"/>
          <w:szCs w:val="22"/>
        </w:rPr>
      </w:pPr>
      <w:r w:rsidRPr="00616CB1">
        <w:rPr>
          <w:color w:val="000000" w:themeColor="text1"/>
          <w:sz w:val="22"/>
          <w:szCs w:val="22"/>
        </w:rPr>
        <w:t xml:space="preserve">Ayesha, M. S., Suryanarayanan, T. S., Nataraja, K. N., Prasad, S. R. and </w:t>
      </w:r>
      <w:proofErr w:type="spellStart"/>
      <w:r w:rsidRPr="00616CB1">
        <w:rPr>
          <w:color w:val="000000" w:themeColor="text1"/>
          <w:sz w:val="22"/>
          <w:szCs w:val="22"/>
        </w:rPr>
        <w:t>Shaanker</w:t>
      </w:r>
      <w:proofErr w:type="spellEnd"/>
      <w:r w:rsidRPr="00616CB1">
        <w:rPr>
          <w:color w:val="000000" w:themeColor="text1"/>
          <w:sz w:val="22"/>
          <w:szCs w:val="22"/>
        </w:rPr>
        <w:t xml:space="preserve">, R. U. (2021). Seed treatment with systemic fungicides: Time for review. </w:t>
      </w:r>
      <w:r w:rsidRPr="00616CB1">
        <w:rPr>
          <w:i/>
          <w:iCs/>
          <w:color w:val="000000" w:themeColor="text1"/>
          <w:sz w:val="22"/>
          <w:szCs w:val="22"/>
        </w:rPr>
        <w:t>Frontiers in Plant Science,</w:t>
      </w:r>
      <w:r w:rsidRPr="00616CB1">
        <w:rPr>
          <w:color w:val="000000" w:themeColor="text1"/>
          <w:sz w:val="22"/>
          <w:szCs w:val="22"/>
        </w:rPr>
        <w:t xml:space="preserve"> 12, 654512. </w:t>
      </w:r>
      <w:hyperlink r:id="rId27" w:history="1">
        <w:r w:rsidRPr="00CC3280">
          <w:rPr>
            <w:rStyle w:val="Hyperlink"/>
            <w:sz w:val="22"/>
            <w:szCs w:val="22"/>
          </w:rPr>
          <w:t>https://doi.org/10.3389/fpls.2021.654512</w:t>
        </w:r>
      </w:hyperlink>
    </w:p>
    <w:p w14:paraId="52D1B89B" w14:textId="77777777" w:rsidR="00616CB1" w:rsidRPr="00FD52FE" w:rsidRDefault="00616CB1" w:rsidP="00FD52FE">
      <w:pPr>
        <w:pStyle w:val="ListParagraph"/>
        <w:numPr>
          <w:ilvl w:val="0"/>
          <w:numId w:val="2"/>
        </w:numPr>
        <w:spacing w:before="240"/>
        <w:rPr>
          <w:color w:val="0563C1"/>
          <w:sz w:val="22"/>
          <w:szCs w:val="22"/>
        </w:rPr>
      </w:pPr>
      <w:r w:rsidRPr="00FD52FE">
        <w:rPr>
          <w:sz w:val="22"/>
          <w:szCs w:val="22"/>
        </w:rPr>
        <w:t xml:space="preserve">Bakkali, F., Averbeck, S., Averbeck, D. and </w:t>
      </w:r>
      <w:proofErr w:type="spellStart"/>
      <w:r w:rsidRPr="00FD52FE">
        <w:rPr>
          <w:sz w:val="22"/>
          <w:szCs w:val="22"/>
        </w:rPr>
        <w:t>Idaomar</w:t>
      </w:r>
      <w:proofErr w:type="spellEnd"/>
      <w:r w:rsidRPr="00FD52FE">
        <w:rPr>
          <w:sz w:val="22"/>
          <w:szCs w:val="22"/>
        </w:rPr>
        <w:t xml:space="preserve">, M. (2008). Biological effects of essential oils — A review. </w:t>
      </w:r>
      <w:r w:rsidRPr="00FD52FE">
        <w:rPr>
          <w:i/>
          <w:iCs/>
          <w:sz w:val="22"/>
          <w:szCs w:val="22"/>
        </w:rPr>
        <w:t xml:space="preserve">Food and Chemical Toxicology, </w:t>
      </w:r>
      <w:r w:rsidRPr="00FD52FE">
        <w:rPr>
          <w:sz w:val="22"/>
          <w:szCs w:val="22"/>
        </w:rPr>
        <w:t xml:space="preserve">46(2), 446–475. </w:t>
      </w:r>
      <w:hyperlink r:id="rId28" w:history="1">
        <w:r w:rsidRPr="00FD52FE">
          <w:rPr>
            <w:rStyle w:val="Hyperlink"/>
            <w:sz w:val="22"/>
            <w:szCs w:val="22"/>
          </w:rPr>
          <w:t>https://doi.org/10.1016/j.fct.2007.09.106</w:t>
        </w:r>
      </w:hyperlink>
    </w:p>
    <w:p w14:paraId="52A3F9A2" w14:textId="77777777" w:rsidR="00616CB1" w:rsidRPr="00FD52FE" w:rsidRDefault="00616CB1" w:rsidP="00FD52FE">
      <w:pPr>
        <w:pStyle w:val="ListParagraph"/>
        <w:numPr>
          <w:ilvl w:val="0"/>
          <w:numId w:val="2"/>
        </w:numPr>
        <w:spacing w:before="240"/>
        <w:jc w:val="both"/>
        <w:rPr>
          <w:color w:val="0563C1"/>
          <w:sz w:val="22"/>
          <w:szCs w:val="22"/>
        </w:rPr>
      </w:pPr>
      <w:r w:rsidRPr="00FD52FE">
        <w:rPr>
          <w:sz w:val="22"/>
          <w:szCs w:val="22"/>
        </w:rPr>
        <w:lastRenderedPageBreak/>
        <w:t xml:space="preserve">Harman, G. E., Howell, C. R., Viterbo, A., Chet, I. and Lorito, M. (2004). </w:t>
      </w:r>
      <w:r w:rsidRPr="00FD52FE">
        <w:rPr>
          <w:i/>
          <w:iCs/>
          <w:sz w:val="22"/>
          <w:szCs w:val="22"/>
        </w:rPr>
        <w:t>Trichoderma</w:t>
      </w:r>
      <w:r w:rsidRPr="00FD52FE">
        <w:rPr>
          <w:sz w:val="22"/>
          <w:szCs w:val="22"/>
        </w:rPr>
        <w:t xml:space="preserve"> species — opportunistic, avirulent plant symbionts. </w:t>
      </w:r>
      <w:r w:rsidRPr="00FD52FE">
        <w:rPr>
          <w:i/>
          <w:iCs/>
          <w:sz w:val="22"/>
          <w:szCs w:val="22"/>
        </w:rPr>
        <w:t xml:space="preserve">Nature Reviews Microbiology, </w:t>
      </w:r>
      <w:r w:rsidRPr="00FD52FE">
        <w:rPr>
          <w:sz w:val="22"/>
          <w:szCs w:val="22"/>
        </w:rPr>
        <w:t xml:space="preserve">2(1), 43–56. </w:t>
      </w:r>
      <w:hyperlink r:id="rId29" w:history="1">
        <w:r w:rsidRPr="00FD52FE">
          <w:rPr>
            <w:rStyle w:val="Hyperlink"/>
            <w:sz w:val="22"/>
            <w:szCs w:val="22"/>
          </w:rPr>
          <w:t>https://doi.org/10.1038/nrmicro797</w:t>
        </w:r>
      </w:hyperlink>
    </w:p>
    <w:p w14:paraId="77ACA832" w14:textId="77777777" w:rsidR="00616CB1" w:rsidRPr="00FD52FE" w:rsidRDefault="00616CB1" w:rsidP="00FD52FE">
      <w:pPr>
        <w:pStyle w:val="ListParagraph"/>
        <w:numPr>
          <w:ilvl w:val="0"/>
          <w:numId w:val="2"/>
        </w:numPr>
        <w:spacing w:before="240"/>
        <w:jc w:val="both"/>
        <w:rPr>
          <w:color w:val="0563C1"/>
          <w:sz w:val="22"/>
          <w:szCs w:val="22"/>
        </w:rPr>
      </w:pPr>
      <w:proofErr w:type="spellStart"/>
      <w:r w:rsidRPr="00FD52FE">
        <w:rPr>
          <w:sz w:val="22"/>
          <w:szCs w:val="22"/>
        </w:rPr>
        <w:t>Mastouri</w:t>
      </w:r>
      <w:proofErr w:type="spellEnd"/>
      <w:r w:rsidRPr="00FD52FE">
        <w:rPr>
          <w:sz w:val="22"/>
          <w:szCs w:val="22"/>
        </w:rPr>
        <w:t xml:space="preserve">, F., Björkman, T. and Harman, G. E. (2010). Seed treatment with </w:t>
      </w:r>
      <w:r w:rsidRPr="00FD52FE">
        <w:rPr>
          <w:i/>
          <w:iCs/>
          <w:sz w:val="22"/>
          <w:szCs w:val="22"/>
        </w:rPr>
        <w:t xml:space="preserve">Trichoderma </w:t>
      </w:r>
      <w:proofErr w:type="spellStart"/>
      <w:r w:rsidRPr="00FD52FE">
        <w:rPr>
          <w:i/>
          <w:iCs/>
          <w:sz w:val="22"/>
          <w:szCs w:val="22"/>
        </w:rPr>
        <w:t>harzianum</w:t>
      </w:r>
      <w:proofErr w:type="spellEnd"/>
      <w:r w:rsidRPr="00FD52FE">
        <w:rPr>
          <w:sz w:val="22"/>
          <w:szCs w:val="22"/>
        </w:rPr>
        <w:t xml:space="preserve"> alleviates biotic, abiotic, and physiological stresses in germinating seeds and seedlings. </w:t>
      </w:r>
      <w:r w:rsidRPr="00FD52FE">
        <w:rPr>
          <w:i/>
          <w:iCs/>
          <w:sz w:val="22"/>
          <w:szCs w:val="22"/>
        </w:rPr>
        <w:t xml:space="preserve">Phytopathology, </w:t>
      </w:r>
      <w:r w:rsidRPr="00FD52FE">
        <w:rPr>
          <w:sz w:val="22"/>
          <w:szCs w:val="22"/>
        </w:rPr>
        <w:t xml:space="preserve">100(11), 1213–1221. </w:t>
      </w:r>
      <w:hyperlink r:id="rId30" w:history="1">
        <w:r w:rsidRPr="00FD52FE">
          <w:rPr>
            <w:rStyle w:val="Hyperlink"/>
            <w:sz w:val="22"/>
            <w:szCs w:val="22"/>
          </w:rPr>
          <w:t>https://doi.org/10.1094/PHYTO-03-10-0091</w:t>
        </w:r>
      </w:hyperlink>
    </w:p>
    <w:p w14:paraId="35BD7908" w14:textId="77777777" w:rsidR="00616CB1" w:rsidRPr="00FD52FE" w:rsidRDefault="00616CB1" w:rsidP="00FD52FE">
      <w:pPr>
        <w:pStyle w:val="ListParagraph"/>
        <w:numPr>
          <w:ilvl w:val="0"/>
          <w:numId w:val="2"/>
        </w:numPr>
        <w:spacing w:before="240"/>
        <w:jc w:val="both"/>
        <w:rPr>
          <w:color w:val="0563C1"/>
          <w:sz w:val="22"/>
          <w:szCs w:val="22"/>
        </w:rPr>
      </w:pPr>
      <w:r w:rsidRPr="00FD52FE">
        <w:rPr>
          <w:sz w:val="22"/>
          <w:szCs w:val="22"/>
        </w:rPr>
        <w:t xml:space="preserve">Mitra, D., Mondal, R., </w:t>
      </w:r>
      <w:proofErr w:type="spellStart"/>
      <w:r w:rsidRPr="00FD52FE">
        <w:rPr>
          <w:sz w:val="22"/>
          <w:szCs w:val="22"/>
        </w:rPr>
        <w:t>Khoshru</w:t>
      </w:r>
      <w:proofErr w:type="spellEnd"/>
      <w:r w:rsidRPr="00FD52FE">
        <w:rPr>
          <w:sz w:val="22"/>
          <w:szCs w:val="22"/>
        </w:rPr>
        <w:t xml:space="preserve">, B., </w:t>
      </w:r>
      <w:proofErr w:type="spellStart"/>
      <w:r w:rsidRPr="00FD52FE">
        <w:rPr>
          <w:sz w:val="22"/>
          <w:szCs w:val="22"/>
        </w:rPr>
        <w:t>Shadangi</w:t>
      </w:r>
      <w:proofErr w:type="spellEnd"/>
      <w:r w:rsidRPr="00FD52FE">
        <w:rPr>
          <w:sz w:val="22"/>
          <w:szCs w:val="22"/>
        </w:rPr>
        <w:t xml:space="preserve">, S., Mohapatra, P. K. D. and Panneerselvam, P. (2021). Rhizobacteria mediated seed bio-priming triggers the resistance and plant growth for sustainable crop production. </w:t>
      </w:r>
      <w:r w:rsidRPr="00FD52FE">
        <w:rPr>
          <w:i/>
          <w:iCs/>
          <w:sz w:val="22"/>
          <w:szCs w:val="22"/>
        </w:rPr>
        <w:t xml:space="preserve">Current Research in Microbial Sciences, </w:t>
      </w:r>
      <w:r w:rsidRPr="00FD52FE">
        <w:rPr>
          <w:sz w:val="22"/>
          <w:szCs w:val="22"/>
        </w:rPr>
        <w:t xml:space="preserve">2, 100071. </w:t>
      </w:r>
      <w:hyperlink r:id="rId31" w:history="1">
        <w:r w:rsidRPr="00FD52FE">
          <w:rPr>
            <w:rStyle w:val="Hyperlink"/>
            <w:sz w:val="22"/>
            <w:szCs w:val="22"/>
          </w:rPr>
          <w:t>https://doi.org/10.1016/j.crmicr.2021.100071</w:t>
        </w:r>
      </w:hyperlink>
    </w:p>
    <w:p w14:paraId="40D8ECEA" w14:textId="77777777" w:rsidR="00616CB1" w:rsidRPr="00FD52FE" w:rsidRDefault="00616CB1" w:rsidP="00FD52FE">
      <w:pPr>
        <w:pStyle w:val="ListParagraph"/>
        <w:numPr>
          <w:ilvl w:val="0"/>
          <w:numId w:val="2"/>
        </w:numPr>
        <w:spacing w:before="240"/>
        <w:jc w:val="both"/>
        <w:rPr>
          <w:color w:val="0563C1"/>
          <w:sz w:val="22"/>
          <w:szCs w:val="22"/>
        </w:rPr>
      </w:pPr>
      <w:proofErr w:type="spellStart"/>
      <w:r w:rsidRPr="00FD52FE">
        <w:rPr>
          <w:sz w:val="22"/>
          <w:szCs w:val="22"/>
        </w:rPr>
        <w:t>Perelló</w:t>
      </w:r>
      <w:proofErr w:type="spellEnd"/>
      <w:r w:rsidRPr="00FD52FE">
        <w:rPr>
          <w:sz w:val="22"/>
          <w:szCs w:val="22"/>
        </w:rPr>
        <w:t xml:space="preserve">, A., Gruhlke, M. C. H. and Slusarenko, A. J. (2013). Effect of garlic extract on seed germination, seedling health, and vigour of pathogen-infested wheat. </w:t>
      </w:r>
      <w:r w:rsidRPr="00FD52FE">
        <w:rPr>
          <w:i/>
          <w:iCs/>
          <w:sz w:val="22"/>
          <w:szCs w:val="22"/>
        </w:rPr>
        <w:t xml:space="preserve">Journal of Plant Protection Research, </w:t>
      </w:r>
      <w:r w:rsidRPr="00FD52FE">
        <w:rPr>
          <w:sz w:val="22"/>
          <w:szCs w:val="22"/>
        </w:rPr>
        <w:t xml:space="preserve">53(4), 317–323. </w:t>
      </w:r>
      <w:hyperlink r:id="rId32" w:history="1">
        <w:r w:rsidRPr="00FD52FE">
          <w:rPr>
            <w:rStyle w:val="Hyperlink"/>
            <w:sz w:val="22"/>
            <w:szCs w:val="22"/>
          </w:rPr>
          <w:t>https://doi.org/10.2478/jppr-2013-0048</w:t>
        </w:r>
      </w:hyperlink>
    </w:p>
    <w:p w14:paraId="5D05B202" w14:textId="77777777" w:rsidR="00616CB1" w:rsidRPr="00E71777" w:rsidRDefault="00616CB1" w:rsidP="00FD52FE">
      <w:pPr>
        <w:pStyle w:val="NormalWeb"/>
        <w:numPr>
          <w:ilvl w:val="0"/>
          <w:numId w:val="2"/>
        </w:numPr>
        <w:spacing w:before="240" w:beforeAutospacing="0" w:after="0" w:afterAutospacing="0"/>
        <w:jc w:val="both"/>
        <w:rPr>
          <w:sz w:val="22"/>
          <w:szCs w:val="22"/>
        </w:rPr>
      </w:pPr>
      <w:r w:rsidRPr="00E71777">
        <w:rPr>
          <w:sz w:val="22"/>
          <w:szCs w:val="22"/>
        </w:rPr>
        <w:t xml:space="preserve">Puglisi, I., De Pasquale, F., Nicolosi, E., Vanella, D. and Baglieri, A. (2022). Seed treatments with microorganism’s influence germination and seedling growth. </w:t>
      </w:r>
      <w:r w:rsidRPr="00E71777">
        <w:rPr>
          <w:rStyle w:val="Emphasis"/>
          <w:sz w:val="22"/>
          <w:szCs w:val="22"/>
        </w:rPr>
        <w:t>Plants</w:t>
      </w:r>
      <w:r w:rsidRPr="00E71777">
        <w:rPr>
          <w:sz w:val="22"/>
          <w:szCs w:val="22"/>
        </w:rPr>
        <w:t xml:space="preserve">, </w:t>
      </w:r>
      <w:r w:rsidRPr="00E71777">
        <w:rPr>
          <w:rStyle w:val="Strong"/>
          <w:sz w:val="22"/>
          <w:szCs w:val="22"/>
        </w:rPr>
        <w:t>11</w:t>
      </w:r>
      <w:r w:rsidRPr="00E71777">
        <w:rPr>
          <w:sz w:val="22"/>
          <w:szCs w:val="22"/>
        </w:rPr>
        <w:t>, 259.</w:t>
      </w:r>
    </w:p>
    <w:p w14:paraId="3E8AF13C" w14:textId="77777777" w:rsidR="00616CB1" w:rsidRPr="00FD52FE" w:rsidRDefault="00616CB1" w:rsidP="00FD52FE">
      <w:pPr>
        <w:pStyle w:val="ListParagraph"/>
        <w:numPr>
          <w:ilvl w:val="0"/>
          <w:numId w:val="2"/>
        </w:numPr>
        <w:spacing w:before="240"/>
        <w:jc w:val="both"/>
        <w:rPr>
          <w:color w:val="0563C1"/>
          <w:sz w:val="22"/>
          <w:szCs w:val="22"/>
        </w:rPr>
      </w:pPr>
      <w:proofErr w:type="spellStart"/>
      <w:r w:rsidRPr="00FD52FE">
        <w:rPr>
          <w:sz w:val="22"/>
          <w:szCs w:val="22"/>
        </w:rPr>
        <w:t>Rajarammohan</w:t>
      </w:r>
      <w:proofErr w:type="spellEnd"/>
      <w:r w:rsidRPr="00FD52FE">
        <w:rPr>
          <w:sz w:val="22"/>
          <w:szCs w:val="22"/>
        </w:rPr>
        <w:t xml:space="preserve">, S. (2023). Transcriptome analysis of the necrotrophic pathogen </w:t>
      </w:r>
      <w:r w:rsidRPr="00FD52FE">
        <w:rPr>
          <w:i/>
          <w:iCs/>
          <w:sz w:val="22"/>
          <w:szCs w:val="22"/>
        </w:rPr>
        <w:t>Alternaria brassicae</w:t>
      </w:r>
      <w:r w:rsidRPr="00FD52FE">
        <w:rPr>
          <w:sz w:val="22"/>
          <w:szCs w:val="22"/>
        </w:rPr>
        <w:t xml:space="preserve"> reveals insights into its pathogenesis in </w:t>
      </w:r>
      <w:r w:rsidRPr="00FD52FE">
        <w:rPr>
          <w:i/>
          <w:iCs/>
          <w:sz w:val="22"/>
          <w:szCs w:val="22"/>
        </w:rPr>
        <w:t>Brassica juncea.</w:t>
      </w:r>
      <w:r w:rsidRPr="00FD52FE">
        <w:rPr>
          <w:sz w:val="22"/>
          <w:szCs w:val="22"/>
        </w:rPr>
        <w:t xml:space="preserve"> </w:t>
      </w:r>
      <w:r w:rsidRPr="00FD52FE">
        <w:rPr>
          <w:i/>
          <w:iCs/>
          <w:sz w:val="22"/>
          <w:szCs w:val="22"/>
        </w:rPr>
        <w:t xml:space="preserve">Microbiology Spectrum, </w:t>
      </w:r>
      <w:r w:rsidRPr="00FD52FE">
        <w:rPr>
          <w:sz w:val="22"/>
          <w:szCs w:val="22"/>
        </w:rPr>
        <w:t xml:space="preserve">11(2), e02939-22. </w:t>
      </w:r>
      <w:hyperlink r:id="rId33" w:history="1">
        <w:r w:rsidRPr="00FD52FE">
          <w:rPr>
            <w:rStyle w:val="Hyperlink"/>
            <w:sz w:val="22"/>
            <w:szCs w:val="22"/>
          </w:rPr>
          <w:t>https://doi.org/10.1128/spectrum.02939-22</w:t>
        </w:r>
      </w:hyperlink>
    </w:p>
    <w:p w14:paraId="735563F5" w14:textId="77777777" w:rsidR="00616CB1" w:rsidRPr="00FD52FE" w:rsidRDefault="00616CB1" w:rsidP="00FD52FE">
      <w:pPr>
        <w:pStyle w:val="ListParagraph"/>
        <w:numPr>
          <w:ilvl w:val="0"/>
          <w:numId w:val="2"/>
        </w:numPr>
        <w:spacing w:before="240"/>
        <w:jc w:val="both"/>
        <w:rPr>
          <w:color w:val="0563C1"/>
          <w:sz w:val="22"/>
          <w:szCs w:val="22"/>
        </w:rPr>
      </w:pPr>
      <w:r w:rsidRPr="00FD52FE">
        <w:rPr>
          <w:sz w:val="22"/>
          <w:szCs w:val="22"/>
        </w:rPr>
        <w:t xml:space="preserve">Saharan, G. S., Mehta, N. and Meena, P. D. (2016). </w:t>
      </w:r>
      <w:r w:rsidRPr="00FD52FE">
        <w:rPr>
          <w:i/>
          <w:iCs/>
          <w:sz w:val="22"/>
          <w:szCs w:val="22"/>
        </w:rPr>
        <w:t>Alternaria</w:t>
      </w:r>
      <w:r w:rsidRPr="00FD52FE">
        <w:rPr>
          <w:sz w:val="22"/>
          <w:szCs w:val="22"/>
        </w:rPr>
        <w:t xml:space="preserve"> diseases of crucifers: Biology, ecology and disease management. </w:t>
      </w:r>
      <w:r w:rsidRPr="00FD52FE">
        <w:rPr>
          <w:i/>
          <w:iCs/>
          <w:sz w:val="22"/>
          <w:szCs w:val="22"/>
        </w:rPr>
        <w:t xml:space="preserve">Springer, Singapore. </w:t>
      </w:r>
      <w:hyperlink r:id="rId34" w:history="1">
        <w:r w:rsidRPr="00FD52FE">
          <w:rPr>
            <w:rStyle w:val="Hyperlink"/>
            <w:sz w:val="22"/>
            <w:szCs w:val="22"/>
          </w:rPr>
          <w:t>https://doi.org/10.1007/978-981-10-0021-8</w:t>
        </w:r>
      </w:hyperlink>
    </w:p>
    <w:p w14:paraId="2DE8B40D" w14:textId="77777777" w:rsidR="00616CB1" w:rsidRDefault="00616CB1" w:rsidP="00FD52FE">
      <w:pPr>
        <w:pStyle w:val="NormalWeb"/>
        <w:numPr>
          <w:ilvl w:val="0"/>
          <w:numId w:val="2"/>
        </w:numPr>
        <w:spacing w:before="240" w:beforeAutospacing="0" w:after="0" w:afterAutospacing="0"/>
        <w:rPr>
          <w:color w:val="000000" w:themeColor="text1"/>
          <w:sz w:val="22"/>
          <w:szCs w:val="22"/>
        </w:rPr>
      </w:pPr>
      <w:r w:rsidRPr="0060238B">
        <w:rPr>
          <w:color w:val="000000" w:themeColor="text1"/>
          <w:sz w:val="22"/>
          <w:szCs w:val="22"/>
        </w:rPr>
        <w:t xml:space="preserve">Sharma, A., Shukla, A. and Gupta, M. (2023). Effect of bioagents on cucumber seed mycoflora, seed germination, and seedling vigour. </w:t>
      </w:r>
      <w:r w:rsidRPr="0060238B">
        <w:rPr>
          <w:i/>
          <w:iCs/>
          <w:color w:val="000000" w:themeColor="text1"/>
          <w:sz w:val="22"/>
          <w:szCs w:val="22"/>
        </w:rPr>
        <w:t>Scientific Reports,</w:t>
      </w:r>
      <w:r w:rsidRPr="0060238B">
        <w:rPr>
          <w:color w:val="000000" w:themeColor="text1"/>
          <w:sz w:val="22"/>
          <w:szCs w:val="22"/>
        </w:rPr>
        <w:t xml:space="preserve"> 13(1), 6052. </w:t>
      </w:r>
      <w:hyperlink r:id="rId35" w:history="1">
        <w:r w:rsidRPr="00CC3280">
          <w:rPr>
            <w:rStyle w:val="Hyperlink"/>
            <w:sz w:val="22"/>
            <w:szCs w:val="22"/>
          </w:rPr>
          <w:t>https://doi.org/10.1038/s41598-023-30253-3</w:t>
        </w:r>
      </w:hyperlink>
    </w:p>
    <w:p w14:paraId="53502EEA" w14:textId="77777777" w:rsidR="00616CB1" w:rsidRPr="00FD52FE" w:rsidRDefault="00616CB1" w:rsidP="00FD52FE">
      <w:pPr>
        <w:pStyle w:val="ListParagraph"/>
        <w:numPr>
          <w:ilvl w:val="0"/>
          <w:numId w:val="2"/>
        </w:numPr>
        <w:spacing w:before="240"/>
        <w:jc w:val="both"/>
        <w:rPr>
          <w:color w:val="0563C1"/>
          <w:sz w:val="22"/>
          <w:szCs w:val="22"/>
        </w:rPr>
      </w:pPr>
      <w:r w:rsidRPr="00FD52FE">
        <w:rPr>
          <w:sz w:val="22"/>
          <w:szCs w:val="22"/>
        </w:rPr>
        <w:t xml:space="preserve">Sindhu, S. S., </w:t>
      </w:r>
      <w:proofErr w:type="spellStart"/>
      <w:r w:rsidRPr="00FD52FE">
        <w:rPr>
          <w:sz w:val="22"/>
          <w:szCs w:val="22"/>
        </w:rPr>
        <w:t>Sehrawat</w:t>
      </w:r>
      <w:proofErr w:type="spellEnd"/>
      <w:r w:rsidRPr="00FD52FE">
        <w:rPr>
          <w:sz w:val="22"/>
          <w:szCs w:val="22"/>
        </w:rPr>
        <w:t xml:space="preserve">, A., Glick, B. R. and Sharma, R. (2022). Unlocking the strength of plant growth promoting </w:t>
      </w:r>
      <w:r w:rsidRPr="00FD52FE">
        <w:rPr>
          <w:i/>
          <w:iCs/>
          <w:sz w:val="22"/>
          <w:szCs w:val="22"/>
        </w:rPr>
        <w:t>Pseudomonas</w:t>
      </w:r>
      <w:r w:rsidRPr="00FD52FE">
        <w:rPr>
          <w:sz w:val="22"/>
          <w:szCs w:val="22"/>
        </w:rPr>
        <w:t xml:space="preserve"> in improving crop productivity in normal and challenging environments: A review. </w:t>
      </w:r>
      <w:r w:rsidRPr="00FD52FE">
        <w:rPr>
          <w:i/>
          <w:iCs/>
          <w:sz w:val="22"/>
          <w:szCs w:val="22"/>
        </w:rPr>
        <w:t xml:space="preserve">Journal of Plant Interactions, </w:t>
      </w:r>
      <w:r w:rsidRPr="00FD52FE">
        <w:rPr>
          <w:sz w:val="22"/>
          <w:szCs w:val="22"/>
        </w:rPr>
        <w:t xml:space="preserve">17(1), 220–238. </w:t>
      </w:r>
      <w:hyperlink r:id="rId36" w:history="1">
        <w:r w:rsidRPr="00FD52FE">
          <w:rPr>
            <w:rStyle w:val="Hyperlink"/>
            <w:sz w:val="22"/>
            <w:szCs w:val="22"/>
          </w:rPr>
          <w:t>https://doi.org/10.1080/17429145.2022.2029963</w:t>
        </w:r>
      </w:hyperlink>
    </w:p>
    <w:p w14:paraId="462498D4" w14:textId="77777777" w:rsidR="00616CB1" w:rsidRDefault="00616CB1" w:rsidP="00FD52FE">
      <w:pPr>
        <w:pStyle w:val="NormalWeb"/>
        <w:numPr>
          <w:ilvl w:val="0"/>
          <w:numId w:val="2"/>
        </w:numPr>
        <w:spacing w:before="240" w:beforeAutospacing="0" w:after="0" w:afterAutospacing="0"/>
        <w:rPr>
          <w:color w:val="000000" w:themeColor="text1"/>
          <w:sz w:val="22"/>
          <w:szCs w:val="22"/>
        </w:rPr>
      </w:pPr>
      <w:r w:rsidRPr="00616CB1">
        <w:rPr>
          <w:color w:val="000000" w:themeColor="text1"/>
          <w:sz w:val="22"/>
          <w:szCs w:val="22"/>
        </w:rPr>
        <w:t xml:space="preserve">Vani, G., Patil, S., </w:t>
      </w:r>
      <w:proofErr w:type="spellStart"/>
      <w:r w:rsidRPr="00616CB1">
        <w:rPr>
          <w:color w:val="000000" w:themeColor="text1"/>
          <w:sz w:val="22"/>
          <w:szCs w:val="22"/>
        </w:rPr>
        <w:t>Sanap</w:t>
      </w:r>
      <w:proofErr w:type="spellEnd"/>
      <w:r w:rsidRPr="00616CB1">
        <w:rPr>
          <w:color w:val="000000" w:themeColor="text1"/>
          <w:sz w:val="22"/>
          <w:szCs w:val="22"/>
        </w:rPr>
        <w:t xml:space="preserve">, P. and Mahale, S. (2024). Physio-biochemical responses and crop performance analysis in chickpea upon botanical priming. </w:t>
      </w:r>
      <w:r w:rsidRPr="00616CB1">
        <w:rPr>
          <w:i/>
          <w:iCs/>
          <w:color w:val="000000" w:themeColor="text1"/>
          <w:sz w:val="22"/>
          <w:szCs w:val="22"/>
        </w:rPr>
        <w:t>Scientific Reports,</w:t>
      </w:r>
      <w:r w:rsidRPr="00616CB1">
        <w:rPr>
          <w:color w:val="000000" w:themeColor="text1"/>
          <w:sz w:val="22"/>
          <w:szCs w:val="22"/>
        </w:rPr>
        <w:t xml:space="preserve"> 14, 9399. </w:t>
      </w:r>
      <w:hyperlink r:id="rId37" w:history="1">
        <w:r w:rsidRPr="00CC3280">
          <w:rPr>
            <w:rStyle w:val="Hyperlink"/>
            <w:sz w:val="22"/>
            <w:szCs w:val="22"/>
          </w:rPr>
          <w:t>https://doi.org/10.1038/s41598-024-59878-8</w:t>
        </w:r>
      </w:hyperlink>
    </w:p>
    <w:sectPr w:rsidR="00616CB1" w:rsidSect="00F7481C">
      <w:pgSz w:w="11906" w:h="16838" w:code="9"/>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DA7A2D"/>
    <w:multiLevelType w:val="hybridMultilevel"/>
    <w:tmpl w:val="B1F459DE"/>
    <w:lvl w:ilvl="0" w:tplc="F5DEFFCC">
      <w:start w:val="1"/>
      <w:numFmt w:val="bullet"/>
      <w:lvlText w:val="●"/>
      <w:lvlJc w:val="left"/>
      <w:pPr>
        <w:ind w:left="720" w:hanging="360"/>
      </w:pPr>
    </w:lvl>
    <w:lvl w:ilvl="1" w:tplc="E8BABED8">
      <w:start w:val="1"/>
      <w:numFmt w:val="bullet"/>
      <w:lvlText w:val="○"/>
      <w:lvlJc w:val="left"/>
      <w:pPr>
        <w:ind w:left="1440" w:hanging="360"/>
      </w:pPr>
    </w:lvl>
    <w:lvl w:ilvl="2" w:tplc="01185BEC">
      <w:start w:val="1"/>
      <w:numFmt w:val="bullet"/>
      <w:lvlText w:val="■"/>
      <w:lvlJc w:val="left"/>
      <w:pPr>
        <w:ind w:left="2160" w:hanging="360"/>
      </w:pPr>
    </w:lvl>
    <w:lvl w:ilvl="3" w:tplc="F2F075DA">
      <w:start w:val="1"/>
      <w:numFmt w:val="bullet"/>
      <w:lvlText w:val="●"/>
      <w:lvlJc w:val="left"/>
      <w:pPr>
        <w:ind w:left="2880" w:hanging="360"/>
      </w:pPr>
    </w:lvl>
    <w:lvl w:ilvl="4" w:tplc="CDBC3668">
      <w:start w:val="1"/>
      <w:numFmt w:val="bullet"/>
      <w:lvlText w:val="○"/>
      <w:lvlJc w:val="left"/>
      <w:pPr>
        <w:ind w:left="3600" w:hanging="360"/>
      </w:pPr>
    </w:lvl>
    <w:lvl w:ilvl="5" w:tplc="8AB6F4E4">
      <w:start w:val="1"/>
      <w:numFmt w:val="bullet"/>
      <w:lvlText w:val="■"/>
      <w:lvlJc w:val="left"/>
      <w:pPr>
        <w:ind w:left="4320" w:hanging="360"/>
      </w:pPr>
    </w:lvl>
    <w:lvl w:ilvl="6" w:tplc="7A5C96E2">
      <w:start w:val="1"/>
      <w:numFmt w:val="bullet"/>
      <w:lvlText w:val="●"/>
      <w:lvlJc w:val="left"/>
      <w:pPr>
        <w:ind w:left="5040" w:hanging="360"/>
      </w:pPr>
    </w:lvl>
    <w:lvl w:ilvl="7" w:tplc="D4BA8B34">
      <w:start w:val="1"/>
      <w:numFmt w:val="bullet"/>
      <w:lvlText w:val="●"/>
      <w:lvlJc w:val="left"/>
      <w:pPr>
        <w:ind w:left="5760" w:hanging="360"/>
      </w:pPr>
    </w:lvl>
    <w:lvl w:ilvl="8" w:tplc="ACC6A642">
      <w:start w:val="1"/>
      <w:numFmt w:val="bullet"/>
      <w:lvlText w:val="●"/>
      <w:lvlJc w:val="left"/>
      <w:pPr>
        <w:ind w:left="6480" w:hanging="360"/>
      </w:pPr>
    </w:lvl>
  </w:abstractNum>
  <w:abstractNum w:abstractNumId="1" w15:restartNumberingAfterBreak="0">
    <w:nsid w:val="76B13A44"/>
    <w:multiLevelType w:val="hybridMultilevel"/>
    <w:tmpl w:val="EB2ED6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97010568">
    <w:abstractNumId w:val="0"/>
    <w:lvlOverride w:ilvl="0">
      <w:startOverride w:val="1"/>
    </w:lvlOverride>
  </w:num>
  <w:num w:numId="2" w16cid:durableId="9734862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6358"/>
    <w:rsid w:val="000C6358"/>
    <w:rsid w:val="000F520B"/>
    <w:rsid w:val="00112BE7"/>
    <w:rsid w:val="001343B2"/>
    <w:rsid w:val="00292CE7"/>
    <w:rsid w:val="002B1905"/>
    <w:rsid w:val="003240E3"/>
    <w:rsid w:val="004B5A1F"/>
    <w:rsid w:val="00590669"/>
    <w:rsid w:val="0060238B"/>
    <w:rsid w:val="00616CB1"/>
    <w:rsid w:val="007D3034"/>
    <w:rsid w:val="008A222F"/>
    <w:rsid w:val="008C1825"/>
    <w:rsid w:val="00945A70"/>
    <w:rsid w:val="00A52928"/>
    <w:rsid w:val="00C55A5B"/>
    <w:rsid w:val="00C8041C"/>
    <w:rsid w:val="00D51226"/>
    <w:rsid w:val="00D52FF8"/>
    <w:rsid w:val="00DB6760"/>
    <w:rsid w:val="00E15EF6"/>
    <w:rsid w:val="00E71777"/>
    <w:rsid w:val="00E769AD"/>
    <w:rsid w:val="00EA2069"/>
    <w:rsid w:val="00F31590"/>
    <w:rsid w:val="00F415F4"/>
    <w:rsid w:val="00F7481C"/>
    <w:rsid w:val="00F923FA"/>
    <w:rsid w:val="00FD52F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BA428"/>
  <w15:docId w15:val="{98D8D994-22C4-4D24-BBF3-ACB917E7B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240" w:after="120"/>
      <w:outlineLvl w:val="0"/>
    </w:pPr>
    <w:rPr>
      <w:b/>
      <w:bCs/>
      <w:sz w:val="28"/>
      <w:szCs w:val="28"/>
    </w:rPr>
  </w:style>
  <w:style w:type="paragraph" w:styleId="Heading2">
    <w:name w:val="heading 2"/>
    <w:uiPriority w:val="9"/>
    <w:unhideWhenUsed/>
    <w:qFormat/>
    <w:pPr>
      <w:spacing w:before="180" w:after="100"/>
      <w:outlineLvl w:val="1"/>
    </w:pPr>
    <w:rPr>
      <w:b/>
      <w:bCs/>
      <w:sz w:val="26"/>
      <w:szCs w:val="26"/>
    </w:rPr>
  </w:style>
  <w:style w:type="paragraph" w:styleId="Heading3">
    <w:name w:val="heading 3"/>
    <w:uiPriority w:val="9"/>
    <w:semiHidden/>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table" w:styleId="TableGrid">
    <w:name w:val="Table Grid"/>
    <w:basedOn w:val="TableNormal"/>
    <w:uiPriority w:val="39"/>
    <w:qFormat/>
    <w:rsid w:val="00F7481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12BE7"/>
    <w:pPr>
      <w:spacing w:before="100" w:beforeAutospacing="1" w:after="100" w:afterAutospacing="1"/>
    </w:pPr>
  </w:style>
  <w:style w:type="character" w:styleId="Emphasis">
    <w:name w:val="Emphasis"/>
    <w:basedOn w:val="DefaultParagraphFont"/>
    <w:uiPriority w:val="20"/>
    <w:qFormat/>
    <w:rsid w:val="00112BE7"/>
    <w:rPr>
      <w:i/>
      <w:iCs/>
    </w:rPr>
  </w:style>
  <w:style w:type="character" w:styleId="Strong">
    <w:name w:val="Strong"/>
    <w:basedOn w:val="DefaultParagraphFont"/>
    <w:uiPriority w:val="22"/>
    <w:qFormat/>
    <w:rsid w:val="00112BE7"/>
    <w:rPr>
      <w:b/>
      <w:bCs/>
    </w:rPr>
  </w:style>
  <w:style w:type="character" w:styleId="UnresolvedMention">
    <w:name w:val="Unresolved Mention"/>
    <w:basedOn w:val="DefaultParagraphFont"/>
    <w:uiPriority w:val="99"/>
    <w:semiHidden/>
    <w:unhideWhenUsed/>
    <w:rsid w:val="00E717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jpeg"/><Relationship Id="rId18" Type="http://schemas.openxmlformats.org/officeDocument/2006/relationships/image" Target="media/image10.jpeg"/><Relationship Id="rId26" Type="http://schemas.openxmlformats.org/officeDocument/2006/relationships/hyperlink" Target="https://doi.org/10.22271/flora.2020.v8.i6a.705" TargetMode="External"/><Relationship Id="rId39" Type="http://schemas.openxmlformats.org/officeDocument/2006/relationships/theme" Target="theme/theme1.xml"/><Relationship Id="rId21" Type="http://schemas.openxmlformats.org/officeDocument/2006/relationships/image" Target="media/image13.jpeg"/><Relationship Id="rId34" Type="http://schemas.openxmlformats.org/officeDocument/2006/relationships/hyperlink" Target="https://doi.org/10.1007/978-981-10-0021-8" TargetMode="External"/><Relationship Id="rId7" Type="http://schemas.openxmlformats.org/officeDocument/2006/relationships/chart" Target="charts/chart3.xml"/><Relationship Id="rId12" Type="http://schemas.openxmlformats.org/officeDocument/2006/relationships/image" Target="media/image4.jpeg"/><Relationship Id="rId17" Type="http://schemas.openxmlformats.org/officeDocument/2006/relationships/image" Target="media/image9.jpeg"/><Relationship Id="rId25" Type="http://schemas.openxmlformats.org/officeDocument/2006/relationships/image" Target="media/image17.jpeg"/><Relationship Id="rId33" Type="http://schemas.openxmlformats.org/officeDocument/2006/relationships/hyperlink" Target="https://doi.org/10.1128/spectrum.02939-22"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8.jpeg"/><Relationship Id="rId20" Type="http://schemas.openxmlformats.org/officeDocument/2006/relationships/image" Target="media/image12.jpeg"/><Relationship Id="rId29" Type="http://schemas.openxmlformats.org/officeDocument/2006/relationships/hyperlink" Target="https://doi.org/10.1038/nrmicro797" TargetMode="External"/><Relationship Id="rId1" Type="http://schemas.openxmlformats.org/officeDocument/2006/relationships/numbering" Target="numbering.xml"/><Relationship Id="rId6" Type="http://schemas.openxmlformats.org/officeDocument/2006/relationships/chart" Target="charts/chart2.xml"/><Relationship Id="rId11" Type="http://schemas.openxmlformats.org/officeDocument/2006/relationships/image" Target="media/image3.jpeg"/><Relationship Id="rId24" Type="http://schemas.openxmlformats.org/officeDocument/2006/relationships/image" Target="media/image16.jpeg"/><Relationship Id="rId32" Type="http://schemas.openxmlformats.org/officeDocument/2006/relationships/hyperlink" Target="https://doi.org/10.2478/jppr-2013-0048" TargetMode="External"/><Relationship Id="rId37" Type="http://schemas.openxmlformats.org/officeDocument/2006/relationships/hyperlink" Target="https://doi.org/10.1038/s41598-024-59878-8" TargetMode="External"/><Relationship Id="rId5" Type="http://schemas.openxmlformats.org/officeDocument/2006/relationships/chart" Target="charts/chart1.xml"/><Relationship Id="rId15" Type="http://schemas.openxmlformats.org/officeDocument/2006/relationships/image" Target="media/image7.jpeg"/><Relationship Id="rId23" Type="http://schemas.openxmlformats.org/officeDocument/2006/relationships/image" Target="media/image15.jpeg"/><Relationship Id="rId28" Type="http://schemas.openxmlformats.org/officeDocument/2006/relationships/hyperlink" Target="https://doi.org/10.1016/j.fct.2007.09.106" TargetMode="External"/><Relationship Id="rId36" Type="http://schemas.openxmlformats.org/officeDocument/2006/relationships/hyperlink" Target="https://doi.org/10.1080/17429145.2022.2029963" TargetMode="External"/><Relationship Id="rId10" Type="http://schemas.openxmlformats.org/officeDocument/2006/relationships/image" Target="media/image2.jpeg"/><Relationship Id="rId19" Type="http://schemas.openxmlformats.org/officeDocument/2006/relationships/image" Target="media/image11.jpeg"/><Relationship Id="rId31" Type="http://schemas.openxmlformats.org/officeDocument/2006/relationships/hyperlink" Target="https://doi.org/10.1016/j.crmicr.2021.100071" TargetMode="Externa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image" Target="media/image6.jpeg"/><Relationship Id="rId22" Type="http://schemas.openxmlformats.org/officeDocument/2006/relationships/image" Target="media/image14.jpeg"/><Relationship Id="rId27" Type="http://schemas.openxmlformats.org/officeDocument/2006/relationships/hyperlink" Target="https://doi.org/10.3389/fpls.2021.654512" TargetMode="External"/><Relationship Id="rId30" Type="http://schemas.openxmlformats.org/officeDocument/2006/relationships/hyperlink" Target="https://doi.org/10.1094/PHYTO-03-10-0091" TargetMode="External"/><Relationship Id="rId35" Type="http://schemas.openxmlformats.org/officeDocument/2006/relationships/hyperlink" Target="https://doi.org/10.1038/s41598-023-30253-3" TargetMode="External"/><Relationship Id="rId8" Type="http://schemas.openxmlformats.org/officeDocument/2006/relationships/chart" Target="charts/chart4.xml"/><Relationship Id="rId3" Type="http://schemas.openxmlformats.org/officeDocument/2006/relationships/settings" Target="settings.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solidFill>
                <a:latin typeface="+mn-lt"/>
                <a:ea typeface="+mn-ea"/>
                <a:cs typeface="+mn-cs"/>
              </a:defRPr>
            </a:pPr>
            <a:r>
              <a:rPr lang="en-IN" b="1" baseline="0">
                <a:solidFill>
                  <a:schemeClr val="tx1"/>
                </a:solidFill>
              </a:rPr>
              <a:t>a. Seed germination percentage </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Germination (%)</c:v>
                </c:pt>
              </c:strCache>
            </c:strRef>
          </c:tx>
          <c:spPr>
            <a:solidFill>
              <a:schemeClr val="accent1"/>
            </a:solidFill>
            <a:ln>
              <a:noFill/>
            </a:ln>
            <a:effectLst/>
          </c:spPr>
          <c:invertIfNegative val="0"/>
          <c:dPt>
            <c:idx val="0"/>
            <c:invertIfNegative val="0"/>
            <c:bubble3D val="0"/>
            <c:spPr>
              <a:solidFill>
                <a:schemeClr val="accent1">
                  <a:lumMod val="50000"/>
                </a:schemeClr>
              </a:solidFill>
              <a:ln>
                <a:solidFill>
                  <a:schemeClr val="accent1">
                    <a:lumMod val="75000"/>
                  </a:schemeClr>
                </a:solidFill>
              </a:ln>
              <a:effectLst/>
            </c:spPr>
            <c:extLst>
              <c:ext xmlns:c16="http://schemas.microsoft.com/office/drawing/2014/chart" uri="{C3380CC4-5D6E-409C-BE32-E72D297353CC}">
                <c16:uniqueId val="{00000001-50E0-419E-B1D3-ABD3A405553B}"/>
              </c:ext>
            </c:extLst>
          </c:dPt>
          <c:dPt>
            <c:idx val="1"/>
            <c:invertIfNegative val="0"/>
            <c:bubble3D val="0"/>
            <c:spPr>
              <a:solidFill>
                <a:schemeClr val="accent1">
                  <a:lumMod val="50000"/>
                </a:schemeClr>
              </a:solidFill>
              <a:ln>
                <a:noFill/>
              </a:ln>
              <a:effectLst/>
            </c:spPr>
            <c:extLst>
              <c:ext xmlns:c16="http://schemas.microsoft.com/office/drawing/2014/chart" uri="{C3380CC4-5D6E-409C-BE32-E72D297353CC}">
                <c16:uniqueId val="{00000003-50E0-419E-B1D3-ABD3A405553B}"/>
              </c:ext>
            </c:extLst>
          </c:dPt>
          <c:dPt>
            <c:idx val="2"/>
            <c:invertIfNegative val="0"/>
            <c:bubble3D val="0"/>
            <c:spPr>
              <a:solidFill>
                <a:schemeClr val="accent1">
                  <a:lumMod val="50000"/>
                </a:schemeClr>
              </a:solidFill>
              <a:ln>
                <a:noFill/>
              </a:ln>
              <a:effectLst/>
            </c:spPr>
            <c:extLst>
              <c:ext xmlns:c16="http://schemas.microsoft.com/office/drawing/2014/chart" uri="{C3380CC4-5D6E-409C-BE32-E72D297353CC}">
                <c16:uniqueId val="{00000005-50E0-419E-B1D3-ABD3A405553B}"/>
              </c:ext>
            </c:extLst>
          </c:dPt>
          <c:dPt>
            <c:idx val="3"/>
            <c:invertIfNegative val="0"/>
            <c:bubble3D val="0"/>
            <c:spPr>
              <a:solidFill>
                <a:schemeClr val="accent1">
                  <a:lumMod val="75000"/>
                </a:schemeClr>
              </a:solidFill>
              <a:ln>
                <a:noFill/>
              </a:ln>
              <a:effectLst/>
            </c:spPr>
            <c:extLst>
              <c:ext xmlns:c16="http://schemas.microsoft.com/office/drawing/2014/chart" uri="{C3380CC4-5D6E-409C-BE32-E72D297353CC}">
                <c16:uniqueId val="{00000007-50E0-419E-B1D3-ABD3A405553B}"/>
              </c:ext>
            </c:extLst>
          </c:dPt>
          <c:dPt>
            <c:idx val="4"/>
            <c:invertIfNegative val="0"/>
            <c:bubble3D val="0"/>
            <c:spPr>
              <a:solidFill>
                <a:srgbClr val="00B050"/>
              </a:solidFill>
              <a:ln>
                <a:noFill/>
              </a:ln>
              <a:effectLst/>
            </c:spPr>
            <c:extLst>
              <c:ext xmlns:c16="http://schemas.microsoft.com/office/drawing/2014/chart" uri="{C3380CC4-5D6E-409C-BE32-E72D297353CC}">
                <c16:uniqueId val="{00000009-50E0-419E-B1D3-ABD3A405553B}"/>
              </c:ext>
            </c:extLst>
          </c:dPt>
          <c:dPt>
            <c:idx val="5"/>
            <c:invertIfNegative val="0"/>
            <c:bubble3D val="0"/>
            <c:spPr>
              <a:solidFill>
                <a:srgbClr val="00B050"/>
              </a:solidFill>
              <a:ln>
                <a:noFill/>
              </a:ln>
              <a:effectLst/>
            </c:spPr>
            <c:extLst>
              <c:ext xmlns:c16="http://schemas.microsoft.com/office/drawing/2014/chart" uri="{C3380CC4-5D6E-409C-BE32-E72D297353CC}">
                <c16:uniqueId val="{0000000B-50E0-419E-B1D3-ABD3A405553B}"/>
              </c:ext>
            </c:extLst>
          </c:dPt>
          <c:dPt>
            <c:idx val="6"/>
            <c:invertIfNegative val="0"/>
            <c:bubble3D val="0"/>
            <c:spPr>
              <a:solidFill>
                <a:srgbClr val="008000"/>
              </a:solidFill>
              <a:ln>
                <a:noFill/>
              </a:ln>
              <a:effectLst/>
            </c:spPr>
            <c:extLst>
              <c:ext xmlns:c16="http://schemas.microsoft.com/office/drawing/2014/chart" uri="{C3380CC4-5D6E-409C-BE32-E72D297353CC}">
                <c16:uniqueId val="{0000000D-50E0-419E-B1D3-ABD3A405553B}"/>
              </c:ext>
            </c:extLst>
          </c:dPt>
          <c:dPt>
            <c:idx val="7"/>
            <c:invertIfNegative val="0"/>
            <c:bubble3D val="0"/>
            <c:spPr>
              <a:solidFill>
                <a:srgbClr val="008000"/>
              </a:solidFill>
              <a:ln>
                <a:noFill/>
              </a:ln>
              <a:effectLst/>
            </c:spPr>
            <c:extLst>
              <c:ext xmlns:c16="http://schemas.microsoft.com/office/drawing/2014/chart" uri="{C3380CC4-5D6E-409C-BE32-E72D297353CC}">
                <c16:uniqueId val="{0000000F-50E0-419E-B1D3-ABD3A405553B}"/>
              </c:ext>
            </c:extLst>
          </c:dPt>
          <c:dPt>
            <c:idx val="8"/>
            <c:invertIfNegative val="0"/>
            <c:bubble3D val="0"/>
            <c:spPr>
              <a:solidFill>
                <a:srgbClr val="008000"/>
              </a:solidFill>
              <a:ln>
                <a:noFill/>
              </a:ln>
              <a:effectLst/>
            </c:spPr>
            <c:extLst>
              <c:ext xmlns:c16="http://schemas.microsoft.com/office/drawing/2014/chart" uri="{C3380CC4-5D6E-409C-BE32-E72D297353CC}">
                <c16:uniqueId val="{00000011-50E0-419E-B1D3-ABD3A405553B}"/>
              </c:ext>
            </c:extLst>
          </c:dPt>
          <c:dPt>
            <c:idx val="9"/>
            <c:invertIfNegative val="0"/>
            <c:bubble3D val="0"/>
            <c:spPr>
              <a:solidFill>
                <a:srgbClr val="008000"/>
              </a:solidFill>
              <a:ln>
                <a:noFill/>
              </a:ln>
              <a:effectLst/>
            </c:spPr>
            <c:extLst>
              <c:ext xmlns:c16="http://schemas.microsoft.com/office/drawing/2014/chart" uri="{C3380CC4-5D6E-409C-BE32-E72D297353CC}">
                <c16:uniqueId val="{00000013-50E0-419E-B1D3-ABD3A405553B}"/>
              </c:ext>
            </c:extLst>
          </c:dPt>
          <c:dPt>
            <c:idx val="10"/>
            <c:invertIfNegative val="0"/>
            <c:bubble3D val="0"/>
            <c:spPr>
              <a:solidFill>
                <a:srgbClr val="008000"/>
              </a:solidFill>
              <a:ln>
                <a:noFill/>
              </a:ln>
              <a:effectLst/>
            </c:spPr>
            <c:extLst>
              <c:ext xmlns:c16="http://schemas.microsoft.com/office/drawing/2014/chart" uri="{C3380CC4-5D6E-409C-BE32-E72D297353CC}">
                <c16:uniqueId val="{00000015-50E0-419E-B1D3-ABD3A405553B}"/>
              </c:ext>
            </c:extLst>
          </c:dPt>
          <c:dPt>
            <c:idx val="11"/>
            <c:invertIfNegative val="0"/>
            <c:bubble3D val="0"/>
            <c:spPr>
              <a:solidFill>
                <a:srgbClr val="FF3300"/>
              </a:solidFill>
              <a:ln>
                <a:noFill/>
              </a:ln>
              <a:effectLst/>
            </c:spPr>
            <c:extLst>
              <c:ext xmlns:c16="http://schemas.microsoft.com/office/drawing/2014/chart" uri="{C3380CC4-5D6E-409C-BE32-E72D297353CC}">
                <c16:uniqueId val="{00000017-50E0-419E-B1D3-ABD3A405553B}"/>
              </c:ext>
            </c:extLst>
          </c:dPt>
          <c:dPt>
            <c:idx val="12"/>
            <c:invertIfNegative val="0"/>
            <c:bubble3D val="0"/>
            <c:spPr>
              <a:solidFill>
                <a:srgbClr val="FF3300"/>
              </a:solidFill>
              <a:ln>
                <a:noFill/>
              </a:ln>
              <a:effectLst/>
            </c:spPr>
            <c:extLst>
              <c:ext xmlns:c16="http://schemas.microsoft.com/office/drawing/2014/chart" uri="{C3380CC4-5D6E-409C-BE32-E72D297353CC}">
                <c16:uniqueId val="{00000019-50E0-419E-B1D3-ABD3A405553B}"/>
              </c:ext>
            </c:extLst>
          </c:dPt>
          <c:dPt>
            <c:idx val="13"/>
            <c:invertIfNegative val="0"/>
            <c:bubble3D val="0"/>
            <c:spPr>
              <a:solidFill>
                <a:srgbClr val="FF3300"/>
              </a:solidFill>
              <a:ln>
                <a:noFill/>
              </a:ln>
              <a:effectLst/>
            </c:spPr>
            <c:extLst>
              <c:ext xmlns:c16="http://schemas.microsoft.com/office/drawing/2014/chart" uri="{C3380CC4-5D6E-409C-BE32-E72D297353CC}">
                <c16:uniqueId val="{0000001B-50E0-419E-B1D3-ABD3A405553B}"/>
              </c:ext>
            </c:extLst>
          </c:dPt>
          <c:dPt>
            <c:idx val="14"/>
            <c:invertIfNegative val="0"/>
            <c:bubble3D val="0"/>
            <c:spPr>
              <a:solidFill>
                <a:srgbClr val="FF3300"/>
              </a:solidFill>
              <a:ln>
                <a:noFill/>
              </a:ln>
              <a:effectLst/>
            </c:spPr>
            <c:extLst>
              <c:ext xmlns:c16="http://schemas.microsoft.com/office/drawing/2014/chart" uri="{C3380CC4-5D6E-409C-BE32-E72D297353CC}">
                <c16:uniqueId val="{0000001D-50E0-419E-B1D3-ABD3A405553B}"/>
              </c:ext>
            </c:extLst>
          </c:dPt>
          <c:dPt>
            <c:idx val="15"/>
            <c:invertIfNegative val="0"/>
            <c:bubble3D val="0"/>
            <c:spPr>
              <a:solidFill>
                <a:srgbClr val="FF3300"/>
              </a:solidFill>
              <a:ln>
                <a:noFill/>
              </a:ln>
              <a:effectLst/>
            </c:spPr>
            <c:extLst>
              <c:ext xmlns:c16="http://schemas.microsoft.com/office/drawing/2014/chart" uri="{C3380CC4-5D6E-409C-BE32-E72D297353CC}">
                <c16:uniqueId val="{0000001F-50E0-419E-B1D3-ABD3A405553B}"/>
              </c:ext>
            </c:extLst>
          </c:dPt>
          <c:dPt>
            <c:idx val="16"/>
            <c:invertIfNegative val="0"/>
            <c:bubble3D val="0"/>
            <c:spPr>
              <a:solidFill>
                <a:srgbClr val="C00000"/>
              </a:solidFill>
              <a:ln>
                <a:noFill/>
              </a:ln>
              <a:effectLst/>
            </c:spPr>
            <c:extLst>
              <c:ext xmlns:c16="http://schemas.microsoft.com/office/drawing/2014/chart" uri="{C3380CC4-5D6E-409C-BE32-E72D297353CC}">
                <c16:uniqueId val="{00000021-50E0-419E-B1D3-ABD3A405553B}"/>
              </c:ext>
            </c:extLst>
          </c:dPt>
          <c:cat>
            <c:strRef>
              <c:f>Sheet1!$A$2:$A$18</c:f>
              <c:strCache>
                <c:ptCount val="17"/>
                <c:pt idx="0">
                  <c:v>T1</c:v>
                </c:pt>
                <c:pt idx="1">
                  <c:v>T2</c:v>
                </c:pt>
                <c:pt idx="2">
                  <c:v>T3</c:v>
                </c:pt>
                <c:pt idx="3">
                  <c:v>T4</c:v>
                </c:pt>
                <c:pt idx="4">
                  <c:v>T5</c:v>
                </c:pt>
                <c:pt idx="5">
                  <c:v>T6</c:v>
                </c:pt>
                <c:pt idx="6">
                  <c:v>T7</c:v>
                </c:pt>
                <c:pt idx="7">
                  <c:v>T8</c:v>
                </c:pt>
                <c:pt idx="8">
                  <c:v>T9</c:v>
                </c:pt>
                <c:pt idx="9">
                  <c:v>T10</c:v>
                </c:pt>
                <c:pt idx="10">
                  <c:v>T11</c:v>
                </c:pt>
                <c:pt idx="11">
                  <c:v>T12</c:v>
                </c:pt>
                <c:pt idx="12">
                  <c:v>T13</c:v>
                </c:pt>
                <c:pt idx="13">
                  <c:v>T14</c:v>
                </c:pt>
                <c:pt idx="14">
                  <c:v>T15</c:v>
                </c:pt>
                <c:pt idx="15">
                  <c:v>T16</c:v>
                </c:pt>
                <c:pt idx="16">
                  <c:v>T17</c:v>
                </c:pt>
              </c:strCache>
            </c:strRef>
          </c:cat>
          <c:val>
            <c:numRef>
              <c:f>Sheet1!$B$2:$B$18</c:f>
              <c:numCache>
                <c:formatCode>General</c:formatCode>
                <c:ptCount val="17"/>
                <c:pt idx="0">
                  <c:v>88</c:v>
                </c:pt>
                <c:pt idx="1">
                  <c:v>80</c:v>
                </c:pt>
                <c:pt idx="2">
                  <c:v>72</c:v>
                </c:pt>
                <c:pt idx="3">
                  <c:v>92</c:v>
                </c:pt>
                <c:pt idx="4">
                  <c:v>75</c:v>
                </c:pt>
                <c:pt idx="5">
                  <c:v>68</c:v>
                </c:pt>
                <c:pt idx="6">
                  <c:v>96</c:v>
                </c:pt>
                <c:pt idx="7">
                  <c:v>92</c:v>
                </c:pt>
                <c:pt idx="8">
                  <c:v>88</c:v>
                </c:pt>
                <c:pt idx="9">
                  <c:v>80</c:v>
                </c:pt>
                <c:pt idx="10">
                  <c:v>76</c:v>
                </c:pt>
                <c:pt idx="11">
                  <c:v>72</c:v>
                </c:pt>
                <c:pt idx="12">
                  <c:v>64</c:v>
                </c:pt>
                <c:pt idx="13">
                  <c:v>67</c:v>
                </c:pt>
                <c:pt idx="14">
                  <c:v>67</c:v>
                </c:pt>
                <c:pt idx="15">
                  <c:v>73</c:v>
                </c:pt>
                <c:pt idx="16">
                  <c:v>56</c:v>
                </c:pt>
              </c:numCache>
            </c:numRef>
          </c:val>
          <c:extLst>
            <c:ext xmlns:c16="http://schemas.microsoft.com/office/drawing/2014/chart" uri="{C3380CC4-5D6E-409C-BE32-E72D297353CC}">
              <c16:uniqueId val="{00000022-50E0-419E-B1D3-ABD3A405553B}"/>
            </c:ext>
          </c:extLst>
        </c:ser>
        <c:ser>
          <c:idx val="2"/>
          <c:order val="2"/>
          <c:tx>
            <c:strRef>
              <c:f>Sheet1!$E$1</c:f>
              <c:strCache>
                <c:ptCount val="1"/>
                <c:pt idx="0">
                  <c:v>B. bioagents</c:v>
                </c:pt>
              </c:strCache>
            </c:strRef>
          </c:tx>
          <c:spPr>
            <a:solidFill>
              <a:srgbClr val="00B050"/>
            </a:solidFill>
            <a:ln>
              <a:noFill/>
            </a:ln>
            <a:effectLst/>
          </c:spPr>
          <c:invertIfNegative val="0"/>
          <c:cat>
            <c:strRef>
              <c:f>Sheet1!$A$2:$A$18</c:f>
              <c:strCache>
                <c:ptCount val="17"/>
                <c:pt idx="0">
                  <c:v>T1</c:v>
                </c:pt>
                <c:pt idx="1">
                  <c:v>T2</c:v>
                </c:pt>
                <c:pt idx="2">
                  <c:v>T3</c:v>
                </c:pt>
                <c:pt idx="3">
                  <c:v>T4</c:v>
                </c:pt>
                <c:pt idx="4">
                  <c:v>T5</c:v>
                </c:pt>
                <c:pt idx="5">
                  <c:v>T6</c:v>
                </c:pt>
                <c:pt idx="6">
                  <c:v>T7</c:v>
                </c:pt>
                <c:pt idx="7">
                  <c:v>T8</c:v>
                </c:pt>
                <c:pt idx="8">
                  <c:v>T9</c:v>
                </c:pt>
                <c:pt idx="9">
                  <c:v>T10</c:v>
                </c:pt>
                <c:pt idx="10">
                  <c:v>T11</c:v>
                </c:pt>
                <c:pt idx="11">
                  <c:v>T12</c:v>
                </c:pt>
                <c:pt idx="12">
                  <c:v>T13</c:v>
                </c:pt>
                <c:pt idx="13">
                  <c:v>T14</c:v>
                </c:pt>
                <c:pt idx="14">
                  <c:v>T15</c:v>
                </c:pt>
                <c:pt idx="15">
                  <c:v>T16</c:v>
                </c:pt>
                <c:pt idx="16">
                  <c:v>T17</c:v>
                </c:pt>
              </c:strCache>
            </c:strRef>
          </c:cat>
          <c:val>
            <c:numRef>
              <c:f>Sheet1!$D$2:$D$18</c:f>
              <c:numCache>
                <c:formatCode>General</c:formatCode>
                <c:ptCount val="17"/>
              </c:numCache>
            </c:numRef>
          </c:val>
          <c:extLst>
            <c:ext xmlns:c16="http://schemas.microsoft.com/office/drawing/2014/chart" uri="{C3380CC4-5D6E-409C-BE32-E72D297353CC}">
              <c16:uniqueId val="{00000023-50E0-419E-B1D3-ABD3A405553B}"/>
            </c:ext>
          </c:extLst>
        </c:ser>
        <c:ser>
          <c:idx val="3"/>
          <c:order val="3"/>
          <c:tx>
            <c:strRef>
              <c:f>Sheet1!#REF!</c:f>
              <c:strCache>
                <c:ptCount val="1"/>
                <c:pt idx="0">
                  <c:v>#REF!</c:v>
                </c:pt>
              </c:strCache>
            </c:strRef>
          </c:tx>
          <c:spPr>
            <a:solidFill>
              <a:schemeClr val="accent4"/>
            </a:solidFill>
            <a:ln>
              <a:noFill/>
            </a:ln>
            <a:effectLst/>
          </c:spPr>
          <c:invertIfNegative val="0"/>
          <c:cat>
            <c:strRef>
              <c:f>Sheet1!$A$2:$A$18</c:f>
              <c:strCache>
                <c:ptCount val="17"/>
                <c:pt idx="0">
                  <c:v>T1</c:v>
                </c:pt>
                <c:pt idx="1">
                  <c:v>T2</c:v>
                </c:pt>
                <c:pt idx="2">
                  <c:v>T3</c:v>
                </c:pt>
                <c:pt idx="3">
                  <c:v>T4</c:v>
                </c:pt>
                <c:pt idx="4">
                  <c:v>T5</c:v>
                </c:pt>
                <c:pt idx="5">
                  <c:v>T6</c:v>
                </c:pt>
                <c:pt idx="6">
                  <c:v>T7</c:v>
                </c:pt>
                <c:pt idx="7">
                  <c:v>T8</c:v>
                </c:pt>
                <c:pt idx="8">
                  <c:v>T9</c:v>
                </c:pt>
                <c:pt idx="9">
                  <c:v>T10</c:v>
                </c:pt>
                <c:pt idx="10">
                  <c:v>T11</c:v>
                </c:pt>
                <c:pt idx="11">
                  <c:v>T12</c:v>
                </c:pt>
                <c:pt idx="12">
                  <c:v>T13</c:v>
                </c:pt>
                <c:pt idx="13">
                  <c:v>T14</c:v>
                </c:pt>
                <c:pt idx="14">
                  <c:v>T15</c:v>
                </c:pt>
                <c:pt idx="15">
                  <c:v>T16</c:v>
                </c:pt>
                <c:pt idx="16">
                  <c:v>T17</c:v>
                </c:pt>
              </c:strCache>
            </c:strRef>
          </c:cat>
          <c:val>
            <c:numRef>
              <c:f>Sheet1!$E$2:$E$18</c:f>
              <c:numCache>
                <c:formatCode>General</c:formatCode>
                <c:ptCount val="17"/>
              </c:numCache>
            </c:numRef>
          </c:val>
          <c:extLst>
            <c:ext xmlns:c16="http://schemas.microsoft.com/office/drawing/2014/chart" uri="{C3380CC4-5D6E-409C-BE32-E72D297353CC}">
              <c16:uniqueId val="{00000024-50E0-419E-B1D3-ABD3A405553B}"/>
            </c:ext>
          </c:extLst>
        </c:ser>
        <c:ser>
          <c:idx val="4"/>
          <c:order val="4"/>
          <c:tx>
            <c:strRef>
              <c:f>Sheet1!$D$1</c:f>
              <c:strCache>
                <c:ptCount val="1"/>
                <c:pt idx="0">
                  <c:v>T. bioagents</c:v>
                </c:pt>
              </c:strCache>
            </c:strRef>
          </c:tx>
          <c:spPr>
            <a:solidFill>
              <a:schemeClr val="accent1">
                <a:lumMod val="50000"/>
              </a:schemeClr>
            </a:solidFill>
            <a:ln>
              <a:noFill/>
            </a:ln>
            <a:effectLst/>
          </c:spPr>
          <c:invertIfNegative val="0"/>
          <c:cat>
            <c:strRef>
              <c:f>Sheet1!$A$2:$A$18</c:f>
              <c:strCache>
                <c:ptCount val="17"/>
                <c:pt idx="0">
                  <c:v>T1</c:v>
                </c:pt>
                <c:pt idx="1">
                  <c:v>T2</c:v>
                </c:pt>
                <c:pt idx="2">
                  <c:v>T3</c:v>
                </c:pt>
                <c:pt idx="3">
                  <c:v>T4</c:v>
                </c:pt>
                <c:pt idx="4">
                  <c:v>T5</c:v>
                </c:pt>
                <c:pt idx="5">
                  <c:v>T6</c:v>
                </c:pt>
                <c:pt idx="6">
                  <c:v>T7</c:v>
                </c:pt>
                <c:pt idx="7">
                  <c:v>T8</c:v>
                </c:pt>
                <c:pt idx="8">
                  <c:v>T9</c:v>
                </c:pt>
                <c:pt idx="9">
                  <c:v>T10</c:v>
                </c:pt>
                <c:pt idx="10">
                  <c:v>T11</c:v>
                </c:pt>
                <c:pt idx="11">
                  <c:v>T12</c:v>
                </c:pt>
                <c:pt idx="12">
                  <c:v>T13</c:v>
                </c:pt>
                <c:pt idx="13">
                  <c:v>T14</c:v>
                </c:pt>
                <c:pt idx="14">
                  <c:v>T15</c:v>
                </c:pt>
                <c:pt idx="15">
                  <c:v>T16</c:v>
                </c:pt>
                <c:pt idx="16">
                  <c:v>T17</c:v>
                </c:pt>
              </c:strCache>
            </c:strRef>
          </c:cat>
          <c:val>
            <c:numRef>
              <c:f>Sheet1!$F$2:$F$18</c:f>
              <c:numCache>
                <c:formatCode>General</c:formatCode>
                <c:ptCount val="17"/>
              </c:numCache>
            </c:numRef>
          </c:val>
          <c:extLst>
            <c:ext xmlns:c16="http://schemas.microsoft.com/office/drawing/2014/chart" uri="{C3380CC4-5D6E-409C-BE32-E72D297353CC}">
              <c16:uniqueId val="{00000025-50E0-419E-B1D3-ABD3A405553B}"/>
            </c:ext>
          </c:extLst>
        </c:ser>
        <c:ser>
          <c:idx val="5"/>
          <c:order val="5"/>
          <c:tx>
            <c:strRef>
              <c:f>Sheet1!#REF!</c:f>
              <c:strCache>
                <c:ptCount val="1"/>
                <c:pt idx="0">
                  <c:v>#REF!</c:v>
                </c:pt>
              </c:strCache>
            </c:strRef>
          </c:tx>
          <c:spPr>
            <a:solidFill>
              <a:schemeClr val="accent6"/>
            </a:solidFill>
            <a:ln>
              <a:noFill/>
            </a:ln>
            <a:effectLst/>
          </c:spPr>
          <c:invertIfNegative val="0"/>
          <c:cat>
            <c:strRef>
              <c:f>Sheet1!$A$2:$A$18</c:f>
              <c:strCache>
                <c:ptCount val="17"/>
                <c:pt idx="0">
                  <c:v>T1</c:v>
                </c:pt>
                <c:pt idx="1">
                  <c:v>T2</c:v>
                </c:pt>
                <c:pt idx="2">
                  <c:v>T3</c:v>
                </c:pt>
                <c:pt idx="3">
                  <c:v>T4</c:v>
                </c:pt>
                <c:pt idx="4">
                  <c:v>T5</c:v>
                </c:pt>
                <c:pt idx="5">
                  <c:v>T6</c:v>
                </c:pt>
                <c:pt idx="6">
                  <c:v>T7</c:v>
                </c:pt>
                <c:pt idx="7">
                  <c:v>T8</c:v>
                </c:pt>
                <c:pt idx="8">
                  <c:v>T9</c:v>
                </c:pt>
                <c:pt idx="9">
                  <c:v>T10</c:v>
                </c:pt>
                <c:pt idx="10">
                  <c:v>T11</c:v>
                </c:pt>
                <c:pt idx="11">
                  <c:v>T12</c:v>
                </c:pt>
                <c:pt idx="12">
                  <c:v>T13</c:v>
                </c:pt>
                <c:pt idx="13">
                  <c:v>T14</c:v>
                </c:pt>
                <c:pt idx="14">
                  <c:v>T15</c:v>
                </c:pt>
                <c:pt idx="15">
                  <c:v>T16</c:v>
                </c:pt>
                <c:pt idx="16">
                  <c:v>T17</c:v>
                </c:pt>
              </c:strCache>
            </c:strRef>
          </c:cat>
          <c:val>
            <c:numRef>
              <c:f>Sheet1!$G$2:$G$18</c:f>
              <c:numCache>
                <c:formatCode>General</c:formatCode>
                <c:ptCount val="17"/>
              </c:numCache>
            </c:numRef>
          </c:val>
          <c:extLst>
            <c:ext xmlns:c16="http://schemas.microsoft.com/office/drawing/2014/chart" uri="{C3380CC4-5D6E-409C-BE32-E72D297353CC}">
              <c16:uniqueId val="{00000026-50E0-419E-B1D3-ABD3A405553B}"/>
            </c:ext>
          </c:extLst>
        </c:ser>
        <c:ser>
          <c:idx val="6"/>
          <c:order val="6"/>
          <c:tx>
            <c:strRef>
              <c:f>Sheet1!$F$1</c:f>
              <c:strCache>
                <c:ptCount val="1"/>
                <c:pt idx="0">
                  <c:v>Botanicals</c:v>
                </c:pt>
              </c:strCache>
            </c:strRef>
          </c:tx>
          <c:spPr>
            <a:solidFill>
              <a:srgbClr val="008000"/>
            </a:solidFill>
            <a:ln>
              <a:noFill/>
            </a:ln>
            <a:effectLst/>
          </c:spPr>
          <c:invertIfNegative val="0"/>
          <c:cat>
            <c:strRef>
              <c:f>Sheet1!$A$2:$A$18</c:f>
              <c:strCache>
                <c:ptCount val="17"/>
                <c:pt idx="0">
                  <c:v>T1</c:v>
                </c:pt>
                <c:pt idx="1">
                  <c:v>T2</c:v>
                </c:pt>
                <c:pt idx="2">
                  <c:v>T3</c:v>
                </c:pt>
                <c:pt idx="3">
                  <c:v>T4</c:v>
                </c:pt>
                <c:pt idx="4">
                  <c:v>T5</c:v>
                </c:pt>
                <c:pt idx="5">
                  <c:v>T6</c:v>
                </c:pt>
                <c:pt idx="6">
                  <c:v>T7</c:v>
                </c:pt>
                <c:pt idx="7">
                  <c:v>T8</c:v>
                </c:pt>
                <c:pt idx="8">
                  <c:v>T9</c:v>
                </c:pt>
                <c:pt idx="9">
                  <c:v>T10</c:v>
                </c:pt>
                <c:pt idx="10">
                  <c:v>T11</c:v>
                </c:pt>
                <c:pt idx="11">
                  <c:v>T12</c:v>
                </c:pt>
                <c:pt idx="12">
                  <c:v>T13</c:v>
                </c:pt>
                <c:pt idx="13">
                  <c:v>T14</c:v>
                </c:pt>
                <c:pt idx="14">
                  <c:v>T15</c:v>
                </c:pt>
                <c:pt idx="15">
                  <c:v>T16</c:v>
                </c:pt>
                <c:pt idx="16">
                  <c:v>T17</c:v>
                </c:pt>
              </c:strCache>
            </c:strRef>
          </c:cat>
          <c:val>
            <c:numRef>
              <c:f>Sheet1!$H$2:$H$18</c:f>
              <c:numCache>
                <c:formatCode>General</c:formatCode>
                <c:ptCount val="17"/>
              </c:numCache>
            </c:numRef>
          </c:val>
          <c:extLst>
            <c:ext xmlns:c16="http://schemas.microsoft.com/office/drawing/2014/chart" uri="{C3380CC4-5D6E-409C-BE32-E72D297353CC}">
              <c16:uniqueId val="{00000027-50E0-419E-B1D3-ABD3A405553B}"/>
            </c:ext>
          </c:extLst>
        </c:ser>
        <c:ser>
          <c:idx val="7"/>
          <c:order val="7"/>
          <c:tx>
            <c:strRef>
              <c:f>Sheet1!$G$1</c:f>
              <c:strCache>
                <c:ptCount val="1"/>
                <c:pt idx="0">
                  <c:v>Chemicals </c:v>
                </c:pt>
              </c:strCache>
            </c:strRef>
          </c:tx>
          <c:spPr>
            <a:solidFill>
              <a:srgbClr val="FF3300"/>
            </a:solidFill>
            <a:ln>
              <a:noFill/>
            </a:ln>
            <a:effectLst/>
          </c:spPr>
          <c:invertIfNegative val="0"/>
          <c:cat>
            <c:strRef>
              <c:f>Sheet1!$A$2:$A$18</c:f>
              <c:strCache>
                <c:ptCount val="17"/>
                <c:pt idx="0">
                  <c:v>T1</c:v>
                </c:pt>
                <c:pt idx="1">
                  <c:v>T2</c:v>
                </c:pt>
                <c:pt idx="2">
                  <c:v>T3</c:v>
                </c:pt>
                <c:pt idx="3">
                  <c:v>T4</c:v>
                </c:pt>
                <c:pt idx="4">
                  <c:v>T5</c:v>
                </c:pt>
                <c:pt idx="5">
                  <c:v>T6</c:v>
                </c:pt>
                <c:pt idx="6">
                  <c:v>T7</c:v>
                </c:pt>
                <c:pt idx="7">
                  <c:v>T8</c:v>
                </c:pt>
                <c:pt idx="8">
                  <c:v>T9</c:v>
                </c:pt>
                <c:pt idx="9">
                  <c:v>T10</c:v>
                </c:pt>
                <c:pt idx="10">
                  <c:v>T11</c:v>
                </c:pt>
                <c:pt idx="11">
                  <c:v>T12</c:v>
                </c:pt>
                <c:pt idx="12">
                  <c:v>T13</c:v>
                </c:pt>
                <c:pt idx="13">
                  <c:v>T14</c:v>
                </c:pt>
                <c:pt idx="14">
                  <c:v>T15</c:v>
                </c:pt>
                <c:pt idx="15">
                  <c:v>T16</c:v>
                </c:pt>
                <c:pt idx="16">
                  <c:v>T17</c:v>
                </c:pt>
              </c:strCache>
            </c:strRef>
          </c:cat>
          <c:val>
            <c:numRef>
              <c:f>Sheet1!$I$2:$I$18</c:f>
              <c:numCache>
                <c:formatCode>General</c:formatCode>
                <c:ptCount val="17"/>
              </c:numCache>
            </c:numRef>
          </c:val>
          <c:extLst>
            <c:ext xmlns:c16="http://schemas.microsoft.com/office/drawing/2014/chart" uri="{C3380CC4-5D6E-409C-BE32-E72D297353CC}">
              <c16:uniqueId val="{00000028-50E0-419E-B1D3-ABD3A405553B}"/>
            </c:ext>
          </c:extLst>
        </c:ser>
        <c:dLbls>
          <c:showLegendKey val="0"/>
          <c:showVal val="0"/>
          <c:showCatName val="0"/>
          <c:showSerName val="0"/>
          <c:showPercent val="0"/>
          <c:showBubbleSize val="0"/>
        </c:dLbls>
        <c:gapWidth val="0"/>
        <c:overlap val="89"/>
        <c:axId val="1303326256"/>
        <c:axId val="1303324816"/>
      </c:barChart>
      <c:lineChart>
        <c:grouping val="standard"/>
        <c:varyColors val="0"/>
        <c:ser>
          <c:idx val="1"/>
          <c:order val="1"/>
          <c:tx>
            <c:strRef>
              <c:f>Sheet1!#REF!</c:f>
              <c:strCache>
                <c:ptCount val="1"/>
                <c:pt idx="0">
                  <c:v>#REF!</c:v>
                </c:pt>
              </c:strCache>
            </c:strRef>
          </c:tx>
          <c:spPr>
            <a:ln w="28575" cap="rnd">
              <a:solidFill>
                <a:srgbClr val="0070C0"/>
              </a:solidFill>
              <a:prstDash val="sysDash"/>
              <a:round/>
            </a:ln>
            <a:effectLst/>
          </c:spPr>
          <c:marker>
            <c:symbol val="none"/>
          </c:marker>
          <c:cat>
            <c:strRef>
              <c:f>Sheet1!$A$2:$A$18</c:f>
              <c:strCache>
                <c:ptCount val="17"/>
                <c:pt idx="0">
                  <c:v>T1</c:v>
                </c:pt>
                <c:pt idx="1">
                  <c:v>T2</c:v>
                </c:pt>
                <c:pt idx="2">
                  <c:v>T3</c:v>
                </c:pt>
                <c:pt idx="3">
                  <c:v>T4</c:v>
                </c:pt>
                <c:pt idx="4">
                  <c:v>T5</c:v>
                </c:pt>
                <c:pt idx="5">
                  <c:v>T6</c:v>
                </c:pt>
                <c:pt idx="6">
                  <c:v>T7</c:v>
                </c:pt>
                <c:pt idx="7">
                  <c:v>T8</c:v>
                </c:pt>
                <c:pt idx="8">
                  <c:v>T9</c:v>
                </c:pt>
                <c:pt idx="9">
                  <c:v>T10</c:v>
                </c:pt>
                <c:pt idx="10">
                  <c:v>T11</c:v>
                </c:pt>
                <c:pt idx="11">
                  <c:v>T12</c:v>
                </c:pt>
                <c:pt idx="12">
                  <c:v>T13</c:v>
                </c:pt>
                <c:pt idx="13">
                  <c:v>T14</c:v>
                </c:pt>
                <c:pt idx="14">
                  <c:v>T15</c:v>
                </c:pt>
                <c:pt idx="15">
                  <c:v>T16</c:v>
                </c:pt>
                <c:pt idx="16">
                  <c:v>T17</c:v>
                </c:pt>
              </c:strCache>
            </c:strRef>
          </c:cat>
          <c:val>
            <c:numRef>
              <c:f>Sheet1!$C$2:$C$18</c:f>
              <c:numCache>
                <c:formatCode>General</c:formatCode>
                <c:ptCount val="17"/>
                <c:pt idx="0">
                  <c:v>80</c:v>
                </c:pt>
                <c:pt idx="1">
                  <c:v>80</c:v>
                </c:pt>
                <c:pt idx="2">
                  <c:v>80</c:v>
                </c:pt>
                <c:pt idx="3">
                  <c:v>80</c:v>
                </c:pt>
                <c:pt idx="4">
                  <c:v>80</c:v>
                </c:pt>
                <c:pt idx="5">
                  <c:v>80</c:v>
                </c:pt>
                <c:pt idx="6">
                  <c:v>80</c:v>
                </c:pt>
                <c:pt idx="7">
                  <c:v>80</c:v>
                </c:pt>
                <c:pt idx="8">
                  <c:v>80</c:v>
                </c:pt>
                <c:pt idx="9">
                  <c:v>80</c:v>
                </c:pt>
                <c:pt idx="10">
                  <c:v>80</c:v>
                </c:pt>
                <c:pt idx="11">
                  <c:v>80</c:v>
                </c:pt>
                <c:pt idx="12">
                  <c:v>80</c:v>
                </c:pt>
                <c:pt idx="13">
                  <c:v>80</c:v>
                </c:pt>
                <c:pt idx="14">
                  <c:v>80</c:v>
                </c:pt>
                <c:pt idx="15">
                  <c:v>80</c:v>
                </c:pt>
                <c:pt idx="16">
                  <c:v>80</c:v>
                </c:pt>
              </c:numCache>
            </c:numRef>
          </c:val>
          <c:smooth val="0"/>
          <c:extLst>
            <c:ext xmlns:c16="http://schemas.microsoft.com/office/drawing/2014/chart" uri="{C3380CC4-5D6E-409C-BE32-E72D297353CC}">
              <c16:uniqueId val="{00000029-50E0-419E-B1D3-ABD3A405553B}"/>
            </c:ext>
          </c:extLst>
        </c:ser>
        <c:dLbls>
          <c:showLegendKey val="0"/>
          <c:showVal val="0"/>
          <c:showCatName val="0"/>
          <c:showSerName val="0"/>
          <c:showPercent val="0"/>
          <c:showBubbleSize val="0"/>
        </c:dLbls>
        <c:marker val="1"/>
        <c:smooth val="0"/>
        <c:axId val="1303326256"/>
        <c:axId val="1303324816"/>
      </c:lineChart>
      <c:catAx>
        <c:axId val="1303326256"/>
        <c:scaling>
          <c:orientation val="minMax"/>
        </c:scaling>
        <c:delete val="0"/>
        <c:axPos val="b"/>
        <c:minorGridlines>
          <c:spPr>
            <a:ln w="9525" cap="flat" cmpd="sng" algn="ctr">
              <a:solidFill>
                <a:schemeClr val="tx1">
                  <a:lumMod val="5000"/>
                  <a:lumOff val="95000"/>
                </a:schemeClr>
              </a:solidFill>
              <a:round/>
            </a:ln>
            <a:effectLst/>
          </c:spPr>
        </c:min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solidFill>
                <a:latin typeface="+mn-lt"/>
                <a:ea typeface="+mn-ea"/>
                <a:cs typeface="+mn-cs"/>
              </a:defRPr>
            </a:pPr>
            <a:endParaRPr lang="en-US"/>
          </a:p>
        </c:txPr>
        <c:crossAx val="1303324816"/>
        <c:crosses val="autoZero"/>
        <c:auto val="1"/>
        <c:lblAlgn val="ctr"/>
        <c:lblOffset val="100"/>
        <c:noMultiLvlLbl val="0"/>
      </c:catAx>
      <c:valAx>
        <c:axId val="1303324816"/>
        <c:scaling>
          <c:orientation val="minMax"/>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title>
          <c:tx>
            <c:rich>
              <a:bodyPr rot="-5400000" spcFirstLastPara="1" vertOverflow="ellipsis" vert="horz" wrap="square" anchor="ctr" anchorCtr="1"/>
              <a:lstStyle/>
              <a:p>
                <a:pPr>
                  <a:defRPr sz="1000" b="0" i="0" u="none" strike="noStrike" kern="1200" baseline="0">
                    <a:solidFill>
                      <a:schemeClr val="tx1"/>
                    </a:solidFill>
                    <a:latin typeface="+mn-lt"/>
                    <a:ea typeface="+mn-ea"/>
                    <a:cs typeface="+mn-cs"/>
                  </a:defRPr>
                </a:pPr>
                <a:r>
                  <a:rPr lang="en-IN" b="1" baseline="0">
                    <a:solidFill>
                      <a:schemeClr val="tx1"/>
                    </a:solidFill>
                  </a:rPr>
                  <a:t>Germination (%)</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solidFill>
                <a:latin typeface="+mn-lt"/>
                <a:ea typeface="+mn-ea"/>
                <a:cs typeface="+mn-cs"/>
              </a:defRPr>
            </a:pPr>
            <a:endParaRPr lang="en-US"/>
          </a:p>
        </c:txPr>
        <c:crossAx val="1303326256"/>
        <c:crosses val="autoZero"/>
        <c:crossBetween val="between"/>
      </c:valAx>
      <c:spPr>
        <a:noFill/>
        <a:ln>
          <a:noFill/>
        </a:ln>
        <a:effectLst/>
      </c:spPr>
    </c:plotArea>
    <c:legend>
      <c:legendPos val="tr"/>
      <c:legendEntry>
        <c:idx val="0"/>
        <c:delete val="1"/>
      </c:legendEntry>
      <c:legendEntry>
        <c:idx val="2"/>
        <c:delete val="1"/>
      </c:legendEntry>
      <c:legendEntry>
        <c:idx val="4"/>
        <c:delete val="1"/>
      </c:legendEntry>
      <c:layout>
        <c:manualLayout>
          <c:xMode val="edge"/>
          <c:yMode val="edge"/>
          <c:x val="0.73258328128890582"/>
          <c:y val="4.0039682539682549E-2"/>
          <c:w val="0.25584265030634773"/>
          <c:h val="0.25949404629506057"/>
        </c:manualLayout>
      </c:layout>
      <c:overlay val="1"/>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prstDash val="sysDash"/>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solidFill>
                <a:latin typeface="+mn-lt"/>
                <a:ea typeface="+mn-ea"/>
                <a:cs typeface="+mn-cs"/>
              </a:defRPr>
            </a:pPr>
            <a:r>
              <a:rPr lang="en-IN" sz="1300" b="1" baseline="0">
                <a:solidFill>
                  <a:schemeClr val="tx1"/>
                </a:solidFill>
              </a:rPr>
              <a:t>b. Seedling length development </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Seedling Length (cm)</c:v>
                </c:pt>
              </c:strCache>
            </c:strRef>
          </c:tx>
          <c:spPr>
            <a:solidFill>
              <a:schemeClr val="accent1">
                <a:lumMod val="50000"/>
              </a:schemeClr>
            </a:solidFill>
            <a:ln>
              <a:noFill/>
            </a:ln>
            <a:effectLst/>
          </c:spPr>
          <c:invertIfNegative val="0"/>
          <c:dPt>
            <c:idx val="3"/>
            <c:invertIfNegative val="0"/>
            <c:bubble3D val="0"/>
            <c:spPr>
              <a:solidFill>
                <a:schemeClr val="accent1">
                  <a:lumMod val="75000"/>
                </a:schemeClr>
              </a:solidFill>
              <a:ln>
                <a:noFill/>
              </a:ln>
              <a:effectLst/>
            </c:spPr>
            <c:extLst>
              <c:ext xmlns:c16="http://schemas.microsoft.com/office/drawing/2014/chart" uri="{C3380CC4-5D6E-409C-BE32-E72D297353CC}">
                <c16:uniqueId val="{00000001-2B3F-40FD-BB7D-4E63E7532F4D}"/>
              </c:ext>
            </c:extLst>
          </c:dPt>
          <c:dPt>
            <c:idx val="4"/>
            <c:invertIfNegative val="0"/>
            <c:bubble3D val="0"/>
            <c:spPr>
              <a:solidFill>
                <a:srgbClr val="00B050"/>
              </a:solidFill>
              <a:ln>
                <a:noFill/>
              </a:ln>
              <a:effectLst/>
            </c:spPr>
            <c:extLst>
              <c:ext xmlns:c16="http://schemas.microsoft.com/office/drawing/2014/chart" uri="{C3380CC4-5D6E-409C-BE32-E72D297353CC}">
                <c16:uniqueId val="{00000003-2B3F-40FD-BB7D-4E63E7532F4D}"/>
              </c:ext>
            </c:extLst>
          </c:dPt>
          <c:dPt>
            <c:idx val="5"/>
            <c:invertIfNegative val="0"/>
            <c:bubble3D val="0"/>
            <c:spPr>
              <a:solidFill>
                <a:srgbClr val="00B050"/>
              </a:solidFill>
              <a:ln>
                <a:noFill/>
              </a:ln>
              <a:effectLst/>
            </c:spPr>
            <c:extLst>
              <c:ext xmlns:c16="http://schemas.microsoft.com/office/drawing/2014/chart" uri="{C3380CC4-5D6E-409C-BE32-E72D297353CC}">
                <c16:uniqueId val="{00000005-2B3F-40FD-BB7D-4E63E7532F4D}"/>
              </c:ext>
            </c:extLst>
          </c:dPt>
          <c:dPt>
            <c:idx val="6"/>
            <c:invertIfNegative val="0"/>
            <c:bubble3D val="0"/>
            <c:spPr>
              <a:solidFill>
                <a:srgbClr val="008000"/>
              </a:solidFill>
              <a:ln>
                <a:noFill/>
              </a:ln>
              <a:effectLst/>
            </c:spPr>
            <c:extLst>
              <c:ext xmlns:c16="http://schemas.microsoft.com/office/drawing/2014/chart" uri="{C3380CC4-5D6E-409C-BE32-E72D297353CC}">
                <c16:uniqueId val="{00000007-2B3F-40FD-BB7D-4E63E7532F4D}"/>
              </c:ext>
            </c:extLst>
          </c:dPt>
          <c:dPt>
            <c:idx val="7"/>
            <c:invertIfNegative val="0"/>
            <c:bubble3D val="0"/>
            <c:spPr>
              <a:solidFill>
                <a:srgbClr val="008000"/>
              </a:solidFill>
              <a:ln>
                <a:noFill/>
              </a:ln>
              <a:effectLst/>
            </c:spPr>
            <c:extLst>
              <c:ext xmlns:c16="http://schemas.microsoft.com/office/drawing/2014/chart" uri="{C3380CC4-5D6E-409C-BE32-E72D297353CC}">
                <c16:uniqueId val="{00000009-2B3F-40FD-BB7D-4E63E7532F4D}"/>
              </c:ext>
            </c:extLst>
          </c:dPt>
          <c:dPt>
            <c:idx val="8"/>
            <c:invertIfNegative val="0"/>
            <c:bubble3D val="0"/>
            <c:spPr>
              <a:solidFill>
                <a:srgbClr val="008000"/>
              </a:solidFill>
              <a:ln>
                <a:noFill/>
              </a:ln>
              <a:effectLst/>
            </c:spPr>
            <c:extLst>
              <c:ext xmlns:c16="http://schemas.microsoft.com/office/drawing/2014/chart" uri="{C3380CC4-5D6E-409C-BE32-E72D297353CC}">
                <c16:uniqueId val="{0000000B-2B3F-40FD-BB7D-4E63E7532F4D}"/>
              </c:ext>
            </c:extLst>
          </c:dPt>
          <c:dPt>
            <c:idx val="9"/>
            <c:invertIfNegative val="0"/>
            <c:bubble3D val="0"/>
            <c:spPr>
              <a:solidFill>
                <a:srgbClr val="008000"/>
              </a:solidFill>
              <a:ln>
                <a:noFill/>
              </a:ln>
              <a:effectLst/>
            </c:spPr>
            <c:extLst>
              <c:ext xmlns:c16="http://schemas.microsoft.com/office/drawing/2014/chart" uri="{C3380CC4-5D6E-409C-BE32-E72D297353CC}">
                <c16:uniqueId val="{0000000D-2B3F-40FD-BB7D-4E63E7532F4D}"/>
              </c:ext>
            </c:extLst>
          </c:dPt>
          <c:dPt>
            <c:idx val="10"/>
            <c:invertIfNegative val="0"/>
            <c:bubble3D val="0"/>
            <c:spPr>
              <a:solidFill>
                <a:srgbClr val="008000"/>
              </a:solidFill>
              <a:ln>
                <a:noFill/>
              </a:ln>
              <a:effectLst/>
            </c:spPr>
            <c:extLst>
              <c:ext xmlns:c16="http://schemas.microsoft.com/office/drawing/2014/chart" uri="{C3380CC4-5D6E-409C-BE32-E72D297353CC}">
                <c16:uniqueId val="{0000000F-2B3F-40FD-BB7D-4E63E7532F4D}"/>
              </c:ext>
            </c:extLst>
          </c:dPt>
          <c:dPt>
            <c:idx val="11"/>
            <c:invertIfNegative val="0"/>
            <c:bubble3D val="0"/>
            <c:spPr>
              <a:solidFill>
                <a:srgbClr val="FF3300"/>
              </a:solidFill>
              <a:ln>
                <a:noFill/>
              </a:ln>
              <a:effectLst/>
            </c:spPr>
            <c:extLst>
              <c:ext xmlns:c16="http://schemas.microsoft.com/office/drawing/2014/chart" uri="{C3380CC4-5D6E-409C-BE32-E72D297353CC}">
                <c16:uniqueId val="{00000011-2B3F-40FD-BB7D-4E63E7532F4D}"/>
              </c:ext>
            </c:extLst>
          </c:dPt>
          <c:dPt>
            <c:idx val="12"/>
            <c:invertIfNegative val="0"/>
            <c:bubble3D val="0"/>
            <c:spPr>
              <a:solidFill>
                <a:srgbClr val="FF3300"/>
              </a:solidFill>
              <a:ln>
                <a:noFill/>
              </a:ln>
              <a:effectLst/>
            </c:spPr>
            <c:extLst>
              <c:ext xmlns:c16="http://schemas.microsoft.com/office/drawing/2014/chart" uri="{C3380CC4-5D6E-409C-BE32-E72D297353CC}">
                <c16:uniqueId val="{00000013-2B3F-40FD-BB7D-4E63E7532F4D}"/>
              </c:ext>
            </c:extLst>
          </c:dPt>
          <c:dPt>
            <c:idx val="13"/>
            <c:invertIfNegative val="0"/>
            <c:bubble3D val="0"/>
            <c:spPr>
              <a:solidFill>
                <a:srgbClr val="FF3300"/>
              </a:solidFill>
              <a:ln>
                <a:noFill/>
              </a:ln>
              <a:effectLst/>
            </c:spPr>
            <c:extLst>
              <c:ext xmlns:c16="http://schemas.microsoft.com/office/drawing/2014/chart" uri="{C3380CC4-5D6E-409C-BE32-E72D297353CC}">
                <c16:uniqueId val="{00000015-2B3F-40FD-BB7D-4E63E7532F4D}"/>
              </c:ext>
            </c:extLst>
          </c:dPt>
          <c:dPt>
            <c:idx val="14"/>
            <c:invertIfNegative val="0"/>
            <c:bubble3D val="0"/>
            <c:spPr>
              <a:solidFill>
                <a:srgbClr val="FF3300"/>
              </a:solidFill>
              <a:ln>
                <a:noFill/>
              </a:ln>
              <a:effectLst/>
            </c:spPr>
            <c:extLst>
              <c:ext xmlns:c16="http://schemas.microsoft.com/office/drawing/2014/chart" uri="{C3380CC4-5D6E-409C-BE32-E72D297353CC}">
                <c16:uniqueId val="{00000017-2B3F-40FD-BB7D-4E63E7532F4D}"/>
              </c:ext>
            </c:extLst>
          </c:dPt>
          <c:dPt>
            <c:idx val="15"/>
            <c:invertIfNegative val="0"/>
            <c:bubble3D val="0"/>
            <c:spPr>
              <a:solidFill>
                <a:srgbClr val="FF3300"/>
              </a:solidFill>
              <a:ln>
                <a:noFill/>
              </a:ln>
              <a:effectLst/>
            </c:spPr>
            <c:extLst>
              <c:ext xmlns:c16="http://schemas.microsoft.com/office/drawing/2014/chart" uri="{C3380CC4-5D6E-409C-BE32-E72D297353CC}">
                <c16:uniqueId val="{00000019-2B3F-40FD-BB7D-4E63E7532F4D}"/>
              </c:ext>
            </c:extLst>
          </c:dPt>
          <c:dPt>
            <c:idx val="16"/>
            <c:invertIfNegative val="0"/>
            <c:bubble3D val="0"/>
            <c:spPr>
              <a:solidFill>
                <a:srgbClr val="C00000"/>
              </a:solidFill>
              <a:ln>
                <a:noFill/>
              </a:ln>
              <a:effectLst/>
            </c:spPr>
            <c:extLst>
              <c:ext xmlns:c16="http://schemas.microsoft.com/office/drawing/2014/chart" uri="{C3380CC4-5D6E-409C-BE32-E72D297353CC}">
                <c16:uniqueId val="{0000001B-2B3F-40FD-BB7D-4E63E7532F4D}"/>
              </c:ext>
            </c:extLst>
          </c:dPt>
          <c:cat>
            <c:strRef>
              <c:f>Sheet1!$A$2:$A$18</c:f>
              <c:strCache>
                <c:ptCount val="17"/>
                <c:pt idx="0">
                  <c:v>T1</c:v>
                </c:pt>
                <c:pt idx="1">
                  <c:v>T2</c:v>
                </c:pt>
                <c:pt idx="2">
                  <c:v>T3</c:v>
                </c:pt>
                <c:pt idx="3">
                  <c:v>T4</c:v>
                </c:pt>
                <c:pt idx="4">
                  <c:v>T5</c:v>
                </c:pt>
                <c:pt idx="5">
                  <c:v>T6</c:v>
                </c:pt>
                <c:pt idx="6">
                  <c:v>T7</c:v>
                </c:pt>
                <c:pt idx="7">
                  <c:v>T8</c:v>
                </c:pt>
                <c:pt idx="8">
                  <c:v>T9</c:v>
                </c:pt>
                <c:pt idx="9">
                  <c:v>T10</c:v>
                </c:pt>
                <c:pt idx="10">
                  <c:v>T11</c:v>
                </c:pt>
                <c:pt idx="11">
                  <c:v>T12</c:v>
                </c:pt>
                <c:pt idx="12">
                  <c:v>T13</c:v>
                </c:pt>
                <c:pt idx="13">
                  <c:v>T14</c:v>
                </c:pt>
                <c:pt idx="14">
                  <c:v>T15</c:v>
                </c:pt>
                <c:pt idx="15">
                  <c:v>T16</c:v>
                </c:pt>
                <c:pt idx="16">
                  <c:v>T17</c:v>
                </c:pt>
              </c:strCache>
            </c:strRef>
          </c:cat>
          <c:val>
            <c:numRef>
              <c:f>Sheet1!$B$2:$B$18</c:f>
              <c:numCache>
                <c:formatCode>General</c:formatCode>
                <c:ptCount val="17"/>
                <c:pt idx="0">
                  <c:v>3.4</c:v>
                </c:pt>
                <c:pt idx="1">
                  <c:v>3.2</c:v>
                </c:pt>
                <c:pt idx="2">
                  <c:v>2.9</c:v>
                </c:pt>
                <c:pt idx="3">
                  <c:v>3.6</c:v>
                </c:pt>
                <c:pt idx="4">
                  <c:v>2.8</c:v>
                </c:pt>
                <c:pt idx="5">
                  <c:v>2.4</c:v>
                </c:pt>
                <c:pt idx="6">
                  <c:v>4.0999999999999996</c:v>
                </c:pt>
                <c:pt idx="7">
                  <c:v>3.8</c:v>
                </c:pt>
                <c:pt idx="8">
                  <c:v>3.6</c:v>
                </c:pt>
                <c:pt idx="9">
                  <c:v>3</c:v>
                </c:pt>
                <c:pt idx="10">
                  <c:v>2.5</c:v>
                </c:pt>
                <c:pt idx="11">
                  <c:v>2.5</c:v>
                </c:pt>
                <c:pt idx="12">
                  <c:v>2.4</c:v>
                </c:pt>
                <c:pt idx="13">
                  <c:v>2.5</c:v>
                </c:pt>
                <c:pt idx="14">
                  <c:v>2.2000000000000002</c:v>
                </c:pt>
                <c:pt idx="15">
                  <c:v>2.6</c:v>
                </c:pt>
                <c:pt idx="16">
                  <c:v>2</c:v>
                </c:pt>
              </c:numCache>
            </c:numRef>
          </c:val>
          <c:extLst>
            <c:ext xmlns:c16="http://schemas.microsoft.com/office/drawing/2014/chart" uri="{C3380CC4-5D6E-409C-BE32-E72D297353CC}">
              <c16:uniqueId val="{0000001C-2B3F-40FD-BB7D-4E63E7532F4D}"/>
            </c:ext>
          </c:extLst>
        </c:ser>
        <c:ser>
          <c:idx val="2"/>
          <c:order val="2"/>
          <c:tx>
            <c:strRef>
              <c:f>Sheet1!$D$1</c:f>
              <c:strCache>
                <c:ptCount val="1"/>
                <c:pt idx="0">
                  <c:v>Column1</c:v>
                </c:pt>
              </c:strCache>
            </c:strRef>
          </c:tx>
          <c:spPr>
            <a:solidFill>
              <a:schemeClr val="accent3"/>
            </a:solidFill>
            <a:ln>
              <a:noFill/>
            </a:ln>
            <a:effectLst/>
          </c:spPr>
          <c:invertIfNegative val="0"/>
          <c:cat>
            <c:strRef>
              <c:f>Sheet1!$A$2:$A$18</c:f>
              <c:strCache>
                <c:ptCount val="17"/>
                <c:pt idx="0">
                  <c:v>T1</c:v>
                </c:pt>
                <c:pt idx="1">
                  <c:v>T2</c:v>
                </c:pt>
                <c:pt idx="2">
                  <c:v>T3</c:v>
                </c:pt>
                <c:pt idx="3">
                  <c:v>T4</c:v>
                </c:pt>
                <c:pt idx="4">
                  <c:v>T5</c:v>
                </c:pt>
                <c:pt idx="5">
                  <c:v>T6</c:v>
                </c:pt>
                <c:pt idx="6">
                  <c:v>T7</c:v>
                </c:pt>
                <c:pt idx="7">
                  <c:v>T8</c:v>
                </c:pt>
                <c:pt idx="8">
                  <c:v>T9</c:v>
                </c:pt>
                <c:pt idx="9">
                  <c:v>T10</c:v>
                </c:pt>
                <c:pt idx="10">
                  <c:v>T11</c:v>
                </c:pt>
                <c:pt idx="11">
                  <c:v>T12</c:v>
                </c:pt>
                <c:pt idx="12">
                  <c:v>T13</c:v>
                </c:pt>
                <c:pt idx="13">
                  <c:v>T14</c:v>
                </c:pt>
                <c:pt idx="14">
                  <c:v>T15</c:v>
                </c:pt>
                <c:pt idx="15">
                  <c:v>T16</c:v>
                </c:pt>
                <c:pt idx="16">
                  <c:v>T17</c:v>
                </c:pt>
              </c:strCache>
            </c:strRef>
          </c:cat>
          <c:val>
            <c:numRef>
              <c:f>Sheet1!$D$2:$D$18</c:f>
              <c:numCache>
                <c:formatCode>General</c:formatCode>
                <c:ptCount val="17"/>
              </c:numCache>
            </c:numRef>
          </c:val>
          <c:extLst>
            <c:ext xmlns:c16="http://schemas.microsoft.com/office/drawing/2014/chart" uri="{C3380CC4-5D6E-409C-BE32-E72D297353CC}">
              <c16:uniqueId val="{0000001D-2B3F-40FD-BB7D-4E63E7532F4D}"/>
            </c:ext>
          </c:extLst>
        </c:ser>
        <c:dLbls>
          <c:showLegendKey val="0"/>
          <c:showVal val="0"/>
          <c:showCatName val="0"/>
          <c:showSerName val="0"/>
          <c:showPercent val="0"/>
          <c:showBubbleSize val="0"/>
        </c:dLbls>
        <c:gapWidth val="105"/>
        <c:overlap val="100"/>
        <c:axId val="1537182688"/>
        <c:axId val="1537185568"/>
      </c:barChart>
      <c:lineChart>
        <c:grouping val="standard"/>
        <c:varyColors val="0"/>
        <c:ser>
          <c:idx val="1"/>
          <c:order val="1"/>
          <c:tx>
            <c:strRef>
              <c:f>Sheet1!$C$1</c:f>
              <c:strCache>
                <c:ptCount val="1"/>
                <c:pt idx="0">
                  <c:v>3 cm Strandard</c:v>
                </c:pt>
              </c:strCache>
            </c:strRef>
          </c:tx>
          <c:spPr>
            <a:ln w="28575" cap="rnd">
              <a:solidFill>
                <a:schemeClr val="accent2"/>
              </a:solidFill>
              <a:prstDash val="sysDash"/>
              <a:round/>
            </a:ln>
            <a:effectLst/>
          </c:spPr>
          <c:marker>
            <c:symbol val="none"/>
          </c:marker>
          <c:cat>
            <c:strRef>
              <c:f>Sheet1!$A$2:$A$18</c:f>
              <c:strCache>
                <c:ptCount val="17"/>
                <c:pt idx="0">
                  <c:v>T1</c:v>
                </c:pt>
                <c:pt idx="1">
                  <c:v>T2</c:v>
                </c:pt>
                <c:pt idx="2">
                  <c:v>T3</c:v>
                </c:pt>
                <c:pt idx="3">
                  <c:v>T4</c:v>
                </c:pt>
                <c:pt idx="4">
                  <c:v>T5</c:v>
                </c:pt>
                <c:pt idx="5">
                  <c:v>T6</c:v>
                </c:pt>
                <c:pt idx="6">
                  <c:v>T7</c:v>
                </c:pt>
                <c:pt idx="7">
                  <c:v>T8</c:v>
                </c:pt>
                <c:pt idx="8">
                  <c:v>T9</c:v>
                </c:pt>
                <c:pt idx="9">
                  <c:v>T10</c:v>
                </c:pt>
                <c:pt idx="10">
                  <c:v>T11</c:v>
                </c:pt>
                <c:pt idx="11">
                  <c:v>T12</c:v>
                </c:pt>
                <c:pt idx="12">
                  <c:v>T13</c:v>
                </c:pt>
                <c:pt idx="13">
                  <c:v>T14</c:v>
                </c:pt>
                <c:pt idx="14">
                  <c:v>T15</c:v>
                </c:pt>
                <c:pt idx="15">
                  <c:v>T16</c:v>
                </c:pt>
                <c:pt idx="16">
                  <c:v>T17</c:v>
                </c:pt>
              </c:strCache>
            </c:strRef>
          </c:cat>
          <c:val>
            <c:numRef>
              <c:f>Sheet1!$C$2:$C$18</c:f>
              <c:numCache>
                <c:formatCode>General</c:formatCode>
                <c:ptCount val="17"/>
                <c:pt idx="0">
                  <c:v>3</c:v>
                </c:pt>
                <c:pt idx="1">
                  <c:v>3</c:v>
                </c:pt>
                <c:pt idx="2">
                  <c:v>3</c:v>
                </c:pt>
                <c:pt idx="3">
                  <c:v>3</c:v>
                </c:pt>
                <c:pt idx="4">
                  <c:v>3</c:v>
                </c:pt>
                <c:pt idx="5">
                  <c:v>3</c:v>
                </c:pt>
                <c:pt idx="6">
                  <c:v>3</c:v>
                </c:pt>
                <c:pt idx="7">
                  <c:v>3</c:v>
                </c:pt>
                <c:pt idx="8">
                  <c:v>3</c:v>
                </c:pt>
                <c:pt idx="9">
                  <c:v>3</c:v>
                </c:pt>
                <c:pt idx="10">
                  <c:v>3</c:v>
                </c:pt>
                <c:pt idx="11">
                  <c:v>3</c:v>
                </c:pt>
                <c:pt idx="12">
                  <c:v>3</c:v>
                </c:pt>
                <c:pt idx="13">
                  <c:v>3</c:v>
                </c:pt>
                <c:pt idx="14">
                  <c:v>3</c:v>
                </c:pt>
                <c:pt idx="15">
                  <c:v>3</c:v>
                </c:pt>
                <c:pt idx="16">
                  <c:v>3</c:v>
                </c:pt>
              </c:numCache>
            </c:numRef>
          </c:val>
          <c:smooth val="0"/>
          <c:extLst>
            <c:ext xmlns:c16="http://schemas.microsoft.com/office/drawing/2014/chart" uri="{C3380CC4-5D6E-409C-BE32-E72D297353CC}">
              <c16:uniqueId val="{0000001E-2B3F-40FD-BB7D-4E63E7532F4D}"/>
            </c:ext>
          </c:extLst>
        </c:ser>
        <c:dLbls>
          <c:showLegendKey val="0"/>
          <c:showVal val="0"/>
          <c:showCatName val="0"/>
          <c:showSerName val="0"/>
          <c:showPercent val="0"/>
          <c:showBubbleSize val="0"/>
        </c:dLbls>
        <c:marker val="1"/>
        <c:smooth val="0"/>
        <c:axId val="1537182688"/>
        <c:axId val="1537185568"/>
      </c:lineChart>
      <c:catAx>
        <c:axId val="1537182688"/>
        <c:scaling>
          <c:orientation val="minMax"/>
        </c:scaling>
        <c:delete val="0"/>
        <c:axPos val="b"/>
        <c:minorGridlines>
          <c:spPr>
            <a:ln w="9525" cap="flat" cmpd="sng" algn="ctr">
              <a:solidFill>
                <a:schemeClr val="tx1">
                  <a:lumMod val="5000"/>
                  <a:lumOff val="95000"/>
                </a:schemeClr>
              </a:solidFill>
              <a:round/>
            </a:ln>
            <a:effectLst/>
          </c:spPr>
        </c:min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solidFill>
                <a:latin typeface="+mn-lt"/>
                <a:ea typeface="+mn-ea"/>
                <a:cs typeface="+mn-cs"/>
              </a:defRPr>
            </a:pPr>
            <a:endParaRPr lang="en-US"/>
          </a:p>
        </c:txPr>
        <c:crossAx val="1537185568"/>
        <c:crosses val="autoZero"/>
        <c:auto val="1"/>
        <c:lblAlgn val="ctr"/>
        <c:lblOffset val="100"/>
        <c:noMultiLvlLbl val="0"/>
      </c:catAx>
      <c:valAx>
        <c:axId val="1537185568"/>
        <c:scaling>
          <c:orientation val="minMax"/>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title>
          <c:tx>
            <c:rich>
              <a:bodyPr rot="-5400000" spcFirstLastPara="1" vertOverflow="ellipsis" vert="horz" wrap="square" anchor="ctr" anchorCtr="1"/>
              <a:lstStyle/>
              <a:p>
                <a:pPr>
                  <a:defRPr sz="1000" b="0" i="0" u="none" strike="noStrike" kern="1200" baseline="0">
                    <a:solidFill>
                      <a:schemeClr val="tx1"/>
                    </a:solidFill>
                    <a:latin typeface="+mn-lt"/>
                    <a:ea typeface="+mn-ea"/>
                    <a:cs typeface="+mn-cs"/>
                  </a:defRPr>
                </a:pPr>
                <a:r>
                  <a:rPr lang="en-IN" b="1" baseline="0">
                    <a:solidFill>
                      <a:schemeClr val="tx1"/>
                    </a:solidFill>
                  </a:rPr>
                  <a:t>Seedling length (cm)</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bg2">
                    <a:lumMod val="10000"/>
                  </a:schemeClr>
                </a:solidFill>
                <a:latin typeface="+mn-lt"/>
                <a:ea typeface="+mn-ea"/>
                <a:cs typeface="+mn-cs"/>
              </a:defRPr>
            </a:pPr>
            <a:endParaRPr lang="en-US"/>
          </a:p>
        </c:txPr>
        <c:crossAx val="1537182688"/>
        <c:crosses val="autoZero"/>
        <c:crossBetween val="between"/>
      </c:valAx>
      <c:spPr>
        <a:noFill/>
        <a:ln>
          <a:noFill/>
        </a:ln>
        <a:effectLst/>
      </c:spPr>
    </c:plotArea>
    <c:legend>
      <c:legendPos val="tr"/>
      <c:legendEntry>
        <c:idx val="0"/>
        <c:delete val="1"/>
      </c:legendEntry>
      <c:legendEntry>
        <c:idx val="1"/>
        <c:delete val="1"/>
      </c:legendEntry>
      <c:overlay val="1"/>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solidFill>
                <a:latin typeface="+mn-lt"/>
                <a:ea typeface="+mn-ea"/>
                <a:cs typeface="+mn-cs"/>
              </a:defRPr>
            </a:pPr>
            <a:r>
              <a:rPr lang="en-IN" b="1" baseline="0">
                <a:solidFill>
                  <a:schemeClr val="tx1"/>
                </a:solidFill>
              </a:rPr>
              <a:t>c. Seed vigour index (SVI)</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Seed Vigour Index</c:v>
                </c:pt>
              </c:strCache>
            </c:strRef>
          </c:tx>
          <c:spPr>
            <a:solidFill>
              <a:schemeClr val="accent1">
                <a:lumMod val="50000"/>
              </a:schemeClr>
            </a:solidFill>
            <a:ln>
              <a:noFill/>
            </a:ln>
            <a:effectLst/>
          </c:spPr>
          <c:invertIfNegative val="0"/>
          <c:dPt>
            <c:idx val="3"/>
            <c:invertIfNegative val="0"/>
            <c:bubble3D val="0"/>
            <c:spPr>
              <a:solidFill>
                <a:schemeClr val="accent1">
                  <a:lumMod val="75000"/>
                </a:schemeClr>
              </a:solidFill>
              <a:ln>
                <a:noFill/>
              </a:ln>
              <a:effectLst/>
            </c:spPr>
            <c:extLst>
              <c:ext xmlns:c16="http://schemas.microsoft.com/office/drawing/2014/chart" uri="{C3380CC4-5D6E-409C-BE32-E72D297353CC}">
                <c16:uniqueId val="{00000001-FBD2-4C5E-952C-1BBD4E3622DB}"/>
              </c:ext>
            </c:extLst>
          </c:dPt>
          <c:dPt>
            <c:idx val="4"/>
            <c:invertIfNegative val="0"/>
            <c:bubble3D val="0"/>
            <c:spPr>
              <a:solidFill>
                <a:srgbClr val="00B050"/>
              </a:solidFill>
              <a:ln>
                <a:noFill/>
              </a:ln>
              <a:effectLst/>
            </c:spPr>
            <c:extLst>
              <c:ext xmlns:c16="http://schemas.microsoft.com/office/drawing/2014/chart" uri="{C3380CC4-5D6E-409C-BE32-E72D297353CC}">
                <c16:uniqueId val="{00000003-FBD2-4C5E-952C-1BBD4E3622DB}"/>
              </c:ext>
            </c:extLst>
          </c:dPt>
          <c:dPt>
            <c:idx val="5"/>
            <c:invertIfNegative val="0"/>
            <c:bubble3D val="0"/>
            <c:spPr>
              <a:solidFill>
                <a:srgbClr val="00B050"/>
              </a:solidFill>
              <a:ln>
                <a:noFill/>
              </a:ln>
              <a:effectLst/>
            </c:spPr>
            <c:extLst>
              <c:ext xmlns:c16="http://schemas.microsoft.com/office/drawing/2014/chart" uri="{C3380CC4-5D6E-409C-BE32-E72D297353CC}">
                <c16:uniqueId val="{00000005-FBD2-4C5E-952C-1BBD4E3622DB}"/>
              </c:ext>
            </c:extLst>
          </c:dPt>
          <c:dPt>
            <c:idx val="6"/>
            <c:invertIfNegative val="0"/>
            <c:bubble3D val="0"/>
            <c:spPr>
              <a:solidFill>
                <a:srgbClr val="008000"/>
              </a:solidFill>
              <a:ln>
                <a:noFill/>
              </a:ln>
              <a:effectLst/>
            </c:spPr>
            <c:extLst>
              <c:ext xmlns:c16="http://schemas.microsoft.com/office/drawing/2014/chart" uri="{C3380CC4-5D6E-409C-BE32-E72D297353CC}">
                <c16:uniqueId val="{00000007-FBD2-4C5E-952C-1BBD4E3622DB}"/>
              </c:ext>
            </c:extLst>
          </c:dPt>
          <c:dPt>
            <c:idx val="7"/>
            <c:invertIfNegative val="0"/>
            <c:bubble3D val="0"/>
            <c:spPr>
              <a:solidFill>
                <a:srgbClr val="008000"/>
              </a:solidFill>
              <a:ln>
                <a:noFill/>
              </a:ln>
              <a:effectLst/>
            </c:spPr>
            <c:extLst>
              <c:ext xmlns:c16="http://schemas.microsoft.com/office/drawing/2014/chart" uri="{C3380CC4-5D6E-409C-BE32-E72D297353CC}">
                <c16:uniqueId val="{00000009-FBD2-4C5E-952C-1BBD4E3622DB}"/>
              </c:ext>
            </c:extLst>
          </c:dPt>
          <c:dPt>
            <c:idx val="8"/>
            <c:invertIfNegative val="0"/>
            <c:bubble3D val="0"/>
            <c:spPr>
              <a:solidFill>
                <a:srgbClr val="008000"/>
              </a:solidFill>
              <a:ln>
                <a:noFill/>
              </a:ln>
              <a:effectLst/>
            </c:spPr>
            <c:extLst>
              <c:ext xmlns:c16="http://schemas.microsoft.com/office/drawing/2014/chart" uri="{C3380CC4-5D6E-409C-BE32-E72D297353CC}">
                <c16:uniqueId val="{0000000B-FBD2-4C5E-952C-1BBD4E3622DB}"/>
              </c:ext>
            </c:extLst>
          </c:dPt>
          <c:dPt>
            <c:idx val="9"/>
            <c:invertIfNegative val="0"/>
            <c:bubble3D val="0"/>
            <c:spPr>
              <a:solidFill>
                <a:srgbClr val="008000"/>
              </a:solidFill>
              <a:ln>
                <a:noFill/>
              </a:ln>
              <a:effectLst/>
            </c:spPr>
            <c:extLst>
              <c:ext xmlns:c16="http://schemas.microsoft.com/office/drawing/2014/chart" uri="{C3380CC4-5D6E-409C-BE32-E72D297353CC}">
                <c16:uniqueId val="{0000000D-FBD2-4C5E-952C-1BBD4E3622DB}"/>
              </c:ext>
            </c:extLst>
          </c:dPt>
          <c:dPt>
            <c:idx val="10"/>
            <c:invertIfNegative val="0"/>
            <c:bubble3D val="0"/>
            <c:spPr>
              <a:solidFill>
                <a:srgbClr val="008000"/>
              </a:solidFill>
              <a:ln>
                <a:noFill/>
              </a:ln>
              <a:effectLst/>
            </c:spPr>
            <c:extLst>
              <c:ext xmlns:c16="http://schemas.microsoft.com/office/drawing/2014/chart" uri="{C3380CC4-5D6E-409C-BE32-E72D297353CC}">
                <c16:uniqueId val="{0000000F-FBD2-4C5E-952C-1BBD4E3622DB}"/>
              </c:ext>
            </c:extLst>
          </c:dPt>
          <c:dPt>
            <c:idx val="11"/>
            <c:invertIfNegative val="0"/>
            <c:bubble3D val="0"/>
            <c:spPr>
              <a:solidFill>
                <a:srgbClr val="FF3300"/>
              </a:solidFill>
              <a:ln>
                <a:noFill/>
              </a:ln>
              <a:effectLst/>
            </c:spPr>
            <c:extLst>
              <c:ext xmlns:c16="http://schemas.microsoft.com/office/drawing/2014/chart" uri="{C3380CC4-5D6E-409C-BE32-E72D297353CC}">
                <c16:uniqueId val="{00000011-FBD2-4C5E-952C-1BBD4E3622DB}"/>
              </c:ext>
            </c:extLst>
          </c:dPt>
          <c:dPt>
            <c:idx val="12"/>
            <c:invertIfNegative val="0"/>
            <c:bubble3D val="0"/>
            <c:spPr>
              <a:solidFill>
                <a:srgbClr val="FF3300"/>
              </a:solidFill>
              <a:ln>
                <a:noFill/>
              </a:ln>
              <a:effectLst/>
            </c:spPr>
            <c:extLst>
              <c:ext xmlns:c16="http://schemas.microsoft.com/office/drawing/2014/chart" uri="{C3380CC4-5D6E-409C-BE32-E72D297353CC}">
                <c16:uniqueId val="{00000013-FBD2-4C5E-952C-1BBD4E3622DB}"/>
              </c:ext>
            </c:extLst>
          </c:dPt>
          <c:dPt>
            <c:idx val="13"/>
            <c:invertIfNegative val="0"/>
            <c:bubble3D val="0"/>
            <c:spPr>
              <a:solidFill>
                <a:srgbClr val="FF3300"/>
              </a:solidFill>
              <a:ln>
                <a:noFill/>
              </a:ln>
              <a:effectLst/>
            </c:spPr>
            <c:extLst>
              <c:ext xmlns:c16="http://schemas.microsoft.com/office/drawing/2014/chart" uri="{C3380CC4-5D6E-409C-BE32-E72D297353CC}">
                <c16:uniqueId val="{00000015-FBD2-4C5E-952C-1BBD4E3622DB}"/>
              </c:ext>
            </c:extLst>
          </c:dPt>
          <c:dPt>
            <c:idx val="14"/>
            <c:invertIfNegative val="0"/>
            <c:bubble3D val="0"/>
            <c:spPr>
              <a:solidFill>
                <a:srgbClr val="FF3300"/>
              </a:solidFill>
              <a:ln>
                <a:noFill/>
              </a:ln>
              <a:effectLst/>
            </c:spPr>
            <c:extLst>
              <c:ext xmlns:c16="http://schemas.microsoft.com/office/drawing/2014/chart" uri="{C3380CC4-5D6E-409C-BE32-E72D297353CC}">
                <c16:uniqueId val="{00000017-FBD2-4C5E-952C-1BBD4E3622DB}"/>
              </c:ext>
            </c:extLst>
          </c:dPt>
          <c:dPt>
            <c:idx val="15"/>
            <c:invertIfNegative val="0"/>
            <c:bubble3D val="0"/>
            <c:spPr>
              <a:solidFill>
                <a:srgbClr val="FF3300"/>
              </a:solidFill>
              <a:ln>
                <a:noFill/>
              </a:ln>
              <a:effectLst/>
            </c:spPr>
            <c:extLst>
              <c:ext xmlns:c16="http://schemas.microsoft.com/office/drawing/2014/chart" uri="{C3380CC4-5D6E-409C-BE32-E72D297353CC}">
                <c16:uniqueId val="{00000019-FBD2-4C5E-952C-1BBD4E3622DB}"/>
              </c:ext>
            </c:extLst>
          </c:dPt>
          <c:dPt>
            <c:idx val="16"/>
            <c:invertIfNegative val="0"/>
            <c:bubble3D val="0"/>
            <c:spPr>
              <a:solidFill>
                <a:srgbClr val="C00000"/>
              </a:solidFill>
              <a:ln>
                <a:noFill/>
              </a:ln>
              <a:effectLst/>
            </c:spPr>
            <c:extLst>
              <c:ext xmlns:c16="http://schemas.microsoft.com/office/drawing/2014/chart" uri="{C3380CC4-5D6E-409C-BE32-E72D297353CC}">
                <c16:uniqueId val="{0000001B-FBD2-4C5E-952C-1BBD4E3622DB}"/>
              </c:ext>
            </c:extLst>
          </c:dPt>
          <c:cat>
            <c:strRef>
              <c:f>Sheet1!$A$2:$A$18</c:f>
              <c:strCache>
                <c:ptCount val="17"/>
                <c:pt idx="0">
                  <c:v>T1</c:v>
                </c:pt>
                <c:pt idx="1">
                  <c:v>T2</c:v>
                </c:pt>
                <c:pt idx="2">
                  <c:v>T3</c:v>
                </c:pt>
                <c:pt idx="3">
                  <c:v>T4</c:v>
                </c:pt>
                <c:pt idx="4">
                  <c:v>T5</c:v>
                </c:pt>
                <c:pt idx="5">
                  <c:v>T6</c:v>
                </c:pt>
                <c:pt idx="6">
                  <c:v>T7</c:v>
                </c:pt>
                <c:pt idx="7">
                  <c:v>T8</c:v>
                </c:pt>
                <c:pt idx="8">
                  <c:v>T9</c:v>
                </c:pt>
                <c:pt idx="9">
                  <c:v>T10</c:v>
                </c:pt>
                <c:pt idx="10">
                  <c:v>T11</c:v>
                </c:pt>
                <c:pt idx="11">
                  <c:v>T12</c:v>
                </c:pt>
                <c:pt idx="12">
                  <c:v>T13</c:v>
                </c:pt>
                <c:pt idx="13">
                  <c:v>T14</c:v>
                </c:pt>
                <c:pt idx="14">
                  <c:v>T15</c:v>
                </c:pt>
                <c:pt idx="15">
                  <c:v>T16</c:v>
                </c:pt>
                <c:pt idx="16">
                  <c:v>T17</c:v>
                </c:pt>
              </c:strCache>
            </c:strRef>
          </c:cat>
          <c:val>
            <c:numRef>
              <c:f>Sheet1!$B$2:$B$18</c:f>
              <c:numCache>
                <c:formatCode>General</c:formatCode>
                <c:ptCount val="17"/>
                <c:pt idx="0">
                  <c:v>299.2</c:v>
                </c:pt>
                <c:pt idx="1">
                  <c:v>256</c:v>
                </c:pt>
                <c:pt idx="2">
                  <c:v>208.8</c:v>
                </c:pt>
                <c:pt idx="3">
                  <c:v>331.2</c:v>
                </c:pt>
                <c:pt idx="4">
                  <c:v>210</c:v>
                </c:pt>
                <c:pt idx="5">
                  <c:v>163.19999999999999</c:v>
                </c:pt>
                <c:pt idx="6">
                  <c:v>393.6</c:v>
                </c:pt>
                <c:pt idx="7">
                  <c:v>349.6</c:v>
                </c:pt>
                <c:pt idx="8">
                  <c:v>316.8</c:v>
                </c:pt>
                <c:pt idx="9">
                  <c:v>240</c:v>
                </c:pt>
                <c:pt idx="10">
                  <c:v>190</c:v>
                </c:pt>
                <c:pt idx="11">
                  <c:v>180</c:v>
                </c:pt>
                <c:pt idx="12">
                  <c:v>153.6</c:v>
                </c:pt>
                <c:pt idx="13">
                  <c:v>167.5</c:v>
                </c:pt>
                <c:pt idx="14">
                  <c:v>132</c:v>
                </c:pt>
                <c:pt idx="15">
                  <c:v>189.8</c:v>
                </c:pt>
                <c:pt idx="16">
                  <c:v>112</c:v>
                </c:pt>
              </c:numCache>
            </c:numRef>
          </c:val>
          <c:extLst>
            <c:ext xmlns:c16="http://schemas.microsoft.com/office/drawing/2014/chart" uri="{C3380CC4-5D6E-409C-BE32-E72D297353CC}">
              <c16:uniqueId val="{0000001C-FBD2-4C5E-952C-1BBD4E3622DB}"/>
            </c:ext>
          </c:extLst>
        </c:ser>
        <c:dLbls>
          <c:showLegendKey val="0"/>
          <c:showVal val="0"/>
          <c:showCatName val="0"/>
          <c:showSerName val="0"/>
          <c:showPercent val="0"/>
          <c:showBubbleSize val="0"/>
        </c:dLbls>
        <c:gapWidth val="75"/>
        <c:overlap val="100"/>
        <c:axId val="1647624608"/>
        <c:axId val="1647622688"/>
      </c:barChart>
      <c:lineChart>
        <c:grouping val="standard"/>
        <c:varyColors val="0"/>
        <c:ser>
          <c:idx val="1"/>
          <c:order val="1"/>
          <c:tx>
            <c:strRef>
              <c:f>Sheet1!$C$1</c:f>
              <c:strCache>
                <c:ptCount val="1"/>
                <c:pt idx="0">
                  <c:v>200 (Good)</c:v>
                </c:pt>
              </c:strCache>
            </c:strRef>
          </c:tx>
          <c:spPr>
            <a:ln w="28575" cap="rnd">
              <a:solidFill>
                <a:srgbClr val="FFC000"/>
              </a:solidFill>
              <a:prstDash val="sysDash"/>
              <a:round/>
            </a:ln>
            <a:effectLst/>
          </c:spPr>
          <c:marker>
            <c:symbol val="none"/>
          </c:marker>
          <c:cat>
            <c:strRef>
              <c:f>Sheet1!$A$2:$A$18</c:f>
              <c:strCache>
                <c:ptCount val="17"/>
                <c:pt idx="0">
                  <c:v>T1</c:v>
                </c:pt>
                <c:pt idx="1">
                  <c:v>T2</c:v>
                </c:pt>
                <c:pt idx="2">
                  <c:v>T3</c:v>
                </c:pt>
                <c:pt idx="3">
                  <c:v>T4</c:v>
                </c:pt>
                <c:pt idx="4">
                  <c:v>T5</c:v>
                </c:pt>
                <c:pt idx="5">
                  <c:v>T6</c:v>
                </c:pt>
                <c:pt idx="6">
                  <c:v>T7</c:v>
                </c:pt>
                <c:pt idx="7">
                  <c:v>T8</c:v>
                </c:pt>
                <c:pt idx="8">
                  <c:v>T9</c:v>
                </c:pt>
                <c:pt idx="9">
                  <c:v>T10</c:v>
                </c:pt>
                <c:pt idx="10">
                  <c:v>T11</c:v>
                </c:pt>
                <c:pt idx="11">
                  <c:v>T12</c:v>
                </c:pt>
                <c:pt idx="12">
                  <c:v>T13</c:v>
                </c:pt>
                <c:pt idx="13">
                  <c:v>T14</c:v>
                </c:pt>
                <c:pt idx="14">
                  <c:v>T15</c:v>
                </c:pt>
                <c:pt idx="15">
                  <c:v>T16</c:v>
                </c:pt>
                <c:pt idx="16">
                  <c:v>T17</c:v>
                </c:pt>
              </c:strCache>
            </c:strRef>
          </c:cat>
          <c:val>
            <c:numRef>
              <c:f>Sheet1!$C$2:$C$18</c:f>
              <c:numCache>
                <c:formatCode>General</c:formatCode>
                <c:ptCount val="17"/>
                <c:pt idx="0">
                  <c:v>200</c:v>
                </c:pt>
                <c:pt idx="1">
                  <c:v>200</c:v>
                </c:pt>
                <c:pt idx="2">
                  <c:v>200</c:v>
                </c:pt>
                <c:pt idx="3">
                  <c:v>200</c:v>
                </c:pt>
                <c:pt idx="4">
                  <c:v>200</c:v>
                </c:pt>
                <c:pt idx="5">
                  <c:v>200</c:v>
                </c:pt>
                <c:pt idx="6">
                  <c:v>200</c:v>
                </c:pt>
                <c:pt idx="7">
                  <c:v>200</c:v>
                </c:pt>
                <c:pt idx="8">
                  <c:v>200</c:v>
                </c:pt>
                <c:pt idx="9">
                  <c:v>200</c:v>
                </c:pt>
                <c:pt idx="10">
                  <c:v>200</c:v>
                </c:pt>
                <c:pt idx="11">
                  <c:v>200</c:v>
                </c:pt>
                <c:pt idx="12">
                  <c:v>200</c:v>
                </c:pt>
                <c:pt idx="13">
                  <c:v>200</c:v>
                </c:pt>
                <c:pt idx="14">
                  <c:v>200</c:v>
                </c:pt>
                <c:pt idx="15">
                  <c:v>200</c:v>
                </c:pt>
                <c:pt idx="16">
                  <c:v>200</c:v>
                </c:pt>
              </c:numCache>
            </c:numRef>
          </c:val>
          <c:smooth val="0"/>
          <c:extLst>
            <c:ext xmlns:c16="http://schemas.microsoft.com/office/drawing/2014/chart" uri="{C3380CC4-5D6E-409C-BE32-E72D297353CC}">
              <c16:uniqueId val="{0000001D-FBD2-4C5E-952C-1BBD4E3622DB}"/>
            </c:ext>
          </c:extLst>
        </c:ser>
        <c:ser>
          <c:idx val="2"/>
          <c:order val="2"/>
          <c:tx>
            <c:strRef>
              <c:f>Sheet1!$D$1</c:f>
              <c:strCache>
                <c:ptCount val="1"/>
                <c:pt idx="0">
                  <c:v>300 (Excellent)</c:v>
                </c:pt>
              </c:strCache>
            </c:strRef>
          </c:tx>
          <c:spPr>
            <a:ln w="28575" cap="rnd">
              <a:solidFill>
                <a:srgbClr val="008000"/>
              </a:solidFill>
              <a:prstDash val="sysDash"/>
              <a:round/>
            </a:ln>
            <a:effectLst/>
          </c:spPr>
          <c:marker>
            <c:symbol val="none"/>
          </c:marker>
          <c:cat>
            <c:strRef>
              <c:f>Sheet1!$A$2:$A$18</c:f>
              <c:strCache>
                <c:ptCount val="17"/>
                <c:pt idx="0">
                  <c:v>T1</c:v>
                </c:pt>
                <c:pt idx="1">
                  <c:v>T2</c:v>
                </c:pt>
                <c:pt idx="2">
                  <c:v>T3</c:v>
                </c:pt>
                <c:pt idx="3">
                  <c:v>T4</c:v>
                </c:pt>
                <c:pt idx="4">
                  <c:v>T5</c:v>
                </c:pt>
                <c:pt idx="5">
                  <c:v>T6</c:v>
                </c:pt>
                <c:pt idx="6">
                  <c:v>T7</c:v>
                </c:pt>
                <c:pt idx="7">
                  <c:v>T8</c:v>
                </c:pt>
                <c:pt idx="8">
                  <c:v>T9</c:v>
                </c:pt>
                <c:pt idx="9">
                  <c:v>T10</c:v>
                </c:pt>
                <c:pt idx="10">
                  <c:v>T11</c:v>
                </c:pt>
                <c:pt idx="11">
                  <c:v>T12</c:v>
                </c:pt>
                <c:pt idx="12">
                  <c:v>T13</c:v>
                </c:pt>
                <c:pt idx="13">
                  <c:v>T14</c:v>
                </c:pt>
                <c:pt idx="14">
                  <c:v>T15</c:v>
                </c:pt>
                <c:pt idx="15">
                  <c:v>T16</c:v>
                </c:pt>
                <c:pt idx="16">
                  <c:v>T17</c:v>
                </c:pt>
              </c:strCache>
            </c:strRef>
          </c:cat>
          <c:val>
            <c:numRef>
              <c:f>Sheet1!$D$2:$D$18</c:f>
              <c:numCache>
                <c:formatCode>General</c:formatCode>
                <c:ptCount val="17"/>
                <c:pt idx="0">
                  <c:v>300</c:v>
                </c:pt>
                <c:pt idx="1">
                  <c:v>300</c:v>
                </c:pt>
                <c:pt idx="2">
                  <c:v>300</c:v>
                </c:pt>
                <c:pt idx="3">
                  <c:v>300</c:v>
                </c:pt>
                <c:pt idx="4">
                  <c:v>300</c:v>
                </c:pt>
                <c:pt idx="5">
                  <c:v>300</c:v>
                </c:pt>
                <c:pt idx="6">
                  <c:v>300</c:v>
                </c:pt>
                <c:pt idx="7">
                  <c:v>300</c:v>
                </c:pt>
                <c:pt idx="8">
                  <c:v>300</c:v>
                </c:pt>
                <c:pt idx="9">
                  <c:v>300</c:v>
                </c:pt>
                <c:pt idx="10">
                  <c:v>300</c:v>
                </c:pt>
                <c:pt idx="11">
                  <c:v>300</c:v>
                </c:pt>
                <c:pt idx="12">
                  <c:v>300</c:v>
                </c:pt>
                <c:pt idx="13">
                  <c:v>300</c:v>
                </c:pt>
                <c:pt idx="14">
                  <c:v>300</c:v>
                </c:pt>
                <c:pt idx="15">
                  <c:v>300</c:v>
                </c:pt>
                <c:pt idx="16">
                  <c:v>300</c:v>
                </c:pt>
              </c:numCache>
            </c:numRef>
          </c:val>
          <c:smooth val="0"/>
          <c:extLst>
            <c:ext xmlns:c16="http://schemas.microsoft.com/office/drawing/2014/chart" uri="{C3380CC4-5D6E-409C-BE32-E72D297353CC}">
              <c16:uniqueId val="{0000001E-FBD2-4C5E-952C-1BBD4E3622DB}"/>
            </c:ext>
          </c:extLst>
        </c:ser>
        <c:dLbls>
          <c:showLegendKey val="0"/>
          <c:showVal val="0"/>
          <c:showCatName val="0"/>
          <c:showSerName val="0"/>
          <c:showPercent val="0"/>
          <c:showBubbleSize val="0"/>
        </c:dLbls>
        <c:marker val="1"/>
        <c:smooth val="0"/>
        <c:axId val="1647624608"/>
        <c:axId val="1647622688"/>
      </c:lineChart>
      <c:catAx>
        <c:axId val="1647624608"/>
        <c:scaling>
          <c:orientation val="minMax"/>
        </c:scaling>
        <c:delete val="0"/>
        <c:axPos val="b"/>
        <c:minorGridlines>
          <c:spPr>
            <a:ln w="9525" cap="flat" cmpd="sng" algn="ctr">
              <a:solidFill>
                <a:schemeClr val="tx1">
                  <a:lumMod val="5000"/>
                  <a:lumOff val="95000"/>
                </a:schemeClr>
              </a:solidFill>
              <a:round/>
            </a:ln>
            <a:effectLst/>
          </c:spPr>
        </c:min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bg2">
                    <a:lumMod val="10000"/>
                  </a:schemeClr>
                </a:solidFill>
                <a:latin typeface="+mn-lt"/>
                <a:ea typeface="+mn-ea"/>
                <a:cs typeface="+mn-cs"/>
              </a:defRPr>
            </a:pPr>
            <a:endParaRPr lang="en-US"/>
          </a:p>
        </c:txPr>
        <c:crossAx val="1647622688"/>
        <c:crosses val="autoZero"/>
        <c:auto val="1"/>
        <c:lblAlgn val="ctr"/>
        <c:lblOffset val="100"/>
        <c:noMultiLvlLbl val="0"/>
      </c:catAx>
      <c:valAx>
        <c:axId val="1647622688"/>
        <c:scaling>
          <c:orientation val="minMax"/>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title>
          <c:tx>
            <c:rich>
              <a:bodyPr rot="-5400000" spcFirstLastPara="1" vertOverflow="ellipsis" vert="horz" wrap="square" anchor="ctr" anchorCtr="1"/>
              <a:lstStyle/>
              <a:p>
                <a:pPr>
                  <a:defRPr sz="1000" b="0" i="0" u="none" strike="noStrike" kern="1200" baseline="0">
                    <a:solidFill>
                      <a:schemeClr val="tx1"/>
                    </a:solidFill>
                    <a:latin typeface="+mn-lt"/>
                    <a:ea typeface="+mn-ea"/>
                    <a:cs typeface="+mn-cs"/>
                  </a:defRPr>
                </a:pPr>
                <a:r>
                  <a:rPr lang="en-IN" b="1" baseline="0">
                    <a:solidFill>
                      <a:schemeClr val="tx1"/>
                    </a:solidFill>
                  </a:rPr>
                  <a:t>Seed vigour index (SVI)</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solidFill>
                <a:latin typeface="+mn-lt"/>
                <a:ea typeface="+mn-ea"/>
                <a:cs typeface="+mn-cs"/>
              </a:defRPr>
            </a:pPr>
            <a:endParaRPr lang="en-US"/>
          </a:p>
        </c:txPr>
        <c:crossAx val="1647624608"/>
        <c:crosses val="autoZero"/>
        <c:crossBetween val="between"/>
      </c:valAx>
      <c:spPr>
        <a:noFill/>
        <a:ln>
          <a:noFill/>
        </a:ln>
        <a:effectLst/>
      </c:spPr>
    </c:plotArea>
    <c:legend>
      <c:legendPos val="tr"/>
      <c:legendEntry>
        <c:idx val="0"/>
        <c:delete val="1"/>
      </c:legendEntry>
      <c:overlay val="1"/>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solidFill>
                <a:latin typeface="+mn-lt"/>
                <a:ea typeface="+mn-ea"/>
                <a:cs typeface="+mn-cs"/>
              </a:defRPr>
            </a:pPr>
            <a:r>
              <a:rPr lang="en-IN" b="1" baseline="0">
                <a:solidFill>
                  <a:schemeClr val="tx1"/>
                </a:solidFill>
              </a:rPr>
              <a:t>d. Germination vs Seed vigour index</a:t>
            </a:r>
          </a:p>
          <a:p>
            <a:pPr>
              <a:defRPr>
                <a:solidFill>
                  <a:schemeClr val="tx1"/>
                </a:solidFill>
              </a:defRPr>
            </a:pPr>
            <a:endParaRPr lang="en-IN" b="1" baseline="0">
              <a:solidFill>
                <a:schemeClr val="tx1"/>
              </a:solidFill>
            </a:endParaRPr>
          </a:p>
        </c:rich>
      </c:tx>
      <c:layout>
        <c:manualLayout>
          <c:xMode val="edge"/>
          <c:yMode val="edge"/>
          <c:x val="0.20067823588241093"/>
          <c:y val="9.3109869646182501E-3"/>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solidFill>
              <a:latin typeface="+mn-lt"/>
              <a:ea typeface="+mn-ea"/>
              <a:cs typeface="+mn-cs"/>
            </a:defRPr>
          </a:pPr>
          <a:endParaRPr lang="en-US"/>
        </a:p>
      </c:txPr>
    </c:title>
    <c:autoTitleDeleted val="0"/>
    <c:plotArea>
      <c:layout>
        <c:manualLayout>
          <c:layoutTarget val="inner"/>
          <c:xMode val="edge"/>
          <c:yMode val="edge"/>
          <c:x val="0.1274125618018678"/>
          <c:y val="0.21964618249534451"/>
          <c:w val="0.8343047906131591"/>
          <c:h val="0.63881141952228038"/>
        </c:manualLayout>
      </c:layout>
      <c:scatterChart>
        <c:scatterStyle val="lineMarker"/>
        <c:varyColors val="0"/>
        <c:ser>
          <c:idx val="0"/>
          <c:order val="0"/>
          <c:tx>
            <c:strRef>
              <c:f>Sheet1!$B$1</c:f>
              <c:strCache>
                <c:ptCount val="1"/>
                <c:pt idx="0">
                  <c:v>Seed Vigour Index</c:v>
                </c:pt>
              </c:strCache>
            </c:strRef>
          </c:tx>
          <c:spPr>
            <a:ln w="25400" cap="rnd">
              <a:noFill/>
              <a:round/>
            </a:ln>
            <a:effectLst/>
          </c:spPr>
          <c:marker>
            <c:symbol val="circle"/>
            <c:size val="8"/>
            <c:spPr>
              <a:solidFill>
                <a:srgbClr val="FF3300">
                  <a:alpha val="97000"/>
                </a:srgbClr>
              </a:solidFill>
              <a:ln w="9525">
                <a:solidFill>
                  <a:schemeClr val="accent1"/>
                </a:solidFill>
              </a:ln>
              <a:effectLst/>
            </c:spPr>
          </c:marker>
          <c:dPt>
            <c:idx val="0"/>
            <c:marker>
              <c:symbol val="circle"/>
              <c:size val="8"/>
              <c:spPr>
                <a:solidFill>
                  <a:srgbClr val="002060">
                    <a:alpha val="97000"/>
                  </a:srgbClr>
                </a:solidFill>
                <a:ln w="9525">
                  <a:solidFill>
                    <a:schemeClr val="accent1"/>
                  </a:solidFill>
                </a:ln>
                <a:effectLst/>
              </c:spPr>
            </c:marker>
            <c:bubble3D val="0"/>
            <c:extLst>
              <c:ext xmlns:c16="http://schemas.microsoft.com/office/drawing/2014/chart" uri="{C3380CC4-5D6E-409C-BE32-E72D297353CC}">
                <c16:uniqueId val="{00000000-83BB-4E57-986F-C3AB7ABA51BE}"/>
              </c:ext>
            </c:extLst>
          </c:dPt>
          <c:dPt>
            <c:idx val="1"/>
            <c:marker>
              <c:symbol val="circle"/>
              <c:size val="8"/>
              <c:spPr>
                <a:solidFill>
                  <a:srgbClr val="002060">
                    <a:alpha val="97000"/>
                  </a:srgbClr>
                </a:solidFill>
                <a:ln w="9525">
                  <a:solidFill>
                    <a:schemeClr val="accent1"/>
                  </a:solidFill>
                </a:ln>
                <a:effectLst/>
              </c:spPr>
            </c:marker>
            <c:bubble3D val="0"/>
            <c:extLst>
              <c:ext xmlns:c16="http://schemas.microsoft.com/office/drawing/2014/chart" uri="{C3380CC4-5D6E-409C-BE32-E72D297353CC}">
                <c16:uniqueId val="{00000001-83BB-4E57-986F-C3AB7ABA51BE}"/>
              </c:ext>
            </c:extLst>
          </c:dPt>
          <c:dPt>
            <c:idx val="2"/>
            <c:marker>
              <c:symbol val="circle"/>
              <c:size val="8"/>
              <c:spPr>
                <a:solidFill>
                  <a:srgbClr val="002060">
                    <a:alpha val="97000"/>
                  </a:srgbClr>
                </a:solidFill>
                <a:ln w="9525">
                  <a:solidFill>
                    <a:schemeClr val="accent1"/>
                  </a:solidFill>
                </a:ln>
                <a:effectLst/>
              </c:spPr>
            </c:marker>
            <c:bubble3D val="0"/>
            <c:extLst>
              <c:ext xmlns:c16="http://schemas.microsoft.com/office/drawing/2014/chart" uri="{C3380CC4-5D6E-409C-BE32-E72D297353CC}">
                <c16:uniqueId val="{00000002-83BB-4E57-986F-C3AB7ABA51BE}"/>
              </c:ext>
            </c:extLst>
          </c:dPt>
          <c:dPt>
            <c:idx val="3"/>
            <c:marker>
              <c:symbol val="circle"/>
              <c:size val="8"/>
              <c:spPr>
                <a:solidFill>
                  <a:schemeClr val="accent1">
                    <a:lumMod val="75000"/>
                    <a:alpha val="97000"/>
                  </a:schemeClr>
                </a:solidFill>
                <a:ln w="9525">
                  <a:solidFill>
                    <a:schemeClr val="accent1"/>
                  </a:solidFill>
                </a:ln>
                <a:effectLst/>
              </c:spPr>
            </c:marker>
            <c:bubble3D val="0"/>
            <c:extLst>
              <c:ext xmlns:c16="http://schemas.microsoft.com/office/drawing/2014/chart" uri="{C3380CC4-5D6E-409C-BE32-E72D297353CC}">
                <c16:uniqueId val="{00000003-83BB-4E57-986F-C3AB7ABA51BE}"/>
              </c:ext>
            </c:extLst>
          </c:dPt>
          <c:dPt>
            <c:idx val="4"/>
            <c:marker>
              <c:symbol val="circle"/>
              <c:size val="8"/>
              <c:spPr>
                <a:solidFill>
                  <a:srgbClr val="00B050">
                    <a:alpha val="97000"/>
                  </a:srgbClr>
                </a:solidFill>
                <a:ln w="9525">
                  <a:solidFill>
                    <a:schemeClr val="accent1"/>
                  </a:solidFill>
                </a:ln>
                <a:effectLst/>
              </c:spPr>
            </c:marker>
            <c:bubble3D val="0"/>
            <c:extLst>
              <c:ext xmlns:c16="http://schemas.microsoft.com/office/drawing/2014/chart" uri="{C3380CC4-5D6E-409C-BE32-E72D297353CC}">
                <c16:uniqueId val="{00000004-83BB-4E57-986F-C3AB7ABA51BE}"/>
              </c:ext>
            </c:extLst>
          </c:dPt>
          <c:dPt>
            <c:idx val="5"/>
            <c:marker>
              <c:symbol val="circle"/>
              <c:size val="8"/>
              <c:spPr>
                <a:solidFill>
                  <a:srgbClr val="00B050">
                    <a:alpha val="97000"/>
                  </a:srgbClr>
                </a:solidFill>
                <a:ln w="9525">
                  <a:solidFill>
                    <a:schemeClr val="accent1"/>
                  </a:solidFill>
                </a:ln>
                <a:effectLst/>
              </c:spPr>
            </c:marker>
            <c:bubble3D val="0"/>
            <c:extLst>
              <c:ext xmlns:c16="http://schemas.microsoft.com/office/drawing/2014/chart" uri="{C3380CC4-5D6E-409C-BE32-E72D297353CC}">
                <c16:uniqueId val="{00000005-83BB-4E57-986F-C3AB7ABA51BE}"/>
              </c:ext>
            </c:extLst>
          </c:dPt>
          <c:dPt>
            <c:idx val="6"/>
            <c:marker>
              <c:symbol val="circle"/>
              <c:size val="8"/>
              <c:spPr>
                <a:solidFill>
                  <a:srgbClr val="008000">
                    <a:alpha val="97000"/>
                  </a:srgbClr>
                </a:solidFill>
                <a:ln w="9525">
                  <a:solidFill>
                    <a:schemeClr val="accent1"/>
                  </a:solidFill>
                </a:ln>
                <a:effectLst/>
              </c:spPr>
            </c:marker>
            <c:bubble3D val="0"/>
            <c:extLst>
              <c:ext xmlns:c16="http://schemas.microsoft.com/office/drawing/2014/chart" uri="{C3380CC4-5D6E-409C-BE32-E72D297353CC}">
                <c16:uniqueId val="{00000006-83BB-4E57-986F-C3AB7ABA51BE}"/>
              </c:ext>
            </c:extLst>
          </c:dPt>
          <c:dPt>
            <c:idx val="7"/>
            <c:marker>
              <c:symbol val="circle"/>
              <c:size val="8"/>
              <c:spPr>
                <a:solidFill>
                  <a:srgbClr val="008000">
                    <a:alpha val="97000"/>
                  </a:srgbClr>
                </a:solidFill>
                <a:ln w="9525">
                  <a:solidFill>
                    <a:schemeClr val="accent1"/>
                  </a:solidFill>
                </a:ln>
                <a:effectLst/>
              </c:spPr>
            </c:marker>
            <c:bubble3D val="0"/>
            <c:extLst>
              <c:ext xmlns:c16="http://schemas.microsoft.com/office/drawing/2014/chart" uri="{C3380CC4-5D6E-409C-BE32-E72D297353CC}">
                <c16:uniqueId val="{00000007-83BB-4E57-986F-C3AB7ABA51BE}"/>
              </c:ext>
            </c:extLst>
          </c:dPt>
          <c:dPt>
            <c:idx val="8"/>
            <c:marker>
              <c:symbol val="circle"/>
              <c:size val="8"/>
              <c:spPr>
                <a:solidFill>
                  <a:srgbClr val="008000">
                    <a:alpha val="97000"/>
                  </a:srgbClr>
                </a:solidFill>
                <a:ln w="9525">
                  <a:solidFill>
                    <a:schemeClr val="accent1"/>
                  </a:solidFill>
                </a:ln>
                <a:effectLst/>
              </c:spPr>
            </c:marker>
            <c:bubble3D val="0"/>
            <c:extLst>
              <c:ext xmlns:c16="http://schemas.microsoft.com/office/drawing/2014/chart" uri="{C3380CC4-5D6E-409C-BE32-E72D297353CC}">
                <c16:uniqueId val="{00000008-83BB-4E57-986F-C3AB7ABA51BE}"/>
              </c:ext>
            </c:extLst>
          </c:dPt>
          <c:dPt>
            <c:idx val="9"/>
            <c:marker>
              <c:symbol val="circle"/>
              <c:size val="8"/>
              <c:spPr>
                <a:solidFill>
                  <a:srgbClr val="008000">
                    <a:alpha val="97000"/>
                  </a:srgbClr>
                </a:solidFill>
                <a:ln w="9525">
                  <a:solidFill>
                    <a:schemeClr val="accent1"/>
                  </a:solidFill>
                </a:ln>
                <a:effectLst/>
              </c:spPr>
            </c:marker>
            <c:bubble3D val="0"/>
            <c:extLst>
              <c:ext xmlns:c16="http://schemas.microsoft.com/office/drawing/2014/chart" uri="{C3380CC4-5D6E-409C-BE32-E72D297353CC}">
                <c16:uniqueId val="{00000009-83BB-4E57-986F-C3AB7ABA51BE}"/>
              </c:ext>
            </c:extLst>
          </c:dPt>
          <c:dPt>
            <c:idx val="10"/>
            <c:marker>
              <c:symbol val="circle"/>
              <c:size val="8"/>
              <c:spPr>
                <a:solidFill>
                  <a:srgbClr val="008000">
                    <a:alpha val="96863"/>
                  </a:srgbClr>
                </a:solidFill>
                <a:ln w="9525">
                  <a:solidFill>
                    <a:schemeClr val="accent1"/>
                  </a:solidFill>
                </a:ln>
                <a:effectLst/>
              </c:spPr>
            </c:marker>
            <c:bubble3D val="0"/>
            <c:extLst>
              <c:ext xmlns:c16="http://schemas.microsoft.com/office/drawing/2014/chart" uri="{C3380CC4-5D6E-409C-BE32-E72D297353CC}">
                <c16:uniqueId val="{0000000A-83BB-4E57-986F-C3AB7ABA51BE}"/>
              </c:ext>
            </c:extLst>
          </c:dPt>
          <c:dPt>
            <c:idx val="16"/>
            <c:marker>
              <c:symbol val="circle"/>
              <c:size val="8"/>
              <c:spPr>
                <a:solidFill>
                  <a:srgbClr val="C00000">
                    <a:alpha val="97000"/>
                  </a:srgbClr>
                </a:solidFill>
                <a:ln w="9525">
                  <a:solidFill>
                    <a:schemeClr val="accent1"/>
                  </a:solidFill>
                </a:ln>
                <a:effectLst/>
              </c:spPr>
            </c:marker>
            <c:bubble3D val="0"/>
            <c:extLst>
              <c:ext xmlns:c16="http://schemas.microsoft.com/office/drawing/2014/chart" uri="{C3380CC4-5D6E-409C-BE32-E72D297353CC}">
                <c16:uniqueId val="{0000000B-83BB-4E57-986F-C3AB7ABA51BE}"/>
              </c:ext>
            </c:extLst>
          </c:dPt>
          <c:dLbls>
            <c:dLbl>
              <c:idx val="0"/>
              <c:layout>
                <c:manualLayout>
                  <c:x val="-2.952555409740449E-2"/>
                  <c:y val="5.7569366329208851E-2"/>
                </c:manualLayout>
              </c:layout>
              <c:tx>
                <c:rich>
                  <a:bodyPr/>
                  <a:lstStyle/>
                  <a:p>
                    <a:r>
                      <a:rPr lang="en-US" b="1">
                        <a:solidFill>
                          <a:schemeClr val="bg2">
                            <a:lumMod val="10000"/>
                          </a:schemeClr>
                        </a:solidFill>
                      </a:rPr>
                      <a:t>T1</a:t>
                    </a:r>
                  </a:p>
                </c:rich>
              </c:tx>
              <c:dLblPos val="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83BB-4E57-986F-C3AB7ABA51BE}"/>
                </c:ext>
              </c:extLst>
            </c:dLbl>
            <c:dLbl>
              <c:idx val="1"/>
              <c:tx>
                <c:rich>
                  <a:bodyPr/>
                  <a:lstStyle/>
                  <a:p>
                    <a:r>
                      <a:rPr lang="en-US" b="1">
                        <a:solidFill>
                          <a:schemeClr val="bg2">
                            <a:lumMod val="10000"/>
                          </a:schemeClr>
                        </a:solidFill>
                      </a:rPr>
                      <a:t>T2</a:t>
                    </a:r>
                  </a:p>
                </c:rich>
              </c:tx>
              <c:dLblPos val="t"/>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83BB-4E57-986F-C3AB7ABA51BE}"/>
                </c:ext>
              </c:extLst>
            </c:dLbl>
            <c:dLbl>
              <c:idx val="2"/>
              <c:tx>
                <c:rich>
                  <a:bodyPr/>
                  <a:lstStyle/>
                  <a:p>
                    <a:r>
                      <a:rPr lang="en-US" b="1" i="0" baseline="0"/>
                      <a:t>T3</a:t>
                    </a:r>
                  </a:p>
                </c:rich>
              </c:tx>
              <c:dLblPos val="t"/>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83BB-4E57-986F-C3AB7ABA51BE}"/>
                </c:ext>
              </c:extLst>
            </c:dLbl>
            <c:dLbl>
              <c:idx val="3"/>
              <c:layout>
                <c:manualLayout>
                  <c:x val="-2.3229151993858548E-2"/>
                  <c:y val="5.1350922266001631E-2"/>
                </c:manualLayout>
              </c:layout>
              <c:tx>
                <c:rich>
                  <a:bodyPr rot="0" spcFirstLastPara="1" vertOverflow="ellipsis" vert="horz" wrap="square" lIns="38100" tIns="19050" rIns="38100" bIns="19050" anchor="ctr" anchorCtr="1">
                    <a:noAutofit/>
                  </a:bodyPr>
                  <a:lstStyle/>
                  <a:p>
                    <a:pPr>
                      <a:defRPr sz="900" b="0" i="0" u="none" strike="noStrike" kern="1200" baseline="0">
                        <a:solidFill>
                          <a:schemeClr val="tx1"/>
                        </a:solidFill>
                        <a:latin typeface="+mn-lt"/>
                        <a:ea typeface="+mn-ea"/>
                        <a:cs typeface="+mn-cs"/>
                      </a:defRPr>
                    </a:pPr>
                    <a:r>
                      <a:rPr lang="en-US" b="1" baseline="0">
                        <a:solidFill>
                          <a:schemeClr val="tx1"/>
                        </a:solidFill>
                      </a:rPr>
                      <a:t>T4</a:t>
                    </a:r>
                  </a:p>
                </c:rich>
              </c:tx>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solidFill>
                      <a:latin typeface="+mn-lt"/>
                      <a:ea typeface="+mn-ea"/>
                      <a:cs typeface="+mn-cs"/>
                    </a:defRPr>
                  </a:pPr>
                  <a:endParaRPr lang="en-US"/>
                </a:p>
              </c:txPr>
              <c:dLblPos val="r"/>
              <c:showLegendKey val="0"/>
              <c:showVal val="1"/>
              <c:showCatName val="0"/>
              <c:showSerName val="0"/>
              <c:showPercent val="0"/>
              <c:showBubbleSize val="0"/>
              <c:extLst>
                <c:ext xmlns:c15="http://schemas.microsoft.com/office/drawing/2012/chart" uri="{CE6537A1-D6FC-4f65-9D91-7224C49458BB}">
                  <c15:layout>
                    <c:manualLayout>
                      <c:w val="5.6446879739317023E-2"/>
                      <c:h val="5.8932315723104443E-2"/>
                    </c:manualLayout>
                  </c15:layout>
                  <c15:showDataLabelsRange val="0"/>
                </c:ext>
                <c:ext xmlns:c16="http://schemas.microsoft.com/office/drawing/2014/chart" uri="{C3380CC4-5D6E-409C-BE32-E72D297353CC}">
                  <c16:uniqueId val="{00000003-83BB-4E57-986F-C3AB7ABA51BE}"/>
                </c:ext>
              </c:extLst>
            </c:dLbl>
            <c:dLbl>
              <c:idx val="4"/>
              <c:layout>
                <c:manualLayout>
                  <c:x val="-4.3414442986293378E-2"/>
                  <c:y val="-7.7351268591426076E-2"/>
                </c:manualLayout>
              </c:layout>
              <c:tx>
                <c:rich>
                  <a:bodyPr/>
                  <a:lstStyle/>
                  <a:p>
                    <a:r>
                      <a:rPr lang="en-US" b="1">
                        <a:solidFill>
                          <a:schemeClr val="bg2">
                            <a:lumMod val="10000"/>
                          </a:schemeClr>
                        </a:solidFill>
                      </a:rPr>
                      <a:t>T5</a:t>
                    </a:r>
                  </a:p>
                </c:rich>
              </c:tx>
              <c:dLblPos val="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4-83BB-4E57-986F-C3AB7ABA51BE}"/>
                </c:ext>
              </c:extLst>
            </c:dLbl>
            <c:dLbl>
              <c:idx val="5"/>
              <c:layout>
                <c:manualLayout>
                  <c:x val="-5.5918423882166841E-2"/>
                  <c:y val="6.2883986568717937E-2"/>
                </c:manualLayout>
              </c:layout>
              <c:tx>
                <c:rich>
                  <a:bodyPr/>
                  <a:lstStyle/>
                  <a:p>
                    <a:r>
                      <a:rPr lang="en-US" b="1"/>
                      <a:t>T6</a:t>
                    </a:r>
                  </a:p>
                </c:rich>
              </c:tx>
              <c:dLblPos val="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5-83BB-4E57-986F-C3AB7ABA51BE}"/>
                </c:ext>
              </c:extLst>
            </c:dLbl>
            <c:dLbl>
              <c:idx val="6"/>
              <c:layout>
                <c:manualLayout>
                  <c:x val="-1.7477763196267133E-3"/>
                  <c:y val="2.1855080614923115E-2"/>
                </c:manualLayout>
              </c:layout>
              <c:tx>
                <c:rich>
                  <a:bodyPr/>
                  <a:lstStyle/>
                  <a:p>
                    <a:r>
                      <a:rPr lang="en-US" b="1">
                        <a:solidFill>
                          <a:schemeClr val="bg2">
                            <a:lumMod val="10000"/>
                          </a:schemeClr>
                        </a:solidFill>
                      </a:rPr>
                      <a:t>T7</a:t>
                    </a:r>
                  </a:p>
                </c:rich>
              </c:tx>
              <c:dLblPos val="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6-83BB-4E57-986F-C3AB7ABA51BE}"/>
                </c:ext>
              </c:extLst>
            </c:dLbl>
            <c:dLbl>
              <c:idx val="7"/>
              <c:layout>
                <c:manualLayout>
                  <c:x val="-3.4722222222222224E-2"/>
                  <c:y val="-5.9523809523809541E-2"/>
                </c:manualLayout>
              </c:layout>
              <c:tx>
                <c:rich>
                  <a:bodyPr/>
                  <a:lstStyle/>
                  <a:p>
                    <a:r>
                      <a:rPr lang="en-US" b="1" i="0" baseline="0">
                        <a:solidFill>
                          <a:schemeClr val="bg2">
                            <a:lumMod val="10000"/>
                          </a:schemeClr>
                        </a:solidFill>
                      </a:rPr>
                      <a:t>T8</a:t>
                    </a:r>
                  </a:p>
                </c:rich>
              </c:tx>
              <c:dLblPos val="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7-83BB-4E57-986F-C3AB7ABA51BE}"/>
                </c:ext>
              </c:extLst>
            </c:dLbl>
            <c:dLbl>
              <c:idx val="8"/>
              <c:tx>
                <c:rich>
                  <a:bodyPr/>
                  <a:lstStyle/>
                  <a:p>
                    <a:r>
                      <a:rPr lang="en-US" b="1">
                        <a:solidFill>
                          <a:schemeClr val="bg2">
                            <a:lumMod val="10000"/>
                          </a:schemeClr>
                        </a:solidFill>
                      </a:rPr>
                      <a:t>T9</a:t>
                    </a:r>
                  </a:p>
                </c:rich>
              </c:tx>
              <c:dLblPos val="t"/>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8-83BB-4E57-986F-C3AB7ABA51BE}"/>
                </c:ext>
              </c:extLst>
            </c:dLbl>
            <c:dLbl>
              <c:idx val="9"/>
              <c:layout>
                <c:manualLayout>
                  <c:x val="-2.8564814814814814E-2"/>
                  <c:y val="4.5664604424446947E-2"/>
                </c:manualLayout>
              </c:layout>
              <c:tx>
                <c:rich>
                  <a:bodyPr/>
                  <a:lstStyle/>
                  <a:p>
                    <a:r>
                      <a:rPr lang="en-US" b="1">
                        <a:solidFill>
                          <a:schemeClr val="bg2">
                            <a:lumMod val="10000"/>
                          </a:schemeClr>
                        </a:solidFill>
                      </a:rPr>
                      <a:t>T10</a:t>
                    </a:r>
                  </a:p>
                </c:rich>
              </c:tx>
              <c:dLblPos val="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9-83BB-4E57-986F-C3AB7ABA51BE}"/>
                </c:ext>
              </c:extLst>
            </c:dLbl>
            <c:dLbl>
              <c:idx val="10"/>
              <c:layout>
                <c:manualLayout>
                  <c:x val="-9.6363960766085461E-3"/>
                  <c:y val="3.0478819337526858E-2"/>
                </c:manualLayout>
              </c:layout>
              <c:tx>
                <c:rich>
                  <a:bodyPr/>
                  <a:lstStyle/>
                  <a:p>
                    <a:r>
                      <a:rPr lang="en-US" b="1">
                        <a:solidFill>
                          <a:schemeClr val="bg2">
                            <a:lumMod val="10000"/>
                          </a:schemeClr>
                        </a:solidFill>
                      </a:rPr>
                      <a:t>T11</a:t>
                    </a:r>
                  </a:p>
                </c:rich>
              </c:tx>
              <c:dLblPos val="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A-83BB-4E57-986F-C3AB7ABA51BE}"/>
                </c:ext>
              </c:extLst>
            </c:dLbl>
            <c:dLbl>
              <c:idx val="11"/>
              <c:layout>
                <c:manualLayout>
                  <c:x val="-4.2754919499105599E-2"/>
                  <c:y val="0.13737188228566394"/>
                </c:manualLayout>
              </c:layout>
              <c:tx>
                <c:rich>
                  <a:bodyPr/>
                  <a:lstStyle/>
                  <a:p>
                    <a:r>
                      <a:rPr lang="en-US" b="1"/>
                      <a:t>T12</a:t>
                    </a:r>
                  </a:p>
                </c:rich>
              </c:tx>
              <c:dLblPos val="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C-83BB-4E57-986F-C3AB7ABA51BE}"/>
                </c:ext>
              </c:extLst>
            </c:dLbl>
            <c:dLbl>
              <c:idx val="12"/>
              <c:tx>
                <c:rich>
                  <a:bodyPr/>
                  <a:lstStyle/>
                  <a:p>
                    <a:r>
                      <a:rPr lang="en-US" b="1">
                        <a:solidFill>
                          <a:schemeClr val="bg2">
                            <a:lumMod val="10000"/>
                          </a:schemeClr>
                        </a:solidFill>
                      </a:rPr>
                      <a:t>T13</a:t>
                    </a:r>
                  </a:p>
                </c:rich>
              </c:tx>
              <c:dLblPos val="t"/>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D-83BB-4E57-986F-C3AB7ABA51BE}"/>
                </c:ext>
              </c:extLst>
            </c:dLbl>
            <c:dLbl>
              <c:idx val="13"/>
              <c:tx>
                <c:rich>
                  <a:bodyPr/>
                  <a:lstStyle/>
                  <a:p>
                    <a:r>
                      <a:rPr lang="en-US" b="1">
                        <a:solidFill>
                          <a:schemeClr val="bg2">
                            <a:lumMod val="10000"/>
                          </a:schemeClr>
                        </a:solidFill>
                      </a:rPr>
                      <a:t>T14</a:t>
                    </a:r>
                  </a:p>
                </c:rich>
              </c:tx>
              <c:dLblPos val="t"/>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E-83BB-4E57-986F-C3AB7ABA51BE}"/>
                </c:ext>
              </c:extLst>
            </c:dLbl>
            <c:dLbl>
              <c:idx val="14"/>
              <c:layout>
                <c:manualLayout>
                  <c:x val="-5.8899938491588429E-2"/>
                  <c:y val="-0.11402476575902881"/>
                </c:manualLayout>
              </c:layout>
              <c:tx>
                <c:rich>
                  <a:bodyPr/>
                  <a:lstStyle/>
                  <a:p>
                    <a:r>
                      <a:rPr lang="en-US" b="1"/>
                      <a:t>T15</a:t>
                    </a:r>
                  </a:p>
                </c:rich>
              </c:tx>
              <c:dLblPos val="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F-83BB-4E57-986F-C3AB7ABA51BE}"/>
                </c:ext>
              </c:extLst>
            </c:dLbl>
            <c:dLbl>
              <c:idx val="15"/>
              <c:layout>
                <c:manualLayout>
                  <c:x val="-2.2511609125782902E-3"/>
                  <c:y val="9.5472440944881803E-2"/>
                </c:manualLayout>
              </c:layout>
              <c:tx>
                <c:rich>
                  <a:bodyPr/>
                  <a:lstStyle/>
                  <a:p>
                    <a:r>
                      <a:rPr lang="en-US" b="1">
                        <a:solidFill>
                          <a:schemeClr val="tx1">
                            <a:lumMod val="95000"/>
                            <a:lumOff val="5000"/>
                          </a:schemeClr>
                        </a:solidFill>
                      </a:rPr>
                      <a:t>T16</a:t>
                    </a:r>
                  </a:p>
                </c:rich>
              </c:tx>
              <c:dLblPos val="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0-83BB-4E57-986F-C3AB7ABA51BE}"/>
                </c:ext>
              </c:extLst>
            </c:dLbl>
            <c:dLbl>
              <c:idx val="16"/>
              <c:tx>
                <c:rich>
                  <a:bodyPr/>
                  <a:lstStyle/>
                  <a:p>
                    <a:r>
                      <a:rPr lang="en-US" b="1" baseline="0">
                        <a:solidFill>
                          <a:schemeClr val="bg2">
                            <a:lumMod val="10000"/>
                          </a:schemeClr>
                        </a:solidFill>
                      </a:rPr>
                      <a:t>T17</a:t>
                    </a:r>
                    <a:r>
                      <a:rPr lang="en-US"/>
                      <a:t> </a:t>
                    </a:r>
                  </a:p>
                </c:rich>
              </c:tx>
              <c:dLblPos val="t"/>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B-83BB-4E57-986F-C3AB7ABA51BE}"/>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95000"/>
                          <a:lumOff val="5000"/>
                        </a:schemeClr>
                      </a:solidFill>
                      <a:round/>
                    </a:ln>
                    <a:effectLst/>
                  </c:spPr>
                </c15:leaderLines>
              </c:ext>
            </c:extLst>
          </c:dLbls>
          <c:trendline>
            <c:spPr>
              <a:ln w="19050" cap="rnd">
                <a:solidFill>
                  <a:schemeClr val="accent1"/>
                </a:solidFill>
                <a:prstDash val="sysDot"/>
              </a:ln>
              <a:effectLst/>
            </c:spPr>
            <c:trendlineType val="linear"/>
            <c:dispRSqr val="0"/>
            <c:dispEq val="0"/>
          </c:trendline>
          <c:trendline>
            <c:spPr>
              <a:ln w="19050" cap="rnd">
                <a:solidFill>
                  <a:schemeClr val="accent1"/>
                </a:solidFill>
                <a:prstDash val="sysDot"/>
              </a:ln>
              <a:effectLst/>
            </c:spPr>
            <c:trendlineType val="linear"/>
            <c:dispRSqr val="0"/>
            <c:dispEq val="0"/>
          </c:trendline>
          <c:trendline>
            <c:spPr>
              <a:ln w="19050" cap="rnd" cmpd="sng">
                <a:solidFill>
                  <a:srgbClr val="FF3300"/>
                </a:solidFill>
                <a:prstDash val="sysDash"/>
              </a:ln>
              <a:effectLst/>
            </c:spPr>
            <c:trendlineType val="linear"/>
            <c:dispRSqr val="1"/>
            <c:dispEq val="1"/>
            <c:trendlineLbl>
              <c:layout>
                <c:manualLayout>
                  <c:x val="0.19640340127430403"/>
                  <c:y val="-0.21009692224226162"/>
                </c:manualLayout>
              </c:layout>
              <c:tx>
                <c:rich>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r>
                      <a:rPr lang="en-US" b="1" baseline="0">
                        <a:solidFill>
                          <a:schemeClr val="tx1"/>
                        </a:solidFill>
                      </a:rPr>
                      <a:t>Trend y = 6.8258x - 291.08</a:t>
                    </a:r>
                    <a:br>
                      <a:rPr lang="en-US" b="1" baseline="0">
                        <a:solidFill>
                          <a:schemeClr val="tx1"/>
                        </a:solidFill>
                      </a:rPr>
                    </a:br>
                    <a:r>
                      <a:rPr lang="en-US" b="1" baseline="0">
                        <a:solidFill>
                          <a:schemeClr val="tx1"/>
                        </a:solidFill>
                      </a:rPr>
                      <a:t>R² = 0.969</a:t>
                    </a:r>
                  </a:p>
                </c:rich>
              </c:tx>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trendlineLbl>
          </c:trendline>
          <c:xVal>
            <c:numRef>
              <c:f>Sheet1!$A$2:$A$18</c:f>
              <c:numCache>
                <c:formatCode>General</c:formatCode>
                <c:ptCount val="17"/>
                <c:pt idx="0">
                  <c:v>88</c:v>
                </c:pt>
                <c:pt idx="1">
                  <c:v>80</c:v>
                </c:pt>
                <c:pt idx="2">
                  <c:v>72</c:v>
                </c:pt>
                <c:pt idx="3">
                  <c:v>92</c:v>
                </c:pt>
                <c:pt idx="4">
                  <c:v>75</c:v>
                </c:pt>
                <c:pt idx="5">
                  <c:v>68</c:v>
                </c:pt>
                <c:pt idx="6">
                  <c:v>96</c:v>
                </c:pt>
                <c:pt idx="7">
                  <c:v>92</c:v>
                </c:pt>
                <c:pt idx="8">
                  <c:v>88</c:v>
                </c:pt>
                <c:pt idx="9">
                  <c:v>80</c:v>
                </c:pt>
                <c:pt idx="10">
                  <c:v>76</c:v>
                </c:pt>
                <c:pt idx="11">
                  <c:v>72</c:v>
                </c:pt>
                <c:pt idx="12">
                  <c:v>64</c:v>
                </c:pt>
                <c:pt idx="13">
                  <c:v>67</c:v>
                </c:pt>
                <c:pt idx="14">
                  <c:v>60</c:v>
                </c:pt>
                <c:pt idx="15">
                  <c:v>73</c:v>
                </c:pt>
                <c:pt idx="16">
                  <c:v>56</c:v>
                </c:pt>
              </c:numCache>
            </c:numRef>
          </c:xVal>
          <c:yVal>
            <c:numRef>
              <c:f>Sheet1!$B$2:$B$18</c:f>
              <c:numCache>
                <c:formatCode>General</c:formatCode>
                <c:ptCount val="17"/>
                <c:pt idx="0">
                  <c:v>299.2</c:v>
                </c:pt>
                <c:pt idx="1">
                  <c:v>256</c:v>
                </c:pt>
                <c:pt idx="2">
                  <c:v>208.8</c:v>
                </c:pt>
                <c:pt idx="3">
                  <c:v>331.2</c:v>
                </c:pt>
                <c:pt idx="4">
                  <c:v>210</c:v>
                </c:pt>
                <c:pt idx="5">
                  <c:v>163.19999999999999</c:v>
                </c:pt>
                <c:pt idx="6">
                  <c:v>393.6</c:v>
                </c:pt>
                <c:pt idx="7">
                  <c:v>349.6</c:v>
                </c:pt>
                <c:pt idx="8">
                  <c:v>316.8</c:v>
                </c:pt>
                <c:pt idx="9">
                  <c:v>240</c:v>
                </c:pt>
                <c:pt idx="10">
                  <c:v>190</c:v>
                </c:pt>
                <c:pt idx="11">
                  <c:v>180</c:v>
                </c:pt>
                <c:pt idx="12">
                  <c:v>153.6</c:v>
                </c:pt>
                <c:pt idx="13">
                  <c:v>167.5</c:v>
                </c:pt>
                <c:pt idx="14">
                  <c:v>132</c:v>
                </c:pt>
                <c:pt idx="15">
                  <c:v>189.8</c:v>
                </c:pt>
                <c:pt idx="16">
                  <c:v>112</c:v>
                </c:pt>
              </c:numCache>
            </c:numRef>
          </c:yVal>
          <c:smooth val="0"/>
          <c:extLst>
            <c:ext xmlns:c16="http://schemas.microsoft.com/office/drawing/2014/chart" uri="{C3380CC4-5D6E-409C-BE32-E72D297353CC}">
              <c16:uniqueId val="{00000014-83BB-4E57-986F-C3AB7ABA51BE}"/>
            </c:ext>
          </c:extLst>
        </c:ser>
        <c:ser>
          <c:idx val="1"/>
          <c:order val="1"/>
          <c:tx>
            <c:strRef>
              <c:f>Sheet1!$C$1</c:f>
              <c:strCache>
                <c:ptCount val="1"/>
                <c:pt idx="0">
                  <c:v>Treatment No.</c:v>
                </c:pt>
              </c:strCache>
            </c:strRef>
          </c:tx>
          <c:spPr>
            <a:ln w="25400" cap="rnd">
              <a:noFill/>
              <a:round/>
            </a:ln>
            <a:effectLst/>
          </c:spPr>
          <c:marker>
            <c:symbol val="circle"/>
            <c:size val="5"/>
            <c:spPr>
              <a:solidFill>
                <a:schemeClr val="accent2"/>
              </a:solidFill>
              <a:ln w="9525">
                <a:solidFill>
                  <a:schemeClr val="accent2"/>
                </a:solidFill>
              </a:ln>
              <a:effectLst/>
            </c:spPr>
          </c:marker>
          <c:xVal>
            <c:numRef>
              <c:f>Sheet1!$A$2:$A$18</c:f>
              <c:numCache>
                <c:formatCode>General</c:formatCode>
                <c:ptCount val="17"/>
                <c:pt idx="0">
                  <c:v>88</c:v>
                </c:pt>
                <c:pt idx="1">
                  <c:v>80</c:v>
                </c:pt>
                <c:pt idx="2">
                  <c:v>72</c:v>
                </c:pt>
                <c:pt idx="3">
                  <c:v>92</c:v>
                </c:pt>
                <c:pt idx="4">
                  <c:v>75</c:v>
                </c:pt>
                <c:pt idx="5">
                  <c:v>68</c:v>
                </c:pt>
                <c:pt idx="6">
                  <c:v>96</c:v>
                </c:pt>
                <c:pt idx="7">
                  <c:v>92</c:v>
                </c:pt>
                <c:pt idx="8">
                  <c:v>88</c:v>
                </c:pt>
                <c:pt idx="9">
                  <c:v>80</c:v>
                </c:pt>
                <c:pt idx="10">
                  <c:v>76</c:v>
                </c:pt>
                <c:pt idx="11">
                  <c:v>72</c:v>
                </c:pt>
                <c:pt idx="12">
                  <c:v>64</c:v>
                </c:pt>
                <c:pt idx="13">
                  <c:v>67</c:v>
                </c:pt>
                <c:pt idx="14">
                  <c:v>60</c:v>
                </c:pt>
                <c:pt idx="15">
                  <c:v>73</c:v>
                </c:pt>
                <c:pt idx="16">
                  <c:v>56</c:v>
                </c:pt>
              </c:numCache>
            </c:numRef>
          </c:xVal>
          <c:yVal>
            <c:numRef>
              <c:f>Sheet1!$C$2:$C$18</c:f>
              <c:numCache>
                <c:formatCode>General</c:formatCode>
                <c:ptCount val="17"/>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numCache>
            </c:numRef>
          </c:yVal>
          <c:smooth val="0"/>
          <c:extLst>
            <c:ext xmlns:c16="http://schemas.microsoft.com/office/drawing/2014/chart" uri="{C3380CC4-5D6E-409C-BE32-E72D297353CC}">
              <c16:uniqueId val="{00000015-83BB-4E57-986F-C3AB7ABA51BE}"/>
            </c:ext>
          </c:extLst>
        </c:ser>
        <c:dLbls>
          <c:showLegendKey val="0"/>
          <c:showVal val="0"/>
          <c:showCatName val="0"/>
          <c:showSerName val="0"/>
          <c:showPercent val="0"/>
          <c:showBubbleSize val="0"/>
        </c:dLbls>
        <c:axId val="1647635648"/>
        <c:axId val="1647629888"/>
      </c:scatterChart>
      <c:valAx>
        <c:axId val="1647635648"/>
        <c:scaling>
          <c:orientation val="minMax"/>
          <c:min val="55"/>
        </c:scaling>
        <c:delete val="0"/>
        <c:axPos val="b"/>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title>
          <c:tx>
            <c:rich>
              <a:bodyPr rot="0" spcFirstLastPara="1" vertOverflow="ellipsis" vert="horz" wrap="square" anchor="ctr" anchorCtr="1"/>
              <a:lstStyle/>
              <a:p>
                <a:pPr>
                  <a:defRPr sz="1000" b="0" i="0" u="none" strike="noStrike" kern="1200" baseline="0">
                    <a:solidFill>
                      <a:schemeClr val="tx1"/>
                    </a:solidFill>
                    <a:latin typeface="+mn-lt"/>
                    <a:ea typeface="+mn-ea"/>
                    <a:cs typeface="+mn-cs"/>
                  </a:defRPr>
                </a:pPr>
                <a:r>
                  <a:rPr lang="en-IN" b="1" baseline="0">
                    <a:solidFill>
                      <a:schemeClr val="tx1"/>
                    </a:solidFill>
                  </a:rPr>
                  <a:t>Germination (%)</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IN"/>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1" i="0" u="none" strike="noStrike" kern="1200" baseline="0">
                <a:solidFill>
                  <a:schemeClr val="tx1"/>
                </a:solidFill>
                <a:latin typeface="+mn-lt"/>
                <a:ea typeface="+mn-ea"/>
                <a:cs typeface="+mn-cs"/>
              </a:defRPr>
            </a:pPr>
            <a:endParaRPr lang="en-US"/>
          </a:p>
        </c:txPr>
        <c:crossAx val="1647629888"/>
        <c:crosses val="autoZero"/>
        <c:crossBetween val="midCat"/>
      </c:valAx>
      <c:valAx>
        <c:axId val="1647629888"/>
        <c:scaling>
          <c:orientation val="minMax"/>
          <c:min val="50"/>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title>
          <c:tx>
            <c:rich>
              <a:bodyPr rot="-5400000" spcFirstLastPara="1" vertOverflow="ellipsis" vert="horz" wrap="square" anchor="ctr" anchorCtr="1"/>
              <a:lstStyle/>
              <a:p>
                <a:pPr>
                  <a:defRPr sz="1000" b="0" i="0" u="none" strike="noStrike" kern="1200" baseline="0">
                    <a:solidFill>
                      <a:schemeClr val="tx1"/>
                    </a:solidFill>
                    <a:latin typeface="+mn-lt"/>
                    <a:ea typeface="+mn-ea"/>
                    <a:cs typeface="+mn-cs"/>
                  </a:defRPr>
                </a:pPr>
                <a:r>
                  <a:rPr lang="en-IN" b="1" baseline="0">
                    <a:solidFill>
                      <a:schemeClr val="tx1"/>
                    </a:solidFill>
                  </a:rPr>
                  <a:t>Seed vigour index</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IN"/>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1" i="0" u="none" strike="noStrike" kern="1200" baseline="0">
                <a:solidFill>
                  <a:schemeClr val="tx1"/>
                </a:solidFill>
                <a:latin typeface="+mn-lt"/>
                <a:ea typeface="+mn-ea"/>
                <a:cs typeface="+mn-cs"/>
              </a:defRPr>
            </a:pPr>
            <a:endParaRPr lang="en-US"/>
          </a:p>
        </c:txPr>
        <c:crossAx val="1647635648"/>
        <c:crosses val="autoZero"/>
        <c:crossBetween val="midCat"/>
      </c:valAx>
      <c:spPr>
        <a:solidFill>
          <a:srgbClr val="E7F0F9"/>
        </a:solidFill>
        <a:ln>
          <a:solidFill>
            <a:srgbClr val="E7F0F9"/>
          </a:solidFill>
        </a:ln>
        <a:effectLst>
          <a:outerShdw blurRad="50800" dist="50800" dir="5400000" sx="1000" sy="1000" algn="ctr" rotWithShape="0">
            <a:srgbClr val="000000">
              <a:alpha val="43137"/>
            </a:srgbClr>
          </a:outerShdw>
        </a:effectLst>
      </c:spPr>
    </c:plotArea>
    <c:legend>
      <c:legendPos val="tr"/>
      <c:legendEntry>
        <c:idx val="0"/>
        <c:delete val="1"/>
      </c:legendEntry>
      <c:legendEntry>
        <c:idx val="1"/>
        <c:delete val="1"/>
      </c:legendEntry>
      <c:legendEntry>
        <c:idx val="2"/>
        <c:delete val="1"/>
      </c:legendEntry>
      <c:legendEntry>
        <c:idx val="3"/>
        <c:delete val="1"/>
      </c:legendEntry>
      <c:legendEntry>
        <c:idx val="4"/>
        <c:txPr>
          <a:bodyPr rot="0" spcFirstLastPara="1" vertOverflow="ellipsis" vert="horz" wrap="square" anchor="ctr" anchorCtr="1"/>
          <a:lstStyle/>
          <a:p>
            <a:pPr>
              <a:defRPr sz="900" b="0" i="0" u="none" strike="noStrike" kern="1200" baseline="0">
                <a:solidFill>
                  <a:schemeClr val="tx1">
                    <a:lumMod val="65000"/>
                    <a:lumOff val="35000"/>
                    <a:alpha val="0"/>
                  </a:schemeClr>
                </a:solidFill>
                <a:latin typeface="+mn-lt"/>
                <a:ea typeface="+mn-ea"/>
                <a:cs typeface="+mn-cs"/>
              </a:defRPr>
            </a:pPr>
            <a:endParaRPr lang="en-US"/>
          </a:p>
        </c:txPr>
      </c:legendEntry>
      <c:layout>
        <c:manualLayout>
          <c:xMode val="edge"/>
          <c:yMode val="edge"/>
          <c:x val="0.54617826170655326"/>
          <c:y val="8.9586724145515328E-2"/>
          <c:w val="0.30909813356663757"/>
          <c:h val="6.3631667082338694E-2"/>
        </c:manualLayout>
      </c:layout>
      <c:overlay val="1"/>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TotalTime>
  <Pages>14</Pages>
  <Words>4095</Words>
  <Characters>23347</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SDI 1186</cp:lastModifiedBy>
  <cp:revision>22</cp:revision>
  <dcterms:created xsi:type="dcterms:W3CDTF">2026-04-16T11:05:00Z</dcterms:created>
  <dcterms:modified xsi:type="dcterms:W3CDTF">2026-05-23T12:40:00Z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b24ae0c1-9107-4e5a-8e62-dd89814a799c</vt:lpwstr>
  </property>
</Properties>
</file>