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7FB53D5" w14:textId="77777777" w:rsidR="007F099A" w:rsidRDefault="007F099A" w:rsidP="007F099A">
      <w:pPr>
        <w:spacing w:after="120" w:line="240" w:lineRule="auto"/>
        <w:jc w:val="center"/>
        <w:outlineLvl w:val="1"/>
        <w:rPr>
          <w:rFonts w:ascii="Times New Roman" w:eastAsia="Times New Roman" w:hAnsi="Times New Roman" w:cs="Times New Roman"/>
          <w:b/>
          <w:bCs/>
          <w:color w:val="1F1F1F"/>
          <w:kern w:val="36"/>
          <w:sz w:val="32"/>
          <w:szCs w:val="32"/>
          <w:lang w:eastAsia="en-IN" w:bidi="hi-IN"/>
          <w14:ligatures w14:val="none"/>
        </w:rPr>
      </w:pPr>
      <w:r w:rsidRPr="007F099A">
        <w:rPr>
          <w:rFonts w:ascii="Times New Roman" w:eastAsia="Times New Roman" w:hAnsi="Times New Roman" w:cs="Times New Roman"/>
          <w:b/>
          <w:bCs/>
          <w:color w:val="1F1F1F"/>
          <w:kern w:val="36"/>
          <w:sz w:val="32"/>
          <w:szCs w:val="32"/>
          <w:lang w:eastAsia="en-IN" w:bidi="hi-IN"/>
          <w14:ligatures w14:val="none"/>
        </w:rPr>
        <w:t>Enhancing Banana Yield and Profitability Through Bunch Skirting</w:t>
      </w:r>
    </w:p>
    <w:p w14:paraId="67773545" w14:textId="77777777" w:rsidR="00B1024D" w:rsidRDefault="00B1024D" w:rsidP="007F099A">
      <w:pPr>
        <w:spacing w:after="120" w:line="240" w:lineRule="auto"/>
        <w:jc w:val="center"/>
        <w:outlineLvl w:val="1"/>
        <w:rPr>
          <w:rFonts w:ascii="Times New Roman" w:eastAsia="Times New Roman" w:hAnsi="Times New Roman" w:cs="Times New Roman"/>
          <w:b/>
          <w:bCs/>
          <w:color w:val="1F1F1F"/>
          <w:kern w:val="36"/>
          <w:sz w:val="32"/>
          <w:szCs w:val="32"/>
          <w:lang w:eastAsia="en-IN" w:bidi="hi-IN"/>
          <w14:ligatures w14:val="none"/>
        </w:rPr>
      </w:pPr>
    </w:p>
    <w:p w14:paraId="433698FB" w14:textId="53DCB62C" w:rsidR="00A3761D" w:rsidRDefault="00A3761D" w:rsidP="00B1024D">
      <w:pPr>
        <w:spacing w:after="120" w:line="240" w:lineRule="auto"/>
        <w:jc w:val="center"/>
        <w:outlineLvl w:val="1"/>
        <w:rPr>
          <w:rFonts w:ascii="Times New Roman" w:eastAsia="Times New Roman" w:hAnsi="Times New Roman" w:cs="Times New Roman"/>
          <w:i/>
          <w:iCs/>
          <w:color w:val="1F1F1F"/>
          <w:kern w:val="36"/>
          <w:sz w:val="32"/>
          <w:szCs w:val="32"/>
          <w:lang w:eastAsia="en-IN" w:bidi="hi-IN"/>
          <w14:ligatures w14:val="none"/>
        </w:rPr>
      </w:pPr>
    </w:p>
    <w:p w14:paraId="5545930B" w14:textId="77777777" w:rsidR="00ED57B6" w:rsidRPr="00B1024D" w:rsidRDefault="00ED57B6" w:rsidP="00B1024D">
      <w:pPr>
        <w:spacing w:after="120" w:line="240" w:lineRule="auto"/>
        <w:jc w:val="center"/>
        <w:outlineLvl w:val="1"/>
        <w:rPr>
          <w:rFonts w:ascii="Times New Roman" w:eastAsia="Times New Roman" w:hAnsi="Times New Roman" w:cs="Times New Roman"/>
          <w:i/>
          <w:iCs/>
          <w:color w:val="1F1F1F"/>
          <w:kern w:val="36"/>
          <w:sz w:val="32"/>
          <w:szCs w:val="32"/>
          <w:lang w:eastAsia="en-IN" w:bidi="hi-IN"/>
          <w14:ligatures w14:val="none"/>
        </w:rPr>
      </w:pPr>
    </w:p>
    <w:p w14:paraId="05E50F79" w14:textId="1D2C4FBA" w:rsidR="00ED30DA" w:rsidRPr="007F099A" w:rsidRDefault="00ED30DA" w:rsidP="007F099A">
      <w:pPr>
        <w:spacing w:after="120" w:line="240" w:lineRule="auto"/>
        <w:jc w:val="both"/>
        <w:outlineLvl w:val="1"/>
        <w:rPr>
          <w:rFonts w:ascii="Times New Roman" w:eastAsia="Times New Roman" w:hAnsi="Times New Roman" w:cs="Times New Roman"/>
          <w:b/>
          <w:bCs/>
          <w:color w:val="1F1F1F"/>
          <w:kern w:val="0"/>
          <w:sz w:val="28"/>
          <w:szCs w:val="28"/>
          <w:lang w:eastAsia="en-IN" w:bidi="hi-IN"/>
          <w14:ligatures w14:val="none"/>
        </w:rPr>
      </w:pPr>
      <w:r w:rsidRPr="007F099A">
        <w:rPr>
          <w:rFonts w:ascii="Times New Roman" w:eastAsia="Times New Roman" w:hAnsi="Times New Roman" w:cs="Times New Roman"/>
          <w:b/>
          <w:bCs/>
          <w:color w:val="1F1F1F"/>
          <w:kern w:val="0"/>
          <w:sz w:val="28"/>
          <w:szCs w:val="28"/>
          <w:lang w:eastAsia="en-IN" w:bidi="hi-IN"/>
          <w14:ligatures w14:val="none"/>
        </w:rPr>
        <w:t>Abstract</w:t>
      </w:r>
    </w:p>
    <w:p w14:paraId="3F8F4A88" w14:textId="0A586AA9" w:rsidR="00ED30DA" w:rsidRPr="007F099A" w:rsidRDefault="00ED30DA" w:rsidP="007F099A">
      <w:pPr>
        <w:spacing w:after="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lang w:eastAsia="en-IN" w:bidi="hi-IN"/>
          <w14:ligatures w14:val="none"/>
        </w:rPr>
        <w:t>Banana (</w:t>
      </w:r>
      <w:r w:rsidRPr="007F099A">
        <w:rPr>
          <w:rFonts w:ascii="Times New Roman" w:eastAsia="Times New Roman" w:hAnsi="Times New Roman" w:cs="Times New Roman"/>
          <w:i/>
          <w:iCs/>
          <w:color w:val="1F1F1F"/>
          <w:kern w:val="0"/>
          <w:sz w:val="24"/>
          <w:szCs w:val="24"/>
          <w:bdr w:val="none" w:sz="0" w:space="0" w:color="auto" w:frame="1"/>
          <w:lang w:eastAsia="en-IN" w:bidi="hi-IN"/>
          <w14:ligatures w14:val="none"/>
        </w:rPr>
        <w:t>Musa spp.</w:t>
      </w:r>
      <w:r w:rsidRPr="007F099A">
        <w:rPr>
          <w:rFonts w:ascii="Times New Roman" w:eastAsia="Times New Roman" w:hAnsi="Times New Roman" w:cs="Times New Roman"/>
          <w:color w:val="1F1F1F"/>
          <w:kern w:val="0"/>
          <w:sz w:val="24"/>
          <w:szCs w:val="24"/>
          <w:lang w:eastAsia="en-IN" w:bidi="hi-IN"/>
          <w14:ligatures w14:val="none"/>
        </w:rPr>
        <w:t>) is a vital horticultural crop, yet achieving premium market quality remains a challenge due to biotic and abiotic stresses during bunch development. This study evaluates the multi-dimensional impact of bunch skirting technology through Front Line Demonstrations (FLDs) conducted over three consecutive years (20</w:t>
      </w:r>
      <w:r w:rsidR="007F099A">
        <w:rPr>
          <w:rFonts w:ascii="Times New Roman" w:eastAsia="Times New Roman" w:hAnsi="Times New Roman" w:cs="Times New Roman"/>
          <w:color w:val="1F1F1F"/>
          <w:kern w:val="0"/>
          <w:sz w:val="24"/>
          <w:szCs w:val="24"/>
          <w:lang w:eastAsia="en-IN" w:bidi="hi-IN"/>
          <w14:ligatures w14:val="none"/>
        </w:rPr>
        <w:t>22</w:t>
      </w:r>
      <w:r w:rsidRPr="007F099A">
        <w:rPr>
          <w:rFonts w:ascii="Times New Roman" w:eastAsia="Times New Roman" w:hAnsi="Times New Roman" w:cs="Times New Roman"/>
          <w:color w:val="1F1F1F"/>
          <w:kern w:val="0"/>
          <w:sz w:val="24"/>
          <w:szCs w:val="24"/>
          <w:lang w:eastAsia="en-IN" w:bidi="hi-IN"/>
          <w14:ligatures w14:val="none"/>
        </w:rPr>
        <w:t>-</w:t>
      </w:r>
      <w:r w:rsidR="007F099A">
        <w:rPr>
          <w:rFonts w:ascii="Times New Roman" w:eastAsia="Times New Roman" w:hAnsi="Times New Roman" w:cs="Times New Roman"/>
          <w:color w:val="1F1F1F"/>
          <w:kern w:val="0"/>
          <w:sz w:val="24"/>
          <w:szCs w:val="24"/>
          <w:lang w:eastAsia="en-IN" w:bidi="hi-IN"/>
          <w14:ligatures w14:val="none"/>
        </w:rPr>
        <w:t>2023</w:t>
      </w:r>
      <w:r w:rsidRPr="007F099A">
        <w:rPr>
          <w:rFonts w:ascii="Times New Roman" w:eastAsia="Times New Roman" w:hAnsi="Times New Roman" w:cs="Times New Roman"/>
          <w:color w:val="1F1F1F"/>
          <w:kern w:val="0"/>
          <w:sz w:val="24"/>
          <w:szCs w:val="24"/>
          <w:lang w:eastAsia="en-IN" w:bidi="hi-IN"/>
          <w14:ligatures w14:val="none"/>
        </w:rPr>
        <w:t xml:space="preserve"> to 20</w:t>
      </w:r>
      <w:r w:rsidR="007F099A">
        <w:rPr>
          <w:rFonts w:ascii="Times New Roman" w:eastAsia="Times New Roman" w:hAnsi="Times New Roman" w:cs="Times New Roman"/>
          <w:color w:val="1F1F1F"/>
          <w:kern w:val="0"/>
          <w:sz w:val="24"/>
          <w:szCs w:val="24"/>
          <w:lang w:eastAsia="en-IN" w:bidi="hi-IN"/>
          <w14:ligatures w14:val="none"/>
        </w:rPr>
        <w:t>24</w:t>
      </w:r>
      <w:r w:rsidRPr="007F099A">
        <w:rPr>
          <w:rFonts w:ascii="Times New Roman" w:eastAsia="Times New Roman" w:hAnsi="Times New Roman" w:cs="Times New Roman"/>
          <w:color w:val="1F1F1F"/>
          <w:kern w:val="0"/>
          <w:sz w:val="24"/>
          <w:szCs w:val="24"/>
          <w:lang w:eastAsia="en-IN" w:bidi="hi-IN"/>
          <w14:ligatures w14:val="none"/>
        </w:rPr>
        <w:t>-</w:t>
      </w:r>
      <w:r w:rsidR="007F099A">
        <w:rPr>
          <w:rFonts w:ascii="Times New Roman" w:eastAsia="Times New Roman" w:hAnsi="Times New Roman" w:cs="Times New Roman"/>
          <w:color w:val="1F1F1F"/>
          <w:kern w:val="0"/>
          <w:sz w:val="24"/>
          <w:szCs w:val="24"/>
          <w:lang w:eastAsia="en-IN" w:bidi="hi-IN"/>
          <w14:ligatures w14:val="none"/>
        </w:rPr>
        <w:t>25</w:t>
      </w:r>
      <w:r w:rsidRPr="007F099A">
        <w:rPr>
          <w:rFonts w:ascii="Times New Roman" w:eastAsia="Times New Roman" w:hAnsi="Times New Roman" w:cs="Times New Roman"/>
          <w:color w:val="1F1F1F"/>
          <w:kern w:val="0"/>
          <w:sz w:val="24"/>
          <w:szCs w:val="24"/>
          <w:lang w:eastAsia="en-IN" w:bidi="hi-IN"/>
          <w14:ligatures w14:val="none"/>
        </w:rPr>
        <w:t xml:space="preserve">) across various villages. The primary objective was to assess the technology against traditional farmer practices (control) by measuring agronomic improvements, economic viability, and the efficacy of FLDs as an extension methodology for accelerating technology adoption. Data from 39 participating farmers (13 per year) were </w:t>
      </w:r>
      <w:proofErr w:type="spellStart"/>
      <w:r w:rsidRPr="007F099A">
        <w:rPr>
          <w:rFonts w:ascii="Times New Roman" w:eastAsia="Times New Roman" w:hAnsi="Times New Roman" w:cs="Times New Roman"/>
          <w:color w:val="1F1F1F"/>
          <w:kern w:val="0"/>
          <w:sz w:val="24"/>
          <w:szCs w:val="24"/>
          <w:lang w:eastAsia="en-IN" w:bidi="hi-IN"/>
          <w14:ligatures w14:val="none"/>
        </w:rPr>
        <w:t>analyzed</w:t>
      </w:r>
      <w:proofErr w:type="spellEnd"/>
      <w:r w:rsidRPr="007F099A">
        <w:rPr>
          <w:rFonts w:ascii="Times New Roman" w:eastAsia="Times New Roman" w:hAnsi="Times New Roman" w:cs="Times New Roman"/>
          <w:color w:val="1F1F1F"/>
          <w:kern w:val="0"/>
          <w:sz w:val="24"/>
          <w:szCs w:val="24"/>
          <w:lang w:eastAsia="en-IN" w:bidi="hi-IN"/>
          <w14:ligatures w14:val="none"/>
        </w:rPr>
        <w:t>.</w:t>
      </w:r>
    </w:p>
    <w:p w14:paraId="772B185F" w14:textId="3C46112F" w:rsidR="00ED30DA" w:rsidRDefault="00ED30DA" w:rsidP="007F099A">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lang w:eastAsia="en-IN" w:bidi="hi-IN"/>
          <w14:ligatures w14:val="none"/>
        </w:rPr>
        <w:t>Agronomic results indicated a consistent and statistically significant improvement in fruit girth and overall yield. In 20</w:t>
      </w:r>
      <w:r w:rsidR="007F099A">
        <w:rPr>
          <w:rFonts w:ascii="Times New Roman" w:eastAsia="Times New Roman" w:hAnsi="Times New Roman" w:cs="Times New Roman"/>
          <w:color w:val="1F1F1F"/>
          <w:kern w:val="0"/>
          <w:sz w:val="24"/>
          <w:szCs w:val="24"/>
          <w:lang w:eastAsia="en-IN" w:bidi="hi-IN"/>
          <w14:ligatures w14:val="none"/>
        </w:rPr>
        <w:t>22</w:t>
      </w:r>
      <w:r w:rsidRPr="007F099A">
        <w:rPr>
          <w:rFonts w:ascii="Times New Roman" w:eastAsia="Times New Roman" w:hAnsi="Times New Roman" w:cs="Times New Roman"/>
          <w:color w:val="1F1F1F"/>
          <w:kern w:val="0"/>
          <w:sz w:val="24"/>
          <w:szCs w:val="24"/>
          <w:lang w:eastAsia="en-IN" w:bidi="hi-IN"/>
          <w14:ligatures w14:val="none"/>
        </w:rPr>
        <w:t>-</w:t>
      </w:r>
      <w:r w:rsidR="007F099A">
        <w:rPr>
          <w:rFonts w:ascii="Times New Roman" w:eastAsia="Times New Roman" w:hAnsi="Times New Roman" w:cs="Times New Roman"/>
          <w:color w:val="1F1F1F"/>
          <w:kern w:val="0"/>
          <w:sz w:val="24"/>
          <w:szCs w:val="24"/>
          <w:lang w:eastAsia="en-IN" w:bidi="hi-IN"/>
          <w14:ligatures w14:val="none"/>
        </w:rPr>
        <w:t>23</w:t>
      </w:r>
      <w:r w:rsidRPr="007F099A">
        <w:rPr>
          <w:rFonts w:ascii="Times New Roman" w:eastAsia="Times New Roman" w:hAnsi="Times New Roman" w:cs="Times New Roman"/>
          <w:color w:val="1F1F1F"/>
          <w:kern w:val="0"/>
          <w:sz w:val="24"/>
          <w:szCs w:val="24"/>
          <w:lang w:eastAsia="en-IN" w:bidi="hi-IN"/>
          <w14:ligatures w14:val="none"/>
        </w:rPr>
        <w:t>, the average yield per hectare increased by 13.16%, with similar sustained growth in subsequent years. Economically, despite an additional expenditure of Rs. 54,450/ha for skirting bags, the intervention yielded a substantially higher average Benefit-Cost (B:C) ratio compared to the control, culminating in a B:C ratio of 2.78 in 20</w:t>
      </w:r>
      <w:r w:rsidR="007F099A">
        <w:rPr>
          <w:rFonts w:ascii="Times New Roman" w:eastAsia="Times New Roman" w:hAnsi="Times New Roman" w:cs="Times New Roman"/>
          <w:color w:val="1F1F1F"/>
          <w:kern w:val="0"/>
          <w:sz w:val="24"/>
          <w:szCs w:val="24"/>
          <w:lang w:eastAsia="en-IN" w:bidi="hi-IN"/>
          <w14:ligatures w14:val="none"/>
        </w:rPr>
        <w:t>24</w:t>
      </w:r>
      <w:r w:rsidRPr="007F099A">
        <w:rPr>
          <w:rFonts w:ascii="Times New Roman" w:eastAsia="Times New Roman" w:hAnsi="Times New Roman" w:cs="Times New Roman"/>
          <w:color w:val="1F1F1F"/>
          <w:kern w:val="0"/>
          <w:sz w:val="24"/>
          <w:szCs w:val="24"/>
          <w:lang w:eastAsia="en-IN" w:bidi="hi-IN"/>
          <w14:ligatures w14:val="none"/>
        </w:rPr>
        <w:t>-</w:t>
      </w:r>
      <w:r w:rsidR="007F099A">
        <w:rPr>
          <w:rFonts w:ascii="Times New Roman" w:eastAsia="Times New Roman" w:hAnsi="Times New Roman" w:cs="Times New Roman"/>
          <w:color w:val="1F1F1F"/>
          <w:kern w:val="0"/>
          <w:sz w:val="24"/>
          <w:szCs w:val="24"/>
          <w:lang w:eastAsia="en-IN" w:bidi="hi-IN"/>
          <w14:ligatures w14:val="none"/>
        </w:rPr>
        <w:t>25</w:t>
      </w:r>
      <w:r w:rsidRPr="007F099A">
        <w:rPr>
          <w:rFonts w:ascii="Times New Roman" w:eastAsia="Times New Roman" w:hAnsi="Times New Roman" w:cs="Times New Roman"/>
          <w:color w:val="1F1F1F"/>
          <w:kern w:val="0"/>
          <w:sz w:val="24"/>
          <w:szCs w:val="24"/>
          <w:lang w:eastAsia="en-IN" w:bidi="hi-IN"/>
          <w14:ligatures w14:val="none"/>
        </w:rPr>
        <w:t>. The Incremental Cost-Benefit Ratio (ICBR) proved the investment highly lucrative. Furthermore, the extension analysis revealed that the technology significantly reduced yield variability among farmers, mitigating perceived financial risks. The sustained positive outcomes across diverse geographical micro-climates within the study area underscore skirting as a highly profitable intervention and validate the participatory FLD model for bridging the lab-to-land gap in agricultural technology.</w:t>
      </w:r>
    </w:p>
    <w:p w14:paraId="3DAB034E" w14:textId="65DD09D4" w:rsidR="00E076A3" w:rsidRDefault="00E076A3" w:rsidP="00E076A3">
      <w:pPr>
        <w:pStyle w:val="NormalWeb"/>
      </w:pPr>
      <w:r w:rsidRPr="00E076A3">
        <w:rPr>
          <w:b/>
          <w:bCs/>
          <w:color w:val="1F1F1F"/>
        </w:rPr>
        <w:t>Key words</w:t>
      </w:r>
      <w:r>
        <w:rPr>
          <w:color w:val="1F1F1F"/>
        </w:rPr>
        <w:t xml:space="preserve">: </w:t>
      </w:r>
      <w:r w:rsidRPr="00E076A3">
        <w:t>Bunch Skirting, Banana (</w:t>
      </w:r>
      <w:r w:rsidRPr="00E076A3">
        <w:rPr>
          <w:i/>
          <w:iCs/>
        </w:rPr>
        <w:t>Musa spp.</w:t>
      </w:r>
      <w:r w:rsidRPr="00E076A3">
        <w:t>), Field Level Demonstration (FLD), Cost-</w:t>
      </w:r>
      <w:r>
        <w:t xml:space="preserve">     </w:t>
      </w:r>
      <w:r w:rsidRPr="00E076A3">
        <w:t>Benefit Ratio, Yield Enhancement</w:t>
      </w:r>
    </w:p>
    <w:p w14:paraId="4B52F3F7" w14:textId="2B438FA0" w:rsidR="00ED30DA" w:rsidRPr="007F099A" w:rsidRDefault="00ED30DA" w:rsidP="007F099A">
      <w:pPr>
        <w:spacing w:after="120" w:line="240" w:lineRule="auto"/>
        <w:jc w:val="both"/>
        <w:rPr>
          <w:rFonts w:ascii="Times New Roman" w:eastAsia="Times New Roman" w:hAnsi="Times New Roman" w:cs="Times New Roman"/>
          <w:color w:val="1F1F1F"/>
          <w:kern w:val="0"/>
          <w:sz w:val="24"/>
          <w:szCs w:val="24"/>
          <w:lang w:eastAsia="en-IN" w:bidi="hi-IN"/>
          <w14:ligatures w14:val="none"/>
        </w:rPr>
      </w:pPr>
    </w:p>
    <w:p w14:paraId="48662385" w14:textId="77777777" w:rsidR="00ED30DA" w:rsidRPr="007F099A" w:rsidRDefault="00ED30DA" w:rsidP="007F099A">
      <w:pPr>
        <w:spacing w:after="120" w:line="240" w:lineRule="auto"/>
        <w:jc w:val="both"/>
        <w:outlineLvl w:val="1"/>
        <w:rPr>
          <w:rFonts w:ascii="Times New Roman" w:eastAsia="Times New Roman" w:hAnsi="Times New Roman" w:cs="Times New Roman"/>
          <w:b/>
          <w:bCs/>
          <w:color w:val="1F1F1F"/>
          <w:kern w:val="0"/>
          <w:sz w:val="28"/>
          <w:szCs w:val="28"/>
          <w:lang w:eastAsia="en-IN" w:bidi="hi-IN"/>
          <w14:ligatures w14:val="none"/>
        </w:rPr>
      </w:pPr>
      <w:r w:rsidRPr="007F099A">
        <w:rPr>
          <w:rFonts w:ascii="Times New Roman" w:eastAsia="Times New Roman" w:hAnsi="Times New Roman" w:cs="Times New Roman"/>
          <w:b/>
          <w:bCs/>
          <w:color w:val="1F1F1F"/>
          <w:kern w:val="0"/>
          <w:sz w:val="28"/>
          <w:szCs w:val="28"/>
          <w:lang w:eastAsia="en-IN" w:bidi="hi-IN"/>
          <w14:ligatures w14:val="none"/>
        </w:rPr>
        <w:t>1. Introduction</w:t>
      </w:r>
    </w:p>
    <w:p w14:paraId="6588D7A7" w14:textId="413F268F" w:rsidR="00336A68" w:rsidRPr="00336A68" w:rsidRDefault="00336A68" w:rsidP="00336A68">
      <w:pPr>
        <w:spacing w:after="120" w:line="240" w:lineRule="auto"/>
        <w:jc w:val="both"/>
        <w:rPr>
          <w:rFonts w:ascii="Times New Roman" w:eastAsia="Times New Roman" w:hAnsi="Times New Roman" w:cs="Times New Roman"/>
          <w:color w:val="1F1F1F"/>
          <w:kern w:val="0"/>
          <w:sz w:val="24"/>
          <w:szCs w:val="24"/>
          <w:lang w:eastAsia="en-IN" w:bidi="hi-IN"/>
          <w14:ligatures w14:val="none"/>
        </w:rPr>
      </w:pPr>
      <w:r w:rsidRPr="00336A68">
        <w:rPr>
          <w:rFonts w:ascii="Times New Roman" w:eastAsia="Times New Roman" w:hAnsi="Times New Roman" w:cs="Times New Roman"/>
          <w:color w:val="1F1F1F"/>
          <w:kern w:val="0"/>
          <w:sz w:val="24"/>
          <w:szCs w:val="24"/>
          <w:lang w:eastAsia="en-IN" w:bidi="hi-IN"/>
          <w14:ligatures w14:val="none"/>
        </w:rPr>
        <w:t>The global agricultural landscape places a high premium on not just the total volume of crop yield, but the aesthetic and physiological quality of the produce. Banana (</w:t>
      </w:r>
      <w:r w:rsidRPr="00336A68">
        <w:rPr>
          <w:rFonts w:ascii="Times New Roman" w:eastAsia="Times New Roman" w:hAnsi="Times New Roman" w:cs="Times New Roman"/>
          <w:i/>
          <w:iCs/>
          <w:color w:val="1F1F1F"/>
          <w:kern w:val="0"/>
          <w:sz w:val="24"/>
          <w:szCs w:val="24"/>
          <w:lang w:eastAsia="en-IN" w:bidi="hi-IN"/>
          <w14:ligatures w14:val="none"/>
        </w:rPr>
        <w:t xml:space="preserve">Musa </w:t>
      </w:r>
      <w:proofErr w:type="spellStart"/>
      <w:r w:rsidRPr="00336A68">
        <w:rPr>
          <w:rFonts w:ascii="Times New Roman" w:eastAsia="Times New Roman" w:hAnsi="Times New Roman" w:cs="Times New Roman"/>
          <w:i/>
          <w:iCs/>
          <w:color w:val="1F1F1F"/>
          <w:kern w:val="0"/>
          <w:sz w:val="24"/>
          <w:szCs w:val="24"/>
          <w:lang w:eastAsia="en-IN" w:bidi="hi-IN"/>
          <w14:ligatures w14:val="none"/>
        </w:rPr>
        <w:t>sapientum</w:t>
      </w:r>
      <w:proofErr w:type="spellEnd"/>
      <w:r w:rsidRPr="00336A68">
        <w:rPr>
          <w:rFonts w:ascii="Times New Roman" w:eastAsia="Times New Roman" w:hAnsi="Times New Roman" w:cs="Times New Roman"/>
          <w:color w:val="1F1F1F"/>
          <w:kern w:val="0"/>
          <w:sz w:val="24"/>
          <w:szCs w:val="24"/>
          <w:lang w:eastAsia="en-IN" w:bidi="hi-IN"/>
          <w14:ligatures w14:val="none"/>
        </w:rPr>
        <w:t>) is an important fruit crop globally, and its commercial viability is heavily dependent on the visual appeal and size of the individual fingers. While India leads the world in banana production, accounting for around 18% of the worldwide crop of 139 million metric tonnes, its exports remain minimal for various quality-related reasons. In highly competitive export markets and local supermarkets, the physical appearance of the peel</w:t>
      </w:r>
      <w:r>
        <w:rPr>
          <w:rFonts w:ascii="Times New Roman" w:eastAsia="Times New Roman" w:hAnsi="Times New Roman" w:cs="Times New Roman"/>
          <w:color w:val="1F1F1F"/>
          <w:kern w:val="0"/>
          <w:sz w:val="24"/>
          <w:szCs w:val="24"/>
          <w:lang w:eastAsia="en-IN" w:bidi="hi-IN"/>
          <w14:ligatures w14:val="none"/>
        </w:rPr>
        <w:t xml:space="preserve"> </w:t>
      </w:r>
      <w:r w:rsidRPr="00336A68">
        <w:rPr>
          <w:rFonts w:ascii="Times New Roman" w:eastAsia="Times New Roman" w:hAnsi="Times New Roman" w:cs="Times New Roman"/>
          <w:color w:val="1F1F1F"/>
          <w:kern w:val="0"/>
          <w:sz w:val="24"/>
          <w:szCs w:val="24"/>
          <w:lang w:eastAsia="en-IN" w:bidi="hi-IN"/>
          <w14:ligatures w14:val="none"/>
        </w:rPr>
        <w:t>including key attributes such as uniform colour, shape, size, and freedom from defects</w:t>
      </w:r>
      <w:r>
        <w:rPr>
          <w:rFonts w:ascii="Times New Roman" w:eastAsia="Times New Roman" w:hAnsi="Times New Roman" w:cs="Times New Roman"/>
          <w:color w:val="1F1F1F"/>
          <w:kern w:val="0"/>
          <w:sz w:val="24"/>
          <w:szCs w:val="24"/>
          <w:lang w:eastAsia="en-IN" w:bidi="hi-IN"/>
          <w14:ligatures w14:val="none"/>
        </w:rPr>
        <w:t xml:space="preserve"> </w:t>
      </w:r>
      <w:r w:rsidRPr="00336A68">
        <w:rPr>
          <w:rFonts w:ascii="Times New Roman" w:eastAsia="Times New Roman" w:hAnsi="Times New Roman" w:cs="Times New Roman"/>
          <w:color w:val="1F1F1F"/>
          <w:kern w:val="0"/>
          <w:sz w:val="24"/>
          <w:szCs w:val="24"/>
          <w:lang w:eastAsia="en-IN" w:bidi="hi-IN"/>
          <w14:ligatures w14:val="none"/>
        </w:rPr>
        <w:t xml:space="preserve">is crucial for ensuring repeat purchases (Hewett, 2006; Shewfelt, 2009). </w:t>
      </w:r>
    </w:p>
    <w:p w14:paraId="4DC604A6" w14:textId="77777777" w:rsidR="00336A68" w:rsidRPr="00336A68" w:rsidRDefault="00336A68" w:rsidP="00336A68">
      <w:pPr>
        <w:spacing w:after="120" w:line="240" w:lineRule="auto"/>
        <w:jc w:val="both"/>
        <w:rPr>
          <w:rFonts w:ascii="Times New Roman" w:eastAsia="Times New Roman" w:hAnsi="Times New Roman" w:cs="Times New Roman"/>
          <w:color w:val="1F1F1F"/>
          <w:kern w:val="0"/>
          <w:sz w:val="24"/>
          <w:szCs w:val="24"/>
          <w:lang w:eastAsia="en-IN" w:bidi="hi-IN"/>
          <w14:ligatures w14:val="none"/>
        </w:rPr>
      </w:pPr>
      <w:r w:rsidRPr="00336A68">
        <w:rPr>
          <w:rFonts w:ascii="Times New Roman" w:eastAsia="Times New Roman" w:hAnsi="Times New Roman" w:cs="Times New Roman"/>
          <w:color w:val="1F1F1F"/>
          <w:kern w:val="0"/>
          <w:sz w:val="24"/>
          <w:szCs w:val="24"/>
          <w:lang w:eastAsia="en-IN" w:bidi="hi-IN"/>
          <w14:ligatures w14:val="none"/>
        </w:rPr>
        <w:t xml:space="preserve">However, in tropical and subtropical growing regions, banana bunches are continuously exposed to a myriad of biotic and abiotic stress factors during the long four to six months it takes for the fruits to ripen. Fluctuating extreme temperatures, wind-borne debris hitting the delicate outer skin, intense solar radiation leading to sunscald, and the abrasive rubbing of adjacent leaves and petioles frequently cause superficial blemishes and cellular damage (Anon, </w:t>
      </w:r>
      <w:r w:rsidRPr="00336A68">
        <w:rPr>
          <w:rFonts w:ascii="Times New Roman" w:eastAsia="Times New Roman" w:hAnsi="Times New Roman" w:cs="Times New Roman"/>
          <w:color w:val="1F1F1F"/>
          <w:kern w:val="0"/>
          <w:sz w:val="24"/>
          <w:szCs w:val="24"/>
          <w:lang w:eastAsia="en-IN" w:bidi="hi-IN"/>
          <w14:ligatures w14:val="none"/>
        </w:rPr>
        <w:lastRenderedPageBreak/>
        <w:t>2003). Furthermore, pre-harvest feeding by insect pests, such as various species of thrips and fruit scarring beetles (</w:t>
      </w:r>
      <w:proofErr w:type="spellStart"/>
      <w:r w:rsidRPr="00336A68">
        <w:rPr>
          <w:rFonts w:ascii="Times New Roman" w:eastAsia="Times New Roman" w:hAnsi="Times New Roman" w:cs="Times New Roman"/>
          <w:i/>
          <w:iCs/>
          <w:color w:val="1F1F1F"/>
          <w:kern w:val="0"/>
          <w:sz w:val="24"/>
          <w:szCs w:val="24"/>
          <w:lang w:eastAsia="en-IN" w:bidi="hi-IN"/>
          <w14:ligatures w14:val="none"/>
        </w:rPr>
        <w:t>Colaspis</w:t>
      </w:r>
      <w:proofErr w:type="spellEnd"/>
      <w:r w:rsidRPr="00336A68">
        <w:rPr>
          <w:rFonts w:ascii="Times New Roman" w:eastAsia="Times New Roman" w:hAnsi="Times New Roman" w:cs="Times New Roman"/>
          <w:i/>
          <w:iCs/>
          <w:color w:val="1F1F1F"/>
          <w:kern w:val="0"/>
          <w:sz w:val="24"/>
          <w:szCs w:val="24"/>
          <w:lang w:eastAsia="en-IN" w:bidi="hi-IN"/>
          <w14:ligatures w14:val="none"/>
        </w:rPr>
        <w:t xml:space="preserve"> </w:t>
      </w:r>
      <w:proofErr w:type="spellStart"/>
      <w:r w:rsidRPr="00336A68">
        <w:rPr>
          <w:rFonts w:ascii="Times New Roman" w:eastAsia="Times New Roman" w:hAnsi="Times New Roman" w:cs="Times New Roman"/>
          <w:i/>
          <w:iCs/>
          <w:color w:val="1F1F1F"/>
          <w:kern w:val="0"/>
          <w:sz w:val="24"/>
          <w:szCs w:val="24"/>
          <w:lang w:eastAsia="en-IN" w:bidi="hi-IN"/>
          <w14:ligatures w14:val="none"/>
        </w:rPr>
        <w:t>hypochlora</w:t>
      </w:r>
      <w:proofErr w:type="spellEnd"/>
      <w:r w:rsidRPr="00336A68">
        <w:rPr>
          <w:rFonts w:ascii="Times New Roman" w:eastAsia="Times New Roman" w:hAnsi="Times New Roman" w:cs="Times New Roman"/>
          <w:color w:val="1F1F1F"/>
          <w:kern w:val="0"/>
          <w:sz w:val="24"/>
          <w:szCs w:val="24"/>
          <w:lang w:eastAsia="en-IN" w:bidi="hi-IN"/>
          <w14:ligatures w14:val="none"/>
        </w:rPr>
        <w:t xml:space="preserve">), as well as damage from birds and bats, are primarily responsible for severe peel degradation. These factors lead to a significant downgrade in fruit quality, ultimately resulting in severe economic losses for the cultivator in both domestic and export markets where quality standards are strict. </w:t>
      </w:r>
    </w:p>
    <w:p w14:paraId="40AD2C1F" w14:textId="40D96AE6" w:rsidR="00336A68" w:rsidRPr="00336A68" w:rsidRDefault="00336A68" w:rsidP="00336A68">
      <w:pPr>
        <w:spacing w:after="120" w:line="240" w:lineRule="auto"/>
        <w:jc w:val="both"/>
        <w:rPr>
          <w:rFonts w:ascii="Times New Roman" w:eastAsia="Times New Roman" w:hAnsi="Times New Roman" w:cs="Times New Roman"/>
          <w:color w:val="1F1F1F"/>
          <w:kern w:val="0"/>
          <w:sz w:val="24"/>
          <w:szCs w:val="24"/>
          <w:lang w:eastAsia="en-IN" w:bidi="hi-IN"/>
          <w14:ligatures w14:val="none"/>
        </w:rPr>
      </w:pPr>
      <w:r w:rsidRPr="00336A68">
        <w:rPr>
          <w:rFonts w:ascii="Times New Roman" w:eastAsia="Times New Roman" w:hAnsi="Times New Roman" w:cs="Times New Roman"/>
          <w:color w:val="1F1F1F"/>
          <w:kern w:val="0"/>
          <w:sz w:val="24"/>
          <w:szCs w:val="24"/>
          <w:lang w:eastAsia="en-IN" w:bidi="hi-IN"/>
          <w14:ligatures w14:val="none"/>
        </w:rPr>
        <w:t>To mitigate these challenges, the physical protection of the developing fruit bunch is required. Bunch skirting</w:t>
      </w:r>
      <w:r>
        <w:rPr>
          <w:rFonts w:ascii="Times New Roman" w:eastAsia="Times New Roman" w:hAnsi="Times New Roman" w:cs="Times New Roman"/>
          <w:color w:val="1F1F1F"/>
          <w:kern w:val="0"/>
          <w:sz w:val="24"/>
          <w:szCs w:val="24"/>
          <w:lang w:eastAsia="en-IN" w:bidi="hi-IN"/>
          <w14:ligatures w14:val="none"/>
        </w:rPr>
        <w:t xml:space="preserve"> </w:t>
      </w:r>
      <w:r w:rsidRPr="00336A68">
        <w:rPr>
          <w:rFonts w:ascii="Times New Roman" w:eastAsia="Times New Roman" w:hAnsi="Times New Roman" w:cs="Times New Roman"/>
          <w:color w:val="1F1F1F"/>
          <w:kern w:val="0"/>
          <w:sz w:val="24"/>
          <w:szCs w:val="24"/>
          <w:lang w:eastAsia="en-IN" w:bidi="hi-IN"/>
          <w14:ligatures w14:val="none"/>
        </w:rPr>
        <w:t>the practice of covering the banana bunch with specialized polyethylene or woven bags shortly after the emergence of the last hand</w:t>
      </w:r>
      <w:r>
        <w:rPr>
          <w:rFonts w:ascii="Times New Roman" w:eastAsia="Times New Roman" w:hAnsi="Times New Roman" w:cs="Times New Roman"/>
          <w:color w:val="1F1F1F"/>
          <w:kern w:val="0"/>
          <w:sz w:val="24"/>
          <w:szCs w:val="24"/>
          <w:lang w:eastAsia="en-IN" w:bidi="hi-IN"/>
          <w14:ligatures w14:val="none"/>
        </w:rPr>
        <w:t xml:space="preserve"> </w:t>
      </w:r>
      <w:r w:rsidRPr="00336A68">
        <w:rPr>
          <w:rFonts w:ascii="Times New Roman" w:eastAsia="Times New Roman" w:hAnsi="Times New Roman" w:cs="Times New Roman"/>
          <w:color w:val="1F1F1F"/>
          <w:kern w:val="0"/>
          <w:sz w:val="24"/>
          <w:szCs w:val="24"/>
          <w:lang w:eastAsia="en-IN" w:bidi="hi-IN"/>
          <w14:ligatures w14:val="none"/>
        </w:rPr>
        <w:t>has been recognized as a highly effective micro</w:t>
      </w:r>
      <w:r>
        <w:rPr>
          <w:rFonts w:ascii="Times New Roman" w:eastAsia="Times New Roman" w:hAnsi="Times New Roman" w:cs="Times New Roman"/>
          <w:color w:val="1F1F1F"/>
          <w:kern w:val="0"/>
          <w:sz w:val="24"/>
          <w:szCs w:val="24"/>
          <w:lang w:eastAsia="en-IN" w:bidi="hi-IN"/>
          <w14:ligatures w14:val="none"/>
        </w:rPr>
        <w:t xml:space="preserve"> </w:t>
      </w:r>
      <w:r w:rsidRPr="00336A68">
        <w:rPr>
          <w:rFonts w:ascii="Times New Roman" w:eastAsia="Times New Roman" w:hAnsi="Times New Roman" w:cs="Times New Roman"/>
          <w:color w:val="1F1F1F"/>
          <w:kern w:val="0"/>
          <w:sz w:val="24"/>
          <w:szCs w:val="24"/>
          <w:lang w:eastAsia="en-IN" w:bidi="hi-IN"/>
          <w14:ligatures w14:val="none"/>
        </w:rPr>
        <w:t>climate engineering technique. The skirting bag serves a dual purpose. First, it acts as a mechanical barrier against insect vectors, bird feeding, dust, light hail, and mechanical abrasions caused by adjacent leaves, while also preventing agrochemical residues from settling directly on the fruit. Second, it creates a favourable microenvironment around the developing fruit (Fan and Mattheis, 1998). The modified internal atmosphere, characterized by retained humidity and elevated temperatures</w:t>
      </w:r>
      <w:r>
        <w:rPr>
          <w:rFonts w:ascii="Times New Roman" w:eastAsia="Times New Roman" w:hAnsi="Times New Roman" w:cs="Times New Roman"/>
          <w:color w:val="1F1F1F"/>
          <w:kern w:val="0"/>
          <w:sz w:val="24"/>
          <w:szCs w:val="24"/>
          <w:lang w:eastAsia="en-IN" w:bidi="hi-IN"/>
          <w14:ligatures w14:val="none"/>
        </w:rPr>
        <w:t xml:space="preserve"> </w:t>
      </w:r>
      <w:r w:rsidRPr="00336A68">
        <w:rPr>
          <w:rFonts w:ascii="Times New Roman" w:eastAsia="Times New Roman" w:hAnsi="Times New Roman" w:cs="Times New Roman"/>
          <w:color w:val="1F1F1F"/>
          <w:kern w:val="0"/>
          <w:sz w:val="24"/>
          <w:szCs w:val="24"/>
          <w:lang w:eastAsia="en-IN" w:bidi="hi-IN"/>
          <w14:ligatures w14:val="none"/>
        </w:rPr>
        <w:t>which can increase on average by 0.5°C (</w:t>
      </w:r>
      <w:proofErr w:type="spellStart"/>
      <w:r w:rsidRPr="00336A68">
        <w:rPr>
          <w:rFonts w:ascii="Times New Roman" w:eastAsia="Times New Roman" w:hAnsi="Times New Roman" w:cs="Times New Roman"/>
          <w:color w:val="1F1F1F"/>
          <w:kern w:val="0"/>
          <w:sz w:val="24"/>
          <w:szCs w:val="24"/>
          <w:lang w:eastAsia="en-IN" w:bidi="hi-IN"/>
          <w14:ligatures w14:val="none"/>
        </w:rPr>
        <w:t>Ganry</w:t>
      </w:r>
      <w:proofErr w:type="spellEnd"/>
      <w:r w:rsidRPr="00336A68">
        <w:rPr>
          <w:rFonts w:ascii="Times New Roman" w:eastAsia="Times New Roman" w:hAnsi="Times New Roman" w:cs="Times New Roman"/>
          <w:color w:val="1F1F1F"/>
          <w:kern w:val="0"/>
          <w:sz w:val="24"/>
          <w:szCs w:val="24"/>
          <w:lang w:eastAsia="en-IN" w:bidi="hi-IN"/>
          <w14:ligatures w14:val="none"/>
        </w:rPr>
        <w:t>, 1975) and up to 7°C during the warmest hours (Soto, 2010)</w:t>
      </w:r>
      <w:r>
        <w:rPr>
          <w:rFonts w:ascii="Times New Roman" w:eastAsia="Times New Roman" w:hAnsi="Times New Roman" w:cs="Times New Roman"/>
          <w:color w:val="1F1F1F"/>
          <w:kern w:val="0"/>
          <w:sz w:val="24"/>
          <w:szCs w:val="24"/>
          <w:lang w:eastAsia="en-IN" w:bidi="hi-IN"/>
          <w14:ligatures w14:val="none"/>
        </w:rPr>
        <w:t xml:space="preserve"> </w:t>
      </w:r>
      <w:r w:rsidRPr="00336A68">
        <w:rPr>
          <w:rFonts w:ascii="Times New Roman" w:eastAsia="Times New Roman" w:hAnsi="Times New Roman" w:cs="Times New Roman"/>
          <w:color w:val="1F1F1F"/>
          <w:kern w:val="0"/>
          <w:sz w:val="24"/>
          <w:szCs w:val="24"/>
          <w:lang w:eastAsia="en-IN" w:bidi="hi-IN"/>
          <w14:ligatures w14:val="none"/>
        </w:rPr>
        <w:t xml:space="preserve">accelerates physiological development. This leads to an increase in fruit girth, length, and overall bunch weight, and can reduce the flower-to-harvest interval by 4 to 14 days. Furthermore, covers protect the fruit from winter chilling and temperatures below 12°C to 13°C, which otherwise cause unacceptable under-peel discolouration (Hailu et al., 2013; Snowden, 2010). By adopting this physical protection technique, more emphasis is placed on reducing the use of chemical pesticides, thereby ensuring worker safety and environmental protection (Sharma et al., 2009). </w:t>
      </w:r>
    </w:p>
    <w:p w14:paraId="4E82769B" w14:textId="77777777" w:rsidR="00336A68" w:rsidRPr="00336A68" w:rsidRDefault="00336A68" w:rsidP="00336A68">
      <w:pPr>
        <w:spacing w:after="120" w:line="240" w:lineRule="auto"/>
        <w:jc w:val="both"/>
        <w:rPr>
          <w:rFonts w:ascii="Times New Roman" w:eastAsia="Times New Roman" w:hAnsi="Times New Roman" w:cs="Times New Roman"/>
          <w:color w:val="1F1F1F"/>
          <w:kern w:val="0"/>
          <w:sz w:val="24"/>
          <w:szCs w:val="24"/>
          <w:lang w:eastAsia="en-IN" w:bidi="hi-IN"/>
          <w14:ligatures w14:val="none"/>
        </w:rPr>
      </w:pPr>
      <w:r w:rsidRPr="00336A68">
        <w:rPr>
          <w:rFonts w:ascii="Times New Roman" w:eastAsia="Times New Roman" w:hAnsi="Times New Roman" w:cs="Times New Roman"/>
          <w:color w:val="1F1F1F"/>
          <w:kern w:val="0"/>
          <w:sz w:val="24"/>
          <w:szCs w:val="24"/>
          <w:lang w:eastAsia="en-IN" w:bidi="hi-IN"/>
          <w14:ligatures w14:val="none"/>
        </w:rPr>
        <w:t xml:space="preserve">Despite the proven physiological benefits of bunch skirting in controlled research environments, widespread adoption among small and marginal farmers remains sluggish. This delayed adoption is primarily attributed to the initial capital investment required for the bags and the intensive labour associated with their application. While modern innovations like UV-stabilized polypropylene spun-bond non-woven fabrics allow for better air and moisture circulation, the upfront cost is still a barrier. Farmers inherently operate in a risk-averse framework; without localized, visible proof of financial returns, theoretical yield increases are insufficient drivers for behavioural change. </w:t>
      </w:r>
    </w:p>
    <w:p w14:paraId="7E0CEDE0" w14:textId="6554860C" w:rsidR="00336A68" w:rsidRPr="00336A68" w:rsidRDefault="00336A68" w:rsidP="00336A68">
      <w:pPr>
        <w:spacing w:after="120" w:line="240" w:lineRule="auto"/>
        <w:jc w:val="both"/>
        <w:rPr>
          <w:rFonts w:ascii="Times New Roman" w:eastAsia="Times New Roman" w:hAnsi="Times New Roman" w:cs="Times New Roman"/>
          <w:color w:val="1F1F1F"/>
          <w:kern w:val="0"/>
          <w:sz w:val="24"/>
          <w:szCs w:val="24"/>
          <w:lang w:eastAsia="en-IN" w:bidi="hi-IN"/>
          <w14:ligatures w14:val="none"/>
        </w:rPr>
      </w:pPr>
      <w:r w:rsidRPr="00336A68">
        <w:rPr>
          <w:rFonts w:ascii="Times New Roman" w:eastAsia="Times New Roman" w:hAnsi="Times New Roman" w:cs="Times New Roman"/>
          <w:color w:val="1F1F1F"/>
          <w:kern w:val="0"/>
          <w:sz w:val="24"/>
          <w:szCs w:val="24"/>
          <w:lang w:eastAsia="en-IN" w:bidi="hi-IN"/>
          <w14:ligatures w14:val="none"/>
        </w:rPr>
        <w:t>Consequently, agricultural extension systems utilize Field Level Demonstrations (FLDs) to bridge the technology transfer gap. FLDs are not merely experimental trials; they are participatory, on-farm educational tools designed to demonstrate the techno-economic viability of a new practice alongside traditional methods. Because bunch covering is laborious, its benefit-cost ratio must be rigorously investigated and proven in the field to promote the widespread adoption of the method</w:t>
      </w:r>
      <w:r w:rsidR="00FA064C">
        <w:rPr>
          <w:rFonts w:ascii="Times New Roman" w:eastAsia="Times New Roman" w:hAnsi="Times New Roman" w:cs="Times New Roman"/>
          <w:color w:val="1F1F1F"/>
          <w:kern w:val="0"/>
          <w:sz w:val="24"/>
          <w:szCs w:val="24"/>
          <w:lang w:eastAsia="en-IN" w:bidi="hi-IN"/>
          <w14:ligatures w14:val="none"/>
        </w:rPr>
        <w:t xml:space="preserve"> (</w:t>
      </w:r>
      <w:r w:rsidR="00FA064C" w:rsidRPr="00FA064C">
        <w:rPr>
          <w:rFonts w:ascii="Times New Roman" w:eastAsia="Times New Roman" w:hAnsi="Times New Roman" w:cs="Times New Roman"/>
          <w:color w:val="1F1F1F"/>
          <w:kern w:val="0"/>
          <w:sz w:val="24"/>
          <w:szCs w:val="24"/>
          <w:lang w:eastAsia="en-IN" w:bidi="hi-IN"/>
          <w14:ligatures w14:val="none"/>
        </w:rPr>
        <w:t>Thakare</w:t>
      </w:r>
      <w:r w:rsidR="00FA064C">
        <w:rPr>
          <w:rFonts w:ascii="Times New Roman" w:eastAsia="Times New Roman" w:hAnsi="Times New Roman" w:cs="Times New Roman"/>
          <w:color w:val="1F1F1F"/>
          <w:kern w:val="0"/>
          <w:sz w:val="24"/>
          <w:szCs w:val="24"/>
          <w:lang w:eastAsia="en-IN" w:bidi="hi-IN"/>
          <w14:ligatures w14:val="none"/>
        </w:rPr>
        <w:t xml:space="preserve"> U.G and</w:t>
      </w:r>
      <w:r w:rsidR="00FA064C" w:rsidRPr="00FA064C">
        <w:rPr>
          <w:rFonts w:ascii="Times New Roman" w:eastAsia="Times New Roman" w:hAnsi="Times New Roman" w:cs="Times New Roman"/>
          <w:color w:val="1F1F1F"/>
          <w:kern w:val="0"/>
          <w:sz w:val="24"/>
          <w:szCs w:val="24"/>
          <w:lang w:eastAsia="en-IN" w:bidi="hi-IN"/>
          <w14:ligatures w14:val="none"/>
        </w:rPr>
        <w:t xml:space="preserve"> Ingle, P. O.</w:t>
      </w:r>
      <w:r w:rsidR="00FA064C">
        <w:rPr>
          <w:rFonts w:ascii="Times New Roman" w:eastAsia="Times New Roman" w:hAnsi="Times New Roman" w:cs="Times New Roman"/>
          <w:color w:val="1F1F1F"/>
          <w:kern w:val="0"/>
          <w:sz w:val="24"/>
          <w:szCs w:val="24"/>
          <w:lang w:eastAsia="en-IN" w:bidi="hi-IN"/>
          <w14:ligatures w14:val="none"/>
        </w:rPr>
        <w:t>,</w:t>
      </w:r>
      <w:r w:rsidR="00FA064C" w:rsidRPr="00FA064C">
        <w:rPr>
          <w:rFonts w:ascii="Times New Roman" w:eastAsia="Times New Roman" w:hAnsi="Times New Roman" w:cs="Times New Roman"/>
          <w:color w:val="1F1F1F"/>
          <w:kern w:val="0"/>
          <w:sz w:val="24"/>
          <w:szCs w:val="24"/>
          <w:lang w:eastAsia="en-IN" w:bidi="hi-IN"/>
          <w14:ligatures w14:val="none"/>
        </w:rPr>
        <w:t>2007</w:t>
      </w:r>
      <w:r w:rsidR="00D07CD2">
        <w:rPr>
          <w:rFonts w:ascii="Times New Roman" w:eastAsia="Times New Roman" w:hAnsi="Times New Roman" w:cs="Times New Roman"/>
          <w:color w:val="1F1F1F"/>
          <w:kern w:val="0"/>
          <w:sz w:val="24"/>
          <w:szCs w:val="24"/>
          <w:lang w:eastAsia="en-IN" w:bidi="hi-IN"/>
          <w14:ligatures w14:val="none"/>
        </w:rPr>
        <w:t>; U G Thakare.,2025)</w:t>
      </w:r>
    </w:p>
    <w:p w14:paraId="510E94D9" w14:textId="77777777" w:rsidR="00336A68" w:rsidRPr="00336A68" w:rsidRDefault="00336A68" w:rsidP="00336A68">
      <w:pPr>
        <w:spacing w:after="120" w:line="240" w:lineRule="auto"/>
        <w:jc w:val="both"/>
        <w:rPr>
          <w:rFonts w:ascii="Times New Roman" w:eastAsia="Times New Roman" w:hAnsi="Times New Roman" w:cs="Times New Roman"/>
          <w:color w:val="1F1F1F"/>
          <w:kern w:val="0"/>
          <w:sz w:val="24"/>
          <w:szCs w:val="24"/>
          <w:lang w:eastAsia="en-IN" w:bidi="hi-IN"/>
          <w14:ligatures w14:val="none"/>
        </w:rPr>
      </w:pPr>
      <w:r w:rsidRPr="00336A68">
        <w:rPr>
          <w:rFonts w:ascii="Times New Roman" w:eastAsia="Times New Roman" w:hAnsi="Times New Roman" w:cs="Times New Roman"/>
          <w:color w:val="1F1F1F"/>
          <w:kern w:val="0"/>
          <w:sz w:val="24"/>
          <w:szCs w:val="24"/>
          <w:lang w:eastAsia="en-IN" w:bidi="hi-IN"/>
          <w14:ligatures w14:val="none"/>
        </w:rPr>
        <w:t>This paper presents a comprehensive, three-year longitudinal study evaluating the impact of banana bunch skirting through FLDs. The study is uniquely structured to analyse the intervention through three distinct lenses:</w:t>
      </w:r>
    </w:p>
    <w:p w14:paraId="37712705" w14:textId="77777777" w:rsidR="00336A68" w:rsidRPr="00336A68" w:rsidRDefault="00336A68" w:rsidP="00336A68">
      <w:pPr>
        <w:numPr>
          <w:ilvl w:val="0"/>
          <w:numId w:val="4"/>
        </w:numPr>
        <w:spacing w:after="120" w:line="240" w:lineRule="auto"/>
        <w:jc w:val="both"/>
        <w:rPr>
          <w:rFonts w:ascii="Times New Roman" w:eastAsia="Times New Roman" w:hAnsi="Times New Roman" w:cs="Times New Roman"/>
          <w:color w:val="1F1F1F"/>
          <w:kern w:val="0"/>
          <w:sz w:val="24"/>
          <w:szCs w:val="24"/>
          <w:lang w:eastAsia="en-IN" w:bidi="hi-IN"/>
          <w14:ligatures w14:val="none"/>
        </w:rPr>
      </w:pPr>
      <w:r w:rsidRPr="00336A68">
        <w:rPr>
          <w:rFonts w:ascii="Times New Roman" w:eastAsia="Times New Roman" w:hAnsi="Times New Roman" w:cs="Times New Roman"/>
          <w:b/>
          <w:bCs/>
          <w:color w:val="1F1F1F"/>
          <w:kern w:val="0"/>
          <w:sz w:val="24"/>
          <w:szCs w:val="24"/>
          <w:lang w:eastAsia="en-IN" w:bidi="hi-IN"/>
          <w14:ligatures w14:val="none"/>
        </w:rPr>
        <w:t>Agronomic Impact:</w:t>
      </w:r>
      <w:r w:rsidRPr="00336A68">
        <w:rPr>
          <w:rFonts w:ascii="Times New Roman" w:eastAsia="Times New Roman" w:hAnsi="Times New Roman" w:cs="Times New Roman"/>
          <w:color w:val="1F1F1F"/>
          <w:kern w:val="0"/>
          <w:sz w:val="24"/>
          <w:szCs w:val="24"/>
          <w:lang w:eastAsia="en-IN" w:bidi="hi-IN"/>
          <w14:ligatures w14:val="none"/>
        </w:rPr>
        <w:t xml:space="preserve"> Quantifying the physical improvements in fruit girth and crop yield.</w:t>
      </w:r>
    </w:p>
    <w:p w14:paraId="0AF2AAA9" w14:textId="77777777" w:rsidR="00336A68" w:rsidRPr="00336A68" w:rsidRDefault="00336A68" w:rsidP="00336A68">
      <w:pPr>
        <w:numPr>
          <w:ilvl w:val="0"/>
          <w:numId w:val="4"/>
        </w:numPr>
        <w:spacing w:after="120" w:line="240" w:lineRule="auto"/>
        <w:jc w:val="both"/>
        <w:rPr>
          <w:rFonts w:ascii="Times New Roman" w:eastAsia="Times New Roman" w:hAnsi="Times New Roman" w:cs="Times New Roman"/>
          <w:color w:val="1F1F1F"/>
          <w:kern w:val="0"/>
          <w:sz w:val="24"/>
          <w:szCs w:val="24"/>
          <w:lang w:eastAsia="en-IN" w:bidi="hi-IN"/>
          <w14:ligatures w14:val="none"/>
        </w:rPr>
      </w:pPr>
      <w:r w:rsidRPr="00336A68">
        <w:rPr>
          <w:rFonts w:ascii="Times New Roman" w:eastAsia="Times New Roman" w:hAnsi="Times New Roman" w:cs="Times New Roman"/>
          <w:b/>
          <w:bCs/>
          <w:color w:val="1F1F1F"/>
          <w:kern w:val="0"/>
          <w:sz w:val="24"/>
          <w:szCs w:val="24"/>
          <w:lang w:eastAsia="en-IN" w:bidi="hi-IN"/>
          <w14:ligatures w14:val="none"/>
        </w:rPr>
        <w:t>Techno-Economic Feasibility:</w:t>
      </w:r>
      <w:r w:rsidRPr="00336A68">
        <w:rPr>
          <w:rFonts w:ascii="Times New Roman" w:eastAsia="Times New Roman" w:hAnsi="Times New Roman" w:cs="Times New Roman"/>
          <w:color w:val="1F1F1F"/>
          <w:kern w:val="0"/>
          <w:sz w:val="24"/>
          <w:szCs w:val="24"/>
          <w:lang w:eastAsia="en-IN" w:bidi="hi-IN"/>
          <w14:ligatures w14:val="none"/>
        </w:rPr>
        <w:t xml:space="preserve"> Assessing the cost-effectiveness, net profitability, and return on investment.</w:t>
      </w:r>
    </w:p>
    <w:p w14:paraId="1A89BF95" w14:textId="77777777" w:rsidR="00336A68" w:rsidRPr="00336A68" w:rsidRDefault="00336A68" w:rsidP="00336A68">
      <w:pPr>
        <w:numPr>
          <w:ilvl w:val="0"/>
          <w:numId w:val="4"/>
        </w:numPr>
        <w:spacing w:after="120" w:line="240" w:lineRule="auto"/>
        <w:jc w:val="both"/>
        <w:rPr>
          <w:rFonts w:ascii="Times New Roman" w:eastAsia="Times New Roman" w:hAnsi="Times New Roman" w:cs="Times New Roman"/>
          <w:color w:val="1F1F1F"/>
          <w:kern w:val="0"/>
          <w:sz w:val="24"/>
          <w:szCs w:val="24"/>
          <w:lang w:eastAsia="en-IN" w:bidi="hi-IN"/>
          <w14:ligatures w14:val="none"/>
        </w:rPr>
      </w:pPr>
      <w:r w:rsidRPr="00336A68">
        <w:rPr>
          <w:rFonts w:ascii="Times New Roman" w:eastAsia="Times New Roman" w:hAnsi="Times New Roman" w:cs="Times New Roman"/>
          <w:b/>
          <w:bCs/>
          <w:color w:val="1F1F1F"/>
          <w:kern w:val="0"/>
          <w:sz w:val="24"/>
          <w:szCs w:val="24"/>
          <w:lang w:eastAsia="en-IN" w:bidi="hi-IN"/>
          <w14:ligatures w14:val="none"/>
        </w:rPr>
        <w:t>Extension Efficacy:</w:t>
      </w:r>
      <w:r w:rsidRPr="00336A68">
        <w:rPr>
          <w:rFonts w:ascii="Times New Roman" w:eastAsia="Times New Roman" w:hAnsi="Times New Roman" w:cs="Times New Roman"/>
          <w:color w:val="1F1F1F"/>
          <w:kern w:val="0"/>
          <w:sz w:val="24"/>
          <w:szCs w:val="24"/>
          <w:lang w:eastAsia="en-IN" w:bidi="hi-IN"/>
          <w14:ligatures w14:val="none"/>
        </w:rPr>
        <w:t xml:space="preserve"> Analysing the consistency of results across different farmers to evaluate the technology's scalability and risk-mitigation potential.</w:t>
      </w:r>
    </w:p>
    <w:p w14:paraId="77E6ADBD" w14:textId="59E9C17E" w:rsidR="00ED30DA" w:rsidRPr="007F099A" w:rsidRDefault="00ED30DA" w:rsidP="007F099A">
      <w:pPr>
        <w:spacing w:after="120" w:line="240" w:lineRule="auto"/>
        <w:jc w:val="both"/>
        <w:rPr>
          <w:rFonts w:ascii="Times New Roman" w:eastAsia="Times New Roman" w:hAnsi="Times New Roman" w:cs="Times New Roman"/>
          <w:color w:val="1F1F1F"/>
          <w:kern w:val="0"/>
          <w:sz w:val="24"/>
          <w:szCs w:val="24"/>
          <w:lang w:eastAsia="en-IN" w:bidi="hi-IN"/>
          <w14:ligatures w14:val="none"/>
        </w:rPr>
      </w:pPr>
    </w:p>
    <w:p w14:paraId="67A430E1" w14:textId="77777777" w:rsidR="00ED30DA" w:rsidRPr="007F099A" w:rsidRDefault="00ED30DA" w:rsidP="007F099A">
      <w:pPr>
        <w:spacing w:after="120" w:line="240" w:lineRule="auto"/>
        <w:jc w:val="both"/>
        <w:outlineLvl w:val="1"/>
        <w:rPr>
          <w:rFonts w:ascii="Times New Roman" w:eastAsia="Times New Roman" w:hAnsi="Times New Roman" w:cs="Times New Roman"/>
          <w:b/>
          <w:bCs/>
          <w:color w:val="1F1F1F"/>
          <w:kern w:val="0"/>
          <w:sz w:val="28"/>
          <w:szCs w:val="28"/>
          <w:lang w:eastAsia="en-IN" w:bidi="hi-IN"/>
          <w14:ligatures w14:val="none"/>
        </w:rPr>
      </w:pPr>
      <w:r w:rsidRPr="007F099A">
        <w:rPr>
          <w:rFonts w:ascii="Times New Roman" w:eastAsia="Times New Roman" w:hAnsi="Times New Roman" w:cs="Times New Roman"/>
          <w:b/>
          <w:bCs/>
          <w:color w:val="1F1F1F"/>
          <w:kern w:val="0"/>
          <w:sz w:val="28"/>
          <w:szCs w:val="28"/>
          <w:lang w:eastAsia="en-IN" w:bidi="hi-IN"/>
          <w14:ligatures w14:val="none"/>
        </w:rPr>
        <w:t>2. Materials and Methods</w:t>
      </w:r>
    </w:p>
    <w:p w14:paraId="20F42672" w14:textId="77777777" w:rsidR="00ED30DA" w:rsidRPr="007F099A" w:rsidRDefault="00ED30DA" w:rsidP="007F099A">
      <w:pPr>
        <w:spacing w:after="120" w:line="240" w:lineRule="auto"/>
        <w:jc w:val="both"/>
        <w:outlineLvl w:val="2"/>
        <w:rPr>
          <w:rFonts w:ascii="Times New Roman" w:eastAsia="Times New Roman" w:hAnsi="Times New Roman" w:cs="Times New Roman"/>
          <w:b/>
          <w:bCs/>
          <w:color w:val="1F1F1F"/>
          <w:kern w:val="0"/>
          <w:sz w:val="24"/>
          <w:szCs w:val="24"/>
          <w:lang w:eastAsia="en-IN" w:bidi="hi-IN"/>
          <w14:ligatures w14:val="none"/>
        </w:rPr>
      </w:pPr>
      <w:r w:rsidRPr="007F099A">
        <w:rPr>
          <w:rFonts w:ascii="Times New Roman" w:eastAsia="Times New Roman" w:hAnsi="Times New Roman" w:cs="Times New Roman"/>
          <w:b/>
          <w:bCs/>
          <w:color w:val="1F1F1F"/>
          <w:kern w:val="0"/>
          <w:sz w:val="24"/>
          <w:szCs w:val="24"/>
          <w:lang w:eastAsia="en-IN" w:bidi="hi-IN"/>
          <w14:ligatures w14:val="none"/>
        </w:rPr>
        <w:lastRenderedPageBreak/>
        <w:t>2.1 Study Area and Site Selection</w:t>
      </w:r>
    </w:p>
    <w:p w14:paraId="51739CCF" w14:textId="678E99A9" w:rsidR="00ED30DA" w:rsidRPr="007F099A" w:rsidRDefault="00ED30DA" w:rsidP="007F099A">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lang w:eastAsia="en-IN" w:bidi="hi-IN"/>
          <w14:ligatures w14:val="none"/>
        </w:rPr>
        <w:t>The study was conducted over three consecutive agricultural years: 20</w:t>
      </w:r>
      <w:r w:rsidR="007F099A">
        <w:rPr>
          <w:rFonts w:ascii="Times New Roman" w:eastAsia="Times New Roman" w:hAnsi="Times New Roman" w:cs="Times New Roman"/>
          <w:color w:val="1F1F1F"/>
          <w:kern w:val="0"/>
          <w:sz w:val="24"/>
          <w:szCs w:val="24"/>
          <w:lang w:eastAsia="en-IN" w:bidi="hi-IN"/>
          <w14:ligatures w14:val="none"/>
        </w:rPr>
        <w:t>22</w:t>
      </w:r>
      <w:r w:rsidRPr="007F099A">
        <w:rPr>
          <w:rFonts w:ascii="Times New Roman" w:eastAsia="Times New Roman" w:hAnsi="Times New Roman" w:cs="Times New Roman"/>
          <w:color w:val="1F1F1F"/>
          <w:kern w:val="0"/>
          <w:sz w:val="24"/>
          <w:szCs w:val="24"/>
          <w:lang w:eastAsia="en-IN" w:bidi="hi-IN"/>
          <w14:ligatures w14:val="none"/>
        </w:rPr>
        <w:t>-</w:t>
      </w:r>
      <w:r w:rsidR="007F099A">
        <w:rPr>
          <w:rFonts w:ascii="Times New Roman" w:eastAsia="Times New Roman" w:hAnsi="Times New Roman" w:cs="Times New Roman"/>
          <w:color w:val="1F1F1F"/>
          <w:kern w:val="0"/>
          <w:sz w:val="24"/>
          <w:szCs w:val="24"/>
          <w:lang w:eastAsia="en-IN" w:bidi="hi-IN"/>
          <w14:ligatures w14:val="none"/>
        </w:rPr>
        <w:t>2023</w:t>
      </w:r>
      <w:r w:rsidRPr="007F099A">
        <w:rPr>
          <w:rFonts w:ascii="Times New Roman" w:eastAsia="Times New Roman" w:hAnsi="Times New Roman" w:cs="Times New Roman"/>
          <w:color w:val="1F1F1F"/>
          <w:kern w:val="0"/>
          <w:sz w:val="24"/>
          <w:szCs w:val="24"/>
          <w:lang w:eastAsia="en-IN" w:bidi="hi-IN"/>
          <w14:ligatures w14:val="none"/>
        </w:rPr>
        <w:t>, 20</w:t>
      </w:r>
      <w:r w:rsidR="007F099A">
        <w:rPr>
          <w:rFonts w:ascii="Times New Roman" w:eastAsia="Times New Roman" w:hAnsi="Times New Roman" w:cs="Times New Roman"/>
          <w:color w:val="1F1F1F"/>
          <w:kern w:val="0"/>
          <w:sz w:val="24"/>
          <w:szCs w:val="24"/>
          <w:lang w:eastAsia="en-IN" w:bidi="hi-IN"/>
          <w14:ligatures w14:val="none"/>
        </w:rPr>
        <w:t>23</w:t>
      </w:r>
      <w:r w:rsidRPr="007F099A">
        <w:rPr>
          <w:rFonts w:ascii="Times New Roman" w:eastAsia="Times New Roman" w:hAnsi="Times New Roman" w:cs="Times New Roman"/>
          <w:color w:val="1F1F1F"/>
          <w:kern w:val="0"/>
          <w:sz w:val="24"/>
          <w:szCs w:val="24"/>
          <w:lang w:eastAsia="en-IN" w:bidi="hi-IN"/>
          <w14:ligatures w14:val="none"/>
        </w:rPr>
        <w:t>-</w:t>
      </w:r>
      <w:r w:rsidR="007F099A">
        <w:rPr>
          <w:rFonts w:ascii="Times New Roman" w:eastAsia="Times New Roman" w:hAnsi="Times New Roman" w:cs="Times New Roman"/>
          <w:color w:val="1F1F1F"/>
          <w:kern w:val="0"/>
          <w:sz w:val="24"/>
          <w:szCs w:val="24"/>
          <w:lang w:eastAsia="en-IN" w:bidi="hi-IN"/>
          <w14:ligatures w14:val="none"/>
        </w:rPr>
        <w:t>24</w:t>
      </w:r>
      <w:r w:rsidRPr="007F099A">
        <w:rPr>
          <w:rFonts w:ascii="Times New Roman" w:eastAsia="Times New Roman" w:hAnsi="Times New Roman" w:cs="Times New Roman"/>
          <w:color w:val="1F1F1F"/>
          <w:kern w:val="0"/>
          <w:sz w:val="24"/>
          <w:szCs w:val="24"/>
          <w:lang w:eastAsia="en-IN" w:bidi="hi-IN"/>
          <w14:ligatures w14:val="none"/>
        </w:rPr>
        <w:t>, and 20</w:t>
      </w:r>
      <w:r w:rsidR="009665B2">
        <w:rPr>
          <w:rFonts w:ascii="Times New Roman" w:eastAsia="Times New Roman" w:hAnsi="Times New Roman" w:cs="Times New Roman"/>
          <w:color w:val="1F1F1F"/>
          <w:kern w:val="0"/>
          <w:sz w:val="24"/>
          <w:szCs w:val="24"/>
          <w:lang w:eastAsia="en-IN" w:bidi="hi-IN"/>
          <w14:ligatures w14:val="none"/>
        </w:rPr>
        <w:t>24</w:t>
      </w:r>
      <w:r w:rsidRPr="007F099A">
        <w:rPr>
          <w:rFonts w:ascii="Times New Roman" w:eastAsia="Times New Roman" w:hAnsi="Times New Roman" w:cs="Times New Roman"/>
          <w:color w:val="1F1F1F"/>
          <w:kern w:val="0"/>
          <w:sz w:val="24"/>
          <w:szCs w:val="24"/>
          <w:lang w:eastAsia="en-IN" w:bidi="hi-IN"/>
          <w14:ligatures w14:val="none"/>
        </w:rPr>
        <w:t>-</w:t>
      </w:r>
      <w:r w:rsidR="009665B2">
        <w:rPr>
          <w:rFonts w:ascii="Times New Roman" w:eastAsia="Times New Roman" w:hAnsi="Times New Roman" w:cs="Times New Roman"/>
          <w:color w:val="1F1F1F"/>
          <w:kern w:val="0"/>
          <w:sz w:val="24"/>
          <w:szCs w:val="24"/>
          <w:lang w:eastAsia="en-IN" w:bidi="hi-IN"/>
          <w14:ligatures w14:val="none"/>
        </w:rPr>
        <w:t>25</w:t>
      </w:r>
      <w:r w:rsidRPr="007F099A">
        <w:rPr>
          <w:rFonts w:ascii="Times New Roman" w:eastAsia="Times New Roman" w:hAnsi="Times New Roman" w:cs="Times New Roman"/>
          <w:color w:val="1F1F1F"/>
          <w:kern w:val="0"/>
          <w:sz w:val="24"/>
          <w:szCs w:val="24"/>
          <w:lang w:eastAsia="en-IN" w:bidi="hi-IN"/>
          <w14:ligatures w14:val="none"/>
        </w:rPr>
        <w:t xml:space="preserve">. To ensure the robustness of the data and eliminate bias from highly localized soil or micro-climatic anomalies, the demonstrations were distributed across multiple villages, including </w:t>
      </w:r>
      <w:proofErr w:type="spellStart"/>
      <w:r w:rsidRPr="007F099A">
        <w:rPr>
          <w:rFonts w:ascii="Times New Roman" w:eastAsia="Times New Roman" w:hAnsi="Times New Roman" w:cs="Times New Roman"/>
          <w:color w:val="1F1F1F"/>
          <w:kern w:val="0"/>
          <w:sz w:val="24"/>
          <w:szCs w:val="24"/>
          <w:lang w:eastAsia="en-IN" w:bidi="hi-IN"/>
          <w14:ligatures w14:val="none"/>
        </w:rPr>
        <w:t>Dongargaon</w:t>
      </w:r>
      <w:proofErr w:type="spellEnd"/>
      <w:r w:rsidRPr="007F099A">
        <w:rPr>
          <w:rFonts w:ascii="Times New Roman" w:eastAsia="Times New Roman" w:hAnsi="Times New Roman" w:cs="Times New Roman"/>
          <w:color w:val="1F1F1F"/>
          <w:kern w:val="0"/>
          <w:sz w:val="24"/>
          <w:szCs w:val="24"/>
          <w:lang w:eastAsia="en-IN" w:bidi="hi-IN"/>
          <w14:ligatures w14:val="none"/>
        </w:rPr>
        <w:t xml:space="preserve">, Masa, </w:t>
      </w:r>
      <w:proofErr w:type="spellStart"/>
      <w:r w:rsidRPr="007F099A">
        <w:rPr>
          <w:rFonts w:ascii="Times New Roman" w:eastAsia="Times New Roman" w:hAnsi="Times New Roman" w:cs="Times New Roman"/>
          <w:color w:val="1F1F1F"/>
          <w:kern w:val="0"/>
          <w:sz w:val="24"/>
          <w:szCs w:val="24"/>
          <w:lang w:eastAsia="en-IN" w:bidi="hi-IN"/>
          <w14:ligatures w14:val="none"/>
        </w:rPr>
        <w:t>Akoli</w:t>
      </w:r>
      <w:proofErr w:type="spellEnd"/>
      <w:r w:rsidRPr="007F099A">
        <w:rPr>
          <w:rFonts w:ascii="Times New Roman" w:eastAsia="Times New Roman" w:hAnsi="Times New Roman" w:cs="Times New Roman"/>
          <w:color w:val="1F1F1F"/>
          <w:kern w:val="0"/>
          <w:sz w:val="24"/>
          <w:szCs w:val="24"/>
          <w:lang w:eastAsia="en-IN" w:bidi="hi-IN"/>
          <w14:ligatures w14:val="none"/>
        </w:rPr>
        <w:t xml:space="preserve">, </w:t>
      </w:r>
      <w:proofErr w:type="spellStart"/>
      <w:r w:rsidRPr="007F099A">
        <w:rPr>
          <w:rFonts w:ascii="Times New Roman" w:eastAsia="Times New Roman" w:hAnsi="Times New Roman" w:cs="Times New Roman"/>
          <w:color w:val="1F1F1F"/>
          <w:kern w:val="0"/>
          <w:sz w:val="24"/>
          <w:szCs w:val="24"/>
          <w:lang w:eastAsia="en-IN" w:bidi="hi-IN"/>
          <w14:ligatures w14:val="none"/>
        </w:rPr>
        <w:t>Bochara</w:t>
      </w:r>
      <w:proofErr w:type="spellEnd"/>
      <w:r w:rsidRPr="007F099A">
        <w:rPr>
          <w:rFonts w:ascii="Times New Roman" w:eastAsia="Times New Roman" w:hAnsi="Times New Roman" w:cs="Times New Roman"/>
          <w:color w:val="1F1F1F"/>
          <w:kern w:val="0"/>
          <w:sz w:val="24"/>
          <w:szCs w:val="24"/>
          <w:lang w:eastAsia="en-IN" w:bidi="hi-IN"/>
          <w14:ligatures w14:val="none"/>
        </w:rPr>
        <w:t xml:space="preserve">, </w:t>
      </w:r>
      <w:proofErr w:type="spellStart"/>
      <w:r w:rsidRPr="007F099A">
        <w:rPr>
          <w:rFonts w:ascii="Times New Roman" w:eastAsia="Times New Roman" w:hAnsi="Times New Roman" w:cs="Times New Roman"/>
          <w:color w:val="1F1F1F"/>
          <w:kern w:val="0"/>
          <w:sz w:val="24"/>
          <w:szCs w:val="24"/>
          <w:lang w:eastAsia="en-IN" w:bidi="hi-IN"/>
          <w14:ligatures w14:val="none"/>
        </w:rPr>
        <w:t>Rajura</w:t>
      </w:r>
      <w:proofErr w:type="spellEnd"/>
      <w:r w:rsidRPr="007F099A">
        <w:rPr>
          <w:rFonts w:ascii="Times New Roman" w:eastAsia="Times New Roman" w:hAnsi="Times New Roman" w:cs="Times New Roman"/>
          <w:color w:val="1F1F1F"/>
          <w:kern w:val="0"/>
          <w:sz w:val="24"/>
          <w:szCs w:val="24"/>
          <w:lang w:eastAsia="en-IN" w:bidi="hi-IN"/>
          <w14:ligatures w14:val="none"/>
        </w:rPr>
        <w:t xml:space="preserve">, </w:t>
      </w:r>
      <w:proofErr w:type="spellStart"/>
      <w:r w:rsidRPr="007F099A">
        <w:rPr>
          <w:rFonts w:ascii="Times New Roman" w:eastAsia="Times New Roman" w:hAnsi="Times New Roman" w:cs="Times New Roman"/>
          <w:color w:val="1F1F1F"/>
          <w:kern w:val="0"/>
          <w:sz w:val="24"/>
          <w:szCs w:val="24"/>
          <w:lang w:eastAsia="en-IN" w:bidi="hi-IN"/>
          <w14:ligatures w14:val="none"/>
        </w:rPr>
        <w:t>Hiwarkhed</w:t>
      </w:r>
      <w:proofErr w:type="spellEnd"/>
      <w:r w:rsidRPr="007F099A">
        <w:rPr>
          <w:rFonts w:ascii="Times New Roman" w:eastAsia="Times New Roman" w:hAnsi="Times New Roman" w:cs="Times New Roman"/>
          <w:color w:val="1F1F1F"/>
          <w:kern w:val="0"/>
          <w:sz w:val="24"/>
          <w:szCs w:val="24"/>
          <w:lang w:eastAsia="en-IN" w:bidi="hi-IN"/>
          <w14:ligatures w14:val="none"/>
        </w:rPr>
        <w:t xml:space="preserve">, </w:t>
      </w:r>
      <w:proofErr w:type="spellStart"/>
      <w:r w:rsidRPr="007F099A">
        <w:rPr>
          <w:rFonts w:ascii="Times New Roman" w:eastAsia="Times New Roman" w:hAnsi="Times New Roman" w:cs="Times New Roman"/>
          <w:color w:val="1F1F1F"/>
          <w:kern w:val="0"/>
          <w:sz w:val="24"/>
          <w:szCs w:val="24"/>
          <w:lang w:eastAsia="en-IN" w:bidi="hi-IN"/>
          <w14:ligatures w14:val="none"/>
        </w:rPr>
        <w:t>Gordha</w:t>
      </w:r>
      <w:proofErr w:type="spellEnd"/>
      <w:r w:rsidRPr="007F099A">
        <w:rPr>
          <w:rFonts w:ascii="Times New Roman" w:eastAsia="Times New Roman" w:hAnsi="Times New Roman" w:cs="Times New Roman"/>
          <w:color w:val="1F1F1F"/>
          <w:kern w:val="0"/>
          <w:sz w:val="24"/>
          <w:szCs w:val="24"/>
          <w:lang w:eastAsia="en-IN" w:bidi="hi-IN"/>
          <w14:ligatures w14:val="none"/>
        </w:rPr>
        <w:t xml:space="preserve">, and </w:t>
      </w:r>
      <w:proofErr w:type="spellStart"/>
      <w:r w:rsidRPr="007F099A">
        <w:rPr>
          <w:rFonts w:ascii="Times New Roman" w:eastAsia="Times New Roman" w:hAnsi="Times New Roman" w:cs="Times New Roman"/>
          <w:color w:val="1F1F1F"/>
          <w:kern w:val="0"/>
          <w:sz w:val="24"/>
          <w:szCs w:val="24"/>
          <w:lang w:eastAsia="en-IN" w:bidi="hi-IN"/>
          <w14:ligatures w14:val="none"/>
        </w:rPr>
        <w:t>Ruikhed</w:t>
      </w:r>
      <w:proofErr w:type="spellEnd"/>
      <w:r w:rsidRPr="007F099A">
        <w:rPr>
          <w:rFonts w:ascii="Times New Roman" w:eastAsia="Times New Roman" w:hAnsi="Times New Roman" w:cs="Times New Roman"/>
          <w:color w:val="1F1F1F"/>
          <w:kern w:val="0"/>
          <w:sz w:val="24"/>
          <w:szCs w:val="24"/>
          <w:lang w:eastAsia="en-IN" w:bidi="hi-IN"/>
          <w14:ligatures w14:val="none"/>
        </w:rPr>
        <w:t>. A total of 39 progressive farmers (13 farmers per academic year) were selected purposively based on their willingness to participate, active engagement in banana cultivation, and ability to maintain meticulous field records.</w:t>
      </w:r>
    </w:p>
    <w:p w14:paraId="5B539048" w14:textId="77777777" w:rsidR="00ED30DA" w:rsidRPr="007F099A" w:rsidRDefault="00ED30DA" w:rsidP="007F099A">
      <w:pPr>
        <w:spacing w:after="120" w:line="240" w:lineRule="auto"/>
        <w:jc w:val="both"/>
        <w:outlineLvl w:val="2"/>
        <w:rPr>
          <w:rFonts w:ascii="Times New Roman" w:eastAsia="Times New Roman" w:hAnsi="Times New Roman" w:cs="Times New Roman"/>
          <w:b/>
          <w:bCs/>
          <w:color w:val="1F1F1F"/>
          <w:kern w:val="0"/>
          <w:sz w:val="24"/>
          <w:szCs w:val="24"/>
          <w:lang w:eastAsia="en-IN" w:bidi="hi-IN"/>
          <w14:ligatures w14:val="none"/>
        </w:rPr>
      </w:pPr>
      <w:r w:rsidRPr="007F099A">
        <w:rPr>
          <w:rFonts w:ascii="Times New Roman" w:eastAsia="Times New Roman" w:hAnsi="Times New Roman" w:cs="Times New Roman"/>
          <w:b/>
          <w:bCs/>
          <w:color w:val="1F1F1F"/>
          <w:kern w:val="0"/>
          <w:sz w:val="24"/>
          <w:szCs w:val="24"/>
          <w:lang w:eastAsia="en-IN" w:bidi="hi-IN"/>
          <w14:ligatures w14:val="none"/>
        </w:rPr>
        <w:t>2.2 Experimental Design</w:t>
      </w:r>
    </w:p>
    <w:p w14:paraId="2C13F2B8" w14:textId="77777777" w:rsidR="004D5240" w:rsidRDefault="00ED30DA" w:rsidP="004D5240">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lang w:eastAsia="en-IN" w:bidi="hi-IN"/>
          <w14:ligatures w14:val="none"/>
        </w:rPr>
        <w:t xml:space="preserve">The </w:t>
      </w:r>
      <w:r w:rsidR="009665B2" w:rsidRPr="007F099A">
        <w:rPr>
          <w:rFonts w:ascii="Times New Roman" w:eastAsia="Times New Roman" w:hAnsi="Times New Roman" w:cs="Times New Roman"/>
          <w:color w:val="1F1F1F"/>
          <w:kern w:val="0"/>
          <w:sz w:val="24"/>
          <w:szCs w:val="24"/>
          <w:lang w:eastAsia="en-IN" w:bidi="hi-IN"/>
          <w14:ligatures w14:val="none"/>
        </w:rPr>
        <w:t>Front-Line</w:t>
      </w:r>
      <w:r w:rsidRPr="007F099A">
        <w:rPr>
          <w:rFonts w:ascii="Times New Roman" w:eastAsia="Times New Roman" w:hAnsi="Times New Roman" w:cs="Times New Roman"/>
          <w:color w:val="1F1F1F"/>
          <w:kern w:val="0"/>
          <w:sz w:val="24"/>
          <w:szCs w:val="24"/>
          <w:lang w:eastAsia="en-IN" w:bidi="hi-IN"/>
          <w14:ligatures w14:val="none"/>
        </w:rPr>
        <w:t xml:space="preserve"> Demonstrations were laid out in the farmers' fields, </w:t>
      </w:r>
      <w:r w:rsidR="004D5240" w:rsidRPr="004D5240">
        <w:rPr>
          <w:rFonts w:ascii="Times New Roman" w:eastAsia="Times New Roman" w:hAnsi="Times New Roman" w:cs="Times New Roman"/>
          <w:color w:val="1F1F1F"/>
          <w:kern w:val="0"/>
          <w:sz w:val="24"/>
          <w:szCs w:val="24"/>
          <w:lang w:eastAsia="en-IN" w:bidi="hi-IN"/>
          <w14:ligatures w14:val="none"/>
        </w:rPr>
        <w:t xml:space="preserve">with each farmer's field serving as an independent experimental replicate (13 replicates per year, </w:t>
      </w:r>
      <w:proofErr w:type="spellStart"/>
      <w:r w:rsidR="004D5240" w:rsidRPr="004D5240">
        <w:rPr>
          <w:rFonts w:ascii="Times New Roman" w:eastAsia="Times New Roman" w:hAnsi="Times New Roman" w:cs="Times New Roman"/>
          <w:color w:val="1F1F1F"/>
          <w:kern w:val="0"/>
          <w:sz w:val="24"/>
          <w:szCs w:val="24"/>
          <w:lang w:eastAsia="en-IN" w:bidi="hi-IN"/>
          <w14:ligatures w14:val="none"/>
        </w:rPr>
        <w:t>totaling</w:t>
      </w:r>
      <w:proofErr w:type="spellEnd"/>
      <w:r w:rsidR="004D5240" w:rsidRPr="004D5240">
        <w:rPr>
          <w:rFonts w:ascii="Times New Roman" w:eastAsia="Times New Roman" w:hAnsi="Times New Roman" w:cs="Times New Roman"/>
          <w:color w:val="1F1F1F"/>
          <w:kern w:val="0"/>
          <w:sz w:val="24"/>
          <w:szCs w:val="24"/>
          <w:lang w:eastAsia="en-IN" w:bidi="hi-IN"/>
          <w14:ligatures w14:val="none"/>
        </w:rPr>
        <w:t xml:space="preserve"> 39 replicates over the three-year study). Each demonstration covered a total sector area of 0.4 hectares per farmer, which was divided equally into two 0.2-hectare treatment blocks to facilitate direct comparison:</w:t>
      </w:r>
    </w:p>
    <w:p w14:paraId="4DCA0E12" w14:textId="1FA5860A" w:rsidR="00ED30DA" w:rsidRPr="007F099A" w:rsidRDefault="00ED30DA" w:rsidP="004D5240">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b/>
          <w:bCs/>
          <w:color w:val="1F1F1F"/>
          <w:kern w:val="0"/>
          <w:sz w:val="24"/>
          <w:szCs w:val="24"/>
          <w:bdr w:val="none" w:sz="0" w:space="0" w:color="auto" w:frame="1"/>
          <w:lang w:eastAsia="en-IN" w:bidi="hi-IN"/>
          <w14:ligatures w14:val="none"/>
        </w:rPr>
        <w:t>T1 (Control Group):</w:t>
      </w:r>
      <w:r w:rsidRPr="007F099A">
        <w:rPr>
          <w:rFonts w:ascii="Times New Roman" w:eastAsia="Times New Roman" w:hAnsi="Times New Roman" w:cs="Times New Roman"/>
          <w:color w:val="1F1F1F"/>
          <w:kern w:val="0"/>
          <w:sz w:val="24"/>
          <w:szCs w:val="24"/>
          <w:lang w:eastAsia="en-IN" w:bidi="hi-IN"/>
          <w14:ligatures w14:val="none"/>
        </w:rPr>
        <w:t xml:space="preserve"> Cultivation based on prevailing traditional farmer practices, which notably excluded the use of any physical bunch protection or skirting.</w:t>
      </w:r>
    </w:p>
    <w:p w14:paraId="6DDBA24E" w14:textId="77777777" w:rsidR="004D5240" w:rsidRDefault="00ED30DA" w:rsidP="004D5240">
      <w:pPr>
        <w:spacing w:after="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b/>
          <w:bCs/>
          <w:color w:val="1F1F1F"/>
          <w:kern w:val="0"/>
          <w:sz w:val="24"/>
          <w:szCs w:val="24"/>
          <w:bdr w:val="none" w:sz="0" w:space="0" w:color="auto" w:frame="1"/>
          <w:lang w:eastAsia="en-IN" w:bidi="hi-IN"/>
          <w14:ligatures w14:val="none"/>
        </w:rPr>
        <w:t>T2 (Demonstration Group):</w:t>
      </w:r>
      <w:r w:rsidRPr="007F099A">
        <w:rPr>
          <w:rFonts w:ascii="Times New Roman" w:eastAsia="Times New Roman" w:hAnsi="Times New Roman" w:cs="Times New Roman"/>
          <w:color w:val="1F1F1F"/>
          <w:kern w:val="0"/>
          <w:sz w:val="24"/>
          <w:szCs w:val="24"/>
          <w:lang w:eastAsia="en-IN" w:bidi="hi-IN"/>
          <w14:ligatures w14:val="none"/>
        </w:rPr>
        <w:t xml:space="preserve"> Cultivation incorporating the recommended technology of bunch skirting bags. The bags were applied uniformly after the complete emergence of the bunch and the removal of the male bud (</w:t>
      </w:r>
      <w:proofErr w:type="spellStart"/>
      <w:r w:rsidRPr="007F099A">
        <w:rPr>
          <w:rFonts w:ascii="Times New Roman" w:eastAsia="Times New Roman" w:hAnsi="Times New Roman" w:cs="Times New Roman"/>
          <w:color w:val="1F1F1F"/>
          <w:kern w:val="0"/>
          <w:sz w:val="24"/>
          <w:szCs w:val="24"/>
          <w:lang w:eastAsia="en-IN" w:bidi="hi-IN"/>
          <w14:ligatures w14:val="none"/>
        </w:rPr>
        <w:t>denavelling</w:t>
      </w:r>
      <w:proofErr w:type="spellEnd"/>
      <w:r w:rsidRPr="007F099A">
        <w:rPr>
          <w:rFonts w:ascii="Times New Roman" w:eastAsia="Times New Roman" w:hAnsi="Times New Roman" w:cs="Times New Roman"/>
          <w:color w:val="1F1F1F"/>
          <w:kern w:val="0"/>
          <w:sz w:val="24"/>
          <w:szCs w:val="24"/>
          <w:lang w:eastAsia="en-IN" w:bidi="hi-IN"/>
          <w14:ligatures w14:val="none"/>
        </w:rPr>
        <w:t>)</w:t>
      </w:r>
    </w:p>
    <w:p w14:paraId="5B8AB0FD" w14:textId="14A73652" w:rsidR="00ED30DA" w:rsidRPr="007F099A" w:rsidRDefault="00ED30DA" w:rsidP="004D5240">
      <w:pPr>
        <w:spacing w:after="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lang w:eastAsia="en-IN" w:bidi="hi-IN"/>
          <w14:ligatures w14:val="none"/>
        </w:rPr>
        <w:t>.</w:t>
      </w:r>
    </w:p>
    <w:p w14:paraId="62798AFC" w14:textId="77777777" w:rsidR="004D5240" w:rsidRDefault="004D5240" w:rsidP="007F099A">
      <w:pPr>
        <w:spacing w:after="120" w:line="240" w:lineRule="auto"/>
        <w:jc w:val="both"/>
        <w:outlineLvl w:val="2"/>
        <w:rPr>
          <w:rFonts w:ascii="Times New Roman" w:eastAsia="Times New Roman" w:hAnsi="Times New Roman" w:cs="Times New Roman"/>
          <w:color w:val="1F1F1F"/>
          <w:kern w:val="0"/>
          <w:sz w:val="24"/>
          <w:szCs w:val="24"/>
          <w:lang w:eastAsia="en-IN" w:bidi="hi-IN"/>
          <w14:ligatures w14:val="none"/>
        </w:rPr>
      </w:pPr>
      <w:r w:rsidRPr="004D5240">
        <w:rPr>
          <w:rFonts w:ascii="Times New Roman" w:eastAsia="Times New Roman" w:hAnsi="Times New Roman" w:cs="Times New Roman"/>
          <w:color w:val="1F1F1F"/>
          <w:kern w:val="0"/>
          <w:sz w:val="24"/>
          <w:szCs w:val="24"/>
          <w:lang w:eastAsia="en-IN" w:bidi="hi-IN"/>
          <w14:ligatures w14:val="none"/>
        </w:rPr>
        <w:t>The bags were applied uniformly after the complete emergence of the bunch and the removal of the male bud (</w:t>
      </w:r>
      <w:proofErr w:type="spellStart"/>
      <w:r w:rsidRPr="004D5240">
        <w:rPr>
          <w:rFonts w:ascii="Times New Roman" w:eastAsia="Times New Roman" w:hAnsi="Times New Roman" w:cs="Times New Roman"/>
          <w:color w:val="1F1F1F"/>
          <w:kern w:val="0"/>
          <w:sz w:val="24"/>
          <w:szCs w:val="24"/>
          <w:lang w:eastAsia="en-IN" w:bidi="hi-IN"/>
          <w14:ligatures w14:val="none"/>
        </w:rPr>
        <w:t>denavelling</w:t>
      </w:r>
      <w:proofErr w:type="spellEnd"/>
      <w:r w:rsidRPr="004D5240">
        <w:rPr>
          <w:rFonts w:ascii="Times New Roman" w:eastAsia="Times New Roman" w:hAnsi="Times New Roman" w:cs="Times New Roman"/>
          <w:color w:val="1F1F1F"/>
          <w:kern w:val="0"/>
          <w:sz w:val="24"/>
          <w:szCs w:val="24"/>
          <w:lang w:eastAsia="en-IN" w:bidi="hi-IN"/>
          <w14:ligatures w14:val="none"/>
        </w:rPr>
        <w:t>). To maintain statistical integrity, the plant population was strictly standardized at 3,630 plants per hectare across all demonstration and control plots. Consequently, each 0.2-hectare treatment block (T1 and T2) contained exactly 726 plants. The cost of the skirting bags was calculated at Rs. 15 per unit, resulting in a fixed additional expenditure of Rs. 54,450 per hectare for the T2 plots.</w:t>
      </w:r>
    </w:p>
    <w:p w14:paraId="1A9150B7" w14:textId="1DEE8539" w:rsidR="00ED30DA" w:rsidRPr="007F099A" w:rsidRDefault="00ED30DA" w:rsidP="007F099A">
      <w:pPr>
        <w:spacing w:after="120" w:line="240" w:lineRule="auto"/>
        <w:jc w:val="both"/>
        <w:outlineLvl w:val="2"/>
        <w:rPr>
          <w:rFonts w:ascii="Times New Roman" w:eastAsia="Times New Roman" w:hAnsi="Times New Roman" w:cs="Times New Roman"/>
          <w:b/>
          <w:bCs/>
          <w:color w:val="1F1F1F"/>
          <w:kern w:val="0"/>
          <w:sz w:val="24"/>
          <w:szCs w:val="24"/>
          <w:lang w:eastAsia="en-IN" w:bidi="hi-IN"/>
          <w14:ligatures w14:val="none"/>
        </w:rPr>
      </w:pPr>
      <w:r w:rsidRPr="007F099A">
        <w:rPr>
          <w:rFonts w:ascii="Times New Roman" w:eastAsia="Times New Roman" w:hAnsi="Times New Roman" w:cs="Times New Roman"/>
          <w:b/>
          <w:bCs/>
          <w:color w:val="1F1F1F"/>
          <w:kern w:val="0"/>
          <w:sz w:val="24"/>
          <w:szCs w:val="24"/>
          <w:lang w:eastAsia="en-IN" w:bidi="hi-IN"/>
          <w14:ligatures w14:val="none"/>
        </w:rPr>
        <w:t>2.3 Data Collection and Statistical Analysis</w:t>
      </w:r>
    </w:p>
    <w:p w14:paraId="53D24709" w14:textId="77777777" w:rsidR="00ED30DA" w:rsidRPr="007F099A" w:rsidRDefault="00ED30DA" w:rsidP="007F099A">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lang w:eastAsia="en-IN" w:bidi="hi-IN"/>
          <w14:ligatures w14:val="none"/>
        </w:rPr>
        <w:t>Quantitative field data was recorded meticulously at the time of harvest.</w:t>
      </w:r>
    </w:p>
    <w:p w14:paraId="44FBF3D8" w14:textId="77777777" w:rsidR="00ED30DA" w:rsidRPr="007F099A" w:rsidRDefault="00ED30DA" w:rsidP="007F099A">
      <w:pPr>
        <w:numPr>
          <w:ilvl w:val="0"/>
          <w:numId w:val="3"/>
        </w:numPr>
        <w:spacing w:after="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b/>
          <w:bCs/>
          <w:color w:val="1F1F1F"/>
          <w:kern w:val="0"/>
          <w:sz w:val="24"/>
          <w:szCs w:val="24"/>
          <w:bdr w:val="none" w:sz="0" w:space="0" w:color="auto" w:frame="1"/>
          <w:lang w:eastAsia="en-IN" w:bidi="hi-IN"/>
          <w14:ligatures w14:val="none"/>
        </w:rPr>
        <w:t>Agronomic Parameters:</w:t>
      </w:r>
      <w:r w:rsidRPr="007F099A">
        <w:rPr>
          <w:rFonts w:ascii="Times New Roman" w:eastAsia="Times New Roman" w:hAnsi="Times New Roman" w:cs="Times New Roman"/>
          <w:color w:val="1F1F1F"/>
          <w:kern w:val="0"/>
          <w:sz w:val="24"/>
          <w:szCs w:val="24"/>
          <w:lang w:eastAsia="en-IN" w:bidi="hi-IN"/>
          <w14:ligatures w14:val="none"/>
        </w:rPr>
        <w:t xml:space="preserve"> The primary physical metrics recorded were the average girth of the fruits (measured in </w:t>
      </w:r>
      <w:proofErr w:type="spellStart"/>
      <w:r w:rsidRPr="007F099A">
        <w:rPr>
          <w:rFonts w:ascii="Times New Roman" w:eastAsia="Times New Roman" w:hAnsi="Times New Roman" w:cs="Times New Roman"/>
          <w:color w:val="1F1F1F"/>
          <w:kern w:val="0"/>
          <w:sz w:val="24"/>
          <w:szCs w:val="24"/>
          <w:lang w:eastAsia="en-IN" w:bidi="hi-IN"/>
          <w14:ligatures w14:val="none"/>
        </w:rPr>
        <w:t>centimeters</w:t>
      </w:r>
      <w:proofErr w:type="spellEnd"/>
      <w:r w:rsidRPr="007F099A">
        <w:rPr>
          <w:rFonts w:ascii="Times New Roman" w:eastAsia="Times New Roman" w:hAnsi="Times New Roman" w:cs="Times New Roman"/>
          <w:color w:val="1F1F1F"/>
          <w:kern w:val="0"/>
          <w:sz w:val="24"/>
          <w:szCs w:val="24"/>
          <w:lang w:eastAsia="en-IN" w:bidi="hi-IN"/>
          <w14:ligatures w14:val="none"/>
        </w:rPr>
        <w:t xml:space="preserve"> at the middle finger of the second hand) and the total yield. Yield was calculated both on a per-plant basis (kg) and aggregated to a per-hectare basis (quintals).</w:t>
      </w:r>
    </w:p>
    <w:p w14:paraId="10C67B91" w14:textId="77777777" w:rsidR="00ED30DA" w:rsidRPr="007F099A" w:rsidRDefault="00ED30DA" w:rsidP="007F099A">
      <w:pPr>
        <w:numPr>
          <w:ilvl w:val="0"/>
          <w:numId w:val="3"/>
        </w:numPr>
        <w:spacing w:after="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b/>
          <w:bCs/>
          <w:color w:val="1F1F1F"/>
          <w:kern w:val="0"/>
          <w:sz w:val="24"/>
          <w:szCs w:val="24"/>
          <w:bdr w:val="none" w:sz="0" w:space="0" w:color="auto" w:frame="1"/>
          <w:lang w:eastAsia="en-IN" w:bidi="hi-IN"/>
          <w14:ligatures w14:val="none"/>
        </w:rPr>
        <w:t>Economic Parameters:</w:t>
      </w:r>
      <w:r w:rsidRPr="007F099A">
        <w:rPr>
          <w:rFonts w:ascii="Times New Roman" w:eastAsia="Times New Roman" w:hAnsi="Times New Roman" w:cs="Times New Roman"/>
          <w:color w:val="1F1F1F"/>
          <w:kern w:val="0"/>
          <w:sz w:val="24"/>
          <w:szCs w:val="24"/>
          <w:lang w:eastAsia="en-IN" w:bidi="hi-IN"/>
          <w14:ligatures w14:val="none"/>
        </w:rPr>
        <w:t xml:space="preserve"> Detailed ledgers of the cost of cultivation (expenditure per hectare) were maintained. Upon market sale, the gross income was recorded. From these figures, the Net Income and the Benefit-Cost (B:C) ratio were derived.</w:t>
      </w:r>
    </w:p>
    <w:p w14:paraId="297F11D7" w14:textId="77777777" w:rsidR="00ED30DA" w:rsidRPr="007F099A" w:rsidRDefault="00ED30DA" w:rsidP="007F099A">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lang w:eastAsia="en-IN" w:bidi="hi-IN"/>
          <w14:ligatures w14:val="none"/>
        </w:rPr>
        <w:t>Furthermore, to isolate the specific financial efficacy of the skirting bags, the Incremental Cost-Benefit Ratio (ICBR) was calculated using the following formula:</w:t>
      </w:r>
    </w:p>
    <w:p w14:paraId="13567708" w14:textId="49BAF215" w:rsidR="00ED30DA" w:rsidRPr="007F099A" w:rsidRDefault="00ED30DA" w:rsidP="007F099A">
      <w:pPr>
        <w:spacing w:after="120" w:line="240" w:lineRule="auto"/>
        <w:jc w:val="both"/>
        <w:rPr>
          <w:rFonts w:ascii="Times New Roman" w:eastAsia="Times New Roman" w:hAnsi="Times New Roman" w:cs="Times New Roman"/>
          <w:color w:val="1F1F1F"/>
          <w:kern w:val="0"/>
          <w:sz w:val="24"/>
          <w:szCs w:val="24"/>
          <w:lang w:eastAsia="en-IN" w:bidi="hi-IN"/>
          <w14:ligatures w14:val="none"/>
        </w:rPr>
      </w:pPr>
      <m:oMathPara>
        <m:oMath>
          <m:r>
            <w:rPr>
              <w:rFonts w:ascii="Cambria Math" w:eastAsia="Times New Roman" w:hAnsi="Cambria Math" w:cs="Times New Roman"/>
              <w:color w:val="1F1F1F"/>
              <w:kern w:val="0"/>
              <w:sz w:val="24"/>
              <w:szCs w:val="24"/>
              <w:lang w:eastAsia="en-IN" w:bidi="hi-IN"/>
              <w14:ligatures w14:val="none"/>
            </w:rPr>
            <m:t>ICBR=</m:t>
          </m:r>
          <m:f>
            <m:fPr>
              <m:ctrlPr>
                <w:rPr>
                  <w:rFonts w:ascii="Cambria Math" w:eastAsia="Times New Roman" w:hAnsi="Cambria Math" w:cs="Times New Roman"/>
                  <w:color w:val="1F1F1F"/>
                  <w:kern w:val="0"/>
                  <w:sz w:val="24"/>
                  <w:szCs w:val="24"/>
                  <w:lang w:eastAsia="en-IN" w:bidi="hi-IN"/>
                  <w14:ligatures w14:val="none"/>
                </w:rPr>
              </m:ctrlPr>
            </m:fPr>
            <m:num>
              <m:r>
                <w:rPr>
                  <w:rFonts w:ascii="Cambria Math" w:eastAsia="Times New Roman" w:hAnsi="Cambria Math" w:cs="Times New Roman"/>
                  <w:color w:val="1F1F1F"/>
                  <w:kern w:val="0"/>
                  <w:sz w:val="24"/>
                  <w:szCs w:val="24"/>
                  <w:lang w:eastAsia="en-IN" w:bidi="hi-IN"/>
                  <w14:ligatures w14:val="none"/>
                </w:rPr>
                <m:t>Expenditure</m:t>
              </m:r>
              <m:r>
                <w:rPr>
                  <w:rFonts w:ascii="Cambria Math" w:eastAsia="Times New Roman" w:hAnsi="Cambria Math" w:cs="Times New Roman"/>
                  <w:color w:val="1F1F1F"/>
                  <w:kern w:val="0"/>
                  <w:sz w:val="24"/>
                  <w:szCs w:val="24"/>
                  <w:vertAlign w:val="subscript"/>
                  <w:lang w:eastAsia="en-IN" w:bidi="hi-IN"/>
                  <w14:ligatures w14:val="none"/>
                </w:rPr>
                <m:t>T2</m:t>
              </m:r>
              <m:r>
                <w:rPr>
                  <w:rFonts w:ascii="Cambria Math" w:eastAsia="Times New Roman" w:hAnsi="Cambria Math" w:cs="Times New Roman"/>
                  <w:color w:val="1F1F1F"/>
                  <w:kern w:val="0"/>
                  <w:sz w:val="24"/>
                  <w:szCs w:val="24"/>
                  <w:lang w:eastAsia="en-IN" w:bidi="hi-IN"/>
                  <w14:ligatures w14:val="none"/>
                </w:rPr>
                <m:t>​-Expenditure</m:t>
              </m:r>
              <m:r>
                <w:rPr>
                  <w:rFonts w:ascii="Cambria Math" w:eastAsia="Times New Roman" w:hAnsi="Cambria Math" w:cs="Times New Roman"/>
                  <w:color w:val="1F1F1F"/>
                  <w:kern w:val="0"/>
                  <w:sz w:val="24"/>
                  <w:szCs w:val="24"/>
                  <w:vertAlign w:val="subscript"/>
                  <w:lang w:eastAsia="en-IN" w:bidi="hi-IN"/>
                  <w14:ligatures w14:val="none"/>
                </w:rPr>
                <m:t>T1</m:t>
              </m:r>
            </m:num>
            <m:den>
              <m:r>
                <m:rPr>
                  <m:sty m:val="p"/>
                </m:rPr>
                <w:rPr>
                  <w:rFonts w:ascii="Cambria Math" w:eastAsia="Times New Roman" w:hAnsi="Cambria Math" w:cs="Times New Roman"/>
                  <w:color w:val="1F1F1F"/>
                  <w:kern w:val="0"/>
                  <w:sz w:val="24"/>
                  <w:szCs w:val="24"/>
                  <w:lang w:eastAsia="en-IN" w:bidi="hi-IN"/>
                  <w14:ligatures w14:val="none"/>
                </w:rPr>
                <m:t>Gross Income</m:t>
              </m:r>
              <m:r>
                <m:rPr>
                  <m:sty m:val="p"/>
                </m:rPr>
                <w:rPr>
                  <w:rFonts w:ascii="Cambria Math" w:eastAsia="Times New Roman" w:hAnsi="Cambria Math" w:cs="Times New Roman"/>
                  <w:color w:val="1F1F1F"/>
                  <w:kern w:val="0"/>
                  <w:sz w:val="24"/>
                  <w:szCs w:val="24"/>
                  <w:vertAlign w:val="subscript"/>
                  <w:lang w:eastAsia="en-IN" w:bidi="hi-IN"/>
                  <w14:ligatures w14:val="none"/>
                </w:rPr>
                <m:t>T2</m:t>
              </m:r>
              <m:r>
                <m:rPr>
                  <m:sty m:val="p"/>
                </m:rPr>
                <w:rPr>
                  <w:rFonts w:ascii="Cambria Math" w:eastAsia="Times New Roman" w:hAnsi="Cambria Math" w:cs="Times New Roman"/>
                  <w:color w:val="1F1F1F"/>
                  <w:kern w:val="0"/>
                  <w:sz w:val="24"/>
                  <w:szCs w:val="24"/>
                  <w:lang w:eastAsia="en-IN" w:bidi="hi-IN"/>
                  <w14:ligatures w14:val="none"/>
                </w:rPr>
                <m:t>​-Gross Income</m:t>
              </m:r>
              <m:r>
                <m:rPr>
                  <m:sty m:val="p"/>
                </m:rPr>
                <w:rPr>
                  <w:rFonts w:ascii="Cambria Math" w:eastAsia="Times New Roman" w:hAnsi="Cambria Math" w:cs="Times New Roman"/>
                  <w:color w:val="1F1F1F"/>
                  <w:kern w:val="0"/>
                  <w:sz w:val="24"/>
                  <w:szCs w:val="24"/>
                  <w:vertAlign w:val="subscript"/>
                  <w:lang w:eastAsia="en-IN" w:bidi="hi-IN"/>
                  <w14:ligatures w14:val="none"/>
                </w:rPr>
                <m:t>T1</m:t>
              </m:r>
              <m:r>
                <m:rPr>
                  <m:sty m:val="p"/>
                </m:rPr>
                <w:rPr>
                  <w:rFonts w:ascii="Cambria Math" w:eastAsia="Times New Roman" w:hAnsi="Cambria Math" w:cs="Times New Roman"/>
                  <w:color w:val="1F1F1F"/>
                  <w:kern w:val="0"/>
                  <w:sz w:val="24"/>
                  <w:szCs w:val="24"/>
                  <w:lang w:eastAsia="en-IN" w:bidi="hi-IN"/>
                  <w14:ligatures w14:val="none"/>
                </w:rPr>
                <m:t>​​</m:t>
              </m:r>
            </m:den>
          </m:f>
        </m:oMath>
      </m:oMathPara>
    </w:p>
    <w:p w14:paraId="2ACB70F0" w14:textId="668DA162" w:rsidR="004D5240" w:rsidRPr="004D5240" w:rsidRDefault="004D5240" w:rsidP="004D5240">
      <w:pPr>
        <w:pStyle w:val="ListParagraph"/>
        <w:numPr>
          <w:ilvl w:val="0"/>
          <w:numId w:val="6"/>
        </w:numPr>
        <w:spacing w:after="0" w:line="240" w:lineRule="auto"/>
        <w:rPr>
          <w:rFonts w:ascii="Times New Roman" w:eastAsia="Times New Roman" w:hAnsi="Times New Roman" w:cs="Times New Roman"/>
          <w:kern w:val="0"/>
          <w:sz w:val="24"/>
          <w:szCs w:val="24"/>
          <w:lang w:eastAsia="en-IN" w:bidi="hi-IN"/>
          <w14:ligatures w14:val="none"/>
        </w:rPr>
      </w:pPr>
      <w:r w:rsidRPr="004D5240">
        <w:rPr>
          <w:rFonts w:ascii="Times New Roman" w:eastAsia="Times New Roman" w:hAnsi="Times New Roman" w:cs="Times New Roman"/>
          <w:b/>
          <w:bCs/>
          <w:kern w:val="0"/>
          <w:sz w:val="24"/>
          <w:szCs w:val="24"/>
          <w:lang w:eastAsia="en-IN" w:bidi="hi-IN"/>
          <w14:ligatures w14:val="none"/>
        </w:rPr>
        <w:t>Statistical Analysis:</w:t>
      </w:r>
      <w:r w:rsidRPr="004D5240">
        <w:rPr>
          <w:rFonts w:ascii="Times New Roman" w:eastAsia="Times New Roman" w:hAnsi="Times New Roman" w:cs="Times New Roman"/>
          <w:kern w:val="0"/>
          <w:sz w:val="24"/>
          <w:szCs w:val="24"/>
          <w:lang w:eastAsia="en-IN" w:bidi="hi-IN"/>
          <w14:ligatures w14:val="none"/>
        </w:rPr>
        <w:t xml:space="preserve"> To validate the agronomic improvements, the data was subjected to statistical evaluation. A paired Student's t-test was utilized to compare the means of the agronomic parameters (fruit girth and yield) between the control (T1) and demonstration (T2) treatments across the 39 replicates. Differences were considered statistically significant at a probability level of p &lt; 0.05.</w:t>
      </w:r>
    </w:p>
    <w:p w14:paraId="6A27F402" w14:textId="77777777" w:rsidR="002D29FF" w:rsidRDefault="002D29FF" w:rsidP="007F099A">
      <w:pPr>
        <w:spacing w:after="120" w:line="240" w:lineRule="auto"/>
        <w:jc w:val="both"/>
        <w:outlineLvl w:val="1"/>
        <w:rPr>
          <w:rFonts w:ascii="Times New Roman" w:eastAsia="Times New Roman" w:hAnsi="Times New Roman" w:cs="Times New Roman"/>
          <w:b/>
          <w:bCs/>
          <w:color w:val="1F1F1F"/>
          <w:kern w:val="0"/>
          <w:sz w:val="28"/>
          <w:szCs w:val="28"/>
          <w:lang w:eastAsia="en-IN" w:bidi="hi-IN"/>
          <w14:ligatures w14:val="none"/>
        </w:rPr>
      </w:pPr>
    </w:p>
    <w:p w14:paraId="5D90F6BE" w14:textId="10A6CD8A" w:rsidR="00ED30DA" w:rsidRPr="007F099A" w:rsidRDefault="00ED30DA" w:rsidP="007F099A">
      <w:pPr>
        <w:spacing w:after="120" w:line="240" w:lineRule="auto"/>
        <w:jc w:val="both"/>
        <w:outlineLvl w:val="1"/>
        <w:rPr>
          <w:rFonts w:ascii="Times New Roman" w:eastAsia="Times New Roman" w:hAnsi="Times New Roman" w:cs="Times New Roman"/>
          <w:b/>
          <w:bCs/>
          <w:color w:val="1F1F1F"/>
          <w:kern w:val="0"/>
          <w:sz w:val="28"/>
          <w:szCs w:val="28"/>
          <w:lang w:eastAsia="en-IN" w:bidi="hi-IN"/>
          <w14:ligatures w14:val="none"/>
        </w:rPr>
      </w:pPr>
      <w:r w:rsidRPr="007F099A">
        <w:rPr>
          <w:rFonts w:ascii="Times New Roman" w:eastAsia="Times New Roman" w:hAnsi="Times New Roman" w:cs="Times New Roman"/>
          <w:b/>
          <w:bCs/>
          <w:color w:val="1F1F1F"/>
          <w:kern w:val="0"/>
          <w:sz w:val="28"/>
          <w:szCs w:val="28"/>
          <w:lang w:eastAsia="en-IN" w:bidi="hi-IN"/>
          <w14:ligatures w14:val="none"/>
        </w:rPr>
        <w:lastRenderedPageBreak/>
        <w:t>3. Results and Discussion</w:t>
      </w:r>
    </w:p>
    <w:p w14:paraId="1D56C3D2" w14:textId="77777777" w:rsidR="00ED30DA" w:rsidRPr="007F099A" w:rsidRDefault="00ED30DA" w:rsidP="007F099A">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lang w:eastAsia="en-IN" w:bidi="hi-IN"/>
          <w14:ligatures w14:val="none"/>
        </w:rPr>
        <w:t>The findings of the three-year study are categorized into three distinct analytical approaches to fully comprehend the impact of the FLDs.</w:t>
      </w:r>
    </w:p>
    <w:p w14:paraId="24A31F3D" w14:textId="77777777" w:rsidR="00ED30DA" w:rsidRPr="007F099A" w:rsidRDefault="00ED30DA" w:rsidP="007F099A">
      <w:pPr>
        <w:spacing w:after="120" w:line="240" w:lineRule="auto"/>
        <w:jc w:val="both"/>
        <w:outlineLvl w:val="2"/>
        <w:rPr>
          <w:rFonts w:ascii="Times New Roman" w:eastAsia="Times New Roman" w:hAnsi="Times New Roman" w:cs="Times New Roman"/>
          <w:b/>
          <w:bCs/>
          <w:color w:val="1F1F1F"/>
          <w:kern w:val="0"/>
          <w:sz w:val="24"/>
          <w:szCs w:val="24"/>
          <w:lang w:eastAsia="en-IN" w:bidi="hi-IN"/>
          <w14:ligatures w14:val="none"/>
        </w:rPr>
      </w:pPr>
      <w:r w:rsidRPr="007F099A">
        <w:rPr>
          <w:rFonts w:ascii="Times New Roman" w:eastAsia="Times New Roman" w:hAnsi="Times New Roman" w:cs="Times New Roman"/>
          <w:b/>
          <w:bCs/>
          <w:color w:val="1F1F1F"/>
          <w:kern w:val="0"/>
          <w:sz w:val="24"/>
          <w:szCs w:val="24"/>
          <w:lang w:eastAsia="en-IN" w:bidi="hi-IN"/>
          <w14:ligatures w14:val="none"/>
        </w:rPr>
        <w:t>3.1 Approach 1: Agronomic and Quality Enhancements</w:t>
      </w:r>
    </w:p>
    <w:p w14:paraId="20F239BC" w14:textId="77777777" w:rsidR="00ED30DA" w:rsidRPr="007F099A" w:rsidRDefault="00ED30DA" w:rsidP="007F099A">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lang w:eastAsia="en-IN" w:bidi="hi-IN"/>
          <w14:ligatures w14:val="none"/>
        </w:rPr>
        <w:t>The primary biological objective of bunch skirting is to optimize the physiological development of the fruit. The data collected over the three years demonstrates a decisive and consistent agronomic advantage in the plots utilizing skirting bags (T2) compared to the traditional farmer practices (T1).</w:t>
      </w:r>
    </w:p>
    <w:p w14:paraId="079D9B38" w14:textId="1C5B7401" w:rsidR="00ED30DA" w:rsidRPr="007F099A" w:rsidRDefault="00ED30DA" w:rsidP="007F099A">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lang w:eastAsia="en-IN" w:bidi="hi-IN"/>
          <w14:ligatures w14:val="none"/>
        </w:rPr>
        <w:t>Table 1 summarizes the core agronomic outputs. The most immediate indicator of fruit quality for market grading is fruit girth. In the 20</w:t>
      </w:r>
      <w:r w:rsidR="009665B2">
        <w:rPr>
          <w:rFonts w:ascii="Times New Roman" w:eastAsia="Times New Roman" w:hAnsi="Times New Roman" w:cs="Times New Roman"/>
          <w:color w:val="1F1F1F"/>
          <w:kern w:val="0"/>
          <w:sz w:val="24"/>
          <w:szCs w:val="24"/>
          <w:lang w:eastAsia="en-IN" w:bidi="hi-IN"/>
          <w14:ligatures w14:val="none"/>
        </w:rPr>
        <w:t>22</w:t>
      </w:r>
      <w:r w:rsidRPr="007F099A">
        <w:rPr>
          <w:rFonts w:ascii="Times New Roman" w:eastAsia="Times New Roman" w:hAnsi="Times New Roman" w:cs="Times New Roman"/>
          <w:color w:val="1F1F1F"/>
          <w:kern w:val="0"/>
          <w:sz w:val="24"/>
          <w:szCs w:val="24"/>
          <w:lang w:eastAsia="en-IN" w:bidi="hi-IN"/>
          <w14:ligatures w14:val="none"/>
        </w:rPr>
        <w:t>-</w:t>
      </w:r>
      <w:r w:rsidR="009665B2">
        <w:rPr>
          <w:rFonts w:ascii="Times New Roman" w:eastAsia="Times New Roman" w:hAnsi="Times New Roman" w:cs="Times New Roman"/>
          <w:color w:val="1F1F1F"/>
          <w:kern w:val="0"/>
          <w:sz w:val="24"/>
          <w:szCs w:val="24"/>
          <w:lang w:eastAsia="en-IN" w:bidi="hi-IN"/>
          <w14:ligatures w14:val="none"/>
        </w:rPr>
        <w:t>23</w:t>
      </w:r>
      <w:r w:rsidRPr="007F099A">
        <w:rPr>
          <w:rFonts w:ascii="Times New Roman" w:eastAsia="Times New Roman" w:hAnsi="Times New Roman" w:cs="Times New Roman"/>
          <w:color w:val="1F1F1F"/>
          <w:kern w:val="0"/>
          <w:sz w:val="24"/>
          <w:szCs w:val="24"/>
          <w:lang w:eastAsia="en-IN" w:bidi="hi-IN"/>
          <w14:ligatures w14:val="none"/>
        </w:rPr>
        <w:t xml:space="preserve"> season, the average fruit girth in the control plots was 9.50 cm. In the demonstration plots, the micro-climate modification provided by the bags increased the average girth to 12.50 cm</w:t>
      </w:r>
      <w:r w:rsidR="00D07CD2">
        <w:rPr>
          <w:rFonts w:ascii="Times New Roman" w:eastAsia="Times New Roman" w:hAnsi="Times New Roman" w:cs="Times New Roman"/>
          <w:color w:val="1F1F1F"/>
          <w:kern w:val="0"/>
          <w:sz w:val="24"/>
          <w:szCs w:val="24"/>
          <w:lang w:eastAsia="en-IN" w:bidi="hi-IN"/>
          <w14:ligatures w14:val="none"/>
        </w:rPr>
        <w:t xml:space="preserve"> </w:t>
      </w:r>
      <w:r w:rsidRPr="007F099A">
        <w:rPr>
          <w:rFonts w:ascii="Times New Roman" w:eastAsia="Times New Roman" w:hAnsi="Times New Roman" w:cs="Times New Roman"/>
          <w:color w:val="1F1F1F"/>
          <w:kern w:val="0"/>
          <w:sz w:val="24"/>
          <w:szCs w:val="24"/>
          <w:lang w:eastAsia="en-IN" w:bidi="hi-IN"/>
          <w14:ligatures w14:val="none"/>
        </w:rPr>
        <w:t>a substantial improvement that pushes the produce into a premium pricing tier. This trend was sustained in subsequent years, with the 20</w:t>
      </w:r>
      <w:r w:rsidR="009665B2">
        <w:rPr>
          <w:rFonts w:ascii="Times New Roman" w:eastAsia="Times New Roman" w:hAnsi="Times New Roman" w:cs="Times New Roman"/>
          <w:color w:val="1F1F1F"/>
          <w:kern w:val="0"/>
          <w:sz w:val="24"/>
          <w:szCs w:val="24"/>
          <w:lang w:eastAsia="en-IN" w:bidi="hi-IN"/>
          <w14:ligatures w14:val="none"/>
        </w:rPr>
        <w:t>22</w:t>
      </w:r>
      <w:r w:rsidRPr="007F099A">
        <w:rPr>
          <w:rFonts w:ascii="Times New Roman" w:eastAsia="Times New Roman" w:hAnsi="Times New Roman" w:cs="Times New Roman"/>
          <w:color w:val="1F1F1F"/>
          <w:kern w:val="0"/>
          <w:sz w:val="24"/>
          <w:szCs w:val="24"/>
          <w:lang w:eastAsia="en-IN" w:bidi="hi-IN"/>
          <w14:ligatures w14:val="none"/>
        </w:rPr>
        <w:t>-</w:t>
      </w:r>
      <w:r w:rsidR="009665B2">
        <w:rPr>
          <w:rFonts w:ascii="Times New Roman" w:eastAsia="Times New Roman" w:hAnsi="Times New Roman" w:cs="Times New Roman"/>
          <w:color w:val="1F1F1F"/>
          <w:kern w:val="0"/>
          <w:sz w:val="24"/>
          <w:szCs w:val="24"/>
          <w:lang w:eastAsia="en-IN" w:bidi="hi-IN"/>
          <w14:ligatures w14:val="none"/>
        </w:rPr>
        <w:t>23</w:t>
      </w:r>
      <w:r w:rsidRPr="007F099A">
        <w:rPr>
          <w:rFonts w:ascii="Times New Roman" w:eastAsia="Times New Roman" w:hAnsi="Times New Roman" w:cs="Times New Roman"/>
          <w:color w:val="1F1F1F"/>
          <w:kern w:val="0"/>
          <w:sz w:val="24"/>
          <w:szCs w:val="24"/>
          <w:lang w:eastAsia="en-IN" w:bidi="hi-IN"/>
          <w14:ligatures w14:val="none"/>
        </w:rPr>
        <w:t xml:space="preserve"> data showing an increase from 11.03 cm to 12.69 cm, and the 20</w:t>
      </w:r>
      <w:r w:rsidR="009665B2">
        <w:rPr>
          <w:rFonts w:ascii="Times New Roman" w:eastAsia="Times New Roman" w:hAnsi="Times New Roman" w:cs="Times New Roman"/>
          <w:color w:val="1F1F1F"/>
          <w:kern w:val="0"/>
          <w:sz w:val="24"/>
          <w:szCs w:val="24"/>
          <w:lang w:eastAsia="en-IN" w:bidi="hi-IN"/>
          <w14:ligatures w14:val="none"/>
        </w:rPr>
        <w:t>24</w:t>
      </w:r>
      <w:r w:rsidRPr="007F099A">
        <w:rPr>
          <w:rFonts w:ascii="Times New Roman" w:eastAsia="Times New Roman" w:hAnsi="Times New Roman" w:cs="Times New Roman"/>
          <w:color w:val="1F1F1F"/>
          <w:kern w:val="0"/>
          <w:sz w:val="24"/>
          <w:szCs w:val="24"/>
          <w:lang w:eastAsia="en-IN" w:bidi="hi-IN"/>
          <w14:ligatures w14:val="none"/>
        </w:rPr>
        <w:t>-</w:t>
      </w:r>
      <w:r w:rsidR="009665B2">
        <w:rPr>
          <w:rFonts w:ascii="Times New Roman" w:eastAsia="Times New Roman" w:hAnsi="Times New Roman" w:cs="Times New Roman"/>
          <w:color w:val="1F1F1F"/>
          <w:kern w:val="0"/>
          <w:sz w:val="24"/>
          <w:szCs w:val="24"/>
          <w:lang w:eastAsia="en-IN" w:bidi="hi-IN"/>
          <w14:ligatures w14:val="none"/>
        </w:rPr>
        <w:t>25</w:t>
      </w:r>
      <w:r w:rsidRPr="007F099A">
        <w:rPr>
          <w:rFonts w:ascii="Times New Roman" w:eastAsia="Times New Roman" w:hAnsi="Times New Roman" w:cs="Times New Roman"/>
          <w:color w:val="1F1F1F"/>
          <w:kern w:val="0"/>
          <w:sz w:val="24"/>
          <w:szCs w:val="24"/>
          <w:lang w:eastAsia="en-IN" w:bidi="hi-IN"/>
          <w14:ligatures w14:val="none"/>
        </w:rPr>
        <w:t xml:space="preserve"> data showing an increase from 10.76 cm to 12.92 cm.</w:t>
      </w:r>
    </w:p>
    <w:p w14:paraId="4458767B" w14:textId="77777777" w:rsidR="00ED30DA" w:rsidRDefault="00ED30DA" w:rsidP="007F099A">
      <w:pPr>
        <w:spacing w:after="0" w:line="240" w:lineRule="auto"/>
        <w:jc w:val="both"/>
        <w:rPr>
          <w:rFonts w:ascii="Times New Roman" w:eastAsia="Times New Roman" w:hAnsi="Times New Roman" w:cs="Times New Roman"/>
          <w:b/>
          <w:bCs/>
          <w:color w:val="1F1F1F"/>
          <w:kern w:val="0"/>
          <w:sz w:val="24"/>
          <w:szCs w:val="24"/>
          <w:bdr w:val="none" w:sz="0" w:space="0" w:color="auto" w:frame="1"/>
          <w:lang w:eastAsia="en-IN" w:bidi="hi-IN"/>
          <w14:ligatures w14:val="none"/>
        </w:rPr>
      </w:pPr>
      <w:r w:rsidRPr="007F099A">
        <w:rPr>
          <w:rFonts w:ascii="Times New Roman" w:eastAsia="Times New Roman" w:hAnsi="Times New Roman" w:cs="Times New Roman"/>
          <w:b/>
          <w:bCs/>
          <w:color w:val="1F1F1F"/>
          <w:kern w:val="0"/>
          <w:sz w:val="24"/>
          <w:szCs w:val="24"/>
          <w:bdr w:val="none" w:sz="0" w:space="0" w:color="auto" w:frame="1"/>
          <w:lang w:eastAsia="en-IN" w:bidi="hi-IN"/>
          <w14:ligatures w14:val="none"/>
        </w:rPr>
        <w:t>Table 1: Agronomic Performance and Yield Metrics (Three-Year Average)</w:t>
      </w:r>
    </w:p>
    <w:p w14:paraId="13BBAE32" w14:textId="77777777" w:rsidR="007F099A" w:rsidRPr="007F099A" w:rsidRDefault="007F099A" w:rsidP="007F099A">
      <w:pPr>
        <w:spacing w:after="0" w:line="240" w:lineRule="auto"/>
        <w:jc w:val="both"/>
        <w:rPr>
          <w:rFonts w:ascii="Times New Roman" w:eastAsia="Times New Roman" w:hAnsi="Times New Roman" w:cs="Times New Roman"/>
          <w:color w:val="1F1F1F"/>
          <w:kern w:val="0"/>
          <w:sz w:val="24"/>
          <w:szCs w:val="24"/>
          <w:lang w:eastAsia="en-IN" w:bidi="hi-IN"/>
          <w14:ligatures w14:val="none"/>
        </w:rPr>
      </w:pPr>
    </w:p>
    <w:tbl>
      <w:tblPr>
        <w:tblStyle w:val="GridTable4-Accent5"/>
        <w:tblW w:w="0" w:type="auto"/>
        <w:tblLook w:val="04A0" w:firstRow="1" w:lastRow="0" w:firstColumn="1" w:lastColumn="0" w:noHBand="0" w:noVBand="1"/>
      </w:tblPr>
      <w:tblGrid>
        <w:gridCol w:w="2822"/>
        <w:gridCol w:w="2376"/>
        <w:gridCol w:w="1016"/>
        <w:gridCol w:w="1016"/>
        <w:gridCol w:w="1016"/>
      </w:tblGrid>
      <w:tr w:rsidR="00ED30DA" w:rsidRPr="007F099A" w14:paraId="6B0A9308" w14:textId="77777777" w:rsidTr="007F09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0C61CEF"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Parameter</w:t>
            </w:r>
          </w:p>
        </w:tc>
        <w:tc>
          <w:tcPr>
            <w:tcW w:w="0" w:type="auto"/>
            <w:hideMark/>
          </w:tcPr>
          <w:p w14:paraId="1B50C4E8" w14:textId="77777777" w:rsidR="00ED30DA" w:rsidRPr="007F099A" w:rsidRDefault="00ED30DA" w:rsidP="007F099A">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Treatment</w:t>
            </w:r>
          </w:p>
        </w:tc>
        <w:tc>
          <w:tcPr>
            <w:tcW w:w="0" w:type="auto"/>
            <w:hideMark/>
          </w:tcPr>
          <w:p w14:paraId="049EC815" w14:textId="2940DFFF" w:rsidR="00ED30DA" w:rsidRPr="007F099A" w:rsidRDefault="00ED30DA" w:rsidP="007F099A">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20</w:t>
            </w:r>
            <w:r w:rsidR="00032E14">
              <w:rPr>
                <w:rFonts w:ascii="Times New Roman" w:eastAsia="Times New Roman" w:hAnsi="Times New Roman" w:cs="Times New Roman"/>
                <w:color w:val="1F1F1F"/>
                <w:kern w:val="0"/>
                <w:sz w:val="24"/>
                <w:szCs w:val="24"/>
                <w:bdr w:val="none" w:sz="0" w:space="0" w:color="auto" w:frame="1"/>
                <w:lang w:eastAsia="en-IN" w:bidi="hi-IN"/>
                <w14:ligatures w14:val="none"/>
              </w:rPr>
              <w:t>22</w:t>
            </w: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w:t>
            </w:r>
            <w:r w:rsidR="00032E14">
              <w:rPr>
                <w:rFonts w:ascii="Times New Roman" w:eastAsia="Times New Roman" w:hAnsi="Times New Roman" w:cs="Times New Roman"/>
                <w:color w:val="1F1F1F"/>
                <w:kern w:val="0"/>
                <w:sz w:val="24"/>
                <w:szCs w:val="24"/>
                <w:bdr w:val="none" w:sz="0" w:space="0" w:color="auto" w:frame="1"/>
                <w:lang w:eastAsia="en-IN" w:bidi="hi-IN"/>
                <w14:ligatures w14:val="none"/>
              </w:rPr>
              <w:t>23</w:t>
            </w:r>
          </w:p>
        </w:tc>
        <w:tc>
          <w:tcPr>
            <w:tcW w:w="0" w:type="auto"/>
            <w:hideMark/>
          </w:tcPr>
          <w:p w14:paraId="5A6E9243" w14:textId="0DC69655" w:rsidR="00ED30DA" w:rsidRPr="007F099A" w:rsidRDefault="00ED30DA" w:rsidP="007F099A">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20</w:t>
            </w:r>
            <w:r w:rsidR="00032E14">
              <w:rPr>
                <w:rFonts w:ascii="Times New Roman" w:eastAsia="Times New Roman" w:hAnsi="Times New Roman" w:cs="Times New Roman"/>
                <w:color w:val="1F1F1F"/>
                <w:kern w:val="0"/>
                <w:sz w:val="24"/>
                <w:szCs w:val="24"/>
                <w:bdr w:val="none" w:sz="0" w:space="0" w:color="auto" w:frame="1"/>
                <w:lang w:eastAsia="en-IN" w:bidi="hi-IN"/>
                <w14:ligatures w14:val="none"/>
              </w:rPr>
              <w:t>23</w:t>
            </w: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w:t>
            </w:r>
            <w:r w:rsidR="00032E14">
              <w:rPr>
                <w:rFonts w:ascii="Times New Roman" w:eastAsia="Times New Roman" w:hAnsi="Times New Roman" w:cs="Times New Roman"/>
                <w:color w:val="1F1F1F"/>
                <w:kern w:val="0"/>
                <w:sz w:val="24"/>
                <w:szCs w:val="24"/>
                <w:bdr w:val="none" w:sz="0" w:space="0" w:color="auto" w:frame="1"/>
                <w:lang w:eastAsia="en-IN" w:bidi="hi-IN"/>
                <w14:ligatures w14:val="none"/>
              </w:rPr>
              <w:t>24</w:t>
            </w:r>
          </w:p>
        </w:tc>
        <w:tc>
          <w:tcPr>
            <w:tcW w:w="0" w:type="auto"/>
            <w:hideMark/>
          </w:tcPr>
          <w:p w14:paraId="5EEDFCDD" w14:textId="60B384D5" w:rsidR="00ED30DA" w:rsidRPr="007F099A" w:rsidRDefault="00ED30DA" w:rsidP="007F099A">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20</w:t>
            </w:r>
            <w:r w:rsidR="00032E14">
              <w:rPr>
                <w:rFonts w:ascii="Times New Roman" w:eastAsia="Times New Roman" w:hAnsi="Times New Roman" w:cs="Times New Roman"/>
                <w:color w:val="1F1F1F"/>
                <w:kern w:val="0"/>
                <w:sz w:val="24"/>
                <w:szCs w:val="24"/>
                <w:bdr w:val="none" w:sz="0" w:space="0" w:color="auto" w:frame="1"/>
                <w:lang w:eastAsia="en-IN" w:bidi="hi-IN"/>
                <w14:ligatures w14:val="none"/>
              </w:rPr>
              <w:t>24</w:t>
            </w: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w:t>
            </w:r>
            <w:r w:rsidR="00032E14">
              <w:rPr>
                <w:rFonts w:ascii="Times New Roman" w:eastAsia="Times New Roman" w:hAnsi="Times New Roman" w:cs="Times New Roman"/>
                <w:color w:val="1F1F1F"/>
                <w:kern w:val="0"/>
                <w:sz w:val="24"/>
                <w:szCs w:val="24"/>
                <w:bdr w:val="none" w:sz="0" w:space="0" w:color="auto" w:frame="1"/>
                <w:lang w:eastAsia="en-IN" w:bidi="hi-IN"/>
                <w14:ligatures w14:val="none"/>
              </w:rPr>
              <w:t>25</w:t>
            </w:r>
          </w:p>
        </w:tc>
      </w:tr>
      <w:tr w:rsidR="00ED30DA" w:rsidRPr="007F099A" w14:paraId="0396257B" w14:textId="77777777" w:rsidTr="007F0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FB79790"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Average Fruit Girth (cm)</w:t>
            </w:r>
          </w:p>
        </w:tc>
        <w:tc>
          <w:tcPr>
            <w:tcW w:w="0" w:type="auto"/>
            <w:hideMark/>
          </w:tcPr>
          <w:p w14:paraId="113E3A52"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T1 (Control)</w:t>
            </w:r>
          </w:p>
        </w:tc>
        <w:tc>
          <w:tcPr>
            <w:tcW w:w="0" w:type="auto"/>
            <w:hideMark/>
          </w:tcPr>
          <w:p w14:paraId="1B500873"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9.50</w:t>
            </w:r>
          </w:p>
        </w:tc>
        <w:tc>
          <w:tcPr>
            <w:tcW w:w="0" w:type="auto"/>
            <w:hideMark/>
          </w:tcPr>
          <w:p w14:paraId="6860E124"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11.03</w:t>
            </w:r>
          </w:p>
        </w:tc>
        <w:tc>
          <w:tcPr>
            <w:tcW w:w="0" w:type="auto"/>
            <w:hideMark/>
          </w:tcPr>
          <w:p w14:paraId="67AA1936"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10.76</w:t>
            </w:r>
          </w:p>
        </w:tc>
      </w:tr>
      <w:tr w:rsidR="00ED30DA" w:rsidRPr="007F099A" w14:paraId="0D10799F" w14:textId="77777777" w:rsidTr="007F099A">
        <w:tc>
          <w:tcPr>
            <w:cnfStyle w:val="001000000000" w:firstRow="0" w:lastRow="0" w:firstColumn="1" w:lastColumn="0" w:oddVBand="0" w:evenVBand="0" w:oddHBand="0" w:evenHBand="0" w:firstRowFirstColumn="0" w:firstRowLastColumn="0" w:lastRowFirstColumn="0" w:lastRowLastColumn="0"/>
            <w:tcW w:w="0" w:type="auto"/>
            <w:hideMark/>
          </w:tcPr>
          <w:p w14:paraId="322892A3"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p>
        </w:tc>
        <w:tc>
          <w:tcPr>
            <w:tcW w:w="0" w:type="auto"/>
            <w:hideMark/>
          </w:tcPr>
          <w:p w14:paraId="598E3E78"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T2 (Skirting)</w:t>
            </w:r>
          </w:p>
        </w:tc>
        <w:tc>
          <w:tcPr>
            <w:tcW w:w="0" w:type="auto"/>
            <w:hideMark/>
          </w:tcPr>
          <w:p w14:paraId="40FF77D5"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12.50</w:t>
            </w:r>
          </w:p>
        </w:tc>
        <w:tc>
          <w:tcPr>
            <w:tcW w:w="0" w:type="auto"/>
            <w:hideMark/>
          </w:tcPr>
          <w:p w14:paraId="23A4F1FC"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12.69</w:t>
            </w:r>
          </w:p>
        </w:tc>
        <w:tc>
          <w:tcPr>
            <w:tcW w:w="0" w:type="auto"/>
            <w:hideMark/>
          </w:tcPr>
          <w:p w14:paraId="09E40E97"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12.92</w:t>
            </w:r>
          </w:p>
        </w:tc>
      </w:tr>
      <w:tr w:rsidR="00ED30DA" w:rsidRPr="007F099A" w14:paraId="57849A0E" w14:textId="77777777" w:rsidTr="007F0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C16762B"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p>
        </w:tc>
        <w:tc>
          <w:tcPr>
            <w:tcW w:w="0" w:type="auto"/>
            <w:hideMark/>
          </w:tcPr>
          <w:p w14:paraId="14C02C4F"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i/>
                <w:iCs/>
                <w:color w:val="1F1F1F"/>
                <w:kern w:val="0"/>
                <w:sz w:val="24"/>
                <w:szCs w:val="24"/>
                <w:bdr w:val="none" w:sz="0" w:space="0" w:color="auto" w:frame="1"/>
                <w:lang w:eastAsia="en-IN" w:bidi="hi-IN"/>
                <w14:ligatures w14:val="none"/>
              </w:rPr>
              <w:t>Net Improvement (cm)</w:t>
            </w:r>
          </w:p>
        </w:tc>
        <w:tc>
          <w:tcPr>
            <w:tcW w:w="0" w:type="auto"/>
            <w:hideMark/>
          </w:tcPr>
          <w:p w14:paraId="2B70A0A0"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i/>
                <w:iCs/>
                <w:color w:val="1F1F1F"/>
                <w:kern w:val="0"/>
                <w:sz w:val="24"/>
                <w:szCs w:val="24"/>
                <w:bdr w:val="none" w:sz="0" w:space="0" w:color="auto" w:frame="1"/>
                <w:lang w:eastAsia="en-IN" w:bidi="hi-IN"/>
                <w14:ligatures w14:val="none"/>
              </w:rPr>
              <w:t>+3.00</w:t>
            </w:r>
          </w:p>
        </w:tc>
        <w:tc>
          <w:tcPr>
            <w:tcW w:w="0" w:type="auto"/>
            <w:hideMark/>
          </w:tcPr>
          <w:p w14:paraId="1ACEF05F"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i/>
                <w:iCs/>
                <w:color w:val="1F1F1F"/>
                <w:kern w:val="0"/>
                <w:sz w:val="24"/>
                <w:szCs w:val="24"/>
                <w:bdr w:val="none" w:sz="0" w:space="0" w:color="auto" w:frame="1"/>
                <w:lang w:eastAsia="en-IN" w:bidi="hi-IN"/>
                <w14:ligatures w14:val="none"/>
              </w:rPr>
              <w:t>+1.66</w:t>
            </w:r>
          </w:p>
        </w:tc>
        <w:tc>
          <w:tcPr>
            <w:tcW w:w="0" w:type="auto"/>
            <w:hideMark/>
          </w:tcPr>
          <w:p w14:paraId="0FE8229D"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i/>
                <w:iCs/>
                <w:color w:val="1F1F1F"/>
                <w:kern w:val="0"/>
                <w:sz w:val="24"/>
                <w:szCs w:val="24"/>
                <w:bdr w:val="none" w:sz="0" w:space="0" w:color="auto" w:frame="1"/>
                <w:lang w:eastAsia="en-IN" w:bidi="hi-IN"/>
                <w14:ligatures w14:val="none"/>
              </w:rPr>
              <w:t>+2.16</w:t>
            </w:r>
          </w:p>
        </w:tc>
      </w:tr>
      <w:tr w:rsidR="00ED30DA" w:rsidRPr="007F099A" w14:paraId="107E8479" w14:textId="77777777" w:rsidTr="007F099A">
        <w:tc>
          <w:tcPr>
            <w:cnfStyle w:val="001000000000" w:firstRow="0" w:lastRow="0" w:firstColumn="1" w:lastColumn="0" w:oddVBand="0" w:evenVBand="0" w:oddHBand="0" w:evenHBand="0" w:firstRowFirstColumn="0" w:firstRowLastColumn="0" w:lastRowFirstColumn="0" w:lastRowLastColumn="0"/>
            <w:tcW w:w="0" w:type="auto"/>
            <w:hideMark/>
          </w:tcPr>
          <w:p w14:paraId="1516EDB2"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Average Yield per ha (q)</w:t>
            </w:r>
          </w:p>
        </w:tc>
        <w:tc>
          <w:tcPr>
            <w:tcW w:w="0" w:type="auto"/>
            <w:hideMark/>
          </w:tcPr>
          <w:p w14:paraId="2BA97AA4"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T1 (Control)</w:t>
            </w:r>
          </w:p>
        </w:tc>
        <w:tc>
          <w:tcPr>
            <w:tcW w:w="0" w:type="auto"/>
            <w:hideMark/>
          </w:tcPr>
          <w:p w14:paraId="1FD2A92A"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731.58</w:t>
            </w:r>
          </w:p>
        </w:tc>
        <w:tc>
          <w:tcPr>
            <w:tcW w:w="0" w:type="auto"/>
            <w:hideMark/>
          </w:tcPr>
          <w:p w14:paraId="6FB083F3"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745.54</w:t>
            </w:r>
          </w:p>
        </w:tc>
        <w:tc>
          <w:tcPr>
            <w:tcW w:w="0" w:type="auto"/>
            <w:hideMark/>
          </w:tcPr>
          <w:p w14:paraId="61C2FD5B"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737.37</w:t>
            </w:r>
          </w:p>
        </w:tc>
      </w:tr>
      <w:tr w:rsidR="00ED30DA" w:rsidRPr="007F099A" w14:paraId="5C88FA98" w14:textId="77777777" w:rsidTr="007F0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0ACC576"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p>
        </w:tc>
        <w:tc>
          <w:tcPr>
            <w:tcW w:w="0" w:type="auto"/>
            <w:hideMark/>
          </w:tcPr>
          <w:p w14:paraId="5F201FD9"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T2 (Skirting)</w:t>
            </w:r>
          </w:p>
        </w:tc>
        <w:tc>
          <w:tcPr>
            <w:tcW w:w="0" w:type="auto"/>
            <w:hideMark/>
          </w:tcPr>
          <w:p w14:paraId="6E72BBD2"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827.91</w:t>
            </w:r>
          </w:p>
        </w:tc>
        <w:tc>
          <w:tcPr>
            <w:tcW w:w="0" w:type="auto"/>
            <w:hideMark/>
          </w:tcPr>
          <w:p w14:paraId="429C4806"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829.31</w:t>
            </w:r>
          </w:p>
        </w:tc>
        <w:tc>
          <w:tcPr>
            <w:tcW w:w="0" w:type="auto"/>
            <w:hideMark/>
          </w:tcPr>
          <w:p w14:paraId="0083D4D7"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844.73</w:t>
            </w:r>
          </w:p>
        </w:tc>
      </w:tr>
      <w:tr w:rsidR="00ED30DA" w:rsidRPr="007F099A" w14:paraId="4F526BD4" w14:textId="77777777" w:rsidTr="007F099A">
        <w:tc>
          <w:tcPr>
            <w:cnfStyle w:val="001000000000" w:firstRow="0" w:lastRow="0" w:firstColumn="1" w:lastColumn="0" w:oddVBand="0" w:evenVBand="0" w:oddHBand="0" w:evenHBand="0" w:firstRowFirstColumn="0" w:firstRowLastColumn="0" w:lastRowFirstColumn="0" w:lastRowLastColumn="0"/>
            <w:tcW w:w="0" w:type="auto"/>
            <w:hideMark/>
          </w:tcPr>
          <w:p w14:paraId="0E0285CB"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p>
        </w:tc>
        <w:tc>
          <w:tcPr>
            <w:tcW w:w="0" w:type="auto"/>
            <w:hideMark/>
          </w:tcPr>
          <w:p w14:paraId="11D38342"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i/>
                <w:iCs/>
                <w:color w:val="1F1F1F"/>
                <w:kern w:val="0"/>
                <w:sz w:val="24"/>
                <w:szCs w:val="24"/>
                <w:bdr w:val="none" w:sz="0" w:space="0" w:color="auto" w:frame="1"/>
                <w:lang w:eastAsia="en-IN" w:bidi="hi-IN"/>
                <w14:ligatures w14:val="none"/>
              </w:rPr>
              <w:t>Percentage Increase</w:t>
            </w:r>
          </w:p>
        </w:tc>
        <w:tc>
          <w:tcPr>
            <w:tcW w:w="0" w:type="auto"/>
            <w:hideMark/>
          </w:tcPr>
          <w:p w14:paraId="7A5F2B87"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i/>
                <w:iCs/>
                <w:color w:val="1F1F1F"/>
                <w:kern w:val="0"/>
                <w:sz w:val="24"/>
                <w:szCs w:val="24"/>
                <w:bdr w:val="none" w:sz="0" w:space="0" w:color="auto" w:frame="1"/>
                <w:lang w:eastAsia="en-IN" w:bidi="hi-IN"/>
                <w14:ligatures w14:val="none"/>
              </w:rPr>
              <w:t>13.16%</w:t>
            </w:r>
          </w:p>
        </w:tc>
        <w:tc>
          <w:tcPr>
            <w:tcW w:w="0" w:type="auto"/>
            <w:hideMark/>
          </w:tcPr>
          <w:p w14:paraId="3015CEDC"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i/>
                <w:iCs/>
                <w:color w:val="1F1F1F"/>
                <w:kern w:val="0"/>
                <w:sz w:val="24"/>
                <w:szCs w:val="24"/>
                <w:bdr w:val="none" w:sz="0" w:space="0" w:color="auto" w:frame="1"/>
                <w:lang w:eastAsia="en-IN" w:bidi="hi-IN"/>
                <w14:ligatures w14:val="none"/>
              </w:rPr>
              <w:t>11.23%</w:t>
            </w:r>
          </w:p>
        </w:tc>
        <w:tc>
          <w:tcPr>
            <w:tcW w:w="0" w:type="auto"/>
            <w:hideMark/>
          </w:tcPr>
          <w:p w14:paraId="4FAD884A"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i/>
                <w:iCs/>
                <w:color w:val="1F1F1F"/>
                <w:kern w:val="0"/>
                <w:sz w:val="24"/>
                <w:szCs w:val="24"/>
                <w:bdr w:val="none" w:sz="0" w:space="0" w:color="auto" w:frame="1"/>
                <w:lang w:eastAsia="en-IN" w:bidi="hi-IN"/>
                <w14:ligatures w14:val="none"/>
              </w:rPr>
              <w:t>14.56%</w:t>
            </w:r>
          </w:p>
        </w:tc>
      </w:tr>
    </w:tbl>
    <w:p w14:paraId="60B9F649" w14:textId="77777777" w:rsidR="007F099A" w:rsidRDefault="007F099A" w:rsidP="007F099A">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p>
    <w:p w14:paraId="27FF81E7" w14:textId="3683289E" w:rsidR="00ED30DA" w:rsidRDefault="00ED30DA" w:rsidP="007F099A">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lang w:eastAsia="en-IN" w:bidi="hi-IN"/>
          <w14:ligatures w14:val="none"/>
        </w:rPr>
        <w:t>The increase in physical dimensions directly translated into higher overall yields. The traditional practice yielded an average of 731.58 q/ha in the first year, whereas the skirting technology boosted this to 827.91 q/ha, representing a 13.16% yield increase. The physiological mechanism behind this is well-documented: the bags reduce the transpiration rate from the fruit surface, preventing moisture loss, while concurrently raising the ambient temperature around the bunch during cooler nights, which accelerates cellular expansion and starch accumulation.</w:t>
      </w:r>
    </w:p>
    <w:p w14:paraId="2EB3ACFF" w14:textId="1DA29C3D" w:rsidR="001F6997" w:rsidRPr="007F099A" w:rsidRDefault="001F6997" w:rsidP="007F099A">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r w:rsidRPr="001F6997">
        <w:rPr>
          <w:rFonts w:ascii="Times New Roman" w:eastAsia="Times New Roman" w:hAnsi="Times New Roman" w:cs="Times New Roman"/>
          <w:color w:val="1F1F1F"/>
          <w:kern w:val="0"/>
          <w:sz w:val="24"/>
          <w:szCs w:val="24"/>
          <w:lang w:eastAsia="en-IN" w:bidi="hi-IN"/>
          <w14:ligatures w14:val="none"/>
        </w:rPr>
        <w:t xml:space="preserve">Across all three years, the micro-climate modification provided by the bags substantially increased the average fruit girth and overall yield. This aligns with existing research by Weerasinghe and </w:t>
      </w:r>
      <w:proofErr w:type="spellStart"/>
      <w:r w:rsidRPr="001F6997">
        <w:rPr>
          <w:rFonts w:ascii="Times New Roman" w:eastAsia="Times New Roman" w:hAnsi="Times New Roman" w:cs="Times New Roman"/>
          <w:color w:val="1F1F1F"/>
          <w:kern w:val="0"/>
          <w:sz w:val="24"/>
          <w:szCs w:val="24"/>
          <w:lang w:eastAsia="en-IN" w:bidi="hi-IN"/>
          <w14:ligatures w14:val="none"/>
        </w:rPr>
        <w:t>Ruwanpathirana</w:t>
      </w:r>
      <w:proofErr w:type="spellEnd"/>
      <w:r w:rsidRPr="001F6997">
        <w:rPr>
          <w:rFonts w:ascii="Times New Roman" w:eastAsia="Times New Roman" w:hAnsi="Times New Roman" w:cs="Times New Roman"/>
          <w:color w:val="1F1F1F"/>
          <w:kern w:val="0"/>
          <w:sz w:val="24"/>
          <w:szCs w:val="24"/>
          <w:lang w:eastAsia="en-IN" w:bidi="hi-IN"/>
          <w14:ligatures w14:val="none"/>
        </w:rPr>
        <w:t xml:space="preserve"> (2002), which indicated that bunches developed in bunch covers are bigger, cleaner, more attractive, and maintain a dark green colour. Furthermore, fruits of bagged bunches show neither scratches nor blemishes, whereas those from uncovered bunches frequently suffer from physical injury (Weerasinghe and </w:t>
      </w:r>
      <w:proofErr w:type="spellStart"/>
      <w:r w:rsidRPr="001F6997">
        <w:rPr>
          <w:rFonts w:ascii="Times New Roman" w:eastAsia="Times New Roman" w:hAnsi="Times New Roman" w:cs="Times New Roman"/>
          <w:color w:val="1F1F1F"/>
          <w:kern w:val="0"/>
          <w:sz w:val="24"/>
          <w:szCs w:val="24"/>
          <w:lang w:eastAsia="en-IN" w:bidi="hi-IN"/>
          <w14:ligatures w14:val="none"/>
        </w:rPr>
        <w:t>Ruwanpathirana</w:t>
      </w:r>
      <w:proofErr w:type="spellEnd"/>
      <w:r w:rsidRPr="001F6997">
        <w:rPr>
          <w:rFonts w:ascii="Times New Roman" w:eastAsia="Times New Roman" w:hAnsi="Times New Roman" w:cs="Times New Roman"/>
          <w:color w:val="1F1F1F"/>
          <w:kern w:val="0"/>
          <w:sz w:val="24"/>
          <w:szCs w:val="24"/>
          <w:lang w:eastAsia="en-IN" w:bidi="hi-IN"/>
          <w14:ligatures w14:val="none"/>
        </w:rPr>
        <w:t xml:space="preserve">, 2002). The physiological mechanism behind this yield enhancement is well-documented: the microclimate enhances physiological and metabolic activities (Johns and Scott, 1989), leading to larger partitioning of nutrients to the developing bunches (Weerasinghe and </w:t>
      </w:r>
      <w:proofErr w:type="spellStart"/>
      <w:r w:rsidRPr="001F6997">
        <w:rPr>
          <w:rFonts w:ascii="Times New Roman" w:eastAsia="Times New Roman" w:hAnsi="Times New Roman" w:cs="Times New Roman"/>
          <w:color w:val="1F1F1F"/>
          <w:kern w:val="0"/>
          <w:sz w:val="24"/>
          <w:szCs w:val="24"/>
          <w:lang w:eastAsia="en-IN" w:bidi="hi-IN"/>
          <w14:ligatures w14:val="none"/>
        </w:rPr>
        <w:t>Ruwapathirana</w:t>
      </w:r>
      <w:proofErr w:type="spellEnd"/>
      <w:r w:rsidRPr="001F6997">
        <w:rPr>
          <w:rFonts w:ascii="Times New Roman" w:eastAsia="Times New Roman" w:hAnsi="Times New Roman" w:cs="Times New Roman"/>
          <w:color w:val="1F1F1F"/>
          <w:kern w:val="0"/>
          <w:sz w:val="24"/>
          <w:szCs w:val="24"/>
          <w:lang w:eastAsia="en-IN" w:bidi="hi-IN"/>
          <w14:ligatures w14:val="none"/>
        </w:rPr>
        <w:t>, 2002) without adversely affecting the internal quality parameters of the fruit.</w:t>
      </w:r>
    </w:p>
    <w:p w14:paraId="10274540" w14:textId="77777777" w:rsidR="00ED30DA" w:rsidRPr="007F099A" w:rsidRDefault="00ED30DA" w:rsidP="007F099A">
      <w:pPr>
        <w:spacing w:after="120" w:line="240" w:lineRule="auto"/>
        <w:jc w:val="both"/>
        <w:outlineLvl w:val="2"/>
        <w:rPr>
          <w:rFonts w:ascii="Times New Roman" w:eastAsia="Times New Roman" w:hAnsi="Times New Roman" w:cs="Times New Roman"/>
          <w:b/>
          <w:bCs/>
          <w:color w:val="1F1F1F"/>
          <w:kern w:val="0"/>
          <w:sz w:val="24"/>
          <w:szCs w:val="24"/>
          <w:lang w:eastAsia="en-IN" w:bidi="hi-IN"/>
          <w14:ligatures w14:val="none"/>
        </w:rPr>
      </w:pPr>
      <w:r w:rsidRPr="007F099A">
        <w:rPr>
          <w:rFonts w:ascii="Times New Roman" w:eastAsia="Times New Roman" w:hAnsi="Times New Roman" w:cs="Times New Roman"/>
          <w:b/>
          <w:bCs/>
          <w:color w:val="1F1F1F"/>
          <w:kern w:val="0"/>
          <w:sz w:val="24"/>
          <w:szCs w:val="24"/>
          <w:lang w:eastAsia="en-IN" w:bidi="hi-IN"/>
          <w14:ligatures w14:val="none"/>
        </w:rPr>
        <w:t>3.2 Approach 2: Techno-Economic Feasibility</w:t>
      </w:r>
    </w:p>
    <w:p w14:paraId="4D9862EB" w14:textId="77777777" w:rsidR="00ED30DA" w:rsidRPr="007F099A" w:rsidRDefault="00ED30DA" w:rsidP="007F099A">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lang w:eastAsia="en-IN" w:bidi="hi-IN"/>
          <w14:ligatures w14:val="none"/>
        </w:rPr>
        <w:lastRenderedPageBreak/>
        <w:t>While agronomic improvements are scientifically significant, farmer adoption is ultimately driven by farm economics. The primary barrier to the adoption of skirting bags is the upfront capital cost. Table 2 details the financial implications of the technology.</w:t>
      </w:r>
    </w:p>
    <w:p w14:paraId="6A17B3D3" w14:textId="77777777" w:rsidR="00ED30DA" w:rsidRPr="007F099A" w:rsidRDefault="00ED30DA" w:rsidP="007F099A">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lang w:eastAsia="en-IN" w:bidi="hi-IN"/>
          <w14:ligatures w14:val="none"/>
        </w:rPr>
        <w:t>The standardized plant population of 3,630 plants/ha dictated a fixed additional expenditure of Rs. 54,450 for the skirting bags (at Rs. 15/bag). The critical analysis lies in determining whether the premium quality and increased yield offset this supplementary cost.</w:t>
      </w:r>
    </w:p>
    <w:p w14:paraId="2A5A996B" w14:textId="77777777" w:rsidR="00ED30DA" w:rsidRDefault="00ED30DA" w:rsidP="007F099A">
      <w:pPr>
        <w:spacing w:after="0" w:line="240" w:lineRule="auto"/>
        <w:jc w:val="both"/>
        <w:rPr>
          <w:rFonts w:ascii="Times New Roman" w:eastAsia="Times New Roman" w:hAnsi="Times New Roman" w:cs="Times New Roman"/>
          <w:b/>
          <w:bCs/>
          <w:color w:val="1F1F1F"/>
          <w:kern w:val="0"/>
          <w:sz w:val="24"/>
          <w:szCs w:val="24"/>
          <w:bdr w:val="none" w:sz="0" w:space="0" w:color="auto" w:frame="1"/>
          <w:lang w:eastAsia="en-IN" w:bidi="hi-IN"/>
          <w14:ligatures w14:val="none"/>
        </w:rPr>
      </w:pPr>
      <w:r w:rsidRPr="007F099A">
        <w:rPr>
          <w:rFonts w:ascii="Times New Roman" w:eastAsia="Times New Roman" w:hAnsi="Times New Roman" w:cs="Times New Roman"/>
          <w:b/>
          <w:bCs/>
          <w:color w:val="1F1F1F"/>
          <w:kern w:val="0"/>
          <w:sz w:val="24"/>
          <w:szCs w:val="24"/>
          <w:bdr w:val="none" w:sz="0" w:space="0" w:color="auto" w:frame="1"/>
          <w:lang w:eastAsia="en-IN" w:bidi="hi-IN"/>
          <w14:ligatures w14:val="none"/>
        </w:rPr>
        <w:t>Table 2: Economic Viability and Profitability Indicators (Three-Year Average)</w:t>
      </w:r>
    </w:p>
    <w:p w14:paraId="67ECB0CF" w14:textId="77777777" w:rsidR="007F099A" w:rsidRPr="007F099A" w:rsidRDefault="007F099A" w:rsidP="007F099A">
      <w:pPr>
        <w:spacing w:after="0" w:line="240" w:lineRule="auto"/>
        <w:jc w:val="both"/>
        <w:rPr>
          <w:rFonts w:ascii="Times New Roman" w:eastAsia="Times New Roman" w:hAnsi="Times New Roman" w:cs="Times New Roman"/>
          <w:color w:val="1F1F1F"/>
          <w:kern w:val="0"/>
          <w:sz w:val="24"/>
          <w:szCs w:val="24"/>
          <w:lang w:eastAsia="en-IN" w:bidi="hi-IN"/>
          <w14:ligatures w14:val="none"/>
        </w:rPr>
      </w:pPr>
    </w:p>
    <w:tbl>
      <w:tblPr>
        <w:tblStyle w:val="GridTable4-Accent5"/>
        <w:tblW w:w="0" w:type="auto"/>
        <w:tblLook w:val="04A0" w:firstRow="1" w:lastRow="0" w:firstColumn="1" w:lastColumn="0" w:noHBand="0" w:noVBand="1"/>
      </w:tblPr>
      <w:tblGrid>
        <w:gridCol w:w="3383"/>
        <w:gridCol w:w="1730"/>
        <w:gridCol w:w="1056"/>
        <w:gridCol w:w="1056"/>
        <w:gridCol w:w="1056"/>
      </w:tblGrid>
      <w:tr w:rsidR="00ED30DA" w:rsidRPr="007F099A" w14:paraId="580DE132" w14:textId="77777777" w:rsidTr="007F09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0BC69B2"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Financial Metric</w:t>
            </w:r>
          </w:p>
        </w:tc>
        <w:tc>
          <w:tcPr>
            <w:tcW w:w="0" w:type="auto"/>
            <w:hideMark/>
          </w:tcPr>
          <w:p w14:paraId="072FCAFA" w14:textId="77777777" w:rsidR="00ED30DA" w:rsidRPr="007F099A" w:rsidRDefault="00ED30DA" w:rsidP="007F099A">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Treatment</w:t>
            </w:r>
          </w:p>
        </w:tc>
        <w:tc>
          <w:tcPr>
            <w:tcW w:w="0" w:type="auto"/>
            <w:hideMark/>
          </w:tcPr>
          <w:p w14:paraId="4F8A8F4B" w14:textId="3B41E7D0" w:rsidR="00ED30DA" w:rsidRPr="007F099A" w:rsidRDefault="00ED30DA" w:rsidP="007F099A">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20</w:t>
            </w:r>
            <w:r w:rsidR="009665B2">
              <w:rPr>
                <w:rFonts w:ascii="Times New Roman" w:eastAsia="Times New Roman" w:hAnsi="Times New Roman" w:cs="Times New Roman"/>
                <w:color w:val="1F1F1F"/>
                <w:kern w:val="0"/>
                <w:sz w:val="24"/>
                <w:szCs w:val="24"/>
                <w:bdr w:val="none" w:sz="0" w:space="0" w:color="auto" w:frame="1"/>
                <w:lang w:eastAsia="en-IN" w:bidi="hi-IN"/>
                <w14:ligatures w14:val="none"/>
              </w:rPr>
              <w:t>22</w:t>
            </w: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w:t>
            </w:r>
            <w:r w:rsidR="009665B2">
              <w:rPr>
                <w:rFonts w:ascii="Times New Roman" w:eastAsia="Times New Roman" w:hAnsi="Times New Roman" w:cs="Times New Roman"/>
                <w:color w:val="1F1F1F"/>
                <w:kern w:val="0"/>
                <w:sz w:val="24"/>
                <w:szCs w:val="24"/>
                <w:bdr w:val="none" w:sz="0" w:space="0" w:color="auto" w:frame="1"/>
                <w:lang w:eastAsia="en-IN" w:bidi="hi-IN"/>
                <w14:ligatures w14:val="none"/>
              </w:rPr>
              <w:t>23</w:t>
            </w:r>
          </w:p>
        </w:tc>
        <w:tc>
          <w:tcPr>
            <w:tcW w:w="0" w:type="auto"/>
            <w:hideMark/>
          </w:tcPr>
          <w:p w14:paraId="11A80C1D" w14:textId="52263817" w:rsidR="00ED30DA" w:rsidRPr="007F099A" w:rsidRDefault="00ED30DA" w:rsidP="007F099A">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20</w:t>
            </w:r>
            <w:r w:rsidR="009665B2">
              <w:rPr>
                <w:rFonts w:ascii="Times New Roman" w:eastAsia="Times New Roman" w:hAnsi="Times New Roman" w:cs="Times New Roman"/>
                <w:color w:val="1F1F1F"/>
                <w:kern w:val="0"/>
                <w:sz w:val="24"/>
                <w:szCs w:val="24"/>
                <w:bdr w:val="none" w:sz="0" w:space="0" w:color="auto" w:frame="1"/>
                <w:lang w:eastAsia="en-IN" w:bidi="hi-IN"/>
                <w14:ligatures w14:val="none"/>
              </w:rPr>
              <w:t>23</w:t>
            </w: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w:t>
            </w:r>
            <w:r w:rsidR="009665B2">
              <w:rPr>
                <w:rFonts w:ascii="Times New Roman" w:eastAsia="Times New Roman" w:hAnsi="Times New Roman" w:cs="Times New Roman"/>
                <w:color w:val="1F1F1F"/>
                <w:kern w:val="0"/>
                <w:sz w:val="24"/>
                <w:szCs w:val="24"/>
                <w:bdr w:val="none" w:sz="0" w:space="0" w:color="auto" w:frame="1"/>
                <w:lang w:eastAsia="en-IN" w:bidi="hi-IN"/>
                <w14:ligatures w14:val="none"/>
              </w:rPr>
              <w:t>24</w:t>
            </w:r>
          </w:p>
        </w:tc>
        <w:tc>
          <w:tcPr>
            <w:tcW w:w="0" w:type="auto"/>
            <w:hideMark/>
          </w:tcPr>
          <w:p w14:paraId="76E55C2B" w14:textId="5F74F504" w:rsidR="00ED30DA" w:rsidRPr="007F099A" w:rsidRDefault="00ED30DA" w:rsidP="007F099A">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20</w:t>
            </w:r>
            <w:r w:rsidR="009665B2">
              <w:rPr>
                <w:rFonts w:ascii="Times New Roman" w:eastAsia="Times New Roman" w:hAnsi="Times New Roman" w:cs="Times New Roman"/>
                <w:color w:val="1F1F1F"/>
                <w:kern w:val="0"/>
                <w:sz w:val="24"/>
                <w:szCs w:val="24"/>
                <w:bdr w:val="none" w:sz="0" w:space="0" w:color="auto" w:frame="1"/>
                <w:lang w:eastAsia="en-IN" w:bidi="hi-IN"/>
                <w14:ligatures w14:val="none"/>
              </w:rPr>
              <w:t>24</w:t>
            </w: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w:t>
            </w:r>
            <w:r w:rsidR="009665B2">
              <w:rPr>
                <w:rFonts w:ascii="Times New Roman" w:eastAsia="Times New Roman" w:hAnsi="Times New Roman" w:cs="Times New Roman"/>
                <w:color w:val="1F1F1F"/>
                <w:kern w:val="0"/>
                <w:sz w:val="24"/>
                <w:szCs w:val="24"/>
                <w:bdr w:val="none" w:sz="0" w:space="0" w:color="auto" w:frame="1"/>
                <w:lang w:eastAsia="en-IN" w:bidi="hi-IN"/>
                <w14:ligatures w14:val="none"/>
              </w:rPr>
              <w:t>25</w:t>
            </w:r>
          </w:p>
        </w:tc>
      </w:tr>
      <w:tr w:rsidR="00ED30DA" w:rsidRPr="007F099A" w14:paraId="0EADE8CE" w14:textId="77777777" w:rsidTr="007F0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7851382"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Expenditure per Ha (Rs)</w:t>
            </w:r>
          </w:p>
        </w:tc>
        <w:tc>
          <w:tcPr>
            <w:tcW w:w="0" w:type="auto"/>
            <w:hideMark/>
          </w:tcPr>
          <w:p w14:paraId="374A1B9F"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T1 (Control)</w:t>
            </w:r>
          </w:p>
        </w:tc>
        <w:tc>
          <w:tcPr>
            <w:tcW w:w="0" w:type="auto"/>
            <w:hideMark/>
          </w:tcPr>
          <w:p w14:paraId="311281D9"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3,08,550</w:t>
            </w:r>
          </w:p>
        </w:tc>
        <w:tc>
          <w:tcPr>
            <w:tcW w:w="0" w:type="auto"/>
            <w:hideMark/>
          </w:tcPr>
          <w:p w14:paraId="2E0C2891"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3,08,550</w:t>
            </w:r>
          </w:p>
        </w:tc>
        <w:tc>
          <w:tcPr>
            <w:tcW w:w="0" w:type="auto"/>
            <w:hideMark/>
          </w:tcPr>
          <w:p w14:paraId="237D0823"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2,17,923</w:t>
            </w:r>
          </w:p>
        </w:tc>
      </w:tr>
      <w:tr w:rsidR="00ED30DA" w:rsidRPr="007F099A" w14:paraId="729EEF0A" w14:textId="77777777" w:rsidTr="007F099A">
        <w:tc>
          <w:tcPr>
            <w:cnfStyle w:val="001000000000" w:firstRow="0" w:lastRow="0" w:firstColumn="1" w:lastColumn="0" w:oddVBand="0" w:evenVBand="0" w:oddHBand="0" w:evenHBand="0" w:firstRowFirstColumn="0" w:firstRowLastColumn="0" w:lastRowFirstColumn="0" w:lastRowLastColumn="0"/>
            <w:tcW w:w="0" w:type="auto"/>
            <w:hideMark/>
          </w:tcPr>
          <w:p w14:paraId="40C8E241"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p>
        </w:tc>
        <w:tc>
          <w:tcPr>
            <w:tcW w:w="0" w:type="auto"/>
            <w:hideMark/>
          </w:tcPr>
          <w:p w14:paraId="759CB306"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T2 (Skirting)</w:t>
            </w:r>
          </w:p>
        </w:tc>
        <w:tc>
          <w:tcPr>
            <w:tcW w:w="0" w:type="auto"/>
            <w:hideMark/>
          </w:tcPr>
          <w:p w14:paraId="178CDE19"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3,63,000</w:t>
            </w:r>
          </w:p>
        </w:tc>
        <w:tc>
          <w:tcPr>
            <w:tcW w:w="0" w:type="auto"/>
            <w:hideMark/>
          </w:tcPr>
          <w:p w14:paraId="123134BC"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3,63,000</w:t>
            </w:r>
          </w:p>
        </w:tc>
        <w:tc>
          <w:tcPr>
            <w:tcW w:w="0" w:type="auto"/>
            <w:hideMark/>
          </w:tcPr>
          <w:p w14:paraId="04C0C700"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2,34,000</w:t>
            </w:r>
          </w:p>
        </w:tc>
      </w:tr>
      <w:tr w:rsidR="00ED30DA" w:rsidRPr="007F099A" w14:paraId="6ECC6257" w14:textId="77777777" w:rsidTr="007F0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6453AA2"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p>
        </w:tc>
        <w:tc>
          <w:tcPr>
            <w:tcW w:w="0" w:type="auto"/>
            <w:hideMark/>
          </w:tcPr>
          <w:p w14:paraId="38E73730"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i/>
                <w:iCs/>
                <w:color w:val="1F1F1F"/>
                <w:kern w:val="0"/>
                <w:sz w:val="24"/>
                <w:szCs w:val="24"/>
                <w:bdr w:val="none" w:sz="0" w:space="0" w:color="auto" w:frame="1"/>
                <w:lang w:eastAsia="en-IN" w:bidi="hi-IN"/>
                <w14:ligatures w14:val="none"/>
              </w:rPr>
              <w:t>Additional Cost</w:t>
            </w:r>
          </w:p>
        </w:tc>
        <w:tc>
          <w:tcPr>
            <w:tcW w:w="0" w:type="auto"/>
            <w:hideMark/>
          </w:tcPr>
          <w:p w14:paraId="193CFA37"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i/>
                <w:iCs/>
                <w:color w:val="1F1F1F"/>
                <w:kern w:val="0"/>
                <w:sz w:val="24"/>
                <w:szCs w:val="24"/>
                <w:bdr w:val="none" w:sz="0" w:space="0" w:color="auto" w:frame="1"/>
                <w:lang w:eastAsia="en-IN" w:bidi="hi-IN"/>
                <w14:ligatures w14:val="none"/>
              </w:rPr>
              <w:t>54,450</w:t>
            </w:r>
          </w:p>
        </w:tc>
        <w:tc>
          <w:tcPr>
            <w:tcW w:w="0" w:type="auto"/>
            <w:hideMark/>
          </w:tcPr>
          <w:p w14:paraId="5357D849"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i/>
                <w:iCs/>
                <w:color w:val="1F1F1F"/>
                <w:kern w:val="0"/>
                <w:sz w:val="24"/>
                <w:szCs w:val="24"/>
                <w:bdr w:val="none" w:sz="0" w:space="0" w:color="auto" w:frame="1"/>
                <w:lang w:eastAsia="en-IN" w:bidi="hi-IN"/>
                <w14:ligatures w14:val="none"/>
              </w:rPr>
              <w:t>54,450</w:t>
            </w:r>
          </w:p>
        </w:tc>
        <w:tc>
          <w:tcPr>
            <w:tcW w:w="0" w:type="auto"/>
            <w:hideMark/>
          </w:tcPr>
          <w:p w14:paraId="6C114D39"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i/>
                <w:iCs/>
                <w:color w:val="1F1F1F"/>
                <w:kern w:val="0"/>
                <w:sz w:val="24"/>
                <w:szCs w:val="24"/>
                <w:bdr w:val="none" w:sz="0" w:space="0" w:color="auto" w:frame="1"/>
                <w:lang w:eastAsia="en-IN" w:bidi="hi-IN"/>
                <w14:ligatures w14:val="none"/>
              </w:rPr>
              <w:t>16,077</w:t>
            </w: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w:t>
            </w:r>
          </w:p>
        </w:tc>
      </w:tr>
      <w:tr w:rsidR="00ED30DA" w:rsidRPr="007F099A" w14:paraId="47BD0F14" w14:textId="77777777" w:rsidTr="007F099A">
        <w:tc>
          <w:tcPr>
            <w:cnfStyle w:val="001000000000" w:firstRow="0" w:lastRow="0" w:firstColumn="1" w:lastColumn="0" w:oddVBand="0" w:evenVBand="0" w:oddHBand="0" w:evenHBand="0" w:firstRowFirstColumn="0" w:firstRowLastColumn="0" w:lastRowFirstColumn="0" w:lastRowLastColumn="0"/>
            <w:tcW w:w="0" w:type="auto"/>
            <w:hideMark/>
          </w:tcPr>
          <w:p w14:paraId="31E58D55"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Gross Income per Ha (Rs)</w:t>
            </w:r>
          </w:p>
        </w:tc>
        <w:tc>
          <w:tcPr>
            <w:tcW w:w="0" w:type="auto"/>
            <w:hideMark/>
          </w:tcPr>
          <w:p w14:paraId="4E6BB4BE"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T1 (Control)</w:t>
            </w:r>
          </w:p>
        </w:tc>
        <w:tc>
          <w:tcPr>
            <w:tcW w:w="0" w:type="auto"/>
            <w:hideMark/>
          </w:tcPr>
          <w:p w14:paraId="1501C613"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5,48,688</w:t>
            </w:r>
          </w:p>
        </w:tc>
        <w:tc>
          <w:tcPr>
            <w:tcW w:w="0" w:type="auto"/>
            <w:hideMark/>
          </w:tcPr>
          <w:p w14:paraId="001893B5"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6,84,093</w:t>
            </w:r>
          </w:p>
        </w:tc>
        <w:tc>
          <w:tcPr>
            <w:tcW w:w="0" w:type="auto"/>
            <w:hideMark/>
          </w:tcPr>
          <w:p w14:paraId="49E74133"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5,53,032</w:t>
            </w:r>
          </w:p>
        </w:tc>
      </w:tr>
      <w:tr w:rsidR="00ED30DA" w:rsidRPr="007F099A" w14:paraId="12C58C12" w14:textId="77777777" w:rsidTr="007F0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AF859AB"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p>
        </w:tc>
        <w:tc>
          <w:tcPr>
            <w:tcW w:w="0" w:type="auto"/>
            <w:hideMark/>
          </w:tcPr>
          <w:p w14:paraId="6494C212"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T2 (Skirting)</w:t>
            </w:r>
          </w:p>
        </w:tc>
        <w:tc>
          <w:tcPr>
            <w:tcW w:w="0" w:type="auto"/>
            <w:hideMark/>
          </w:tcPr>
          <w:p w14:paraId="39E61B49"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6,97,797</w:t>
            </w:r>
          </w:p>
        </w:tc>
        <w:tc>
          <w:tcPr>
            <w:tcW w:w="0" w:type="auto"/>
            <w:hideMark/>
          </w:tcPr>
          <w:p w14:paraId="4BB184D4"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8,58,494</w:t>
            </w:r>
          </w:p>
        </w:tc>
        <w:tc>
          <w:tcPr>
            <w:tcW w:w="0" w:type="auto"/>
            <w:hideMark/>
          </w:tcPr>
          <w:p w14:paraId="74419387"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9,29,203</w:t>
            </w:r>
          </w:p>
        </w:tc>
      </w:tr>
      <w:tr w:rsidR="00ED30DA" w:rsidRPr="007F099A" w14:paraId="0C162597" w14:textId="77777777" w:rsidTr="007F099A">
        <w:tc>
          <w:tcPr>
            <w:cnfStyle w:val="001000000000" w:firstRow="0" w:lastRow="0" w:firstColumn="1" w:lastColumn="0" w:oddVBand="0" w:evenVBand="0" w:oddHBand="0" w:evenHBand="0" w:firstRowFirstColumn="0" w:firstRowLastColumn="0" w:lastRowFirstColumn="0" w:lastRowLastColumn="0"/>
            <w:tcW w:w="0" w:type="auto"/>
            <w:hideMark/>
          </w:tcPr>
          <w:p w14:paraId="3F9B42EA"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Benefit-Cost (B:C) Ratio</w:t>
            </w:r>
          </w:p>
        </w:tc>
        <w:tc>
          <w:tcPr>
            <w:tcW w:w="0" w:type="auto"/>
            <w:hideMark/>
          </w:tcPr>
          <w:p w14:paraId="4262E393"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T1 (Control)</w:t>
            </w:r>
          </w:p>
        </w:tc>
        <w:tc>
          <w:tcPr>
            <w:tcW w:w="0" w:type="auto"/>
            <w:hideMark/>
          </w:tcPr>
          <w:p w14:paraId="66C14CB3"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1.77</w:t>
            </w:r>
          </w:p>
        </w:tc>
        <w:tc>
          <w:tcPr>
            <w:tcW w:w="0" w:type="auto"/>
            <w:hideMark/>
          </w:tcPr>
          <w:p w14:paraId="20A8681D"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2.20</w:t>
            </w:r>
          </w:p>
        </w:tc>
        <w:tc>
          <w:tcPr>
            <w:tcW w:w="0" w:type="auto"/>
            <w:hideMark/>
          </w:tcPr>
          <w:p w14:paraId="77AEE863"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2.54</w:t>
            </w:r>
          </w:p>
        </w:tc>
      </w:tr>
      <w:tr w:rsidR="00ED30DA" w:rsidRPr="007F099A" w14:paraId="6CA8BF8C" w14:textId="77777777" w:rsidTr="007F0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8ACBCA4"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p>
        </w:tc>
        <w:tc>
          <w:tcPr>
            <w:tcW w:w="0" w:type="auto"/>
            <w:hideMark/>
          </w:tcPr>
          <w:p w14:paraId="25CDAE8E"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T2 (Skirting)</w:t>
            </w:r>
          </w:p>
        </w:tc>
        <w:tc>
          <w:tcPr>
            <w:tcW w:w="0" w:type="auto"/>
            <w:hideMark/>
          </w:tcPr>
          <w:p w14:paraId="5EAE424B"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1.91</w:t>
            </w:r>
          </w:p>
        </w:tc>
        <w:tc>
          <w:tcPr>
            <w:tcW w:w="0" w:type="auto"/>
            <w:hideMark/>
          </w:tcPr>
          <w:p w14:paraId="5E3226BD"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2.37</w:t>
            </w:r>
          </w:p>
        </w:tc>
        <w:tc>
          <w:tcPr>
            <w:tcW w:w="0" w:type="auto"/>
            <w:hideMark/>
          </w:tcPr>
          <w:p w14:paraId="4505054A"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2.78</w:t>
            </w:r>
          </w:p>
        </w:tc>
      </w:tr>
      <w:tr w:rsidR="00ED30DA" w:rsidRPr="007F099A" w14:paraId="0C185635" w14:textId="77777777" w:rsidTr="007F099A">
        <w:tc>
          <w:tcPr>
            <w:cnfStyle w:val="001000000000" w:firstRow="0" w:lastRow="0" w:firstColumn="1" w:lastColumn="0" w:oddVBand="0" w:evenVBand="0" w:oddHBand="0" w:evenHBand="0" w:firstRowFirstColumn="0" w:firstRowLastColumn="0" w:lastRowFirstColumn="0" w:lastRowLastColumn="0"/>
            <w:tcW w:w="0" w:type="auto"/>
            <w:hideMark/>
          </w:tcPr>
          <w:p w14:paraId="20C94BA2"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Incremental C:B Ratio (ICBR)</w:t>
            </w:r>
          </w:p>
        </w:tc>
        <w:tc>
          <w:tcPr>
            <w:tcW w:w="0" w:type="auto"/>
            <w:hideMark/>
          </w:tcPr>
          <w:p w14:paraId="65673D5F"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w:t>
            </w:r>
          </w:p>
        </w:tc>
        <w:tc>
          <w:tcPr>
            <w:tcW w:w="0" w:type="auto"/>
            <w:hideMark/>
          </w:tcPr>
          <w:p w14:paraId="44AA5634"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b/>
                <w:bCs/>
                <w:color w:val="1F1F1F"/>
                <w:kern w:val="0"/>
                <w:sz w:val="24"/>
                <w:szCs w:val="24"/>
                <w:bdr w:val="none" w:sz="0" w:space="0" w:color="auto" w:frame="1"/>
                <w:lang w:eastAsia="en-IN" w:bidi="hi-IN"/>
                <w14:ligatures w14:val="none"/>
              </w:rPr>
              <w:t>1 : 2.73</w:t>
            </w:r>
          </w:p>
        </w:tc>
        <w:tc>
          <w:tcPr>
            <w:tcW w:w="0" w:type="auto"/>
            <w:hideMark/>
          </w:tcPr>
          <w:p w14:paraId="55B9E9EC"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b/>
                <w:bCs/>
                <w:color w:val="1F1F1F"/>
                <w:kern w:val="0"/>
                <w:sz w:val="24"/>
                <w:szCs w:val="24"/>
                <w:bdr w:val="none" w:sz="0" w:space="0" w:color="auto" w:frame="1"/>
                <w:lang w:eastAsia="en-IN" w:bidi="hi-IN"/>
                <w14:ligatures w14:val="none"/>
              </w:rPr>
              <w:t>1 : 3.20</w:t>
            </w:r>
          </w:p>
        </w:tc>
        <w:tc>
          <w:tcPr>
            <w:tcW w:w="0" w:type="auto"/>
            <w:hideMark/>
          </w:tcPr>
          <w:p w14:paraId="584FE530"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b/>
                <w:bCs/>
                <w:color w:val="1F1F1F"/>
                <w:kern w:val="0"/>
                <w:sz w:val="24"/>
                <w:szCs w:val="24"/>
                <w:bdr w:val="none" w:sz="0" w:space="0" w:color="auto" w:frame="1"/>
                <w:lang w:eastAsia="en-IN" w:bidi="hi-IN"/>
                <w14:ligatures w14:val="none"/>
              </w:rPr>
              <w:t>N/A</w:t>
            </w:r>
          </w:p>
        </w:tc>
      </w:tr>
    </w:tbl>
    <w:p w14:paraId="298D02DE" w14:textId="77777777" w:rsidR="007F099A" w:rsidRDefault="007F099A" w:rsidP="007F099A">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p>
    <w:p w14:paraId="367D2984" w14:textId="3A6023D3" w:rsidR="00ED30DA" w:rsidRPr="007F099A" w:rsidRDefault="00ED30DA" w:rsidP="007F099A">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lang w:eastAsia="en-IN" w:bidi="hi-IN"/>
          <w14:ligatures w14:val="none"/>
        </w:rPr>
        <w:t>The economic data resoundingly validates the intervention. In every single year, the Gross Income generated by the T2 plots vastly exceeded the T1 plots, entirely absorbing the cost of the bags. For example, in 20</w:t>
      </w:r>
      <w:r w:rsidR="009665B2">
        <w:rPr>
          <w:rFonts w:ascii="Times New Roman" w:eastAsia="Times New Roman" w:hAnsi="Times New Roman" w:cs="Times New Roman"/>
          <w:color w:val="1F1F1F"/>
          <w:kern w:val="0"/>
          <w:sz w:val="24"/>
          <w:szCs w:val="24"/>
          <w:lang w:eastAsia="en-IN" w:bidi="hi-IN"/>
          <w14:ligatures w14:val="none"/>
        </w:rPr>
        <w:t>23</w:t>
      </w:r>
      <w:r w:rsidRPr="007F099A">
        <w:rPr>
          <w:rFonts w:ascii="Times New Roman" w:eastAsia="Times New Roman" w:hAnsi="Times New Roman" w:cs="Times New Roman"/>
          <w:color w:val="1F1F1F"/>
          <w:kern w:val="0"/>
          <w:sz w:val="24"/>
          <w:szCs w:val="24"/>
          <w:lang w:eastAsia="en-IN" w:bidi="hi-IN"/>
          <w14:ligatures w14:val="none"/>
        </w:rPr>
        <w:t>-</w:t>
      </w:r>
      <w:r w:rsidR="009665B2">
        <w:rPr>
          <w:rFonts w:ascii="Times New Roman" w:eastAsia="Times New Roman" w:hAnsi="Times New Roman" w:cs="Times New Roman"/>
          <w:color w:val="1F1F1F"/>
          <w:kern w:val="0"/>
          <w:sz w:val="24"/>
          <w:szCs w:val="24"/>
          <w:lang w:eastAsia="en-IN" w:bidi="hi-IN"/>
          <w14:ligatures w14:val="none"/>
        </w:rPr>
        <w:t>24</w:t>
      </w:r>
      <w:r w:rsidRPr="007F099A">
        <w:rPr>
          <w:rFonts w:ascii="Times New Roman" w:eastAsia="Times New Roman" w:hAnsi="Times New Roman" w:cs="Times New Roman"/>
          <w:color w:val="1F1F1F"/>
          <w:kern w:val="0"/>
          <w:sz w:val="24"/>
          <w:szCs w:val="24"/>
          <w:lang w:eastAsia="en-IN" w:bidi="hi-IN"/>
          <w14:ligatures w14:val="none"/>
        </w:rPr>
        <w:t>, spending an extra Rs. 54,450 resulted in a Gross Income increase from Rs. 6,84,093 to Rs. 8,58,494</w:t>
      </w:r>
      <w:r w:rsidR="00525E46">
        <w:rPr>
          <w:rFonts w:ascii="Times New Roman" w:eastAsia="Times New Roman" w:hAnsi="Times New Roman" w:cs="Times New Roman"/>
          <w:color w:val="1F1F1F"/>
          <w:kern w:val="0"/>
          <w:sz w:val="24"/>
          <w:szCs w:val="24"/>
          <w:lang w:eastAsia="en-IN" w:bidi="hi-IN"/>
          <w14:ligatures w14:val="none"/>
        </w:rPr>
        <w:t xml:space="preserve"> </w:t>
      </w:r>
      <w:r w:rsidRPr="007F099A">
        <w:rPr>
          <w:rFonts w:ascii="Times New Roman" w:eastAsia="Times New Roman" w:hAnsi="Times New Roman" w:cs="Times New Roman"/>
          <w:color w:val="1F1F1F"/>
          <w:kern w:val="0"/>
          <w:sz w:val="24"/>
          <w:szCs w:val="24"/>
          <w:lang w:eastAsia="en-IN" w:bidi="hi-IN"/>
          <w14:ligatures w14:val="none"/>
        </w:rPr>
        <w:t>a staggering net gain of over Rs. 1.74 lakhs</w:t>
      </w:r>
      <w:r w:rsidR="002D29FF">
        <w:rPr>
          <w:rFonts w:ascii="Times New Roman" w:eastAsia="Times New Roman" w:hAnsi="Times New Roman" w:cs="Times New Roman"/>
          <w:color w:val="1F1F1F"/>
          <w:kern w:val="0"/>
          <w:sz w:val="24"/>
          <w:szCs w:val="24"/>
          <w:lang w:eastAsia="en-IN" w:bidi="hi-IN"/>
          <w14:ligatures w14:val="none"/>
        </w:rPr>
        <w:t xml:space="preserve"> </w:t>
      </w:r>
      <w:r w:rsidR="002D29FF" w:rsidRPr="002D29FF">
        <w:rPr>
          <w:rFonts w:ascii="Times New Roman" w:eastAsia="Times New Roman" w:hAnsi="Times New Roman" w:cs="Times New Roman"/>
          <w:color w:val="1F1F1F"/>
          <w:kern w:val="0"/>
          <w:sz w:val="24"/>
          <w:szCs w:val="24"/>
          <w:lang w:eastAsia="en-IN" w:bidi="hi-IN"/>
          <w14:ligatures w14:val="none"/>
        </w:rPr>
        <w:t>(Santosh et al., 2017)</w:t>
      </w:r>
      <w:r w:rsidR="002D29FF">
        <w:rPr>
          <w:rFonts w:ascii="Times New Roman" w:eastAsia="Times New Roman" w:hAnsi="Times New Roman" w:cs="Times New Roman"/>
          <w:color w:val="1F1F1F"/>
          <w:kern w:val="0"/>
          <w:sz w:val="24"/>
          <w:szCs w:val="24"/>
          <w:lang w:eastAsia="en-IN" w:bidi="hi-IN"/>
          <w14:ligatures w14:val="none"/>
        </w:rPr>
        <w:t>.</w:t>
      </w:r>
    </w:p>
    <w:p w14:paraId="7AAE7B53" w14:textId="26736C7D" w:rsidR="00ED30DA" w:rsidRDefault="00ED30DA" w:rsidP="007F099A">
      <w:pPr>
        <w:spacing w:after="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lang w:eastAsia="en-IN" w:bidi="hi-IN"/>
          <w14:ligatures w14:val="none"/>
        </w:rPr>
        <w:t>The Benefit-Cost (B:C) ratio, a standard metric of agricultural profitability, showed consistent improvement. The most compelling metric, however, is the Incremental Cost-Benefit Ratio (ICBR). In 20</w:t>
      </w:r>
      <w:r w:rsidR="009665B2">
        <w:rPr>
          <w:rFonts w:ascii="Times New Roman" w:eastAsia="Times New Roman" w:hAnsi="Times New Roman" w:cs="Times New Roman"/>
          <w:color w:val="1F1F1F"/>
          <w:kern w:val="0"/>
          <w:sz w:val="24"/>
          <w:szCs w:val="24"/>
          <w:lang w:eastAsia="en-IN" w:bidi="hi-IN"/>
          <w14:ligatures w14:val="none"/>
        </w:rPr>
        <w:t>22</w:t>
      </w:r>
      <w:r w:rsidRPr="007F099A">
        <w:rPr>
          <w:rFonts w:ascii="Times New Roman" w:eastAsia="Times New Roman" w:hAnsi="Times New Roman" w:cs="Times New Roman"/>
          <w:color w:val="1F1F1F"/>
          <w:kern w:val="0"/>
          <w:sz w:val="24"/>
          <w:szCs w:val="24"/>
          <w:lang w:eastAsia="en-IN" w:bidi="hi-IN"/>
          <w14:ligatures w14:val="none"/>
        </w:rPr>
        <w:t>-</w:t>
      </w:r>
      <w:r w:rsidR="009665B2">
        <w:rPr>
          <w:rFonts w:ascii="Times New Roman" w:eastAsia="Times New Roman" w:hAnsi="Times New Roman" w:cs="Times New Roman"/>
          <w:color w:val="1F1F1F"/>
          <w:kern w:val="0"/>
          <w:sz w:val="24"/>
          <w:szCs w:val="24"/>
          <w:lang w:eastAsia="en-IN" w:bidi="hi-IN"/>
          <w14:ligatures w14:val="none"/>
        </w:rPr>
        <w:t>23</w:t>
      </w:r>
      <w:r w:rsidRPr="007F099A">
        <w:rPr>
          <w:rFonts w:ascii="Times New Roman" w:eastAsia="Times New Roman" w:hAnsi="Times New Roman" w:cs="Times New Roman"/>
          <w:color w:val="1F1F1F"/>
          <w:kern w:val="0"/>
          <w:sz w:val="24"/>
          <w:szCs w:val="24"/>
          <w:lang w:eastAsia="en-IN" w:bidi="hi-IN"/>
          <w14:ligatures w14:val="none"/>
        </w:rPr>
        <w:t xml:space="preserve">, the ICBR was 1:2.73, meaning for every 1 Rupee invested </w:t>
      </w:r>
      <w:r w:rsidRPr="007F099A">
        <w:rPr>
          <w:rFonts w:ascii="Times New Roman" w:eastAsia="Times New Roman" w:hAnsi="Times New Roman" w:cs="Times New Roman"/>
          <w:i/>
          <w:iCs/>
          <w:color w:val="1F1F1F"/>
          <w:kern w:val="0"/>
          <w:sz w:val="24"/>
          <w:szCs w:val="24"/>
          <w:bdr w:val="none" w:sz="0" w:space="0" w:color="auto" w:frame="1"/>
          <w:lang w:eastAsia="en-IN" w:bidi="hi-IN"/>
          <w14:ligatures w14:val="none"/>
        </w:rPr>
        <w:t>specifically in the skirting bags</w:t>
      </w:r>
      <w:r w:rsidRPr="007F099A">
        <w:rPr>
          <w:rFonts w:ascii="Times New Roman" w:eastAsia="Times New Roman" w:hAnsi="Times New Roman" w:cs="Times New Roman"/>
          <w:color w:val="1F1F1F"/>
          <w:kern w:val="0"/>
          <w:sz w:val="24"/>
          <w:szCs w:val="24"/>
          <w:lang w:eastAsia="en-IN" w:bidi="hi-IN"/>
          <w14:ligatures w14:val="none"/>
        </w:rPr>
        <w:t>, the farmer received 2.73 Rupees in return. In 20</w:t>
      </w:r>
      <w:r w:rsidR="009665B2">
        <w:rPr>
          <w:rFonts w:ascii="Times New Roman" w:eastAsia="Times New Roman" w:hAnsi="Times New Roman" w:cs="Times New Roman"/>
          <w:color w:val="1F1F1F"/>
          <w:kern w:val="0"/>
          <w:sz w:val="24"/>
          <w:szCs w:val="24"/>
          <w:lang w:eastAsia="en-IN" w:bidi="hi-IN"/>
          <w14:ligatures w14:val="none"/>
        </w:rPr>
        <w:t>23</w:t>
      </w:r>
      <w:r w:rsidRPr="007F099A">
        <w:rPr>
          <w:rFonts w:ascii="Times New Roman" w:eastAsia="Times New Roman" w:hAnsi="Times New Roman" w:cs="Times New Roman"/>
          <w:color w:val="1F1F1F"/>
          <w:kern w:val="0"/>
          <w:sz w:val="24"/>
          <w:szCs w:val="24"/>
          <w:lang w:eastAsia="en-IN" w:bidi="hi-IN"/>
          <w14:ligatures w14:val="none"/>
        </w:rPr>
        <w:t>-</w:t>
      </w:r>
      <w:r w:rsidR="009665B2">
        <w:rPr>
          <w:rFonts w:ascii="Times New Roman" w:eastAsia="Times New Roman" w:hAnsi="Times New Roman" w:cs="Times New Roman"/>
          <w:color w:val="1F1F1F"/>
          <w:kern w:val="0"/>
          <w:sz w:val="24"/>
          <w:szCs w:val="24"/>
          <w:lang w:eastAsia="en-IN" w:bidi="hi-IN"/>
          <w14:ligatures w14:val="none"/>
        </w:rPr>
        <w:t>24</w:t>
      </w:r>
      <w:r w:rsidRPr="007F099A">
        <w:rPr>
          <w:rFonts w:ascii="Times New Roman" w:eastAsia="Times New Roman" w:hAnsi="Times New Roman" w:cs="Times New Roman"/>
          <w:color w:val="1F1F1F"/>
          <w:kern w:val="0"/>
          <w:sz w:val="24"/>
          <w:szCs w:val="24"/>
          <w:lang w:eastAsia="en-IN" w:bidi="hi-IN"/>
          <w14:ligatures w14:val="none"/>
        </w:rPr>
        <w:t>, this efficiency improved further to an ICBR of 1:3.20. This clearly demonstrates that bunch skirting is not just an agronomic tool, but a highly leveraged financial investment.</w:t>
      </w:r>
    </w:p>
    <w:p w14:paraId="7F6927CA" w14:textId="77777777" w:rsidR="00E076A3" w:rsidRPr="007F099A" w:rsidRDefault="00E076A3" w:rsidP="007F099A">
      <w:pPr>
        <w:spacing w:after="0" w:line="240" w:lineRule="auto"/>
        <w:jc w:val="both"/>
        <w:rPr>
          <w:rFonts w:ascii="Times New Roman" w:eastAsia="Times New Roman" w:hAnsi="Times New Roman" w:cs="Times New Roman"/>
          <w:color w:val="1F1F1F"/>
          <w:kern w:val="0"/>
          <w:sz w:val="24"/>
          <w:szCs w:val="24"/>
          <w:lang w:eastAsia="en-IN" w:bidi="hi-IN"/>
          <w14:ligatures w14:val="none"/>
        </w:rPr>
      </w:pPr>
    </w:p>
    <w:p w14:paraId="12BE1F35" w14:textId="77777777" w:rsidR="00ED30DA" w:rsidRPr="007F099A" w:rsidRDefault="00ED30DA" w:rsidP="007F099A">
      <w:pPr>
        <w:spacing w:after="120" w:line="240" w:lineRule="auto"/>
        <w:jc w:val="both"/>
        <w:outlineLvl w:val="2"/>
        <w:rPr>
          <w:rFonts w:ascii="Times New Roman" w:eastAsia="Times New Roman" w:hAnsi="Times New Roman" w:cs="Times New Roman"/>
          <w:b/>
          <w:bCs/>
          <w:color w:val="1F1F1F"/>
          <w:kern w:val="0"/>
          <w:sz w:val="24"/>
          <w:szCs w:val="24"/>
          <w:lang w:eastAsia="en-IN" w:bidi="hi-IN"/>
          <w14:ligatures w14:val="none"/>
        </w:rPr>
      </w:pPr>
      <w:r w:rsidRPr="007F099A">
        <w:rPr>
          <w:rFonts w:ascii="Times New Roman" w:eastAsia="Times New Roman" w:hAnsi="Times New Roman" w:cs="Times New Roman"/>
          <w:b/>
          <w:bCs/>
          <w:color w:val="1F1F1F"/>
          <w:kern w:val="0"/>
          <w:sz w:val="24"/>
          <w:szCs w:val="24"/>
          <w:lang w:eastAsia="en-IN" w:bidi="hi-IN"/>
          <w14:ligatures w14:val="none"/>
        </w:rPr>
        <w:t>3.3 Approach 3: Extension Impact and Adoption Viability</w:t>
      </w:r>
    </w:p>
    <w:p w14:paraId="22BFF811" w14:textId="77777777" w:rsidR="00ED30DA" w:rsidRPr="007F099A" w:rsidRDefault="00ED30DA" w:rsidP="007F099A">
      <w:pPr>
        <w:spacing w:after="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lang w:eastAsia="en-IN" w:bidi="hi-IN"/>
          <w14:ligatures w14:val="none"/>
        </w:rPr>
        <w:t xml:space="preserve">The ultimate goal of a Field Level Demonstration is not merely to prove a technology works, but to prove it works </w:t>
      </w:r>
      <w:r w:rsidRPr="007F099A">
        <w:rPr>
          <w:rFonts w:ascii="Times New Roman" w:eastAsia="Times New Roman" w:hAnsi="Times New Roman" w:cs="Times New Roman"/>
          <w:i/>
          <w:iCs/>
          <w:color w:val="1F1F1F"/>
          <w:kern w:val="0"/>
          <w:sz w:val="24"/>
          <w:szCs w:val="24"/>
          <w:bdr w:val="none" w:sz="0" w:space="0" w:color="auto" w:frame="1"/>
          <w:lang w:eastAsia="en-IN" w:bidi="hi-IN"/>
          <w14:ligatures w14:val="none"/>
        </w:rPr>
        <w:t>consistently</w:t>
      </w:r>
      <w:r w:rsidRPr="007F099A">
        <w:rPr>
          <w:rFonts w:ascii="Times New Roman" w:eastAsia="Times New Roman" w:hAnsi="Times New Roman" w:cs="Times New Roman"/>
          <w:color w:val="1F1F1F"/>
          <w:kern w:val="0"/>
          <w:sz w:val="24"/>
          <w:szCs w:val="24"/>
          <w:lang w:eastAsia="en-IN" w:bidi="hi-IN"/>
          <w14:ligatures w14:val="none"/>
        </w:rPr>
        <w:t xml:space="preserve"> under the chaotic variables of real-world farming. Farmers are largely deterred by perceived risk; a technology that produces massive yields for one farmer but fails for another will not be adopted. Therefore, </w:t>
      </w:r>
      <w:proofErr w:type="spellStart"/>
      <w:r w:rsidRPr="007F099A">
        <w:rPr>
          <w:rFonts w:ascii="Times New Roman" w:eastAsia="Times New Roman" w:hAnsi="Times New Roman" w:cs="Times New Roman"/>
          <w:color w:val="1F1F1F"/>
          <w:kern w:val="0"/>
          <w:sz w:val="24"/>
          <w:szCs w:val="24"/>
          <w:lang w:eastAsia="en-IN" w:bidi="hi-IN"/>
          <w14:ligatures w14:val="none"/>
        </w:rPr>
        <w:t>analyzing</w:t>
      </w:r>
      <w:proofErr w:type="spellEnd"/>
      <w:r w:rsidRPr="007F099A">
        <w:rPr>
          <w:rFonts w:ascii="Times New Roman" w:eastAsia="Times New Roman" w:hAnsi="Times New Roman" w:cs="Times New Roman"/>
          <w:color w:val="1F1F1F"/>
          <w:kern w:val="0"/>
          <w:sz w:val="24"/>
          <w:szCs w:val="24"/>
          <w:lang w:eastAsia="en-IN" w:bidi="hi-IN"/>
          <w14:ligatures w14:val="none"/>
        </w:rPr>
        <w:t xml:space="preserve"> the variability and consistency of the results across the cohort is a crucial extension metric.</w:t>
      </w:r>
    </w:p>
    <w:p w14:paraId="399C666A" w14:textId="77777777" w:rsidR="00ED30DA" w:rsidRPr="007F099A" w:rsidRDefault="00ED30DA" w:rsidP="007F099A">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lang w:eastAsia="en-IN" w:bidi="hi-IN"/>
          <w14:ligatures w14:val="none"/>
        </w:rPr>
        <w:t>Table 3 breaks down the performance variability to assess the reliability of the skirting technology as an extension recommendation.</w:t>
      </w:r>
    </w:p>
    <w:p w14:paraId="4011B9DD" w14:textId="77777777" w:rsidR="00ED30DA" w:rsidRDefault="00ED30DA" w:rsidP="007F099A">
      <w:pPr>
        <w:spacing w:after="0" w:line="240" w:lineRule="auto"/>
        <w:jc w:val="both"/>
        <w:rPr>
          <w:rFonts w:ascii="Times New Roman" w:eastAsia="Times New Roman" w:hAnsi="Times New Roman" w:cs="Times New Roman"/>
          <w:b/>
          <w:bCs/>
          <w:color w:val="1F1F1F"/>
          <w:kern w:val="0"/>
          <w:sz w:val="24"/>
          <w:szCs w:val="24"/>
          <w:bdr w:val="none" w:sz="0" w:space="0" w:color="auto" w:frame="1"/>
          <w:lang w:eastAsia="en-IN" w:bidi="hi-IN"/>
          <w14:ligatures w14:val="none"/>
        </w:rPr>
      </w:pPr>
      <w:r w:rsidRPr="007F099A">
        <w:rPr>
          <w:rFonts w:ascii="Times New Roman" w:eastAsia="Times New Roman" w:hAnsi="Times New Roman" w:cs="Times New Roman"/>
          <w:b/>
          <w:bCs/>
          <w:color w:val="1F1F1F"/>
          <w:kern w:val="0"/>
          <w:sz w:val="24"/>
          <w:szCs w:val="24"/>
          <w:bdr w:val="none" w:sz="0" w:space="0" w:color="auto" w:frame="1"/>
          <w:lang w:eastAsia="en-IN" w:bidi="hi-IN"/>
          <w14:ligatures w14:val="none"/>
        </w:rPr>
        <w:t>Table 3: Farmer Variability and Extension Risk Assessment</w:t>
      </w:r>
    </w:p>
    <w:p w14:paraId="4926964B" w14:textId="77777777" w:rsidR="002D29FF" w:rsidRPr="007F099A" w:rsidRDefault="002D29FF" w:rsidP="007F099A">
      <w:pPr>
        <w:spacing w:after="0" w:line="240" w:lineRule="auto"/>
        <w:jc w:val="both"/>
        <w:rPr>
          <w:rFonts w:ascii="Times New Roman" w:eastAsia="Times New Roman" w:hAnsi="Times New Roman" w:cs="Times New Roman"/>
          <w:color w:val="1F1F1F"/>
          <w:kern w:val="0"/>
          <w:sz w:val="24"/>
          <w:szCs w:val="24"/>
          <w:lang w:eastAsia="en-IN" w:bidi="hi-IN"/>
          <w14:ligatures w14:val="none"/>
        </w:rPr>
      </w:pPr>
    </w:p>
    <w:tbl>
      <w:tblPr>
        <w:tblStyle w:val="GridTable4-Accent1"/>
        <w:tblW w:w="0" w:type="auto"/>
        <w:tblLook w:val="04A0" w:firstRow="1" w:lastRow="0" w:firstColumn="1" w:lastColumn="0" w:noHBand="0" w:noVBand="1"/>
      </w:tblPr>
      <w:tblGrid>
        <w:gridCol w:w="3836"/>
        <w:gridCol w:w="1016"/>
        <w:gridCol w:w="1016"/>
        <w:gridCol w:w="1016"/>
      </w:tblGrid>
      <w:tr w:rsidR="00ED30DA" w:rsidRPr="007F099A" w14:paraId="2B7C9E48" w14:textId="77777777" w:rsidTr="007F09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3142676"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Extension Metric</w:t>
            </w:r>
          </w:p>
        </w:tc>
        <w:tc>
          <w:tcPr>
            <w:tcW w:w="0" w:type="auto"/>
            <w:hideMark/>
          </w:tcPr>
          <w:p w14:paraId="371421CF" w14:textId="158F5662" w:rsidR="00ED30DA" w:rsidRPr="007F099A" w:rsidRDefault="00ED30DA" w:rsidP="007F099A">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20</w:t>
            </w:r>
            <w:r w:rsidR="00032E14">
              <w:rPr>
                <w:rFonts w:ascii="Times New Roman" w:eastAsia="Times New Roman" w:hAnsi="Times New Roman" w:cs="Times New Roman"/>
                <w:color w:val="1F1F1F"/>
                <w:kern w:val="0"/>
                <w:sz w:val="24"/>
                <w:szCs w:val="24"/>
                <w:bdr w:val="none" w:sz="0" w:space="0" w:color="auto" w:frame="1"/>
                <w:lang w:eastAsia="en-IN" w:bidi="hi-IN"/>
                <w14:ligatures w14:val="none"/>
              </w:rPr>
              <w:t>22</w:t>
            </w: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w:t>
            </w:r>
            <w:r w:rsidR="009665B2">
              <w:rPr>
                <w:rFonts w:ascii="Times New Roman" w:eastAsia="Times New Roman" w:hAnsi="Times New Roman" w:cs="Times New Roman"/>
                <w:color w:val="1F1F1F"/>
                <w:kern w:val="0"/>
                <w:sz w:val="24"/>
                <w:szCs w:val="24"/>
                <w:bdr w:val="none" w:sz="0" w:space="0" w:color="auto" w:frame="1"/>
                <w:lang w:eastAsia="en-IN" w:bidi="hi-IN"/>
                <w14:ligatures w14:val="none"/>
              </w:rPr>
              <w:t>23</w:t>
            </w:r>
          </w:p>
        </w:tc>
        <w:tc>
          <w:tcPr>
            <w:tcW w:w="0" w:type="auto"/>
            <w:hideMark/>
          </w:tcPr>
          <w:p w14:paraId="1A61CABC" w14:textId="5B7FB29C" w:rsidR="00ED30DA" w:rsidRPr="007F099A" w:rsidRDefault="00ED30DA" w:rsidP="007F099A">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20</w:t>
            </w:r>
            <w:r w:rsidR="009665B2">
              <w:rPr>
                <w:rFonts w:ascii="Times New Roman" w:eastAsia="Times New Roman" w:hAnsi="Times New Roman" w:cs="Times New Roman"/>
                <w:color w:val="1F1F1F"/>
                <w:kern w:val="0"/>
                <w:sz w:val="24"/>
                <w:szCs w:val="24"/>
                <w:bdr w:val="none" w:sz="0" w:space="0" w:color="auto" w:frame="1"/>
                <w:lang w:eastAsia="en-IN" w:bidi="hi-IN"/>
                <w14:ligatures w14:val="none"/>
              </w:rPr>
              <w:t>23</w:t>
            </w: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w:t>
            </w:r>
            <w:r w:rsidR="009665B2">
              <w:rPr>
                <w:rFonts w:ascii="Times New Roman" w:eastAsia="Times New Roman" w:hAnsi="Times New Roman" w:cs="Times New Roman"/>
                <w:color w:val="1F1F1F"/>
                <w:kern w:val="0"/>
                <w:sz w:val="24"/>
                <w:szCs w:val="24"/>
                <w:bdr w:val="none" w:sz="0" w:space="0" w:color="auto" w:frame="1"/>
                <w:lang w:eastAsia="en-IN" w:bidi="hi-IN"/>
                <w14:ligatures w14:val="none"/>
              </w:rPr>
              <w:t>24</w:t>
            </w:r>
          </w:p>
        </w:tc>
        <w:tc>
          <w:tcPr>
            <w:tcW w:w="0" w:type="auto"/>
            <w:hideMark/>
          </w:tcPr>
          <w:p w14:paraId="34AB522F" w14:textId="489FC66A" w:rsidR="00ED30DA" w:rsidRPr="007F099A" w:rsidRDefault="00ED30DA" w:rsidP="007F099A">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20</w:t>
            </w:r>
            <w:r w:rsidR="009665B2">
              <w:rPr>
                <w:rFonts w:ascii="Times New Roman" w:eastAsia="Times New Roman" w:hAnsi="Times New Roman" w:cs="Times New Roman"/>
                <w:color w:val="1F1F1F"/>
                <w:kern w:val="0"/>
                <w:sz w:val="24"/>
                <w:szCs w:val="24"/>
                <w:bdr w:val="none" w:sz="0" w:space="0" w:color="auto" w:frame="1"/>
                <w:lang w:eastAsia="en-IN" w:bidi="hi-IN"/>
                <w14:ligatures w14:val="none"/>
              </w:rPr>
              <w:t>24</w:t>
            </w: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w:t>
            </w:r>
            <w:r w:rsidR="009665B2">
              <w:rPr>
                <w:rFonts w:ascii="Times New Roman" w:eastAsia="Times New Roman" w:hAnsi="Times New Roman" w:cs="Times New Roman"/>
                <w:color w:val="1F1F1F"/>
                <w:kern w:val="0"/>
                <w:sz w:val="24"/>
                <w:szCs w:val="24"/>
                <w:bdr w:val="none" w:sz="0" w:space="0" w:color="auto" w:frame="1"/>
                <w:lang w:eastAsia="en-IN" w:bidi="hi-IN"/>
                <w14:ligatures w14:val="none"/>
              </w:rPr>
              <w:t>25</w:t>
            </w:r>
          </w:p>
        </w:tc>
      </w:tr>
      <w:tr w:rsidR="00ED30DA" w:rsidRPr="007F099A" w14:paraId="34A17626" w14:textId="77777777" w:rsidTr="007F0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6D0F563"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Total Participating Farmers</w:t>
            </w:r>
          </w:p>
        </w:tc>
        <w:tc>
          <w:tcPr>
            <w:tcW w:w="0" w:type="auto"/>
            <w:hideMark/>
          </w:tcPr>
          <w:p w14:paraId="7962D0DF"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13</w:t>
            </w:r>
          </w:p>
        </w:tc>
        <w:tc>
          <w:tcPr>
            <w:tcW w:w="0" w:type="auto"/>
            <w:hideMark/>
          </w:tcPr>
          <w:p w14:paraId="5EF3E928"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13</w:t>
            </w:r>
          </w:p>
        </w:tc>
        <w:tc>
          <w:tcPr>
            <w:tcW w:w="0" w:type="auto"/>
            <w:hideMark/>
          </w:tcPr>
          <w:p w14:paraId="4E447DF8"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13</w:t>
            </w:r>
          </w:p>
        </w:tc>
      </w:tr>
      <w:tr w:rsidR="00ED30DA" w:rsidRPr="007F099A" w14:paraId="256177C3" w14:textId="77777777" w:rsidTr="007F099A">
        <w:tc>
          <w:tcPr>
            <w:cnfStyle w:val="001000000000" w:firstRow="0" w:lastRow="0" w:firstColumn="1" w:lastColumn="0" w:oddVBand="0" w:evenVBand="0" w:oddHBand="0" w:evenHBand="0" w:firstRowFirstColumn="0" w:firstRowLastColumn="0" w:lastRowFirstColumn="0" w:lastRowLastColumn="0"/>
            <w:tcW w:w="0" w:type="auto"/>
            <w:hideMark/>
          </w:tcPr>
          <w:p w14:paraId="313E6E97"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Number of Villages Covered</w:t>
            </w:r>
          </w:p>
        </w:tc>
        <w:tc>
          <w:tcPr>
            <w:tcW w:w="0" w:type="auto"/>
            <w:hideMark/>
          </w:tcPr>
          <w:p w14:paraId="43256814"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5</w:t>
            </w:r>
          </w:p>
        </w:tc>
        <w:tc>
          <w:tcPr>
            <w:tcW w:w="0" w:type="auto"/>
            <w:hideMark/>
          </w:tcPr>
          <w:p w14:paraId="0D169D36"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2</w:t>
            </w:r>
          </w:p>
        </w:tc>
        <w:tc>
          <w:tcPr>
            <w:tcW w:w="0" w:type="auto"/>
            <w:hideMark/>
          </w:tcPr>
          <w:p w14:paraId="3799E135"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3</w:t>
            </w:r>
          </w:p>
        </w:tc>
      </w:tr>
      <w:tr w:rsidR="00ED30DA" w:rsidRPr="007F099A" w14:paraId="09D3999F" w14:textId="77777777" w:rsidTr="007F0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73C2E96"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Lowest B:C Ratio in T1 (Control)</w:t>
            </w:r>
          </w:p>
        </w:tc>
        <w:tc>
          <w:tcPr>
            <w:tcW w:w="0" w:type="auto"/>
            <w:hideMark/>
          </w:tcPr>
          <w:p w14:paraId="4AD3F38D"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1.67</w:t>
            </w:r>
          </w:p>
        </w:tc>
        <w:tc>
          <w:tcPr>
            <w:tcW w:w="0" w:type="auto"/>
            <w:hideMark/>
          </w:tcPr>
          <w:p w14:paraId="403357DE"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1.90</w:t>
            </w:r>
          </w:p>
        </w:tc>
        <w:tc>
          <w:tcPr>
            <w:tcW w:w="0" w:type="auto"/>
            <w:hideMark/>
          </w:tcPr>
          <w:p w14:paraId="0CBEABDB"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2.37</w:t>
            </w:r>
          </w:p>
        </w:tc>
      </w:tr>
      <w:tr w:rsidR="00ED30DA" w:rsidRPr="007F099A" w14:paraId="5A5BF936" w14:textId="77777777" w:rsidTr="007F099A">
        <w:tc>
          <w:tcPr>
            <w:cnfStyle w:val="001000000000" w:firstRow="0" w:lastRow="0" w:firstColumn="1" w:lastColumn="0" w:oddVBand="0" w:evenVBand="0" w:oddHBand="0" w:evenHBand="0" w:firstRowFirstColumn="0" w:firstRowLastColumn="0" w:lastRowFirstColumn="0" w:lastRowLastColumn="0"/>
            <w:tcW w:w="0" w:type="auto"/>
            <w:hideMark/>
          </w:tcPr>
          <w:p w14:paraId="15B930EC"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Lowest B:C Ratio in T2 (Skirting)</w:t>
            </w:r>
          </w:p>
        </w:tc>
        <w:tc>
          <w:tcPr>
            <w:tcW w:w="0" w:type="auto"/>
            <w:hideMark/>
          </w:tcPr>
          <w:p w14:paraId="7C967E22"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b/>
                <w:bCs/>
                <w:color w:val="1F1F1F"/>
                <w:kern w:val="0"/>
                <w:sz w:val="24"/>
                <w:szCs w:val="24"/>
                <w:bdr w:val="none" w:sz="0" w:space="0" w:color="auto" w:frame="1"/>
                <w:lang w:eastAsia="en-IN" w:bidi="hi-IN"/>
                <w14:ligatures w14:val="none"/>
              </w:rPr>
              <w:t>1.65</w:t>
            </w:r>
          </w:p>
        </w:tc>
        <w:tc>
          <w:tcPr>
            <w:tcW w:w="0" w:type="auto"/>
            <w:hideMark/>
          </w:tcPr>
          <w:p w14:paraId="3471EB98"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b/>
                <w:bCs/>
                <w:color w:val="1F1F1F"/>
                <w:kern w:val="0"/>
                <w:sz w:val="24"/>
                <w:szCs w:val="24"/>
                <w:bdr w:val="none" w:sz="0" w:space="0" w:color="auto" w:frame="1"/>
                <w:lang w:eastAsia="en-IN" w:bidi="hi-IN"/>
                <w14:ligatures w14:val="none"/>
              </w:rPr>
              <w:t>2.20</w:t>
            </w:r>
          </w:p>
        </w:tc>
        <w:tc>
          <w:tcPr>
            <w:tcW w:w="0" w:type="auto"/>
            <w:hideMark/>
          </w:tcPr>
          <w:p w14:paraId="1167E8D5"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b/>
                <w:bCs/>
                <w:color w:val="1F1F1F"/>
                <w:kern w:val="0"/>
                <w:sz w:val="24"/>
                <w:szCs w:val="24"/>
                <w:bdr w:val="none" w:sz="0" w:space="0" w:color="auto" w:frame="1"/>
                <w:lang w:eastAsia="en-IN" w:bidi="hi-IN"/>
                <w14:ligatures w14:val="none"/>
              </w:rPr>
              <w:t>2.58</w:t>
            </w:r>
          </w:p>
        </w:tc>
      </w:tr>
      <w:tr w:rsidR="00ED30DA" w:rsidRPr="007F099A" w14:paraId="4FB189D4" w14:textId="77777777" w:rsidTr="007F0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574718C"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Highest B:C Ratio in T1 (Control)</w:t>
            </w:r>
          </w:p>
        </w:tc>
        <w:tc>
          <w:tcPr>
            <w:tcW w:w="0" w:type="auto"/>
            <w:hideMark/>
          </w:tcPr>
          <w:p w14:paraId="2F34D509"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1.85</w:t>
            </w:r>
          </w:p>
        </w:tc>
        <w:tc>
          <w:tcPr>
            <w:tcW w:w="0" w:type="auto"/>
            <w:hideMark/>
          </w:tcPr>
          <w:p w14:paraId="18DD978F"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2.32</w:t>
            </w:r>
          </w:p>
        </w:tc>
        <w:tc>
          <w:tcPr>
            <w:tcW w:w="0" w:type="auto"/>
            <w:hideMark/>
          </w:tcPr>
          <w:p w14:paraId="080C01E6"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2.65</w:t>
            </w:r>
          </w:p>
        </w:tc>
      </w:tr>
      <w:tr w:rsidR="00ED30DA" w:rsidRPr="007F099A" w14:paraId="4BA30A2A" w14:textId="77777777" w:rsidTr="007F099A">
        <w:tc>
          <w:tcPr>
            <w:cnfStyle w:val="001000000000" w:firstRow="0" w:lastRow="0" w:firstColumn="1" w:lastColumn="0" w:oddVBand="0" w:evenVBand="0" w:oddHBand="0" w:evenHBand="0" w:firstRowFirstColumn="0" w:firstRowLastColumn="0" w:lastRowFirstColumn="0" w:lastRowLastColumn="0"/>
            <w:tcW w:w="0" w:type="auto"/>
            <w:hideMark/>
          </w:tcPr>
          <w:p w14:paraId="69016979"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lastRenderedPageBreak/>
              <w:t>Highest B:C Ratio in T2 (Skirting)</w:t>
            </w:r>
          </w:p>
        </w:tc>
        <w:tc>
          <w:tcPr>
            <w:tcW w:w="0" w:type="auto"/>
            <w:hideMark/>
          </w:tcPr>
          <w:p w14:paraId="76383087"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b/>
                <w:bCs/>
                <w:color w:val="1F1F1F"/>
                <w:kern w:val="0"/>
                <w:sz w:val="24"/>
                <w:szCs w:val="24"/>
                <w:bdr w:val="none" w:sz="0" w:space="0" w:color="auto" w:frame="1"/>
                <w:lang w:eastAsia="en-IN" w:bidi="hi-IN"/>
                <w14:ligatures w14:val="none"/>
              </w:rPr>
              <w:t>2.04</w:t>
            </w:r>
          </w:p>
        </w:tc>
        <w:tc>
          <w:tcPr>
            <w:tcW w:w="0" w:type="auto"/>
            <w:hideMark/>
          </w:tcPr>
          <w:p w14:paraId="64AAA89F"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b/>
                <w:bCs/>
                <w:color w:val="1F1F1F"/>
                <w:kern w:val="0"/>
                <w:sz w:val="24"/>
                <w:szCs w:val="24"/>
                <w:bdr w:val="none" w:sz="0" w:space="0" w:color="auto" w:frame="1"/>
                <w:lang w:eastAsia="en-IN" w:bidi="hi-IN"/>
                <w14:ligatures w14:val="none"/>
              </w:rPr>
              <w:t>2.53</w:t>
            </w:r>
          </w:p>
        </w:tc>
        <w:tc>
          <w:tcPr>
            <w:tcW w:w="0" w:type="auto"/>
            <w:hideMark/>
          </w:tcPr>
          <w:p w14:paraId="0213C617" w14:textId="77777777" w:rsidR="00ED30DA" w:rsidRPr="007F099A" w:rsidRDefault="00ED30DA" w:rsidP="007F099A">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b/>
                <w:bCs/>
                <w:color w:val="1F1F1F"/>
                <w:kern w:val="0"/>
                <w:sz w:val="24"/>
                <w:szCs w:val="24"/>
                <w:bdr w:val="none" w:sz="0" w:space="0" w:color="auto" w:frame="1"/>
                <w:lang w:eastAsia="en-IN" w:bidi="hi-IN"/>
                <w14:ligatures w14:val="none"/>
              </w:rPr>
              <w:t>2.97</w:t>
            </w:r>
          </w:p>
        </w:tc>
      </w:tr>
      <w:tr w:rsidR="00ED30DA" w:rsidRPr="007F099A" w14:paraId="2EA84B85" w14:textId="77777777" w:rsidTr="007F09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8C9D4BC" w14:textId="77777777" w:rsidR="00ED30DA" w:rsidRPr="007F099A" w:rsidRDefault="00ED30DA" w:rsidP="007F099A">
            <w:pPr>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Farmers Achieving Positive Return</w:t>
            </w:r>
          </w:p>
        </w:tc>
        <w:tc>
          <w:tcPr>
            <w:tcW w:w="0" w:type="auto"/>
            <w:hideMark/>
          </w:tcPr>
          <w:p w14:paraId="01F31B39"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100%</w:t>
            </w:r>
          </w:p>
        </w:tc>
        <w:tc>
          <w:tcPr>
            <w:tcW w:w="0" w:type="auto"/>
            <w:hideMark/>
          </w:tcPr>
          <w:p w14:paraId="666814E6"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100%</w:t>
            </w:r>
          </w:p>
        </w:tc>
        <w:tc>
          <w:tcPr>
            <w:tcW w:w="0" w:type="auto"/>
            <w:hideMark/>
          </w:tcPr>
          <w:p w14:paraId="41F6A86E" w14:textId="77777777" w:rsidR="00ED30DA" w:rsidRPr="007F099A" w:rsidRDefault="00ED30DA" w:rsidP="007F099A">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bdr w:val="none" w:sz="0" w:space="0" w:color="auto" w:frame="1"/>
                <w:lang w:eastAsia="en-IN" w:bidi="hi-IN"/>
                <w14:ligatures w14:val="none"/>
              </w:rPr>
              <w:t>100%</w:t>
            </w:r>
          </w:p>
        </w:tc>
      </w:tr>
    </w:tbl>
    <w:p w14:paraId="417C851E" w14:textId="77777777" w:rsidR="007F099A" w:rsidRDefault="007F099A" w:rsidP="007F099A">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p>
    <w:p w14:paraId="0965F2B4" w14:textId="3D08985D" w:rsidR="00ED30DA" w:rsidRPr="007F099A" w:rsidRDefault="002D29FF" w:rsidP="007F099A">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r w:rsidRPr="002D29FF">
        <w:rPr>
          <w:rFonts w:ascii="Times New Roman" w:eastAsia="Times New Roman" w:hAnsi="Times New Roman" w:cs="Times New Roman"/>
          <w:color w:val="1F1F1F"/>
          <w:kern w:val="0"/>
          <w:sz w:val="24"/>
          <w:szCs w:val="24"/>
          <w:lang w:eastAsia="en-IN" w:bidi="hi-IN"/>
          <w14:ligatures w14:val="none"/>
        </w:rPr>
        <w:t>The extension data presents a highly compelling narrative for widespread adoption. As noted by Johns (1996), market returns in international markets are generally greatest for large fruit that are blemish-free; therefore, the economic risk to the farmer is heavily mitigated when adopting covers to ensure this level of quality. Across all 39 distinct field trials over three years, 100% of the farmers utilizing the skirting bags achieved a positive return on their investment</w:t>
      </w:r>
      <w:r w:rsidR="00ED30DA" w:rsidRPr="007F099A">
        <w:rPr>
          <w:rFonts w:ascii="Times New Roman" w:eastAsia="Times New Roman" w:hAnsi="Times New Roman" w:cs="Times New Roman"/>
          <w:color w:val="1F1F1F"/>
          <w:kern w:val="0"/>
          <w:sz w:val="24"/>
          <w:szCs w:val="24"/>
          <w:lang w:eastAsia="en-IN" w:bidi="hi-IN"/>
          <w14:ligatures w14:val="none"/>
        </w:rPr>
        <w:t>.</w:t>
      </w:r>
    </w:p>
    <w:p w14:paraId="271C9E83" w14:textId="7314A6C8" w:rsidR="00ED30DA" w:rsidRPr="007F099A" w:rsidRDefault="00ED30DA" w:rsidP="007F099A">
      <w:pPr>
        <w:spacing w:after="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lang w:eastAsia="en-IN" w:bidi="hi-IN"/>
          <w14:ligatures w14:val="none"/>
        </w:rPr>
        <w:t>Crucially, the data demonstrates the technology's ability to elevate the "floor" of agricultural profitability. When examining the 20</w:t>
      </w:r>
      <w:r w:rsidR="009665B2">
        <w:rPr>
          <w:rFonts w:ascii="Times New Roman" w:eastAsia="Times New Roman" w:hAnsi="Times New Roman" w:cs="Times New Roman"/>
          <w:color w:val="1F1F1F"/>
          <w:kern w:val="0"/>
          <w:sz w:val="24"/>
          <w:szCs w:val="24"/>
          <w:lang w:eastAsia="en-IN" w:bidi="hi-IN"/>
          <w14:ligatures w14:val="none"/>
        </w:rPr>
        <w:t>23</w:t>
      </w:r>
      <w:r w:rsidRPr="007F099A">
        <w:rPr>
          <w:rFonts w:ascii="Times New Roman" w:eastAsia="Times New Roman" w:hAnsi="Times New Roman" w:cs="Times New Roman"/>
          <w:color w:val="1F1F1F"/>
          <w:kern w:val="0"/>
          <w:sz w:val="24"/>
          <w:szCs w:val="24"/>
          <w:lang w:eastAsia="en-IN" w:bidi="hi-IN"/>
          <w14:ligatures w14:val="none"/>
        </w:rPr>
        <w:t>-</w:t>
      </w:r>
      <w:r w:rsidR="009665B2">
        <w:rPr>
          <w:rFonts w:ascii="Times New Roman" w:eastAsia="Times New Roman" w:hAnsi="Times New Roman" w:cs="Times New Roman"/>
          <w:color w:val="1F1F1F"/>
          <w:kern w:val="0"/>
          <w:sz w:val="24"/>
          <w:szCs w:val="24"/>
          <w:lang w:eastAsia="en-IN" w:bidi="hi-IN"/>
          <w14:ligatures w14:val="none"/>
        </w:rPr>
        <w:t>24</w:t>
      </w:r>
      <w:r w:rsidRPr="007F099A">
        <w:rPr>
          <w:rFonts w:ascii="Times New Roman" w:eastAsia="Times New Roman" w:hAnsi="Times New Roman" w:cs="Times New Roman"/>
          <w:color w:val="1F1F1F"/>
          <w:kern w:val="0"/>
          <w:sz w:val="24"/>
          <w:szCs w:val="24"/>
          <w:lang w:eastAsia="en-IN" w:bidi="hi-IN"/>
          <w14:ligatures w14:val="none"/>
        </w:rPr>
        <w:t xml:space="preserve"> data, the absolute </w:t>
      </w:r>
      <w:r w:rsidRPr="007F099A">
        <w:rPr>
          <w:rFonts w:ascii="Times New Roman" w:eastAsia="Times New Roman" w:hAnsi="Times New Roman" w:cs="Times New Roman"/>
          <w:i/>
          <w:iCs/>
          <w:color w:val="1F1F1F"/>
          <w:kern w:val="0"/>
          <w:sz w:val="24"/>
          <w:szCs w:val="24"/>
          <w:bdr w:val="none" w:sz="0" w:space="0" w:color="auto" w:frame="1"/>
          <w:lang w:eastAsia="en-IN" w:bidi="hi-IN"/>
          <w14:ligatures w14:val="none"/>
        </w:rPr>
        <w:t>lowest</w:t>
      </w:r>
      <w:r w:rsidRPr="007F099A">
        <w:rPr>
          <w:rFonts w:ascii="Times New Roman" w:eastAsia="Times New Roman" w:hAnsi="Times New Roman" w:cs="Times New Roman"/>
          <w:color w:val="1F1F1F"/>
          <w:kern w:val="0"/>
          <w:sz w:val="24"/>
          <w:szCs w:val="24"/>
          <w:lang w:eastAsia="en-IN" w:bidi="hi-IN"/>
          <w14:ligatures w14:val="none"/>
        </w:rPr>
        <w:t xml:space="preserve"> performing farmer using the skirting bags (B:C of 2.20) still performed better than the </w:t>
      </w:r>
      <w:r w:rsidRPr="007F099A">
        <w:rPr>
          <w:rFonts w:ascii="Times New Roman" w:eastAsia="Times New Roman" w:hAnsi="Times New Roman" w:cs="Times New Roman"/>
          <w:i/>
          <w:iCs/>
          <w:color w:val="1F1F1F"/>
          <w:kern w:val="0"/>
          <w:sz w:val="24"/>
          <w:szCs w:val="24"/>
          <w:bdr w:val="none" w:sz="0" w:space="0" w:color="auto" w:frame="1"/>
          <w:lang w:eastAsia="en-IN" w:bidi="hi-IN"/>
          <w14:ligatures w14:val="none"/>
        </w:rPr>
        <w:t>average</w:t>
      </w:r>
      <w:r w:rsidRPr="007F099A">
        <w:rPr>
          <w:rFonts w:ascii="Times New Roman" w:eastAsia="Times New Roman" w:hAnsi="Times New Roman" w:cs="Times New Roman"/>
          <w:color w:val="1F1F1F"/>
          <w:kern w:val="0"/>
          <w:sz w:val="24"/>
          <w:szCs w:val="24"/>
          <w:lang w:eastAsia="en-IN" w:bidi="hi-IN"/>
          <w14:ligatures w14:val="none"/>
        </w:rPr>
        <w:t xml:space="preserve"> farmer using traditional practices. By 20</w:t>
      </w:r>
      <w:r w:rsidR="009665B2">
        <w:rPr>
          <w:rFonts w:ascii="Times New Roman" w:eastAsia="Times New Roman" w:hAnsi="Times New Roman" w:cs="Times New Roman"/>
          <w:color w:val="1F1F1F"/>
          <w:kern w:val="0"/>
          <w:sz w:val="24"/>
          <w:szCs w:val="24"/>
          <w:lang w:eastAsia="en-IN" w:bidi="hi-IN"/>
          <w14:ligatures w14:val="none"/>
        </w:rPr>
        <w:t>24</w:t>
      </w:r>
      <w:r w:rsidRPr="007F099A">
        <w:rPr>
          <w:rFonts w:ascii="Times New Roman" w:eastAsia="Times New Roman" w:hAnsi="Times New Roman" w:cs="Times New Roman"/>
          <w:color w:val="1F1F1F"/>
          <w:kern w:val="0"/>
          <w:sz w:val="24"/>
          <w:szCs w:val="24"/>
          <w:lang w:eastAsia="en-IN" w:bidi="hi-IN"/>
          <w14:ligatures w14:val="none"/>
        </w:rPr>
        <w:t>-</w:t>
      </w:r>
      <w:r w:rsidR="009665B2">
        <w:rPr>
          <w:rFonts w:ascii="Times New Roman" w:eastAsia="Times New Roman" w:hAnsi="Times New Roman" w:cs="Times New Roman"/>
          <w:color w:val="1F1F1F"/>
          <w:kern w:val="0"/>
          <w:sz w:val="24"/>
          <w:szCs w:val="24"/>
          <w:lang w:eastAsia="en-IN" w:bidi="hi-IN"/>
          <w14:ligatures w14:val="none"/>
        </w:rPr>
        <w:t>25</w:t>
      </w:r>
      <w:r w:rsidRPr="007F099A">
        <w:rPr>
          <w:rFonts w:ascii="Times New Roman" w:eastAsia="Times New Roman" w:hAnsi="Times New Roman" w:cs="Times New Roman"/>
          <w:color w:val="1F1F1F"/>
          <w:kern w:val="0"/>
          <w:sz w:val="24"/>
          <w:szCs w:val="24"/>
          <w:lang w:eastAsia="en-IN" w:bidi="hi-IN"/>
          <w14:ligatures w14:val="none"/>
        </w:rPr>
        <w:t>, the lowest B:C ratio in the demonstration group (2.58) was nearly equivalent to the highest-performing farmer in the control group (2.65).</w:t>
      </w:r>
    </w:p>
    <w:p w14:paraId="0FF9C722" w14:textId="1AD7A9AE" w:rsidR="00ED30DA" w:rsidRDefault="00ED30DA" w:rsidP="007F099A">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lang w:eastAsia="en-IN" w:bidi="hi-IN"/>
          <w14:ligatures w14:val="none"/>
        </w:rPr>
        <w:t>This reduction in negative variability is the cornerstone of successful agricultural extension. It provides extension workers and Subject Matter Specialists with the empirical evidence required to confidently recommend the technology. The presence of "champion farmers"</w:t>
      </w:r>
      <w:r w:rsidR="009665B2">
        <w:rPr>
          <w:rFonts w:ascii="Times New Roman" w:eastAsia="Times New Roman" w:hAnsi="Times New Roman" w:cs="Times New Roman"/>
          <w:color w:val="1F1F1F"/>
          <w:kern w:val="0"/>
          <w:sz w:val="24"/>
          <w:szCs w:val="24"/>
          <w:lang w:eastAsia="en-IN" w:bidi="hi-IN"/>
          <w14:ligatures w14:val="none"/>
        </w:rPr>
        <w:t xml:space="preserve"> </w:t>
      </w:r>
      <w:r w:rsidRPr="007F099A">
        <w:rPr>
          <w:rFonts w:ascii="Times New Roman" w:eastAsia="Times New Roman" w:hAnsi="Times New Roman" w:cs="Times New Roman"/>
          <w:color w:val="1F1F1F"/>
          <w:kern w:val="0"/>
          <w:sz w:val="24"/>
          <w:szCs w:val="24"/>
          <w:lang w:eastAsia="en-IN" w:bidi="hi-IN"/>
          <w14:ligatures w14:val="none"/>
        </w:rPr>
        <w:t>such as Shalini Gajanan Deshmukh in 20</w:t>
      </w:r>
      <w:r w:rsidR="009665B2">
        <w:rPr>
          <w:rFonts w:ascii="Times New Roman" w:eastAsia="Times New Roman" w:hAnsi="Times New Roman" w:cs="Times New Roman"/>
          <w:color w:val="1F1F1F"/>
          <w:kern w:val="0"/>
          <w:sz w:val="24"/>
          <w:szCs w:val="24"/>
          <w:lang w:eastAsia="en-IN" w:bidi="hi-IN"/>
          <w14:ligatures w14:val="none"/>
        </w:rPr>
        <w:t>24</w:t>
      </w:r>
      <w:r w:rsidRPr="007F099A">
        <w:rPr>
          <w:rFonts w:ascii="Times New Roman" w:eastAsia="Times New Roman" w:hAnsi="Times New Roman" w:cs="Times New Roman"/>
          <w:color w:val="1F1F1F"/>
          <w:kern w:val="0"/>
          <w:sz w:val="24"/>
          <w:szCs w:val="24"/>
          <w:lang w:eastAsia="en-IN" w:bidi="hi-IN"/>
          <w14:ligatures w14:val="none"/>
        </w:rPr>
        <w:t>-</w:t>
      </w:r>
      <w:r w:rsidR="009665B2">
        <w:rPr>
          <w:rFonts w:ascii="Times New Roman" w:eastAsia="Times New Roman" w:hAnsi="Times New Roman" w:cs="Times New Roman"/>
          <w:color w:val="1F1F1F"/>
          <w:kern w:val="0"/>
          <w:sz w:val="24"/>
          <w:szCs w:val="24"/>
          <w:lang w:eastAsia="en-IN" w:bidi="hi-IN"/>
          <w14:ligatures w14:val="none"/>
        </w:rPr>
        <w:t>25</w:t>
      </w:r>
      <w:r w:rsidRPr="007F099A">
        <w:rPr>
          <w:rFonts w:ascii="Times New Roman" w:eastAsia="Times New Roman" w:hAnsi="Times New Roman" w:cs="Times New Roman"/>
          <w:color w:val="1F1F1F"/>
          <w:kern w:val="0"/>
          <w:sz w:val="24"/>
          <w:szCs w:val="24"/>
          <w:lang w:eastAsia="en-IN" w:bidi="hi-IN"/>
          <w14:ligatures w14:val="none"/>
        </w:rPr>
        <w:t xml:space="preserve"> who achieved a B:C ratio of 2.97</w:t>
      </w:r>
      <w:r w:rsidR="009665B2">
        <w:rPr>
          <w:rFonts w:ascii="Times New Roman" w:eastAsia="Times New Roman" w:hAnsi="Times New Roman" w:cs="Times New Roman"/>
          <w:color w:val="1F1F1F"/>
          <w:kern w:val="0"/>
          <w:sz w:val="24"/>
          <w:szCs w:val="24"/>
          <w:lang w:eastAsia="en-IN" w:bidi="hi-IN"/>
          <w14:ligatures w14:val="none"/>
        </w:rPr>
        <w:t xml:space="preserve"> </w:t>
      </w:r>
      <w:r w:rsidRPr="007F099A">
        <w:rPr>
          <w:rFonts w:ascii="Times New Roman" w:eastAsia="Times New Roman" w:hAnsi="Times New Roman" w:cs="Times New Roman"/>
          <w:color w:val="1F1F1F"/>
          <w:kern w:val="0"/>
          <w:sz w:val="24"/>
          <w:szCs w:val="24"/>
          <w:lang w:eastAsia="en-IN" w:bidi="hi-IN"/>
          <w14:ligatures w14:val="none"/>
        </w:rPr>
        <w:t>serves as a localized catalyst for peer-to-peer learning, driving organic adoption within the village clusters.</w:t>
      </w:r>
    </w:p>
    <w:p w14:paraId="5360BC82" w14:textId="0E254377" w:rsidR="00B1024D" w:rsidRPr="00B1024D" w:rsidRDefault="00B1024D" w:rsidP="007F099A">
      <w:pPr>
        <w:spacing w:after="150" w:line="240" w:lineRule="auto"/>
        <w:jc w:val="both"/>
        <w:rPr>
          <w:rFonts w:ascii="Times New Roman" w:eastAsia="Times New Roman" w:hAnsi="Times New Roman" w:cs="Times New Roman"/>
          <w:b/>
          <w:bCs/>
          <w:color w:val="1F1F1F"/>
          <w:kern w:val="0"/>
          <w:sz w:val="24"/>
          <w:szCs w:val="24"/>
          <w:lang w:eastAsia="en-IN" w:bidi="hi-IN"/>
          <w14:ligatures w14:val="none"/>
        </w:rPr>
      </w:pPr>
      <w:r w:rsidRPr="00B1024D">
        <w:rPr>
          <w:rFonts w:ascii="Times New Roman" w:eastAsia="Times New Roman" w:hAnsi="Times New Roman" w:cs="Times New Roman"/>
          <w:b/>
          <w:bCs/>
          <w:color w:val="1F1F1F"/>
          <w:kern w:val="0"/>
          <w:sz w:val="24"/>
          <w:szCs w:val="24"/>
          <w:lang w:eastAsia="en-IN" w:bidi="hi-IN"/>
          <w14:ligatures w14:val="none"/>
        </w:rPr>
        <w:t>Fig.1</w:t>
      </w:r>
      <w:r>
        <w:rPr>
          <w:rFonts w:ascii="Times New Roman" w:eastAsia="Times New Roman" w:hAnsi="Times New Roman" w:cs="Times New Roman"/>
          <w:b/>
          <w:bCs/>
          <w:color w:val="1F1F1F"/>
          <w:kern w:val="0"/>
          <w:sz w:val="24"/>
          <w:szCs w:val="24"/>
          <w:lang w:eastAsia="en-IN" w:bidi="hi-IN"/>
          <w14:ligatures w14:val="none"/>
        </w:rPr>
        <w:t xml:space="preserve"> </w:t>
      </w:r>
      <w:r w:rsidRPr="00B1024D">
        <w:rPr>
          <w:rFonts w:ascii="Times New Roman" w:eastAsia="Times New Roman" w:hAnsi="Times New Roman" w:cs="Times New Roman"/>
          <w:b/>
          <w:bCs/>
          <w:color w:val="1F1F1F"/>
          <w:kern w:val="0"/>
          <w:sz w:val="24"/>
          <w:szCs w:val="24"/>
          <w:lang w:eastAsia="en-IN" w:bidi="hi-IN"/>
          <w14:ligatures w14:val="none"/>
        </w:rPr>
        <w:t>Practical application of bunch skirting: On-site interaction and capacity building with participating farmers.</w:t>
      </w:r>
    </w:p>
    <w:p w14:paraId="7C591806" w14:textId="7028310B" w:rsidR="00ED30DA" w:rsidRPr="007F099A" w:rsidRDefault="00B1024D" w:rsidP="007F099A">
      <w:pPr>
        <w:spacing w:after="120" w:line="240" w:lineRule="auto"/>
        <w:jc w:val="both"/>
        <w:rPr>
          <w:rFonts w:ascii="Times New Roman" w:eastAsia="Times New Roman" w:hAnsi="Times New Roman" w:cs="Times New Roman"/>
          <w:color w:val="1F1F1F"/>
          <w:kern w:val="0"/>
          <w:sz w:val="24"/>
          <w:szCs w:val="24"/>
          <w:lang w:eastAsia="en-IN" w:bidi="hi-IN"/>
          <w14:ligatures w14:val="none"/>
        </w:rPr>
      </w:pPr>
      <w:r>
        <w:rPr>
          <w:noProof/>
        </w:rPr>
        <w:drawing>
          <wp:inline distT="0" distB="0" distL="0" distR="0" wp14:anchorId="306713C6" wp14:editId="6D04209F">
            <wp:extent cx="2661723" cy="1996440"/>
            <wp:effectExtent l="0" t="0" r="5715" b="3810"/>
            <wp:docPr id="10082330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69415" cy="2002210"/>
                    </a:xfrm>
                    <a:prstGeom prst="rect">
                      <a:avLst/>
                    </a:prstGeom>
                    <a:noFill/>
                    <a:ln>
                      <a:noFill/>
                    </a:ln>
                  </pic:spPr>
                </pic:pic>
              </a:graphicData>
            </a:graphic>
          </wp:inline>
        </w:drawing>
      </w:r>
      <w:r>
        <w:rPr>
          <w:noProof/>
        </w:rPr>
        <w:drawing>
          <wp:inline distT="0" distB="0" distL="0" distR="0" wp14:anchorId="7D6E4DE5" wp14:editId="40E65919">
            <wp:extent cx="2666805" cy="1996440"/>
            <wp:effectExtent l="0" t="0" r="635" b="3810"/>
            <wp:docPr id="13216906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74365" cy="2002100"/>
                    </a:xfrm>
                    <a:prstGeom prst="rect">
                      <a:avLst/>
                    </a:prstGeom>
                    <a:noFill/>
                    <a:ln>
                      <a:noFill/>
                    </a:ln>
                  </pic:spPr>
                </pic:pic>
              </a:graphicData>
            </a:graphic>
          </wp:inline>
        </w:drawing>
      </w:r>
    </w:p>
    <w:p w14:paraId="664410F8" w14:textId="77777777" w:rsidR="00F20CFE" w:rsidRDefault="00F20CFE" w:rsidP="007F099A">
      <w:pPr>
        <w:spacing w:after="120" w:line="240" w:lineRule="auto"/>
        <w:jc w:val="both"/>
        <w:outlineLvl w:val="1"/>
        <w:rPr>
          <w:rFonts w:ascii="Times New Roman" w:eastAsia="Times New Roman" w:hAnsi="Times New Roman" w:cs="Times New Roman"/>
          <w:b/>
          <w:bCs/>
          <w:color w:val="1F1F1F"/>
          <w:kern w:val="0"/>
          <w:sz w:val="28"/>
          <w:szCs w:val="28"/>
          <w:lang w:eastAsia="en-IN" w:bidi="hi-IN"/>
          <w14:ligatures w14:val="none"/>
        </w:rPr>
      </w:pPr>
    </w:p>
    <w:p w14:paraId="6653BC04" w14:textId="0652C179" w:rsidR="00581780" w:rsidRDefault="00581780" w:rsidP="007F099A">
      <w:pPr>
        <w:spacing w:after="120" w:line="240" w:lineRule="auto"/>
        <w:jc w:val="both"/>
        <w:outlineLvl w:val="1"/>
        <w:rPr>
          <w:rFonts w:ascii="Times New Roman" w:hAnsi="Times New Roman" w:cs="Times New Roman"/>
          <w:sz w:val="24"/>
          <w:szCs w:val="24"/>
        </w:rPr>
      </w:pPr>
      <w:r w:rsidRPr="00581780">
        <w:rPr>
          <w:rFonts w:ascii="Times New Roman" w:hAnsi="Times New Roman" w:cs="Times New Roman"/>
          <w:sz w:val="24"/>
          <w:szCs w:val="24"/>
        </w:rPr>
        <w:t>The significant agronomic improvements observed in this study align closely with recent international research, which confirms that pre-harvest bunch bagging serves as a crucial microclimate modifier and physical barrier. Modern studies have established that bagging mitigates severe environmental stresses, such as chilling injury and sunburn, while promoting cellular expansion and yield (Lima et al., 2020). For instance, recent trials have demonstrated that utilizing specific cover materials, such as waterproof nonwoven fabrics, actively prevents sunburn defects and enhances total soluble solids without compromising the ultimate fruit weight (Chaiwong et al., 2021). Furthermore, contemporary evaluations emphasize that bagging not only accelerates the physiological maturity of the fruit—shortening the flower-to-harvest interval by over two weeks—but also drastically diminishes both biotic pest infestations and disease occurrences (Imran et al., 2023). Broader reviews on the technique corroborate that these improvements in visual appeal and the reduction of blemishes are essential for meeting stringent premium market standards (Ali et al., 2021; Sant'Anna Cordeiro da Silva et al., 2022). Therefore, the localized success of the skirting technology in these Front-</w:t>
      </w:r>
      <w:r w:rsidRPr="00581780">
        <w:rPr>
          <w:rFonts w:ascii="Times New Roman" w:hAnsi="Times New Roman" w:cs="Times New Roman"/>
          <w:sz w:val="24"/>
          <w:szCs w:val="24"/>
        </w:rPr>
        <w:lastRenderedPageBreak/>
        <w:t>Line Demonstrations is supported by a robust, modern scientific consensus that recognizes bagging as an indispensable practice for sustainable, high-quality banana production.</w:t>
      </w:r>
    </w:p>
    <w:p w14:paraId="00DF01C0" w14:textId="77777777" w:rsidR="00581780" w:rsidRPr="00581780" w:rsidRDefault="00581780" w:rsidP="007F099A">
      <w:pPr>
        <w:spacing w:after="120" w:line="240" w:lineRule="auto"/>
        <w:jc w:val="both"/>
        <w:outlineLvl w:val="1"/>
        <w:rPr>
          <w:rFonts w:ascii="Times New Roman" w:eastAsia="Times New Roman" w:hAnsi="Times New Roman" w:cs="Times New Roman"/>
          <w:b/>
          <w:bCs/>
          <w:color w:val="1F1F1F"/>
          <w:kern w:val="0"/>
          <w:sz w:val="24"/>
          <w:szCs w:val="24"/>
          <w:lang w:eastAsia="en-IN" w:bidi="hi-IN"/>
          <w14:ligatures w14:val="none"/>
        </w:rPr>
      </w:pPr>
    </w:p>
    <w:p w14:paraId="00FB929F" w14:textId="0250867D" w:rsidR="00ED30DA" w:rsidRPr="002D29FF" w:rsidRDefault="00ED30DA" w:rsidP="007F099A">
      <w:pPr>
        <w:spacing w:after="120" w:line="240" w:lineRule="auto"/>
        <w:jc w:val="both"/>
        <w:outlineLvl w:val="1"/>
        <w:rPr>
          <w:rFonts w:ascii="Times New Roman" w:eastAsia="Times New Roman" w:hAnsi="Times New Roman" w:cs="Times New Roman"/>
          <w:b/>
          <w:bCs/>
          <w:color w:val="1F1F1F"/>
          <w:kern w:val="0"/>
          <w:sz w:val="28"/>
          <w:szCs w:val="28"/>
          <w:lang w:eastAsia="en-IN" w:bidi="hi-IN"/>
          <w14:ligatures w14:val="none"/>
        </w:rPr>
      </w:pPr>
      <w:r w:rsidRPr="002D29FF">
        <w:rPr>
          <w:rFonts w:ascii="Times New Roman" w:eastAsia="Times New Roman" w:hAnsi="Times New Roman" w:cs="Times New Roman"/>
          <w:b/>
          <w:bCs/>
          <w:color w:val="1F1F1F"/>
          <w:kern w:val="0"/>
          <w:sz w:val="28"/>
          <w:szCs w:val="28"/>
          <w:lang w:eastAsia="en-IN" w:bidi="hi-IN"/>
          <w14:ligatures w14:val="none"/>
        </w:rPr>
        <w:t>4. Conclusion</w:t>
      </w:r>
    </w:p>
    <w:p w14:paraId="4E349BBA" w14:textId="77777777" w:rsidR="00ED30DA" w:rsidRPr="007F099A" w:rsidRDefault="00ED30DA" w:rsidP="007F099A">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lang w:eastAsia="en-IN" w:bidi="hi-IN"/>
          <w14:ligatures w14:val="none"/>
        </w:rPr>
        <w:t>The comprehensive three-year assessment of banana bunch skirting through Field Level Demonstrations provides unequivocal evidence of the technology's value. From an agronomic standpoint, the physical intervention of the bags successfully manipulates the micro-climate, leading to statistically significant increases in fruit girth and a sustained yield increase ranging from 11% to 14% across varying seasonal conditions.</w:t>
      </w:r>
    </w:p>
    <w:p w14:paraId="534710BA" w14:textId="1C356B0D" w:rsidR="00ED30DA" w:rsidRPr="007F099A" w:rsidRDefault="00ED30DA" w:rsidP="007F099A">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lang w:eastAsia="en-IN" w:bidi="hi-IN"/>
          <w14:ligatures w14:val="none"/>
        </w:rPr>
        <w:t>Economically, the data dismantles the primary barrier to adoption</w:t>
      </w:r>
      <w:r w:rsidR="009665B2">
        <w:rPr>
          <w:rFonts w:ascii="Times New Roman" w:eastAsia="Times New Roman" w:hAnsi="Times New Roman" w:cs="Times New Roman"/>
          <w:color w:val="1F1F1F"/>
          <w:kern w:val="0"/>
          <w:sz w:val="24"/>
          <w:szCs w:val="24"/>
          <w:lang w:eastAsia="en-IN" w:bidi="hi-IN"/>
          <w14:ligatures w14:val="none"/>
        </w:rPr>
        <w:t xml:space="preserve"> </w:t>
      </w:r>
      <w:r w:rsidRPr="007F099A">
        <w:rPr>
          <w:rFonts w:ascii="Times New Roman" w:eastAsia="Times New Roman" w:hAnsi="Times New Roman" w:cs="Times New Roman"/>
          <w:color w:val="1F1F1F"/>
          <w:kern w:val="0"/>
          <w:sz w:val="24"/>
          <w:szCs w:val="24"/>
          <w:lang w:eastAsia="en-IN" w:bidi="hi-IN"/>
          <w14:ligatures w14:val="none"/>
        </w:rPr>
        <w:t>the initial capital cost. The analysis proves that the supplementary expenditure of Rs. 54,450 per hectare is a highly leveraged investment. The consistently superior B:C ratios and strong Incremental Cost-Benefit Ratios (exceeding 1:3.0) confirm that the premium market price commanded by the superior, blemish-free fruit vastly outweighs the cost of the intervention.</w:t>
      </w:r>
    </w:p>
    <w:p w14:paraId="685992EC" w14:textId="77777777" w:rsidR="00ED30DA" w:rsidRDefault="00ED30DA" w:rsidP="007F099A">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r w:rsidRPr="007F099A">
        <w:rPr>
          <w:rFonts w:ascii="Times New Roman" w:eastAsia="Times New Roman" w:hAnsi="Times New Roman" w:cs="Times New Roman"/>
          <w:color w:val="1F1F1F"/>
          <w:kern w:val="0"/>
          <w:sz w:val="24"/>
          <w:szCs w:val="24"/>
          <w:lang w:eastAsia="en-IN" w:bidi="hi-IN"/>
          <w14:ligatures w14:val="none"/>
        </w:rPr>
        <w:t>Finally, from an extension perspective, the FLDs achieved their primary objective. The results showcased remarkable consistency across multiple villages and individual farmer management styles. The zero-percent failure rate among the 39 participants minimizes the perceived risk of adoption. This study reinforces the conclusion that bunch skirting is not an optional luxury for commercial banana cultivation, but a fundamental, highly profitable standard operating procedure. Furthermore, it highlights the enduring efficacy of the FLD methodology in translating established horticultural science into tangible economic empowerment for the farming community.</w:t>
      </w:r>
    </w:p>
    <w:p w14:paraId="789BB8AE" w14:textId="77777777" w:rsidR="002D29FF" w:rsidRPr="007F099A" w:rsidRDefault="002D29FF" w:rsidP="007F099A">
      <w:pPr>
        <w:spacing w:after="150" w:line="240" w:lineRule="auto"/>
        <w:jc w:val="both"/>
        <w:rPr>
          <w:rFonts w:ascii="Times New Roman" w:eastAsia="Times New Roman" w:hAnsi="Times New Roman" w:cs="Times New Roman"/>
          <w:color w:val="1F1F1F"/>
          <w:kern w:val="0"/>
          <w:sz w:val="24"/>
          <w:szCs w:val="24"/>
          <w:lang w:eastAsia="en-IN" w:bidi="hi-IN"/>
          <w14:ligatures w14:val="none"/>
        </w:rPr>
      </w:pPr>
    </w:p>
    <w:p w14:paraId="6944247D" w14:textId="77777777" w:rsidR="00F20CFE" w:rsidRDefault="00F20CFE" w:rsidP="002D29FF">
      <w:pPr>
        <w:spacing w:after="120" w:line="240" w:lineRule="auto"/>
        <w:jc w:val="both"/>
        <w:outlineLvl w:val="1"/>
        <w:rPr>
          <w:rFonts w:ascii="Times New Roman" w:eastAsia="Times New Roman" w:hAnsi="Times New Roman" w:cs="Times New Roman"/>
          <w:b/>
          <w:bCs/>
          <w:color w:val="1F1F1F"/>
          <w:kern w:val="0"/>
          <w:sz w:val="28"/>
          <w:szCs w:val="28"/>
          <w:lang w:eastAsia="en-IN" w:bidi="hi-IN"/>
          <w14:ligatures w14:val="none"/>
        </w:rPr>
      </w:pPr>
    </w:p>
    <w:p w14:paraId="7BFA71C8" w14:textId="77777777" w:rsidR="00F20CFE" w:rsidRDefault="00F20CFE" w:rsidP="002D29FF">
      <w:pPr>
        <w:spacing w:after="120" w:line="240" w:lineRule="auto"/>
        <w:jc w:val="both"/>
        <w:outlineLvl w:val="1"/>
        <w:rPr>
          <w:rFonts w:ascii="Times New Roman" w:eastAsia="Times New Roman" w:hAnsi="Times New Roman" w:cs="Times New Roman"/>
          <w:b/>
          <w:bCs/>
          <w:color w:val="1F1F1F"/>
          <w:kern w:val="0"/>
          <w:sz w:val="28"/>
          <w:szCs w:val="28"/>
          <w:lang w:eastAsia="en-IN" w:bidi="hi-IN"/>
          <w14:ligatures w14:val="none"/>
        </w:rPr>
      </w:pPr>
    </w:p>
    <w:p w14:paraId="34F0AAF3" w14:textId="77777777" w:rsidR="006B659B" w:rsidRPr="00005ED1" w:rsidRDefault="006B659B" w:rsidP="006B659B">
      <w:pPr>
        <w:pStyle w:val="NoSpacing"/>
        <w:rPr>
          <w:rFonts w:ascii="Arial" w:hAnsi="Arial" w:cs="Arial"/>
          <w:highlight w:val="yellow"/>
        </w:rPr>
      </w:pPr>
      <w:bookmarkStart w:id="0" w:name="_Hlk198031404"/>
      <w:r w:rsidRPr="00005ED1">
        <w:rPr>
          <w:rFonts w:ascii="Arial" w:hAnsi="Arial" w:cs="Arial"/>
          <w:highlight w:val="yellow"/>
        </w:rPr>
        <w:t>Disclaimer (Artificial intelligence)</w:t>
      </w:r>
    </w:p>
    <w:p w14:paraId="0FDAF87C" w14:textId="77777777" w:rsidR="006B659B" w:rsidRPr="00005ED1" w:rsidRDefault="006B659B" w:rsidP="006B659B">
      <w:pPr>
        <w:pStyle w:val="NoSpacing"/>
        <w:rPr>
          <w:rFonts w:ascii="Arial" w:hAnsi="Arial" w:cs="Arial"/>
          <w:highlight w:val="yellow"/>
        </w:rPr>
      </w:pPr>
    </w:p>
    <w:p w14:paraId="5E7B561B" w14:textId="77777777" w:rsidR="006B659B" w:rsidRPr="00005ED1" w:rsidRDefault="006B659B" w:rsidP="006B659B">
      <w:pPr>
        <w:pStyle w:val="NoSpacing"/>
        <w:rPr>
          <w:rFonts w:ascii="Arial" w:hAnsi="Arial" w:cs="Arial"/>
          <w:highlight w:val="yellow"/>
        </w:rPr>
      </w:pPr>
      <w:r w:rsidRPr="00005ED1">
        <w:rPr>
          <w:rFonts w:ascii="Arial" w:hAnsi="Arial" w:cs="Arial"/>
          <w:highlight w:val="yellow"/>
        </w:rPr>
        <w:t xml:space="preserve">Author(s) hereby declare that NO generative AI technologies such as Large Language Models (ChatGPT, COPILOT, etc.) and text-to-image generators have been used during the writing or editing of this manuscript. </w:t>
      </w:r>
    </w:p>
    <w:bookmarkEnd w:id="0"/>
    <w:p w14:paraId="38EE1393" w14:textId="77777777" w:rsidR="006B659B" w:rsidRDefault="006B659B" w:rsidP="002D29FF">
      <w:pPr>
        <w:spacing w:after="120" w:line="240" w:lineRule="auto"/>
        <w:jc w:val="both"/>
        <w:outlineLvl w:val="1"/>
        <w:rPr>
          <w:rFonts w:ascii="Times New Roman" w:eastAsia="Times New Roman" w:hAnsi="Times New Roman" w:cs="Times New Roman"/>
          <w:b/>
          <w:bCs/>
          <w:color w:val="1F1F1F"/>
          <w:kern w:val="0"/>
          <w:sz w:val="28"/>
          <w:szCs w:val="28"/>
          <w:lang w:eastAsia="en-IN" w:bidi="hi-IN"/>
          <w14:ligatures w14:val="none"/>
        </w:rPr>
      </w:pPr>
    </w:p>
    <w:p w14:paraId="493297A7" w14:textId="77777777" w:rsidR="006B659B" w:rsidRDefault="006B659B" w:rsidP="002D29FF">
      <w:pPr>
        <w:spacing w:after="120" w:line="240" w:lineRule="auto"/>
        <w:jc w:val="both"/>
        <w:outlineLvl w:val="1"/>
        <w:rPr>
          <w:rFonts w:ascii="Times New Roman" w:eastAsia="Times New Roman" w:hAnsi="Times New Roman" w:cs="Times New Roman"/>
          <w:b/>
          <w:bCs/>
          <w:color w:val="1F1F1F"/>
          <w:kern w:val="0"/>
          <w:sz w:val="28"/>
          <w:szCs w:val="28"/>
          <w:lang w:eastAsia="en-IN" w:bidi="hi-IN"/>
          <w14:ligatures w14:val="none"/>
        </w:rPr>
      </w:pPr>
    </w:p>
    <w:p w14:paraId="21E7EC12" w14:textId="2071CF83" w:rsidR="00CA1630" w:rsidRPr="002D29FF" w:rsidRDefault="002D29FF" w:rsidP="002D29FF">
      <w:pPr>
        <w:spacing w:after="120" w:line="240" w:lineRule="auto"/>
        <w:jc w:val="both"/>
        <w:outlineLvl w:val="1"/>
        <w:rPr>
          <w:rFonts w:ascii="Times New Roman" w:eastAsia="Times New Roman" w:hAnsi="Times New Roman" w:cs="Times New Roman"/>
          <w:b/>
          <w:bCs/>
          <w:color w:val="1F1F1F"/>
          <w:kern w:val="0"/>
          <w:sz w:val="28"/>
          <w:szCs w:val="28"/>
          <w:lang w:eastAsia="en-IN" w:bidi="hi-IN"/>
          <w14:ligatures w14:val="none"/>
        </w:rPr>
      </w:pPr>
      <w:r>
        <w:rPr>
          <w:rFonts w:ascii="Times New Roman" w:eastAsia="Times New Roman" w:hAnsi="Times New Roman" w:cs="Times New Roman"/>
          <w:b/>
          <w:bCs/>
          <w:color w:val="1F1F1F"/>
          <w:kern w:val="0"/>
          <w:sz w:val="28"/>
          <w:szCs w:val="28"/>
          <w:lang w:eastAsia="en-IN" w:bidi="hi-IN"/>
          <w14:ligatures w14:val="none"/>
        </w:rPr>
        <w:t>5</w:t>
      </w:r>
      <w:r w:rsidRPr="002D29FF">
        <w:rPr>
          <w:rFonts w:ascii="Times New Roman" w:eastAsia="Times New Roman" w:hAnsi="Times New Roman" w:cs="Times New Roman"/>
          <w:b/>
          <w:bCs/>
          <w:color w:val="1F1F1F"/>
          <w:kern w:val="0"/>
          <w:sz w:val="28"/>
          <w:szCs w:val="28"/>
          <w:lang w:eastAsia="en-IN" w:bidi="hi-IN"/>
          <w14:ligatures w14:val="none"/>
        </w:rPr>
        <w:t xml:space="preserve">. </w:t>
      </w:r>
      <w:r>
        <w:rPr>
          <w:rFonts w:ascii="Times New Roman" w:eastAsia="Times New Roman" w:hAnsi="Times New Roman" w:cs="Times New Roman"/>
          <w:b/>
          <w:bCs/>
          <w:color w:val="1F1F1F"/>
          <w:kern w:val="0"/>
          <w:sz w:val="28"/>
          <w:szCs w:val="28"/>
          <w:lang w:eastAsia="en-IN" w:bidi="hi-IN"/>
          <w14:ligatures w14:val="none"/>
        </w:rPr>
        <w:t>References</w:t>
      </w:r>
    </w:p>
    <w:p w14:paraId="33A79BD0" w14:textId="77777777" w:rsidR="00581780" w:rsidRPr="00D85DCA" w:rsidRDefault="00581780" w:rsidP="00D85DCA">
      <w:pPr>
        <w:pStyle w:val="ListParagraph"/>
        <w:numPr>
          <w:ilvl w:val="0"/>
          <w:numId w:val="7"/>
        </w:numPr>
        <w:jc w:val="both"/>
        <w:rPr>
          <w:rFonts w:ascii="Times New Roman" w:hAnsi="Times New Roman" w:cs="Times New Roman"/>
          <w:sz w:val="24"/>
          <w:szCs w:val="24"/>
        </w:rPr>
      </w:pPr>
      <w:bookmarkStart w:id="1" w:name="_GoBack"/>
      <w:r w:rsidRPr="00D85DCA">
        <w:rPr>
          <w:rFonts w:ascii="Times New Roman" w:hAnsi="Times New Roman" w:cs="Times New Roman"/>
          <w:sz w:val="24"/>
          <w:szCs w:val="24"/>
        </w:rPr>
        <w:t xml:space="preserve">Ali, M. M., Anwar, R., Yousef, A. F., Li, B., Luvisi, A., De Bellis, L., Aprile, A., &amp; Chen, F. (2021). Influence of bagging on the development and quality of fruits. </w:t>
      </w:r>
      <w:r w:rsidRPr="00D85DCA">
        <w:rPr>
          <w:rFonts w:ascii="Times New Roman" w:hAnsi="Times New Roman" w:cs="Times New Roman"/>
          <w:i/>
          <w:iCs/>
          <w:sz w:val="24"/>
          <w:szCs w:val="24"/>
        </w:rPr>
        <w:t>Plants</w:t>
      </w:r>
      <w:r w:rsidRPr="00D85DCA">
        <w:rPr>
          <w:rFonts w:ascii="Times New Roman" w:hAnsi="Times New Roman" w:cs="Times New Roman"/>
          <w:sz w:val="24"/>
          <w:szCs w:val="24"/>
        </w:rPr>
        <w:t xml:space="preserve">, </w:t>
      </w:r>
      <w:r w:rsidRPr="00D85DCA">
        <w:rPr>
          <w:rFonts w:ascii="Times New Roman" w:hAnsi="Times New Roman" w:cs="Times New Roman"/>
          <w:i/>
          <w:iCs/>
          <w:sz w:val="24"/>
          <w:szCs w:val="24"/>
        </w:rPr>
        <w:t>10</w:t>
      </w:r>
      <w:r w:rsidRPr="00D85DCA">
        <w:rPr>
          <w:rFonts w:ascii="Times New Roman" w:hAnsi="Times New Roman" w:cs="Times New Roman"/>
          <w:sz w:val="24"/>
          <w:szCs w:val="24"/>
        </w:rPr>
        <w:t xml:space="preserve">(2), 358. </w:t>
      </w:r>
      <w:hyperlink r:id="rId10" w:tgtFrame="_blank" w:history="1">
        <w:r w:rsidRPr="00D85DCA">
          <w:rPr>
            <w:rStyle w:val="Hyperlink"/>
            <w:rFonts w:ascii="Times New Roman" w:hAnsi="Times New Roman" w:cs="Times New Roman"/>
            <w:sz w:val="24"/>
            <w:szCs w:val="24"/>
          </w:rPr>
          <w:t>https://doi.org/10.3390/plants10020358</w:t>
        </w:r>
      </w:hyperlink>
      <w:r w:rsidRPr="00D85DCA">
        <w:rPr>
          <w:rFonts w:ascii="Times New Roman" w:hAnsi="Times New Roman" w:cs="Times New Roman"/>
          <w:sz w:val="24"/>
          <w:szCs w:val="24"/>
        </w:rPr>
        <w:t xml:space="preserve"> Cited by: 144</w:t>
      </w:r>
    </w:p>
    <w:p w14:paraId="401156CD" w14:textId="77777777" w:rsidR="00581780" w:rsidRPr="00D85DCA" w:rsidRDefault="00581780" w:rsidP="00D85DCA">
      <w:pPr>
        <w:pStyle w:val="ListParagraph"/>
        <w:numPr>
          <w:ilvl w:val="0"/>
          <w:numId w:val="7"/>
        </w:numPr>
        <w:jc w:val="both"/>
        <w:rPr>
          <w:rFonts w:ascii="Times New Roman" w:hAnsi="Times New Roman" w:cs="Times New Roman"/>
          <w:sz w:val="24"/>
          <w:szCs w:val="24"/>
        </w:rPr>
      </w:pPr>
      <w:r w:rsidRPr="00D85DCA">
        <w:rPr>
          <w:rFonts w:ascii="Times New Roman" w:hAnsi="Times New Roman" w:cs="Times New Roman"/>
          <w:sz w:val="24"/>
          <w:szCs w:val="24"/>
        </w:rPr>
        <w:t xml:space="preserve">Anon. 2003. Bunch covers for improving plantain and banana peel quality. National Agriculture Research Institute. Technical Bull., no 4. www.agrinetguyana. </w:t>
      </w:r>
      <w:proofErr w:type="spellStart"/>
      <w:r w:rsidRPr="00D85DCA">
        <w:rPr>
          <w:rFonts w:ascii="Times New Roman" w:hAnsi="Times New Roman" w:cs="Times New Roman"/>
          <w:sz w:val="24"/>
          <w:szCs w:val="24"/>
        </w:rPr>
        <w:t>org.gymoa</w:t>
      </w:r>
      <w:proofErr w:type="spellEnd"/>
      <w:r w:rsidRPr="00D85DCA">
        <w:rPr>
          <w:rFonts w:ascii="Times New Roman" w:hAnsi="Times New Roman" w:cs="Times New Roman"/>
          <w:sz w:val="24"/>
          <w:szCs w:val="24"/>
        </w:rPr>
        <w:t>.</w:t>
      </w:r>
    </w:p>
    <w:p w14:paraId="743BC0F3" w14:textId="77777777" w:rsidR="00581780" w:rsidRPr="00D85DCA" w:rsidRDefault="00581780" w:rsidP="00D85DCA">
      <w:pPr>
        <w:pStyle w:val="ListParagraph"/>
        <w:numPr>
          <w:ilvl w:val="0"/>
          <w:numId w:val="7"/>
        </w:numPr>
        <w:jc w:val="both"/>
        <w:rPr>
          <w:rFonts w:ascii="Times New Roman" w:hAnsi="Times New Roman" w:cs="Times New Roman"/>
          <w:sz w:val="24"/>
          <w:szCs w:val="24"/>
        </w:rPr>
      </w:pPr>
      <w:r w:rsidRPr="00D85DCA">
        <w:rPr>
          <w:rFonts w:ascii="Times New Roman" w:hAnsi="Times New Roman" w:cs="Times New Roman"/>
          <w:sz w:val="24"/>
          <w:szCs w:val="24"/>
        </w:rPr>
        <w:t xml:space="preserve">Chaiwong, S., </w:t>
      </w:r>
      <w:proofErr w:type="spellStart"/>
      <w:r w:rsidRPr="00D85DCA">
        <w:rPr>
          <w:rFonts w:ascii="Times New Roman" w:hAnsi="Times New Roman" w:cs="Times New Roman"/>
          <w:sz w:val="24"/>
          <w:szCs w:val="24"/>
        </w:rPr>
        <w:t>Saengrayap</w:t>
      </w:r>
      <w:proofErr w:type="spellEnd"/>
      <w:r w:rsidRPr="00D85DCA">
        <w:rPr>
          <w:rFonts w:ascii="Times New Roman" w:hAnsi="Times New Roman" w:cs="Times New Roman"/>
          <w:sz w:val="24"/>
          <w:szCs w:val="24"/>
        </w:rPr>
        <w:t xml:space="preserve">, R., </w:t>
      </w:r>
      <w:proofErr w:type="spellStart"/>
      <w:r w:rsidRPr="00D85DCA">
        <w:rPr>
          <w:rFonts w:ascii="Times New Roman" w:hAnsi="Times New Roman" w:cs="Times New Roman"/>
          <w:sz w:val="24"/>
          <w:szCs w:val="24"/>
        </w:rPr>
        <w:t>Ogunsua</w:t>
      </w:r>
      <w:proofErr w:type="spellEnd"/>
      <w:r w:rsidRPr="00D85DCA">
        <w:rPr>
          <w:rFonts w:ascii="Times New Roman" w:hAnsi="Times New Roman" w:cs="Times New Roman"/>
          <w:sz w:val="24"/>
          <w:szCs w:val="24"/>
        </w:rPr>
        <w:t xml:space="preserve">, J. M., Kitazawa, H., &amp; </w:t>
      </w:r>
      <w:proofErr w:type="spellStart"/>
      <w:r w:rsidRPr="00D85DCA">
        <w:rPr>
          <w:rFonts w:ascii="Times New Roman" w:hAnsi="Times New Roman" w:cs="Times New Roman"/>
          <w:sz w:val="24"/>
          <w:szCs w:val="24"/>
        </w:rPr>
        <w:t>Prahsarn</w:t>
      </w:r>
      <w:proofErr w:type="spellEnd"/>
      <w:r w:rsidRPr="00D85DCA">
        <w:rPr>
          <w:rFonts w:ascii="Times New Roman" w:hAnsi="Times New Roman" w:cs="Times New Roman"/>
          <w:sz w:val="24"/>
          <w:szCs w:val="24"/>
        </w:rPr>
        <w:t xml:space="preserve">, C. (2021). Performance of different bunch cover materials to improve quality of Cavendish banana cultivated during winter and summer in Thailand. </w:t>
      </w:r>
      <w:r w:rsidRPr="00D85DCA">
        <w:rPr>
          <w:rFonts w:ascii="Times New Roman" w:hAnsi="Times New Roman" w:cs="Times New Roman"/>
          <w:i/>
          <w:iCs/>
          <w:sz w:val="24"/>
          <w:szCs w:val="24"/>
        </w:rPr>
        <w:t>Agronomy</w:t>
      </w:r>
      <w:r w:rsidRPr="00D85DCA">
        <w:rPr>
          <w:rFonts w:ascii="Times New Roman" w:hAnsi="Times New Roman" w:cs="Times New Roman"/>
          <w:sz w:val="24"/>
          <w:szCs w:val="24"/>
        </w:rPr>
        <w:t xml:space="preserve">, </w:t>
      </w:r>
      <w:r w:rsidRPr="00D85DCA">
        <w:rPr>
          <w:rFonts w:ascii="Times New Roman" w:hAnsi="Times New Roman" w:cs="Times New Roman"/>
          <w:i/>
          <w:iCs/>
          <w:sz w:val="24"/>
          <w:szCs w:val="24"/>
        </w:rPr>
        <w:t>11</w:t>
      </w:r>
      <w:r w:rsidRPr="00D85DCA">
        <w:rPr>
          <w:rFonts w:ascii="Times New Roman" w:hAnsi="Times New Roman" w:cs="Times New Roman"/>
          <w:sz w:val="24"/>
          <w:szCs w:val="24"/>
        </w:rPr>
        <w:t xml:space="preserve">(3), 610. </w:t>
      </w:r>
      <w:hyperlink r:id="rId11" w:tgtFrame="_blank" w:history="1">
        <w:r w:rsidRPr="00D85DCA">
          <w:rPr>
            <w:rStyle w:val="Hyperlink"/>
            <w:rFonts w:ascii="Times New Roman" w:hAnsi="Times New Roman" w:cs="Times New Roman"/>
            <w:sz w:val="24"/>
            <w:szCs w:val="24"/>
          </w:rPr>
          <w:t>https://doi.org/10.3390/agronomy11030610</w:t>
        </w:r>
      </w:hyperlink>
      <w:r w:rsidRPr="00D85DCA">
        <w:rPr>
          <w:rFonts w:ascii="Times New Roman" w:hAnsi="Times New Roman" w:cs="Times New Roman"/>
          <w:sz w:val="24"/>
          <w:szCs w:val="24"/>
        </w:rPr>
        <w:t xml:space="preserve"> Cited by: 7</w:t>
      </w:r>
    </w:p>
    <w:p w14:paraId="3366193F" w14:textId="77777777" w:rsidR="00581780" w:rsidRPr="00D85DCA" w:rsidRDefault="00581780" w:rsidP="00D85DCA">
      <w:pPr>
        <w:pStyle w:val="ListParagraph"/>
        <w:numPr>
          <w:ilvl w:val="0"/>
          <w:numId w:val="7"/>
        </w:numPr>
        <w:jc w:val="both"/>
        <w:rPr>
          <w:rFonts w:ascii="Times New Roman" w:hAnsi="Times New Roman" w:cs="Times New Roman"/>
          <w:sz w:val="24"/>
          <w:szCs w:val="24"/>
        </w:rPr>
      </w:pPr>
      <w:r w:rsidRPr="00D85DCA">
        <w:rPr>
          <w:rFonts w:ascii="Times New Roman" w:hAnsi="Times New Roman" w:cs="Times New Roman"/>
          <w:sz w:val="24"/>
          <w:szCs w:val="24"/>
        </w:rPr>
        <w:lastRenderedPageBreak/>
        <w:t xml:space="preserve">Fan, X., &amp; Mattheis, J. P. (1998). </w:t>
      </w:r>
      <w:proofErr w:type="spellStart"/>
      <w:r w:rsidRPr="00D85DCA">
        <w:rPr>
          <w:rFonts w:ascii="Times New Roman" w:hAnsi="Times New Roman" w:cs="Times New Roman"/>
          <w:sz w:val="24"/>
          <w:szCs w:val="24"/>
        </w:rPr>
        <w:t>BaggingFuji'Apples</w:t>
      </w:r>
      <w:proofErr w:type="spellEnd"/>
      <w:r w:rsidRPr="00D85DCA">
        <w:rPr>
          <w:rFonts w:ascii="Times New Roman" w:hAnsi="Times New Roman" w:cs="Times New Roman"/>
          <w:sz w:val="24"/>
          <w:szCs w:val="24"/>
        </w:rPr>
        <w:t xml:space="preserve"> during fruit development affects </w:t>
      </w:r>
      <w:proofErr w:type="spellStart"/>
      <w:r w:rsidRPr="00D85DCA">
        <w:rPr>
          <w:rFonts w:ascii="Times New Roman" w:hAnsi="Times New Roman" w:cs="Times New Roman"/>
          <w:sz w:val="24"/>
          <w:szCs w:val="24"/>
        </w:rPr>
        <w:t>color</w:t>
      </w:r>
      <w:proofErr w:type="spellEnd"/>
      <w:r w:rsidRPr="00D85DCA">
        <w:rPr>
          <w:rFonts w:ascii="Times New Roman" w:hAnsi="Times New Roman" w:cs="Times New Roman"/>
          <w:sz w:val="24"/>
          <w:szCs w:val="24"/>
        </w:rPr>
        <w:t xml:space="preserve"> development and storage quality. </w:t>
      </w:r>
      <w:proofErr w:type="spellStart"/>
      <w:r w:rsidRPr="00D85DCA">
        <w:rPr>
          <w:rFonts w:ascii="Times New Roman" w:hAnsi="Times New Roman" w:cs="Times New Roman"/>
          <w:i/>
          <w:iCs/>
          <w:sz w:val="24"/>
          <w:szCs w:val="24"/>
        </w:rPr>
        <w:t>HortScience</w:t>
      </w:r>
      <w:proofErr w:type="spellEnd"/>
      <w:r w:rsidRPr="00D85DCA">
        <w:rPr>
          <w:rFonts w:ascii="Times New Roman" w:hAnsi="Times New Roman" w:cs="Times New Roman"/>
          <w:sz w:val="24"/>
          <w:szCs w:val="24"/>
        </w:rPr>
        <w:t>, </w:t>
      </w:r>
      <w:r w:rsidRPr="00D85DCA">
        <w:rPr>
          <w:rFonts w:ascii="Times New Roman" w:hAnsi="Times New Roman" w:cs="Times New Roman"/>
          <w:i/>
          <w:iCs/>
          <w:sz w:val="24"/>
          <w:szCs w:val="24"/>
        </w:rPr>
        <w:t>33</w:t>
      </w:r>
      <w:r w:rsidRPr="00D85DCA">
        <w:rPr>
          <w:rFonts w:ascii="Times New Roman" w:hAnsi="Times New Roman" w:cs="Times New Roman"/>
          <w:sz w:val="24"/>
          <w:szCs w:val="24"/>
        </w:rPr>
        <w:t>(7), 1235-1238.</w:t>
      </w:r>
    </w:p>
    <w:p w14:paraId="6EE3602C" w14:textId="77777777" w:rsidR="00581780" w:rsidRPr="00D85DCA" w:rsidRDefault="00581780" w:rsidP="00D85DCA">
      <w:pPr>
        <w:pStyle w:val="ListParagraph"/>
        <w:numPr>
          <w:ilvl w:val="0"/>
          <w:numId w:val="7"/>
        </w:numPr>
        <w:jc w:val="both"/>
        <w:rPr>
          <w:rFonts w:ascii="Times New Roman" w:hAnsi="Times New Roman" w:cs="Times New Roman"/>
          <w:sz w:val="24"/>
          <w:szCs w:val="24"/>
        </w:rPr>
      </w:pPr>
      <w:proofErr w:type="spellStart"/>
      <w:r w:rsidRPr="00D85DCA">
        <w:rPr>
          <w:rFonts w:ascii="Times New Roman" w:hAnsi="Times New Roman" w:cs="Times New Roman"/>
          <w:sz w:val="24"/>
          <w:szCs w:val="24"/>
        </w:rPr>
        <w:t>Ganry</w:t>
      </w:r>
      <w:proofErr w:type="spellEnd"/>
      <w:r w:rsidRPr="00D85DCA">
        <w:rPr>
          <w:rFonts w:ascii="Times New Roman" w:hAnsi="Times New Roman" w:cs="Times New Roman"/>
          <w:sz w:val="24"/>
          <w:szCs w:val="24"/>
        </w:rPr>
        <w:t xml:space="preserve">, J. (1975). Influence du </w:t>
      </w:r>
      <w:proofErr w:type="spellStart"/>
      <w:r w:rsidRPr="00D85DCA">
        <w:rPr>
          <w:rFonts w:ascii="Times New Roman" w:hAnsi="Times New Roman" w:cs="Times New Roman"/>
          <w:sz w:val="24"/>
          <w:szCs w:val="24"/>
        </w:rPr>
        <w:t>gainage</w:t>
      </w:r>
      <w:proofErr w:type="spellEnd"/>
      <w:r w:rsidRPr="00D85DCA">
        <w:rPr>
          <w:rFonts w:ascii="Times New Roman" w:hAnsi="Times New Roman" w:cs="Times New Roman"/>
          <w:sz w:val="24"/>
          <w:szCs w:val="24"/>
        </w:rPr>
        <w:t xml:space="preserve"> des </w:t>
      </w:r>
      <w:proofErr w:type="spellStart"/>
      <w:r w:rsidRPr="00D85DCA">
        <w:rPr>
          <w:rFonts w:ascii="Times New Roman" w:hAnsi="Times New Roman" w:cs="Times New Roman"/>
          <w:sz w:val="24"/>
          <w:szCs w:val="24"/>
        </w:rPr>
        <w:t>régimes</w:t>
      </w:r>
      <w:proofErr w:type="spellEnd"/>
      <w:r w:rsidRPr="00D85DCA">
        <w:rPr>
          <w:rFonts w:ascii="Times New Roman" w:hAnsi="Times New Roman" w:cs="Times New Roman"/>
          <w:sz w:val="24"/>
          <w:szCs w:val="24"/>
        </w:rPr>
        <w:t xml:space="preserve"> du </w:t>
      </w:r>
      <w:proofErr w:type="spellStart"/>
      <w:r w:rsidRPr="00D85DCA">
        <w:rPr>
          <w:rFonts w:ascii="Times New Roman" w:hAnsi="Times New Roman" w:cs="Times New Roman"/>
          <w:sz w:val="24"/>
          <w:szCs w:val="24"/>
        </w:rPr>
        <w:t>bananier</w:t>
      </w:r>
      <w:proofErr w:type="spellEnd"/>
      <w:r w:rsidRPr="00D85DCA">
        <w:rPr>
          <w:rFonts w:ascii="Times New Roman" w:hAnsi="Times New Roman" w:cs="Times New Roman"/>
          <w:sz w:val="24"/>
          <w:szCs w:val="24"/>
        </w:rPr>
        <w:t xml:space="preserve"> avec </w:t>
      </w:r>
      <w:proofErr w:type="spellStart"/>
      <w:r w:rsidRPr="00D85DCA">
        <w:rPr>
          <w:rFonts w:ascii="Times New Roman" w:hAnsi="Times New Roman" w:cs="Times New Roman"/>
          <w:sz w:val="24"/>
          <w:szCs w:val="24"/>
        </w:rPr>
        <w:t>une</w:t>
      </w:r>
      <w:proofErr w:type="spellEnd"/>
      <w:r w:rsidRPr="00D85DCA">
        <w:rPr>
          <w:rFonts w:ascii="Times New Roman" w:hAnsi="Times New Roman" w:cs="Times New Roman"/>
          <w:sz w:val="24"/>
          <w:szCs w:val="24"/>
        </w:rPr>
        <w:t xml:space="preserve"> </w:t>
      </w:r>
      <w:proofErr w:type="spellStart"/>
      <w:r w:rsidRPr="00D85DCA">
        <w:rPr>
          <w:rFonts w:ascii="Times New Roman" w:hAnsi="Times New Roman" w:cs="Times New Roman"/>
          <w:sz w:val="24"/>
          <w:szCs w:val="24"/>
        </w:rPr>
        <w:t>housse</w:t>
      </w:r>
      <w:proofErr w:type="spellEnd"/>
      <w:r w:rsidRPr="00D85DCA">
        <w:rPr>
          <w:rFonts w:ascii="Times New Roman" w:hAnsi="Times New Roman" w:cs="Times New Roman"/>
          <w:sz w:val="24"/>
          <w:szCs w:val="24"/>
        </w:rPr>
        <w:t xml:space="preserve"> de </w:t>
      </w:r>
      <w:proofErr w:type="spellStart"/>
      <w:r w:rsidRPr="00D85DCA">
        <w:rPr>
          <w:rFonts w:ascii="Times New Roman" w:hAnsi="Times New Roman" w:cs="Times New Roman"/>
          <w:sz w:val="24"/>
          <w:szCs w:val="24"/>
        </w:rPr>
        <w:t>polyéthylène</w:t>
      </w:r>
      <w:proofErr w:type="spellEnd"/>
      <w:r w:rsidRPr="00D85DCA">
        <w:rPr>
          <w:rFonts w:ascii="Times New Roman" w:hAnsi="Times New Roman" w:cs="Times New Roman"/>
          <w:sz w:val="24"/>
          <w:szCs w:val="24"/>
        </w:rPr>
        <w:t xml:space="preserve"> sur la </w:t>
      </w:r>
      <w:proofErr w:type="spellStart"/>
      <w:r w:rsidRPr="00D85DCA">
        <w:rPr>
          <w:rFonts w:ascii="Times New Roman" w:hAnsi="Times New Roman" w:cs="Times New Roman"/>
          <w:sz w:val="24"/>
          <w:szCs w:val="24"/>
        </w:rPr>
        <w:t>température</w:t>
      </w:r>
      <w:proofErr w:type="spellEnd"/>
      <w:r w:rsidRPr="00D85DCA">
        <w:rPr>
          <w:rFonts w:ascii="Times New Roman" w:hAnsi="Times New Roman" w:cs="Times New Roman"/>
          <w:sz w:val="24"/>
          <w:szCs w:val="24"/>
        </w:rPr>
        <w:t xml:space="preserve"> des fruits dans les conditions de </w:t>
      </w:r>
      <w:proofErr w:type="spellStart"/>
      <w:r w:rsidRPr="00D85DCA">
        <w:rPr>
          <w:rFonts w:ascii="Times New Roman" w:hAnsi="Times New Roman" w:cs="Times New Roman"/>
          <w:sz w:val="24"/>
          <w:szCs w:val="24"/>
        </w:rPr>
        <w:t>Neufchateau</w:t>
      </w:r>
      <w:proofErr w:type="spellEnd"/>
      <w:r w:rsidRPr="00D85DCA">
        <w:rPr>
          <w:rFonts w:ascii="Times New Roman" w:hAnsi="Times New Roman" w:cs="Times New Roman"/>
          <w:sz w:val="24"/>
          <w:szCs w:val="24"/>
        </w:rPr>
        <w:t xml:space="preserve"> (Guadeloupe). </w:t>
      </w:r>
      <w:r w:rsidRPr="00D85DCA">
        <w:rPr>
          <w:rFonts w:ascii="Times New Roman" w:hAnsi="Times New Roman" w:cs="Times New Roman"/>
          <w:i/>
          <w:iCs/>
          <w:sz w:val="24"/>
          <w:szCs w:val="24"/>
        </w:rPr>
        <w:t>Fruits</w:t>
      </w:r>
      <w:r w:rsidRPr="00D85DCA">
        <w:rPr>
          <w:rFonts w:ascii="Times New Roman" w:hAnsi="Times New Roman" w:cs="Times New Roman"/>
          <w:sz w:val="24"/>
          <w:szCs w:val="24"/>
        </w:rPr>
        <w:t>, </w:t>
      </w:r>
      <w:r w:rsidRPr="00D85DCA">
        <w:rPr>
          <w:rFonts w:ascii="Times New Roman" w:hAnsi="Times New Roman" w:cs="Times New Roman"/>
          <w:i/>
          <w:iCs/>
          <w:sz w:val="24"/>
          <w:szCs w:val="24"/>
        </w:rPr>
        <w:t>30</w:t>
      </w:r>
      <w:r w:rsidRPr="00D85DCA">
        <w:rPr>
          <w:rFonts w:ascii="Times New Roman" w:hAnsi="Times New Roman" w:cs="Times New Roman"/>
          <w:sz w:val="24"/>
          <w:szCs w:val="24"/>
        </w:rPr>
        <w:t>(12), 735-738.</w:t>
      </w:r>
    </w:p>
    <w:p w14:paraId="23ED7378" w14:textId="77777777" w:rsidR="00581780" w:rsidRPr="00D85DCA" w:rsidRDefault="00581780" w:rsidP="00D85DCA">
      <w:pPr>
        <w:pStyle w:val="ListParagraph"/>
        <w:numPr>
          <w:ilvl w:val="0"/>
          <w:numId w:val="7"/>
        </w:numPr>
        <w:jc w:val="both"/>
        <w:rPr>
          <w:rFonts w:ascii="Times New Roman" w:hAnsi="Times New Roman" w:cs="Times New Roman"/>
          <w:sz w:val="24"/>
          <w:szCs w:val="24"/>
        </w:rPr>
      </w:pPr>
      <w:r w:rsidRPr="00D85DCA">
        <w:rPr>
          <w:rFonts w:ascii="Times New Roman" w:hAnsi="Times New Roman" w:cs="Times New Roman"/>
          <w:sz w:val="24"/>
          <w:szCs w:val="24"/>
        </w:rPr>
        <w:t>Hailu, M., Workneh, T. S., &amp; Belew, D. (2013). Review on postharvest technology of banana fruit. </w:t>
      </w:r>
      <w:r w:rsidRPr="00D85DCA">
        <w:rPr>
          <w:rFonts w:ascii="Times New Roman" w:hAnsi="Times New Roman" w:cs="Times New Roman"/>
          <w:i/>
          <w:iCs/>
          <w:sz w:val="24"/>
          <w:szCs w:val="24"/>
        </w:rPr>
        <w:t>African Journal of Biotechnology</w:t>
      </w:r>
      <w:r w:rsidRPr="00D85DCA">
        <w:rPr>
          <w:rFonts w:ascii="Times New Roman" w:hAnsi="Times New Roman" w:cs="Times New Roman"/>
          <w:sz w:val="24"/>
          <w:szCs w:val="24"/>
        </w:rPr>
        <w:t>, </w:t>
      </w:r>
      <w:r w:rsidRPr="00D85DCA">
        <w:rPr>
          <w:rFonts w:ascii="Times New Roman" w:hAnsi="Times New Roman" w:cs="Times New Roman"/>
          <w:i/>
          <w:iCs/>
          <w:sz w:val="24"/>
          <w:szCs w:val="24"/>
        </w:rPr>
        <w:t>12</w:t>
      </w:r>
      <w:r w:rsidRPr="00D85DCA">
        <w:rPr>
          <w:rFonts w:ascii="Times New Roman" w:hAnsi="Times New Roman" w:cs="Times New Roman"/>
          <w:sz w:val="24"/>
          <w:szCs w:val="24"/>
        </w:rPr>
        <w:t>(7), 635-647.</w:t>
      </w:r>
    </w:p>
    <w:p w14:paraId="67738341" w14:textId="77777777" w:rsidR="00581780" w:rsidRPr="00D85DCA" w:rsidRDefault="00581780" w:rsidP="00D85DCA">
      <w:pPr>
        <w:pStyle w:val="ListParagraph"/>
        <w:numPr>
          <w:ilvl w:val="0"/>
          <w:numId w:val="7"/>
        </w:numPr>
        <w:jc w:val="both"/>
        <w:rPr>
          <w:rFonts w:ascii="Times New Roman" w:hAnsi="Times New Roman" w:cs="Times New Roman"/>
          <w:sz w:val="24"/>
          <w:szCs w:val="24"/>
        </w:rPr>
      </w:pPr>
      <w:r w:rsidRPr="00D85DCA">
        <w:rPr>
          <w:rFonts w:ascii="Times New Roman" w:hAnsi="Times New Roman" w:cs="Times New Roman"/>
          <w:sz w:val="24"/>
          <w:szCs w:val="24"/>
        </w:rPr>
        <w:t>Hewett, E. W. (2006). An overview of preharvest factors influencing postharvest quality of horticultural products. </w:t>
      </w:r>
      <w:r w:rsidRPr="00D85DCA">
        <w:rPr>
          <w:rFonts w:ascii="Times New Roman" w:hAnsi="Times New Roman" w:cs="Times New Roman"/>
          <w:i/>
          <w:iCs/>
          <w:sz w:val="24"/>
          <w:szCs w:val="24"/>
        </w:rPr>
        <w:t>International Journal of Postharvest Technology and Innovation</w:t>
      </w:r>
      <w:r w:rsidRPr="00D85DCA">
        <w:rPr>
          <w:rFonts w:ascii="Times New Roman" w:hAnsi="Times New Roman" w:cs="Times New Roman"/>
          <w:sz w:val="24"/>
          <w:szCs w:val="24"/>
        </w:rPr>
        <w:t>, </w:t>
      </w:r>
      <w:r w:rsidRPr="00D85DCA">
        <w:rPr>
          <w:rFonts w:ascii="Times New Roman" w:hAnsi="Times New Roman" w:cs="Times New Roman"/>
          <w:i/>
          <w:iCs/>
          <w:sz w:val="24"/>
          <w:szCs w:val="24"/>
        </w:rPr>
        <w:t>1</w:t>
      </w:r>
      <w:r w:rsidRPr="00D85DCA">
        <w:rPr>
          <w:rFonts w:ascii="Times New Roman" w:hAnsi="Times New Roman" w:cs="Times New Roman"/>
          <w:sz w:val="24"/>
          <w:szCs w:val="24"/>
        </w:rPr>
        <w:t>(1), 4-15.</w:t>
      </w:r>
    </w:p>
    <w:p w14:paraId="557F4B73" w14:textId="77777777" w:rsidR="00581780" w:rsidRPr="00D85DCA" w:rsidRDefault="00581780" w:rsidP="00D85DCA">
      <w:pPr>
        <w:pStyle w:val="ListParagraph"/>
        <w:numPr>
          <w:ilvl w:val="0"/>
          <w:numId w:val="7"/>
        </w:numPr>
        <w:jc w:val="both"/>
        <w:rPr>
          <w:rFonts w:ascii="Times New Roman" w:hAnsi="Times New Roman" w:cs="Times New Roman"/>
          <w:sz w:val="24"/>
          <w:szCs w:val="24"/>
        </w:rPr>
      </w:pPr>
      <w:r w:rsidRPr="00D85DCA">
        <w:rPr>
          <w:rFonts w:ascii="Times New Roman" w:hAnsi="Times New Roman" w:cs="Times New Roman"/>
          <w:sz w:val="24"/>
          <w:szCs w:val="24"/>
        </w:rPr>
        <w:t xml:space="preserve">Imran, M. A., Rahman, M. H., Islam, M. T., &amp; Hossain, M. S. (2023). Effect of pre-harvest fruit bagging on biotic stresses and postharvest quality of banana. </w:t>
      </w:r>
      <w:r w:rsidRPr="00D85DCA">
        <w:rPr>
          <w:rFonts w:ascii="Times New Roman" w:hAnsi="Times New Roman" w:cs="Times New Roman"/>
          <w:i/>
          <w:iCs/>
          <w:sz w:val="24"/>
          <w:szCs w:val="24"/>
        </w:rPr>
        <w:t>The Journal of Applied Horticulture</w:t>
      </w:r>
      <w:r w:rsidRPr="00D85DCA">
        <w:rPr>
          <w:rFonts w:ascii="Times New Roman" w:hAnsi="Times New Roman" w:cs="Times New Roman"/>
          <w:sz w:val="24"/>
          <w:szCs w:val="24"/>
        </w:rPr>
        <w:t xml:space="preserve">, </w:t>
      </w:r>
      <w:r w:rsidRPr="00D85DCA">
        <w:rPr>
          <w:rFonts w:ascii="Times New Roman" w:hAnsi="Times New Roman" w:cs="Times New Roman"/>
          <w:i/>
          <w:iCs/>
          <w:sz w:val="24"/>
          <w:szCs w:val="24"/>
        </w:rPr>
        <w:t>25</w:t>
      </w:r>
      <w:r w:rsidRPr="00D85DCA">
        <w:rPr>
          <w:rFonts w:ascii="Times New Roman" w:hAnsi="Times New Roman" w:cs="Times New Roman"/>
          <w:sz w:val="24"/>
          <w:szCs w:val="24"/>
        </w:rPr>
        <w:t xml:space="preserve">(2), 194–198. </w:t>
      </w:r>
      <w:hyperlink r:id="rId12" w:tgtFrame="_blank" w:history="1">
        <w:r w:rsidRPr="00D85DCA">
          <w:rPr>
            <w:rStyle w:val="Hyperlink"/>
            <w:rFonts w:ascii="Times New Roman" w:hAnsi="Times New Roman" w:cs="Times New Roman"/>
            <w:sz w:val="24"/>
            <w:szCs w:val="24"/>
          </w:rPr>
          <w:t>https://doi.org/10.37855/jah.2023.v25i02.34</w:t>
        </w:r>
      </w:hyperlink>
      <w:r w:rsidRPr="00D85DCA">
        <w:rPr>
          <w:rFonts w:ascii="Times New Roman" w:hAnsi="Times New Roman" w:cs="Times New Roman"/>
          <w:sz w:val="24"/>
          <w:szCs w:val="24"/>
        </w:rPr>
        <w:t xml:space="preserve"> Cited by: 1</w:t>
      </w:r>
    </w:p>
    <w:p w14:paraId="0F7E57C4" w14:textId="77777777" w:rsidR="00581780" w:rsidRPr="00D85DCA" w:rsidRDefault="00581780" w:rsidP="00D85DCA">
      <w:pPr>
        <w:pStyle w:val="ListParagraph"/>
        <w:numPr>
          <w:ilvl w:val="0"/>
          <w:numId w:val="7"/>
        </w:numPr>
        <w:jc w:val="both"/>
        <w:rPr>
          <w:rFonts w:ascii="Times New Roman" w:hAnsi="Times New Roman" w:cs="Times New Roman"/>
          <w:sz w:val="24"/>
          <w:szCs w:val="24"/>
        </w:rPr>
      </w:pPr>
      <w:r w:rsidRPr="00D85DCA">
        <w:rPr>
          <w:rFonts w:ascii="Times New Roman" w:hAnsi="Times New Roman" w:cs="Times New Roman"/>
          <w:sz w:val="24"/>
          <w:szCs w:val="24"/>
        </w:rPr>
        <w:t>Johns, G. G. (1996). Effects of bunch trimming and double bunch covering on yield of bananas during winter in New South Wales. </w:t>
      </w:r>
      <w:r w:rsidRPr="00D85DCA">
        <w:rPr>
          <w:rFonts w:ascii="Times New Roman" w:hAnsi="Times New Roman" w:cs="Times New Roman"/>
          <w:i/>
          <w:iCs/>
          <w:sz w:val="24"/>
          <w:szCs w:val="24"/>
        </w:rPr>
        <w:t>Australian Journal of Experimental Agriculture</w:t>
      </w:r>
      <w:r w:rsidRPr="00D85DCA">
        <w:rPr>
          <w:rFonts w:ascii="Times New Roman" w:hAnsi="Times New Roman" w:cs="Times New Roman"/>
          <w:sz w:val="24"/>
          <w:szCs w:val="24"/>
        </w:rPr>
        <w:t>, </w:t>
      </w:r>
      <w:r w:rsidRPr="00D85DCA">
        <w:rPr>
          <w:rFonts w:ascii="Times New Roman" w:hAnsi="Times New Roman" w:cs="Times New Roman"/>
          <w:i/>
          <w:iCs/>
          <w:sz w:val="24"/>
          <w:szCs w:val="24"/>
        </w:rPr>
        <w:t>36</w:t>
      </w:r>
      <w:r w:rsidRPr="00D85DCA">
        <w:rPr>
          <w:rFonts w:ascii="Times New Roman" w:hAnsi="Times New Roman" w:cs="Times New Roman"/>
          <w:sz w:val="24"/>
          <w:szCs w:val="24"/>
        </w:rPr>
        <w:t>(2), 229-235.</w:t>
      </w:r>
    </w:p>
    <w:p w14:paraId="7CF9BDA3" w14:textId="77777777" w:rsidR="00581780" w:rsidRPr="00D85DCA" w:rsidRDefault="00581780" w:rsidP="00D85DCA">
      <w:pPr>
        <w:pStyle w:val="ListParagraph"/>
        <w:numPr>
          <w:ilvl w:val="0"/>
          <w:numId w:val="7"/>
        </w:numPr>
        <w:jc w:val="both"/>
        <w:rPr>
          <w:rFonts w:ascii="Times New Roman" w:hAnsi="Times New Roman" w:cs="Times New Roman"/>
          <w:sz w:val="24"/>
          <w:szCs w:val="24"/>
        </w:rPr>
      </w:pPr>
      <w:r w:rsidRPr="00D85DCA">
        <w:rPr>
          <w:rFonts w:ascii="Times New Roman" w:hAnsi="Times New Roman" w:cs="Times New Roman"/>
          <w:sz w:val="24"/>
          <w:szCs w:val="24"/>
        </w:rPr>
        <w:t xml:space="preserve">Johns, G. G., &amp; Scott, K. J. (1989). Delayed harvesting of bananas </w:t>
      </w:r>
      <w:proofErr w:type="spellStart"/>
      <w:r w:rsidRPr="00D85DCA">
        <w:rPr>
          <w:rFonts w:ascii="Times New Roman" w:hAnsi="Times New Roman" w:cs="Times New Roman"/>
          <w:sz w:val="24"/>
          <w:szCs w:val="24"/>
        </w:rPr>
        <w:t>with'sealed'covers</w:t>
      </w:r>
      <w:proofErr w:type="spellEnd"/>
      <w:r w:rsidRPr="00D85DCA">
        <w:rPr>
          <w:rFonts w:ascii="Times New Roman" w:hAnsi="Times New Roman" w:cs="Times New Roman"/>
          <w:sz w:val="24"/>
          <w:szCs w:val="24"/>
        </w:rPr>
        <w:t xml:space="preserve"> on bunches. 1. Modified atmosphere and microclimate inside sealed covers. </w:t>
      </w:r>
      <w:r w:rsidRPr="00D85DCA">
        <w:rPr>
          <w:rFonts w:ascii="Times New Roman" w:hAnsi="Times New Roman" w:cs="Times New Roman"/>
          <w:i/>
          <w:iCs/>
          <w:sz w:val="24"/>
          <w:szCs w:val="24"/>
        </w:rPr>
        <w:t>Australian Journal of Experimental Agriculture</w:t>
      </w:r>
      <w:r w:rsidRPr="00D85DCA">
        <w:rPr>
          <w:rFonts w:ascii="Times New Roman" w:hAnsi="Times New Roman" w:cs="Times New Roman"/>
          <w:sz w:val="24"/>
          <w:szCs w:val="24"/>
        </w:rPr>
        <w:t>, </w:t>
      </w:r>
      <w:r w:rsidRPr="00D85DCA">
        <w:rPr>
          <w:rFonts w:ascii="Times New Roman" w:hAnsi="Times New Roman" w:cs="Times New Roman"/>
          <w:i/>
          <w:iCs/>
          <w:sz w:val="24"/>
          <w:szCs w:val="24"/>
        </w:rPr>
        <w:t>29</w:t>
      </w:r>
      <w:r w:rsidRPr="00D85DCA">
        <w:rPr>
          <w:rFonts w:ascii="Times New Roman" w:hAnsi="Times New Roman" w:cs="Times New Roman"/>
          <w:sz w:val="24"/>
          <w:szCs w:val="24"/>
        </w:rPr>
        <w:t>(5), 719-726.</w:t>
      </w:r>
    </w:p>
    <w:p w14:paraId="13ED0257" w14:textId="77777777" w:rsidR="00581780" w:rsidRPr="00D85DCA" w:rsidRDefault="00581780" w:rsidP="00D85DCA">
      <w:pPr>
        <w:pStyle w:val="ListParagraph"/>
        <w:numPr>
          <w:ilvl w:val="0"/>
          <w:numId w:val="7"/>
        </w:numPr>
        <w:jc w:val="both"/>
        <w:rPr>
          <w:rFonts w:ascii="Times New Roman" w:hAnsi="Times New Roman" w:cs="Times New Roman"/>
          <w:sz w:val="24"/>
          <w:szCs w:val="24"/>
        </w:rPr>
      </w:pPr>
      <w:r w:rsidRPr="00D85DCA">
        <w:rPr>
          <w:rFonts w:ascii="Times New Roman" w:hAnsi="Times New Roman" w:cs="Times New Roman"/>
          <w:sz w:val="24"/>
          <w:szCs w:val="24"/>
        </w:rPr>
        <w:t>Lima, J. D., Engelking, E. W., Rozane, D. E., Gomes, E. N., Silva, S. H. M. G. d., &amp; Kluge, R. A. (2020). Effect of bunch protection material and bagging time on the yield of '</w:t>
      </w:r>
      <w:proofErr w:type="spellStart"/>
      <w:r w:rsidRPr="00D85DCA">
        <w:rPr>
          <w:rFonts w:ascii="Times New Roman" w:hAnsi="Times New Roman" w:cs="Times New Roman"/>
          <w:sz w:val="24"/>
          <w:szCs w:val="24"/>
        </w:rPr>
        <w:t>Nanica</w:t>
      </w:r>
      <w:proofErr w:type="spellEnd"/>
      <w:r w:rsidRPr="00D85DCA">
        <w:rPr>
          <w:rFonts w:ascii="Times New Roman" w:hAnsi="Times New Roman" w:cs="Times New Roman"/>
          <w:sz w:val="24"/>
          <w:szCs w:val="24"/>
        </w:rPr>
        <w:t xml:space="preserve">' banana and chilling control. </w:t>
      </w:r>
      <w:r w:rsidRPr="00D85DCA">
        <w:rPr>
          <w:rFonts w:ascii="Times New Roman" w:hAnsi="Times New Roman" w:cs="Times New Roman"/>
          <w:i/>
          <w:iCs/>
          <w:sz w:val="24"/>
          <w:szCs w:val="24"/>
        </w:rPr>
        <w:t>Australian Journal of Crop Science</w:t>
      </w:r>
      <w:r w:rsidRPr="00D85DCA">
        <w:rPr>
          <w:rFonts w:ascii="Times New Roman" w:hAnsi="Times New Roman" w:cs="Times New Roman"/>
          <w:sz w:val="24"/>
          <w:szCs w:val="24"/>
        </w:rPr>
        <w:t xml:space="preserve">, 574–580. </w:t>
      </w:r>
      <w:hyperlink r:id="rId13" w:tgtFrame="_blank" w:history="1">
        <w:r w:rsidRPr="00D85DCA">
          <w:rPr>
            <w:rStyle w:val="Hyperlink"/>
            <w:rFonts w:ascii="Times New Roman" w:hAnsi="Times New Roman" w:cs="Times New Roman"/>
            <w:sz w:val="24"/>
            <w:szCs w:val="24"/>
          </w:rPr>
          <w:t>https://doi.org/10.21475/ajcs.20.14.04.p1909</w:t>
        </w:r>
      </w:hyperlink>
      <w:r w:rsidRPr="00D85DCA">
        <w:rPr>
          <w:rFonts w:ascii="Times New Roman" w:hAnsi="Times New Roman" w:cs="Times New Roman"/>
          <w:sz w:val="24"/>
          <w:szCs w:val="24"/>
        </w:rPr>
        <w:t xml:space="preserve"> Cited by: 11</w:t>
      </w:r>
    </w:p>
    <w:p w14:paraId="067F7B48" w14:textId="77777777" w:rsidR="00581780" w:rsidRPr="00D85DCA" w:rsidRDefault="00581780" w:rsidP="00D85DCA">
      <w:pPr>
        <w:pStyle w:val="ListParagraph"/>
        <w:numPr>
          <w:ilvl w:val="0"/>
          <w:numId w:val="7"/>
        </w:numPr>
        <w:jc w:val="both"/>
        <w:rPr>
          <w:rFonts w:ascii="Times New Roman" w:hAnsi="Times New Roman" w:cs="Times New Roman"/>
          <w:sz w:val="24"/>
          <w:szCs w:val="24"/>
        </w:rPr>
      </w:pPr>
      <w:r w:rsidRPr="00D85DCA">
        <w:rPr>
          <w:rFonts w:ascii="Times New Roman" w:hAnsi="Times New Roman" w:cs="Times New Roman"/>
          <w:sz w:val="24"/>
          <w:szCs w:val="24"/>
        </w:rPr>
        <w:t xml:space="preserve">Sant'Anna Cordeiro da Silva, M., Leonel, S., Arruda Ferreira, A. F., </w:t>
      </w:r>
      <w:proofErr w:type="spellStart"/>
      <w:r w:rsidRPr="00D85DCA">
        <w:rPr>
          <w:rFonts w:ascii="Times New Roman" w:hAnsi="Times New Roman" w:cs="Times New Roman"/>
          <w:sz w:val="24"/>
          <w:szCs w:val="24"/>
        </w:rPr>
        <w:t>Mirellys</w:t>
      </w:r>
      <w:proofErr w:type="spellEnd"/>
      <w:r w:rsidRPr="00D85DCA">
        <w:rPr>
          <w:rFonts w:ascii="Times New Roman" w:hAnsi="Times New Roman" w:cs="Times New Roman"/>
          <w:sz w:val="24"/>
          <w:szCs w:val="24"/>
        </w:rPr>
        <w:t xml:space="preserve"> </w:t>
      </w:r>
      <w:proofErr w:type="spellStart"/>
      <w:r w:rsidRPr="00D85DCA">
        <w:rPr>
          <w:rFonts w:ascii="Times New Roman" w:hAnsi="Times New Roman" w:cs="Times New Roman"/>
          <w:sz w:val="24"/>
          <w:szCs w:val="24"/>
        </w:rPr>
        <w:t>Azevêdo</w:t>
      </w:r>
      <w:proofErr w:type="spellEnd"/>
      <w:r w:rsidRPr="00D85DCA">
        <w:rPr>
          <w:rFonts w:ascii="Times New Roman" w:hAnsi="Times New Roman" w:cs="Times New Roman"/>
          <w:sz w:val="24"/>
          <w:szCs w:val="24"/>
        </w:rPr>
        <w:t xml:space="preserve"> Souza, J., Almeida de Oliveira Junior, M., </w:t>
      </w:r>
      <w:proofErr w:type="spellStart"/>
      <w:r w:rsidRPr="00D85DCA">
        <w:rPr>
          <w:rFonts w:ascii="Times New Roman" w:hAnsi="Times New Roman" w:cs="Times New Roman"/>
          <w:sz w:val="24"/>
          <w:szCs w:val="24"/>
        </w:rPr>
        <w:t>Calsavara</w:t>
      </w:r>
      <w:proofErr w:type="spellEnd"/>
      <w:r w:rsidRPr="00D85DCA">
        <w:rPr>
          <w:rFonts w:ascii="Times New Roman" w:hAnsi="Times New Roman" w:cs="Times New Roman"/>
          <w:sz w:val="24"/>
          <w:szCs w:val="24"/>
        </w:rPr>
        <w:t xml:space="preserve"> Martins, R., Bibiano Ferreira, R., &amp; De Souza Silva, M. (2022). Banana bunch cover: evaluation of promising bag materials. </w:t>
      </w:r>
      <w:proofErr w:type="spellStart"/>
      <w:r w:rsidRPr="00D85DCA">
        <w:rPr>
          <w:rFonts w:ascii="Times New Roman" w:hAnsi="Times New Roman" w:cs="Times New Roman"/>
          <w:i/>
          <w:iCs/>
          <w:sz w:val="24"/>
          <w:szCs w:val="24"/>
        </w:rPr>
        <w:t>Comunicata</w:t>
      </w:r>
      <w:proofErr w:type="spellEnd"/>
      <w:r w:rsidRPr="00D85DCA">
        <w:rPr>
          <w:rFonts w:ascii="Times New Roman" w:hAnsi="Times New Roman" w:cs="Times New Roman"/>
          <w:i/>
          <w:iCs/>
          <w:sz w:val="24"/>
          <w:szCs w:val="24"/>
        </w:rPr>
        <w:t xml:space="preserve"> Scientiae</w:t>
      </w:r>
      <w:r w:rsidRPr="00D85DCA">
        <w:rPr>
          <w:rFonts w:ascii="Times New Roman" w:hAnsi="Times New Roman" w:cs="Times New Roman"/>
          <w:sz w:val="24"/>
          <w:szCs w:val="24"/>
        </w:rPr>
        <w:t xml:space="preserve">, </w:t>
      </w:r>
      <w:r w:rsidRPr="00D85DCA">
        <w:rPr>
          <w:rFonts w:ascii="Times New Roman" w:hAnsi="Times New Roman" w:cs="Times New Roman"/>
          <w:i/>
          <w:iCs/>
          <w:sz w:val="24"/>
          <w:szCs w:val="24"/>
        </w:rPr>
        <w:t>13</w:t>
      </w:r>
      <w:r w:rsidRPr="00D85DCA">
        <w:rPr>
          <w:rFonts w:ascii="Times New Roman" w:hAnsi="Times New Roman" w:cs="Times New Roman"/>
          <w:sz w:val="24"/>
          <w:szCs w:val="24"/>
        </w:rPr>
        <w:t xml:space="preserve">, e3741. </w:t>
      </w:r>
      <w:hyperlink r:id="rId14" w:tgtFrame="_blank" w:history="1">
        <w:r w:rsidRPr="00D85DCA">
          <w:rPr>
            <w:rStyle w:val="Hyperlink"/>
            <w:rFonts w:ascii="Times New Roman" w:hAnsi="Times New Roman" w:cs="Times New Roman"/>
            <w:sz w:val="24"/>
            <w:szCs w:val="24"/>
          </w:rPr>
          <w:t>https://doi.org/10.14295/cs.v13.3741</w:t>
        </w:r>
      </w:hyperlink>
      <w:r w:rsidRPr="00D85DCA">
        <w:rPr>
          <w:rFonts w:ascii="Times New Roman" w:hAnsi="Times New Roman" w:cs="Times New Roman"/>
          <w:sz w:val="24"/>
          <w:szCs w:val="24"/>
        </w:rPr>
        <w:t xml:space="preserve"> Cited by: 2</w:t>
      </w:r>
    </w:p>
    <w:p w14:paraId="63A92B0F" w14:textId="77777777" w:rsidR="00581780" w:rsidRPr="00D85DCA" w:rsidRDefault="00581780" w:rsidP="00D85DCA">
      <w:pPr>
        <w:pStyle w:val="ListParagraph"/>
        <w:numPr>
          <w:ilvl w:val="0"/>
          <w:numId w:val="7"/>
        </w:numPr>
        <w:jc w:val="both"/>
        <w:rPr>
          <w:rFonts w:ascii="Times New Roman" w:hAnsi="Times New Roman" w:cs="Times New Roman"/>
          <w:sz w:val="24"/>
          <w:szCs w:val="24"/>
        </w:rPr>
      </w:pPr>
      <w:r w:rsidRPr="00D85DCA">
        <w:rPr>
          <w:rFonts w:ascii="Times New Roman" w:hAnsi="Times New Roman" w:cs="Times New Roman"/>
          <w:sz w:val="24"/>
          <w:szCs w:val="24"/>
        </w:rPr>
        <w:t>Santosh, D. T., Tiwari, K. N., &amp; Reddy, R. G. (2017). Banana bunch covers for quality banana production-a review. </w:t>
      </w:r>
      <w:r w:rsidRPr="00D85DCA">
        <w:rPr>
          <w:rFonts w:ascii="Times New Roman" w:hAnsi="Times New Roman" w:cs="Times New Roman"/>
          <w:i/>
          <w:iCs/>
          <w:sz w:val="24"/>
          <w:szCs w:val="24"/>
        </w:rPr>
        <w:t xml:space="preserve">Int. J. Curr. </w:t>
      </w:r>
      <w:proofErr w:type="spellStart"/>
      <w:r w:rsidRPr="00D85DCA">
        <w:rPr>
          <w:rFonts w:ascii="Times New Roman" w:hAnsi="Times New Roman" w:cs="Times New Roman"/>
          <w:i/>
          <w:iCs/>
          <w:sz w:val="24"/>
          <w:szCs w:val="24"/>
        </w:rPr>
        <w:t>Microbiol</w:t>
      </w:r>
      <w:proofErr w:type="spellEnd"/>
      <w:r w:rsidRPr="00D85DCA">
        <w:rPr>
          <w:rFonts w:ascii="Times New Roman" w:hAnsi="Times New Roman" w:cs="Times New Roman"/>
          <w:i/>
          <w:iCs/>
          <w:sz w:val="24"/>
          <w:szCs w:val="24"/>
        </w:rPr>
        <w:t>. Appl. Sci</w:t>
      </w:r>
      <w:r w:rsidRPr="00D85DCA">
        <w:rPr>
          <w:rFonts w:ascii="Times New Roman" w:hAnsi="Times New Roman" w:cs="Times New Roman"/>
          <w:sz w:val="24"/>
          <w:szCs w:val="24"/>
        </w:rPr>
        <w:t>, </w:t>
      </w:r>
      <w:r w:rsidRPr="00D85DCA">
        <w:rPr>
          <w:rFonts w:ascii="Times New Roman" w:hAnsi="Times New Roman" w:cs="Times New Roman"/>
          <w:i/>
          <w:iCs/>
          <w:sz w:val="24"/>
          <w:szCs w:val="24"/>
        </w:rPr>
        <w:t>6</w:t>
      </w:r>
      <w:r w:rsidRPr="00D85DCA">
        <w:rPr>
          <w:rFonts w:ascii="Times New Roman" w:hAnsi="Times New Roman" w:cs="Times New Roman"/>
          <w:sz w:val="24"/>
          <w:szCs w:val="24"/>
        </w:rPr>
        <w:t>(7), 1275-1291.</w:t>
      </w:r>
    </w:p>
    <w:p w14:paraId="6BE5B73D" w14:textId="77777777" w:rsidR="00581780" w:rsidRPr="00D85DCA" w:rsidRDefault="00581780" w:rsidP="00D85DCA">
      <w:pPr>
        <w:pStyle w:val="ListParagraph"/>
        <w:numPr>
          <w:ilvl w:val="0"/>
          <w:numId w:val="7"/>
        </w:numPr>
        <w:jc w:val="both"/>
        <w:rPr>
          <w:rFonts w:ascii="Times New Roman" w:hAnsi="Times New Roman" w:cs="Times New Roman"/>
          <w:sz w:val="24"/>
          <w:szCs w:val="24"/>
        </w:rPr>
      </w:pPr>
      <w:r w:rsidRPr="00D85DCA">
        <w:rPr>
          <w:rFonts w:ascii="Times New Roman" w:hAnsi="Times New Roman" w:cs="Times New Roman"/>
          <w:sz w:val="24"/>
          <w:szCs w:val="24"/>
        </w:rPr>
        <w:t>Shewfelt, R. L. (2014). Measuring quality and maturity. In </w:t>
      </w:r>
      <w:r w:rsidRPr="00D85DCA">
        <w:rPr>
          <w:rFonts w:ascii="Times New Roman" w:hAnsi="Times New Roman" w:cs="Times New Roman"/>
          <w:i/>
          <w:iCs/>
          <w:sz w:val="24"/>
          <w:szCs w:val="24"/>
        </w:rPr>
        <w:t>Postharvest handling</w:t>
      </w:r>
      <w:r w:rsidRPr="00D85DCA">
        <w:rPr>
          <w:rFonts w:ascii="Times New Roman" w:hAnsi="Times New Roman" w:cs="Times New Roman"/>
          <w:sz w:val="24"/>
          <w:szCs w:val="24"/>
        </w:rPr>
        <w:t> (pp. 387-410). Academic Press.</w:t>
      </w:r>
    </w:p>
    <w:p w14:paraId="66B3825D" w14:textId="77777777" w:rsidR="00581780" w:rsidRPr="00D85DCA" w:rsidRDefault="00581780" w:rsidP="00D85DCA">
      <w:pPr>
        <w:pStyle w:val="ListParagraph"/>
        <w:numPr>
          <w:ilvl w:val="0"/>
          <w:numId w:val="7"/>
        </w:numPr>
        <w:jc w:val="both"/>
        <w:rPr>
          <w:rFonts w:ascii="Times New Roman" w:hAnsi="Times New Roman" w:cs="Times New Roman"/>
          <w:sz w:val="24"/>
          <w:szCs w:val="24"/>
        </w:rPr>
      </w:pPr>
      <w:r w:rsidRPr="00D85DCA">
        <w:rPr>
          <w:rFonts w:ascii="Times New Roman" w:hAnsi="Times New Roman" w:cs="Times New Roman"/>
          <w:sz w:val="24"/>
          <w:szCs w:val="24"/>
        </w:rPr>
        <w:t>Snowden, A.L. 2010. A colour atlas of postharvest disease and disorders of fruits and vegetables. introductions and Vol. 1, fruits. General Manson Publishing Ltd. UK.</w:t>
      </w:r>
    </w:p>
    <w:p w14:paraId="0F9D1682" w14:textId="77777777" w:rsidR="00581780" w:rsidRPr="00D85DCA" w:rsidRDefault="00581780" w:rsidP="00D85DCA">
      <w:pPr>
        <w:pStyle w:val="ListParagraph"/>
        <w:numPr>
          <w:ilvl w:val="0"/>
          <w:numId w:val="7"/>
        </w:numPr>
        <w:jc w:val="both"/>
        <w:rPr>
          <w:rFonts w:ascii="Times New Roman" w:hAnsi="Times New Roman" w:cs="Times New Roman"/>
          <w:sz w:val="24"/>
          <w:szCs w:val="24"/>
        </w:rPr>
      </w:pPr>
      <w:r w:rsidRPr="00D85DCA">
        <w:rPr>
          <w:rFonts w:ascii="Times New Roman" w:hAnsi="Times New Roman" w:cs="Times New Roman"/>
          <w:sz w:val="24"/>
          <w:szCs w:val="24"/>
        </w:rPr>
        <w:t xml:space="preserve">Soto, M. (2010). </w:t>
      </w:r>
      <w:proofErr w:type="spellStart"/>
      <w:r w:rsidRPr="00D85DCA">
        <w:rPr>
          <w:rFonts w:ascii="Times New Roman" w:hAnsi="Times New Roman" w:cs="Times New Roman"/>
          <w:sz w:val="24"/>
          <w:szCs w:val="24"/>
        </w:rPr>
        <w:t>Banano</w:t>
      </w:r>
      <w:proofErr w:type="spellEnd"/>
      <w:r w:rsidRPr="00D85DCA">
        <w:rPr>
          <w:rFonts w:ascii="Times New Roman" w:hAnsi="Times New Roman" w:cs="Times New Roman"/>
          <w:sz w:val="24"/>
          <w:szCs w:val="24"/>
        </w:rPr>
        <w:t xml:space="preserve">: </w:t>
      </w:r>
      <w:proofErr w:type="spellStart"/>
      <w:r w:rsidRPr="00D85DCA">
        <w:rPr>
          <w:rFonts w:ascii="Times New Roman" w:hAnsi="Times New Roman" w:cs="Times New Roman"/>
          <w:sz w:val="24"/>
          <w:szCs w:val="24"/>
        </w:rPr>
        <w:t>Tecnologias</w:t>
      </w:r>
      <w:proofErr w:type="spellEnd"/>
      <w:r w:rsidRPr="00D85DCA">
        <w:rPr>
          <w:rFonts w:ascii="Times New Roman" w:hAnsi="Times New Roman" w:cs="Times New Roman"/>
          <w:sz w:val="24"/>
          <w:szCs w:val="24"/>
        </w:rPr>
        <w:t xml:space="preserve"> de </w:t>
      </w:r>
      <w:proofErr w:type="spellStart"/>
      <w:r w:rsidRPr="00D85DCA">
        <w:rPr>
          <w:rFonts w:ascii="Times New Roman" w:hAnsi="Times New Roman" w:cs="Times New Roman"/>
          <w:sz w:val="24"/>
          <w:szCs w:val="24"/>
        </w:rPr>
        <w:t>producción</w:t>
      </w:r>
      <w:proofErr w:type="spellEnd"/>
      <w:r w:rsidRPr="00D85DCA">
        <w:rPr>
          <w:rFonts w:ascii="Times New Roman" w:hAnsi="Times New Roman" w:cs="Times New Roman"/>
          <w:sz w:val="24"/>
          <w:szCs w:val="24"/>
        </w:rPr>
        <w:t xml:space="preserve">, </w:t>
      </w:r>
      <w:proofErr w:type="spellStart"/>
      <w:r w:rsidRPr="00D85DCA">
        <w:rPr>
          <w:rFonts w:ascii="Times New Roman" w:hAnsi="Times New Roman" w:cs="Times New Roman"/>
          <w:sz w:val="24"/>
          <w:szCs w:val="24"/>
        </w:rPr>
        <w:t>Tomo</w:t>
      </w:r>
      <w:proofErr w:type="spellEnd"/>
      <w:r w:rsidRPr="00D85DCA">
        <w:rPr>
          <w:rFonts w:ascii="Times New Roman" w:hAnsi="Times New Roman" w:cs="Times New Roman"/>
          <w:sz w:val="24"/>
          <w:szCs w:val="24"/>
        </w:rPr>
        <w:t xml:space="preserve"> II. </w:t>
      </w:r>
      <w:r w:rsidRPr="00D85DCA">
        <w:rPr>
          <w:rFonts w:ascii="Times New Roman" w:hAnsi="Times New Roman" w:cs="Times New Roman"/>
          <w:i/>
          <w:iCs/>
          <w:sz w:val="24"/>
          <w:szCs w:val="24"/>
        </w:rPr>
        <w:t>Costa Rica</w:t>
      </w:r>
      <w:r w:rsidRPr="00D85DCA">
        <w:rPr>
          <w:rFonts w:ascii="Times New Roman" w:hAnsi="Times New Roman" w:cs="Times New Roman"/>
          <w:sz w:val="24"/>
          <w:szCs w:val="24"/>
        </w:rPr>
        <w:t>.</w:t>
      </w:r>
    </w:p>
    <w:p w14:paraId="18754236" w14:textId="77777777" w:rsidR="00581780" w:rsidRDefault="00581780" w:rsidP="00D85DCA">
      <w:pPr>
        <w:pStyle w:val="NormalWeb"/>
        <w:numPr>
          <w:ilvl w:val="0"/>
          <w:numId w:val="7"/>
        </w:numPr>
        <w:spacing w:before="0" w:beforeAutospacing="0" w:after="0" w:afterAutospacing="0"/>
      </w:pPr>
      <w:r w:rsidRPr="008B3BAA">
        <w:t xml:space="preserve">Thakare, U. G., &amp; Ingle, P. O. (2007). A scale to measure socio-economic status of farmers in Vidarbha region. </w:t>
      </w:r>
      <w:r w:rsidRPr="008B3BAA">
        <w:rPr>
          <w:rStyle w:val="Emphasis"/>
        </w:rPr>
        <w:t>PKV Research Journal, 31</w:t>
      </w:r>
      <w:r w:rsidRPr="008B3BAA">
        <w:t>(2), 65–70.</w:t>
      </w:r>
    </w:p>
    <w:p w14:paraId="6579C1F2" w14:textId="77777777" w:rsidR="00581780" w:rsidRPr="008B3BAA" w:rsidRDefault="00581780" w:rsidP="00D85DCA">
      <w:pPr>
        <w:pStyle w:val="NormalWeb"/>
        <w:numPr>
          <w:ilvl w:val="0"/>
          <w:numId w:val="7"/>
        </w:numPr>
        <w:spacing w:before="0" w:beforeAutospacing="0" w:after="0" w:afterAutospacing="0"/>
      </w:pPr>
      <w:r w:rsidRPr="00D07CD2">
        <w:t>UG Thakare. Attributers of the technologies intervened through frontline demonstrations. Int J Agric Extension Social Dev 2025;8(9):170-175. DOI: </w:t>
      </w:r>
      <w:hyperlink r:id="rId15" w:tgtFrame="_blank" w:history="1">
        <w:r w:rsidRPr="00D07CD2">
          <w:rPr>
            <w:rStyle w:val="Hyperlink"/>
          </w:rPr>
          <w:t>10.33545/26180723.2025.v8.i9c.2394</w:t>
        </w:r>
      </w:hyperlink>
    </w:p>
    <w:p w14:paraId="0B1240D3" w14:textId="77777777" w:rsidR="00581780" w:rsidRPr="00D85DCA" w:rsidRDefault="00581780" w:rsidP="00D85DCA">
      <w:pPr>
        <w:pStyle w:val="ListParagraph"/>
        <w:numPr>
          <w:ilvl w:val="0"/>
          <w:numId w:val="7"/>
        </w:numPr>
        <w:jc w:val="both"/>
        <w:rPr>
          <w:rFonts w:ascii="Times New Roman" w:hAnsi="Times New Roman" w:cs="Times New Roman"/>
          <w:sz w:val="24"/>
          <w:szCs w:val="24"/>
        </w:rPr>
      </w:pPr>
      <w:r w:rsidRPr="00D85DCA">
        <w:rPr>
          <w:rFonts w:ascii="Times New Roman" w:hAnsi="Times New Roman" w:cs="Times New Roman"/>
          <w:sz w:val="24"/>
          <w:szCs w:val="24"/>
        </w:rPr>
        <w:t xml:space="preserve">Weerasinghe, S. S., &amp; </w:t>
      </w:r>
      <w:proofErr w:type="spellStart"/>
      <w:r w:rsidRPr="00D85DCA">
        <w:rPr>
          <w:rFonts w:ascii="Times New Roman" w:hAnsi="Times New Roman" w:cs="Times New Roman"/>
          <w:sz w:val="24"/>
          <w:szCs w:val="24"/>
        </w:rPr>
        <w:t>Ruwanpathirana</w:t>
      </w:r>
      <w:proofErr w:type="spellEnd"/>
      <w:r w:rsidRPr="00D85DCA">
        <w:rPr>
          <w:rFonts w:ascii="Times New Roman" w:hAnsi="Times New Roman" w:cs="Times New Roman"/>
          <w:sz w:val="24"/>
          <w:szCs w:val="24"/>
        </w:rPr>
        <w:t>, K. H. (2002). Influence of bagging material on bunch development of banana (Musa spp.) under high density planting system. </w:t>
      </w:r>
      <w:r w:rsidRPr="00D85DCA">
        <w:rPr>
          <w:rFonts w:ascii="Times New Roman" w:hAnsi="Times New Roman" w:cs="Times New Roman"/>
          <w:i/>
          <w:iCs/>
          <w:sz w:val="24"/>
          <w:szCs w:val="24"/>
        </w:rPr>
        <w:t>Annals of Sri Lanka Department of Agriculture</w:t>
      </w:r>
      <w:r w:rsidRPr="00D85DCA">
        <w:rPr>
          <w:rFonts w:ascii="Times New Roman" w:hAnsi="Times New Roman" w:cs="Times New Roman"/>
          <w:sz w:val="24"/>
          <w:szCs w:val="24"/>
        </w:rPr>
        <w:t>, </w:t>
      </w:r>
      <w:r w:rsidRPr="00D85DCA">
        <w:rPr>
          <w:rFonts w:ascii="Times New Roman" w:hAnsi="Times New Roman" w:cs="Times New Roman"/>
          <w:i/>
          <w:iCs/>
          <w:sz w:val="24"/>
          <w:szCs w:val="24"/>
        </w:rPr>
        <w:t>4</w:t>
      </w:r>
      <w:r w:rsidRPr="00D85DCA">
        <w:rPr>
          <w:rFonts w:ascii="Times New Roman" w:hAnsi="Times New Roman" w:cs="Times New Roman"/>
          <w:sz w:val="24"/>
          <w:szCs w:val="24"/>
        </w:rPr>
        <w:t>, 47-53.</w:t>
      </w:r>
    </w:p>
    <w:bookmarkEnd w:id="1"/>
    <w:p w14:paraId="1A1D0A33" w14:textId="77777777" w:rsidR="00581780" w:rsidRDefault="00581780" w:rsidP="002D29FF">
      <w:pPr>
        <w:ind w:left="1134" w:hanging="1134"/>
        <w:jc w:val="both"/>
        <w:rPr>
          <w:rFonts w:ascii="Times New Roman" w:hAnsi="Times New Roman" w:cs="Times New Roman"/>
          <w:sz w:val="24"/>
          <w:szCs w:val="24"/>
        </w:rPr>
      </w:pPr>
    </w:p>
    <w:p w14:paraId="611056D7" w14:textId="77777777" w:rsidR="00FA064C" w:rsidRPr="007F099A" w:rsidRDefault="00FA064C" w:rsidP="002D29FF">
      <w:pPr>
        <w:ind w:left="1134" w:hanging="1134"/>
        <w:jc w:val="both"/>
        <w:rPr>
          <w:rFonts w:ascii="Times New Roman" w:hAnsi="Times New Roman" w:cs="Times New Roman"/>
          <w:sz w:val="24"/>
          <w:szCs w:val="24"/>
        </w:rPr>
      </w:pPr>
    </w:p>
    <w:sectPr w:rsidR="00FA064C" w:rsidRPr="007F099A">
      <w:headerReference w:type="even" r:id="rId16"/>
      <w:headerReference w:type="default" r:id="rId17"/>
      <w:footerReference w:type="even" r:id="rId18"/>
      <w:footerReference w:type="default" r:id="rId19"/>
      <w:headerReference w:type="first" r:id="rId20"/>
      <w:footerReference w:type="first" r:id="rId2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51265DF" w14:textId="77777777" w:rsidR="002C39E8" w:rsidRDefault="002C39E8" w:rsidP="00ED57B6">
      <w:pPr>
        <w:spacing w:after="0" w:line="240" w:lineRule="auto"/>
      </w:pPr>
      <w:r>
        <w:separator/>
      </w:r>
    </w:p>
  </w:endnote>
  <w:endnote w:type="continuationSeparator" w:id="0">
    <w:p w14:paraId="732508BA" w14:textId="77777777" w:rsidR="002C39E8" w:rsidRDefault="002C39E8" w:rsidP="00ED57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A417B5" w14:textId="77777777" w:rsidR="00ED57B6" w:rsidRDefault="00ED57B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AA1CD6" w14:textId="77777777" w:rsidR="00ED57B6" w:rsidRDefault="00ED57B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5767DA" w14:textId="77777777" w:rsidR="00ED57B6" w:rsidRDefault="00ED57B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58AF57A" w14:textId="77777777" w:rsidR="002C39E8" w:rsidRDefault="002C39E8" w:rsidP="00ED57B6">
      <w:pPr>
        <w:spacing w:after="0" w:line="240" w:lineRule="auto"/>
      </w:pPr>
      <w:r>
        <w:separator/>
      </w:r>
    </w:p>
  </w:footnote>
  <w:footnote w:type="continuationSeparator" w:id="0">
    <w:p w14:paraId="0EC8E052" w14:textId="77777777" w:rsidR="002C39E8" w:rsidRDefault="002C39E8" w:rsidP="00ED57B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C5B48D" w14:textId="04D195F9" w:rsidR="00ED57B6" w:rsidRDefault="002C39E8">
    <w:pPr>
      <w:pStyle w:val="Header"/>
    </w:pPr>
    <w:r>
      <w:rPr>
        <w:noProof/>
      </w:rPr>
      <w:pict w14:anchorId="104D696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5551047" o:spid="_x0000_s2050" type="#_x0000_t136" style="position:absolute;margin-left:0;margin-top:0;width:535.3pt;height:100.9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F0242F" w14:textId="3674CFB1" w:rsidR="00ED57B6" w:rsidRDefault="002C39E8">
    <w:pPr>
      <w:pStyle w:val="Header"/>
    </w:pPr>
    <w:r>
      <w:rPr>
        <w:noProof/>
      </w:rPr>
      <w:pict w14:anchorId="00396F7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5551048" o:spid="_x0000_s2051" type="#_x0000_t136" style="position:absolute;margin-left:0;margin-top:0;width:535.3pt;height:100.9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D5205A" w14:textId="0556486D" w:rsidR="00ED57B6" w:rsidRDefault="002C39E8">
    <w:pPr>
      <w:pStyle w:val="Header"/>
    </w:pPr>
    <w:r>
      <w:rPr>
        <w:noProof/>
      </w:rPr>
      <w:pict w14:anchorId="262F72D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5551046" o:spid="_x0000_s2049" type="#_x0000_t136" style="position:absolute;margin-left:0;margin-top:0;width:535.3pt;height:100.9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65614AE"/>
    <w:multiLevelType w:val="multilevel"/>
    <w:tmpl w:val="262815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18A2AFA"/>
    <w:multiLevelType w:val="multilevel"/>
    <w:tmpl w:val="047C73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A034170"/>
    <w:multiLevelType w:val="multilevel"/>
    <w:tmpl w:val="3F9239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3E4D51DA"/>
    <w:multiLevelType w:val="multilevel"/>
    <w:tmpl w:val="C8A60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6381F6B"/>
    <w:multiLevelType w:val="hybridMultilevel"/>
    <w:tmpl w:val="1A0CBB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B8D7963"/>
    <w:multiLevelType w:val="multilevel"/>
    <w:tmpl w:val="533A60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6FC70369"/>
    <w:multiLevelType w:val="hybridMultilevel"/>
    <w:tmpl w:val="0322827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 w:numId="4">
    <w:abstractNumId w:val="3"/>
  </w:num>
  <w:num w:numId="5">
    <w:abstractNumId w:val="5"/>
  </w:num>
  <w:num w:numId="6">
    <w:abstractNumId w:val="6"/>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30DA"/>
    <w:rsid w:val="00007091"/>
    <w:rsid w:val="00032E14"/>
    <w:rsid w:val="00033DA5"/>
    <w:rsid w:val="000551D9"/>
    <w:rsid w:val="00181FE1"/>
    <w:rsid w:val="001F36B8"/>
    <w:rsid w:val="001F6997"/>
    <w:rsid w:val="002C39E8"/>
    <w:rsid w:val="002D29FF"/>
    <w:rsid w:val="00336A68"/>
    <w:rsid w:val="004D5240"/>
    <w:rsid w:val="00525E46"/>
    <w:rsid w:val="00581780"/>
    <w:rsid w:val="00597E61"/>
    <w:rsid w:val="006727DF"/>
    <w:rsid w:val="006A4608"/>
    <w:rsid w:val="006B659B"/>
    <w:rsid w:val="006F25F3"/>
    <w:rsid w:val="007377FF"/>
    <w:rsid w:val="007F099A"/>
    <w:rsid w:val="008C4E8C"/>
    <w:rsid w:val="009063BE"/>
    <w:rsid w:val="00956CB6"/>
    <w:rsid w:val="009665B2"/>
    <w:rsid w:val="00A3761D"/>
    <w:rsid w:val="00B0545F"/>
    <w:rsid w:val="00B1024D"/>
    <w:rsid w:val="00CA1630"/>
    <w:rsid w:val="00D07CD2"/>
    <w:rsid w:val="00D65FCD"/>
    <w:rsid w:val="00D85DCA"/>
    <w:rsid w:val="00E076A3"/>
    <w:rsid w:val="00ED30DA"/>
    <w:rsid w:val="00ED57B6"/>
    <w:rsid w:val="00F20CFE"/>
    <w:rsid w:val="00FA064C"/>
  </w:rsids>
  <m:mathPr>
    <m:mathFont m:val="Cambria Math"/>
    <m:brkBin m:val="before"/>
    <m:brkBinSub m:val="--"/>
    <m:smallFrac m:val="0"/>
    <m:dispDef/>
    <m:lMargin m:val="0"/>
    <m:rMargin m:val="0"/>
    <m:defJc m:val="centerGroup"/>
    <m:wrapIndent m:val="1440"/>
    <m:intLim m:val="subSup"/>
    <m:naryLim m:val="undOvr"/>
  </m:mathPr>
  <w:themeFontLang w:val="en-IN" w:bidi="mr-I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439C868C"/>
  <w14:defaultImageDpi w14:val="32767"/>
  <w15:chartTrackingRefBased/>
  <w15:docId w15:val="{2C912CEA-4A1A-4A2E-84B1-BD5ED01B8D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D29FF"/>
  </w:style>
  <w:style w:type="paragraph" w:styleId="Heading1">
    <w:name w:val="heading 1"/>
    <w:basedOn w:val="Normal"/>
    <w:next w:val="Normal"/>
    <w:link w:val="Heading1Char"/>
    <w:uiPriority w:val="9"/>
    <w:qFormat/>
    <w:rsid w:val="00ED30DA"/>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ED30DA"/>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ED30DA"/>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ED30DA"/>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ED30DA"/>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ED30D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D30D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D30D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D30D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D30DA"/>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ED30DA"/>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ED30DA"/>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ED30DA"/>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ED30DA"/>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ED30D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D30D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D30D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D30DA"/>
    <w:rPr>
      <w:rFonts w:eastAsiaTheme="majorEastAsia" w:cstheme="majorBidi"/>
      <w:color w:val="272727" w:themeColor="text1" w:themeTint="D8"/>
    </w:rPr>
  </w:style>
  <w:style w:type="paragraph" w:styleId="Title">
    <w:name w:val="Title"/>
    <w:basedOn w:val="Normal"/>
    <w:next w:val="Normal"/>
    <w:link w:val="TitleChar"/>
    <w:uiPriority w:val="10"/>
    <w:qFormat/>
    <w:rsid w:val="00ED30D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D30D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D30D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D30D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D30DA"/>
    <w:pPr>
      <w:spacing w:before="160"/>
      <w:jc w:val="center"/>
    </w:pPr>
    <w:rPr>
      <w:i/>
      <w:iCs/>
      <w:color w:val="404040" w:themeColor="text1" w:themeTint="BF"/>
    </w:rPr>
  </w:style>
  <w:style w:type="character" w:customStyle="1" w:styleId="QuoteChar">
    <w:name w:val="Quote Char"/>
    <w:basedOn w:val="DefaultParagraphFont"/>
    <w:link w:val="Quote"/>
    <w:uiPriority w:val="29"/>
    <w:rsid w:val="00ED30DA"/>
    <w:rPr>
      <w:i/>
      <w:iCs/>
      <w:color w:val="404040" w:themeColor="text1" w:themeTint="BF"/>
    </w:rPr>
  </w:style>
  <w:style w:type="paragraph" w:styleId="ListParagraph">
    <w:name w:val="List Paragraph"/>
    <w:basedOn w:val="Normal"/>
    <w:uiPriority w:val="34"/>
    <w:qFormat/>
    <w:rsid w:val="00ED30DA"/>
    <w:pPr>
      <w:ind w:left="720"/>
      <w:contextualSpacing/>
    </w:pPr>
  </w:style>
  <w:style w:type="character" w:styleId="IntenseEmphasis">
    <w:name w:val="Intense Emphasis"/>
    <w:basedOn w:val="DefaultParagraphFont"/>
    <w:uiPriority w:val="21"/>
    <w:qFormat/>
    <w:rsid w:val="00ED30DA"/>
    <w:rPr>
      <w:i/>
      <w:iCs/>
      <w:color w:val="2F5496" w:themeColor="accent1" w:themeShade="BF"/>
    </w:rPr>
  </w:style>
  <w:style w:type="paragraph" w:styleId="IntenseQuote">
    <w:name w:val="Intense Quote"/>
    <w:basedOn w:val="Normal"/>
    <w:next w:val="Normal"/>
    <w:link w:val="IntenseQuoteChar"/>
    <w:uiPriority w:val="30"/>
    <w:qFormat/>
    <w:rsid w:val="00ED30DA"/>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ED30DA"/>
    <w:rPr>
      <w:i/>
      <w:iCs/>
      <w:color w:val="2F5496" w:themeColor="accent1" w:themeShade="BF"/>
    </w:rPr>
  </w:style>
  <w:style w:type="character" w:styleId="IntenseReference">
    <w:name w:val="Intense Reference"/>
    <w:basedOn w:val="DefaultParagraphFont"/>
    <w:uiPriority w:val="32"/>
    <w:qFormat/>
    <w:rsid w:val="00ED30DA"/>
    <w:rPr>
      <w:b/>
      <w:bCs/>
      <w:smallCaps/>
      <w:color w:val="2F5496" w:themeColor="accent1" w:themeShade="BF"/>
      <w:spacing w:val="5"/>
    </w:rPr>
  </w:style>
  <w:style w:type="paragraph" w:styleId="NormalWeb">
    <w:name w:val="Normal (Web)"/>
    <w:basedOn w:val="Normal"/>
    <w:uiPriority w:val="99"/>
    <w:unhideWhenUsed/>
    <w:rsid w:val="00ED30DA"/>
    <w:pPr>
      <w:spacing w:before="100" w:beforeAutospacing="1" w:after="100" w:afterAutospacing="1" w:line="240" w:lineRule="auto"/>
    </w:pPr>
    <w:rPr>
      <w:rFonts w:ascii="Times New Roman" w:eastAsia="Times New Roman" w:hAnsi="Times New Roman" w:cs="Times New Roman"/>
      <w:kern w:val="0"/>
      <w:sz w:val="24"/>
      <w:szCs w:val="24"/>
      <w:lang w:eastAsia="en-IN" w:bidi="hi-IN"/>
      <w14:ligatures w14:val="none"/>
    </w:rPr>
  </w:style>
  <w:style w:type="character" w:styleId="Strong">
    <w:name w:val="Strong"/>
    <w:basedOn w:val="DefaultParagraphFont"/>
    <w:uiPriority w:val="22"/>
    <w:qFormat/>
    <w:rsid w:val="00ED30DA"/>
    <w:rPr>
      <w:b/>
      <w:bCs/>
    </w:rPr>
  </w:style>
  <w:style w:type="table" w:styleId="TableGrid">
    <w:name w:val="Table Grid"/>
    <w:basedOn w:val="TableNormal"/>
    <w:uiPriority w:val="39"/>
    <w:rsid w:val="007F09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2-Accent1">
    <w:name w:val="Grid Table 2 Accent 1"/>
    <w:basedOn w:val="TableNormal"/>
    <w:uiPriority w:val="47"/>
    <w:rsid w:val="007F099A"/>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4-Accent5">
    <w:name w:val="Grid Table 4 Accent 5"/>
    <w:basedOn w:val="TableNormal"/>
    <w:uiPriority w:val="49"/>
    <w:rsid w:val="007F099A"/>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4-Accent1">
    <w:name w:val="Grid Table 4 Accent 1"/>
    <w:basedOn w:val="TableNormal"/>
    <w:uiPriority w:val="49"/>
    <w:rsid w:val="007F099A"/>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styleId="Hyperlink">
    <w:name w:val="Hyperlink"/>
    <w:basedOn w:val="DefaultParagraphFont"/>
    <w:uiPriority w:val="99"/>
    <w:unhideWhenUsed/>
    <w:rsid w:val="00B0545F"/>
    <w:rPr>
      <w:color w:val="0563C1"/>
      <w:u w:val="single"/>
    </w:rPr>
  </w:style>
  <w:style w:type="character" w:styleId="Emphasis">
    <w:name w:val="Emphasis"/>
    <w:basedOn w:val="DefaultParagraphFont"/>
    <w:uiPriority w:val="20"/>
    <w:qFormat/>
    <w:rsid w:val="00FA064C"/>
    <w:rPr>
      <w:i/>
      <w:iCs/>
    </w:rPr>
  </w:style>
  <w:style w:type="character" w:styleId="UnresolvedMention">
    <w:name w:val="Unresolved Mention"/>
    <w:basedOn w:val="DefaultParagraphFont"/>
    <w:uiPriority w:val="99"/>
    <w:semiHidden/>
    <w:unhideWhenUsed/>
    <w:rsid w:val="00D07CD2"/>
    <w:rPr>
      <w:color w:val="605E5C"/>
      <w:shd w:val="clear" w:color="auto" w:fill="E1DFDD"/>
    </w:rPr>
  </w:style>
  <w:style w:type="paragraph" w:styleId="Header">
    <w:name w:val="header"/>
    <w:basedOn w:val="Normal"/>
    <w:link w:val="HeaderChar"/>
    <w:uiPriority w:val="99"/>
    <w:unhideWhenUsed/>
    <w:rsid w:val="00ED57B6"/>
    <w:pPr>
      <w:tabs>
        <w:tab w:val="center" w:pos="4680"/>
        <w:tab w:val="right" w:pos="9360"/>
      </w:tabs>
      <w:spacing w:after="0" w:line="240" w:lineRule="auto"/>
    </w:pPr>
  </w:style>
  <w:style w:type="character" w:customStyle="1" w:styleId="HeaderChar">
    <w:name w:val="Header Char"/>
    <w:basedOn w:val="DefaultParagraphFont"/>
    <w:link w:val="Header"/>
    <w:uiPriority w:val="99"/>
    <w:rsid w:val="00ED57B6"/>
  </w:style>
  <w:style w:type="paragraph" w:styleId="Footer">
    <w:name w:val="footer"/>
    <w:basedOn w:val="Normal"/>
    <w:link w:val="FooterChar"/>
    <w:uiPriority w:val="99"/>
    <w:unhideWhenUsed/>
    <w:rsid w:val="00ED57B6"/>
    <w:pPr>
      <w:tabs>
        <w:tab w:val="center" w:pos="4680"/>
        <w:tab w:val="right" w:pos="9360"/>
      </w:tabs>
      <w:spacing w:after="0" w:line="240" w:lineRule="auto"/>
    </w:pPr>
  </w:style>
  <w:style w:type="character" w:customStyle="1" w:styleId="FooterChar">
    <w:name w:val="Footer Char"/>
    <w:basedOn w:val="DefaultParagraphFont"/>
    <w:link w:val="Footer"/>
    <w:uiPriority w:val="99"/>
    <w:rsid w:val="00ED57B6"/>
  </w:style>
  <w:style w:type="paragraph" w:styleId="NoSpacing">
    <w:name w:val="No Spacing"/>
    <w:uiPriority w:val="1"/>
    <w:qFormat/>
    <w:rsid w:val="006B659B"/>
    <w:pPr>
      <w:spacing w:after="0" w:line="240" w:lineRule="auto"/>
    </w:pPr>
    <w:rPr>
      <w:kern w:val="0"/>
      <w:lang w:val="en-GB"/>
      <w14:ligatures w14:val="none"/>
    </w:rPr>
  </w:style>
  <w:style w:type="character" w:customStyle="1" w:styleId="math-inline">
    <w:name w:val="math-inline"/>
    <w:basedOn w:val="DefaultParagraphFont"/>
    <w:rsid w:val="004D524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doi.org/10.21475/ajcs.20.14.04.p1909" TargetMode="External"/><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hyperlink" Target="https://www.google.com/search?q=https://doi.org/10.37855/jah.2023.v25i02.34" TargetMode="External"/><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doi.org/10.3390/agronomy11030610" TargetMode="External"/><Relationship Id="rId5" Type="http://schemas.openxmlformats.org/officeDocument/2006/relationships/webSettings" Target="webSettings.xml"/><Relationship Id="rId15" Type="http://schemas.openxmlformats.org/officeDocument/2006/relationships/hyperlink" Target="https://www.doi.org/10.33545/26180723.2025.v8.i9c.2394" TargetMode="External"/><Relationship Id="rId23" Type="http://schemas.openxmlformats.org/officeDocument/2006/relationships/theme" Target="theme/theme1.xml"/><Relationship Id="rId10" Type="http://schemas.openxmlformats.org/officeDocument/2006/relationships/hyperlink" Target="https://doi.org/10.3390/plants10020358" TargetMode="External"/><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www.google.com/search?q=https://doi.org/10.14295/cs.v13.3741" TargetMode="External"/><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F355EE-784F-4DAF-BAB2-668F281F2B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154</TotalTime>
  <Pages>9</Pages>
  <Words>3753</Words>
  <Characters>21397</Characters>
  <Application>Microsoft Office Word</Application>
  <DocSecurity>0</DocSecurity>
  <Lines>178</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25100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rushigmatale@outlook.com</dc:creator>
  <cp:keywords/>
  <dc:description/>
  <cp:lastModifiedBy>SDI 1022</cp:lastModifiedBy>
  <cp:revision>17</cp:revision>
  <dcterms:created xsi:type="dcterms:W3CDTF">2026-04-30T06:45:00Z</dcterms:created>
  <dcterms:modified xsi:type="dcterms:W3CDTF">2026-05-13T07:17:00Z</dcterms:modified>
</cp:coreProperties>
</file>