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D21AA" w14:textId="77777777" w:rsidR="00921E08" w:rsidRPr="00921E08" w:rsidRDefault="00921E08" w:rsidP="00921E08">
      <w:pPr>
        <w:spacing w:after="0" w:line="360" w:lineRule="auto"/>
        <w:jc w:val="center"/>
        <w:rPr>
          <w:rFonts w:ascii="Arial" w:hAnsi="Arial" w:cs="Arial"/>
          <w:b/>
          <w:bCs/>
          <w:i/>
          <w:iCs/>
          <w:sz w:val="36"/>
          <w:szCs w:val="36"/>
          <w:u w:val="single"/>
          <w:lang w:val="en-US"/>
        </w:rPr>
      </w:pPr>
      <w:r w:rsidRPr="00921E08">
        <w:rPr>
          <w:rFonts w:ascii="Arial" w:hAnsi="Arial" w:cs="Arial"/>
          <w:b/>
          <w:bCs/>
          <w:i/>
          <w:iCs/>
          <w:sz w:val="36"/>
          <w:szCs w:val="36"/>
          <w:u w:val="single"/>
          <w:lang w:val="en-US"/>
        </w:rPr>
        <w:t>Original Research Article</w:t>
      </w:r>
    </w:p>
    <w:p w14:paraId="0EC5FBA6" w14:textId="77777777" w:rsidR="00F03782" w:rsidRDefault="002170BA" w:rsidP="00AA3103">
      <w:pPr>
        <w:spacing w:after="0" w:line="360" w:lineRule="auto"/>
        <w:jc w:val="center"/>
        <w:rPr>
          <w:rFonts w:ascii="Times New Roman" w:eastAsiaTheme="minorEastAsia" w:hAnsi="Times New Roman" w:cs="Times New Roman"/>
          <w:b/>
          <w:bCs/>
          <w:sz w:val="24"/>
          <w:szCs w:val="24"/>
        </w:rPr>
      </w:pPr>
      <w:r w:rsidRPr="0085149D">
        <w:rPr>
          <w:rFonts w:ascii="Arial" w:hAnsi="Arial" w:cs="Arial"/>
          <w:b/>
          <w:bCs/>
          <w:sz w:val="36"/>
          <w:szCs w:val="36"/>
        </w:rPr>
        <w:t xml:space="preserve">Assessment of Genetic Variability Divergence, Biochemical Influence on Growth and Yield Parameter in Linseed </w:t>
      </w:r>
      <w:r w:rsidRPr="0085149D">
        <w:rPr>
          <w:rFonts w:ascii="Arial" w:hAnsi="Arial" w:cs="Arial"/>
          <w:sz w:val="36"/>
          <w:szCs w:val="36"/>
        </w:rPr>
        <w:t>(</w:t>
      </w:r>
      <w:proofErr w:type="spellStart"/>
      <w:r w:rsidR="00E40DC2" w:rsidRPr="00E40DC2">
        <w:rPr>
          <w:rFonts w:ascii="Arial" w:hAnsi="Arial" w:cs="Arial"/>
          <w:b/>
          <w:bCs/>
          <w:i/>
          <w:iCs/>
          <w:sz w:val="36"/>
          <w:szCs w:val="36"/>
        </w:rPr>
        <w:t>Linum</w:t>
      </w:r>
      <w:proofErr w:type="spellEnd"/>
      <w:r w:rsidR="00E40DC2" w:rsidRPr="00E40DC2">
        <w:rPr>
          <w:rFonts w:ascii="Arial" w:hAnsi="Arial" w:cs="Arial"/>
          <w:b/>
          <w:bCs/>
          <w:i/>
          <w:iCs/>
          <w:sz w:val="36"/>
          <w:szCs w:val="36"/>
        </w:rPr>
        <w:t xml:space="preserve"> </w:t>
      </w:r>
      <w:proofErr w:type="spellStart"/>
      <w:r w:rsidR="00E40DC2" w:rsidRPr="00E40DC2">
        <w:rPr>
          <w:rFonts w:ascii="Arial" w:hAnsi="Arial" w:cs="Arial"/>
          <w:b/>
          <w:bCs/>
          <w:i/>
          <w:iCs/>
          <w:sz w:val="36"/>
          <w:szCs w:val="36"/>
        </w:rPr>
        <w:t>usitatissimum</w:t>
      </w:r>
      <w:proofErr w:type="spellEnd"/>
      <w:r w:rsidR="00E40DC2" w:rsidRPr="00E40DC2">
        <w:rPr>
          <w:rFonts w:ascii="Arial" w:hAnsi="Arial" w:cs="Arial"/>
          <w:b/>
          <w:bCs/>
          <w:i/>
          <w:iCs/>
          <w:sz w:val="36"/>
          <w:szCs w:val="36"/>
        </w:rPr>
        <w:t xml:space="preserve"> </w:t>
      </w:r>
      <w:r w:rsidRPr="0085149D">
        <w:rPr>
          <w:rFonts w:ascii="Arial" w:hAnsi="Arial" w:cs="Arial"/>
          <w:b/>
          <w:bCs/>
          <w:sz w:val="36"/>
          <w:szCs w:val="36"/>
        </w:rPr>
        <w:t>L.</w:t>
      </w:r>
      <w:r w:rsidR="0034736A" w:rsidRPr="0034736A">
        <w:rPr>
          <w:rFonts w:ascii="Times New Roman" w:eastAsiaTheme="minorEastAsia" w:hAnsi="Times New Roman" w:cs="Times New Roman"/>
          <w:b/>
          <w:bCs/>
          <w:sz w:val="40"/>
          <w:szCs w:val="40"/>
        </w:rPr>
        <w:t>)</w:t>
      </w:r>
      <w:r w:rsidR="00AA3103">
        <w:rPr>
          <w:rFonts w:ascii="Times New Roman" w:eastAsiaTheme="minorEastAsia" w:hAnsi="Times New Roman" w:cs="Times New Roman"/>
          <w:b/>
          <w:bCs/>
          <w:sz w:val="24"/>
          <w:szCs w:val="24"/>
        </w:rPr>
        <w:t xml:space="preserve">   </w:t>
      </w:r>
    </w:p>
    <w:p w14:paraId="387650FA" w14:textId="77777777" w:rsidR="00010BC3" w:rsidRPr="00753284" w:rsidRDefault="00010BC3" w:rsidP="009F4139">
      <w:pPr>
        <w:spacing w:after="0" w:line="360" w:lineRule="auto"/>
        <w:jc w:val="center"/>
        <w:rPr>
          <w:rFonts w:ascii="Arial" w:hAnsi="Arial" w:cs="Arial"/>
          <w:b/>
          <w:bCs/>
          <w:sz w:val="16"/>
          <w:szCs w:val="16"/>
        </w:rPr>
      </w:pPr>
    </w:p>
    <w:p w14:paraId="343E4964" w14:textId="04E7407F" w:rsidR="002170BA" w:rsidRDefault="00AA3103" w:rsidP="00BC05E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ED8CFC2" w14:textId="56198EC5" w:rsidR="003A7E68" w:rsidRPr="0034736A" w:rsidRDefault="002170BA" w:rsidP="00753284">
      <w:pPr>
        <w:pBdr>
          <w:top w:val="single" w:sz="8" w:space="1" w:color="auto"/>
          <w:left w:val="single" w:sz="8" w:space="0" w:color="auto"/>
          <w:bottom w:val="single" w:sz="8" w:space="1" w:color="auto"/>
          <w:right w:val="single" w:sz="8" w:space="4" w:color="auto"/>
        </w:pBdr>
        <w:spacing w:after="0" w:line="360" w:lineRule="auto"/>
        <w:rPr>
          <w:rFonts w:ascii="Arial" w:hAnsi="Arial" w:cs="Arial"/>
        </w:rPr>
      </w:pPr>
      <w:r w:rsidRPr="0034736A">
        <w:rPr>
          <w:rFonts w:ascii="Arial" w:hAnsi="Arial" w:cs="Arial"/>
        </w:rPr>
        <w:t>Linseed (</w:t>
      </w:r>
      <w:proofErr w:type="spellStart"/>
      <w:r w:rsidR="00E40DC2" w:rsidRPr="00E40DC2">
        <w:rPr>
          <w:rFonts w:ascii="Arial" w:hAnsi="Arial" w:cs="Arial"/>
          <w:i/>
          <w:iCs/>
        </w:rPr>
        <w:t>Linum</w:t>
      </w:r>
      <w:proofErr w:type="spellEnd"/>
      <w:r w:rsidR="00E40DC2" w:rsidRPr="00E40DC2">
        <w:rPr>
          <w:rFonts w:ascii="Arial" w:hAnsi="Arial" w:cs="Arial"/>
          <w:i/>
          <w:iCs/>
        </w:rPr>
        <w:t xml:space="preserve"> </w:t>
      </w:r>
      <w:proofErr w:type="spellStart"/>
      <w:r w:rsidR="00E40DC2" w:rsidRPr="00E40DC2">
        <w:rPr>
          <w:rFonts w:ascii="Arial" w:hAnsi="Arial" w:cs="Arial"/>
          <w:i/>
          <w:iCs/>
        </w:rPr>
        <w:t>usitatissimum</w:t>
      </w:r>
      <w:proofErr w:type="spellEnd"/>
      <w:r w:rsidR="00E40DC2" w:rsidRPr="00E40DC2">
        <w:rPr>
          <w:rFonts w:ascii="Arial" w:hAnsi="Arial" w:cs="Arial"/>
          <w:i/>
          <w:iCs/>
        </w:rPr>
        <w:t xml:space="preserve"> </w:t>
      </w:r>
      <w:r w:rsidRPr="0034736A">
        <w:rPr>
          <w:rFonts w:ascii="Arial" w:hAnsi="Arial" w:cs="Arial"/>
        </w:rPr>
        <w:t>L.) is an important self-pollinated oilseed and fibre crop, valued for its α-linolenic acid, protein, carbohydrates, and antioxidant content. Yield improvement is often constrained by limited exploitation of genetic variability. The study, “Assessment of Genetic Variability Divergence, Biochemical Influence on Growth and Yield Parameter in Linseed (</w:t>
      </w:r>
      <w:proofErr w:type="spellStart"/>
      <w:r w:rsidR="00E40DC2" w:rsidRPr="00E40DC2">
        <w:rPr>
          <w:rFonts w:ascii="Arial" w:hAnsi="Arial" w:cs="Arial"/>
          <w:i/>
          <w:iCs/>
        </w:rPr>
        <w:t>Linum</w:t>
      </w:r>
      <w:proofErr w:type="spellEnd"/>
      <w:r w:rsidR="00E40DC2" w:rsidRPr="00E40DC2">
        <w:rPr>
          <w:rFonts w:ascii="Arial" w:hAnsi="Arial" w:cs="Arial"/>
          <w:i/>
          <w:iCs/>
        </w:rPr>
        <w:t xml:space="preserve"> </w:t>
      </w:r>
      <w:proofErr w:type="spellStart"/>
      <w:r w:rsidR="00E40DC2" w:rsidRPr="00E40DC2">
        <w:rPr>
          <w:rFonts w:ascii="Arial" w:hAnsi="Arial" w:cs="Arial"/>
          <w:i/>
          <w:iCs/>
        </w:rPr>
        <w:t>usitatissimum</w:t>
      </w:r>
      <w:proofErr w:type="spellEnd"/>
      <w:r w:rsidR="00E40DC2" w:rsidRPr="00E40DC2">
        <w:rPr>
          <w:rFonts w:ascii="Arial" w:hAnsi="Arial" w:cs="Arial"/>
          <w:i/>
          <w:iCs/>
        </w:rPr>
        <w:t xml:space="preserve"> </w:t>
      </w:r>
      <w:r w:rsidRPr="0034736A">
        <w:rPr>
          <w:rFonts w:ascii="Arial" w:hAnsi="Arial" w:cs="Arial"/>
        </w:rPr>
        <w:t>L.)” was conducted during Rabi 2024–25 at Prof. Rajendra Singh (Rajju Bhaiya) University, Prayagraj. Eight genotypes with one check were evaluated in a randomized complete block design with three replications for 18 morphological and biochemical traits. Data were anal</w:t>
      </w:r>
      <w:r w:rsidR="00752B15">
        <w:rPr>
          <w:rFonts w:ascii="Arial" w:hAnsi="Arial" w:cs="Arial"/>
        </w:rPr>
        <w:t>ys</w:t>
      </w:r>
      <w:r w:rsidRPr="0034736A">
        <w:rPr>
          <w:rFonts w:ascii="Arial" w:hAnsi="Arial" w:cs="Arial"/>
        </w:rPr>
        <w:t>ed for variance, heritability, genetic advance, and coefficients of variation. Significant differences were observed among genotypes for all traits. Type-397 recorded the highest plant height (65.6 cm at 90 DAS), number of capsules (88.0), seed yield (224.42 kg ha</w:t>
      </w:r>
      <w:r w:rsidRPr="0034736A">
        <w:rPr>
          <w:rFonts w:ascii="Cambria Math" w:hAnsi="Cambria Math" w:cs="Cambria Math"/>
        </w:rPr>
        <w:t>⁻</w:t>
      </w:r>
      <w:r w:rsidRPr="0034736A">
        <w:rPr>
          <w:rFonts w:ascii="Arial" w:hAnsi="Arial" w:cs="Arial"/>
        </w:rPr>
        <w:t>¹), and biological yield (25 g/plant). Jawahar-17 showed maximum protein (18.96 g/100 g) and carbohydrate (29.87 g/100 g), Mukta exhibited the highest antioxidant activity (92%), and Padmini recorded the highest ALA content (58.22%). PCV values exceeded GCV, indicating environmental influence. High heritability coupled with moderate to high genetic advance was observed for seed yield, protein, flavonoids, antioxidants, and ALA. Considerable genetic variability was observed, with yield and quality traits identified as key selection criteria for breeding high-yielding, nutritionally rich linseed cultivars.</w:t>
      </w:r>
    </w:p>
    <w:p w14:paraId="53F02F5E" w14:textId="77777777" w:rsidR="003A7E68" w:rsidRPr="0034736A" w:rsidRDefault="003A7E68" w:rsidP="00AA3103">
      <w:pPr>
        <w:spacing w:after="0" w:line="360" w:lineRule="auto"/>
        <w:rPr>
          <w:rFonts w:ascii="Arial" w:hAnsi="Arial" w:cs="Arial"/>
          <w:i/>
          <w:iCs/>
          <w:sz w:val="20"/>
          <w:szCs w:val="20"/>
        </w:rPr>
      </w:pPr>
    </w:p>
    <w:p w14:paraId="7F690ED5" w14:textId="7A6E4A49" w:rsidR="002170BA" w:rsidRPr="0034736A" w:rsidRDefault="002170BA" w:rsidP="00AA3103">
      <w:pPr>
        <w:spacing w:after="0" w:line="360" w:lineRule="auto"/>
        <w:rPr>
          <w:rFonts w:ascii="Arial" w:hAnsi="Arial" w:cs="Arial"/>
          <w:i/>
          <w:iCs/>
          <w:sz w:val="20"/>
          <w:szCs w:val="20"/>
        </w:rPr>
      </w:pPr>
      <w:r w:rsidRPr="00273DCF">
        <w:rPr>
          <w:rFonts w:ascii="Arial" w:hAnsi="Arial" w:cs="Arial"/>
          <w:i/>
          <w:iCs/>
          <w:sz w:val="20"/>
          <w:szCs w:val="20"/>
          <w:highlight w:val="yellow"/>
        </w:rPr>
        <w:t xml:space="preserve">Keywords: </w:t>
      </w:r>
      <w:r w:rsidR="00DC4A16" w:rsidRPr="00273DCF">
        <w:rPr>
          <w:rFonts w:ascii="Arial" w:hAnsi="Arial" w:cs="Arial"/>
          <w:i/>
          <w:iCs/>
          <w:sz w:val="20"/>
          <w:szCs w:val="20"/>
          <w:highlight w:val="yellow"/>
        </w:rPr>
        <w:t>Genetic Variability Divergence</w:t>
      </w:r>
      <w:r w:rsidR="005C63AB" w:rsidRPr="00273DCF">
        <w:rPr>
          <w:rFonts w:ascii="Arial" w:hAnsi="Arial" w:cs="Arial"/>
          <w:i/>
          <w:iCs/>
          <w:sz w:val="20"/>
          <w:szCs w:val="20"/>
          <w:highlight w:val="yellow"/>
        </w:rPr>
        <w:t xml:space="preserve">, </w:t>
      </w:r>
      <w:r w:rsidR="00DC4A16" w:rsidRPr="00273DCF">
        <w:rPr>
          <w:rFonts w:ascii="Arial" w:hAnsi="Arial" w:cs="Arial"/>
          <w:i/>
          <w:iCs/>
          <w:sz w:val="20"/>
          <w:szCs w:val="20"/>
          <w:highlight w:val="yellow"/>
        </w:rPr>
        <w:t>GCV, PCV</w:t>
      </w:r>
      <w:r w:rsidRPr="00273DCF">
        <w:rPr>
          <w:rFonts w:ascii="Arial" w:hAnsi="Arial" w:cs="Arial"/>
          <w:i/>
          <w:iCs/>
          <w:sz w:val="20"/>
          <w:szCs w:val="20"/>
          <w:highlight w:val="yellow"/>
        </w:rPr>
        <w:t xml:space="preserve">, </w:t>
      </w:r>
      <w:r w:rsidR="00DC4A16" w:rsidRPr="00273DCF">
        <w:rPr>
          <w:rFonts w:ascii="Arial" w:hAnsi="Arial" w:cs="Arial"/>
          <w:i/>
          <w:iCs/>
          <w:sz w:val="20"/>
          <w:szCs w:val="20"/>
          <w:highlight w:val="yellow"/>
        </w:rPr>
        <w:t>H</w:t>
      </w:r>
      <w:r w:rsidRPr="00273DCF">
        <w:rPr>
          <w:rFonts w:ascii="Arial" w:hAnsi="Arial" w:cs="Arial"/>
          <w:i/>
          <w:iCs/>
          <w:sz w:val="20"/>
          <w:szCs w:val="20"/>
          <w:highlight w:val="yellow"/>
        </w:rPr>
        <w:t xml:space="preserve">eritability, </w:t>
      </w:r>
      <w:r w:rsidR="00DC4A16" w:rsidRPr="00273DCF">
        <w:rPr>
          <w:rFonts w:ascii="Arial" w:hAnsi="Arial" w:cs="Arial"/>
          <w:i/>
          <w:iCs/>
          <w:sz w:val="20"/>
          <w:szCs w:val="20"/>
          <w:highlight w:val="yellow"/>
        </w:rPr>
        <w:t>Antioxidants</w:t>
      </w:r>
      <w:r w:rsidRPr="00273DCF">
        <w:rPr>
          <w:rFonts w:ascii="Arial" w:hAnsi="Arial" w:cs="Arial"/>
          <w:i/>
          <w:iCs/>
          <w:sz w:val="20"/>
          <w:szCs w:val="20"/>
          <w:highlight w:val="yellow"/>
        </w:rPr>
        <w:t>, Omega-3.</w:t>
      </w:r>
    </w:p>
    <w:p w14:paraId="2E3CABCB" w14:textId="77777777" w:rsidR="003A7E68" w:rsidRPr="0034736A" w:rsidRDefault="003A7E68" w:rsidP="00BC05EC">
      <w:pPr>
        <w:spacing w:after="0" w:line="360" w:lineRule="auto"/>
        <w:jc w:val="both"/>
        <w:rPr>
          <w:rFonts w:ascii="Times New Roman" w:hAnsi="Times New Roman" w:cs="Times New Roman"/>
          <w:sz w:val="24"/>
          <w:szCs w:val="24"/>
        </w:rPr>
      </w:pPr>
    </w:p>
    <w:p w14:paraId="691961F7" w14:textId="77777777" w:rsidR="00753284" w:rsidRPr="0034736A" w:rsidRDefault="00753284" w:rsidP="00BC05EC">
      <w:pPr>
        <w:spacing w:after="0" w:line="360" w:lineRule="auto"/>
        <w:jc w:val="both"/>
        <w:rPr>
          <w:rFonts w:ascii="Times New Roman" w:hAnsi="Times New Roman" w:cs="Times New Roman"/>
          <w:sz w:val="24"/>
          <w:szCs w:val="24"/>
        </w:rPr>
      </w:pPr>
    </w:p>
    <w:p w14:paraId="13056C68" w14:textId="60BC1EE9" w:rsidR="002A500B" w:rsidRPr="00C6234C" w:rsidRDefault="00753284" w:rsidP="00C6234C">
      <w:pPr>
        <w:spacing w:after="0" w:line="360" w:lineRule="auto"/>
        <w:rPr>
          <w:rFonts w:ascii="Arial" w:hAnsi="Arial" w:cs="Arial"/>
          <w:sz w:val="24"/>
          <w:szCs w:val="24"/>
        </w:rPr>
      </w:pPr>
      <w:r w:rsidRPr="0034736A">
        <w:rPr>
          <w:rFonts w:ascii="Arial" w:hAnsi="Arial" w:cs="Arial"/>
          <w:sz w:val="24"/>
          <w:szCs w:val="24"/>
        </w:rPr>
        <w:t>1.</w:t>
      </w:r>
      <w:r w:rsidR="003A7E68" w:rsidRPr="0034736A">
        <w:rPr>
          <w:rFonts w:ascii="Arial" w:hAnsi="Arial" w:cs="Arial"/>
          <w:sz w:val="24"/>
          <w:szCs w:val="24"/>
        </w:rPr>
        <w:t>INTRODUCTION</w:t>
      </w:r>
      <w:r w:rsidR="00BC05EC" w:rsidRPr="0034736A">
        <w:rPr>
          <w:rFonts w:ascii="Arial" w:hAnsi="Arial" w:cs="Arial"/>
          <w:sz w:val="24"/>
          <w:szCs w:val="24"/>
        </w:rPr>
        <w:t xml:space="preserve"> </w:t>
      </w:r>
    </w:p>
    <w:p w14:paraId="4938B3E8" w14:textId="2FB4CF1B" w:rsidR="002D3887" w:rsidRPr="00E76F6A" w:rsidRDefault="00E40DC2" w:rsidP="002D3887">
      <w:pPr>
        <w:spacing w:after="0" w:line="360" w:lineRule="auto"/>
        <w:rPr>
          <w:rFonts w:ascii="Arial" w:hAnsi="Arial" w:cs="Arial"/>
          <w:highlight w:val="yellow"/>
        </w:rPr>
      </w:pPr>
      <w:proofErr w:type="spellStart"/>
      <w:r w:rsidRPr="00E40DC2">
        <w:rPr>
          <w:rFonts w:ascii="Arial" w:hAnsi="Arial" w:cs="Arial"/>
          <w:i/>
          <w:iCs/>
          <w:highlight w:val="yellow"/>
        </w:rPr>
        <w:t>Linum</w:t>
      </w:r>
      <w:proofErr w:type="spellEnd"/>
      <w:r w:rsidRPr="00E40DC2">
        <w:rPr>
          <w:rFonts w:ascii="Arial" w:hAnsi="Arial" w:cs="Arial"/>
          <w:i/>
          <w:iCs/>
          <w:highlight w:val="yellow"/>
        </w:rPr>
        <w:t xml:space="preserve"> </w:t>
      </w:r>
      <w:proofErr w:type="spellStart"/>
      <w:r w:rsidRPr="00E40DC2">
        <w:rPr>
          <w:rFonts w:ascii="Arial" w:hAnsi="Arial" w:cs="Arial"/>
          <w:i/>
          <w:iCs/>
          <w:highlight w:val="yellow"/>
        </w:rPr>
        <w:t>usitatissimum</w:t>
      </w:r>
      <w:proofErr w:type="spellEnd"/>
      <w:r w:rsidRPr="00E40DC2">
        <w:rPr>
          <w:rFonts w:ascii="Arial" w:hAnsi="Arial" w:cs="Arial"/>
          <w:i/>
          <w:iCs/>
          <w:highlight w:val="yellow"/>
        </w:rPr>
        <w:t xml:space="preserve"> </w:t>
      </w:r>
      <w:r w:rsidR="002D3887" w:rsidRPr="00E76F6A">
        <w:rPr>
          <w:rFonts w:ascii="Arial" w:hAnsi="Arial" w:cs="Arial"/>
          <w:highlight w:val="yellow"/>
        </w:rPr>
        <w:t xml:space="preserve">L., commonly known as linseed or flaxseed, is an ancient crop belonging to the </w:t>
      </w:r>
      <w:proofErr w:type="spellStart"/>
      <w:r w:rsidR="002D3887" w:rsidRPr="00E76F6A">
        <w:rPr>
          <w:rFonts w:ascii="Arial" w:hAnsi="Arial" w:cs="Arial"/>
          <w:highlight w:val="yellow"/>
        </w:rPr>
        <w:t>Linaceae</w:t>
      </w:r>
      <w:proofErr w:type="spellEnd"/>
      <w:r w:rsidR="002D3887" w:rsidRPr="00E76F6A">
        <w:rPr>
          <w:rFonts w:ascii="Arial" w:hAnsi="Arial" w:cs="Arial"/>
          <w:highlight w:val="yellow"/>
        </w:rPr>
        <w:t xml:space="preserve"> family and has been cultivated since early civilizations. The scientific name “</w:t>
      </w:r>
      <w:proofErr w:type="spellStart"/>
      <w:r w:rsidR="002D3887" w:rsidRPr="00E76F6A">
        <w:rPr>
          <w:rFonts w:ascii="Arial" w:hAnsi="Arial" w:cs="Arial"/>
          <w:highlight w:val="yellow"/>
        </w:rPr>
        <w:t>usitatissimum</w:t>
      </w:r>
      <w:proofErr w:type="spellEnd"/>
      <w:r w:rsidR="002D3887" w:rsidRPr="00E76F6A">
        <w:rPr>
          <w:rFonts w:ascii="Arial" w:hAnsi="Arial" w:cs="Arial"/>
          <w:highlight w:val="yellow"/>
        </w:rPr>
        <w:t xml:space="preserve">” means “most useful,” reflecting its importance as a source of nutritious food, medicinal compounds, oil, and strong </w:t>
      </w:r>
      <w:proofErr w:type="spellStart"/>
      <w:r w:rsidR="002D3887" w:rsidRPr="00E76F6A">
        <w:rPr>
          <w:rFonts w:ascii="Arial" w:hAnsi="Arial" w:cs="Arial"/>
          <w:highlight w:val="yellow"/>
        </w:rPr>
        <w:t>fibers</w:t>
      </w:r>
      <w:proofErr w:type="spellEnd"/>
      <w:r w:rsidR="002D3887" w:rsidRPr="00E76F6A">
        <w:rPr>
          <w:rFonts w:ascii="Arial" w:hAnsi="Arial" w:cs="Arial"/>
          <w:highlight w:val="yellow"/>
        </w:rPr>
        <w:t xml:space="preserve">. The term “linseed” is generally used in Europe, whereas “flaxseed” is more common in North America (Morya et al., 2022). </w:t>
      </w:r>
      <w:r w:rsidR="002D3887" w:rsidRPr="00E76F6A">
        <w:rPr>
          <w:rFonts w:ascii="Arial" w:hAnsi="Arial" w:cs="Arial"/>
          <w:highlight w:val="yellow"/>
        </w:rPr>
        <w:lastRenderedPageBreak/>
        <w:t>The crop is characterized by a slender stem reaching up to 60 cm in height, narrow lance-shaped leaves, and attractive blue flowers. Its seeds are rich in nutrients and bioactive compounds, making them highly valuable for both nutritional and therapeutic purposes (Gautam et al., 2022).</w:t>
      </w:r>
    </w:p>
    <w:p w14:paraId="1F5AAC2A" w14:textId="5EE525BE" w:rsidR="002D3887" w:rsidRPr="00E76F6A" w:rsidRDefault="002D3887" w:rsidP="002D3887">
      <w:pPr>
        <w:spacing w:after="0" w:line="360" w:lineRule="auto"/>
        <w:rPr>
          <w:rFonts w:ascii="Arial" w:hAnsi="Arial" w:cs="Arial"/>
          <w:highlight w:val="yellow"/>
        </w:rPr>
      </w:pPr>
      <w:r w:rsidRPr="00E76F6A">
        <w:rPr>
          <w:rFonts w:ascii="Arial" w:hAnsi="Arial" w:cs="Arial"/>
          <w:highlight w:val="yellow"/>
        </w:rPr>
        <w:t xml:space="preserve">Flaxseed has gained global recognition as a functional food because of its high content of omega-3 fatty acids, lignans, dietary </w:t>
      </w:r>
      <w:proofErr w:type="spellStart"/>
      <w:r w:rsidRPr="00E76F6A">
        <w:rPr>
          <w:rFonts w:ascii="Arial" w:hAnsi="Arial" w:cs="Arial"/>
          <w:highlight w:val="yellow"/>
        </w:rPr>
        <w:t>fiber</w:t>
      </w:r>
      <w:proofErr w:type="spellEnd"/>
      <w:r w:rsidRPr="00E76F6A">
        <w:rPr>
          <w:rFonts w:ascii="Arial" w:hAnsi="Arial" w:cs="Arial"/>
          <w:highlight w:val="yellow"/>
        </w:rPr>
        <w:t>, protein, and phenolic compounds (Sá et al., 2020). These constituents are associated with several health benefits, including improved cardiovascular health, reduced inflammation, and lower risk of certain chronic diseases (</w:t>
      </w:r>
      <w:r w:rsidR="00373403" w:rsidRPr="00E76F6A">
        <w:rPr>
          <w:highlight w:val="yellow"/>
        </w:rPr>
        <w:t>Deng</w:t>
      </w:r>
      <w:r w:rsidRPr="00E76F6A">
        <w:rPr>
          <w:rFonts w:ascii="Arial" w:hAnsi="Arial" w:cs="Arial"/>
          <w:highlight w:val="yellow"/>
        </w:rPr>
        <w:t xml:space="preserve"> et al., 202</w:t>
      </w:r>
      <w:r w:rsidR="00373403" w:rsidRPr="00E76F6A">
        <w:rPr>
          <w:rFonts w:ascii="Arial" w:hAnsi="Arial" w:cs="Arial"/>
          <w:highlight w:val="yellow"/>
        </w:rPr>
        <w:t>3</w:t>
      </w:r>
      <w:r w:rsidRPr="00E76F6A">
        <w:rPr>
          <w:rFonts w:ascii="Arial" w:hAnsi="Arial" w:cs="Arial"/>
          <w:highlight w:val="yellow"/>
        </w:rPr>
        <w:t xml:space="preserve">). Among plant-based foods, flaxseed is considered one of the richest sources of α-linolenic acid and lignans, further enhancing its nutritional importance. Besides its nutritional applications, flaxseed is widely utilized in the food industry as a functional ingredient to improve the texture, </w:t>
      </w:r>
      <w:proofErr w:type="spellStart"/>
      <w:r w:rsidRPr="00E76F6A">
        <w:rPr>
          <w:rFonts w:ascii="Arial" w:hAnsi="Arial" w:cs="Arial"/>
          <w:highlight w:val="yellow"/>
        </w:rPr>
        <w:t>flavor</w:t>
      </w:r>
      <w:proofErr w:type="spellEnd"/>
      <w:r w:rsidRPr="00E76F6A">
        <w:rPr>
          <w:rFonts w:ascii="Arial" w:hAnsi="Arial" w:cs="Arial"/>
          <w:highlight w:val="yellow"/>
        </w:rPr>
        <w:t>, and nutritional quality of various products (</w:t>
      </w:r>
      <w:r w:rsidR="00373403" w:rsidRPr="00E76F6A">
        <w:rPr>
          <w:highlight w:val="yellow"/>
        </w:rPr>
        <w:t>Morya</w:t>
      </w:r>
      <w:r w:rsidRPr="00E76F6A">
        <w:rPr>
          <w:rFonts w:ascii="Arial" w:hAnsi="Arial" w:cs="Arial"/>
          <w:highlight w:val="yellow"/>
        </w:rPr>
        <w:t xml:space="preserve"> et al., 202</w:t>
      </w:r>
      <w:r w:rsidR="00373403" w:rsidRPr="00E76F6A">
        <w:rPr>
          <w:rFonts w:ascii="Arial" w:hAnsi="Arial" w:cs="Arial"/>
          <w:highlight w:val="yellow"/>
        </w:rPr>
        <w:t>2</w:t>
      </w:r>
      <w:r w:rsidRPr="00E76F6A">
        <w:rPr>
          <w:rFonts w:ascii="Arial" w:hAnsi="Arial" w:cs="Arial"/>
          <w:highlight w:val="yellow"/>
        </w:rPr>
        <w:t>).</w:t>
      </w:r>
    </w:p>
    <w:p w14:paraId="748B9BC6" w14:textId="77777777" w:rsidR="002D3887" w:rsidRPr="00E76F6A" w:rsidRDefault="002D3887" w:rsidP="002D3887">
      <w:pPr>
        <w:spacing w:after="0" w:line="360" w:lineRule="auto"/>
        <w:rPr>
          <w:rFonts w:ascii="Arial" w:hAnsi="Arial" w:cs="Arial"/>
          <w:highlight w:val="yellow"/>
        </w:rPr>
      </w:pPr>
      <w:r w:rsidRPr="00E76F6A">
        <w:rPr>
          <w:rFonts w:ascii="Arial" w:hAnsi="Arial" w:cs="Arial"/>
          <w:highlight w:val="yellow"/>
        </w:rPr>
        <w:t xml:space="preserve">In addition to food uses, flaxseed also has major industrial applications. The </w:t>
      </w:r>
      <w:proofErr w:type="spellStart"/>
      <w:r w:rsidRPr="00E76F6A">
        <w:rPr>
          <w:rFonts w:ascii="Arial" w:hAnsi="Arial" w:cs="Arial"/>
          <w:highlight w:val="yellow"/>
        </w:rPr>
        <w:t>fibers</w:t>
      </w:r>
      <w:proofErr w:type="spellEnd"/>
      <w:r w:rsidRPr="00E76F6A">
        <w:rPr>
          <w:rFonts w:ascii="Arial" w:hAnsi="Arial" w:cs="Arial"/>
          <w:highlight w:val="yellow"/>
        </w:rPr>
        <w:t xml:space="preserve"> extracted from flax are used in textiles, paper production, and biodegradable materials, while flaxseed oil is employed in paints, varnishes, and linoleum manufacturing. These applications increase the economic value of the crop and provide profitable opportunities for farmers. However, the incorporation of flaxseed into food products presents challenges related to formulation, processing, and storage stability (</w:t>
      </w:r>
      <w:proofErr w:type="spellStart"/>
      <w:r w:rsidRPr="00E76F6A">
        <w:rPr>
          <w:rFonts w:ascii="Arial" w:hAnsi="Arial" w:cs="Arial"/>
          <w:highlight w:val="yellow"/>
        </w:rPr>
        <w:t>Drozłowska</w:t>
      </w:r>
      <w:proofErr w:type="spellEnd"/>
      <w:r w:rsidRPr="00E76F6A">
        <w:rPr>
          <w:rFonts w:ascii="Arial" w:hAnsi="Arial" w:cs="Arial"/>
          <w:highlight w:val="yellow"/>
        </w:rPr>
        <w:t xml:space="preserve"> et al., 2020).</w:t>
      </w:r>
    </w:p>
    <w:p w14:paraId="2AE3F6F0" w14:textId="15612A65" w:rsidR="002D3887" w:rsidRPr="00E76F6A" w:rsidRDefault="002D3887" w:rsidP="002D3887">
      <w:pPr>
        <w:spacing w:after="0" w:line="360" w:lineRule="auto"/>
        <w:rPr>
          <w:rFonts w:ascii="Arial" w:hAnsi="Arial" w:cs="Arial"/>
          <w:highlight w:val="yellow"/>
        </w:rPr>
      </w:pPr>
      <w:r w:rsidRPr="00E76F6A">
        <w:rPr>
          <w:rFonts w:ascii="Arial" w:hAnsi="Arial" w:cs="Arial"/>
          <w:highlight w:val="yellow"/>
        </w:rPr>
        <w:t xml:space="preserve">Sustainable utilization of flaxseed and its by-products is closely linked with circular economy principles and waste reduction strategies. Whole flaxseeds are incorporated into food products such as bread, granola bars, and smoothies, while by-products like flaxseed meal are utilized in animal feed and nutritional supplements. Advanced extraction methods, including cold-press technology, help preserve oil quality while minimizing waste generation (Dunford, 2022). Researchers are also exploring the use of flax </w:t>
      </w:r>
      <w:proofErr w:type="spellStart"/>
      <w:r w:rsidRPr="00E76F6A">
        <w:rPr>
          <w:rFonts w:ascii="Arial" w:hAnsi="Arial" w:cs="Arial"/>
          <w:highlight w:val="yellow"/>
        </w:rPr>
        <w:t>fibers</w:t>
      </w:r>
      <w:proofErr w:type="spellEnd"/>
      <w:r w:rsidRPr="00E76F6A">
        <w:rPr>
          <w:rFonts w:ascii="Arial" w:hAnsi="Arial" w:cs="Arial"/>
          <w:highlight w:val="yellow"/>
        </w:rPr>
        <w:t xml:space="preserve"> in biodegradable composites and the recovery of phytochemicals for pharmaceutical and cosmetic industries. Precision farming and eco-friendly agricultural practices further contribute to improving sustainability and resource efficiency in flaxseed cultivation (Ilyas et al., 2023).</w:t>
      </w:r>
    </w:p>
    <w:p w14:paraId="06852058" w14:textId="5482669F" w:rsidR="002D3887" w:rsidRPr="002D3887" w:rsidRDefault="002D3887" w:rsidP="002D3887">
      <w:pPr>
        <w:spacing w:after="0" w:line="360" w:lineRule="auto"/>
        <w:rPr>
          <w:rFonts w:ascii="Arial" w:hAnsi="Arial" w:cs="Arial"/>
        </w:rPr>
      </w:pPr>
      <w:r w:rsidRPr="00E76F6A">
        <w:rPr>
          <w:rFonts w:ascii="Arial" w:hAnsi="Arial" w:cs="Arial"/>
          <w:highlight w:val="yellow"/>
        </w:rPr>
        <w:t xml:space="preserve">Despite its numerous benefits, flaxseed contains certain antinutritional compounds such as phytic acid, oxalates, cyanogenic glycosides, and goitrogens, which may affect human health if consumed in excessive amounts (Dahal &amp; Koirala, 2020). Various processing methods, including boiling, soaking, fermentation, enzymatic treatment, and heat processing, are commonly used to reduce these compounds while maintaining nutritional quality (Kataria et al., 2022). At the same time, some antinutritional factors may also provide health-promoting effects, emphasizing the need for balanced processing approaches. Therefore, continuous </w:t>
      </w:r>
      <w:r w:rsidRPr="00E76F6A">
        <w:rPr>
          <w:rFonts w:ascii="Arial" w:hAnsi="Arial" w:cs="Arial"/>
          <w:highlight w:val="yellow"/>
        </w:rPr>
        <w:lastRenderedPageBreak/>
        <w:t>improvement in processing technologies and product development is essential to maximize the functional and industrial potential of flaxseed.</w:t>
      </w:r>
    </w:p>
    <w:p w14:paraId="4C97F960" w14:textId="77777777" w:rsidR="00852CE3" w:rsidRDefault="00852CE3" w:rsidP="00753284">
      <w:pPr>
        <w:spacing w:after="0" w:line="360" w:lineRule="auto"/>
        <w:rPr>
          <w:rFonts w:ascii="Arial" w:hAnsi="Arial" w:cs="Arial"/>
        </w:rPr>
      </w:pPr>
    </w:p>
    <w:p w14:paraId="60F03591" w14:textId="407A75A3" w:rsidR="00514DF8" w:rsidRPr="0034736A" w:rsidRDefault="00025262" w:rsidP="00753284">
      <w:pPr>
        <w:spacing w:after="0" w:line="360" w:lineRule="auto"/>
        <w:rPr>
          <w:rFonts w:ascii="Arial" w:hAnsi="Arial" w:cs="Arial"/>
        </w:rPr>
      </w:pPr>
      <w:r w:rsidRPr="0034736A">
        <w:rPr>
          <w:rFonts w:ascii="Arial" w:hAnsi="Arial" w:cs="Arial"/>
        </w:rPr>
        <w:t>Linseed (</w:t>
      </w:r>
      <w:proofErr w:type="spellStart"/>
      <w:r w:rsidR="00E40DC2" w:rsidRPr="00E40DC2">
        <w:rPr>
          <w:rFonts w:ascii="Arial" w:hAnsi="Arial" w:cs="Arial"/>
          <w:i/>
          <w:iCs/>
        </w:rPr>
        <w:t>Linum</w:t>
      </w:r>
      <w:proofErr w:type="spellEnd"/>
      <w:r w:rsidR="00E40DC2" w:rsidRPr="00E40DC2">
        <w:rPr>
          <w:rFonts w:ascii="Arial" w:hAnsi="Arial" w:cs="Arial"/>
          <w:i/>
          <w:iCs/>
        </w:rPr>
        <w:t xml:space="preserve"> </w:t>
      </w:r>
      <w:proofErr w:type="spellStart"/>
      <w:r w:rsidR="00E40DC2" w:rsidRPr="00E40DC2">
        <w:rPr>
          <w:rFonts w:ascii="Arial" w:hAnsi="Arial" w:cs="Arial"/>
          <w:i/>
          <w:iCs/>
        </w:rPr>
        <w:t>usitatissimum</w:t>
      </w:r>
      <w:proofErr w:type="spellEnd"/>
      <w:r w:rsidR="00E40DC2" w:rsidRPr="00E40DC2">
        <w:rPr>
          <w:rFonts w:ascii="Arial" w:hAnsi="Arial" w:cs="Arial"/>
          <w:i/>
          <w:iCs/>
        </w:rPr>
        <w:t xml:space="preserve"> </w:t>
      </w:r>
      <w:r w:rsidRPr="0034736A">
        <w:rPr>
          <w:rFonts w:ascii="Arial" w:hAnsi="Arial" w:cs="Arial"/>
        </w:rPr>
        <w:t xml:space="preserve">L.) is a self-pollinated (autogamy) crop and diploid plant with chromosome number 2n=30 that single set of chromosomes is n=15 and genome size are </w:t>
      </w:r>
      <m:oMath>
        <m:r>
          <w:rPr>
            <w:rFonts w:ascii="Cambria Math" w:hAnsi="Cambria Math" w:cs="Arial"/>
          </w:rPr>
          <m:t>~</m:t>
        </m:r>
      </m:oMath>
      <w:r w:rsidRPr="0034736A">
        <w:rPr>
          <w:rFonts w:ascii="Arial" w:eastAsiaTheme="minorEastAsia" w:hAnsi="Arial" w:cs="Arial"/>
        </w:rPr>
        <w:t xml:space="preserve">370-400 Mb. Linseed belongs to the genus </w:t>
      </w:r>
      <w:proofErr w:type="spellStart"/>
      <w:r w:rsidRPr="0034736A">
        <w:rPr>
          <w:rFonts w:ascii="Arial" w:eastAsiaTheme="minorEastAsia" w:hAnsi="Arial" w:cs="Arial"/>
          <w:i/>
          <w:iCs/>
        </w:rPr>
        <w:t>Linum</w:t>
      </w:r>
      <w:proofErr w:type="spellEnd"/>
      <w:r w:rsidRPr="0034736A">
        <w:rPr>
          <w:rFonts w:ascii="Arial" w:eastAsiaTheme="minorEastAsia" w:hAnsi="Arial" w:cs="Arial"/>
        </w:rPr>
        <w:t xml:space="preserve"> and Family </w:t>
      </w:r>
      <w:proofErr w:type="spellStart"/>
      <w:r w:rsidRPr="0034736A">
        <w:rPr>
          <w:rFonts w:ascii="Arial" w:eastAsiaTheme="minorEastAsia" w:hAnsi="Arial" w:cs="Arial"/>
          <w:i/>
          <w:iCs/>
        </w:rPr>
        <w:t>Linaceae</w:t>
      </w:r>
      <w:proofErr w:type="spellEnd"/>
      <w:r w:rsidRPr="0034736A">
        <w:rPr>
          <w:rFonts w:ascii="Arial" w:eastAsiaTheme="minorEastAsia" w:hAnsi="Arial" w:cs="Arial"/>
          <w:i/>
          <w:iCs/>
        </w:rPr>
        <w:t xml:space="preserve"> </w:t>
      </w:r>
      <w:r w:rsidRPr="0034736A">
        <w:rPr>
          <w:rFonts w:ascii="Arial" w:eastAsiaTheme="minorEastAsia" w:hAnsi="Arial" w:cs="Arial"/>
        </w:rPr>
        <w:t xml:space="preserve">botanically known as </w:t>
      </w:r>
      <w:proofErr w:type="spellStart"/>
      <w:r w:rsidRPr="0034736A">
        <w:rPr>
          <w:rFonts w:ascii="Arial" w:eastAsiaTheme="minorEastAsia" w:hAnsi="Arial" w:cs="Arial"/>
          <w:i/>
          <w:iCs/>
        </w:rPr>
        <w:t>Linam</w:t>
      </w:r>
      <w:proofErr w:type="spellEnd"/>
      <w:r w:rsidRPr="0034736A">
        <w:rPr>
          <w:rFonts w:ascii="Arial" w:eastAsiaTheme="minorEastAsia" w:hAnsi="Arial" w:cs="Arial"/>
          <w:i/>
          <w:iCs/>
        </w:rPr>
        <w:t xml:space="preserve"> </w:t>
      </w:r>
      <w:proofErr w:type="spellStart"/>
      <w:r w:rsidRPr="0034736A">
        <w:rPr>
          <w:rFonts w:ascii="Arial" w:eastAsiaTheme="minorEastAsia" w:hAnsi="Arial" w:cs="Arial"/>
          <w:i/>
          <w:iCs/>
        </w:rPr>
        <w:t>Usitatissimum</w:t>
      </w:r>
      <w:proofErr w:type="spellEnd"/>
      <w:r w:rsidRPr="0034736A">
        <w:rPr>
          <w:rFonts w:ascii="Arial" w:eastAsiaTheme="minorEastAsia" w:hAnsi="Arial" w:cs="Arial"/>
        </w:rPr>
        <w:t xml:space="preserve"> was given by Linnaeus book “</w:t>
      </w:r>
      <w:r w:rsidRPr="0034736A">
        <w:rPr>
          <w:rFonts w:ascii="Arial" w:eastAsiaTheme="minorEastAsia" w:hAnsi="Arial" w:cs="Arial"/>
          <w:i/>
          <w:iCs/>
        </w:rPr>
        <w:t>Species Plantarum</w:t>
      </w:r>
      <w:r w:rsidRPr="0034736A">
        <w:rPr>
          <w:rFonts w:ascii="Arial" w:eastAsiaTheme="minorEastAsia" w:hAnsi="Arial" w:cs="Arial"/>
        </w:rPr>
        <w:t xml:space="preserve">” ( Linnaeus 1857), Linseed belonging </w:t>
      </w:r>
      <w:proofErr w:type="spellStart"/>
      <w:r w:rsidRPr="0034736A">
        <w:rPr>
          <w:rFonts w:ascii="Arial" w:eastAsiaTheme="minorEastAsia" w:hAnsi="Arial" w:cs="Arial"/>
          <w:i/>
          <w:iCs/>
        </w:rPr>
        <w:t>Geraniale</w:t>
      </w:r>
      <w:proofErr w:type="spellEnd"/>
      <w:r w:rsidRPr="0034736A">
        <w:rPr>
          <w:rFonts w:ascii="Arial" w:eastAsiaTheme="minorEastAsia" w:hAnsi="Arial" w:cs="Arial"/>
        </w:rPr>
        <w:t xml:space="preserve"> Oder and having 14 genera and overall, 200 species but only </w:t>
      </w:r>
      <w:proofErr w:type="spellStart"/>
      <w:r w:rsidR="00E40DC2" w:rsidRPr="00E40DC2">
        <w:rPr>
          <w:rFonts w:ascii="Arial" w:eastAsiaTheme="minorEastAsia" w:hAnsi="Arial" w:cs="Arial"/>
          <w:i/>
          <w:iCs/>
        </w:rPr>
        <w:t>Linum</w:t>
      </w:r>
      <w:proofErr w:type="spellEnd"/>
      <w:r w:rsidR="00E40DC2" w:rsidRPr="00E40DC2">
        <w:rPr>
          <w:rFonts w:ascii="Arial" w:eastAsiaTheme="minorEastAsia" w:hAnsi="Arial" w:cs="Arial"/>
          <w:i/>
          <w:iCs/>
        </w:rPr>
        <w:t xml:space="preserve"> </w:t>
      </w:r>
      <w:proofErr w:type="spellStart"/>
      <w:r w:rsidR="00E40DC2" w:rsidRPr="00E40DC2">
        <w:rPr>
          <w:rFonts w:ascii="Arial" w:eastAsiaTheme="minorEastAsia" w:hAnsi="Arial" w:cs="Arial"/>
          <w:i/>
          <w:iCs/>
        </w:rPr>
        <w:t>usitatissimum</w:t>
      </w:r>
      <w:proofErr w:type="spellEnd"/>
      <w:r w:rsidR="00E40DC2" w:rsidRPr="00E40DC2">
        <w:rPr>
          <w:rFonts w:ascii="Arial" w:eastAsiaTheme="minorEastAsia" w:hAnsi="Arial" w:cs="Arial"/>
          <w:i/>
          <w:iCs/>
        </w:rPr>
        <w:t xml:space="preserve"> </w:t>
      </w:r>
      <w:r w:rsidRPr="0034736A">
        <w:rPr>
          <w:rFonts w:ascii="Arial" w:eastAsiaTheme="minorEastAsia" w:hAnsi="Arial" w:cs="Arial"/>
        </w:rPr>
        <w:t>is in the family with the economic value and mostly</w:t>
      </w:r>
      <w:r w:rsidR="00752B15">
        <w:rPr>
          <w:rFonts w:ascii="Arial" w:eastAsiaTheme="minorEastAsia" w:hAnsi="Arial" w:cs="Arial"/>
        </w:rPr>
        <w:t xml:space="preserve"> the</w:t>
      </w:r>
      <w:r w:rsidRPr="0034736A">
        <w:rPr>
          <w:rFonts w:ascii="Arial" w:eastAsiaTheme="minorEastAsia" w:hAnsi="Arial" w:cs="Arial"/>
        </w:rPr>
        <w:t xml:space="preserve">  species are annual herb</w:t>
      </w:r>
      <w:r w:rsidR="00752B15">
        <w:rPr>
          <w:rFonts w:ascii="Arial" w:eastAsiaTheme="minorEastAsia" w:hAnsi="Arial" w:cs="Arial"/>
        </w:rPr>
        <w:t>s</w:t>
      </w:r>
      <w:r w:rsidRPr="0034736A">
        <w:rPr>
          <w:rFonts w:ascii="Arial" w:eastAsiaTheme="minorEastAsia" w:hAnsi="Arial" w:cs="Arial"/>
        </w:rPr>
        <w:t xml:space="preserve"> and some shrubs.</w:t>
      </w:r>
      <w:r w:rsidRPr="001D178A">
        <w:rPr>
          <w:rFonts w:ascii="Arial" w:eastAsiaTheme="minorEastAsia" w:hAnsi="Arial" w:cs="Arial"/>
          <w:color w:val="000000" w:themeColor="text1"/>
        </w:rPr>
        <w:t xml:space="preserve"> </w:t>
      </w:r>
      <w:r w:rsidR="001D178A" w:rsidRPr="001D178A">
        <w:rPr>
          <w:rFonts w:ascii="Arial" w:eastAsiaTheme="minorEastAsia" w:hAnsi="Arial" w:cs="Arial"/>
          <w:color w:val="000000" w:themeColor="text1"/>
          <w:highlight w:val="yellow"/>
        </w:rPr>
        <w:t xml:space="preserve">Linseed has two proposed centres of origin, with one major centre identified in South-West Asia (Nikolai Vavilov, 1935; R. H. </w:t>
      </w:r>
      <w:proofErr w:type="spellStart"/>
      <w:r w:rsidR="001D178A" w:rsidRPr="001D178A">
        <w:rPr>
          <w:rFonts w:ascii="Arial" w:eastAsiaTheme="minorEastAsia" w:hAnsi="Arial" w:cs="Arial"/>
          <w:color w:val="000000" w:themeColor="text1"/>
          <w:highlight w:val="yellow"/>
        </w:rPr>
        <w:t>Richharia</w:t>
      </w:r>
      <w:proofErr w:type="spellEnd"/>
      <w:r w:rsidR="001D178A" w:rsidRPr="001D178A">
        <w:rPr>
          <w:rFonts w:ascii="Arial" w:eastAsiaTheme="minorEastAsia" w:hAnsi="Arial" w:cs="Arial"/>
          <w:color w:val="000000" w:themeColor="text1"/>
          <w:highlight w:val="yellow"/>
        </w:rPr>
        <w:t xml:space="preserve">, 1962). </w:t>
      </w:r>
      <w:proofErr w:type="spellStart"/>
      <w:r w:rsidR="00E40DC2" w:rsidRPr="00E40DC2">
        <w:rPr>
          <w:rFonts w:ascii="Arial" w:eastAsiaTheme="minorEastAsia" w:hAnsi="Arial" w:cs="Arial"/>
          <w:i/>
          <w:iCs/>
          <w:color w:val="000000" w:themeColor="text1"/>
          <w:highlight w:val="yellow"/>
        </w:rPr>
        <w:t>Linum</w:t>
      </w:r>
      <w:proofErr w:type="spellEnd"/>
      <w:r w:rsidR="00E40DC2" w:rsidRPr="00E40DC2">
        <w:rPr>
          <w:rFonts w:ascii="Arial" w:eastAsiaTheme="minorEastAsia" w:hAnsi="Arial" w:cs="Arial"/>
          <w:i/>
          <w:iCs/>
          <w:color w:val="000000" w:themeColor="text1"/>
          <w:highlight w:val="yellow"/>
        </w:rPr>
        <w:t xml:space="preserve"> </w:t>
      </w:r>
      <w:proofErr w:type="spellStart"/>
      <w:r w:rsidR="00E40DC2" w:rsidRPr="00E40DC2">
        <w:rPr>
          <w:rFonts w:ascii="Arial" w:eastAsiaTheme="minorEastAsia" w:hAnsi="Arial" w:cs="Arial"/>
          <w:i/>
          <w:iCs/>
          <w:color w:val="000000" w:themeColor="text1"/>
          <w:highlight w:val="yellow"/>
        </w:rPr>
        <w:t>usitatissimum</w:t>
      </w:r>
      <w:proofErr w:type="spellEnd"/>
      <w:r w:rsidR="00E40DC2" w:rsidRPr="00E40DC2">
        <w:rPr>
          <w:rFonts w:ascii="Arial" w:eastAsiaTheme="minorEastAsia" w:hAnsi="Arial" w:cs="Arial"/>
          <w:i/>
          <w:iCs/>
          <w:color w:val="000000" w:themeColor="text1"/>
          <w:highlight w:val="yellow"/>
        </w:rPr>
        <w:t xml:space="preserve"> </w:t>
      </w:r>
      <w:r w:rsidR="001D178A" w:rsidRPr="001D178A">
        <w:rPr>
          <w:rFonts w:ascii="Arial" w:eastAsiaTheme="minorEastAsia" w:hAnsi="Arial" w:cs="Arial"/>
          <w:color w:val="000000" w:themeColor="text1"/>
          <w:highlight w:val="yellow"/>
        </w:rPr>
        <w:t>L. is one of the oldest crops cultivated by humans, with a cultivation history dating back approximately 6000–7000 years (Paul et al., 2020).</w:t>
      </w:r>
      <w:r w:rsidRPr="0034736A">
        <w:rPr>
          <w:rFonts w:ascii="Arial" w:eastAsiaTheme="minorEastAsia" w:hAnsi="Arial" w:cs="Arial"/>
        </w:rPr>
        <w:t xml:space="preserve"> </w:t>
      </w:r>
      <w:proofErr w:type="spellStart"/>
      <w:r w:rsidR="00E40DC2" w:rsidRPr="00E40DC2">
        <w:rPr>
          <w:rFonts w:ascii="Arial" w:eastAsiaTheme="minorEastAsia" w:hAnsi="Arial" w:cs="Arial"/>
          <w:i/>
          <w:iCs/>
        </w:rPr>
        <w:t>Linum</w:t>
      </w:r>
      <w:proofErr w:type="spellEnd"/>
      <w:r w:rsidR="00E40DC2" w:rsidRPr="00E40DC2">
        <w:rPr>
          <w:rFonts w:ascii="Arial" w:eastAsiaTheme="minorEastAsia" w:hAnsi="Arial" w:cs="Arial"/>
          <w:i/>
          <w:iCs/>
        </w:rPr>
        <w:t xml:space="preserve"> </w:t>
      </w:r>
      <w:proofErr w:type="spellStart"/>
      <w:r w:rsidR="00E40DC2" w:rsidRPr="00E40DC2">
        <w:rPr>
          <w:rFonts w:ascii="Arial" w:eastAsiaTheme="minorEastAsia" w:hAnsi="Arial" w:cs="Arial"/>
          <w:i/>
          <w:iCs/>
        </w:rPr>
        <w:t>usitatissimum</w:t>
      </w:r>
      <w:proofErr w:type="spellEnd"/>
      <w:r w:rsidR="00E40DC2" w:rsidRPr="00E40DC2">
        <w:rPr>
          <w:rFonts w:ascii="Arial" w:eastAsiaTheme="minorEastAsia" w:hAnsi="Arial" w:cs="Arial"/>
          <w:i/>
          <w:iCs/>
        </w:rPr>
        <w:t xml:space="preserve"> </w:t>
      </w:r>
      <w:r w:rsidRPr="0034736A">
        <w:rPr>
          <w:rFonts w:ascii="Arial" w:eastAsiaTheme="minorEastAsia" w:hAnsi="Arial" w:cs="Arial"/>
        </w:rPr>
        <w:t>L. is one of the oldest plant species used for its fib</w:t>
      </w:r>
      <w:r w:rsidR="00752B15">
        <w:rPr>
          <w:rFonts w:ascii="Arial" w:eastAsiaTheme="minorEastAsia" w:hAnsi="Arial" w:cs="Arial"/>
        </w:rPr>
        <w:t>re</w:t>
      </w:r>
      <w:r w:rsidRPr="0034736A">
        <w:rPr>
          <w:rFonts w:ascii="Arial" w:eastAsiaTheme="minorEastAsia" w:hAnsi="Arial" w:cs="Arial"/>
        </w:rPr>
        <w:t xml:space="preserve"> and oil (Lay and Dybing, 1989).</w:t>
      </w:r>
      <w:r w:rsidR="004A73D2" w:rsidRPr="0034736A">
        <w:rPr>
          <w:rFonts w:ascii="Arial" w:eastAsiaTheme="minorEastAsia" w:hAnsi="Arial" w:cs="Arial"/>
        </w:rPr>
        <w:t xml:space="preserve"> Two morphologically distinct cultivated species of linseed are recognized, namely Flax and Linseed. The flax types are commercially grown for the extraction of fibres, whereas the linseed is meant for the extraction of oil from seeds</w:t>
      </w:r>
      <w:r w:rsidR="00752B15">
        <w:rPr>
          <w:rFonts w:ascii="Arial" w:eastAsiaTheme="minorEastAsia" w:hAnsi="Arial" w:cs="Arial"/>
        </w:rPr>
        <w:t>.</w:t>
      </w:r>
      <w:r w:rsidR="00514DF8" w:rsidRPr="0034736A">
        <w:rPr>
          <w:rFonts w:ascii="Arial" w:eastAsiaTheme="minorEastAsia" w:hAnsi="Arial" w:cs="Arial"/>
        </w:rPr>
        <w:t xml:space="preserve"> </w:t>
      </w:r>
      <w:r w:rsidR="00514DF8" w:rsidRPr="0034736A">
        <w:rPr>
          <w:rFonts w:ascii="Arial" w:hAnsi="Arial" w:cs="Arial"/>
        </w:rPr>
        <w:t>Linseed is</w:t>
      </w:r>
      <w:r w:rsidR="00752B15">
        <w:rPr>
          <w:rFonts w:ascii="Arial" w:hAnsi="Arial" w:cs="Arial"/>
        </w:rPr>
        <w:t xml:space="preserve"> similar to</w:t>
      </w:r>
      <w:r w:rsidR="00514DF8" w:rsidRPr="0034736A">
        <w:rPr>
          <w:rFonts w:ascii="Arial" w:hAnsi="Arial" w:cs="Arial"/>
        </w:rPr>
        <w:t xml:space="preserve"> rice in nutritional composition, the oil content of the seed generally varies from 33-45% (Gill, 1987). The oil utilisation of linseed is approximately 20 percent used for edible and domestic purpose and 80% goes for industrial uses</w:t>
      </w:r>
      <w:r w:rsidR="004A73D2" w:rsidRPr="0034736A">
        <w:rPr>
          <w:rFonts w:ascii="Arial" w:eastAsiaTheme="minorEastAsia" w:hAnsi="Arial" w:cs="Arial"/>
        </w:rPr>
        <w:t>.</w:t>
      </w:r>
      <w:r w:rsidR="00514DF8" w:rsidRPr="0034736A">
        <w:rPr>
          <w:rFonts w:ascii="Arial" w:eastAsiaTheme="minorEastAsia" w:hAnsi="Arial" w:cs="Arial"/>
        </w:rPr>
        <w:t xml:space="preserve"> </w:t>
      </w:r>
      <w:r w:rsidR="00514DF8" w:rsidRPr="0034736A">
        <w:rPr>
          <w:rFonts w:ascii="Arial" w:hAnsi="Arial" w:cs="Arial"/>
        </w:rPr>
        <w:t>Linseed also contains protein 20-25%, fat 35-40%, which is mostly</w:t>
      </w:r>
      <w:r w:rsidR="00752B15">
        <w:rPr>
          <w:rFonts w:ascii="Arial" w:hAnsi="Arial" w:cs="Arial"/>
        </w:rPr>
        <w:t xml:space="preserve"> in the</w:t>
      </w:r>
      <w:r w:rsidR="00514DF8" w:rsidRPr="0034736A">
        <w:rPr>
          <w:rFonts w:ascii="Arial" w:hAnsi="Arial" w:cs="Arial"/>
        </w:rPr>
        <w:t xml:space="preserve"> form of polyunsaturated fatty acid (PUFA), carbohydrates 25-30%, </w:t>
      </w:r>
      <w:r w:rsidR="00752B15">
        <w:rPr>
          <w:rFonts w:ascii="Arial" w:hAnsi="Arial" w:cs="Arial"/>
        </w:rPr>
        <w:t xml:space="preserve">mostly in the form of </w:t>
      </w:r>
      <w:r w:rsidR="00514DF8" w:rsidRPr="0034736A">
        <w:rPr>
          <w:rFonts w:ascii="Arial" w:hAnsi="Arial" w:cs="Arial"/>
        </w:rPr>
        <w:t xml:space="preserve"> fib</w:t>
      </w:r>
      <w:r w:rsidR="00752B15">
        <w:rPr>
          <w:rFonts w:ascii="Arial" w:hAnsi="Arial" w:cs="Arial"/>
        </w:rPr>
        <w:t>re</w:t>
      </w:r>
      <w:r w:rsidR="00514DF8" w:rsidRPr="0034736A">
        <w:rPr>
          <w:rFonts w:ascii="Arial" w:hAnsi="Arial" w:cs="Arial"/>
        </w:rPr>
        <w:t xml:space="preserve"> and fib</w:t>
      </w:r>
      <w:r w:rsidR="00752B15">
        <w:rPr>
          <w:rFonts w:ascii="Arial" w:hAnsi="Arial" w:cs="Arial"/>
        </w:rPr>
        <w:t>re</w:t>
      </w:r>
      <w:r w:rsidR="00514DF8" w:rsidRPr="0034736A">
        <w:rPr>
          <w:rFonts w:ascii="Arial" w:hAnsi="Arial" w:cs="Arial"/>
        </w:rPr>
        <w:t xml:space="preserve"> is present in 25-30% in</w:t>
      </w:r>
      <w:r w:rsidR="00752B15">
        <w:rPr>
          <w:rFonts w:ascii="Arial" w:hAnsi="Arial" w:cs="Arial"/>
        </w:rPr>
        <w:t xml:space="preserve"> both</w:t>
      </w:r>
      <w:r w:rsidR="00514DF8" w:rsidRPr="0034736A">
        <w:rPr>
          <w:rFonts w:ascii="Arial" w:hAnsi="Arial" w:cs="Arial"/>
        </w:rPr>
        <w:t xml:space="preserve"> soluble and insoluble condition</w:t>
      </w:r>
      <w:r w:rsidR="00752B15">
        <w:rPr>
          <w:rFonts w:ascii="Arial" w:hAnsi="Arial" w:cs="Arial"/>
        </w:rPr>
        <w:t>s</w:t>
      </w:r>
      <w:r w:rsidR="00514DF8" w:rsidRPr="0034736A">
        <w:rPr>
          <w:rFonts w:ascii="Arial" w:hAnsi="Arial" w:cs="Arial"/>
        </w:rPr>
        <w:t xml:space="preserve"> a</w:t>
      </w:r>
      <w:r w:rsidR="00752B15">
        <w:rPr>
          <w:rFonts w:ascii="Arial" w:hAnsi="Arial" w:cs="Arial"/>
        </w:rPr>
        <w:t xml:space="preserve">nd </w:t>
      </w:r>
      <w:r w:rsidR="00514DF8" w:rsidRPr="0034736A">
        <w:rPr>
          <w:rFonts w:ascii="Arial" w:hAnsi="Arial" w:cs="Arial"/>
        </w:rPr>
        <w:t>some essential minerals like magnesium, phosphorus and manganese (Gill, 1987)</w:t>
      </w:r>
      <w:r w:rsidR="00BC05EC" w:rsidRPr="0034736A">
        <w:rPr>
          <w:rFonts w:ascii="Arial" w:hAnsi="Arial" w:cs="Arial"/>
        </w:rPr>
        <w:t xml:space="preserve"> and antioxidant (31.13-48.44%), flavonoid content (14-21 mg/100g) and total sugar content (1.50-1.80%) contain in linseed, while the omega-3 fatty acids (ALA) (57% of total fatty acids) and omega-6 fatty acids (16% of total fatty acids) (Paliwal </w:t>
      </w:r>
      <w:r w:rsidR="008000D7" w:rsidRPr="0034736A">
        <w:rPr>
          <w:rFonts w:ascii="Arial" w:hAnsi="Arial" w:cs="Arial"/>
          <w:i/>
          <w:iCs/>
        </w:rPr>
        <w:t>et al.,</w:t>
      </w:r>
      <w:r w:rsidR="00BC05EC" w:rsidRPr="0034736A">
        <w:rPr>
          <w:rFonts w:ascii="Arial" w:hAnsi="Arial" w:cs="Arial"/>
        </w:rPr>
        <w:t xml:space="preserve"> 2024)</w:t>
      </w:r>
      <w:r w:rsidR="00746785">
        <w:rPr>
          <w:rFonts w:ascii="Arial" w:hAnsi="Arial" w:cs="Arial"/>
        </w:rPr>
        <w:t>.</w:t>
      </w:r>
      <w:r w:rsidR="00514DF8" w:rsidRPr="0034736A">
        <w:rPr>
          <w:rFonts w:ascii="Arial" w:hAnsi="Arial" w:cs="Arial"/>
        </w:rPr>
        <w:t xml:space="preserve"> Linseed is</w:t>
      </w:r>
      <w:r w:rsidR="00746785">
        <w:rPr>
          <w:rFonts w:ascii="Arial" w:hAnsi="Arial" w:cs="Arial"/>
        </w:rPr>
        <w:t xml:space="preserve"> a </w:t>
      </w:r>
      <w:r w:rsidR="00514DF8" w:rsidRPr="0034736A">
        <w:rPr>
          <w:rFonts w:ascii="Arial" w:hAnsi="Arial" w:cs="Arial"/>
        </w:rPr>
        <w:t>good source of calcium and phosphorus with their contents as 170 and 370 mg/100 g respectively (</w:t>
      </w:r>
      <w:proofErr w:type="spellStart"/>
      <w:r w:rsidR="00514DF8" w:rsidRPr="0034736A">
        <w:rPr>
          <w:rFonts w:ascii="Arial" w:hAnsi="Arial" w:cs="Arial"/>
        </w:rPr>
        <w:t>Kasana</w:t>
      </w:r>
      <w:proofErr w:type="spellEnd"/>
      <w:r w:rsidR="00514DF8" w:rsidRPr="0034736A">
        <w:rPr>
          <w:rFonts w:ascii="Arial" w:hAnsi="Arial" w:cs="Arial"/>
        </w:rPr>
        <w:t xml:space="preserve"> </w:t>
      </w:r>
      <w:r w:rsidR="008000D7" w:rsidRPr="0034736A">
        <w:rPr>
          <w:rFonts w:ascii="Arial" w:hAnsi="Arial" w:cs="Arial"/>
          <w:i/>
          <w:iCs/>
        </w:rPr>
        <w:t>et al.,</w:t>
      </w:r>
      <w:r w:rsidR="00514DF8" w:rsidRPr="0034736A">
        <w:rPr>
          <w:rFonts w:ascii="Arial" w:hAnsi="Arial" w:cs="Arial"/>
        </w:rPr>
        <w:t xml:space="preserve"> 2018).</w:t>
      </w:r>
      <w:r w:rsidR="00514DF8" w:rsidRPr="0034736A">
        <w:rPr>
          <w:rFonts w:ascii="Arial" w:eastAsiaTheme="minorEastAsia" w:hAnsi="Arial" w:cs="Arial"/>
        </w:rPr>
        <w:t xml:space="preserve"> </w:t>
      </w:r>
      <w:r w:rsidRPr="0034736A">
        <w:rPr>
          <w:rFonts w:ascii="Arial" w:hAnsi="Arial" w:cs="Arial"/>
        </w:rPr>
        <w:t xml:space="preserve">Main producer of linseed </w:t>
      </w:r>
      <w:r w:rsidR="00746785">
        <w:rPr>
          <w:rFonts w:ascii="Arial" w:hAnsi="Arial" w:cs="Arial"/>
        </w:rPr>
        <w:t>is in the order-</w:t>
      </w:r>
      <w:r w:rsidRPr="0034736A">
        <w:rPr>
          <w:rFonts w:ascii="Arial" w:hAnsi="Arial" w:cs="Arial"/>
        </w:rPr>
        <w:t xml:space="preserve"> Russia&gt;Kazakhstan&gt;India. India is the 3</w:t>
      </w:r>
      <w:r w:rsidRPr="0034736A">
        <w:rPr>
          <w:rFonts w:ascii="Arial" w:hAnsi="Arial" w:cs="Arial"/>
          <w:vertAlign w:val="superscript"/>
        </w:rPr>
        <w:t xml:space="preserve">rd </w:t>
      </w:r>
      <w:r w:rsidRPr="0034736A">
        <w:rPr>
          <w:rFonts w:ascii="Arial" w:hAnsi="Arial" w:cs="Arial"/>
        </w:rPr>
        <w:t xml:space="preserve">largest producer of linseed crop in the world with 88.34 thousand ha., </w:t>
      </w:r>
      <w:r w:rsidR="00746785">
        <w:rPr>
          <w:rFonts w:ascii="Arial" w:hAnsi="Arial" w:cs="Arial"/>
        </w:rPr>
        <w:t>and</w:t>
      </w:r>
      <w:r w:rsidRPr="0034736A">
        <w:rPr>
          <w:rFonts w:ascii="Arial" w:hAnsi="Arial" w:cs="Arial"/>
        </w:rPr>
        <w:t xml:space="preserve"> the production of 119.32 thousand tonnes and average productivity of 634kg</w:t>
      </w:r>
      <w:r w:rsidRPr="0034736A">
        <w:rPr>
          <w:rFonts w:ascii="Arial" w:hAnsi="Arial" w:cs="Arial"/>
          <w:vertAlign w:val="superscript"/>
        </w:rPr>
        <w:t>-1</w:t>
      </w:r>
      <w:r w:rsidRPr="0034736A">
        <w:rPr>
          <w:rFonts w:ascii="Arial" w:hAnsi="Arial" w:cs="Arial"/>
        </w:rPr>
        <w:t xml:space="preserve"> ha. (FAOSTAT, 2024)</w:t>
      </w:r>
      <w:r w:rsidR="00354CC4" w:rsidRPr="0034736A">
        <w:rPr>
          <w:rFonts w:ascii="Arial" w:hAnsi="Arial" w:cs="Arial"/>
        </w:rPr>
        <w:t>.</w:t>
      </w:r>
      <w:r w:rsidR="00514DF8" w:rsidRPr="0034736A">
        <w:rPr>
          <w:rFonts w:ascii="Arial" w:hAnsi="Arial" w:cs="Arial"/>
        </w:rPr>
        <w:t xml:space="preserve"> Uttar Pradesh 3</w:t>
      </w:r>
      <w:r w:rsidR="00514DF8" w:rsidRPr="0034736A">
        <w:rPr>
          <w:rFonts w:ascii="Arial" w:hAnsi="Arial" w:cs="Arial"/>
          <w:vertAlign w:val="superscript"/>
        </w:rPr>
        <w:t>rd</w:t>
      </w:r>
      <w:r w:rsidR="00514DF8" w:rsidRPr="0034736A">
        <w:rPr>
          <w:rFonts w:ascii="Arial" w:hAnsi="Arial" w:cs="Arial"/>
        </w:rPr>
        <w:t xml:space="preserve"> higher producer after  Madhya Pradesh and Chhattisgarh</w:t>
      </w:r>
      <w:r w:rsidR="00746785">
        <w:rPr>
          <w:rFonts w:ascii="Arial" w:hAnsi="Arial" w:cs="Arial"/>
        </w:rPr>
        <w:t xml:space="preserve"> put together. In</w:t>
      </w:r>
      <w:r w:rsidR="00514DF8" w:rsidRPr="0034736A">
        <w:rPr>
          <w:rFonts w:ascii="Arial" w:hAnsi="Arial" w:cs="Arial"/>
        </w:rPr>
        <w:t xml:space="preserve"> Uttar Pradesh linseed is grown on 49365-thousand-hectare area producing 35,311 thousand tonnes with the average yield of 0.72 tonne ha</w:t>
      </w:r>
      <w:r w:rsidR="00514DF8" w:rsidRPr="0034736A">
        <w:rPr>
          <w:rFonts w:ascii="Arial" w:hAnsi="Arial" w:cs="Arial"/>
          <w:vertAlign w:val="superscript"/>
        </w:rPr>
        <w:t xml:space="preserve">-1 </w:t>
      </w:r>
      <w:r w:rsidR="00514DF8" w:rsidRPr="0034736A">
        <w:rPr>
          <w:rFonts w:ascii="Arial" w:hAnsi="Arial" w:cs="Arial"/>
        </w:rPr>
        <w:t xml:space="preserve">(FAOSTAT, 2023). Linseed has played an important role in several biological activities for instance anti-diabatic, anti-inflammatory and anti-oxidant </w:t>
      </w:r>
      <w:r w:rsidR="00746785">
        <w:rPr>
          <w:rFonts w:ascii="Arial" w:hAnsi="Arial" w:cs="Arial"/>
        </w:rPr>
        <w:t xml:space="preserve">due to the presence of </w:t>
      </w:r>
      <w:r w:rsidR="00514DF8" w:rsidRPr="0034736A">
        <w:rPr>
          <w:rFonts w:ascii="Arial" w:hAnsi="Arial" w:cs="Arial"/>
        </w:rPr>
        <w:t>pheno</w:t>
      </w:r>
      <w:r w:rsidR="00746785">
        <w:rPr>
          <w:rFonts w:ascii="Arial" w:hAnsi="Arial" w:cs="Arial"/>
        </w:rPr>
        <w:t>lics</w:t>
      </w:r>
      <w:r w:rsidR="00514DF8" w:rsidRPr="0034736A">
        <w:rPr>
          <w:rFonts w:ascii="Arial" w:hAnsi="Arial" w:cs="Arial"/>
        </w:rPr>
        <w:t xml:space="preserve">, carotenoids, tannins, vitamin-E, phenols and flavonoids . The major portion of flaxseed is composed of α-Linolenic acid (ALA). It has been observed that ALA reduces the risk of cardiac diseases </w:t>
      </w:r>
      <w:r w:rsidR="00514DF8" w:rsidRPr="0034736A">
        <w:rPr>
          <w:rFonts w:ascii="Arial" w:hAnsi="Arial" w:cs="Arial"/>
        </w:rPr>
        <w:lastRenderedPageBreak/>
        <w:t xml:space="preserve">through a reduction in triglyceride and serum cholesterol amounts present in the body (Goyal </w:t>
      </w:r>
      <w:r w:rsidR="008000D7" w:rsidRPr="0034736A">
        <w:rPr>
          <w:rFonts w:ascii="Arial" w:hAnsi="Arial" w:cs="Arial"/>
          <w:i/>
          <w:iCs/>
        </w:rPr>
        <w:t>et al.,</w:t>
      </w:r>
      <w:r w:rsidR="00514DF8" w:rsidRPr="0034736A">
        <w:rPr>
          <w:rFonts w:ascii="Arial" w:hAnsi="Arial" w:cs="Arial"/>
        </w:rPr>
        <w:t xml:space="preserve"> 2018).</w:t>
      </w:r>
    </w:p>
    <w:p w14:paraId="1F1ADEA9" w14:textId="7A43DA75" w:rsidR="00F31771" w:rsidRPr="0034736A" w:rsidRDefault="00F31771" w:rsidP="00753284">
      <w:pPr>
        <w:tabs>
          <w:tab w:val="left" w:pos="2694"/>
        </w:tabs>
        <w:spacing w:after="0" w:line="360" w:lineRule="auto"/>
        <w:rPr>
          <w:rFonts w:ascii="Times New Roman" w:eastAsiaTheme="minorEastAsia" w:hAnsi="Times New Roman" w:cs="Times New Roman"/>
          <w:sz w:val="24"/>
          <w:szCs w:val="24"/>
        </w:rPr>
      </w:pPr>
    </w:p>
    <w:p w14:paraId="499F584D" w14:textId="77777777" w:rsidR="00222957" w:rsidRPr="0034736A" w:rsidRDefault="00222957" w:rsidP="00222957">
      <w:pPr>
        <w:pStyle w:val="ListParagraph"/>
        <w:spacing w:after="0" w:line="360" w:lineRule="auto"/>
        <w:ind w:left="0"/>
        <w:rPr>
          <w:rFonts w:ascii="Arial" w:hAnsi="Arial" w:cs="Arial"/>
          <w:sz w:val="24"/>
          <w:szCs w:val="24"/>
        </w:rPr>
      </w:pPr>
      <w:r w:rsidRPr="0034736A">
        <w:rPr>
          <w:rFonts w:ascii="Arial" w:hAnsi="Arial" w:cs="Arial"/>
          <w:noProof/>
          <w:sz w:val="24"/>
          <w:szCs w:val="24"/>
        </w:rPr>
        <w:drawing>
          <wp:inline distT="0" distB="0" distL="0" distR="0" wp14:anchorId="2C946350" wp14:editId="53B2BDA4">
            <wp:extent cx="5859780" cy="4445000"/>
            <wp:effectExtent l="0" t="0" r="7620" b="0"/>
            <wp:docPr id="478180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9780" cy="4445000"/>
                    </a:xfrm>
                    <a:prstGeom prst="rect">
                      <a:avLst/>
                    </a:prstGeom>
                    <a:noFill/>
                    <a:ln>
                      <a:noFill/>
                    </a:ln>
                  </pic:spPr>
                </pic:pic>
              </a:graphicData>
            </a:graphic>
          </wp:inline>
        </w:drawing>
      </w:r>
    </w:p>
    <w:p w14:paraId="010B60FC" w14:textId="54D5854F" w:rsidR="00222957" w:rsidRPr="00CE5C97" w:rsidRDefault="00222957" w:rsidP="00222957">
      <w:pPr>
        <w:pStyle w:val="ListParagraph"/>
        <w:spacing w:after="0" w:line="360" w:lineRule="auto"/>
        <w:rPr>
          <w:rFonts w:ascii="Arial" w:hAnsi="Arial" w:cs="Arial"/>
          <w:highlight w:val="yellow"/>
        </w:rPr>
      </w:pPr>
      <w:r w:rsidRPr="0034736A">
        <w:rPr>
          <w:rFonts w:ascii="Arial" w:hAnsi="Arial" w:cs="Arial"/>
          <w:sz w:val="24"/>
          <w:szCs w:val="24"/>
        </w:rPr>
        <w:t>Fig.1</w:t>
      </w:r>
      <w:r w:rsidRPr="0034736A">
        <w:t xml:space="preserve"> </w:t>
      </w:r>
      <w:r w:rsidRPr="0034736A">
        <w:rPr>
          <w:rFonts w:ascii="Arial" w:hAnsi="Arial" w:cs="Arial"/>
        </w:rPr>
        <w:t xml:space="preserve">Assessment of Genetic Variability, Divergence, Biochemical influence on </w:t>
      </w:r>
      <w:r w:rsidRPr="00CE5C97">
        <w:rPr>
          <w:rFonts w:ascii="Arial" w:hAnsi="Arial" w:cs="Arial"/>
          <w:highlight w:val="yellow"/>
        </w:rPr>
        <w:t>Growth and Yield Parameter in Linseed</w:t>
      </w:r>
      <w:r w:rsidRPr="00CE5C97">
        <w:rPr>
          <w:rFonts w:ascii="Arial" w:hAnsi="Arial" w:cs="Arial"/>
          <w:sz w:val="24"/>
          <w:szCs w:val="24"/>
          <w:highlight w:val="yellow"/>
        </w:rPr>
        <w:t xml:space="preserve"> </w:t>
      </w:r>
      <w:r w:rsidRPr="00CE5C97">
        <w:rPr>
          <w:rFonts w:ascii="Arial" w:hAnsi="Arial" w:cs="Arial"/>
          <w:highlight w:val="yellow"/>
        </w:rPr>
        <w:t>(</w:t>
      </w:r>
      <w:proofErr w:type="spellStart"/>
      <w:r w:rsidR="00E40DC2" w:rsidRPr="00E40DC2">
        <w:rPr>
          <w:rFonts w:ascii="Arial" w:hAnsi="Arial" w:cs="Arial"/>
          <w:i/>
          <w:iCs/>
          <w:highlight w:val="yellow"/>
        </w:rPr>
        <w:t>Linum</w:t>
      </w:r>
      <w:proofErr w:type="spellEnd"/>
      <w:r w:rsidR="00E40DC2" w:rsidRPr="00E40DC2">
        <w:rPr>
          <w:rFonts w:ascii="Arial" w:hAnsi="Arial" w:cs="Arial"/>
          <w:i/>
          <w:iCs/>
          <w:highlight w:val="yellow"/>
        </w:rPr>
        <w:t xml:space="preserve"> </w:t>
      </w:r>
      <w:proofErr w:type="spellStart"/>
      <w:r w:rsidR="00E40DC2" w:rsidRPr="00E40DC2">
        <w:rPr>
          <w:rFonts w:ascii="Arial" w:hAnsi="Arial" w:cs="Arial"/>
          <w:i/>
          <w:iCs/>
          <w:highlight w:val="yellow"/>
        </w:rPr>
        <w:t>usitatissimum</w:t>
      </w:r>
      <w:proofErr w:type="spellEnd"/>
      <w:r w:rsidR="00E40DC2" w:rsidRPr="00E40DC2">
        <w:rPr>
          <w:rFonts w:ascii="Arial" w:hAnsi="Arial" w:cs="Arial"/>
          <w:i/>
          <w:iCs/>
          <w:highlight w:val="yellow"/>
        </w:rPr>
        <w:t xml:space="preserve"> </w:t>
      </w:r>
      <w:r w:rsidRPr="00CE5C97">
        <w:rPr>
          <w:rFonts w:ascii="Arial" w:hAnsi="Arial" w:cs="Arial"/>
          <w:highlight w:val="yellow"/>
        </w:rPr>
        <w:t>L.)</w:t>
      </w:r>
    </w:p>
    <w:p w14:paraId="60E58810" w14:textId="07CD3216" w:rsidR="002D3887" w:rsidRPr="002D3887" w:rsidRDefault="002D3887" w:rsidP="002D3887">
      <w:pPr>
        <w:spacing w:after="0" w:line="360" w:lineRule="auto"/>
        <w:rPr>
          <w:rFonts w:ascii="Arial" w:hAnsi="Arial" w:cs="Arial"/>
        </w:rPr>
      </w:pPr>
      <w:r w:rsidRPr="00CE5C97">
        <w:rPr>
          <w:rFonts w:ascii="Arial" w:hAnsi="Arial" w:cs="Arial"/>
          <w:highlight w:val="yellow"/>
        </w:rPr>
        <w:t>To provide a comprehensive overview of the food, nutraceutical, and industrial applications of flaxseed. It highlights the nutritional significance, health benefits, industrial importance, sustainability aspects, and processing challenges associated with flaxseed utilization. By summarizing current research and emerging trends, the review emphasizes the role of flaxseed in promoting human health, supporting sustainable agriculture, and encouraging innovation in food and industrial sectors.</w:t>
      </w:r>
    </w:p>
    <w:p w14:paraId="643E6B18" w14:textId="77777777" w:rsidR="00222957" w:rsidRPr="0034736A" w:rsidRDefault="00222957" w:rsidP="00753284">
      <w:pPr>
        <w:tabs>
          <w:tab w:val="left" w:pos="2694"/>
        </w:tabs>
        <w:spacing w:after="0" w:line="360" w:lineRule="auto"/>
        <w:rPr>
          <w:rFonts w:ascii="Times New Roman" w:eastAsiaTheme="minorEastAsia" w:hAnsi="Times New Roman" w:cs="Times New Roman"/>
          <w:sz w:val="24"/>
          <w:szCs w:val="24"/>
        </w:rPr>
      </w:pPr>
    </w:p>
    <w:p w14:paraId="3AA823A9" w14:textId="77777777" w:rsidR="003A7E68" w:rsidRPr="0034736A" w:rsidRDefault="003A7E68" w:rsidP="004A73D2">
      <w:pPr>
        <w:tabs>
          <w:tab w:val="left" w:pos="2694"/>
        </w:tabs>
        <w:spacing w:after="0" w:line="360" w:lineRule="auto"/>
        <w:jc w:val="both"/>
        <w:rPr>
          <w:rFonts w:ascii="Times New Roman" w:eastAsiaTheme="minorEastAsia" w:hAnsi="Times New Roman" w:cs="Times New Roman"/>
          <w:sz w:val="24"/>
          <w:szCs w:val="24"/>
        </w:rPr>
      </w:pPr>
    </w:p>
    <w:p w14:paraId="6F31E6D4" w14:textId="77777777" w:rsidR="003A7E68" w:rsidRPr="0034736A" w:rsidRDefault="003A7E68" w:rsidP="004A73D2">
      <w:pPr>
        <w:tabs>
          <w:tab w:val="left" w:pos="2694"/>
        </w:tabs>
        <w:spacing w:after="0" w:line="360" w:lineRule="auto"/>
        <w:jc w:val="both"/>
        <w:rPr>
          <w:rFonts w:ascii="Times New Roman" w:eastAsiaTheme="minorEastAsia" w:hAnsi="Times New Roman" w:cs="Times New Roman"/>
          <w:sz w:val="24"/>
          <w:szCs w:val="24"/>
        </w:rPr>
      </w:pPr>
    </w:p>
    <w:p w14:paraId="12E95190" w14:textId="07F88821" w:rsidR="00BC05EC" w:rsidRPr="0034736A" w:rsidRDefault="00307646"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2.</w:t>
      </w:r>
      <w:r w:rsidR="003A7E68" w:rsidRPr="0034736A">
        <w:rPr>
          <w:rFonts w:ascii="Arial" w:eastAsiaTheme="minorEastAsia" w:hAnsi="Arial" w:cs="Arial"/>
        </w:rPr>
        <w:t xml:space="preserve"> MATERIAL METHODS</w:t>
      </w:r>
      <w:r w:rsidR="004D6563" w:rsidRPr="0034736A">
        <w:rPr>
          <w:rFonts w:ascii="Arial" w:eastAsiaTheme="minorEastAsia" w:hAnsi="Arial" w:cs="Arial"/>
        </w:rPr>
        <w:t xml:space="preserve"> </w:t>
      </w:r>
    </w:p>
    <w:p w14:paraId="2E48C528" w14:textId="1601A8F7" w:rsidR="00DC3642" w:rsidRPr="0034736A" w:rsidRDefault="004D6563"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The present study, titled “Assessment of genetic variability and biochemical characteristics in among genotypes on linseed (</w:t>
      </w:r>
      <w:proofErr w:type="spellStart"/>
      <w:r w:rsidR="00E40DC2" w:rsidRPr="00E40DC2">
        <w:rPr>
          <w:rFonts w:ascii="Arial" w:eastAsiaTheme="minorEastAsia" w:hAnsi="Arial" w:cs="Arial"/>
          <w:i/>
          <w:iCs/>
        </w:rPr>
        <w:t>Linum</w:t>
      </w:r>
      <w:proofErr w:type="spellEnd"/>
      <w:r w:rsidR="00E40DC2" w:rsidRPr="00E40DC2">
        <w:rPr>
          <w:rFonts w:ascii="Arial" w:eastAsiaTheme="minorEastAsia" w:hAnsi="Arial" w:cs="Arial"/>
          <w:i/>
          <w:iCs/>
        </w:rPr>
        <w:t xml:space="preserve"> </w:t>
      </w:r>
      <w:proofErr w:type="spellStart"/>
      <w:r w:rsidR="00E40DC2" w:rsidRPr="00E40DC2">
        <w:rPr>
          <w:rFonts w:ascii="Arial" w:eastAsiaTheme="minorEastAsia" w:hAnsi="Arial" w:cs="Arial"/>
          <w:i/>
          <w:iCs/>
        </w:rPr>
        <w:t>usitatissimum</w:t>
      </w:r>
      <w:proofErr w:type="spellEnd"/>
      <w:r w:rsidR="00E40DC2" w:rsidRPr="00E40DC2">
        <w:rPr>
          <w:rFonts w:ascii="Arial" w:eastAsiaTheme="minorEastAsia" w:hAnsi="Arial" w:cs="Arial"/>
          <w:i/>
          <w:iCs/>
        </w:rPr>
        <w:t xml:space="preserve"> </w:t>
      </w:r>
      <w:r w:rsidRPr="0034736A">
        <w:rPr>
          <w:rFonts w:ascii="Arial" w:eastAsiaTheme="minorEastAsia" w:hAnsi="Arial" w:cs="Arial"/>
        </w:rPr>
        <w:t xml:space="preserve">L.)” was conducted during </w:t>
      </w:r>
      <w:r w:rsidRPr="0034736A">
        <w:rPr>
          <w:rFonts w:ascii="Arial" w:eastAsiaTheme="minorEastAsia" w:hAnsi="Arial" w:cs="Arial"/>
          <w:i/>
          <w:iCs/>
        </w:rPr>
        <w:t>Rabi</w:t>
      </w:r>
      <w:r w:rsidRPr="0034736A">
        <w:rPr>
          <w:rFonts w:ascii="Arial" w:eastAsiaTheme="minorEastAsia" w:hAnsi="Arial" w:cs="Arial"/>
        </w:rPr>
        <w:t xml:space="preserve"> season of </w:t>
      </w:r>
      <w:r w:rsidRPr="0034736A">
        <w:rPr>
          <w:rFonts w:ascii="Arial" w:eastAsiaTheme="minorEastAsia" w:hAnsi="Arial" w:cs="Arial"/>
        </w:rPr>
        <w:lastRenderedPageBreak/>
        <w:t>2024-25 at the</w:t>
      </w:r>
      <w:r w:rsidR="00C759E9" w:rsidRPr="0034736A">
        <w:rPr>
          <w:rFonts w:ascii="Arial" w:eastAsiaTheme="minorEastAsia" w:hAnsi="Arial" w:cs="Arial"/>
        </w:rPr>
        <w:t xml:space="preserve"> </w:t>
      </w:r>
      <w:r w:rsidRPr="0034736A">
        <w:rPr>
          <w:rFonts w:ascii="Arial" w:eastAsiaTheme="minorEastAsia" w:hAnsi="Arial" w:cs="Arial"/>
        </w:rPr>
        <w:t xml:space="preserve"> </w:t>
      </w:r>
      <w:r w:rsidR="00C759E9" w:rsidRPr="0034736A">
        <w:rPr>
          <w:rFonts w:ascii="Arial" w:eastAsiaTheme="minorEastAsia" w:hAnsi="Arial" w:cs="Arial"/>
        </w:rPr>
        <w:t>Agricultural</w:t>
      </w:r>
      <w:r w:rsidRPr="0034736A">
        <w:rPr>
          <w:rFonts w:ascii="Arial" w:eastAsiaTheme="minorEastAsia" w:hAnsi="Arial" w:cs="Arial"/>
        </w:rPr>
        <w:t xml:space="preserve"> research field, Department </w:t>
      </w:r>
      <w:r w:rsidR="00C759E9" w:rsidRPr="0034736A">
        <w:rPr>
          <w:rFonts w:ascii="Arial" w:eastAsiaTheme="minorEastAsia" w:hAnsi="Arial" w:cs="Arial"/>
        </w:rPr>
        <w:t xml:space="preserve">of Genetics and Plant Breeding, and the Lab experiment conducted in Department Lab of Genetics and Plant Breeding, Prof. Rajendra Singh (Rajju Bhaiya) University, Naini, Prayagraj. </w:t>
      </w:r>
    </w:p>
    <w:p w14:paraId="17807E41" w14:textId="64A960DA" w:rsidR="00C759E9" w:rsidRPr="0034736A" w:rsidRDefault="00C759E9"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In the</w:t>
      </w:r>
      <w:r w:rsidR="00DC3642" w:rsidRPr="0034736A">
        <w:rPr>
          <w:rFonts w:ascii="Arial" w:eastAsiaTheme="minorEastAsia" w:hAnsi="Arial" w:cs="Arial"/>
        </w:rPr>
        <w:t xml:space="preserve"> field</w:t>
      </w:r>
      <w:r w:rsidRPr="0034736A">
        <w:rPr>
          <w:rFonts w:ascii="Arial" w:eastAsiaTheme="minorEastAsia" w:hAnsi="Arial" w:cs="Arial"/>
        </w:rPr>
        <w:t xml:space="preserve"> experiment using a Randomized Complete Block Design (RCBD) with three replication</w:t>
      </w:r>
      <w:r w:rsidR="00DC3642" w:rsidRPr="0034736A">
        <w:rPr>
          <w:rFonts w:ascii="Arial" w:eastAsiaTheme="minorEastAsia" w:hAnsi="Arial" w:cs="Arial"/>
        </w:rPr>
        <w:t>s</w:t>
      </w:r>
      <w:r w:rsidRPr="0034736A">
        <w:rPr>
          <w:rFonts w:ascii="Arial" w:eastAsiaTheme="minorEastAsia" w:hAnsi="Arial" w:cs="Arial"/>
        </w:rPr>
        <w:t xml:space="preserve">. </w:t>
      </w:r>
      <w:r w:rsidR="00DC3642" w:rsidRPr="0034736A">
        <w:rPr>
          <w:rFonts w:ascii="Arial" w:eastAsiaTheme="minorEastAsia" w:hAnsi="Arial" w:cs="Arial"/>
        </w:rPr>
        <w:t>C</w:t>
      </w:r>
      <w:r w:rsidRPr="0034736A">
        <w:rPr>
          <w:rFonts w:ascii="Arial" w:eastAsiaTheme="minorEastAsia" w:hAnsi="Arial" w:cs="Arial"/>
        </w:rPr>
        <w:t>omp</w:t>
      </w:r>
      <w:r w:rsidR="00DC3642" w:rsidRPr="0034736A">
        <w:rPr>
          <w:rFonts w:ascii="Arial" w:eastAsiaTheme="minorEastAsia" w:hAnsi="Arial" w:cs="Arial"/>
        </w:rPr>
        <w:t xml:space="preserve">rising of eight genotypes and one check. The experiment was designed to evaluate the effect of different yield and growth parameters of Linseed </w:t>
      </w:r>
      <w:r w:rsidR="00DC3642" w:rsidRPr="0034736A">
        <w:rPr>
          <w:rFonts w:ascii="Arial" w:eastAsiaTheme="minorEastAsia" w:hAnsi="Arial" w:cs="Arial"/>
          <w:i/>
          <w:iCs/>
        </w:rPr>
        <w:t>viz.</w:t>
      </w:r>
      <w:r w:rsidR="00DC3642" w:rsidRPr="0034736A">
        <w:rPr>
          <w:rFonts w:ascii="Arial" w:eastAsiaTheme="minorEastAsia" w:hAnsi="Arial" w:cs="Arial"/>
        </w:rPr>
        <w:t xml:space="preserve"> Plant height 30DAS, Plant height 60DAS, Plant height 90DAS, DAS to 50% flowering, Number of branches plant</w:t>
      </w:r>
      <w:r w:rsidR="00DC3642" w:rsidRPr="0034736A">
        <w:rPr>
          <w:rFonts w:ascii="Arial" w:eastAsiaTheme="minorEastAsia" w:hAnsi="Arial" w:cs="Arial"/>
          <w:vertAlign w:val="superscript"/>
        </w:rPr>
        <w:t>-1</w:t>
      </w:r>
      <w:r w:rsidR="00DC3642" w:rsidRPr="0034736A">
        <w:rPr>
          <w:rFonts w:ascii="Arial" w:eastAsiaTheme="minorEastAsia" w:hAnsi="Arial" w:cs="Arial"/>
        </w:rPr>
        <w:t xml:space="preserve">, </w:t>
      </w:r>
      <w:r w:rsidR="00992DC4" w:rsidRPr="0034736A">
        <w:rPr>
          <w:rFonts w:ascii="Arial" w:eastAsiaTheme="minorEastAsia" w:hAnsi="Arial" w:cs="Arial"/>
        </w:rPr>
        <w:t>N</w:t>
      </w:r>
      <w:r w:rsidR="00DC3642" w:rsidRPr="0034736A">
        <w:rPr>
          <w:rFonts w:ascii="Arial" w:eastAsiaTheme="minorEastAsia" w:hAnsi="Arial" w:cs="Arial"/>
        </w:rPr>
        <w:t>umber of capsule plant</w:t>
      </w:r>
      <w:r w:rsidR="00DC3642" w:rsidRPr="0034736A">
        <w:rPr>
          <w:rFonts w:ascii="Arial" w:eastAsiaTheme="minorEastAsia" w:hAnsi="Arial" w:cs="Arial"/>
          <w:vertAlign w:val="superscript"/>
        </w:rPr>
        <w:t>-1</w:t>
      </w:r>
      <w:r w:rsidR="00DC3642" w:rsidRPr="0034736A">
        <w:rPr>
          <w:rFonts w:ascii="Arial" w:eastAsiaTheme="minorEastAsia" w:hAnsi="Arial" w:cs="Arial"/>
        </w:rPr>
        <w:t>, Number of seed capsule</w:t>
      </w:r>
      <w:r w:rsidR="00DC3642" w:rsidRPr="0034736A">
        <w:rPr>
          <w:rFonts w:ascii="Arial" w:eastAsiaTheme="minorEastAsia" w:hAnsi="Arial" w:cs="Arial"/>
          <w:vertAlign w:val="superscript"/>
        </w:rPr>
        <w:t>-1</w:t>
      </w:r>
      <w:r w:rsidR="00DC3642" w:rsidRPr="0034736A">
        <w:rPr>
          <w:rFonts w:ascii="Arial" w:eastAsiaTheme="minorEastAsia" w:hAnsi="Arial" w:cs="Arial"/>
        </w:rPr>
        <w:t xml:space="preserve">, </w:t>
      </w:r>
      <w:r w:rsidR="00992DC4" w:rsidRPr="0034736A">
        <w:rPr>
          <w:rFonts w:ascii="Arial" w:eastAsiaTheme="minorEastAsia" w:hAnsi="Arial" w:cs="Arial"/>
        </w:rPr>
        <w:t>S</w:t>
      </w:r>
      <w:r w:rsidR="00DC3642" w:rsidRPr="0034736A">
        <w:rPr>
          <w:rFonts w:ascii="Arial" w:eastAsiaTheme="minorEastAsia" w:hAnsi="Arial" w:cs="Arial"/>
        </w:rPr>
        <w:t>eed yield plant</w:t>
      </w:r>
      <w:r w:rsidR="00DC3642" w:rsidRPr="0034736A">
        <w:rPr>
          <w:rFonts w:ascii="Arial" w:eastAsiaTheme="minorEastAsia" w:hAnsi="Arial" w:cs="Arial"/>
          <w:vertAlign w:val="superscript"/>
        </w:rPr>
        <w:t>-1</w:t>
      </w:r>
      <w:r w:rsidR="00DC3642" w:rsidRPr="0034736A">
        <w:rPr>
          <w:rFonts w:ascii="Arial" w:eastAsiaTheme="minorEastAsia" w:hAnsi="Arial" w:cs="Arial"/>
        </w:rPr>
        <w:t>, 1000 seed weight</w:t>
      </w:r>
      <w:r w:rsidR="00992DC4" w:rsidRPr="0034736A">
        <w:rPr>
          <w:rFonts w:ascii="Arial" w:eastAsiaTheme="minorEastAsia" w:hAnsi="Arial" w:cs="Arial"/>
        </w:rPr>
        <w:t xml:space="preserve"> (g), Biological yield plant</w:t>
      </w:r>
      <w:r w:rsidR="00992DC4" w:rsidRPr="0034736A">
        <w:rPr>
          <w:rFonts w:ascii="Arial" w:eastAsiaTheme="minorEastAsia" w:hAnsi="Arial" w:cs="Arial"/>
          <w:vertAlign w:val="superscript"/>
        </w:rPr>
        <w:t>-1</w:t>
      </w:r>
      <w:r w:rsidR="00992DC4" w:rsidRPr="0034736A">
        <w:rPr>
          <w:rFonts w:ascii="Arial" w:eastAsiaTheme="minorEastAsia" w:hAnsi="Arial" w:cs="Arial"/>
        </w:rPr>
        <w:t>, harvest index (%), seed yield plot</w:t>
      </w:r>
      <w:r w:rsidR="00992DC4" w:rsidRPr="0034736A">
        <w:rPr>
          <w:rFonts w:ascii="Arial" w:eastAsiaTheme="minorEastAsia" w:hAnsi="Arial" w:cs="Arial"/>
          <w:vertAlign w:val="superscript"/>
        </w:rPr>
        <w:t>-1</w:t>
      </w:r>
      <w:r w:rsidR="00992DC4" w:rsidRPr="0034736A">
        <w:rPr>
          <w:rFonts w:ascii="Arial" w:eastAsiaTheme="minorEastAsia" w:hAnsi="Arial" w:cs="Arial"/>
        </w:rPr>
        <w:t xml:space="preserve"> (kg ha</w:t>
      </w:r>
      <w:r w:rsidR="00992DC4" w:rsidRPr="0034736A">
        <w:rPr>
          <w:rFonts w:ascii="Arial" w:eastAsiaTheme="minorEastAsia" w:hAnsi="Arial" w:cs="Arial"/>
          <w:vertAlign w:val="superscript"/>
        </w:rPr>
        <w:t>-1</w:t>
      </w:r>
      <w:r w:rsidR="00992DC4" w:rsidRPr="0034736A">
        <w:rPr>
          <w:rFonts w:ascii="Arial" w:eastAsiaTheme="minorEastAsia" w:hAnsi="Arial" w:cs="Arial"/>
        </w:rPr>
        <w:t xml:space="preserve">). Field experimentation mean performance and Analysis of variance was analysed statistically using the technique designated by </w:t>
      </w:r>
      <w:proofErr w:type="spellStart"/>
      <w:r w:rsidR="00992DC4" w:rsidRPr="0034736A">
        <w:rPr>
          <w:rFonts w:ascii="Arial" w:eastAsiaTheme="minorEastAsia" w:hAnsi="Arial" w:cs="Arial"/>
        </w:rPr>
        <w:t>Panse</w:t>
      </w:r>
      <w:proofErr w:type="spellEnd"/>
      <w:r w:rsidR="00992DC4" w:rsidRPr="0034736A">
        <w:rPr>
          <w:rFonts w:ascii="Arial" w:eastAsiaTheme="minorEastAsia" w:hAnsi="Arial" w:cs="Arial"/>
        </w:rPr>
        <w:t xml:space="preserve"> and </w:t>
      </w:r>
      <w:proofErr w:type="spellStart"/>
      <w:r w:rsidR="00992DC4" w:rsidRPr="0034736A">
        <w:rPr>
          <w:rFonts w:ascii="Arial" w:eastAsiaTheme="minorEastAsia" w:hAnsi="Arial" w:cs="Arial"/>
        </w:rPr>
        <w:t>Sukhatne</w:t>
      </w:r>
      <w:proofErr w:type="spellEnd"/>
      <w:r w:rsidR="00992DC4" w:rsidRPr="0034736A">
        <w:rPr>
          <w:rFonts w:ascii="Arial" w:eastAsiaTheme="minorEastAsia" w:hAnsi="Arial" w:cs="Arial"/>
        </w:rPr>
        <w:t xml:space="preserve"> (1967)</w:t>
      </w:r>
      <w:r w:rsidR="0042384F" w:rsidRPr="0034736A">
        <w:rPr>
          <w:rFonts w:ascii="Arial" w:eastAsiaTheme="minorEastAsia" w:hAnsi="Arial" w:cs="Arial"/>
        </w:rPr>
        <w:t xml:space="preserve">. The genotypic coefficient of variance (GCV) and Phenotypic coefficient of variance (PCV) </w:t>
      </w:r>
      <w:r w:rsidR="001D48D8" w:rsidRPr="0034736A">
        <w:rPr>
          <w:rFonts w:ascii="Arial" w:eastAsiaTheme="minorEastAsia" w:hAnsi="Arial" w:cs="Arial"/>
        </w:rPr>
        <w:t xml:space="preserve">were computed, following </w:t>
      </w:r>
      <w:r w:rsidR="001D48D8" w:rsidRPr="0034736A">
        <w:rPr>
          <w:rFonts w:ascii="Arial" w:hAnsi="Arial" w:cs="Arial"/>
        </w:rPr>
        <w:t xml:space="preserve">Burton (1952). method. Heritability in broad sense h² was calculated as a ratio of genotypic variance to phenotypic variance (Allard, 1960). The expected genetic advance under selection for the different characters was estimated as suggested by Johnson </w:t>
      </w:r>
      <w:r w:rsidR="008000D7" w:rsidRPr="0034736A">
        <w:rPr>
          <w:rFonts w:ascii="Arial" w:hAnsi="Arial" w:cs="Arial"/>
          <w:i/>
          <w:iCs/>
        </w:rPr>
        <w:t>et al.,</w:t>
      </w:r>
      <w:r w:rsidR="001D48D8" w:rsidRPr="0034736A">
        <w:rPr>
          <w:rFonts w:ascii="Arial" w:hAnsi="Arial" w:cs="Arial"/>
        </w:rPr>
        <w:t xml:space="preserve"> (1955). </w:t>
      </w:r>
      <w:r w:rsidR="001D48D8" w:rsidRPr="0034736A">
        <w:rPr>
          <w:rFonts w:ascii="Arial" w:eastAsiaTheme="minorEastAsia" w:hAnsi="Arial" w:cs="Arial"/>
        </w:rPr>
        <w:t xml:space="preserve"> </w:t>
      </w:r>
      <w:r w:rsidR="0042384F" w:rsidRPr="0034736A">
        <w:rPr>
          <w:rFonts w:ascii="Arial" w:eastAsiaTheme="minorEastAsia" w:hAnsi="Arial" w:cs="Arial"/>
        </w:rPr>
        <w:t xml:space="preserve"> </w:t>
      </w:r>
    </w:p>
    <w:p w14:paraId="228E0C77" w14:textId="7287EC8D" w:rsidR="00096C77" w:rsidRPr="0034736A" w:rsidRDefault="00992DC4"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In the lab experiment</w:t>
      </w:r>
      <w:r w:rsidR="00746785">
        <w:rPr>
          <w:rFonts w:ascii="Arial" w:eastAsiaTheme="minorEastAsia" w:hAnsi="Arial" w:cs="Arial"/>
        </w:rPr>
        <w:t>,</w:t>
      </w:r>
      <w:r w:rsidRPr="0034736A">
        <w:rPr>
          <w:rFonts w:ascii="Arial" w:eastAsiaTheme="minorEastAsia" w:hAnsi="Arial" w:cs="Arial"/>
        </w:rPr>
        <w:t xml:space="preserve"> evaluate</w:t>
      </w:r>
      <w:r w:rsidR="00746785">
        <w:rPr>
          <w:rFonts w:ascii="Arial" w:eastAsiaTheme="minorEastAsia" w:hAnsi="Arial" w:cs="Arial"/>
        </w:rPr>
        <w:t>d</w:t>
      </w:r>
      <w:r w:rsidRPr="0034736A">
        <w:rPr>
          <w:rFonts w:ascii="Arial" w:eastAsiaTheme="minorEastAsia" w:hAnsi="Arial" w:cs="Arial"/>
        </w:rPr>
        <w:t xml:space="preserve"> the biochemical characteristics of linseed among eight genotypes with one check</w:t>
      </w:r>
      <w:r w:rsidR="00096C77" w:rsidRPr="0034736A">
        <w:rPr>
          <w:rFonts w:ascii="Arial" w:eastAsiaTheme="minorEastAsia" w:hAnsi="Arial" w:cs="Arial"/>
        </w:rPr>
        <w:t xml:space="preserve"> and assessed, which genotype was containing higher biochemical characters </w:t>
      </w:r>
      <w:r w:rsidR="00096C77" w:rsidRPr="0034736A">
        <w:rPr>
          <w:rFonts w:ascii="Arial" w:eastAsiaTheme="minorEastAsia" w:hAnsi="Arial" w:cs="Arial"/>
          <w:i/>
          <w:iCs/>
        </w:rPr>
        <w:t>viz.</w:t>
      </w:r>
      <w:r w:rsidR="00096C77" w:rsidRPr="0034736A">
        <w:rPr>
          <w:rFonts w:ascii="Arial" w:eastAsiaTheme="minorEastAsia" w:hAnsi="Arial" w:cs="Arial"/>
        </w:rPr>
        <w:t xml:space="preserve"> Protein Content (g/100g), Carbohydrate Content (g/100g), Total Flavonoid Content (mg/100g), Total Antioxidant Activity (%) and ALA/ omega- 3 Content (% of total fatty acids). </w:t>
      </w:r>
    </w:p>
    <w:p w14:paraId="62884A54" w14:textId="77777777" w:rsidR="00222957" w:rsidRPr="0034736A" w:rsidRDefault="00222957" w:rsidP="004A73D2">
      <w:pPr>
        <w:tabs>
          <w:tab w:val="left" w:pos="2694"/>
        </w:tabs>
        <w:spacing w:after="0" w:line="360" w:lineRule="auto"/>
        <w:jc w:val="both"/>
        <w:rPr>
          <w:rFonts w:ascii="Arial" w:eastAsiaTheme="minorEastAsia" w:hAnsi="Arial" w:cs="Arial"/>
        </w:rPr>
      </w:pPr>
    </w:p>
    <w:p w14:paraId="5DE5E9CB" w14:textId="59DC0A9F" w:rsidR="00222957" w:rsidRPr="0034736A" w:rsidRDefault="00222957" w:rsidP="00222957">
      <w:pPr>
        <w:pStyle w:val="ListParagraph"/>
        <w:spacing w:after="0" w:line="360" w:lineRule="auto"/>
        <w:ind w:left="0"/>
        <w:rPr>
          <w:rFonts w:ascii="Arial" w:hAnsi="Arial" w:cs="Arial"/>
        </w:rPr>
      </w:pPr>
      <w:r w:rsidRPr="0034736A">
        <w:rPr>
          <w:noProof/>
        </w:rPr>
        <mc:AlternateContent>
          <mc:Choice Requires="wps">
            <w:drawing>
              <wp:inline distT="0" distB="0" distL="0" distR="0" wp14:anchorId="5846E87C" wp14:editId="3351D1C9">
                <wp:extent cx="304800" cy="304800"/>
                <wp:effectExtent l="0" t="0" r="0" b="0"/>
                <wp:docPr id="1849612188" name="Rectangle 3" descr="Generated image: Assessment of genetic variability in linse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589760" id="Rectangle 3" o:spid="_x0000_s1026" alt="Generated image: Assessment of genetic variability in linse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FBB2F44" w14:textId="77777777" w:rsidR="00222957" w:rsidRPr="0034736A" w:rsidRDefault="00222957" w:rsidP="004A73D2">
      <w:pPr>
        <w:tabs>
          <w:tab w:val="left" w:pos="2694"/>
        </w:tabs>
        <w:spacing w:after="0" w:line="360" w:lineRule="auto"/>
        <w:jc w:val="both"/>
        <w:rPr>
          <w:rFonts w:ascii="Arial" w:eastAsiaTheme="minorEastAsia" w:hAnsi="Arial" w:cs="Arial"/>
        </w:rPr>
      </w:pPr>
    </w:p>
    <w:p w14:paraId="481CE28C" w14:textId="77777777" w:rsidR="00307646" w:rsidRPr="0034736A" w:rsidRDefault="00307646" w:rsidP="004A73D2">
      <w:pPr>
        <w:tabs>
          <w:tab w:val="left" w:pos="2694"/>
        </w:tabs>
        <w:spacing w:after="0" w:line="360" w:lineRule="auto"/>
        <w:jc w:val="both"/>
        <w:rPr>
          <w:rFonts w:ascii="Arial" w:eastAsiaTheme="minorEastAsia" w:hAnsi="Arial" w:cs="Arial"/>
        </w:rPr>
      </w:pPr>
    </w:p>
    <w:p w14:paraId="475880E2" w14:textId="4C49E082" w:rsidR="00992DC4" w:rsidRPr="0034736A" w:rsidRDefault="00307646"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2.1.</w:t>
      </w:r>
      <w:r w:rsidR="00753284" w:rsidRPr="0034736A">
        <w:rPr>
          <w:rFonts w:ascii="Arial" w:eastAsiaTheme="minorEastAsia" w:hAnsi="Arial" w:cs="Arial"/>
        </w:rPr>
        <w:t xml:space="preserve"> PROTEIN CONTENT ESTIMATION</w:t>
      </w:r>
      <w:r w:rsidR="00096C77" w:rsidRPr="0034736A">
        <w:rPr>
          <w:rFonts w:ascii="Arial" w:eastAsiaTheme="minorEastAsia" w:hAnsi="Arial" w:cs="Arial"/>
        </w:rPr>
        <w:t xml:space="preserve">  </w:t>
      </w:r>
    </w:p>
    <w:p w14:paraId="3590486A" w14:textId="6FB62E4B" w:rsidR="00E0334D" w:rsidRPr="0034736A" w:rsidRDefault="00E0334D"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Protein content was estimated using the micro Kjeldahl method (Markham 1942). About 0.5g of dry defatted seed sample was digested with a digestion mixture and con</w:t>
      </w:r>
      <w:r w:rsidR="00746785">
        <w:rPr>
          <w:rFonts w:ascii="Arial" w:eastAsiaTheme="minorEastAsia" w:hAnsi="Arial" w:cs="Arial"/>
        </w:rPr>
        <w:t>centrated</w:t>
      </w:r>
      <w:r w:rsidRPr="0034736A">
        <w:rPr>
          <w:rFonts w:ascii="Arial" w:eastAsiaTheme="minorEastAsia" w:hAnsi="Arial" w:cs="Arial"/>
        </w:rPr>
        <w:t xml:space="preserve"> Sulphuric acid at 370-400</w:t>
      </w:r>
      <w:r w:rsidRPr="0034736A">
        <w:rPr>
          <w:rFonts w:ascii="Cambria Math" w:eastAsiaTheme="minorEastAsia" w:hAnsi="Cambria Math" w:cs="Cambria Math"/>
        </w:rPr>
        <w:t>℃</w:t>
      </w:r>
      <w:r w:rsidRPr="0034736A">
        <w:rPr>
          <w:rFonts w:ascii="Arial" w:eastAsiaTheme="minorEastAsia" w:hAnsi="Arial" w:cs="Arial"/>
        </w:rPr>
        <w:t xml:space="preserve"> until the solution turned clear, then diluted to 150ml with Distilled water. For distillation, 10ml of digested material was treated with 40% NaOH and steam distilled, with </w:t>
      </w:r>
      <w:r w:rsidR="00070FF6" w:rsidRPr="0034736A">
        <w:rPr>
          <w:rFonts w:ascii="Arial" w:eastAsiaTheme="minorEastAsia" w:hAnsi="Arial" w:cs="Arial"/>
        </w:rPr>
        <w:t>liberated ammonia collected in boric acid containing a mixed indicator, causing the solution to turn to blue. The distillate was titrated with 0.01N H</w:t>
      </w:r>
      <w:r w:rsidR="00070FF6" w:rsidRPr="0034736A">
        <w:rPr>
          <w:rFonts w:ascii="Arial" w:eastAsiaTheme="minorEastAsia" w:hAnsi="Arial" w:cs="Arial"/>
          <w:vertAlign w:val="subscript"/>
        </w:rPr>
        <w:t>2</w:t>
      </w:r>
      <w:r w:rsidR="00070FF6" w:rsidRPr="0034736A">
        <w:rPr>
          <w:rFonts w:ascii="Arial" w:eastAsiaTheme="minorEastAsia" w:hAnsi="Arial" w:cs="Arial"/>
        </w:rPr>
        <w:t>SO</w:t>
      </w:r>
      <w:r w:rsidR="00070FF6" w:rsidRPr="0034736A">
        <w:rPr>
          <w:rFonts w:ascii="Arial" w:eastAsiaTheme="minorEastAsia" w:hAnsi="Arial" w:cs="Arial"/>
          <w:vertAlign w:val="subscript"/>
        </w:rPr>
        <w:t>4</w:t>
      </w:r>
      <w:r w:rsidR="00070FF6" w:rsidRPr="0034736A">
        <w:rPr>
          <w:rFonts w:ascii="Arial" w:eastAsiaTheme="minorEastAsia" w:hAnsi="Arial" w:cs="Arial"/>
        </w:rPr>
        <w:t xml:space="preserve"> until it turned pink, and the titre values of both blank and sample were recorded to calculate protein content, then calculate</w:t>
      </w:r>
      <w:r w:rsidR="00887B42">
        <w:rPr>
          <w:rFonts w:ascii="Arial" w:eastAsiaTheme="minorEastAsia" w:hAnsi="Arial" w:cs="Arial"/>
        </w:rPr>
        <w:t>d</w:t>
      </w:r>
      <w:r w:rsidR="00070FF6" w:rsidRPr="0034736A">
        <w:rPr>
          <w:rFonts w:ascii="Arial" w:eastAsiaTheme="minorEastAsia" w:hAnsi="Arial" w:cs="Arial"/>
        </w:rPr>
        <w:t xml:space="preserve"> the nitrogen content and multiplying with 6.25.  </w:t>
      </w:r>
      <w:r w:rsidR="00753284" w:rsidRPr="0034736A">
        <w:rPr>
          <w:rFonts w:ascii="Arial" w:eastAsiaTheme="minorEastAsia" w:hAnsi="Arial" w:cs="Arial"/>
        </w:rPr>
        <w:br/>
      </w:r>
      <w:r w:rsidRPr="0034736A">
        <w:rPr>
          <w:rFonts w:ascii="Arial" w:eastAsiaTheme="minorEastAsia" w:hAnsi="Arial" w:cs="Arial"/>
        </w:rPr>
        <w:t xml:space="preserve">  </w:t>
      </w:r>
    </w:p>
    <w:p w14:paraId="6C4D6B00" w14:textId="4BCA73B9" w:rsidR="00070FF6" w:rsidRPr="0034736A" w:rsidRDefault="00307646"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2.2.</w:t>
      </w:r>
      <w:r w:rsidR="003A7E68" w:rsidRPr="0034736A">
        <w:rPr>
          <w:rFonts w:ascii="Arial" w:eastAsiaTheme="minorEastAsia" w:hAnsi="Arial" w:cs="Arial"/>
        </w:rPr>
        <w:t xml:space="preserve"> CARBOHYDRATE ESTIMATION</w:t>
      </w:r>
      <w:r w:rsidR="00070FF6" w:rsidRPr="0034736A">
        <w:rPr>
          <w:rFonts w:ascii="Arial" w:eastAsiaTheme="minorEastAsia" w:hAnsi="Arial" w:cs="Arial"/>
        </w:rPr>
        <w:t xml:space="preserve"> </w:t>
      </w:r>
    </w:p>
    <w:p w14:paraId="4A39EB2C" w14:textId="7983E251" w:rsidR="00070FF6" w:rsidRPr="0034736A" w:rsidRDefault="00903B3C" w:rsidP="00DB058A">
      <w:pPr>
        <w:spacing w:after="0" w:line="360" w:lineRule="auto"/>
        <w:rPr>
          <w:rFonts w:ascii="Arial" w:hAnsi="Arial" w:cs="Arial"/>
        </w:rPr>
      </w:pPr>
      <w:r w:rsidRPr="0034736A">
        <w:rPr>
          <w:rFonts w:ascii="Arial" w:hAnsi="Arial" w:cs="Arial"/>
        </w:rPr>
        <w:lastRenderedPageBreak/>
        <w:t xml:space="preserve">Total carbohydrate content was estimated by the </w:t>
      </w:r>
      <w:proofErr w:type="spellStart"/>
      <w:r w:rsidR="006A02A5" w:rsidRPr="006A02A5">
        <w:rPr>
          <w:rFonts w:ascii="Arial" w:hAnsi="Arial" w:cs="Arial"/>
        </w:rPr>
        <w:t>anthrone</w:t>
      </w:r>
      <w:proofErr w:type="spellEnd"/>
      <w:r w:rsidRPr="0034736A">
        <w:rPr>
          <w:rFonts w:ascii="Arial" w:hAnsi="Arial" w:cs="Arial"/>
        </w:rPr>
        <w:t xml:space="preserve"> method Ludwig </w:t>
      </w:r>
      <w:r w:rsidR="008000D7" w:rsidRPr="0034736A">
        <w:rPr>
          <w:rFonts w:ascii="Arial" w:hAnsi="Arial" w:cs="Arial"/>
          <w:i/>
          <w:iCs/>
        </w:rPr>
        <w:t>et al.,</w:t>
      </w:r>
      <w:r w:rsidRPr="0034736A">
        <w:rPr>
          <w:rFonts w:ascii="Arial" w:hAnsi="Arial" w:cs="Arial"/>
        </w:rPr>
        <w:t xml:space="preserve"> (1956). About 100 mg of powdered plant material (e.g., linseed seeds) was extracted with hot 80% ethanol (3-4 times) to remove free sugars, and the supernatant was evaporated to dryness. The residue was dissolved in a known volume of distilled water, and 1 mL of the extract was mixed with 4 mL of freshly prepared </w:t>
      </w:r>
      <w:proofErr w:type="spellStart"/>
      <w:r w:rsidR="006A02A5" w:rsidRPr="006A02A5">
        <w:rPr>
          <w:rFonts w:ascii="Arial" w:hAnsi="Arial" w:cs="Arial"/>
        </w:rPr>
        <w:t>anthrone</w:t>
      </w:r>
      <w:proofErr w:type="spellEnd"/>
      <w:r w:rsidRPr="0034736A">
        <w:rPr>
          <w:rFonts w:ascii="Arial" w:hAnsi="Arial" w:cs="Arial"/>
        </w:rPr>
        <w:t xml:space="preserve"> reagent. The mixture was heated in a boiling water bath for 10 minutes, cooled rapidly, and absorbance was measured at 620 nm against a blank. Carbohydrate content was determined using a glucose standard curve.</w:t>
      </w:r>
    </w:p>
    <w:p w14:paraId="44960EBD" w14:textId="77777777" w:rsidR="00307646" w:rsidRPr="0034736A" w:rsidRDefault="00307646" w:rsidP="00070FF6">
      <w:pPr>
        <w:spacing w:after="0" w:line="360" w:lineRule="auto"/>
        <w:jc w:val="both"/>
        <w:rPr>
          <w:rFonts w:ascii="Arial" w:hAnsi="Arial" w:cs="Arial"/>
        </w:rPr>
      </w:pPr>
    </w:p>
    <w:p w14:paraId="11C62302" w14:textId="77777777" w:rsidR="00753284" w:rsidRPr="0034736A" w:rsidRDefault="00753284" w:rsidP="00070FF6">
      <w:pPr>
        <w:spacing w:after="0" w:line="360" w:lineRule="auto"/>
        <w:jc w:val="both"/>
        <w:rPr>
          <w:rFonts w:ascii="Arial" w:hAnsi="Arial" w:cs="Arial"/>
        </w:rPr>
      </w:pPr>
    </w:p>
    <w:p w14:paraId="138D1971" w14:textId="77777777" w:rsidR="00887B42" w:rsidRDefault="00887B42" w:rsidP="00070FF6">
      <w:pPr>
        <w:spacing w:after="0" w:line="360" w:lineRule="auto"/>
        <w:jc w:val="both"/>
        <w:rPr>
          <w:rFonts w:ascii="Arial" w:hAnsi="Arial" w:cs="Arial"/>
        </w:rPr>
      </w:pPr>
    </w:p>
    <w:p w14:paraId="4E075F93" w14:textId="3B1AF09A" w:rsidR="00903B3C" w:rsidRPr="0034736A" w:rsidRDefault="00307646" w:rsidP="00070FF6">
      <w:pPr>
        <w:spacing w:after="0" w:line="360" w:lineRule="auto"/>
        <w:jc w:val="both"/>
        <w:rPr>
          <w:rFonts w:ascii="Arial" w:hAnsi="Arial" w:cs="Arial"/>
        </w:rPr>
      </w:pPr>
      <w:r w:rsidRPr="0034736A">
        <w:rPr>
          <w:rFonts w:ascii="Arial" w:hAnsi="Arial" w:cs="Arial"/>
        </w:rPr>
        <w:t xml:space="preserve">2.3. </w:t>
      </w:r>
      <w:r w:rsidR="00DB058A" w:rsidRPr="0034736A">
        <w:rPr>
          <w:rFonts w:ascii="Arial" w:hAnsi="Arial" w:cs="Arial"/>
        </w:rPr>
        <w:t xml:space="preserve">FLAVONOID CONTENT </w:t>
      </w:r>
    </w:p>
    <w:p w14:paraId="6D99EF9F" w14:textId="10B73412" w:rsidR="00903B3C" w:rsidRPr="0034736A" w:rsidRDefault="00903B3C" w:rsidP="00DB058A">
      <w:pPr>
        <w:spacing w:after="0" w:line="360" w:lineRule="auto"/>
        <w:rPr>
          <w:rFonts w:ascii="Arial" w:hAnsi="Arial" w:cs="Arial"/>
        </w:rPr>
      </w:pPr>
      <w:r w:rsidRPr="0034736A">
        <w:rPr>
          <w:rFonts w:ascii="Arial" w:hAnsi="Arial" w:cs="Arial"/>
        </w:rPr>
        <w:t xml:space="preserve">The total flavonoid content was estimated using the aluminium chloride colorimetric assay as described by Marinova et al. (2005). 1 ml of catechin extract (0.20-1.0 mg/ml) was mixed with 4 ml of double-distilled water, followed by the addition of 0.3 ml of 5% </w:t>
      </w:r>
      <w:proofErr w:type="spellStart"/>
      <w:r w:rsidRPr="0034736A">
        <w:rPr>
          <w:rFonts w:ascii="Arial" w:hAnsi="Arial" w:cs="Arial"/>
        </w:rPr>
        <w:t>NaNO</w:t>
      </w:r>
      <w:proofErr w:type="spellEnd"/>
      <w:r w:rsidRPr="0034736A">
        <w:rPr>
          <w:rFonts w:ascii="Cambria Math" w:hAnsi="Cambria Math" w:cs="Cambria Math"/>
        </w:rPr>
        <w:t>₂</w:t>
      </w:r>
      <w:r w:rsidRPr="0034736A">
        <w:rPr>
          <w:rFonts w:ascii="Arial" w:hAnsi="Arial" w:cs="Arial"/>
        </w:rPr>
        <w:t xml:space="preserve">. After 5 minutes, 0.3 ml of 10% </w:t>
      </w:r>
      <w:proofErr w:type="spellStart"/>
      <w:r w:rsidRPr="0034736A">
        <w:rPr>
          <w:rFonts w:ascii="Arial" w:hAnsi="Arial" w:cs="Arial"/>
        </w:rPr>
        <w:t>AlCl</w:t>
      </w:r>
      <w:proofErr w:type="spellEnd"/>
      <w:r w:rsidRPr="0034736A">
        <w:rPr>
          <w:rFonts w:ascii="Cambria Math" w:hAnsi="Cambria Math" w:cs="Cambria Math"/>
        </w:rPr>
        <w:t>₃</w:t>
      </w:r>
      <w:r w:rsidRPr="0034736A">
        <w:rPr>
          <w:rFonts w:ascii="Arial" w:hAnsi="Arial" w:cs="Arial"/>
        </w:rPr>
        <w:t xml:space="preserve"> was added, and immediately 2 ml of 1 M NaOH was incorporated, making the final volume up to 10 ml with double-distilled water. The solution was thoroughly mixed, and absorbance was recorded at 510 nm using a UV–visible spectrophotometer (Model </w:t>
      </w:r>
      <w:proofErr w:type="spellStart"/>
      <w:r w:rsidR="006A02A5">
        <w:rPr>
          <w:rFonts w:ascii="Arial" w:hAnsi="Arial" w:cs="Arial"/>
        </w:rPr>
        <w:t>s</w:t>
      </w:r>
      <w:r w:rsidRPr="0034736A">
        <w:rPr>
          <w:rFonts w:ascii="Arial" w:hAnsi="Arial" w:cs="Arial"/>
        </w:rPr>
        <w:t>pectronic</w:t>
      </w:r>
      <w:proofErr w:type="spellEnd"/>
      <w:r w:rsidRPr="0034736A">
        <w:rPr>
          <w:rFonts w:ascii="Arial" w:hAnsi="Arial" w:cs="Arial"/>
        </w:rPr>
        <w:t xml:space="preserve"> 20, Milton Roy Company). Results were expressed as milligrams of catechin equivalents (mg CAE/g) per gram of extract.</w:t>
      </w:r>
    </w:p>
    <w:p w14:paraId="27A045BA" w14:textId="77777777" w:rsidR="00753284" w:rsidRPr="0034736A" w:rsidRDefault="00753284" w:rsidP="00DB058A">
      <w:pPr>
        <w:spacing w:after="0" w:line="360" w:lineRule="auto"/>
        <w:rPr>
          <w:rFonts w:ascii="Arial" w:hAnsi="Arial" w:cs="Arial"/>
        </w:rPr>
      </w:pPr>
    </w:p>
    <w:p w14:paraId="734AC99A" w14:textId="52B4B365" w:rsidR="00903B3C" w:rsidRPr="0034736A" w:rsidRDefault="00753284" w:rsidP="00DB058A">
      <w:pPr>
        <w:spacing w:after="0" w:line="360" w:lineRule="auto"/>
        <w:rPr>
          <w:rFonts w:ascii="Arial" w:hAnsi="Arial" w:cs="Arial"/>
        </w:rPr>
      </w:pPr>
      <w:r w:rsidRPr="0034736A">
        <w:rPr>
          <w:rFonts w:ascii="Arial" w:hAnsi="Arial" w:cs="Arial"/>
        </w:rPr>
        <w:t>2.4.</w:t>
      </w:r>
      <w:r w:rsidR="00887B42">
        <w:rPr>
          <w:rFonts w:ascii="Arial" w:hAnsi="Arial" w:cs="Arial"/>
        </w:rPr>
        <w:t xml:space="preserve"> </w:t>
      </w:r>
      <w:r w:rsidR="00DB058A" w:rsidRPr="0034736A">
        <w:rPr>
          <w:rFonts w:ascii="Arial" w:hAnsi="Arial" w:cs="Arial"/>
        </w:rPr>
        <w:t>TOTAL</w:t>
      </w:r>
      <w:r w:rsidR="00887B42">
        <w:rPr>
          <w:rFonts w:ascii="Arial" w:hAnsi="Arial" w:cs="Arial"/>
        </w:rPr>
        <w:t xml:space="preserve"> </w:t>
      </w:r>
      <w:r w:rsidR="00DB058A" w:rsidRPr="0034736A">
        <w:rPr>
          <w:rFonts w:ascii="Arial" w:hAnsi="Arial" w:cs="Arial"/>
        </w:rPr>
        <w:t>ANTI</w:t>
      </w:r>
      <w:r w:rsidR="00887B42">
        <w:rPr>
          <w:rFonts w:ascii="Arial" w:hAnsi="Arial" w:cs="Arial"/>
        </w:rPr>
        <w:t>-</w:t>
      </w:r>
      <w:r w:rsidR="00DB058A" w:rsidRPr="0034736A">
        <w:rPr>
          <w:rFonts w:ascii="Arial" w:hAnsi="Arial" w:cs="Arial"/>
        </w:rPr>
        <w:t>OXIDANT ACTIVITY</w:t>
      </w:r>
    </w:p>
    <w:p w14:paraId="6F172BCC" w14:textId="7952FB83" w:rsidR="00DB058A" w:rsidRPr="0034736A" w:rsidRDefault="00903B3C" w:rsidP="00DB058A">
      <w:pPr>
        <w:spacing w:after="0" w:line="360" w:lineRule="auto"/>
        <w:rPr>
          <w:rFonts w:ascii="Arial" w:hAnsi="Arial" w:cs="Arial"/>
        </w:rPr>
      </w:pPr>
      <w:r w:rsidRPr="0034736A">
        <w:rPr>
          <w:rFonts w:ascii="Arial" w:hAnsi="Arial" w:cs="Arial"/>
        </w:rPr>
        <w:t xml:space="preserve">The Total Antioxidant Activity (TAA) of linseed samples was determined following the method of Prieto, Pineda, and Aguilar (1999). Linseed seeds were ground into a fine paste, and 2 mL of the paste was centrifuged at 10,000 rpm for 10 minutes to obtain the supernatant as the stock solution. For the assay, 100 </w:t>
      </w:r>
      <w:proofErr w:type="spellStart"/>
      <w:r w:rsidRPr="0034736A">
        <w:rPr>
          <w:rFonts w:ascii="Arial" w:hAnsi="Arial" w:cs="Arial"/>
        </w:rPr>
        <w:t>μL</w:t>
      </w:r>
      <w:proofErr w:type="spellEnd"/>
      <w:r w:rsidRPr="0034736A">
        <w:rPr>
          <w:rFonts w:ascii="Arial" w:hAnsi="Arial" w:cs="Arial"/>
        </w:rPr>
        <w:t xml:space="preserve"> and 200 </w:t>
      </w:r>
      <w:proofErr w:type="spellStart"/>
      <w:r w:rsidRPr="0034736A">
        <w:rPr>
          <w:rFonts w:ascii="Arial" w:hAnsi="Arial" w:cs="Arial"/>
        </w:rPr>
        <w:t>μL</w:t>
      </w:r>
      <w:proofErr w:type="spellEnd"/>
      <w:r w:rsidRPr="0034736A">
        <w:rPr>
          <w:rFonts w:ascii="Arial" w:hAnsi="Arial" w:cs="Arial"/>
        </w:rPr>
        <w:t xml:space="preserve"> of stock solution were mixed separately with 1 mL of reagent solution in test tubes, and five replicates were prepared for each sample. The mixtures were incubated in a boiling water bath at 95°C for 90 minutes, cooled to room temperature, and absorbance was measured at 695 nm using a UV–Visible spectrophotometer. The antioxidant activity was expressed as ascorbic acid equivalents or percentage inhibition, depending on the standard curve used.</w:t>
      </w:r>
    </w:p>
    <w:p w14:paraId="599CE66A" w14:textId="77777777" w:rsidR="00DB058A" w:rsidRPr="0034736A" w:rsidRDefault="00DB058A" w:rsidP="00DB058A">
      <w:pPr>
        <w:spacing w:after="0" w:line="360" w:lineRule="auto"/>
        <w:rPr>
          <w:rFonts w:ascii="Arial" w:hAnsi="Arial" w:cs="Arial"/>
        </w:rPr>
      </w:pPr>
    </w:p>
    <w:p w14:paraId="2422371A" w14:textId="7F87B7EA" w:rsidR="00903B3C" w:rsidRPr="0034736A" w:rsidRDefault="00753284" w:rsidP="00DB058A">
      <w:pPr>
        <w:spacing w:after="0" w:line="360" w:lineRule="auto"/>
        <w:rPr>
          <w:rFonts w:ascii="Arial" w:hAnsi="Arial" w:cs="Arial"/>
        </w:rPr>
      </w:pPr>
      <w:r w:rsidRPr="0034736A">
        <w:rPr>
          <w:rFonts w:ascii="Arial" w:hAnsi="Arial" w:cs="Arial"/>
        </w:rPr>
        <w:t>2.5.</w:t>
      </w:r>
      <w:r w:rsidR="00887B42">
        <w:rPr>
          <w:rFonts w:ascii="Arial" w:hAnsi="Arial" w:cs="Arial"/>
        </w:rPr>
        <w:t xml:space="preserve"> </w:t>
      </w:r>
      <w:r w:rsidR="00DB058A" w:rsidRPr="0034736A">
        <w:rPr>
          <w:rFonts w:ascii="Arial" w:hAnsi="Arial" w:cs="Arial"/>
        </w:rPr>
        <w:t>LIPID PEROXIDATION/ OMEGA-3 ESTIMATION</w:t>
      </w:r>
      <w:r w:rsidR="00573245" w:rsidRPr="0034736A">
        <w:rPr>
          <w:rFonts w:ascii="Arial" w:hAnsi="Arial" w:cs="Arial"/>
        </w:rPr>
        <w:t xml:space="preserve"> </w:t>
      </w:r>
    </w:p>
    <w:p w14:paraId="521F54B6" w14:textId="1F873BD0" w:rsidR="00573245" w:rsidRPr="0034736A" w:rsidRDefault="00573245" w:rsidP="00DB058A">
      <w:pPr>
        <w:spacing w:after="0" w:line="360" w:lineRule="auto"/>
        <w:rPr>
          <w:rFonts w:ascii="Arial" w:hAnsi="Arial" w:cs="Arial"/>
        </w:rPr>
      </w:pPr>
      <w:r w:rsidRPr="0034736A">
        <w:rPr>
          <w:rFonts w:ascii="Arial" w:hAnsi="Arial" w:cs="Arial"/>
        </w:rPr>
        <w:t>Lipid peroxidation was estimated by measuring malondialdehyde (MDA) content</w:t>
      </w:r>
      <w:r w:rsidR="00BE792A" w:rsidRPr="0034736A">
        <w:rPr>
          <w:rFonts w:ascii="Arial" w:hAnsi="Arial" w:cs="Arial"/>
        </w:rPr>
        <w:t xml:space="preserve"> He </w:t>
      </w:r>
      <w:r w:rsidR="008000D7" w:rsidRPr="0034736A">
        <w:rPr>
          <w:rFonts w:ascii="Arial" w:hAnsi="Arial" w:cs="Arial"/>
          <w:i/>
          <w:iCs/>
        </w:rPr>
        <w:t>et al.,</w:t>
      </w:r>
      <w:r w:rsidR="00BE792A" w:rsidRPr="0034736A">
        <w:rPr>
          <w:rFonts w:ascii="Arial" w:hAnsi="Arial" w:cs="Arial"/>
        </w:rPr>
        <w:t xml:space="preserve"> (2003)</w:t>
      </w:r>
      <w:r w:rsidRPr="0034736A">
        <w:rPr>
          <w:rFonts w:ascii="Arial" w:hAnsi="Arial" w:cs="Arial"/>
        </w:rPr>
        <w:t xml:space="preserve">. Fresh tissue (0.1 g FW) was homogenized in 2.0 mL of 0.2 M citrate–phosphate buffer (pH 6.5) containing 0.5% Triton X-100. The homogenate was filtered through Whatman no. 42 filter paper and centrifuged at 6,000 rpm for 15 minutes at room temperature. To 1.0 mL of the supernatant, an equal volume of 20% TCA containing 0.5% </w:t>
      </w:r>
      <w:r w:rsidRPr="0034736A">
        <w:rPr>
          <w:rFonts w:ascii="Arial" w:hAnsi="Arial" w:cs="Arial"/>
        </w:rPr>
        <w:lastRenderedPageBreak/>
        <w:t>TBA was added. The mixture was heated at 95°C for 30 minutes in a water bath, cooled rapidly in an ice bath, and centrifuged again at 6,000 rpm for 15 minutes. A blank without tissue extract was prepared similarly. The absorbance of the supernatant was recorded at 450, 532, and 600 nm using a spectrophotometer, and lipid peroxidation was expressed as nmol MDA g</w:t>
      </w:r>
      <w:r w:rsidRPr="0034736A">
        <w:rPr>
          <w:rFonts w:ascii="Cambria Math" w:hAnsi="Cambria Math" w:cs="Cambria Math"/>
        </w:rPr>
        <w:t>⁻</w:t>
      </w:r>
      <w:r w:rsidRPr="0034736A">
        <w:rPr>
          <w:rFonts w:ascii="Arial" w:hAnsi="Arial" w:cs="Arial"/>
        </w:rPr>
        <w:t>¹ FW.</w:t>
      </w:r>
    </w:p>
    <w:p w14:paraId="62E42F72" w14:textId="77777777" w:rsidR="00DB058A" w:rsidRPr="0034736A" w:rsidRDefault="00DB058A" w:rsidP="00DB058A">
      <w:pPr>
        <w:spacing w:after="0" w:line="360" w:lineRule="auto"/>
        <w:rPr>
          <w:rFonts w:ascii="Arial" w:hAnsi="Arial" w:cs="Arial"/>
        </w:rPr>
      </w:pPr>
    </w:p>
    <w:p w14:paraId="6E681D7B" w14:textId="05650297" w:rsidR="00573245" w:rsidRPr="0034736A" w:rsidRDefault="00753284" w:rsidP="00753284">
      <w:pPr>
        <w:spacing w:after="0" w:line="360" w:lineRule="auto"/>
        <w:jc w:val="both"/>
        <w:rPr>
          <w:rFonts w:ascii="Arial" w:hAnsi="Arial" w:cs="Arial"/>
        </w:rPr>
      </w:pPr>
      <w:r w:rsidRPr="0034736A">
        <w:rPr>
          <w:rFonts w:ascii="Arial" w:hAnsi="Arial" w:cs="Arial"/>
        </w:rPr>
        <w:t>3.</w:t>
      </w:r>
      <w:r w:rsidR="00DB058A" w:rsidRPr="0034736A">
        <w:rPr>
          <w:rFonts w:ascii="Arial" w:hAnsi="Arial" w:cs="Arial"/>
        </w:rPr>
        <w:t xml:space="preserve">RESULT AND DISCUSSION </w:t>
      </w:r>
    </w:p>
    <w:p w14:paraId="518AB21D" w14:textId="3621A03D" w:rsidR="0042384F" w:rsidRPr="0034736A" w:rsidRDefault="00573245" w:rsidP="00DB058A">
      <w:pPr>
        <w:spacing w:after="0" w:line="360" w:lineRule="auto"/>
        <w:rPr>
          <w:rFonts w:ascii="Arial" w:eastAsiaTheme="minorEastAsia" w:hAnsi="Arial" w:cs="Arial"/>
        </w:rPr>
      </w:pPr>
      <w:r w:rsidRPr="0034736A">
        <w:rPr>
          <w:rFonts w:ascii="Arial" w:hAnsi="Arial" w:cs="Arial"/>
        </w:rPr>
        <w:t>The result presented  comprised various aspects undertaken during the present study on “</w:t>
      </w:r>
      <w:r w:rsidRPr="0034736A">
        <w:rPr>
          <w:rFonts w:ascii="Arial" w:eastAsiaTheme="minorEastAsia" w:hAnsi="Arial" w:cs="Arial"/>
        </w:rPr>
        <w:t>Assessment of genetic variability and biochemical characteristics in among genotypes on linseed (</w:t>
      </w:r>
      <w:proofErr w:type="spellStart"/>
      <w:r w:rsidR="00E40DC2" w:rsidRPr="00E40DC2">
        <w:rPr>
          <w:rFonts w:ascii="Arial" w:eastAsiaTheme="minorEastAsia" w:hAnsi="Arial" w:cs="Arial"/>
          <w:i/>
          <w:iCs/>
        </w:rPr>
        <w:t>Linum</w:t>
      </w:r>
      <w:proofErr w:type="spellEnd"/>
      <w:r w:rsidR="00E40DC2" w:rsidRPr="00E40DC2">
        <w:rPr>
          <w:rFonts w:ascii="Arial" w:eastAsiaTheme="minorEastAsia" w:hAnsi="Arial" w:cs="Arial"/>
          <w:i/>
          <w:iCs/>
        </w:rPr>
        <w:t xml:space="preserve"> </w:t>
      </w:r>
      <w:proofErr w:type="spellStart"/>
      <w:r w:rsidR="00E40DC2" w:rsidRPr="00E40DC2">
        <w:rPr>
          <w:rFonts w:ascii="Arial" w:eastAsiaTheme="minorEastAsia" w:hAnsi="Arial" w:cs="Arial"/>
          <w:i/>
          <w:iCs/>
        </w:rPr>
        <w:t>usitatissimum</w:t>
      </w:r>
      <w:proofErr w:type="spellEnd"/>
      <w:r w:rsidR="00E40DC2" w:rsidRPr="00E40DC2">
        <w:rPr>
          <w:rFonts w:ascii="Arial" w:eastAsiaTheme="minorEastAsia" w:hAnsi="Arial" w:cs="Arial"/>
          <w:i/>
          <w:iCs/>
        </w:rPr>
        <w:t xml:space="preserve"> </w:t>
      </w:r>
      <w:r w:rsidRPr="0034736A">
        <w:rPr>
          <w:rFonts w:ascii="Arial" w:eastAsiaTheme="minorEastAsia" w:hAnsi="Arial" w:cs="Arial"/>
        </w:rPr>
        <w:t>L.)</w:t>
      </w:r>
      <w:r w:rsidR="0042384F" w:rsidRPr="0034736A">
        <w:rPr>
          <w:rFonts w:ascii="Arial" w:eastAsiaTheme="minorEastAsia" w:hAnsi="Arial" w:cs="Arial"/>
        </w:rPr>
        <w:t>.</w:t>
      </w:r>
      <w:r w:rsidRPr="0034736A">
        <w:rPr>
          <w:rFonts w:ascii="Arial" w:eastAsiaTheme="minorEastAsia" w:hAnsi="Arial" w:cs="Arial"/>
        </w:rPr>
        <w:t xml:space="preserve">” </w:t>
      </w:r>
      <w:r w:rsidR="0042384F" w:rsidRPr="0034736A">
        <w:rPr>
          <w:rFonts w:ascii="Arial" w:eastAsiaTheme="minorEastAsia" w:hAnsi="Arial" w:cs="Arial"/>
        </w:rPr>
        <w:t>T</w:t>
      </w:r>
      <w:r w:rsidRPr="0034736A">
        <w:rPr>
          <w:rFonts w:ascii="Arial" w:eastAsiaTheme="minorEastAsia" w:hAnsi="Arial" w:cs="Arial"/>
        </w:rPr>
        <w:t>hese</w:t>
      </w:r>
      <w:r w:rsidR="0042384F" w:rsidRPr="0034736A">
        <w:rPr>
          <w:rFonts w:ascii="Arial" w:eastAsiaTheme="minorEastAsia" w:hAnsi="Arial" w:cs="Arial"/>
        </w:rPr>
        <w:t xml:space="preserve"> aspects are effects of different genotype in the Vindhya region. </w:t>
      </w:r>
    </w:p>
    <w:p w14:paraId="01386FAD" w14:textId="6506288E" w:rsidR="00753284" w:rsidRPr="0034736A" w:rsidRDefault="001D48D8" w:rsidP="00DB058A">
      <w:pPr>
        <w:spacing w:after="0" w:line="360" w:lineRule="auto"/>
        <w:rPr>
          <w:rFonts w:ascii="Arial" w:hAnsi="Arial" w:cs="Arial"/>
          <w:lang w:val="en-US"/>
        </w:rPr>
      </w:pPr>
      <w:r w:rsidRPr="0034736A">
        <w:rPr>
          <w:rFonts w:ascii="Arial" w:eastAsiaTheme="minorEastAsia" w:hAnsi="Arial" w:cs="Arial"/>
        </w:rPr>
        <w:t>The principal objective of most plant breeding programmes is to develop superior, high-yielding genotypes or lines that surpass existing ones through the modification of genetic makeup. Linseed (</w:t>
      </w:r>
      <w:proofErr w:type="spellStart"/>
      <w:r w:rsidR="00E40DC2" w:rsidRPr="00E40DC2">
        <w:rPr>
          <w:rFonts w:ascii="Arial" w:eastAsiaTheme="minorEastAsia" w:hAnsi="Arial" w:cs="Arial"/>
          <w:i/>
          <w:iCs/>
        </w:rPr>
        <w:t>Linum</w:t>
      </w:r>
      <w:proofErr w:type="spellEnd"/>
      <w:r w:rsidR="00E40DC2" w:rsidRPr="00E40DC2">
        <w:rPr>
          <w:rFonts w:ascii="Arial" w:eastAsiaTheme="minorEastAsia" w:hAnsi="Arial" w:cs="Arial"/>
          <w:i/>
          <w:iCs/>
        </w:rPr>
        <w:t xml:space="preserve"> </w:t>
      </w:r>
      <w:proofErr w:type="spellStart"/>
      <w:r w:rsidR="00E40DC2" w:rsidRPr="00E40DC2">
        <w:rPr>
          <w:rFonts w:ascii="Arial" w:eastAsiaTheme="minorEastAsia" w:hAnsi="Arial" w:cs="Arial"/>
          <w:i/>
          <w:iCs/>
        </w:rPr>
        <w:t>usitatissimum</w:t>
      </w:r>
      <w:proofErr w:type="spellEnd"/>
      <w:r w:rsidR="00E40DC2" w:rsidRPr="00E40DC2">
        <w:rPr>
          <w:rFonts w:ascii="Arial" w:eastAsiaTheme="minorEastAsia" w:hAnsi="Arial" w:cs="Arial"/>
          <w:i/>
          <w:iCs/>
        </w:rPr>
        <w:t xml:space="preserve"> </w:t>
      </w:r>
      <w:r w:rsidRPr="0034736A">
        <w:rPr>
          <w:rFonts w:ascii="Arial" w:eastAsiaTheme="minorEastAsia" w:hAnsi="Arial" w:cs="Arial"/>
        </w:rPr>
        <w:t>L.) is an important Rabi oilseed crop cultivated in India as well as in several other developing countries. Considering these aspects, the present study was carried out to assess different genetic parameters such as variability, heritability, and genetic advance. The findings obtained from this investigation are presented and discussed below.</w:t>
      </w:r>
      <w:r w:rsidR="000776DD" w:rsidRPr="0034736A">
        <w:rPr>
          <w:rFonts w:ascii="Arial" w:eastAsiaTheme="minorEastAsia" w:hAnsi="Arial" w:cs="Arial"/>
        </w:rPr>
        <w:t xml:space="preserve"> </w:t>
      </w:r>
      <w:r w:rsidR="000776DD" w:rsidRPr="0034736A">
        <w:rPr>
          <w:rFonts w:ascii="Arial" w:hAnsi="Arial" w:cs="Arial"/>
          <w:lang w:val="en-US"/>
        </w:rPr>
        <w:t xml:space="preserve">The analysis of variance (ANOVA) revealed significant differences among genotypes for most of the studied traits, indicating the presence of substantial genetic variability (Table 1, Fig..1). The mean sum of squares due to genotypes was found to be significant for all the characters studied, except for plant height at 30 DAS, where differences were significant at P ≤ 0.05. Highly significant (P ≤ 0.01) differences among genotypes were observed for plant height at 60 DAS, 90 DAS, and at maturity; days to 50% flowering; number of branches per plant; number of capsules per plant; seed yield per plant; 1000-seed weight; biological yield per plant; harvest index; number of seeds per capsule; seed yield per plot; protein content; carbohydrate content; total flavonoid content; total antioxidant activity; and ALA (Omega-3) content. The significant genotypic differences across these traits suggest a wide range of genetic variability among the genotypes evaluated, providing ample scope for selection and improvement through breeding programs. </w:t>
      </w:r>
      <w:r w:rsidR="009F7A0F" w:rsidRPr="0034736A">
        <w:rPr>
          <w:rFonts w:ascii="Arial" w:hAnsi="Arial" w:cs="Arial"/>
          <w:lang w:val="en-US"/>
        </w:rPr>
        <w:t>The analysis of variance was computed for all the morphological and biochemical traits viz, Plant height (cm) 30 DAS, Plant height (cm) 60 DAS, Plant height (cm) 90 DAS, Plant height day after maturity(cm), day after 50% flowering stage, number of branches plant</w:t>
      </w:r>
      <w:r w:rsidR="009F7A0F" w:rsidRPr="0034736A">
        <w:rPr>
          <w:rFonts w:ascii="Arial" w:hAnsi="Arial" w:cs="Arial"/>
          <w:vertAlign w:val="superscript"/>
          <w:lang w:val="en-US"/>
        </w:rPr>
        <w:t>-1</w:t>
      </w:r>
      <w:r w:rsidR="009F7A0F" w:rsidRPr="0034736A">
        <w:rPr>
          <w:rFonts w:ascii="Arial" w:hAnsi="Arial" w:cs="Arial"/>
          <w:lang w:val="en-US"/>
        </w:rPr>
        <w:t>, number of capsule plant</w:t>
      </w:r>
      <w:r w:rsidR="009F7A0F" w:rsidRPr="0034736A">
        <w:rPr>
          <w:rFonts w:ascii="Arial" w:hAnsi="Arial" w:cs="Arial"/>
          <w:vertAlign w:val="superscript"/>
          <w:lang w:val="en-US"/>
        </w:rPr>
        <w:t>-1</w:t>
      </w:r>
      <w:r w:rsidR="009F7A0F" w:rsidRPr="0034736A">
        <w:rPr>
          <w:rFonts w:ascii="Arial" w:hAnsi="Arial" w:cs="Arial"/>
          <w:lang w:val="en-US"/>
        </w:rPr>
        <w:t>, seed yield plant</w:t>
      </w:r>
      <w:r w:rsidR="009F7A0F" w:rsidRPr="0034736A">
        <w:rPr>
          <w:rFonts w:ascii="Arial" w:hAnsi="Arial" w:cs="Arial"/>
          <w:vertAlign w:val="superscript"/>
          <w:lang w:val="en-US"/>
        </w:rPr>
        <w:t>-1</w:t>
      </w:r>
      <w:r w:rsidR="009F7A0F" w:rsidRPr="0034736A">
        <w:rPr>
          <w:rFonts w:ascii="Arial" w:hAnsi="Arial" w:cs="Arial"/>
          <w:lang w:val="en-US"/>
        </w:rPr>
        <w:t>(g), 1000 seed weight (g), biological yield plant</w:t>
      </w:r>
      <w:r w:rsidR="009F7A0F" w:rsidRPr="0034736A">
        <w:rPr>
          <w:rFonts w:ascii="Arial" w:hAnsi="Arial" w:cs="Arial"/>
          <w:vertAlign w:val="superscript"/>
          <w:lang w:val="en-US"/>
        </w:rPr>
        <w:t xml:space="preserve">-1 </w:t>
      </w:r>
      <w:r w:rsidR="009F7A0F" w:rsidRPr="0034736A">
        <w:rPr>
          <w:rFonts w:ascii="Arial" w:hAnsi="Arial" w:cs="Arial"/>
          <w:lang w:val="en-US"/>
        </w:rPr>
        <w:t>(g), number of seed capsule</w:t>
      </w:r>
      <w:r w:rsidR="009F7A0F" w:rsidRPr="0034736A">
        <w:rPr>
          <w:rFonts w:ascii="Arial" w:hAnsi="Arial" w:cs="Arial"/>
          <w:vertAlign w:val="superscript"/>
          <w:lang w:val="en-US"/>
        </w:rPr>
        <w:t>-1</w:t>
      </w:r>
      <w:r w:rsidR="009F7A0F" w:rsidRPr="0034736A">
        <w:rPr>
          <w:rFonts w:ascii="Arial" w:hAnsi="Arial" w:cs="Arial"/>
          <w:lang w:val="en-US"/>
        </w:rPr>
        <w:t>, Seed yield plot</w:t>
      </w:r>
      <w:r w:rsidR="009F7A0F" w:rsidRPr="0034736A">
        <w:rPr>
          <w:rFonts w:ascii="Arial" w:hAnsi="Arial" w:cs="Arial"/>
          <w:vertAlign w:val="superscript"/>
          <w:lang w:val="en-US"/>
        </w:rPr>
        <w:t>-1</w:t>
      </w:r>
      <w:r w:rsidR="009F7A0F" w:rsidRPr="0034736A">
        <w:rPr>
          <w:rFonts w:ascii="Arial" w:hAnsi="Arial" w:cs="Arial"/>
          <w:lang w:val="en-US"/>
        </w:rPr>
        <w:t xml:space="preserve"> (kg ha</w:t>
      </w:r>
      <w:r w:rsidR="009F7A0F" w:rsidRPr="0034736A">
        <w:rPr>
          <w:rFonts w:ascii="Arial" w:hAnsi="Arial" w:cs="Arial"/>
          <w:vertAlign w:val="superscript"/>
          <w:lang w:val="en-US"/>
        </w:rPr>
        <w:t>-1</w:t>
      </w:r>
      <w:r w:rsidR="009F7A0F" w:rsidRPr="0034736A">
        <w:rPr>
          <w:rFonts w:ascii="Arial" w:hAnsi="Arial" w:cs="Arial"/>
          <w:lang w:val="en-US"/>
        </w:rPr>
        <w:t xml:space="preserve">), Harvest index, protein content(g/100g), carbohydrate (g/100g), total flavonoid content (mg/100g), total antioxidant activity (%), ALA/omega-3 content (% of total fatty acid). </w:t>
      </w:r>
      <w:r w:rsidR="004F49E8" w:rsidRPr="0034736A">
        <w:rPr>
          <w:rFonts w:ascii="Arial" w:hAnsi="Arial" w:cs="Arial"/>
        </w:rPr>
        <w:t>these studies</w:t>
      </w:r>
      <w:r w:rsidR="009F7A0F" w:rsidRPr="0034736A">
        <w:rPr>
          <w:rFonts w:ascii="Arial" w:hAnsi="Arial" w:cs="Arial"/>
        </w:rPr>
        <w:t xml:space="preserve"> supported by Bindra </w:t>
      </w:r>
      <w:r w:rsidR="008000D7" w:rsidRPr="0034736A">
        <w:rPr>
          <w:rFonts w:ascii="Arial" w:hAnsi="Arial" w:cs="Arial"/>
          <w:i/>
          <w:iCs/>
        </w:rPr>
        <w:t>et al.,</w:t>
      </w:r>
      <w:r w:rsidR="009F7A0F" w:rsidRPr="0034736A">
        <w:rPr>
          <w:rFonts w:ascii="Arial" w:hAnsi="Arial" w:cs="Arial"/>
        </w:rPr>
        <w:t xml:space="preserve"> (2016); Choudhary </w:t>
      </w:r>
      <w:r w:rsidR="008000D7" w:rsidRPr="0034736A">
        <w:rPr>
          <w:rFonts w:ascii="Arial" w:hAnsi="Arial" w:cs="Arial"/>
          <w:i/>
          <w:iCs/>
        </w:rPr>
        <w:t>et al.,</w:t>
      </w:r>
      <w:r w:rsidR="009F7A0F" w:rsidRPr="0034736A">
        <w:rPr>
          <w:rFonts w:ascii="Arial" w:hAnsi="Arial" w:cs="Arial"/>
        </w:rPr>
        <w:t xml:space="preserve"> (2017).</w:t>
      </w:r>
      <w:r w:rsidR="004F49E8" w:rsidRPr="0034736A">
        <w:rPr>
          <w:rFonts w:ascii="Arial" w:hAnsi="Arial" w:cs="Arial"/>
        </w:rPr>
        <w:t xml:space="preserve"> </w:t>
      </w:r>
      <w:r w:rsidR="004F49E8" w:rsidRPr="0034736A">
        <w:rPr>
          <w:rFonts w:ascii="Arial" w:hAnsi="Arial" w:cs="Arial"/>
          <w:lang w:val="en-US"/>
        </w:rPr>
        <w:lastRenderedPageBreak/>
        <w:t>This indicates the presence of substantial variability in the linseed accessions studied, making them appropriate for further genetic evaluation and selection studies.</w:t>
      </w:r>
    </w:p>
    <w:p w14:paraId="159F88EF" w14:textId="0F2107E4" w:rsidR="004F49E8" w:rsidRPr="0034736A" w:rsidRDefault="000776DD" w:rsidP="00DB058A">
      <w:pPr>
        <w:spacing w:after="0" w:line="360" w:lineRule="auto"/>
        <w:rPr>
          <w:rFonts w:ascii="Arial" w:eastAsiaTheme="minorEastAsia" w:hAnsi="Arial" w:cs="Arial"/>
        </w:rPr>
      </w:pPr>
      <w:r w:rsidRPr="0034736A">
        <w:rPr>
          <w:rFonts w:ascii="Arial" w:hAnsi="Arial" w:cs="Arial"/>
          <w:lang w:val="en-US"/>
        </w:rPr>
        <w:t xml:space="preserve"> </w:t>
      </w:r>
    </w:p>
    <w:p w14:paraId="6DC1FD1F" w14:textId="23C471CD" w:rsidR="00786847" w:rsidRPr="0034736A" w:rsidRDefault="004F49E8" w:rsidP="00DB058A">
      <w:pPr>
        <w:spacing w:after="0" w:line="360" w:lineRule="auto"/>
        <w:rPr>
          <w:rFonts w:ascii="Arial" w:hAnsi="Arial" w:cs="Arial"/>
          <w:lang w:val="en-US"/>
        </w:rPr>
      </w:pPr>
      <w:r w:rsidRPr="0034736A">
        <w:rPr>
          <w:rFonts w:ascii="Arial" w:hAnsi="Arial" w:cs="Arial"/>
          <w:lang w:val="en-US"/>
        </w:rPr>
        <w:t>The result of</w:t>
      </w:r>
      <w:r w:rsidR="00B25DD4" w:rsidRPr="0034736A">
        <w:rPr>
          <w:rFonts w:ascii="Arial" w:hAnsi="Arial" w:cs="Arial"/>
          <w:lang w:val="en-US"/>
        </w:rPr>
        <w:t xml:space="preserve"> mean value of various character of morphological traits. The </w:t>
      </w:r>
      <w:r w:rsidR="00D55E1D" w:rsidRPr="0034736A">
        <w:rPr>
          <w:rFonts w:ascii="Arial" w:hAnsi="Arial" w:cs="Arial"/>
          <w:lang w:val="en-US"/>
        </w:rPr>
        <w:t>Plant height 30DAS Kusum (20.27cm) exhibited higher the all the genotypes, the genotypes Type-397 was presented high in Plant height 60 DAS (42.97cm) Plant height 90 DAS (65.60), Plant height day after maturity (71.67cm), Number of branches plant</w:t>
      </w:r>
      <w:r w:rsidR="00D55E1D" w:rsidRPr="0034736A">
        <w:rPr>
          <w:rFonts w:ascii="Arial" w:hAnsi="Arial" w:cs="Arial"/>
          <w:vertAlign w:val="superscript"/>
          <w:lang w:val="en-US"/>
        </w:rPr>
        <w:t>-1</w:t>
      </w:r>
      <w:r w:rsidR="00D55E1D" w:rsidRPr="0034736A">
        <w:rPr>
          <w:rFonts w:ascii="Arial" w:hAnsi="Arial" w:cs="Arial"/>
          <w:lang w:val="en-US"/>
        </w:rPr>
        <w:t xml:space="preserve"> (7.20), Number of capsule plant</w:t>
      </w:r>
      <w:r w:rsidR="00D55E1D" w:rsidRPr="0034736A">
        <w:rPr>
          <w:rFonts w:ascii="Arial" w:hAnsi="Arial" w:cs="Arial"/>
          <w:vertAlign w:val="superscript"/>
          <w:lang w:val="en-US"/>
        </w:rPr>
        <w:t>-1</w:t>
      </w:r>
      <w:r w:rsidR="00D55E1D" w:rsidRPr="0034736A">
        <w:rPr>
          <w:rFonts w:ascii="Arial" w:hAnsi="Arial" w:cs="Arial"/>
          <w:lang w:val="en-US"/>
        </w:rPr>
        <w:t xml:space="preserve"> (88.00), Number of seed capsule</w:t>
      </w:r>
      <w:r w:rsidR="00D55E1D" w:rsidRPr="0034736A">
        <w:rPr>
          <w:rFonts w:ascii="Arial" w:hAnsi="Arial" w:cs="Arial"/>
          <w:vertAlign w:val="superscript"/>
          <w:lang w:val="en-US"/>
        </w:rPr>
        <w:t>-1</w:t>
      </w:r>
      <w:r w:rsidR="00D55E1D" w:rsidRPr="0034736A">
        <w:rPr>
          <w:rFonts w:ascii="Arial" w:hAnsi="Arial" w:cs="Arial"/>
          <w:lang w:val="en-US"/>
        </w:rPr>
        <w:t xml:space="preserve"> (9.70), seed yield plant</w:t>
      </w:r>
      <w:r w:rsidR="00D55E1D" w:rsidRPr="0034736A">
        <w:rPr>
          <w:rFonts w:ascii="Arial" w:hAnsi="Arial" w:cs="Arial"/>
          <w:vertAlign w:val="superscript"/>
          <w:lang w:val="en-US"/>
        </w:rPr>
        <w:t>-1</w:t>
      </w:r>
      <w:r w:rsidR="00D55E1D" w:rsidRPr="0034736A">
        <w:rPr>
          <w:rFonts w:ascii="Arial" w:hAnsi="Arial" w:cs="Arial"/>
          <w:lang w:val="en-US"/>
        </w:rPr>
        <w:t xml:space="preserve"> (6.73g), 1000 seed weight </w:t>
      </w:r>
      <w:r w:rsidR="00AA0951" w:rsidRPr="0034736A">
        <w:rPr>
          <w:rFonts w:ascii="Arial" w:hAnsi="Arial" w:cs="Arial"/>
          <w:lang w:val="en-US"/>
        </w:rPr>
        <w:t>(7.13g), Biological yield plant</w:t>
      </w:r>
      <w:r w:rsidR="00AA0951" w:rsidRPr="0034736A">
        <w:rPr>
          <w:rFonts w:ascii="Arial" w:hAnsi="Arial" w:cs="Arial"/>
          <w:vertAlign w:val="superscript"/>
          <w:lang w:val="en-US"/>
        </w:rPr>
        <w:t>-1</w:t>
      </w:r>
      <w:r w:rsidR="00AA0951" w:rsidRPr="0034736A">
        <w:rPr>
          <w:rFonts w:ascii="Arial" w:hAnsi="Arial" w:cs="Arial"/>
          <w:lang w:val="en-US"/>
        </w:rPr>
        <w:t xml:space="preserve"> (25.00g) and Seed yield plot</w:t>
      </w:r>
      <w:r w:rsidR="00AA0951" w:rsidRPr="0034736A">
        <w:rPr>
          <w:rFonts w:ascii="Arial" w:hAnsi="Arial" w:cs="Arial"/>
          <w:vertAlign w:val="superscript"/>
          <w:lang w:val="en-US"/>
        </w:rPr>
        <w:t>-1</w:t>
      </w:r>
      <w:r w:rsidR="00AA0951" w:rsidRPr="0034736A">
        <w:rPr>
          <w:rFonts w:ascii="Arial" w:hAnsi="Arial" w:cs="Arial"/>
          <w:lang w:val="en-US"/>
        </w:rPr>
        <w:t xml:space="preserve"> (224.42 kg ha</w:t>
      </w:r>
      <w:r w:rsidR="00AA0951" w:rsidRPr="0034736A">
        <w:rPr>
          <w:rFonts w:ascii="Arial" w:hAnsi="Arial" w:cs="Arial"/>
          <w:vertAlign w:val="superscript"/>
          <w:lang w:val="en-US"/>
        </w:rPr>
        <w:t>-1</w:t>
      </w:r>
      <w:r w:rsidR="00AA0951" w:rsidRPr="0034736A">
        <w:rPr>
          <w:rFonts w:ascii="Arial" w:hAnsi="Arial" w:cs="Arial"/>
          <w:lang w:val="en-US"/>
        </w:rPr>
        <w:t>), while Harvest index (27.24 %) presented by Nilam genotype. The shortest duration of Kusum (64 days) genotype.</w:t>
      </w:r>
      <w:r w:rsidR="00037155" w:rsidRPr="0034736A">
        <w:rPr>
          <w:rFonts w:ascii="Arial" w:hAnsi="Arial" w:cs="Arial"/>
          <w:lang w:val="en-US"/>
        </w:rPr>
        <w:t xml:space="preserve"> </w:t>
      </w:r>
      <w:r w:rsidR="00AA0951" w:rsidRPr="0034736A">
        <w:rPr>
          <w:rFonts w:ascii="Arial" w:hAnsi="Arial" w:cs="Arial"/>
          <w:lang w:val="en-US"/>
        </w:rPr>
        <w:t>The mean value of different characters of biochemical traits. The highest Protein content</w:t>
      </w:r>
      <w:r w:rsidR="004C2DA4" w:rsidRPr="0034736A">
        <w:rPr>
          <w:rFonts w:ascii="Arial" w:hAnsi="Arial" w:cs="Arial"/>
          <w:lang w:val="en-US"/>
        </w:rPr>
        <w:t xml:space="preserve"> (18.96g/100g) and carbohydrate content (29.87g/100g) </w:t>
      </w:r>
      <w:r w:rsidR="00AA0951" w:rsidRPr="0034736A">
        <w:rPr>
          <w:rFonts w:ascii="Arial" w:hAnsi="Arial" w:cs="Arial"/>
          <w:lang w:val="en-US"/>
        </w:rPr>
        <w:t xml:space="preserve">was exhibited by </w:t>
      </w:r>
      <w:r w:rsidR="004C2DA4" w:rsidRPr="0034736A">
        <w:rPr>
          <w:rFonts w:ascii="Arial" w:hAnsi="Arial" w:cs="Arial"/>
          <w:lang w:val="en-US"/>
        </w:rPr>
        <w:t>Jawahar-17. The total flavonoids content showed higher in check (62.01mg/100g). Mukta genotype presented highest total antioxidant Activity content (92.00 %), while ALA/omega-3 content (% of total fatty acids) exhibited by Padmini (58.22%).</w:t>
      </w:r>
      <w:r w:rsidR="000776DD" w:rsidRPr="0034736A">
        <w:rPr>
          <w:rFonts w:ascii="Arial" w:hAnsi="Arial" w:cs="Arial"/>
          <w:lang w:val="en-US"/>
        </w:rPr>
        <w:t xml:space="preserve"> The mean performance of nine genotypes of </w:t>
      </w:r>
      <w:proofErr w:type="spellStart"/>
      <w:r w:rsidR="00E17368" w:rsidRPr="0034736A">
        <w:rPr>
          <w:rFonts w:ascii="Arial" w:hAnsi="Arial" w:cs="Arial"/>
          <w:i/>
          <w:iCs/>
          <w:lang w:val="en-US"/>
        </w:rPr>
        <w:t>Setaria</w:t>
      </w:r>
      <w:proofErr w:type="spellEnd"/>
      <w:r w:rsidR="00E17368" w:rsidRPr="0034736A">
        <w:rPr>
          <w:rFonts w:ascii="Arial" w:hAnsi="Arial" w:cs="Arial"/>
          <w:i/>
          <w:iCs/>
          <w:lang w:val="en-US"/>
        </w:rPr>
        <w:t xml:space="preserve"> </w:t>
      </w:r>
      <w:proofErr w:type="spellStart"/>
      <w:r w:rsidR="00E17368" w:rsidRPr="0034736A">
        <w:rPr>
          <w:rFonts w:ascii="Arial" w:hAnsi="Arial" w:cs="Arial"/>
          <w:i/>
          <w:iCs/>
          <w:lang w:val="en-US"/>
        </w:rPr>
        <w:t>italica</w:t>
      </w:r>
      <w:proofErr w:type="spellEnd"/>
      <w:r w:rsidR="000776DD" w:rsidRPr="0034736A">
        <w:rPr>
          <w:rFonts w:ascii="Arial" w:hAnsi="Arial" w:cs="Arial"/>
          <w:lang w:val="en-US"/>
        </w:rPr>
        <w:t xml:space="preserve"> for growth, yield, and yield-contributing traits is presented in (Table 2, Fig. 2). Significant variation was observed among the genotypes for all traits studied, reflecting considerable genetic diversity. Growth attributes plant height increased progressively from 30 DAS to maturity across all genotypes. At 30 DAS, Kusum (20.27 cm) recorded the highest plant height, followed by Type-397 (19.77 cm), whereas Shuats-2 (12.93 cm) showed the lowest. At 90 DAS, Type-397 (65.60 cm) attained the maximum height, significantly superior to other genotypes, while Check (50.83 cm) recorded the least. A similar trend was observed at maturity, where Type-397 (71.67 cm) maintained the tallest stature, indicating its strong vegetative growth potential. The days to 50% flowering ranged from 64.00 days (Kusum) to 70.00 days (Nilam), suggesting moderate variation among the genotypes. The number of branches per plant varied significantly, with Type-397 (7.20) showing the highest number, followed by Mukta (6.80), while Padmini recorded the minimum (5.03). The maximum number of capsules per plant was observed in Type-397 (88.00), followed by Selection-2 (85.33), whereas Padmini (51.33) exhibited the lowest. Seed yield per plant ranged from 4.50 g (Mukta and Check) to 6.73 g (Type-397), and 1000-seed weight varied from 5.90 g (Check) to 7.13 g (Type-397), indicating that Type-397 combined superior capsule production with higher seed weight. Biological yield per plant ranged from 16.73 g (Check) to 25.00 g (Type-397). The harvest index was highest in Nilam (27.24%), followed by Selection-2 (26.99%) and Check (26.88%), reflecting efficient partitioning of biomass into economic yield. The number of seeds per capsule varied narrowly, with Type-397 (9.70) showing the highest and Check (7.90) the lowest. Seed yield per plot ranged from 149.99 kg ha</w:t>
      </w:r>
      <w:r w:rsidR="000776DD" w:rsidRPr="0034736A">
        <w:rPr>
          <w:rFonts w:ascii="Cambria Math" w:hAnsi="Cambria Math" w:cs="Cambria Math"/>
          <w:lang w:val="en-US"/>
        </w:rPr>
        <w:t>⁻</w:t>
      </w:r>
      <w:r w:rsidR="000776DD" w:rsidRPr="0034736A">
        <w:rPr>
          <w:rFonts w:ascii="Arial" w:hAnsi="Arial" w:cs="Arial"/>
          <w:lang w:val="en-US"/>
        </w:rPr>
        <w:t>¹ (Mukta and Check) to 224.42 kg ha</w:t>
      </w:r>
      <w:r w:rsidR="000776DD" w:rsidRPr="0034736A">
        <w:rPr>
          <w:rFonts w:ascii="Cambria Math" w:hAnsi="Cambria Math" w:cs="Cambria Math"/>
          <w:lang w:val="en-US"/>
        </w:rPr>
        <w:t>⁻</w:t>
      </w:r>
      <w:r w:rsidR="000776DD" w:rsidRPr="0034736A">
        <w:rPr>
          <w:rFonts w:ascii="Arial" w:hAnsi="Arial" w:cs="Arial"/>
          <w:lang w:val="en-US"/>
        </w:rPr>
        <w:t>¹ (Type-397), followed by Shuats-2 (202.20 kg ha</w:t>
      </w:r>
      <w:r w:rsidR="000776DD" w:rsidRPr="0034736A">
        <w:rPr>
          <w:rFonts w:ascii="Cambria Math" w:hAnsi="Cambria Math" w:cs="Cambria Math"/>
          <w:lang w:val="en-US"/>
        </w:rPr>
        <w:t>⁻</w:t>
      </w:r>
      <w:r w:rsidR="000776DD" w:rsidRPr="0034736A">
        <w:rPr>
          <w:rFonts w:ascii="Arial" w:hAnsi="Arial" w:cs="Arial"/>
          <w:lang w:val="en-US"/>
        </w:rPr>
        <w:t xml:space="preserve">¹) and Selection-2 </w:t>
      </w:r>
      <w:r w:rsidR="000776DD" w:rsidRPr="0034736A">
        <w:rPr>
          <w:rFonts w:ascii="Arial" w:hAnsi="Arial" w:cs="Arial"/>
          <w:lang w:val="en-US"/>
        </w:rPr>
        <w:lastRenderedPageBreak/>
        <w:t>(196.65 kg ha</w:t>
      </w:r>
      <w:r w:rsidR="000776DD" w:rsidRPr="0034736A">
        <w:rPr>
          <w:rFonts w:ascii="Cambria Math" w:hAnsi="Cambria Math" w:cs="Cambria Math"/>
          <w:lang w:val="en-US"/>
        </w:rPr>
        <w:t>⁻</w:t>
      </w:r>
      <w:r w:rsidR="000776DD" w:rsidRPr="0034736A">
        <w:rPr>
          <w:rFonts w:ascii="Arial" w:hAnsi="Arial" w:cs="Arial"/>
          <w:lang w:val="en-US"/>
        </w:rPr>
        <w:t xml:space="preserve">¹). The high-yielding genotypes Type-397 and Shuats-2 also exhibited superior values for growth and yield components, suggesting their potential for yield improvement in </w:t>
      </w:r>
      <w:proofErr w:type="spellStart"/>
      <w:r w:rsidR="00E17368" w:rsidRPr="0034736A">
        <w:rPr>
          <w:rFonts w:ascii="Arial" w:hAnsi="Arial" w:cs="Arial"/>
          <w:i/>
          <w:iCs/>
          <w:lang w:val="en-US"/>
        </w:rPr>
        <w:t>Setaria</w:t>
      </w:r>
      <w:proofErr w:type="spellEnd"/>
      <w:r w:rsidR="00E17368" w:rsidRPr="0034736A">
        <w:rPr>
          <w:rFonts w:ascii="Arial" w:hAnsi="Arial" w:cs="Arial"/>
          <w:i/>
          <w:iCs/>
          <w:lang w:val="en-US"/>
        </w:rPr>
        <w:t xml:space="preserve"> </w:t>
      </w:r>
      <w:proofErr w:type="spellStart"/>
      <w:r w:rsidR="00E17368" w:rsidRPr="0034736A">
        <w:rPr>
          <w:rFonts w:ascii="Arial" w:hAnsi="Arial" w:cs="Arial"/>
          <w:i/>
          <w:iCs/>
          <w:lang w:val="en-US"/>
        </w:rPr>
        <w:t>italica</w:t>
      </w:r>
      <w:proofErr w:type="spellEnd"/>
      <w:r w:rsidR="000776DD" w:rsidRPr="0034736A">
        <w:rPr>
          <w:rFonts w:ascii="Arial" w:hAnsi="Arial" w:cs="Arial"/>
          <w:lang w:val="en-US"/>
        </w:rPr>
        <w:t>. Type-397 consistently performed best across most parameters, indicating its superiority in both vegetative growth and yield traits, while Check recorded the lowest performance in most traits.</w:t>
      </w:r>
    </w:p>
    <w:p w14:paraId="39E3F105" w14:textId="5C14BF50" w:rsidR="00994F8B" w:rsidRPr="0034736A" w:rsidRDefault="000776DD" w:rsidP="00DB058A">
      <w:pPr>
        <w:spacing w:before="240" w:after="0" w:line="360" w:lineRule="auto"/>
        <w:rPr>
          <w:rFonts w:ascii="Arial" w:hAnsi="Arial" w:cs="Arial"/>
        </w:rPr>
      </w:pPr>
      <w:r w:rsidRPr="0034736A">
        <w:rPr>
          <w:rFonts w:ascii="Arial" w:hAnsi="Arial" w:cs="Arial"/>
        </w:rPr>
        <w:t xml:space="preserve">The mean performance of </w:t>
      </w:r>
      <w:proofErr w:type="spellStart"/>
      <w:r w:rsidR="00E17368" w:rsidRPr="0034736A">
        <w:rPr>
          <w:rFonts w:ascii="Arial" w:hAnsi="Arial" w:cs="Arial"/>
          <w:i/>
          <w:iCs/>
        </w:rPr>
        <w:t>Setaria</w:t>
      </w:r>
      <w:proofErr w:type="spellEnd"/>
      <w:r w:rsidR="00E17368" w:rsidRPr="0034736A">
        <w:rPr>
          <w:rFonts w:ascii="Arial" w:hAnsi="Arial" w:cs="Arial"/>
          <w:i/>
          <w:iCs/>
        </w:rPr>
        <w:t xml:space="preserve"> </w:t>
      </w:r>
      <w:proofErr w:type="spellStart"/>
      <w:r w:rsidR="00E17368" w:rsidRPr="0034736A">
        <w:rPr>
          <w:rFonts w:ascii="Arial" w:hAnsi="Arial" w:cs="Arial"/>
          <w:i/>
          <w:iCs/>
        </w:rPr>
        <w:t>italica</w:t>
      </w:r>
      <w:proofErr w:type="spellEnd"/>
      <w:r w:rsidRPr="0034736A">
        <w:rPr>
          <w:rFonts w:ascii="Arial" w:hAnsi="Arial" w:cs="Arial"/>
        </w:rPr>
        <w:t xml:space="preserve"> genotypes for biochemical and nutritional quality traits is presented in (Table.3, Fig..3). Analysis of variance revealed significant differences among genotypes for all the studied traits, indicating the existence of considerable genetic variability for quality improvement. Protein content ranged from 12.45 g/100g (Padmini) to 18.96 g/100g (Jawahar-17), with a mean value of 15.93 g/100g. Genotypes Jawahar-17 (18.96 g/100g) and Kusum (18.91 g/100g) recorded the highest protein content, while Padmini (12.45 g/100g) and Mukta (13.12 g/100g) showed the lowest. Carbohydrate content varied from 20.12 g/100g (Check) to 29.87 g/100g (Jawahar-17), with an overall mean of 24.42 g/100g. Jawahar-17 (29.87 g/100g) and Shuats-2 (28.34 g/100g) exhibited the highest carbohydrate content, suggesting their superiority in energy-yielding components. Highly significant variation was observed among genotypes for total flavonoid content, ranging from 21.04 mg/100g (Shuats-2) to 62.01 mg/100g (Check), with a mean of 45.12 mg/100g. Check (62.01 mg/100g), Padmini (56.02 mg/100g), and Nilam (54.80 mg/100g) recorded the highest flavonoid content, indicating their potential for antioxidant-related nutritional enhancement. Total antioxidant activity ranged from 40.00% (Nilam) to 92.00% (Mukta), with a mean of 64.33%. Mukta (92.00%) exhibited the highest antioxidant activity, followed by Type-397 (76.00%) and Selection-2 (74.00%), suggesting these genotypes possess strong free radical scavenging potential. ALA/Omega-3 fatty acid content showed notable variation among genotypes, ranging from 39.24% (Shuats-2) to 58.22% (Padmini), with a mean value of 49.23%. Padmini (58.22%), Nilam (56.78%), and Type-397 (55.62%) were superior for ALA content, signifying their nutritional value in terms of essential fatty acids. genotypes such as Jawahar-17, Type-397, Padmini, and Mukta exhibited superior performance across multiple nutritional parameters, indicating their potential use in breeding programs aimed at improving both yield and quality traits in </w:t>
      </w:r>
      <w:proofErr w:type="spellStart"/>
      <w:r w:rsidR="00E17368" w:rsidRPr="0034736A">
        <w:rPr>
          <w:rFonts w:ascii="Arial" w:hAnsi="Arial" w:cs="Arial"/>
          <w:i/>
          <w:iCs/>
        </w:rPr>
        <w:t>Setaria</w:t>
      </w:r>
      <w:proofErr w:type="spellEnd"/>
      <w:r w:rsidR="00E17368" w:rsidRPr="0034736A">
        <w:rPr>
          <w:rFonts w:ascii="Arial" w:hAnsi="Arial" w:cs="Arial"/>
          <w:i/>
          <w:iCs/>
        </w:rPr>
        <w:t xml:space="preserve"> </w:t>
      </w:r>
      <w:proofErr w:type="spellStart"/>
      <w:r w:rsidR="00E17368" w:rsidRPr="0034736A">
        <w:rPr>
          <w:rFonts w:ascii="Arial" w:hAnsi="Arial" w:cs="Arial"/>
          <w:i/>
          <w:iCs/>
        </w:rPr>
        <w:t>italica</w:t>
      </w:r>
      <w:proofErr w:type="spellEnd"/>
      <w:r w:rsidRPr="0034736A">
        <w:rPr>
          <w:rFonts w:ascii="Arial" w:hAnsi="Arial" w:cs="Arial"/>
        </w:rPr>
        <w:t>.</w:t>
      </w:r>
      <w:r w:rsidR="00E17368" w:rsidRPr="0034736A">
        <w:rPr>
          <w:rFonts w:ascii="Arial" w:hAnsi="Arial" w:cs="Arial"/>
        </w:rPr>
        <w:t xml:space="preserve"> </w:t>
      </w:r>
      <w:r w:rsidR="00786847" w:rsidRPr="0034736A">
        <w:rPr>
          <w:rFonts w:ascii="Arial" w:hAnsi="Arial" w:cs="Arial"/>
        </w:rPr>
        <w:t>The results of genetic variability parameters revealed that the estimates of PCV were higher than those of GCV for all the traits studied, indicating that the observed variation was influenced not only by genetic factors but also by environmental effects. High value of GCV and PCV were obtained for</w:t>
      </w:r>
      <w:r w:rsidR="006D71DE" w:rsidRPr="0034736A">
        <w:rPr>
          <w:rFonts w:ascii="Arial" w:hAnsi="Arial" w:cs="Arial"/>
        </w:rPr>
        <w:t xml:space="preserve"> Total Flavonoid Content</w:t>
      </w:r>
      <w:r w:rsidR="0085268D" w:rsidRPr="0034736A">
        <w:rPr>
          <w:rFonts w:ascii="Arial" w:hAnsi="Arial" w:cs="Arial"/>
        </w:rPr>
        <w:t>,</w:t>
      </w:r>
      <w:r w:rsidR="006D71DE" w:rsidRPr="0034736A">
        <w:rPr>
          <w:rFonts w:ascii="Arial" w:hAnsi="Arial" w:cs="Arial"/>
        </w:rPr>
        <w:t xml:space="preserve"> </w:t>
      </w:r>
      <w:r w:rsidR="0085268D" w:rsidRPr="0034736A">
        <w:rPr>
          <w:rFonts w:ascii="Arial" w:hAnsi="Arial" w:cs="Arial"/>
        </w:rPr>
        <w:t>T</w:t>
      </w:r>
      <w:r w:rsidR="00786847" w:rsidRPr="0034736A">
        <w:rPr>
          <w:rFonts w:ascii="Arial" w:hAnsi="Arial" w:cs="Arial"/>
        </w:rPr>
        <w:t xml:space="preserve">otal </w:t>
      </w:r>
      <w:r w:rsidR="0085268D" w:rsidRPr="0034736A">
        <w:rPr>
          <w:rFonts w:ascii="Arial" w:hAnsi="Arial" w:cs="Arial"/>
        </w:rPr>
        <w:t>A</w:t>
      </w:r>
      <w:r w:rsidR="00786847" w:rsidRPr="0034736A">
        <w:rPr>
          <w:rFonts w:ascii="Arial" w:hAnsi="Arial" w:cs="Arial"/>
        </w:rPr>
        <w:t xml:space="preserve">ntioxidant </w:t>
      </w:r>
      <w:r w:rsidR="0085268D" w:rsidRPr="0034736A">
        <w:rPr>
          <w:rFonts w:ascii="Arial" w:hAnsi="Arial" w:cs="Arial"/>
        </w:rPr>
        <w:t>A</w:t>
      </w:r>
      <w:r w:rsidR="00786847" w:rsidRPr="0034736A">
        <w:rPr>
          <w:rFonts w:ascii="Arial" w:hAnsi="Arial" w:cs="Arial"/>
        </w:rPr>
        <w:t>ctivity</w:t>
      </w:r>
      <w:r w:rsidR="00704C62" w:rsidRPr="0034736A">
        <w:rPr>
          <w:rFonts w:ascii="Arial" w:hAnsi="Arial" w:cs="Arial"/>
        </w:rPr>
        <w:t xml:space="preserve">. </w:t>
      </w:r>
      <w:r w:rsidR="00704C62" w:rsidRPr="0034736A">
        <w:rPr>
          <w:rFonts w:ascii="Arial" w:hAnsi="Arial" w:cs="Arial"/>
          <w:lang w:val="en-US"/>
        </w:rPr>
        <w:t>Whereas plant height</w:t>
      </w:r>
      <w:r w:rsidR="00C5165E" w:rsidRPr="0034736A">
        <w:rPr>
          <w:rFonts w:ascii="Arial" w:hAnsi="Arial" w:cs="Arial"/>
          <w:lang w:val="en-US"/>
        </w:rPr>
        <w:t xml:space="preserve"> </w:t>
      </w:r>
      <w:r w:rsidR="00704C62" w:rsidRPr="0034736A">
        <w:rPr>
          <w:rFonts w:ascii="Arial" w:hAnsi="Arial" w:cs="Arial"/>
          <w:lang w:val="en-US"/>
        </w:rPr>
        <w:t>30DAS, number of capsules plant</w:t>
      </w:r>
      <w:r w:rsidR="00704C62" w:rsidRPr="0034736A">
        <w:rPr>
          <w:rFonts w:ascii="Arial" w:hAnsi="Arial" w:cs="Arial"/>
          <w:vertAlign w:val="superscript"/>
          <w:lang w:val="en-US"/>
        </w:rPr>
        <w:t>-1</w:t>
      </w:r>
      <w:r w:rsidR="00704C62" w:rsidRPr="0034736A">
        <w:rPr>
          <w:rFonts w:ascii="Arial" w:hAnsi="Arial" w:cs="Arial"/>
          <w:lang w:val="en-US"/>
        </w:rPr>
        <w:t>, seed yield plant</w:t>
      </w:r>
      <w:r w:rsidR="00704C62" w:rsidRPr="0034736A">
        <w:rPr>
          <w:rFonts w:ascii="Arial" w:hAnsi="Arial" w:cs="Arial"/>
          <w:vertAlign w:val="superscript"/>
          <w:lang w:val="en-US"/>
        </w:rPr>
        <w:t>-1</w:t>
      </w:r>
      <w:r w:rsidR="00704C62" w:rsidRPr="0034736A">
        <w:rPr>
          <w:rFonts w:ascii="Arial" w:hAnsi="Arial" w:cs="Arial"/>
          <w:lang w:val="en-US"/>
        </w:rPr>
        <w:t>, biological yield plant</w:t>
      </w:r>
      <w:r w:rsidR="00704C62" w:rsidRPr="0034736A">
        <w:rPr>
          <w:rFonts w:ascii="Arial" w:hAnsi="Arial" w:cs="Arial"/>
          <w:vertAlign w:val="superscript"/>
          <w:lang w:val="en-US"/>
        </w:rPr>
        <w:t>-1</w:t>
      </w:r>
      <w:r w:rsidR="00704C62" w:rsidRPr="0034736A">
        <w:rPr>
          <w:rFonts w:ascii="Arial" w:hAnsi="Arial" w:cs="Arial"/>
          <w:lang w:val="en-US"/>
        </w:rPr>
        <w:t>, Seed yield plot</w:t>
      </w:r>
      <w:r w:rsidR="00704C62" w:rsidRPr="0034736A">
        <w:rPr>
          <w:rFonts w:ascii="Arial" w:hAnsi="Arial" w:cs="Arial"/>
          <w:vertAlign w:val="superscript"/>
          <w:lang w:val="en-US"/>
        </w:rPr>
        <w:t>-1</w:t>
      </w:r>
      <w:r w:rsidR="00704C62" w:rsidRPr="0034736A">
        <w:rPr>
          <w:rFonts w:ascii="Arial" w:hAnsi="Arial" w:cs="Arial"/>
          <w:lang w:val="en-US"/>
        </w:rPr>
        <w:t xml:space="preserve"> (kg ha</w:t>
      </w:r>
      <w:r w:rsidR="00704C62" w:rsidRPr="0034736A">
        <w:rPr>
          <w:rFonts w:ascii="Arial" w:hAnsi="Arial" w:cs="Arial"/>
          <w:vertAlign w:val="superscript"/>
          <w:lang w:val="en-US"/>
        </w:rPr>
        <w:t>-1</w:t>
      </w:r>
      <w:r w:rsidR="00704C62" w:rsidRPr="0034736A">
        <w:rPr>
          <w:rFonts w:ascii="Arial" w:hAnsi="Arial" w:cs="Arial"/>
          <w:lang w:val="en-US"/>
        </w:rPr>
        <w:t>), protein content and carbohydrate content exhibited moderate GCV and PCV. While low GCV and PCV w</w:t>
      </w:r>
      <w:r w:rsidR="00CC17EE" w:rsidRPr="0034736A">
        <w:rPr>
          <w:rFonts w:ascii="Arial" w:hAnsi="Arial" w:cs="Arial"/>
          <w:lang w:val="en-US"/>
        </w:rPr>
        <w:t>ere</w:t>
      </w:r>
      <w:r w:rsidR="00704C62" w:rsidRPr="0034736A">
        <w:rPr>
          <w:rFonts w:ascii="Arial" w:hAnsi="Arial" w:cs="Arial"/>
          <w:lang w:val="en-US"/>
        </w:rPr>
        <w:t xml:space="preserve"> exhibited by characters plant height 60</w:t>
      </w:r>
      <w:r w:rsidR="00C5165E" w:rsidRPr="0034736A">
        <w:rPr>
          <w:rFonts w:ascii="Arial" w:hAnsi="Arial" w:cs="Arial"/>
          <w:lang w:val="en-US"/>
        </w:rPr>
        <w:t>DAS</w:t>
      </w:r>
      <w:r w:rsidR="00704C62" w:rsidRPr="0034736A">
        <w:rPr>
          <w:rFonts w:ascii="Arial" w:hAnsi="Arial" w:cs="Arial"/>
          <w:lang w:val="en-US"/>
        </w:rPr>
        <w:t xml:space="preserve">, </w:t>
      </w:r>
      <w:r w:rsidR="00C5165E" w:rsidRPr="0034736A">
        <w:rPr>
          <w:rFonts w:ascii="Arial" w:hAnsi="Arial" w:cs="Arial"/>
          <w:lang w:val="en-US"/>
        </w:rPr>
        <w:t xml:space="preserve">Plant height </w:t>
      </w:r>
      <w:r w:rsidR="00704C62" w:rsidRPr="0034736A">
        <w:rPr>
          <w:rFonts w:ascii="Arial" w:hAnsi="Arial" w:cs="Arial"/>
          <w:lang w:val="en-US"/>
        </w:rPr>
        <w:t xml:space="preserve">90 DAS, plant height at </w:t>
      </w:r>
      <w:r w:rsidR="00704C62" w:rsidRPr="0034736A">
        <w:rPr>
          <w:rFonts w:ascii="Arial" w:hAnsi="Arial" w:cs="Arial"/>
          <w:lang w:val="en-US"/>
        </w:rPr>
        <w:lastRenderedPageBreak/>
        <w:t>maturity, number of branches plant</w:t>
      </w:r>
      <w:r w:rsidR="00704C62" w:rsidRPr="0034736A">
        <w:rPr>
          <w:rFonts w:ascii="Arial" w:hAnsi="Arial" w:cs="Arial"/>
          <w:vertAlign w:val="superscript"/>
          <w:lang w:val="en-US"/>
        </w:rPr>
        <w:t>-1</w:t>
      </w:r>
      <w:r w:rsidR="00704C62" w:rsidRPr="0034736A">
        <w:rPr>
          <w:rFonts w:ascii="Arial" w:hAnsi="Arial" w:cs="Arial"/>
          <w:lang w:val="en-US"/>
        </w:rPr>
        <w:t>, Days to 50% flowering stage,1000 seed weight, harvest index and number of seed capsule</w:t>
      </w:r>
      <w:r w:rsidR="00704C62" w:rsidRPr="0034736A">
        <w:rPr>
          <w:rFonts w:ascii="Arial" w:hAnsi="Arial" w:cs="Arial"/>
          <w:vertAlign w:val="superscript"/>
          <w:lang w:val="en-US"/>
        </w:rPr>
        <w:t>-1</w:t>
      </w:r>
      <w:r w:rsidR="00704C62" w:rsidRPr="0034736A">
        <w:rPr>
          <w:rFonts w:ascii="Arial" w:hAnsi="Arial" w:cs="Arial"/>
          <w:lang w:val="en-US"/>
        </w:rPr>
        <w:t>.</w:t>
      </w:r>
      <w:r w:rsidR="00037155" w:rsidRPr="0034736A">
        <w:rPr>
          <w:rFonts w:ascii="Arial" w:hAnsi="Arial" w:cs="Arial"/>
          <w:lang w:val="en-US"/>
        </w:rPr>
        <w:t xml:space="preserve"> </w:t>
      </w:r>
      <w:r w:rsidR="008B4905" w:rsidRPr="0034736A">
        <w:rPr>
          <w:rFonts w:ascii="Arial" w:hAnsi="Arial" w:cs="Arial"/>
          <w:lang w:val="en-US"/>
        </w:rPr>
        <w:t>Heritability into three categories: Low (&lt;50%), moderate (50-70%) and high (&gt;70%) as indicated by Allord (1960). High heritability observed for Plant height 60 DAS, plant height 90DAS, plant height day after maturity, days to 50% flowering, number of branches plant</w:t>
      </w:r>
      <w:r w:rsidR="008B4905" w:rsidRPr="0034736A">
        <w:rPr>
          <w:rFonts w:ascii="Arial" w:hAnsi="Arial" w:cs="Arial"/>
          <w:vertAlign w:val="superscript"/>
          <w:lang w:val="en-US"/>
        </w:rPr>
        <w:t>-1</w:t>
      </w:r>
      <w:r w:rsidR="008B4905" w:rsidRPr="0034736A">
        <w:rPr>
          <w:rFonts w:ascii="Arial" w:hAnsi="Arial" w:cs="Arial"/>
          <w:lang w:val="en-US"/>
        </w:rPr>
        <w:t>, number of capsule plant</w:t>
      </w:r>
      <w:r w:rsidR="008B4905" w:rsidRPr="0034736A">
        <w:rPr>
          <w:rFonts w:ascii="Arial" w:hAnsi="Arial" w:cs="Arial"/>
          <w:vertAlign w:val="superscript"/>
          <w:lang w:val="en-US"/>
        </w:rPr>
        <w:t>-1</w:t>
      </w:r>
      <w:r w:rsidR="008B4905" w:rsidRPr="0034736A">
        <w:rPr>
          <w:rFonts w:ascii="Arial" w:hAnsi="Arial" w:cs="Arial"/>
          <w:lang w:val="en-US"/>
        </w:rPr>
        <w:t>, seed yield plant</w:t>
      </w:r>
      <w:r w:rsidR="008B4905" w:rsidRPr="0034736A">
        <w:rPr>
          <w:rFonts w:ascii="Arial" w:hAnsi="Arial" w:cs="Arial"/>
          <w:vertAlign w:val="superscript"/>
          <w:lang w:val="en-US"/>
        </w:rPr>
        <w:t>-1</w:t>
      </w:r>
      <w:r w:rsidR="008B4905" w:rsidRPr="0034736A">
        <w:rPr>
          <w:rFonts w:ascii="Arial" w:hAnsi="Arial" w:cs="Arial"/>
          <w:lang w:val="en-US"/>
        </w:rPr>
        <w:t>(g), 1000 seed weight (g), biological yield plant</w:t>
      </w:r>
      <w:r w:rsidR="008B4905" w:rsidRPr="0034736A">
        <w:rPr>
          <w:rFonts w:ascii="Arial" w:hAnsi="Arial" w:cs="Arial"/>
          <w:vertAlign w:val="superscript"/>
          <w:lang w:val="en-US"/>
        </w:rPr>
        <w:t xml:space="preserve">-1 </w:t>
      </w:r>
      <w:r w:rsidR="008B4905" w:rsidRPr="0034736A">
        <w:rPr>
          <w:rFonts w:ascii="Arial" w:hAnsi="Arial" w:cs="Arial"/>
          <w:lang w:val="en-US"/>
        </w:rPr>
        <w:t>(g), number of seed capsule</w:t>
      </w:r>
      <w:r w:rsidR="008B4905" w:rsidRPr="0034736A">
        <w:rPr>
          <w:rFonts w:ascii="Arial" w:hAnsi="Arial" w:cs="Arial"/>
          <w:vertAlign w:val="superscript"/>
          <w:lang w:val="en-US"/>
        </w:rPr>
        <w:t>-1</w:t>
      </w:r>
      <w:r w:rsidR="008B4905" w:rsidRPr="0034736A">
        <w:rPr>
          <w:rFonts w:ascii="Arial" w:hAnsi="Arial" w:cs="Arial"/>
          <w:lang w:val="en-US"/>
        </w:rPr>
        <w:t>, Seed yield plot</w:t>
      </w:r>
      <w:r w:rsidR="008B4905" w:rsidRPr="0034736A">
        <w:rPr>
          <w:rFonts w:ascii="Arial" w:hAnsi="Arial" w:cs="Arial"/>
          <w:vertAlign w:val="superscript"/>
          <w:lang w:val="en-US"/>
        </w:rPr>
        <w:t>-1</w:t>
      </w:r>
      <w:r w:rsidR="008B4905" w:rsidRPr="0034736A">
        <w:rPr>
          <w:rFonts w:ascii="Arial" w:hAnsi="Arial" w:cs="Arial"/>
          <w:lang w:val="en-US"/>
        </w:rPr>
        <w:t xml:space="preserve"> (kg ha</w:t>
      </w:r>
      <w:r w:rsidR="008B4905" w:rsidRPr="0034736A">
        <w:rPr>
          <w:rFonts w:ascii="Arial" w:hAnsi="Arial" w:cs="Arial"/>
          <w:vertAlign w:val="superscript"/>
          <w:lang w:val="en-US"/>
        </w:rPr>
        <w:t>-1</w:t>
      </w:r>
      <w:r w:rsidR="008B4905" w:rsidRPr="0034736A">
        <w:rPr>
          <w:rFonts w:ascii="Arial" w:hAnsi="Arial" w:cs="Arial"/>
          <w:lang w:val="en-US"/>
        </w:rPr>
        <w:t>), Harvest index, protein content(g/100g), carbohydrate (g/100g), total flavonoid content (mg/100g), total antioxidant activity (%)</w:t>
      </w:r>
      <w:r w:rsidR="00994F8B" w:rsidRPr="0034736A">
        <w:rPr>
          <w:rFonts w:ascii="Arial" w:hAnsi="Arial" w:cs="Arial"/>
          <w:lang w:val="en-US"/>
        </w:rPr>
        <w:t xml:space="preserve"> and </w:t>
      </w:r>
      <w:r w:rsidR="008B4905" w:rsidRPr="0034736A">
        <w:rPr>
          <w:rFonts w:ascii="Arial" w:hAnsi="Arial" w:cs="Arial"/>
          <w:lang w:val="en-US"/>
        </w:rPr>
        <w:t xml:space="preserve">ALA/omega-3 content (% of total fatty acid). Whereas </w:t>
      </w:r>
      <w:r w:rsidR="008765DE" w:rsidRPr="0034736A">
        <w:rPr>
          <w:rFonts w:ascii="Arial" w:hAnsi="Arial" w:cs="Arial"/>
          <w:lang w:val="en-US"/>
        </w:rPr>
        <w:t xml:space="preserve">harvest index exhibited moderate, while plant height 30DAS observed low heritability. In this study high heritability explained the selection is highly effective because phenotype strongly </w:t>
      </w:r>
      <w:r w:rsidR="002C56C3" w:rsidRPr="0034736A">
        <w:rPr>
          <w:rFonts w:ascii="Arial" w:hAnsi="Arial" w:cs="Arial"/>
          <w:lang w:val="en-US"/>
        </w:rPr>
        <w:t>represented genotypes. In the present investigation high heritability coupled with high to moderate genetic advance as percent mean was recorded for plant height 90DAS, plant height day after maturity, number of branches plant</w:t>
      </w:r>
      <w:r w:rsidR="002C56C3" w:rsidRPr="0034736A">
        <w:rPr>
          <w:rFonts w:ascii="Arial" w:hAnsi="Arial" w:cs="Arial"/>
          <w:vertAlign w:val="superscript"/>
          <w:lang w:val="en-US"/>
        </w:rPr>
        <w:t>-1</w:t>
      </w:r>
      <w:r w:rsidR="002C56C3" w:rsidRPr="0034736A">
        <w:rPr>
          <w:rFonts w:ascii="Arial" w:hAnsi="Arial" w:cs="Arial"/>
          <w:lang w:val="en-US"/>
        </w:rPr>
        <w:t>, number of capsule plant</w:t>
      </w:r>
      <w:r w:rsidR="002C56C3" w:rsidRPr="0034736A">
        <w:rPr>
          <w:rFonts w:ascii="Arial" w:hAnsi="Arial" w:cs="Arial"/>
          <w:vertAlign w:val="superscript"/>
          <w:lang w:val="en-US"/>
        </w:rPr>
        <w:t>-1</w:t>
      </w:r>
      <w:r w:rsidR="002C56C3" w:rsidRPr="0034736A">
        <w:rPr>
          <w:rFonts w:ascii="Arial" w:hAnsi="Arial" w:cs="Arial"/>
          <w:lang w:val="en-US"/>
        </w:rPr>
        <w:t>, seed yield plant</w:t>
      </w:r>
      <w:r w:rsidR="002C56C3" w:rsidRPr="0034736A">
        <w:rPr>
          <w:rFonts w:ascii="Arial" w:hAnsi="Arial" w:cs="Arial"/>
          <w:vertAlign w:val="superscript"/>
          <w:lang w:val="en-US"/>
        </w:rPr>
        <w:t>-1</w:t>
      </w:r>
      <w:r w:rsidR="002C56C3" w:rsidRPr="0034736A">
        <w:rPr>
          <w:rFonts w:ascii="Arial" w:hAnsi="Arial" w:cs="Arial"/>
          <w:lang w:val="en-US"/>
        </w:rPr>
        <w:t>, 1000 seed weight (g), biological yield per plant(g), number of seed capsule</w:t>
      </w:r>
      <w:r w:rsidR="002C56C3" w:rsidRPr="0034736A">
        <w:rPr>
          <w:rFonts w:ascii="Arial" w:hAnsi="Arial" w:cs="Arial"/>
          <w:vertAlign w:val="superscript"/>
          <w:lang w:val="en-US"/>
        </w:rPr>
        <w:t>-1</w:t>
      </w:r>
      <w:r w:rsidR="002C56C3" w:rsidRPr="0034736A">
        <w:rPr>
          <w:rFonts w:ascii="Arial" w:hAnsi="Arial" w:cs="Arial"/>
          <w:lang w:val="en-US"/>
        </w:rPr>
        <w:t>, seed yield plot</w:t>
      </w:r>
      <w:r w:rsidR="002C56C3" w:rsidRPr="0034736A">
        <w:rPr>
          <w:rFonts w:ascii="Arial" w:hAnsi="Arial" w:cs="Arial"/>
          <w:vertAlign w:val="superscript"/>
          <w:lang w:val="en-US"/>
        </w:rPr>
        <w:t>-1</w:t>
      </w:r>
      <w:r w:rsidR="002C56C3" w:rsidRPr="0034736A">
        <w:rPr>
          <w:rFonts w:ascii="Arial" w:hAnsi="Arial" w:cs="Arial"/>
          <w:lang w:val="en-US"/>
        </w:rPr>
        <w:t>, protein content(g/100g), carbohydrate (g/100g), total flavonoid content (mg/100g), total antioxidant activity (%)</w:t>
      </w:r>
      <w:r w:rsidR="00994F8B" w:rsidRPr="0034736A">
        <w:rPr>
          <w:rFonts w:ascii="Arial" w:hAnsi="Arial" w:cs="Arial"/>
          <w:lang w:val="en-US"/>
        </w:rPr>
        <w:t xml:space="preserve"> and </w:t>
      </w:r>
      <w:r w:rsidR="002C56C3" w:rsidRPr="0034736A">
        <w:rPr>
          <w:rFonts w:ascii="Arial" w:hAnsi="Arial" w:cs="Arial"/>
          <w:lang w:val="en-US"/>
        </w:rPr>
        <w:t xml:space="preserve"> ALA/omega-3 content (% of total fatty acid).</w:t>
      </w:r>
      <w:r w:rsidR="00994F8B" w:rsidRPr="0034736A">
        <w:rPr>
          <w:rFonts w:ascii="Arial" w:eastAsia="Times New Roman" w:hAnsi="Arial" w:cs="Arial"/>
          <w:kern w:val="0"/>
          <w:lang w:eastAsia="en-IN"/>
          <w14:ligatures w14:val="none"/>
        </w:rPr>
        <w:t xml:space="preserve"> </w:t>
      </w:r>
      <w:r w:rsidR="00763202" w:rsidRPr="0034736A">
        <w:rPr>
          <w:rFonts w:ascii="Arial" w:eastAsia="Times New Roman" w:hAnsi="Arial" w:cs="Arial"/>
          <w:kern w:val="0"/>
          <w:lang w:eastAsia="en-IN"/>
          <w14:ligatures w14:val="none"/>
        </w:rPr>
        <w:t xml:space="preserve">Similar result was observed by </w:t>
      </w:r>
      <w:r w:rsidR="00530AB4" w:rsidRPr="0034736A">
        <w:rPr>
          <w:rFonts w:ascii="Arial" w:hAnsi="Arial" w:cs="Arial"/>
        </w:rPr>
        <w:t xml:space="preserve">Kumar </w:t>
      </w:r>
      <w:r w:rsidR="008000D7" w:rsidRPr="0034736A">
        <w:rPr>
          <w:rFonts w:ascii="Arial" w:hAnsi="Arial" w:cs="Arial"/>
          <w:i/>
          <w:iCs/>
        </w:rPr>
        <w:t>et al.,</w:t>
      </w:r>
      <w:r w:rsidR="00530AB4" w:rsidRPr="0034736A">
        <w:rPr>
          <w:rFonts w:ascii="Arial" w:hAnsi="Arial" w:cs="Arial"/>
        </w:rPr>
        <w:t xml:space="preserve"> (2021); Meena </w:t>
      </w:r>
      <w:r w:rsidR="008000D7" w:rsidRPr="0034736A">
        <w:rPr>
          <w:rFonts w:ascii="Arial" w:hAnsi="Arial" w:cs="Arial"/>
          <w:i/>
          <w:iCs/>
        </w:rPr>
        <w:t>et al.,</w:t>
      </w:r>
      <w:r w:rsidR="00530AB4" w:rsidRPr="0034736A">
        <w:rPr>
          <w:rFonts w:ascii="Arial" w:hAnsi="Arial" w:cs="Arial"/>
        </w:rPr>
        <w:t xml:space="preserve"> (2020); Kumar </w:t>
      </w:r>
      <w:r w:rsidR="008000D7" w:rsidRPr="0034736A">
        <w:rPr>
          <w:rFonts w:ascii="Arial" w:hAnsi="Arial" w:cs="Arial"/>
          <w:i/>
          <w:iCs/>
        </w:rPr>
        <w:t>et al.,</w:t>
      </w:r>
      <w:r w:rsidR="00E17368" w:rsidRPr="0034736A">
        <w:rPr>
          <w:rFonts w:ascii="Arial" w:hAnsi="Arial" w:cs="Arial"/>
        </w:rPr>
        <w:t xml:space="preserve"> </w:t>
      </w:r>
      <w:r w:rsidR="00530AB4" w:rsidRPr="0034736A">
        <w:rPr>
          <w:rFonts w:ascii="Arial" w:hAnsi="Arial" w:cs="Arial"/>
        </w:rPr>
        <w:t>(2019)</w:t>
      </w:r>
      <w:r w:rsidR="00DF43B1" w:rsidRPr="0034736A">
        <w:rPr>
          <w:rFonts w:ascii="Arial" w:hAnsi="Arial" w:cs="Arial"/>
        </w:rPr>
        <w:t xml:space="preserve"> Singh D., </w:t>
      </w:r>
      <w:r w:rsidR="00DF43B1" w:rsidRPr="0034736A">
        <w:rPr>
          <w:rFonts w:ascii="Arial" w:hAnsi="Arial" w:cs="Arial"/>
          <w:i/>
          <w:iCs/>
        </w:rPr>
        <w:t>et al.,</w:t>
      </w:r>
      <w:r w:rsidR="00DF43B1" w:rsidRPr="0034736A">
        <w:rPr>
          <w:rFonts w:ascii="Arial" w:hAnsi="Arial" w:cs="Arial"/>
        </w:rPr>
        <w:t xml:space="preserve"> (2022a, 2022b, 2023)</w:t>
      </w:r>
      <w:r w:rsidR="00530AB4" w:rsidRPr="0034736A">
        <w:rPr>
          <w:rFonts w:ascii="Arial" w:hAnsi="Arial" w:cs="Arial"/>
        </w:rPr>
        <w:t xml:space="preserve">. </w:t>
      </w:r>
      <w:r w:rsidR="00994F8B" w:rsidRPr="0034736A">
        <w:rPr>
          <w:rFonts w:ascii="Arial" w:hAnsi="Arial" w:cs="Arial"/>
        </w:rPr>
        <w:t>The majority of additive gene action, in which phenotypic expression is mainly influenced by genetic factors, is indicated by high heritability and high genetic advancement as a percentage of mean. Because of their high sensitivity to direct selection, these traits promote efficient and reliable genetic improvement.</w:t>
      </w:r>
    </w:p>
    <w:p w14:paraId="5AEC3346" w14:textId="03DB169D" w:rsidR="00763202" w:rsidRPr="0034736A" w:rsidRDefault="002A500B" w:rsidP="00753284">
      <w:pPr>
        <w:spacing w:before="240" w:after="0" w:line="360" w:lineRule="auto"/>
        <w:jc w:val="both"/>
        <w:rPr>
          <w:rFonts w:ascii="Arial" w:hAnsi="Arial" w:cs="Arial"/>
        </w:rPr>
      </w:pPr>
      <w:r w:rsidRPr="0034736A">
        <w:rPr>
          <w:rFonts w:ascii="Arial" w:hAnsi="Arial" w:cs="Arial"/>
        </w:rPr>
        <w:t>4.</w:t>
      </w:r>
      <w:r w:rsidR="00DB058A" w:rsidRPr="0034736A">
        <w:rPr>
          <w:rFonts w:ascii="Arial" w:hAnsi="Arial" w:cs="Arial"/>
        </w:rPr>
        <w:t>CONCLUSION</w:t>
      </w:r>
      <w:r w:rsidR="00763202" w:rsidRPr="0034736A">
        <w:rPr>
          <w:rFonts w:ascii="Arial" w:hAnsi="Arial" w:cs="Arial"/>
        </w:rPr>
        <w:t xml:space="preserve"> </w:t>
      </w:r>
    </w:p>
    <w:p w14:paraId="3FBCCFB3" w14:textId="51178168" w:rsidR="00604705" w:rsidRDefault="00763202" w:rsidP="00DB058A">
      <w:pPr>
        <w:spacing w:before="240" w:after="0" w:line="360" w:lineRule="auto"/>
        <w:rPr>
          <w:rFonts w:ascii="Arial" w:hAnsi="Arial" w:cs="Arial"/>
          <w:sz w:val="24"/>
          <w:szCs w:val="24"/>
          <w:lang w:val="en-US"/>
        </w:rPr>
      </w:pPr>
      <w:r w:rsidRPr="0034736A">
        <w:rPr>
          <w:rFonts w:ascii="Arial" w:hAnsi="Arial" w:cs="Arial"/>
          <w:sz w:val="24"/>
          <w:szCs w:val="24"/>
          <w:lang w:val="en-US"/>
        </w:rPr>
        <w:t>The present study exhibited the presen</w:t>
      </w:r>
      <w:r w:rsidR="00DF0B15" w:rsidRPr="0034736A">
        <w:rPr>
          <w:rFonts w:ascii="Arial" w:hAnsi="Arial" w:cs="Arial"/>
          <w:sz w:val="24"/>
          <w:szCs w:val="24"/>
          <w:lang w:val="en-US"/>
        </w:rPr>
        <w:t xml:space="preserve">ce of considerable variations among linseed genotypes for all traits evaluated, which gives an opportunity to plant breeders for improvement of these traits through the breeding programs. </w:t>
      </w:r>
      <w:r w:rsidR="00604705" w:rsidRPr="0034736A">
        <w:rPr>
          <w:rFonts w:ascii="Arial" w:hAnsi="Arial" w:cs="Arial"/>
          <w:sz w:val="24"/>
          <w:szCs w:val="24"/>
        </w:rPr>
        <w:t xml:space="preserve">The study revealed considerable variability among linseed genotypes for morphological and biochemical traits. Higher PCV than GCV indicated both genetic and environmental influence. Traits with high heritability coupled with high to moderate genetic advance, such as yield and quality parameters, were governed by additive gene action. These traits can be effectively improved through direct selection, providing scope for developing high-yielding and nutritionally rich linseed cultivars. </w:t>
      </w:r>
      <w:r w:rsidR="00604705" w:rsidRPr="0034736A">
        <w:rPr>
          <w:rFonts w:ascii="Arial" w:hAnsi="Arial" w:cs="Arial"/>
          <w:sz w:val="24"/>
          <w:szCs w:val="24"/>
          <w:lang w:val="en-US"/>
        </w:rPr>
        <w:t>The study reported variabilities in among genotypes but Type-397 was reported highest growth and yield attributes in the Vindhya region.</w:t>
      </w:r>
    </w:p>
    <w:p w14:paraId="42D8FD30" w14:textId="77777777" w:rsidR="00D37773" w:rsidRDefault="00D37773" w:rsidP="00D37773">
      <w:pPr>
        <w:rPr>
          <w:highlight w:val="yellow"/>
        </w:rPr>
      </w:pPr>
      <w:r>
        <w:rPr>
          <w:highlight w:val="yellow"/>
        </w:rPr>
        <w:t>Disclaimer (Artificial intelligence)</w:t>
      </w:r>
    </w:p>
    <w:p w14:paraId="1975FC5F" w14:textId="77777777" w:rsidR="00D37773" w:rsidRDefault="00D37773" w:rsidP="00D37773">
      <w:pPr>
        <w:rPr>
          <w:highlight w:val="yellow"/>
        </w:rPr>
      </w:pPr>
      <w:r>
        <w:rPr>
          <w:highlight w:val="yellow"/>
        </w:rPr>
        <w:lastRenderedPageBreak/>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5E5F8B7F" w14:textId="77777777" w:rsidR="00D37773" w:rsidRDefault="00D37773" w:rsidP="00D37773"/>
    <w:p w14:paraId="0DCC5F35" w14:textId="77777777" w:rsidR="00D37773" w:rsidRPr="0034736A" w:rsidRDefault="00D37773" w:rsidP="00DB058A">
      <w:pPr>
        <w:spacing w:before="240" w:after="0" w:line="360" w:lineRule="auto"/>
        <w:rPr>
          <w:rFonts w:ascii="Arial" w:hAnsi="Arial" w:cs="Arial"/>
          <w:sz w:val="24"/>
          <w:szCs w:val="24"/>
          <w:lang w:val="en-US"/>
        </w:rPr>
      </w:pPr>
    </w:p>
    <w:p w14:paraId="669AFC28" w14:textId="7F506092" w:rsidR="00A25B51" w:rsidRPr="00DB058A" w:rsidRDefault="00A25B51" w:rsidP="00704C62">
      <w:pPr>
        <w:spacing w:before="240" w:after="0" w:line="360" w:lineRule="auto"/>
        <w:jc w:val="both"/>
        <w:rPr>
          <w:rFonts w:ascii="Arial" w:hAnsi="Arial" w:cs="Arial"/>
          <w:b/>
          <w:bCs/>
        </w:rPr>
      </w:pPr>
      <w:r w:rsidRPr="00DB058A">
        <w:rPr>
          <w:rFonts w:ascii="Arial" w:hAnsi="Arial" w:cs="Arial"/>
          <w:b/>
          <w:bCs/>
        </w:rPr>
        <w:t>Table</w:t>
      </w:r>
      <w:r w:rsidR="00140206">
        <w:rPr>
          <w:rFonts w:ascii="Arial" w:hAnsi="Arial" w:cs="Arial"/>
          <w:b/>
          <w:bCs/>
        </w:rPr>
        <w:t>.</w:t>
      </w:r>
      <w:r w:rsidRPr="00DB058A">
        <w:rPr>
          <w:rFonts w:ascii="Arial" w:hAnsi="Arial" w:cs="Arial"/>
          <w:b/>
          <w:bCs/>
        </w:rPr>
        <w:t xml:space="preserve">1.: </w:t>
      </w:r>
      <w:r w:rsidRPr="00DB058A">
        <w:rPr>
          <w:rFonts w:ascii="Arial" w:hAnsi="Arial" w:cs="Arial"/>
          <w:b/>
          <w:bCs/>
          <w:lang w:val="en-US"/>
        </w:rPr>
        <w:t>Analysis variance for eighteen various traits on linseed.</w:t>
      </w:r>
    </w:p>
    <w:tbl>
      <w:tblPr>
        <w:tblW w:w="89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1511"/>
        <w:gridCol w:w="1791"/>
        <w:gridCol w:w="1538"/>
        <w:gridCol w:w="8"/>
      </w:tblGrid>
      <w:tr w:rsidR="00A25B51" w:rsidRPr="00DB058A" w14:paraId="2514AFB1" w14:textId="77777777" w:rsidTr="002D1307">
        <w:trPr>
          <w:gridAfter w:val="1"/>
          <w:wAfter w:w="8" w:type="dxa"/>
          <w:trHeight w:val="19"/>
        </w:trPr>
        <w:tc>
          <w:tcPr>
            <w:tcW w:w="411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E867E5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Genotypes</w:t>
            </w:r>
          </w:p>
        </w:tc>
        <w:tc>
          <w:tcPr>
            <w:tcW w:w="484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8A9CC6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Mean sum of squares</w:t>
            </w:r>
          </w:p>
        </w:tc>
      </w:tr>
      <w:tr w:rsidR="00A25B51" w:rsidRPr="00C051E7" w14:paraId="3BC693E2" w14:textId="77777777" w:rsidTr="002D1307">
        <w:trPr>
          <w:trHeight w:val="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4EC6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p>
        </w:tc>
        <w:tc>
          <w:tcPr>
            <w:tcW w:w="151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30DC964"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Replications</w:t>
            </w:r>
          </w:p>
        </w:tc>
        <w:tc>
          <w:tcPr>
            <w:tcW w:w="179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2F3CDF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Genotype</w:t>
            </w:r>
          </w:p>
        </w:tc>
        <w:tc>
          <w:tcPr>
            <w:tcW w:w="154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E31E90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US"/>
              </w:rPr>
            </w:pPr>
            <w:r w:rsidRPr="00DB058A">
              <w:rPr>
                <w:rFonts w:ascii="Arial" w:hAnsi="Arial" w:cs="Arial"/>
                <w:b/>
                <w:bCs/>
                <w:sz w:val="20"/>
                <w:szCs w:val="20"/>
                <w:lang w:val="en-US"/>
              </w:rPr>
              <w:t>Error</w:t>
            </w:r>
          </w:p>
        </w:tc>
      </w:tr>
      <w:tr w:rsidR="00A25B51" w:rsidRPr="00C051E7" w14:paraId="292ED0C0" w14:textId="77777777" w:rsidTr="002D1307">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0EC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p>
        </w:tc>
        <w:tc>
          <w:tcPr>
            <w:tcW w:w="151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E56F129" w14:textId="1F7E3485"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w:t>
            </w:r>
            <w:proofErr w:type="spellStart"/>
            <w:r w:rsidRPr="00DB058A">
              <w:rPr>
                <w:rFonts w:ascii="Arial" w:hAnsi="Arial" w:cs="Arial"/>
                <w:b/>
                <w:bCs/>
                <w:sz w:val="20"/>
                <w:szCs w:val="20"/>
                <w:lang w:val="en-US"/>
              </w:rPr>
              <w:t>d.f</w:t>
            </w:r>
            <w:proofErr w:type="spellEnd"/>
            <w:r w:rsidRPr="00DB058A">
              <w:rPr>
                <w:rFonts w:ascii="Arial" w:hAnsi="Arial" w:cs="Arial"/>
                <w:b/>
                <w:bCs/>
                <w:sz w:val="20"/>
                <w:szCs w:val="20"/>
                <w:lang w:val="en-US"/>
              </w:rPr>
              <w:t>=2)</w:t>
            </w:r>
          </w:p>
        </w:tc>
        <w:tc>
          <w:tcPr>
            <w:tcW w:w="179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86E6CB8" w14:textId="2AF54C55"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w:t>
            </w:r>
            <w:proofErr w:type="spellStart"/>
            <w:r w:rsidRPr="00DB058A">
              <w:rPr>
                <w:rFonts w:ascii="Arial" w:hAnsi="Arial" w:cs="Arial"/>
                <w:b/>
                <w:bCs/>
                <w:sz w:val="20"/>
                <w:szCs w:val="20"/>
                <w:lang w:val="en-US"/>
              </w:rPr>
              <w:t>d.f</w:t>
            </w:r>
            <w:proofErr w:type="spellEnd"/>
            <w:r w:rsidRPr="00DB058A">
              <w:rPr>
                <w:rFonts w:ascii="Arial" w:hAnsi="Arial" w:cs="Arial"/>
                <w:b/>
                <w:bCs/>
                <w:sz w:val="20"/>
                <w:szCs w:val="20"/>
                <w:lang w:val="en-US"/>
              </w:rPr>
              <w:t>=8)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F4D7283"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w:t>
            </w:r>
            <w:proofErr w:type="spellStart"/>
            <w:r w:rsidRPr="00DB058A">
              <w:rPr>
                <w:rFonts w:ascii="Arial" w:hAnsi="Arial" w:cs="Arial"/>
                <w:b/>
                <w:bCs/>
                <w:sz w:val="20"/>
                <w:szCs w:val="20"/>
                <w:lang w:val="en-US"/>
              </w:rPr>
              <w:t>d.f</w:t>
            </w:r>
            <w:proofErr w:type="spellEnd"/>
            <w:r w:rsidRPr="00DB058A">
              <w:rPr>
                <w:rFonts w:ascii="Arial" w:hAnsi="Arial" w:cs="Arial"/>
                <w:b/>
                <w:bCs/>
                <w:sz w:val="20"/>
                <w:szCs w:val="20"/>
                <w:lang w:val="en-US"/>
              </w:rPr>
              <w:t>=16)</w:t>
            </w:r>
          </w:p>
        </w:tc>
      </w:tr>
      <w:tr w:rsidR="00A25B51" w:rsidRPr="00C051E7" w14:paraId="3EC701BD" w14:textId="77777777" w:rsidTr="002D1307">
        <w:trPr>
          <w:trHeight w:val="19"/>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40B225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Plant Height (cm) 30 DAS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A30BC6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1.403</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AB92EC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18.132*</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D44ADA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5.585</w:t>
            </w:r>
          </w:p>
        </w:tc>
      </w:tr>
      <w:tr w:rsidR="00A25B51" w:rsidRPr="00C051E7" w14:paraId="1347860F"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739A853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Plant height (cm) 60 DAS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9F5EC8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0.781</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A806EA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13.507**</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C22EF6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1.472</w:t>
            </w:r>
          </w:p>
        </w:tc>
      </w:tr>
      <w:tr w:rsidR="00A25B51" w:rsidRPr="00C051E7" w14:paraId="4077755F"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39EEAB1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Plant height (cm) 90 DAS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427642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0.446</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63B211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79.240**</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57123C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1.189</w:t>
            </w:r>
          </w:p>
        </w:tc>
      </w:tr>
      <w:tr w:rsidR="00A25B51" w:rsidRPr="00C051E7" w14:paraId="14E3410F"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1DE87B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Plant height day after maturity</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108646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1.139</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A00616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75.428**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BA505F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1.304</w:t>
            </w:r>
          </w:p>
        </w:tc>
      </w:tr>
      <w:tr w:rsidR="00A25B51" w:rsidRPr="00C051E7" w14:paraId="4997BC43"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6D438BE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Days after 50% flowering stage</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35A0FC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1.444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11B30D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12.417**</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B2E484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1.028</w:t>
            </w:r>
          </w:p>
        </w:tc>
      </w:tr>
      <w:tr w:rsidR="00A25B51" w:rsidRPr="00C051E7" w14:paraId="7B2231B9"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D1E2277"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No. Of branches plant</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81D1E0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0.030</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016A50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1.148**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FC4C76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0.071</w:t>
            </w:r>
          </w:p>
        </w:tc>
      </w:tr>
      <w:tr w:rsidR="00A25B51" w:rsidRPr="00DB058A" w14:paraId="66241014"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69DA83B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No. Of capsule plant</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EFBC08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13.444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B16962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505.333**</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C8A0664"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12.319</w:t>
            </w:r>
          </w:p>
        </w:tc>
      </w:tr>
      <w:tr w:rsidR="00A25B51" w:rsidRPr="00DB058A" w14:paraId="1780F317"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089C2B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Seed yield plant</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000564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0.111</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7F9B8A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1.678**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22EC67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0.023</w:t>
            </w:r>
          </w:p>
        </w:tc>
      </w:tr>
      <w:tr w:rsidR="00A25B51" w:rsidRPr="00DB058A" w14:paraId="11969F44"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8FA78B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1000 seed weight (g)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BF7047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0.148</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E7405B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0.442**</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40C940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0.027</w:t>
            </w:r>
          </w:p>
        </w:tc>
      </w:tr>
      <w:tr w:rsidR="00A25B51" w:rsidRPr="00DB058A" w14:paraId="0071D025"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A68B05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Biological yield plant</w:t>
            </w:r>
            <w:r w:rsidRPr="00DB058A">
              <w:rPr>
                <w:rFonts w:ascii="Arial" w:hAnsi="Arial" w:cs="Arial"/>
                <w:b/>
                <w:bCs/>
                <w:sz w:val="20"/>
                <w:szCs w:val="20"/>
                <w:vertAlign w:val="superscript"/>
                <w:lang w:val="en-US"/>
              </w:rPr>
              <w:t>-1</w:t>
            </w:r>
            <w:r w:rsidRPr="00DB058A">
              <w:rPr>
                <w:rFonts w:ascii="Arial" w:hAnsi="Arial" w:cs="Arial"/>
                <w:b/>
                <w:bCs/>
                <w:sz w:val="20"/>
                <w:szCs w:val="20"/>
                <w:lang w:val="en-US"/>
              </w:rPr>
              <w:t xml:space="preserve"> (g)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D41119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0.163</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44D3CA7"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23.754**</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21CA84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0.090</w:t>
            </w:r>
          </w:p>
        </w:tc>
      </w:tr>
      <w:tr w:rsidR="00A25B51" w:rsidRPr="00DB058A" w14:paraId="77036671"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294ACF1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Harvest index</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5F69EC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0.246</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13661A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1.272**</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E4DBAC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0.191</w:t>
            </w:r>
          </w:p>
        </w:tc>
      </w:tr>
      <w:tr w:rsidR="00A25B51" w:rsidRPr="00DB058A" w14:paraId="7107CDF6"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87DEA7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No of seed capsule</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197F8B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0.001</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E2E8F5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1.048**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B3E532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0.022</w:t>
            </w:r>
          </w:p>
        </w:tc>
      </w:tr>
      <w:tr w:rsidR="00A25B51" w:rsidRPr="00DB058A" w14:paraId="1A337DC9"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375405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Seed yield plot</w:t>
            </w:r>
            <w:r w:rsidRPr="00DB058A">
              <w:rPr>
                <w:rFonts w:ascii="Arial" w:hAnsi="Arial" w:cs="Arial"/>
                <w:b/>
                <w:bCs/>
                <w:sz w:val="20"/>
                <w:szCs w:val="20"/>
                <w:vertAlign w:val="superscript"/>
                <w:lang w:val="en-US"/>
              </w:rPr>
              <w:t>-1</w:t>
            </w:r>
            <w:r w:rsidRPr="00DB058A">
              <w:rPr>
                <w:rFonts w:ascii="Arial" w:hAnsi="Arial" w:cs="Arial"/>
                <w:b/>
                <w:bCs/>
                <w:sz w:val="20"/>
                <w:szCs w:val="20"/>
                <w:lang w:val="en-US"/>
              </w:rPr>
              <w:t xml:space="preserve"> (kg ha</w:t>
            </w:r>
            <w:r w:rsidRPr="00DB058A">
              <w:rPr>
                <w:rFonts w:ascii="Arial" w:hAnsi="Arial" w:cs="Arial"/>
                <w:b/>
                <w:bCs/>
                <w:sz w:val="20"/>
                <w:szCs w:val="20"/>
                <w:vertAlign w:val="superscript"/>
                <w:lang w:val="en-US"/>
              </w:rPr>
              <w:t>-1</w:t>
            </w:r>
            <w:r w:rsidRPr="00DB058A">
              <w:rPr>
                <w:rFonts w:ascii="Arial" w:hAnsi="Arial" w:cs="Arial"/>
                <w:b/>
                <w:bCs/>
                <w:sz w:val="20"/>
                <w:szCs w:val="20"/>
                <w:lang w:val="en-US"/>
              </w:rPr>
              <w:t>)</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431374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123.84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F2235B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1864.24**</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E73C403"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25.72</w:t>
            </w:r>
          </w:p>
        </w:tc>
      </w:tr>
      <w:tr w:rsidR="00A25B51" w:rsidRPr="00DB058A" w14:paraId="20B61F59"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46D419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Protein Content (g/100g)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E791E5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0.44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78D87B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20.19**</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B9CFD8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0.19</w:t>
            </w:r>
          </w:p>
        </w:tc>
      </w:tr>
      <w:tr w:rsidR="00A25B51" w:rsidRPr="00DB058A" w14:paraId="086EBF1B"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5DD58E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Carbohydrate Content (g/100g)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7A73E0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2.78</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60446C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34.00**</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D1CE44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1.28</w:t>
            </w:r>
          </w:p>
        </w:tc>
      </w:tr>
      <w:tr w:rsidR="00A25B51" w:rsidRPr="00DB058A" w14:paraId="7D28564A"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BA6289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Total Flavonoid Content (mg /100g)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06F9154"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4.0000</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3271C0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514.8799**</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E6A400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2.0000</w:t>
            </w:r>
          </w:p>
        </w:tc>
      </w:tr>
      <w:tr w:rsidR="00A25B51" w:rsidRPr="00DB058A" w14:paraId="1187A9D4"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F8342CE" w14:textId="4EF0367E"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lastRenderedPageBreak/>
              <w:t>Total Antioxidant Activity (%)</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9A69E4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2.778</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8138BB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858.000**</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0E30D7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1.278</w:t>
            </w:r>
          </w:p>
        </w:tc>
      </w:tr>
      <w:tr w:rsidR="00A25B51" w:rsidRPr="00DB058A" w14:paraId="0513F238"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C8AF492" w14:textId="77777777" w:rsidR="00A25B51" w:rsidRPr="00DB058A" w:rsidRDefault="00A25B51" w:rsidP="005801C9">
            <w:pPr>
              <w:pStyle w:val="ListParagraph"/>
              <w:spacing w:before="240" w:line="360" w:lineRule="auto"/>
              <w:ind w:left="0" w:right="75"/>
              <w:jc w:val="center"/>
              <w:rPr>
                <w:rFonts w:ascii="Arial" w:hAnsi="Arial" w:cs="Arial"/>
                <w:b/>
                <w:bCs/>
                <w:sz w:val="20"/>
                <w:szCs w:val="20"/>
                <w:lang w:val="en-GB"/>
              </w:rPr>
            </w:pPr>
            <w:r w:rsidRPr="00DB058A">
              <w:rPr>
                <w:rFonts w:ascii="Arial" w:hAnsi="Arial" w:cs="Arial"/>
                <w:b/>
                <w:bCs/>
                <w:sz w:val="20"/>
                <w:szCs w:val="20"/>
                <w:lang w:val="en-US"/>
              </w:rPr>
              <w:t>ALA / Omega-3 Content (% of total fatty acids)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9D5549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2.374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81BE12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130.125**</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0987D83"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1.208</w:t>
            </w:r>
          </w:p>
        </w:tc>
      </w:tr>
    </w:tbl>
    <w:p w14:paraId="2C3401E8" w14:textId="12BE526E" w:rsidR="00A25B51" w:rsidRPr="00DB058A" w:rsidRDefault="00E171EB" w:rsidP="00704C62">
      <w:pPr>
        <w:spacing w:before="240" w:after="0" w:line="360" w:lineRule="auto"/>
        <w:jc w:val="both"/>
        <w:rPr>
          <w:rFonts w:ascii="Arial" w:hAnsi="Arial" w:cs="Arial"/>
          <w:lang w:val="en-US"/>
        </w:rPr>
      </w:pPr>
      <w:r w:rsidRPr="00DB058A">
        <w:rPr>
          <w:rFonts w:ascii="Arial" w:hAnsi="Arial" w:cs="Arial"/>
          <w:lang w:val="en-US"/>
        </w:rPr>
        <w:t>*Significant of 5% level of probability, ** significant of 1% level of probability.</w:t>
      </w:r>
    </w:p>
    <w:p w14:paraId="2B163B32" w14:textId="77777777" w:rsidR="00E171EB" w:rsidRPr="00DB058A" w:rsidRDefault="00E171EB" w:rsidP="00704C62">
      <w:pPr>
        <w:spacing w:before="240" w:after="0" w:line="360" w:lineRule="auto"/>
        <w:jc w:val="both"/>
        <w:rPr>
          <w:rFonts w:ascii="Arial" w:hAnsi="Arial" w:cs="Arial"/>
        </w:rPr>
      </w:pPr>
    </w:p>
    <w:p w14:paraId="19EED589" w14:textId="42CFF2DF" w:rsidR="00A25B51" w:rsidRPr="00DB058A" w:rsidRDefault="00A25B51" w:rsidP="00A25B51">
      <w:pPr>
        <w:spacing w:line="360" w:lineRule="auto"/>
        <w:rPr>
          <w:rFonts w:ascii="Arial" w:hAnsi="Arial" w:cs="Arial"/>
          <w:b/>
          <w:bCs/>
          <w:color w:val="000000" w:themeColor="text1"/>
        </w:rPr>
      </w:pPr>
      <w:r w:rsidRPr="00DB058A">
        <w:rPr>
          <w:rFonts w:ascii="Arial" w:hAnsi="Arial" w:cs="Arial"/>
          <w:b/>
          <w:bCs/>
          <w:color w:val="000000" w:themeColor="text1"/>
        </w:rPr>
        <w:t>Table-</w:t>
      </w:r>
      <w:r w:rsidR="00686BDD">
        <w:rPr>
          <w:rFonts w:ascii="Arial" w:hAnsi="Arial" w:cs="Arial"/>
          <w:b/>
          <w:bCs/>
          <w:color w:val="000000" w:themeColor="text1"/>
        </w:rPr>
        <w:t>2</w:t>
      </w:r>
      <w:r w:rsidRPr="00DB058A">
        <w:rPr>
          <w:rFonts w:ascii="Arial" w:hAnsi="Arial" w:cs="Arial"/>
          <w:b/>
          <w:bCs/>
          <w:color w:val="000000" w:themeColor="text1"/>
        </w:rPr>
        <w:t xml:space="preserve"> : Mean performance of different quantitative characters of linseed</w:t>
      </w:r>
    </w:p>
    <w:tbl>
      <w:tblPr>
        <w:tblW w:w="5000" w:type="pct"/>
        <w:tblLook w:val="04A0" w:firstRow="1" w:lastRow="0" w:firstColumn="1" w:lastColumn="0" w:noHBand="0" w:noVBand="1"/>
      </w:tblPr>
      <w:tblGrid>
        <w:gridCol w:w="814"/>
        <w:gridCol w:w="577"/>
        <w:gridCol w:w="564"/>
        <w:gridCol w:w="564"/>
        <w:gridCol w:w="674"/>
        <w:gridCol w:w="731"/>
        <w:gridCol w:w="732"/>
        <w:gridCol w:w="648"/>
        <w:gridCol w:w="519"/>
        <w:gridCol w:w="584"/>
        <w:gridCol w:w="770"/>
        <w:gridCol w:w="642"/>
        <w:gridCol w:w="648"/>
        <w:gridCol w:w="571"/>
      </w:tblGrid>
      <w:tr w:rsidR="00A25B51" w:rsidRPr="00BE1BAE" w14:paraId="5E7D88D1" w14:textId="77777777" w:rsidTr="005C3B73">
        <w:trPr>
          <w:cantSplit/>
          <w:trHeight w:val="1378"/>
        </w:trPr>
        <w:tc>
          <w:tcPr>
            <w:tcW w:w="46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21AB926"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Genotypes</w:t>
            </w:r>
          </w:p>
        </w:tc>
        <w:tc>
          <w:tcPr>
            <w:tcW w:w="31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63DCF41"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(cm) 30 DAS</w:t>
            </w:r>
          </w:p>
        </w:tc>
        <w:tc>
          <w:tcPr>
            <w:tcW w:w="30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C44D264"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(cm) 60 DAS</w:t>
            </w:r>
          </w:p>
        </w:tc>
        <w:tc>
          <w:tcPr>
            <w:tcW w:w="30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748481B"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(cm) 90 DAS</w:t>
            </w:r>
          </w:p>
        </w:tc>
        <w:tc>
          <w:tcPr>
            <w:tcW w:w="37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B02FE5D"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day after maturity</w:t>
            </w:r>
          </w:p>
        </w:tc>
        <w:tc>
          <w:tcPr>
            <w:tcW w:w="412"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CE5055C"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50% flowering stage</w:t>
            </w:r>
          </w:p>
        </w:tc>
        <w:tc>
          <w:tcPr>
            <w:tcW w:w="413"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90B708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No. Of branches plant</w:t>
            </w:r>
            <w:r w:rsidRPr="00BE1BAE">
              <w:rPr>
                <w:rFonts w:ascii="Arial" w:eastAsia="Times New Roman" w:hAnsi="Arial" w:cs="Arial"/>
                <w:b/>
                <w:bCs/>
                <w:color w:val="000000" w:themeColor="text1"/>
                <w:kern w:val="0"/>
                <w:sz w:val="20"/>
                <w:szCs w:val="20"/>
                <w:vertAlign w:val="superscript"/>
                <w:lang w:val="en-GB" w:eastAsia="en-GB"/>
                <w14:ligatures w14:val="none"/>
              </w:rPr>
              <w:t>-1</w:t>
            </w:r>
          </w:p>
        </w:tc>
        <w:tc>
          <w:tcPr>
            <w:tcW w:w="35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6E8467B"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No. Of capsule plant</w:t>
            </w:r>
            <w:r w:rsidRPr="00BE1BAE">
              <w:rPr>
                <w:rFonts w:ascii="Arial" w:eastAsia="Times New Roman" w:hAnsi="Arial" w:cs="Arial"/>
                <w:b/>
                <w:bCs/>
                <w:color w:val="000000" w:themeColor="text1"/>
                <w:kern w:val="0"/>
                <w:sz w:val="20"/>
                <w:szCs w:val="20"/>
                <w:vertAlign w:val="superscript"/>
                <w:lang w:val="en-GB" w:eastAsia="en-GB"/>
                <w14:ligatures w14:val="none"/>
              </w:rPr>
              <w:t>-1</w:t>
            </w:r>
          </w:p>
        </w:tc>
        <w:tc>
          <w:tcPr>
            <w:tcW w:w="27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7E49DF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Seed yield plant</w:t>
            </w:r>
            <w:r w:rsidRPr="00BE1BAE">
              <w:rPr>
                <w:rFonts w:ascii="Arial" w:eastAsia="Times New Roman" w:hAnsi="Arial" w:cs="Arial"/>
                <w:b/>
                <w:bCs/>
                <w:color w:val="000000" w:themeColor="text1"/>
                <w:kern w:val="0"/>
                <w:sz w:val="20"/>
                <w:szCs w:val="20"/>
                <w:vertAlign w:val="superscript"/>
                <w:lang w:val="en-GB" w:eastAsia="en-GB"/>
                <w14:ligatures w14:val="none"/>
              </w:rPr>
              <w:t>-1</w:t>
            </w:r>
          </w:p>
        </w:tc>
        <w:tc>
          <w:tcPr>
            <w:tcW w:w="31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88C2EC5"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1000 seed weight (g)</w:t>
            </w:r>
          </w:p>
        </w:tc>
        <w:tc>
          <w:tcPr>
            <w:tcW w:w="43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4EB1DF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Biological yield plant</w:t>
            </w:r>
            <w:r w:rsidRPr="00BE1BAE">
              <w:rPr>
                <w:rFonts w:ascii="Arial" w:eastAsia="Times New Roman" w:hAnsi="Arial" w:cs="Arial"/>
                <w:b/>
                <w:bCs/>
                <w:color w:val="000000" w:themeColor="text1"/>
                <w:kern w:val="0"/>
                <w:sz w:val="20"/>
                <w:szCs w:val="20"/>
                <w:vertAlign w:val="superscript"/>
                <w:lang w:val="en-GB" w:eastAsia="en-GB"/>
                <w14:ligatures w14:val="none"/>
              </w:rPr>
              <w:t>-1</w:t>
            </w:r>
            <w:r w:rsidRPr="00BE1BAE">
              <w:rPr>
                <w:rFonts w:ascii="Arial" w:eastAsia="Times New Roman" w:hAnsi="Arial" w:cs="Arial"/>
                <w:b/>
                <w:bCs/>
                <w:color w:val="000000" w:themeColor="text1"/>
                <w:kern w:val="0"/>
                <w:sz w:val="20"/>
                <w:szCs w:val="20"/>
                <w:lang w:val="en-GB" w:eastAsia="en-GB"/>
                <w14:ligatures w14:val="none"/>
              </w:rPr>
              <w:t xml:space="preserve"> (g)</w:t>
            </w:r>
          </w:p>
        </w:tc>
        <w:tc>
          <w:tcPr>
            <w:tcW w:w="35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AE8B9B6"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Harvest index</w:t>
            </w:r>
          </w:p>
        </w:tc>
        <w:tc>
          <w:tcPr>
            <w:tcW w:w="35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D294B1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No of seed per capsule</w:t>
            </w:r>
          </w:p>
        </w:tc>
        <w:tc>
          <w:tcPr>
            <w:tcW w:w="30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4319DBF"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Seed yield plot</w:t>
            </w:r>
            <w:r w:rsidRPr="00BE1BAE">
              <w:rPr>
                <w:rFonts w:ascii="Arial" w:eastAsia="Times New Roman" w:hAnsi="Arial" w:cs="Arial"/>
                <w:b/>
                <w:bCs/>
                <w:color w:val="000000" w:themeColor="text1"/>
                <w:kern w:val="0"/>
                <w:sz w:val="20"/>
                <w:szCs w:val="20"/>
                <w:vertAlign w:val="superscript"/>
                <w:lang w:val="en-GB" w:eastAsia="en-GB"/>
                <w14:ligatures w14:val="none"/>
              </w:rPr>
              <w:t>-1</w:t>
            </w:r>
            <w:r w:rsidRPr="00BE1BAE">
              <w:rPr>
                <w:rFonts w:ascii="Arial" w:eastAsia="Times New Roman" w:hAnsi="Arial" w:cs="Arial"/>
                <w:b/>
                <w:bCs/>
                <w:color w:val="000000" w:themeColor="text1"/>
                <w:kern w:val="0"/>
                <w:sz w:val="20"/>
                <w:szCs w:val="20"/>
                <w:lang w:val="en-GB" w:eastAsia="en-GB"/>
                <w14:ligatures w14:val="none"/>
              </w:rPr>
              <w:t xml:space="preserve">  (kg ha</w:t>
            </w:r>
            <w:r w:rsidRPr="00BE1BAE">
              <w:rPr>
                <w:rFonts w:ascii="Arial" w:eastAsia="Times New Roman" w:hAnsi="Arial" w:cs="Arial"/>
                <w:b/>
                <w:bCs/>
                <w:color w:val="000000" w:themeColor="text1"/>
                <w:kern w:val="0"/>
                <w:sz w:val="20"/>
                <w:szCs w:val="20"/>
                <w:vertAlign w:val="superscript"/>
                <w:lang w:val="en-GB" w:eastAsia="en-GB"/>
                <w14:ligatures w14:val="none"/>
              </w:rPr>
              <w:t>-1</w:t>
            </w:r>
            <w:r w:rsidRPr="00BE1BAE">
              <w:rPr>
                <w:rFonts w:ascii="Arial" w:eastAsia="Times New Roman" w:hAnsi="Arial" w:cs="Arial"/>
                <w:b/>
                <w:bCs/>
                <w:color w:val="000000" w:themeColor="text1"/>
                <w:kern w:val="0"/>
                <w:sz w:val="20"/>
                <w:szCs w:val="20"/>
                <w:lang w:val="en-GB" w:eastAsia="en-GB"/>
                <w14:ligatures w14:val="none"/>
              </w:rPr>
              <w:t>)</w:t>
            </w:r>
          </w:p>
        </w:tc>
      </w:tr>
      <w:tr w:rsidR="00A25B51" w:rsidRPr="00BE1BAE" w14:paraId="5CBD1554"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10F6B15D" w14:textId="77777777" w:rsidR="00A25B51" w:rsidRPr="00BE1BAE" w:rsidRDefault="00A25B51" w:rsidP="005801C9">
            <w:pPr>
              <w:spacing w:after="0" w:line="24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Shuats-2</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2FF04C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12.93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6C67A89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41.50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5FBAFE8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63.13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23C31C8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67.57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0F2ACD6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78159D4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03FE94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71.33</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EE67C3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6.07</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4B379E2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6.57</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2FBAE7A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23.60</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3056C9D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25.70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0C8914F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9.40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1F630D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202.20</w:t>
            </w:r>
          </w:p>
        </w:tc>
      </w:tr>
      <w:tr w:rsidR="00A25B51" w:rsidRPr="00BE1BAE" w14:paraId="340AFFB4"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CE81434" w14:textId="77777777" w:rsidR="00A25B51" w:rsidRPr="00BE1BAE" w:rsidRDefault="00A25B51" w:rsidP="005801C9">
            <w:pPr>
              <w:spacing w:after="0" w:line="24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Kusum</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E5BF3D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20.27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38A58C7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40.23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20A8E8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60.83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2A0A3D4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64.57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65DD0EF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6C946C4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50AC95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62.00</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9DBF27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5.53</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65F0A3F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5BCFA03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21.70</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474305A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25.50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13C81B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8.90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3948AC6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184.43</w:t>
            </w:r>
          </w:p>
        </w:tc>
      </w:tr>
      <w:tr w:rsidR="00A25B51" w:rsidRPr="00BE1BAE" w14:paraId="373CF415"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250061C7"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Nilam</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AB3CA6A" w14:textId="021B8C99"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E69040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38.30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1DCD1B6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58.40</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60A0E63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63.27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17AC440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70.00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46BB03B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0F8AFD7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56.67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6229B01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5.47</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74554C9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6.57</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07689F8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20.07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53BC504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27.24</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A5FF4D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9.00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4E41393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182.20</w:t>
            </w:r>
          </w:p>
        </w:tc>
      </w:tr>
      <w:tr w:rsidR="00A25B51" w:rsidRPr="00BE1BAE" w14:paraId="2C6313D4"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386CA23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Type-397</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A97267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19.77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53AB75F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42.97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3D8D97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65.60</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611CBE6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71.67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26C0F9D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543D7C1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7.20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5CDF65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88.00</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97030B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6.73</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400A80E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6E00DBC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25.00</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31FBB59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26.94</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2072FF8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9.70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76C2DB4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224.42</w:t>
            </w:r>
          </w:p>
        </w:tc>
      </w:tr>
      <w:tr w:rsidR="00A25B51" w:rsidRPr="00BE1BAE" w14:paraId="3E60483C"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6FFC682E"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Mukta</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135A77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18.87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265884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37.47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C29A05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53.67</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73F8612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58.50</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1AB3D63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002D7C3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6C02C5A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56.67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4164C38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51ADD4A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14C3F6D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17.43</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3CE2613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25.81</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3B8482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8.20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5FB503D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149.99</w:t>
            </w:r>
          </w:p>
        </w:tc>
      </w:tr>
      <w:tr w:rsidR="00A25B51" w:rsidRPr="00BE1BAE" w14:paraId="21A86993"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EC0017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Selection-2</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703DEC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17.33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6A86883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62516B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62.53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17E5A88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67.23</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607E028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5D34C31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4C2C804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85.33</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6242DFF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3A97DAD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6EB2E2C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21.87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5FB2345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26.99</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28E13C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9.10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2F99283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196.65</w:t>
            </w:r>
          </w:p>
        </w:tc>
      </w:tr>
      <w:tr w:rsidR="00A25B51" w:rsidRPr="00BE1BAE" w14:paraId="4062B1FB"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4E6EA98" w14:textId="77777777" w:rsidR="00A25B51" w:rsidRPr="00BE1BAE" w:rsidRDefault="00A25B51" w:rsidP="005801C9">
            <w:pPr>
              <w:spacing w:after="0" w:line="24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Padmini</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9C299E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99797E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38.97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7AB2FF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53.93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0D5CEA3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60.50</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4092B3C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69.00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5708753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A84E21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51.33</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6E19D6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4.90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285FB88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6.17</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7B36090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18.27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6305150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26.83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50586E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8.40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5014934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163.32</w:t>
            </w:r>
          </w:p>
        </w:tc>
      </w:tr>
      <w:tr w:rsidR="00A25B51" w:rsidRPr="00BE1BAE" w14:paraId="6160D1A3"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2552C3F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Jawahar-17</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3340BF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14.20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2EBC79B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41.17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F956F8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62.70</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72E3EA3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64.30</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2C9D93A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68.33</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34364CC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222B4ED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68.00</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727CA04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5.83</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321E1F5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48A4E1C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21.87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7877AB8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26.70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21FD028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8.40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257122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194.43</w:t>
            </w:r>
          </w:p>
        </w:tc>
      </w:tr>
      <w:tr w:rsidR="00A25B51" w:rsidRPr="00BE1BAE" w14:paraId="3C617D0E"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A57482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Check</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177431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17.57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375614D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37.33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C6B22A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50.83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351D154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55.23</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37C5BF53" w14:textId="77777777" w:rsidR="00A25B51" w:rsidRPr="00BE1BAE" w:rsidRDefault="00A25B51" w:rsidP="005801C9">
            <w:pPr>
              <w:spacing w:after="0" w:line="240" w:lineRule="auto"/>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69.67</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3849A30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C000F2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58.67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2951E2D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4578619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3644D7F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16.73</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0A1EE19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26.88</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DC1788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7.90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6238E97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149.99</w:t>
            </w:r>
          </w:p>
        </w:tc>
      </w:tr>
      <w:tr w:rsidR="00A25B51" w:rsidRPr="00BE1BAE" w14:paraId="0891175B"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3076179"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Mean</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D331B3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17.54</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3CA74ED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40.04</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989753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59.07</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29636FC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63.65</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66C46EE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67.56</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18E04C1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6.19</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6FD31D7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66.44</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111D35C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5.49</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28A57A0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6F460FE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20.73</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6DDC790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26.51</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3E1B6A8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8.78</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3CD3131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183.07</w:t>
            </w:r>
          </w:p>
        </w:tc>
      </w:tr>
      <w:tr w:rsidR="00A25B51" w:rsidRPr="00BE1BAE" w14:paraId="2958A483"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4139AD0A"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CB02E3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6DE944F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0.99</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2908EF1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0.89</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56C9E46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0.93</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1A4C3E7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0.83</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7A04A55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0.22</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F487D4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3AFA27B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0.12</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29D2700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09214AA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0.24</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5D3A081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6562EC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0.12</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34C836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4.14</w:t>
            </w:r>
          </w:p>
        </w:tc>
      </w:tr>
      <w:tr w:rsidR="00A25B51" w:rsidRPr="00BE1BAE" w14:paraId="518905C7"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48ABF6A1"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CD5%</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821627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4.09</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3CA6EBC"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2.10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806C21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1.89</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064FE09E"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1.98</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4168CA17"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1.75</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6C1DB32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0.46</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4A6E3D4D"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6.08</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023288EB"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0.26</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67BB5FF5"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0.28</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1A5D29E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0.52</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031C482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0.76</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6F07AD9E"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0.26</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149C76DF"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8.78</w:t>
            </w:r>
          </w:p>
        </w:tc>
      </w:tr>
      <w:tr w:rsidR="00A25B51" w:rsidRPr="00BE1BAE" w14:paraId="6632314E"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10AF890C"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CV</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9295E7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319AB3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3.03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AC90D8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1.85</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5E17E92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1.79</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56576A9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72A1556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4.31</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3256713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5.28</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39421D5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386BEAE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2.54</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1F1F22B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1.44</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0882AF6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1.65</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890BB3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36C20C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w:t>
            </w:r>
          </w:p>
        </w:tc>
      </w:tr>
    </w:tbl>
    <w:p w14:paraId="12A3332C" w14:textId="4EE1F345" w:rsidR="00A25B51" w:rsidRDefault="0001699C" w:rsidP="00704C62">
      <w:pPr>
        <w:spacing w:before="240" w:after="0" w:line="360" w:lineRule="auto"/>
        <w:jc w:val="both"/>
        <w:rPr>
          <w:rFonts w:ascii="Times New Roman" w:hAnsi="Times New Roman" w:cs="Times New Roman"/>
          <w:sz w:val="24"/>
          <w:szCs w:val="24"/>
        </w:rPr>
      </w:pPr>
      <w:r>
        <w:rPr>
          <w:noProof/>
        </w:rPr>
        <w:lastRenderedPageBreak/>
        <mc:AlternateContent>
          <mc:Choice Requires="cx1">
            <w:drawing>
              <wp:inline distT="0" distB="0" distL="0" distR="0" wp14:anchorId="4D3E7B6E" wp14:editId="1539055E">
                <wp:extent cx="5956300" cy="3194050"/>
                <wp:effectExtent l="0" t="0" r="6350" b="6350"/>
                <wp:docPr id="61081615" name="Chart 1">
                  <a:extLst xmlns:a="http://schemas.openxmlformats.org/drawingml/2006/main">
                    <a:ext uri="{FF2B5EF4-FFF2-40B4-BE49-F238E27FC236}">
                      <a16:creationId xmlns:a16="http://schemas.microsoft.com/office/drawing/2014/main" id="{C6031309-E81D-619F-DFB6-FEB62AE685F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4D3E7B6E" wp14:editId="1539055E">
                <wp:extent cx="5956300" cy="3194050"/>
                <wp:effectExtent l="0" t="0" r="6350" b="6350"/>
                <wp:docPr id="61081615" name="Chart 1">
                  <a:extLst xmlns:a="http://schemas.openxmlformats.org/drawingml/2006/main">
                    <a:ext uri="{FF2B5EF4-FFF2-40B4-BE49-F238E27FC236}">
                      <a16:creationId xmlns:a16="http://schemas.microsoft.com/office/drawing/2014/main" id="{C6031309-E81D-619F-DFB6-FEB62AE685F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081615" name="Chart 1">
                          <a:extLst>
                            <a:ext uri="{FF2B5EF4-FFF2-40B4-BE49-F238E27FC236}">
                              <a16:creationId xmlns:a16="http://schemas.microsoft.com/office/drawing/2014/main" id="{C6031309-E81D-619F-DFB6-FEB62AE685F5}"/>
                            </a:ext>
                          </a:extLst>
                        </pic:cNvPr>
                        <pic:cNvPicPr>
                          <a:picLocks noGrp="1" noRot="1" noChangeAspect="1" noMove="1" noResize="1" noEditPoints="1" noAdjustHandles="1" noChangeArrowheads="1" noChangeShapeType="1"/>
                        </pic:cNvPicPr>
                      </pic:nvPicPr>
                      <pic:blipFill>
                        <a:blip r:embed="rId11"/>
                        <a:stretch>
                          <a:fillRect/>
                        </a:stretch>
                      </pic:blipFill>
                      <pic:spPr>
                        <a:xfrm>
                          <a:off x="0" y="0"/>
                          <a:ext cx="5956300" cy="3194050"/>
                        </a:xfrm>
                        <a:prstGeom prst="rect">
                          <a:avLst/>
                        </a:prstGeom>
                      </pic:spPr>
                    </pic:pic>
                  </a:graphicData>
                </a:graphic>
              </wp:inline>
            </w:drawing>
          </mc:Fallback>
        </mc:AlternateContent>
      </w:r>
    </w:p>
    <w:p w14:paraId="0CEF5ECC" w14:textId="6F558F99" w:rsidR="0001699C" w:rsidRPr="00BE1BAE" w:rsidRDefault="0001699C" w:rsidP="0001699C">
      <w:pPr>
        <w:spacing w:before="240" w:after="0" w:line="360" w:lineRule="auto"/>
        <w:jc w:val="center"/>
        <w:rPr>
          <w:rFonts w:ascii="Arial" w:hAnsi="Arial" w:cs="Arial"/>
          <w:b/>
          <w:bCs/>
        </w:rPr>
      </w:pPr>
      <w:r w:rsidRPr="00BE1BAE">
        <w:rPr>
          <w:rFonts w:ascii="Arial" w:hAnsi="Arial" w:cs="Arial"/>
          <w:b/>
          <w:bCs/>
        </w:rPr>
        <w:t>Fig.</w:t>
      </w:r>
      <w:r w:rsidR="003E4BC5">
        <w:rPr>
          <w:rFonts w:ascii="Arial" w:hAnsi="Arial" w:cs="Arial"/>
          <w:b/>
          <w:bCs/>
        </w:rPr>
        <w:t xml:space="preserve">2 </w:t>
      </w:r>
      <w:r w:rsidRPr="00BE1BAE">
        <w:rPr>
          <w:rFonts w:ascii="Arial" w:hAnsi="Arial" w:cs="Arial"/>
          <w:b/>
          <w:bCs/>
        </w:rPr>
        <w:t xml:space="preserve"> Mean performance of different quantitative characters of linseed</w:t>
      </w:r>
    </w:p>
    <w:p w14:paraId="37124AAF" w14:textId="77777777" w:rsidR="0001699C" w:rsidRPr="00BE1BAE" w:rsidRDefault="0001699C" w:rsidP="0001699C">
      <w:pPr>
        <w:spacing w:before="240" w:after="0" w:line="360" w:lineRule="auto"/>
        <w:jc w:val="center"/>
        <w:rPr>
          <w:rFonts w:ascii="Arial" w:hAnsi="Arial" w:cs="Arial"/>
          <w:b/>
          <w:bCs/>
        </w:rPr>
      </w:pPr>
    </w:p>
    <w:p w14:paraId="108DE4F1" w14:textId="3EA53944" w:rsidR="00A25B51" w:rsidRPr="00BE1BAE" w:rsidRDefault="00A25B51" w:rsidP="00A25B51">
      <w:pPr>
        <w:spacing w:line="360" w:lineRule="auto"/>
        <w:rPr>
          <w:rFonts w:ascii="Arial" w:hAnsi="Arial" w:cs="Arial"/>
          <w:b/>
          <w:bCs/>
          <w:color w:val="000000" w:themeColor="text1"/>
        </w:rPr>
      </w:pPr>
      <w:r w:rsidRPr="00BE1BAE">
        <w:rPr>
          <w:rFonts w:ascii="Arial" w:hAnsi="Arial" w:cs="Arial"/>
          <w:b/>
          <w:bCs/>
          <w:color w:val="000000" w:themeColor="text1"/>
        </w:rPr>
        <w:t>Table-</w:t>
      </w:r>
      <w:r w:rsidR="00140206">
        <w:rPr>
          <w:rFonts w:ascii="Arial" w:hAnsi="Arial" w:cs="Arial"/>
          <w:b/>
          <w:bCs/>
          <w:color w:val="000000" w:themeColor="text1"/>
        </w:rPr>
        <w:t>3</w:t>
      </w:r>
      <w:r w:rsidRPr="00BE1BAE">
        <w:rPr>
          <w:rFonts w:ascii="Arial" w:hAnsi="Arial" w:cs="Arial"/>
          <w:b/>
          <w:bCs/>
          <w:color w:val="000000" w:themeColor="text1"/>
        </w:rPr>
        <w:t>.: Mean performance of different qualitative characters of linseed</w:t>
      </w:r>
    </w:p>
    <w:tbl>
      <w:tblPr>
        <w:tblW w:w="89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319"/>
        <w:gridCol w:w="1716"/>
        <w:gridCol w:w="1302"/>
        <w:gridCol w:w="1512"/>
        <w:gridCol w:w="1763"/>
      </w:tblGrid>
      <w:tr w:rsidR="00A25B51" w:rsidRPr="00BE1BAE" w14:paraId="5EB1F6BD" w14:textId="77777777" w:rsidTr="002D1307">
        <w:trPr>
          <w:trHeight w:val="1078"/>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7605AA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Genotype</w:t>
            </w:r>
          </w:p>
        </w:tc>
        <w:tc>
          <w:tcPr>
            <w:tcW w:w="13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6816F7D"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Protein Content (g/100g)</w:t>
            </w:r>
          </w:p>
        </w:tc>
        <w:tc>
          <w:tcPr>
            <w:tcW w:w="17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E9ECD34"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Carbohydrate Content (g/100g)</w:t>
            </w:r>
          </w:p>
        </w:tc>
        <w:tc>
          <w:tcPr>
            <w:tcW w:w="1302"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4D32FF9C"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Flavonoid Content (mg /100g)</w:t>
            </w:r>
          </w:p>
        </w:tc>
        <w:tc>
          <w:tcPr>
            <w:tcW w:w="1512"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3884D498"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Antioxidant Activity (%)</w:t>
            </w:r>
          </w:p>
        </w:tc>
        <w:tc>
          <w:tcPr>
            <w:tcW w:w="1763"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ADCABA6"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ALA / Omega-3 Content (% of total fatty acids)</w:t>
            </w:r>
          </w:p>
        </w:tc>
      </w:tr>
      <w:tr w:rsidR="00A25B51" w:rsidRPr="00BE1BAE" w14:paraId="2DC60CD9"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C539F07"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Shuats-2</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F08BEBC"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17.84±0.05</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D8A216A"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28.34±0.03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730C7A8"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21.04±0.03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568647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52.00±0.05</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0E2899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39.24±0.06</w:t>
            </w:r>
          </w:p>
        </w:tc>
      </w:tr>
      <w:tr w:rsidR="00A25B51" w:rsidRPr="00BE1BAE" w14:paraId="10B4365C"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1E7BF3E"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Kusum</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2A0824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18.91±0.02</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2B2554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20.91±0.02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E7D5D5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38.90±0.02</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A723AB3"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50.00±0.02</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B42E76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46.27±0.03</w:t>
            </w:r>
          </w:p>
        </w:tc>
      </w:tr>
      <w:tr w:rsidR="00A25B51" w:rsidRPr="00BE1BAE" w14:paraId="44309609"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C961606"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Nilam</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4D7E3A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13.12±0.03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94496A3"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25.45±0.03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753F4C8"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54.80±0.03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AE2896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40.00±0.03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FBD173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56.78±0.03</w:t>
            </w:r>
          </w:p>
        </w:tc>
      </w:tr>
      <w:tr w:rsidR="00A25B51" w:rsidRPr="00BE1BAE" w14:paraId="16C4544D"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6F8B741"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Type-397</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E9B063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16.87±0.02</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C4B32E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26.02±0.02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BEC41C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50.11±0.04</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1A426F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76.00±0.04</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177AA1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55.62±0.05</w:t>
            </w:r>
          </w:p>
        </w:tc>
      </w:tr>
      <w:tr w:rsidR="00A25B51" w:rsidRPr="00BE1BAE" w14:paraId="25BA6799"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4E2C6D9"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Mukta</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AF3212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13.12±0.03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C4B1F4C"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22.45±0.04</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8FC697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50.12±0.03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666152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92.00±0.03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54651B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48.72±0.03</w:t>
            </w:r>
          </w:p>
        </w:tc>
      </w:tr>
      <w:tr w:rsidR="00A25B51" w:rsidRPr="00BE1BAE" w14:paraId="7BEA2645"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B252B6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Selection-2</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BFDF71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14.76±0.03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8FBFDF3"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21.76±0.03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4A24A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42.01±0.03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56CD82F"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74.00±0.04</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BAE61C8"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50.36±0.03</w:t>
            </w:r>
          </w:p>
        </w:tc>
      </w:tr>
      <w:tr w:rsidR="00A25B51" w:rsidRPr="00BE1BAE" w14:paraId="0F6E22AB"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0CB257E"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Padmini</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C6A397F"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12.45±0.04</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22CBE7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24.88±0.04</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993A27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56.02±0.02</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FCD6549"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71.00±0.03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5B36D1F"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58.22±0.04</w:t>
            </w:r>
          </w:p>
        </w:tc>
      </w:tr>
      <w:tr w:rsidR="00A25B51" w:rsidRPr="00BE1BAE" w14:paraId="2956BBE7"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F34BCE3"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Jawahar-17</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53EFDDE"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18.96±0.05</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C9E30B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29.87±0.05</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BBF110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31.08±0.05</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BFD16C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50.00±0.05</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75EC275"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42.98±0.06</w:t>
            </w:r>
          </w:p>
        </w:tc>
      </w:tr>
      <w:tr w:rsidR="00A25B51" w:rsidRPr="00BE1BAE" w14:paraId="5A8BECEB"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F7345A3"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Check</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4436B5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17.34±0.04</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978A18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20.12±0.03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3D953C5"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62.01±0.04</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36F67F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74.00±0.04</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3F509F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44.85±0.04</w:t>
            </w:r>
          </w:p>
        </w:tc>
      </w:tr>
      <w:tr w:rsidR="00A25B51" w:rsidRPr="00BE1BAE" w14:paraId="41426C71"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14:paraId="450CE94F"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lastRenderedPageBreak/>
              <w:t xml:space="preserve">Mean </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B5F51C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15.93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2D1A74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24.42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00AE9B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45.12</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DB40D29"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64.33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F6999E9"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49.23</w:t>
            </w:r>
          </w:p>
        </w:tc>
      </w:tr>
      <w:tr w:rsidR="00A25B51" w:rsidRPr="00BE1BAE" w14:paraId="767CAE1F"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C46FB0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SEM</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A18019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6011E5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3F5194A"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1.15</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CD7FC2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0.92</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4F06C6E"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0.90</w:t>
            </w:r>
          </w:p>
        </w:tc>
      </w:tr>
      <w:tr w:rsidR="00A25B51" w:rsidRPr="00BE1BAE" w14:paraId="1A645B90"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830C643"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CD5%</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232BA8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0.76</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29A941"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1.96</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C4ED3B2"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2.45</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71C062B"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1.96</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925636F"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1.90</w:t>
            </w:r>
          </w:p>
        </w:tc>
      </w:tr>
      <w:tr w:rsidR="00A25B51" w:rsidRPr="00BE1BAE" w14:paraId="766DCF38"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7196CAC"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CV</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56AAF4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8D39B8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4.63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90338C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3.13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BA5175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1.76</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77DF6B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2.23</w:t>
            </w:r>
          </w:p>
        </w:tc>
      </w:tr>
    </w:tbl>
    <w:p w14:paraId="54C9561C" w14:textId="77777777" w:rsidR="005C47DB" w:rsidRPr="00BE1BAE" w:rsidRDefault="005C47DB" w:rsidP="00160848">
      <w:pPr>
        <w:spacing w:line="360" w:lineRule="auto"/>
        <w:rPr>
          <w:rFonts w:ascii="Arial" w:hAnsi="Arial" w:cs="Arial"/>
          <w:sz w:val="20"/>
          <w:szCs w:val="20"/>
        </w:rPr>
      </w:pPr>
    </w:p>
    <w:p w14:paraId="7470DBE1" w14:textId="3070C325" w:rsidR="009F4139" w:rsidRPr="00BE1BAE" w:rsidRDefault="00160848" w:rsidP="00A25B51">
      <w:pPr>
        <w:spacing w:line="360" w:lineRule="auto"/>
        <w:rPr>
          <w:rFonts w:ascii="Arial" w:hAnsi="Arial" w:cs="Arial"/>
          <w:sz w:val="20"/>
          <w:szCs w:val="20"/>
        </w:rPr>
      </w:pPr>
      <w:r w:rsidRPr="00BE1BAE">
        <w:rPr>
          <w:rFonts w:ascii="Arial" w:hAnsi="Arial" w:cs="Arial"/>
          <w:noProof/>
          <w:sz w:val="20"/>
          <w:szCs w:val="20"/>
        </w:rPr>
        <w:drawing>
          <wp:inline distT="0" distB="0" distL="0" distR="0" wp14:anchorId="70FB3070" wp14:editId="27835DF8">
            <wp:extent cx="5745480" cy="1816735"/>
            <wp:effectExtent l="0" t="0" r="7620" b="12065"/>
            <wp:docPr id="1984451011" name="Chart 1">
              <a:extLst xmlns:a="http://schemas.openxmlformats.org/drawingml/2006/main">
                <a:ext uri="{FF2B5EF4-FFF2-40B4-BE49-F238E27FC236}">
                  <a16:creationId xmlns:a16="http://schemas.microsoft.com/office/drawing/2014/main" id="{82CC648D-1358-CB27-E2C3-A0E6FACD3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33E4DA" w14:textId="4072CA02" w:rsidR="008E5F3E" w:rsidRPr="00BE1BAE" w:rsidRDefault="008E5F3E" w:rsidP="008E5F3E">
      <w:pPr>
        <w:spacing w:line="360" w:lineRule="auto"/>
        <w:jc w:val="center"/>
        <w:rPr>
          <w:rFonts w:ascii="Arial" w:hAnsi="Arial" w:cs="Arial"/>
          <w:b/>
          <w:bCs/>
          <w:color w:val="000000" w:themeColor="text1"/>
        </w:rPr>
      </w:pPr>
      <w:r w:rsidRPr="00BE1BAE">
        <w:rPr>
          <w:rFonts w:ascii="Arial" w:hAnsi="Arial" w:cs="Arial"/>
          <w:b/>
          <w:bCs/>
        </w:rPr>
        <w:t xml:space="preserve">Fig. </w:t>
      </w:r>
      <w:r w:rsidR="002856B6">
        <w:rPr>
          <w:rFonts w:ascii="Arial" w:hAnsi="Arial" w:cs="Arial"/>
          <w:b/>
          <w:bCs/>
        </w:rPr>
        <w:t>3.</w:t>
      </w:r>
      <w:r w:rsidRPr="00BE1BAE">
        <w:rPr>
          <w:rFonts w:ascii="Arial" w:hAnsi="Arial" w:cs="Arial"/>
          <w:b/>
          <w:bCs/>
        </w:rPr>
        <w:t xml:space="preserve"> </w:t>
      </w:r>
      <w:r w:rsidRPr="00BE1BAE">
        <w:rPr>
          <w:rFonts w:ascii="Arial" w:hAnsi="Arial" w:cs="Arial"/>
          <w:b/>
          <w:bCs/>
          <w:color w:val="000000" w:themeColor="text1"/>
        </w:rPr>
        <w:t>Mean performance of different qualitative characters of linseed</w:t>
      </w:r>
    </w:p>
    <w:p w14:paraId="346D1E65" w14:textId="77777777" w:rsidR="008E5F3E" w:rsidRPr="00BE1BAE" w:rsidRDefault="008E5F3E" w:rsidP="00A25B51">
      <w:pPr>
        <w:spacing w:line="360" w:lineRule="auto"/>
        <w:rPr>
          <w:rFonts w:ascii="Arial" w:hAnsi="Arial" w:cs="Arial"/>
        </w:rPr>
      </w:pPr>
    </w:p>
    <w:p w14:paraId="71BC89DE" w14:textId="0FFEC6D8" w:rsidR="00A25B51" w:rsidRPr="00BE1BAE" w:rsidRDefault="00A25B51" w:rsidP="00A25B51">
      <w:pPr>
        <w:spacing w:line="360" w:lineRule="auto"/>
        <w:rPr>
          <w:rFonts w:ascii="Arial" w:hAnsi="Arial" w:cs="Arial"/>
          <w:bCs/>
          <w:color w:val="000000" w:themeColor="text1"/>
          <w:lang w:val="en-US"/>
        </w:rPr>
      </w:pPr>
      <w:r w:rsidRPr="00BE1BAE">
        <w:rPr>
          <w:rFonts w:ascii="Arial" w:hAnsi="Arial" w:cs="Arial"/>
          <w:b/>
          <w:color w:val="000000" w:themeColor="text1"/>
        </w:rPr>
        <w:t>Table-</w:t>
      </w:r>
      <w:r w:rsidR="00686BDD">
        <w:rPr>
          <w:rFonts w:ascii="Arial" w:hAnsi="Arial" w:cs="Arial"/>
          <w:b/>
          <w:color w:val="000000" w:themeColor="text1"/>
        </w:rPr>
        <w:t>4</w:t>
      </w:r>
      <w:r w:rsidRPr="00BE1BAE">
        <w:rPr>
          <w:rFonts w:ascii="Arial" w:hAnsi="Arial" w:cs="Arial"/>
          <w:b/>
          <w:color w:val="000000" w:themeColor="text1"/>
        </w:rPr>
        <w:t>: Estimation of components of variance and genetic parameters.</w:t>
      </w:r>
    </w:p>
    <w:tbl>
      <w:tblPr>
        <w:tblStyle w:val="TableGrid"/>
        <w:tblW w:w="9285" w:type="dxa"/>
        <w:tblLook w:val="04A0" w:firstRow="1" w:lastRow="0" w:firstColumn="1" w:lastColumn="0" w:noHBand="0" w:noVBand="1"/>
      </w:tblPr>
      <w:tblGrid>
        <w:gridCol w:w="2312"/>
        <w:gridCol w:w="1051"/>
        <w:gridCol w:w="828"/>
        <w:gridCol w:w="1068"/>
        <w:gridCol w:w="793"/>
        <w:gridCol w:w="811"/>
        <w:gridCol w:w="950"/>
        <w:gridCol w:w="793"/>
        <w:gridCol w:w="793"/>
      </w:tblGrid>
      <w:tr w:rsidR="00E171EB" w:rsidRPr="00BE1BAE" w14:paraId="31CC12BE" w14:textId="77777777" w:rsidTr="002D1307">
        <w:trPr>
          <w:trHeight w:val="386"/>
        </w:trPr>
        <w:tc>
          <w:tcPr>
            <w:tcW w:w="2312" w:type="dxa"/>
            <w:shd w:val="clear" w:color="auto" w:fill="D5DCE4" w:themeFill="text2" w:themeFillTint="33"/>
            <w:noWrap/>
            <w:hideMark/>
          </w:tcPr>
          <w:p w14:paraId="34235EBB"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 xml:space="preserve">Observations </w:t>
            </w:r>
          </w:p>
        </w:tc>
        <w:tc>
          <w:tcPr>
            <w:tcW w:w="923" w:type="dxa"/>
            <w:shd w:val="clear" w:color="auto" w:fill="D0CECE" w:themeFill="background2" w:themeFillShade="E6"/>
            <w:noWrap/>
            <w:hideMark/>
          </w:tcPr>
          <w:p w14:paraId="4BF5F118"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Vg</w:t>
            </w:r>
          </w:p>
        </w:tc>
        <w:tc>
          <w:tcPr>
            <w:tcW w:w="842" w:type="dxa"/>
            <w:shd w:val="clear" w:color="auto" w:fill="D5DCE4" w:themeFill="text2" w:themeFillTint="33"/>
          </w:tcPr>
          <w:p w14:paraId="352EF24C"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Ve</w:t>
            </w:r>
          </w:p>
        </w:tc>
        <w:tc>
          <w:tcPr>
            <w:tcW w:w="1068" w:type="dxa"/>
            <w:shd w:val="clear" w:color="auto" w:fill="D9E2F3" w:themeFill="accent1" w:themeFillTint="33"/>
            <w:noWrap/>
            <w:hideMark/>
          </w:tcPr>
          <w:p w14:paraId="65121983"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proofErr w:type="spellStart"/>
            <w:r w:rsidRPr="00BE1BAE">
              <w:rPr>
                <w:rFonts w:ascii="Arial" w:eastAsia="Times New Roman" w:hAnsi="Arial" w:cs="Arial"/>
                <w:b/>
                <w:bCs/>
                <w:color w:val="000000" w:themeColor="text1"/>
                <w:kern w:val="0"/>
                <w:sz w:val="20"/>
                <w:szCs w:val="20"/>
                <w:lang w:val="en-GB" w:eastAsia="en-GB"/>
                <w14:ligatures w14:val="none"/>
              </w:rPr>
              <w:t>Vp</w:t>
            </w:r>
            <w:proofErr w:type="spellEnd"/>
          </w:p>
        </w:tc>
        <w:tc>
          <w:tcPr>
            <w:tcW w:w="793" w:type="dxa"/>
            <w:shd w:val="clear" w:color="auto" w:fill="FBE4D5" w:themeFill="accent2" w:themeFillTint="33"/>
            <w:noWrap/>
            <w:hideMark/>
          </w:tcPr>
          <w:p w14:paraId="02699082"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GCV</w:t>
            </w:r>
          </w:p>
          <w:p w14:paraId="26D97D81"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w:t>
            </w:r>
          </w:p>
        </w:tc>
        <w:tc>
          <w:tcPr>
            <w:tcW w:w="811" w:type="dxa"/>
            <w:shd w:val="clear" w:color="auto" w:fill="EDEDED" w:themeFill="accent3" w:themeFillTint="33"/>
            <w:noWrap/>
            <w:hideMark/>
          </w:tcPr>
          <w:p w14:paraId="00B09323"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PCV</w:t>
            </w:r>
          </w:p>
          <w:p w14:paraId="110964F5"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w:t>
            </w:r>
          </w:p>
        </w:tc>
        <w:tc>
          <w:tcPr>
            <w:tcW w:w="950" w:type="dxa"/>
            <w:shd w:val="clear" w:color="auto" w:fill="FFF2CC" w:themeFill="accent4" w:themeFillTint="33"/>
            <w:noWrap/>
            <w:hideMark/>
          </w:tcPr>
          <w:p w14:paraId="3072CA2C"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HERTI</w:t>
            </w:r>
          </w:p>
          <w:p w14:paraId="3EC2BDAF"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w:t>
            </w:r>
          </w:p>
        </w:tc>
        <w:tc>
          <w:tcPr>
            <w:tcW w:w="793" w:type="dxa"/>
            <w:shd w:val="clear" w:color="auto" w:fill="DEEAF6" w:themeFill="accent5" w:themeFillTint="33"/>
            <w:noWrap/>
            <w:hideMark/>
          </w:tcPr>
          <w:p w14:paraId="4FF3AD8A"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GA</w:t>
            </w:r>
          </w:p>
        </w:tc>
        <w:tc>
          <w:tcPr>
            <w:tcW w:w="793" w:type="dxa"/>
            <w:shd w:val="clear" w:color="auto" w:fill="E2EFD9" w:themeFill="accent6" w:themeFillTint="33"/>
            <w:noWrap/>
            <w:hideMark/>
          </w:tcPr>
          <w:p w14:paraId="525569E3"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GA AS %</w:t>
            </w:r>
          </w:p>
        </w:tc>
      </w:tr>
      <w:tr w:rsidR="00E171EB" w:rsidRPr="00BE1BAE" w14:paraId="7F2ABBC1" w14:textId="77777777" w:rsidTr="002D1307">
        <w:trPr>
          <w:trHeight w:val="386"/>
        </w:trPr>
        <w:tc>
          <w:tcPr>
            <w:tcW w:w="2312" w:type="dxa"/>
            <w:shd w:val="clear" w:color="auto" w:fill="D9E2F3" w:themeFill="accent1" w:themeFillTint="33"/>
            <w:noWrap/>
            <w:hideMark/>
          </w:tcPr>
          <w:p w14:paraId="7CF7BE5D"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Plant Height (cm) 30 DAS</w:t>
            </w:r>
          </w:p>
        </w:tc>
        <w:tc>
          <w:tcPr>
            <w:tcW w:w="923" w:type="dxa"/>
            <w:shd w:val="clear" w:color="auto" w:fill="D0CECE" w:themeFill="background2" w:themeFillShade="E6"/>
            <w:noWrap/>
            <w:hideMark/>
          </w:tcPr>
          <w:p w14:paraId="474EF09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4.18</w:t>
            </w:r>
          </w:p>
        </w:tc>
        <w:tc>
          <w:tcPr>
            <w:tcW w:w="842" w:type="dxa"/>
            <w:shd w:val="clear" w:color="auto" w:fill="D5DCE4" w:themeFill="text2" w:themeFillTint="33"/>
          </w:tcPr>
          <w:p w14:paraId="3A70C5F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5.585</w:t>
            </w:r>
          </w:p>
        </w:tc>
        <w:tc>
          <w:tcPr>
            <w:tcW w:w="1068" w:type="dxa"/>
            <w:shd w:val="clear" w:color="auto" w:fill="D9E2F3" w:themeFill="accent1" w:themeFillTint="33"/>
            <w:noWrap/>
            <w:hideMark/>
          </w:tcPr>
          <w:p w14:paraId="1367914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9.77</w:t>
            </w:r>
          </w:p>
        </w:tc>
        <w:tc>
          <w:tcPr>
            <w:tcW w:w="793" w:type="dxa"/>
            <w:shd w:val="clear" w:color="auto" w:fill="FBE4D5" w:themeFill="accent2" w:themeFillTint="33"/>
            <w:noWrap/>
            <w:hideMark/>
          </w:tcPr>
          <w:p w14:paraId="073C8CD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11.66</w:t>
            </w:r>
          </w:p>
        </w:tc>
        <w:tc>
          <w:tcPr>
            <w:tcW w:w="811" w:type="dxa"/>
            <w:shd w:val="clear" w:color="auto" w:fill="EDEDED" w:themeFill="accent3" w:themeFillTint="33"/>
            <w:noWrap/>
            <w:hideMark/>
          </w:tcPr>
          <w:p w14:paraId="38F3AAE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17.82</w:t>
            </w:r>
          </w:p>
        </w:tc>
        <w:tc>
          <w:tcPr>
            <w:tcW w:w="950" w:type="dxa"/>
            <w:shd w:val="clear" w:color="auto" w:fill="FFF2CC" w:themeFill="accent4" w:themeFillTint="33"/>
            <w:noWrap/>
            <w:hideMark/>
          </w:tcPr>
          <w:p w14:paraId="76EF825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42.82</w:t>
            </w:r>
          </w:p>
        </w:tc>
        <w:tc>
          <w:tcPr>
            <w:tcW w:w="793" w:type="dxa"/>
            <w:shd w:val="clear" w:color="auto" w:fill="DEEAF6" w:themeFill="accent5" w:themeFillTint="33"/>
            <w:noWrap/>
            <w:hideMark/>
          </w:tcPr>
          <w:p w14:paraId="5D67D5B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2.76</w:t>
            </w:r>
          </w:p>
        </w:tc>
        <w:tc>
          <w:tcPr>
            <w:tcW w:w="793" w:type="dxa"/>
            <w:shd w:val="clear" w:color="auto" w:fill="E2EFD9" w:themeFill="accent6" w:themeFillTint="33"/>
            <w:noWrap/>
            <w:hideMark/>
          </w:tcPr>
          <w:p w14:paraId="737F8BF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15.72</w:t>
            </w:r>
          </w:p>
        </w:tc>
      </w:tr>
      <w:tr w:rsidR="00E171EB" w:rsidRPr="00BE1BAE" w14:paraId="3157EB41" w14:textId="77777777" w:rsidTr="002D1307">
        <w:trPr>
          <w:trHeight w:val="386"/>
        </w:trPr>
        <w:tc>
          <w:tcPr>
            <w:tcW w:w="2312" w:type="dxa"/>
            <w:shd w:val="clear" w:color="auto" w:fill="D9E2F3" w:themeFill="accent1" w:themeFillTint="33"/>
            <w:noWrap/>
            <w:hideMark/>
          </w:tcPr>
          <w:p w14:paraId="2571E0B6"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Plant height (cm) 60 DAS</w:t>
            </w:r>
          </w:p>
        </w:tc>
        <w:tc>
          <w:tcPr>
            <w:tcW w:w="923" w:type="dxa"/>
            <w:shd w:val="clear" w:color="auto" w:fill="D0CECE" w:themeFill="background2" w:themeFillShade="E6"/>
            <w:noWrap/>
            <w:hideMark/>
          </w:tcPr>
          <w:p w14:paraId="1CC67AD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4.01</w:t>
            </w:r>
          </w:p>
        </w:tc>
        <w:tc>
          <w:tcPr>
            <w:tcW w:w="842" w:type="dxa"/>
            <w:shd w:val="clear" w:color="auto" w:fill="D5DCE4" w:themeFill="text2" w:themeFillTint="33"/>
          </w:tcPr>
          <w:p w14:paraId="0564347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1.472</w:t>
            </w:r>
          </w:p>
        </w:tc>
        <w:tc>
          <w:tcPr>
            <w:tcW w:w="1068" w:type="dxa"/>
            <w:shd w:val="clear" w:color="auto" w:fill="D9E2F3" w:themeFill="accent1" w:themeFillTint="33"/>
            <w:noWrap/>
            <w:hideMark/>
          </w:tcPr>
          <w:p w14:paraId="703DC4A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5.48</w:t>
            </w:r>
          </w:p>
        </w:tc>
        <w:tc>
          <w:tcPr>
            <w:tcW w:w="793" w:type="dxa"/>
            <w:shd w:val="clear" w:color="auto" w:fill="FBE4D5" w:themeFill="accent2" w:themeFillTint="33"/>
            <w:noWrap/>
            <w:hideMark/>
          </w:tcPr>
          <w:p w14:paraId="0CAED59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5.00</w:t>
            </w:r>
          </w:p>
        </w:tc>
        <w:tc>
          <w:tcPr>
            <w:tcW w:w="811" w:type="dxa"/>
            <w:shd w:val="clear" w:color="auto" w:fill="EDEDED" w:themeFill="accent3" w:themeFillTint="33"/>
            <w:noWrap/>
            <w:hideMark/>
          </w:tcPr>
          <w:p w14:paraId="2A4523A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5.85</w:t>
            </w:r>
          </w:p>
        </w:tc>
        <w:tc>
          <w:tcPr>
            <w:tcW w:w="950" w:type="dxa"/>
            <w:shd w:val="clear" w:color="auto" w:fill="FFF2CC" w:themeFill="accent4" w:themeFillTint="33"/>
            <w:noWrap/>
            <w:hideMark/>
          </w:tcPr>
          <w:p w14:paraId="3974912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73.16</w:t>
            </w:r>
          </w:p>
        </w:tc>
        <w:tc>
          <w:tcPr>
            <w:tcW w:w="793" w:type="dxa"/>
            <w:shd w:val="clear" w:color="auto" w:fill="DEEAF6" w:themeFill="accent5" w:themeFillTint="33"/>
            <w:noWrap/>
            <w:hideMark/>
          </w:tcPr>
          <w:p w14:paraId="47F28CA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3.53</w:t>
            </w:r>
          </w:p>
        </w:tc>
        <w:tc>
          <w:tcPr>
            <w:tcW w:w="793" w:type="dxa"/>
            <w:shd w:val="clear" w:color="auto" w:fill="E2EFD9" w:themeFill="accent6" w:themeFillTint="33"/>
            <w:noWrap/>
            <w:hideMark/>
          </w:tcPr>
          <w:p w14:paraId="3F0B58B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8.81</w:t>
            </w:r>
          </w:p>
        </w:tc>
      </w:tr>
      <w:tr w:rsidR="00E171EB" w:rsidRPr="00BE1BAE" w14:paraId="733222A4" w14:textId="77777777" w:rsidTr="002D1307">
        <w:trPr>
          <w:trHeight w:val="386"/>
        </w:trPr>
        <w:tc>
          <w:tcPr>
            <w:tcW w:w="2312" w:type="dxa"/>
            <w:shd w:val="clear" w:color="auto" w:fill="D9E2F3" w:themeFill="accent1" w:themeFillTint="33"/>
            <w:noWrap/>
            <w:hideMark/>
          </w:tcPr>
          <w:p w14:paraId="14E8F6FB"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Plant height (cm) 90 DAS</w:t>
            </w:r>
          </w:p>
        </w:tc>
        <w:tc>
          <w:tcPr>
            <w:tcW w:w="923" w:type="dxa"/>
            <w:shd w:val="clear" w:color="auto" w:fill="D0CECE" w:themeFill="background2" w:themeFillShade="E6"/>
            <w:noWrap/>
            <w:hideMark/>
          </w:tcPr>
          <w:p w14:paraId="4857B0E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26.02</w:t>
            </w:r>
          </w:p>
        </w:tc>
        <w:tc>
          <w:tcPr>
            <w:tcW w:w="842" w:type="dxa"/>
            <w:shd w:val="clear" w:color="auto" w:fill="D5DCE4" w:themeFill="text2" w:themeFillTint="33"/>
          </w:tcPr>
          <w:p w14:paraId="672A972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1.189</w:t>
            </w:r>
          </w:p>
        </w:tc>
        <w:tc>
          <w:tcPr>
            <w:tcW w:w="1068" w:type="dxa"/>
            <w:shd w:val="clear" w:color="auto" w:fill="D9E2F3" w:themeFill="accent1" w:themeFillTint="33"/>
            <w:noWrap/>
            <w:hideMark/>
          </w:tcPr>
          <w:p w14:paraId="67F6DD4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27.21</w:t>
            </w:r>
          </w:p>
        </w:tc>
        <w:tc>
          <w:tcPr>
            <w:tcW w:w="793" w:type="dxa"/>
            <w:shd w:val="clear" w:color="auto" w:fill="FBE4D5" w:themeFill="accent2" w:themeFillTint="33"/>
            <w:noWrap/>
            <w:hideMark/>
          </w:tcPr>
          <w:p w14:paraId="049412F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8.63</w:t>
            </w:r>
          </w:p>
        </w:tc>
        <w:tc>
          <w:tcPr>
            <w:tcW w:w="811" w:type="dxa"/>
            <w:shd w:val="clear" w:color="auto" w:fill="EDEDED" w:themeFill="accent3" w:themeFillTint="33"/>
            <w:noWrap/>
            <w:hideMark/>
          </w:tcPr>
          <w:p w14:paraId="3FA922B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8.83</w:t>
            </w:r>
          </w:p>
        </w:tc>
        <w:tc>
          <w:tcPr>
            <w:tcW w:w="950" w:type="dxa"/>
            <w:shd w:val="clear" w:color="auto" w:fill="FFF2CC" w:themeFill="accent4" w:themeFillTint="33"/>
            <w:noWrap/>
            <w:hideMark/>
          </w:tcPr>
          <w:p w14:paraId="56A69AA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95.63</w:t>
            </w:r>
          </w:p>
        </w:tc>
        <w:tc>
          <w:tcPr>
            <w:tcW w:w="793" w:type="dxa"/>
            <w:shd w:val="clear" w:color="auto" w:fill="DEEAF6" w:themeFill="accent5" w:themeFillTint="33"/>
            <w:noWrap/>
            <w:hideMark/>
          </w:tcPr>
          <w:p w14:paraId="5087EB6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10.28</w:t>
            </w:r>
          </w:p>
        </w:tc>
        <w:tc>
          <w:tcPr>
            <w:tcW w:w="793" w:type="dxa"/>
            <w:shd w:val="clear" w:color="auto" w:fill="E2EFD9" w:themeFill="accent6" w:themeFillTint="33"/>
            <w:noWrap/>
            <w:hideMark/>
          </w:tcPr>
          <w:p w14:paraId="095DEBF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17.39</w:t>
            </w:r>
          </w:p>
        </w:tc>
      </w:tr>
      <w:tr w:rsidR="00E171EB" w:rsidRPr="00BE1BAE" w14:paraId="25066C99" w14:textId="77777777" w:rsidTr="002D1307">
        <w:trPr>
          <w:trHeight w:val="386"/>
        </w:trPr>
        <w:tc>
          <w:tcPr>
            <w:tcW w:w="2312" w:type="dxa"/>
            <w:shd w:val="clear" w:color="auto" w:fill="D9E2F3" w:themeFill="accent1" w:themeFillTint="33"/>
            <w:noWrap/>
            <w:hideMark/>
          </w:tcPr>
          <w:p w14:paraId="6567EB75"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 xml:space="preserve">Plant height day after maturity </w:t>
            </w:r>
          </w:p>
        </w:tc>
        <w:tc>
          <w:tcPr>
            <w:tcW w:w="923" w:type="dxa"/>
            <w:shd w:val="clear" w:color="auto" w:fill="D0CECE" w:themeFill="background2" w:themeFillShade="E6"/>
            <w:noWrap/>
            <w:hideMark/>
          </w:tcPr>
          <w:p w14:paraId="5EC0C75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24.71</w:t>
            </w:r>
          </w:p>
        </w:tc>
        <w:tc>
          <w:tcPr>
            <w:tcW w:w="842" w:type="dxa"/>
            <w:shd w:val="clear" w:color="auto" w:fill="D5DCE4" w:themeFill="text2" w:themeFillTint="33"/>
          </w:tcPr>
          <w:p w14:paraId="24AC144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1.304</w:t>
            </w:r>
          </w:p>
        </w:tc>
        <w:tc>
          <w:tcPr>
            <w:tcW w:w="1068" w:type="dxa"/>
            <w:shd w:val="clear" w:color="auto" w:fill="D9E2F3" w:themeFill="accent1" w:themeFillTint="33"/>
            <w:noWrap/>
            <w:hideMark/>
          </w:tcPr>
          <w:p w14:paraId="78936A3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26.01</w:t>
            </w:r>
          </w:p>
        </w:tc>
        <w:tc>
          <w:tcPr>
            <w:tcW w:w="793" w:type="dxa"/>
            <w:shd w:val="clear" w:color="auto" w:fill="FBE4D5" w:themeFill="accent2" w:themeFillTint="33"/>
            <w:noWrap/>
            <w:hideMark/>
          </w:tcPr>
          <w:p w14:paraId="4A5ED28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7.81</w:t>
            </w:r>
          </w:p>
        </w:tc>
        <w:tc>
          <w:tcPr>
            <w:tcW w:w="811" w:type="dxa"/>
            <w:shd w:val="clear" w:color="auto" w:fill="EDEDED" w:themeFill="accent3" w:themeFillTint="33"/>
            <w:noWrap/>
            <w:hideMark/>
          </w:tcPr>
          <w:p w14:paraId="32BFDD1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8.01</w:t>
            </w:r>
          </w:p>
        </w:tc>
        <w:tc>
          <w:tcPr>
            <w:tcW w:w="950" w:type="dxa"/>
            <w:shd w:val="clear" w:color="auto" w:fill="FFF2CC" w:themeFill="accent4" w:themeFillTint="33"/>
            <w:noWrap/>
            <w:hideMark/>
          </w:tcPr>
          <w:p w14:paraId="05907BF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94.99</w:t>
            </w:r>
          </w:p>
        </w:tc>
        <w:tc>
          <w:tcPr>
            <w:tcW w:w="793" w:type="dxa"/>
            <w:shd w:val="clear" w:color="auto" w:fill="DEEAF6" w:themeFill="accent5" w:themeFillTint="33"/>
            <w:noWrap/>
            <w:hideMark/>
          </w:tcPr>
          <w:p w14:paraId="12F1763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9.98</w:t>
            </w:r>
          </w:p>
        </w:tc>
        <w:tc>
          <w:tcPr>
            <w:tcW w:w="793" w:type="dxa"/>
            <w:shd w:val="clear" w:color="auto" w:fill="E2EFD9" w:themeFill="accent6" w:themeFillTint="33"/>
            <w:noWrap/>
            <w:hideMark/>
          </w:tcPr>
          <w:p w14:paraId="54503B7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15.68</w:t>
            </w:r>
          </w:p>
        </w:tc>
      </w:tr>
      <w:tr w:rsidR="00E171EB" w:rsidRPr="00BE1BAE" w14:paraId="3EE4E142" w14:textId="77777777" w:rsidTr="002D1307">
        <w:trPr>
          <w:trHeight w:val="386"/>
        </w:trPr>
        <w:tc>
          <w:tcPr>
            <w:tcW w:w="2312" w:type="dxa"/>
            <w:shd w:val="clear" w:color="auto" w:fill="D9E2F3" w:themeFill="accent1" w:themeFillTint="33"/>
            <w:noWrap/>
            <w:hideMark/>
          </w:tcPr>
          <w:p w14:paraId="0280E2AE"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 xml:space="preserve">Days after 50% flowering stage </w:t>
            </w:r>
          </w:p>
        </w:tc>
        <w:tc>
          <w:tcPr>
            <w:tcW w:w="923" w:type="dxa"/>
            <w:shd w:val="clear" w:color="auto" w:fill="D0CECE" w:themeFill="background2" w:themeFillShade="E6"/>
            <w:noWrap/>
            <w:hideMark/>
          </w:tcPr>
          <w:p w14:paraId="2584F06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3.80</w:t>
            </w:r>
          </w:p>
        </w:tc>
        <w:tc>
          <w:tcPr>
            <w:tcW w:w="842" w:type="dxa"/>
            <w:shd w:val="clear" w:color="auto" w:fill="D5DCE4" w:themeFill="text2" w:themeFillTint="33"/>
          </w:tcPr>
          <w:p w14:paraId="7808367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1.028</w:t>
            </w:r>
          </w:p>
        </w:tc>
        <w:tc>
          <w:tcPr>
            <w:tcW w:w="1068" w:type="dxa"/>
            <w:shd w:val="clear" w:color="auto" w:fill="D9E2F3" w:themeFill="accent1" w:themeFillTint="33"/>
            <w:noWrap/>
            <w:hideMark/>
          </w:tcPr>
          <w:p w14:paraId="6E1DDB1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4.82</w:t>
            </w:r>
          </w:p>
        </w:tc>
        <w:tc>
          <w:tcPr>
            <w:tcW w:w="793" w:type="dxa"/>
            <w:shd w:val="clear" w:color="auto" w:fill="FBE4D5" w:themeFill="accent2" w:themeFillTint="33"/>
            <w:noWrap/>
            <w:hideMark/>
          </w:tcPr>
          <w:p w14:paraId="0A6B621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2.88</w:t>
            </w:r>
          </w:p>
        </w:tc>
        <w:tc>
          <w:tcPr>
            <w:tcW w:w="811" w:type="dxa"/>
            <w:shd w:val="clear" w:color="auto" w:fill="EDEDED" w:themeFill="accent3" w:themeFillTint="33"/>
            <w:noWrap/>
            <w:hideMark/>
          </w:tcPr>
          <w:p w14:paraId="549DF62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3.25</w:t>
            </w:r>
          </w:p>
        </w:tc>
        <w:tc>
          <w:tcPr>
            <w:tcW w:w="950" w:type="dxa"/>
            <w:shd w:val="clear" w:color="auto" w:fill="FFF2CC" w:themeFill="accent4" w:themeFillTint="33"/>
            <w:noWrap/>
            <w:hideMark/>
          </w:tcPr>
          <w:p w14:paraId="4AF7FC3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78.69</w:t>
            </w:r>
          </w:p>
        </w:tc>
        <w:tc>
          <w:tcPr>
            <w:tcW w:w="793" w:type="dxa"/>
            <w:shd w:val="clear" w:color="auto" w:fill="DEEAF6" w:themeFill="accent5" w:themeFillTint="33"/>
            <w:noWrap/>
            <w:hideMark/>
          </w:tcPr>
          <w:p w14:paraId="2692EA7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3.56</w:t>
            </w:r>
          </w:p>
        </w:tc>
        <w:tc>
          <w:tcPr>
            <w:tcW w:w="793" w:type="dxa"/>
            <w:shd w:val="clear" w:color="auto" w:fill="E2EFD9" w:themeFill="accent6" w:themeFillTint="33"/>
            <w:noWrap/>
            <w:hideMark/>
          </w:tcPr>
          <w:p w14:paraId="6D3900E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5.27</w:t>
            </w:r>
          </w:p>
        </w:tc>
      </w:tr>
      <w:tr w:rsidR="00E171EB" w:rsidRPr="00BE1BAE" w14:paraId="37D93C7D" w14:textId="77777777" w:rsidTr="002D1307">
        <w:trPr>
          <w:trHeight w:val="386"/>
        </w:trPr>
        <w:tc>
          <w:tcPr>
            <w:tcW w:w="2312" w:type="dxa"/>
            <w:shd w:val="clear" w:color="auto" w:fill="D9E2F3" w:themeFill="accent1" w:themeFillTint="33"/>
            <w:noWrap/>
            <w:hideMark/>
          </w:tcPr>
          <w:p w14:paraId="6DA26921"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No. of branches plant</w:t>
            </w:r>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w:t>
            </w:r>
          </w:p>
        </w:tc>
        <w:tc>
          <w:tcPr>
            <w:tcW w:w="923" w:type="dxa"/>
            <w:shd w:val="clear" w:color="auto" w:fill="D0CECE" w:themeFill="background2" w:themeFillShade="E6"/>
            <w:noWrap/>
            <w:hideMark/>
          </w:tcPr>
          <w:p w14:paraId="0AA8141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842" w:type="dxa"/>
            <w:shd w:val="clear" w:color="auto" w:fill="D5DCE4" w:themeFill="text2" w:themeFillTint="33"/>
          </w:tcPr>
          <w:p w14:paraId="6D18A9E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0.071</w:t>
            </w:r>
          </w:p>
        </w:tc>
        <w:tc>
          <w:tcPr>
            <w:tcW w:w="1068" w:type="dxa"/>
            <w:shd w:val="clear" w:color="auto" w:fill="D9E2F3" w:themeFill="accent1" w:themeFillTint="33"/>
            <w:noWrap/>
            <w:hideMark/>
          </w:tcPr>
          <w:p w14:paraId="663BB99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0.43</w:t>
            </w:r>
          </w:p>
        </w:tc>
        <w:tc>
          <w:tcPr>
            <w:tcW w:w="793" w:type="dxa"/>
            <w:shd w:val="clear" w:color="auto" w:fill="FBE4D5" w:themeFill="accent2" w:themeFillTint="33"/>
            <w:noWrap/>
            <w:hideMark/>
          </w:tcPr>
          <w:p w14:paraId="1C4AF32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9.68</w:t>
            </w:r>
          </w:p>
        </w:tc>
        <w:tc>
          <w:tcPr>
            <w:tcW w:w="811" w:type="dxa"/>
            <w:shd w:val="clear" w:color="auto" w:fill="EDEDED" w:themeFill="accent3" w:themeFillTint="33"/>
            <w:noWrap/>
            <w:hideMark/>
          </w:tcPr>
          <w:p w14:paraId="025FD6B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10.60</w:t>
            </w:r>
          </w:p>
        </w:tc>
        <w:tc>
          <w:tcPr>
            <w:tcW w:w="950" w:type="dxa"/>
            <w:shd w:val="clear" w:color="auto" w:fill="FFF2CC" w:themeFill="accent4" w:themeFillTint="33"/>
            <w:noWrap/>
            <w:hideMark/>
          </w:tcPr>
          <w:p w14:paraId="31BD34B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83.44</w:t>
            </w:r>
          </w:p>
        </w:tc>
        <w:tc>
          <w:tcPr>
            <w:tcW w:w="793" w:type="dxa"/>
            <w:shd w:val="clear" w:color="auto" w:fill="DEEAF6" w:themeFill="accent5" w:themeFillTint="33"/>
            <w:noWrap/>
            <w:hideMark/>
          </w:tcPr>
          <w:p w14:paraId="429C7BE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1.13</w:t>
            </w:r>
          </w:p>
        </w:tc>
        <w:tc>
          <w:tcPr>
            <w:tcW w:w="793" w:type="dxa"/>
            <w:shd w:val="clear" w:color="auto" w:fill="E2EFD9" w:themeFill="accent6" w:themeFillTint="33"/>
            <w:noWrap/>
            <w:hideMark/>
          </w:tcPr>
          <w:p w14:paraId="084AC7A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18.22</w:t>
            </w:r>
          </w:p>
        </w:tc>
      </w:tr>
      <w:tr w:rsidR="00E171EB" w:rsidRPr="00BE1BAE" w14:paraId="25C74F83" w14:textId="77777777" w:rsidTr="002D1307">
        <w:trPr>
          <w:trHeight w:val="452"/>
        </w:trPr>
        <w:tc>
          <w:tcPr>
            <w:tcW w:w="2312" w:type="dxa"/>
            <w:shd w:val="clear" w:color="auto" w:fill="D9E2F3" w:themeFill="accent1" w:themeFillTint="33"/>
            <w:noWrap/>
            <w:hideMark/>
          </w:tcPr>
          <w:p w14:paraId="23F24873"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No. of capsule plant</w:t>
            </w:r>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w:t>
            </w:r>
          </w:p>
        </w:tc>
        <w:tc>
          <w:tcPr>
            <w:tcW w:w="923" w:type="dxa"/>
            <w:shd w:val="clear" w:color="auto" w:fill="D0CECE" w:themeFill="background2" w:themeFillShade="E6"/>
            <w:noWrap/>
            <w:hideMark/>
          </w:tcPr>
          <w:p w14:paraId="20D230B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164.34</w:t>
            </w:r>
          </w:p>
        </w:tc>
        <w:tc>
          <w:tcPr>
            <w:tcW w:w="842" w:type="dxa"/>
            <w:shd w:val="clear" w:color="auto" w:fill="D5DCE4" w:themeFill="text2" w:themeFillTint="33"/>
          </w:tcPr>
          <w:p w14:paraId="3AA43E5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0.022</w:t>
            </w:r>
          </w:p>
        </w:tc>
        <w:tc>
          <w:tcPr>
            <w:tcW w:w="1068" w:type="dxa"/>
            <w:shd w:val="clear" w:color="auto" w:fill="D9E2F3" w:themeFill="accent1" w:themeFillTint="33"/>
            <w:noWrap/>
            <w:hideMark/>
          </w:tcPr>
          <w:p w14:paraId="49F76EB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176.66</w:t>
            </w:r>
          </w:p>
        </w:tc>
        <w:tc>
          <w:tcPr>
            <w:tcW w:w="793" w:type="dxa"/>
            <w:shd w:val="clear" w:color="auto" w:fill="FBE4D5" w:themeFill="accent2" w:themeFillTint="33"/>
            <w:noWrap/>
            <w:hideMark/>
          </w:tcPr>
          <w:p w14:paraId="345FFCD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19.29</w:t>
            </w:r>
          </w:p>
        </w:tc>
        <w:tc>
          <w:tcPr>
            <w:tcW w:w="811" w:type="dxa"/>
            <w:shd w:val="clear" w:color="auto" w:fill="EDEDED" w:themeFill="accent3" w:themeFillTint="33"/>
            <w:noWrap/>
            <w:hideMark/>
          </w:tcPr>
          <w:p w14:paraId="61727B3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20.00</w:t>
            </w:r>
          </w:p>
        </w:tc>
        <w:tc>
          <w:tcPr>
            <w:tcW w:w="950" w:type="dxa"/>
            <w:shd w:val="clear" w:color="auto" w:fill="FFF2CC" w:themeFill="accent4" w:themeFillTint="33"/>
            <w:noWrap/>
            <w:hideMark/>
          </w:tcPr>
          <w:p w14:paraId="7FEE145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93.03</w:t>
            </w:r>
          </w:p>
        </w:tc>
        <w:tc>
          <w:tcPr>
            <w:tcW w:w="793" w:type="dxa"/>
            <w:shd w:val="clear" w:color="auto" w:fill="DEEAF6" w:themeFill="accent5" w:themeFillTint="33"/>
            <w:noWrap/>
            <w:hideMark/>
          </w:tcPr>
          <w:p w14:paraId="6B90521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25.47</w:t>
            </w:r>
          </w:p>
        </w:tc>
        <w:tc>
          <w:tcPr>
            <w:tcW w:w="793" w:type="dxa"/>
            <w:shd w:val="clear" w:color="auto" w:fill="E2EFD9" w:themeFill="accent6" w:themeFillTint="33"/>
            <w:noWrap/>
            <w:hideMark/>
          </w:tcPr>
          <w:p w14:paraId="1AAACEA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38.33</w:t>
            </w:r>
          </w:p>
        </w:tc>
      </w:tr>
      <w:tr w:rsidR="00E171EB" w:rsidRPr="00BE1BAE" w14:paraId="51B2567B" w14:textId="77777777" w:rsidTr="002D1307">
        <w:trPr>
          <w:trHeight w:val="386"/>
        </w:trPr>
        <w:tc>
          <w:tcPr>
            <w:tcW w:w="2312" w:type="dxa"/>
            <w:shd w:val="clear" w:color="auto" w:fill="D9E2F3" w:themeFill="accent1" w:themeFillTint="33"/>
            <w:noWrap/>
            <w:hideMark/>
          </w:tcPr>
          <w:p w14:paraId="6A4222D0"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Seed yield plant</w:t>
            </w:r>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w:t>
            </w:r>
          </w:p>
        </w:tc>
        <w:tc>
          <w:tcPr>
            <w:tcW w:w="923" w:type="dxa"/>
            <w:shd w:val="clear" w:color="auto" w:fill="D0CECE" w:themeFill="background2" w:themeFillShade="E6"/>
            <w:noWrap/>
            <w:hideMark/>
          </w:tcPr>
          <w:p w14:paraId="063E77A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0.55</w:t>
            </w:r>
          </w:p>
        </w:tc>
        <w:tc>
          <w:tcPr>
            <w:tcW w:w="842" w:type="dxa"/>
            <w:shd w:val="clear" w:color="auto" w:fill="D5DCE4" w:themeFill="text2" w:themeFillTint="33"/>
          </w:tcPr>
          <w:p w14:paraId="25821A3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12.319</w:t>
            </w:r>
          </w:p>
        </w:tc>
        <w:tc>
          <w:tcPr>
            <w:tcW w:w="1068" w:type="dxa"/>
            <w:shd w:val="clear" w:color="auto" w:fill="D9E2F3" w:themeFill="accent1" w:themeFillTint="33"/>
            <w:noWrap/>
            <w:hideMark/>
          </w:tcPr>
          <w:p w14:paraId="0B33845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0.57</w:t>
            </w:r>
          </w:p>
        </w:tc>
        <w:tc>
          <w:tcPr>
            <w:tcW w:w="793" w:type="dxa"/>
            <w:shd w:val="clear" w:color="auto" w:fill="FBE4D5" w:themeFill="accent2" w:themeFillTint="33"/>
            <w:noWrap/>
            <w:hideMark/>
          </w:tcPr>
          <w:p w14:paraId="5268124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13.52</w:t>
            </w:r>
          </w:p>
        </w:tc>
        <w:tc>
          <w:tcPr>
            <w:tcW w:w="811" w:type="dxa"/>
            <w:shd w:val="clear" w:color="auto" w:fill="EDEDED" w:themeFill="accent3" w:themeFillTint="33"/>
            <w:noWrap/>
            <w:hideMark/>
          </w:tcPr>
          <w:p w14:paraId="7D93365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13.80</w:t>
            </w:r>
          </w:p>
        </w:tc>
        <w:tc>
          <w:tcPr>
            <w:tcW w:w="950" w:type="dxa"/>
            <w:shd w:val="clear" w:color="auto" w:fill="FFF2CC" w:themeFill="accent4" w:themeFillTint="33"/>
            <w:noWrap/>
            <w:hideMark/>
          </w:tcPr>
          <w:p w14:paraId="1398990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95.97</w:t>
            </w:r>
          </w:p>
        </w:tc>
        <w:tc>
          <w:tcPr>
            <w:tcW w:w="793" w:type="dxa"/>
            <w:shd w:val="clear" w:color="auto" w:fill="DEEAF6" w:themeFill="accent5" w:themeFillTint="33"/>
            <w:noWrap/>
            <w:hideMark/>
          </w:tcPr>
          <w:p w14:paraId="60343B7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1.50</w:t>
            </w:r>
          </w:p>
        </w:tc>
        <w:tc>
          <w:tcPr>
            <w:tcW w:w="793" w:type="dxa"/>
            <w:shd w:val="clear" w:color="auto" w:fill="E2EFD9" w:themeFill="accent6" w:themeFillTint="33"/>
            <w:noWrap/>
            <w:hideMark/>
          </w:tcPr>
          <w:p w14:paraId="4EDB64A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27.29</w:t>
            </w:r>
          </w:p>
        </w:tc>
      </w:tr>
      <w:tr w:rsidR="00E171EB" w:rsidRPr="00BE1BAE" w14:paraId="4894BFED" w14:textId="77777777" w:rsidTr="002D1307">
        <w:trPr>
          <w:trHeight w:val="386"/>
        </w:trPr>
        <w:tc>
          <w:tcPr>
            <w:tcW w:w="2312" w:type="dxa"/>
            <w:shd w:val="clear" w:color="auto" w:fill="D9E2F3" w:themeFill="accent1" w:themeFillTint="33"/>
            <w:noWrap/>
            <w:hideMark/>
          </w:tcPr>
          <w:p w14:paraId="41AC7C68"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1000 seed weight (g)</w:t>
            </w:r>
          </w:p>
        </w:tc>
        <w:tc>
          <w:tcPr>
            <w:tcW w:w="923" w:type="dxa"/>
            <w:shd w:val="clear" w:color="auto" w:fill="D0CECE" w:themeFill="background2" w:themeFillShade="E6"/>
            <w:noWrap/>
            <w:hideMark/>
          </w:tcPr>
          <w:p w14:paraId="112D85D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0.14</w:t>
            </w:r>
          </w:p>
        </w:tc>
        <w:tc>
          <w:tcPr>
            <w:tcW w:w="842" w:type="dxa"/>
            <w:shd w:val="clear" w:color="auto" w:fill="D5DCE4" w:themeFill="text2" w:themeFillTint="33"/>
          </w:tcPr>
          <w:p w14:paraId="1A7342D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0.055</w:t>
            </w:r>
          </w:p>
        </w:tc>
        <w:tc>
          <w:tcPr>
            <w:tcW w:w="1068" w:type="dxa"/>
            <w:shd w:val="clear" w:color="auto" w:fill="D9E2F3" w:themeFill="accent1" w:themeFillTint="33"/>
            <w:noWrap/>
            <w:hideMark/>
          </w:tcPr>
          <w:p w14:paraId="52D840D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0.17</w:t>
            </w:r>
          </w:p>
        </w:tc>
        <w:tc>
          <w:tcPr>
            <w:tcW w:w="793" w:type="dxa"/>
            <w:shd w:val="clear" w:color="auto" w:fill="FBE4D5" w:themeFill="accent2" w:themeFillTint="33"/>
            <w:noWrap/>
            <w:hideMark/>
          </w:tcPr>
          <w:p w14:paraId="4D3C794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5.82</w:t>
            </w:r>
          </w:p>
        </w:tc>
        <w:tc>
          <w:tcPr>
            <w:tcW w:w="811" w:type="dxa"/>
            <w:shd w:val="clear" w:color="auto" w:fill="EDEDED" w:themeFill="accent3" w:themeFillTint="33"/>
            <w:noWrap/>
            <w:hideMark/>
          </w:tcPr>
          <w:p w14:paraId="24059EB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6.35</w:t>
            </w:r>
          </w:p>
        </w:tc>
        <w:tc>
          <w:tcPr>
            <w:tcW w:w="950" w:type="dxa"/>
            <w:shd w:val="clear" w:color="auto" w:fill="FFF2CC" w:themeFill="accent4" w:themeFillTint="33"/>
            <w:noWrap/>
            <w:hideMark/>
          </w:tcPr>
          <w:p w14:paraId="06A5B67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83.94</w:t>
            </w:r>
          </w:p>
        </w:tc>
        <w:tc>
          <w:tcPr>
            <w:tcW w:w="793" w:type="dxa"/>
            <w:shd w:val="clear" w:color="auto" w:fill="DEEAF6" w:themeFill="accent5" w:themeFillTint="33"/>
            <w:noWrap/>
            <w:hideMark/>
          </w:tcPr>
          <w:p w14:paraId="1E565FC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0.70</w:t>
            </w:r>
          </w:p>
        </w:tc>
        <w:tc>
          <w:tcPr>
            <w:tcW w:w="793" w:type="dxa"/>
            <w:shd w:val="clear" w:color="auto" w:fill="E2EFD9" w:themeFill="accent6" w:themeFillTint="33"/>
            <w:noWrap/>
            <w:hideMark/>
          </w:tcPr>
          <w:p w14:paraId="72A53FF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10.98</w:t>
            </w:r>
          </w:p>
        </w:tc>
      </w:tr>
      <w:tr w:rsidR="00E171EB" w:rsidRPr="00BE1BAE" w14:paraId="6CC6220F" w14:textId="77777777" w:rsidTr="002D1307">
        <w:trPr>
          <w:trHeight w:val="386"/>
        </w:trPr>
        <w:tc>
          <w:tcPr>
            <w:tcW w:w="2312" w:type="dxa"/>
            <w:shd w:val="clear" w:color="auto" w:fill="D9E2F3" w:themeFill="accent1" w:themeFillTint="33"/>
            <w:noWrap/>
            <w:hideMark/>
          </w:tcPr>
          <w:p w14:paraId="0D93BA0C"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lastRenderedPageBreak/>
              <w:t>Biological yield plant</w:t>
            </w:r>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(g)</w:t>
            </w:r>
          </w:p>
        </w:tc>
        <w:tc>
          <w:tcPr>
            <w:tcW w:w="923" w:type="dxa"/>
            <w:shd w:val="clear" w:color="auto" w:fill="D0CECE" w:themeFill="background2" w:themeFillShade="E6"/>
            <w:noWrap/>
            <w:hideMark/>
          </w:tcPr>
          <w:p w14:paraId="775514C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7.89</w:t>
            </w:r>
          </w:p>
        </w:tc>
        <w:tc>
          <w:tcPr>
            <w:tcW w:w="842" w:type="dxa"/>
            <w:shd w:val="clear" w:color="auto" w:fill="D5DCE4" w:themeFill="text2" w:themeFillTint="33"/>
          </w:tcPr>
          <w:p w14:paraId="160A2B6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0.036</w:t>
            </w:r>
          </w:p>
        </w:tc>
        <w:tc>
          <w:tcPr>
            <w:tcW w:w="1068" w:type="dxa"/>
            <w:shd w:val="clear" w:color="auto" w:fill="D9E2F3" w:themeFill="accent1" w:themeFillTint="33"/>
            <w:noWrap/>
            <w:hideMark/>
          </w:tcPr>
          <w:p w14:paraId="1F2EADB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7.98</w:t>
            </w:r>
          </w:p>
        </w:tc>
        <w:tc>
          <w:tcPr>
            <w:tcW w:w="793" w:type="dxa"/>
            <w:shd w:val="clear" w:color="auto" w:fill="FBE4D5" w:themeFill="accent2" w:themeFillTint="33"/>
            <w:noWrap/>
            <w:hideMark/>
          </w:tcPr>
          <w:p w14:paraId="5CCADC8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13.55</w:t>
            </w:r>
          </w:p>
        </w:tc>
        <w:tc>
          <w:tcPr>
            <w:tcW w:w="811" w:type="dxa"/>
            <w:shd w:val="clear" w:color="auto" w:fill="EDEDED" w:themeFill="accent3" w:themeFillTint="33"/>
            <w:noWrap/>
            <w:hideMark/>
          </w:tcPr>
          <w:p w14:paraId="6D7C31B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13.63</w:t>
            </w:r>
          </w:p>
        </w:tc>
        <w:tc>
          <w:tcPr>
            <w:tcW w:w="950" w:type="dxa"/>
            <w:shd w:val="clear" w:color="auto" w:fill="FFF2CC" w:themeFill="accent4" w:themeFillTint="33"/>
            <w:noWrap/>
            <w:hideMark/>
          </w:tcPr>
          <w:p w14:paraId="508B21A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98.88</w:t>
            </w:r>
          </w:p>
        </w:tc>
        <w:tc>
          <w:tcPr>
            <w:tcW w:w="793" w:type="dxa"/>
            <w:shd w:val="clear" w:color="auto" w:fill="DEEAF6" w:themeFill="accent5" w:themeFillTint="33"/>
            <w:noWrap/>
            <w:hideMark/>
          </w:tcPr>
          <w:p w14:paraId="0497C3B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5.75</w:t>
            </w:r>
          </w:p>
        </w:tc>
        <w:tc>
          <w:tcPr>
            <w:tcW w:w="793" w:type="dxa"/>
            <w:shd w:val="clear" w:color="auto" w:fill="E2EFD9" w:themeFill="accent6" w:themeFillTint="33"/>
            <w:noWrap/>
            <w:hideMark/>
          </w:tcPr>
          <w:p w14:paraId="4D3B089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27.76</w:t>
            </w:r>
          </w:p>
        </w:tc>
      </w:tr>
      <w:tr w:rsidR="00E171EB" w:rsidRPr="00BE1BAE" w14:paraId="443DB588" w14:textId="77777777" w:rsidTr="002D1307">
        <w:trPr>
          <w:trHeight w:val="386"/>
        </w:trPr>
        <w:tc>
          <w:tcPr>
            <w:tcW w:w="2312" w:type="dxa"/>
            <w:shd w:val="clear" w:color="auto" w:fill="D9E2F3" w:themeFill="accent1" w:themeFillTint="33"/>
            <w:noWrap/>
            <w:hideMark/>
          </w:tcPr>
          <w:p w14:paraId="08158E0B"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Harvest index (%)</w:t>
            </w:r>
          </w:p>
        </w:tc>
        <w:tc>
          <w:tcPr>
            <w:tcW w:w="923" w:type="dxa"/>
            <w:shd w:val="clear" w:color="auto" w:fill="D0CECE" w:themeFill="background2" w:themeFillShade="E6"/>
            <w:noWrap/>
            <w:hideMark/>
          </w:tcPr>
          <w:p w14:paraId="3DF6E16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842" w:type="dxa"/>
            <w:shd w:val="clear" w:color="auto" w:fill="D5DCE4" w:themeFill="text2" w:themeFillTint="33"/>
          </w:tcPr>
          <w:p w14:paraId="43315EF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0.090</w:t>
            </w:r>
          </w:p>
        </w:tc>
        <w:tc>
          <w:tcPr>
            <w:tcW w:w="1068" w:type="dxa"/>
            <w:shd w:val="clear" w:color="auto" w:fill="D9E2F3" w:themeFill="accent1" w:themeFillTint="33"/>
            <w:noWrap/>
            <w:hideMark/>
          </w:tcPr>
          <w:p w14:paraId="5814246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0.55</w:t>
            </w:r>
          </w:p>
        </w:tc>
        <w:tc>
          <w:tcPr>
            <w:tcW w:w="793" w:type="dxa"/>
            <w:shd w:val="clear" w:color="auto" w:fill="FBE4D5" w:themeFill="accent2" w:themeFillTint="33"/>
            <w:noWrap/>
            <w:hideMark/>
          </w:tcPr>
          <w:p w14:paraId="17C68AD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2.26</w:t>
            </w:r>
          </w:p>
        </w:tc>
        <w:tc>
          <w:tcPr>
            <w:tcW w:w="811" w:type="dxa"/>
            <w:shd w:val="clear" w:color="auto" w:fill="EDEDED" w:themeFill="accent3" w:themeFillTint="33"/>
            <w:noWrap/>
            <w:hideMark/>
          </w:tcPr>
          <w:p w14:paraId="36C9561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2.80</w:t>
            </w:r>
          </w:p>
        </w:tc>
        <w:tc>
          <w:tcPr>
            <w:tcW w:w="950" w:type="dxa"/>
            <w:shd w:val="clear" w:color="auto" w:fill="FFF2CC" w:themeFill="accent4" w:themeFillTint="33"/>
            <w:noWrap/>
            <w:hideMark/>
          </w:tcPr>
          <w:p w14:paraId="64F9619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65.40</w:t>
            </w:r>
          </w:p>
        </w:tc>
        <w:tc>
          <w:tcPr>
            <w:tcW w:w="793" w:type="dxa"/>
            <w:shd w:val="clear" w:color="auto" w:fill="DEEAF6" w:themeFill="accent5" w:themeFillTint="33"/>
            <w:noWrap/>
            <w:hideMark/>
          </w:tcPr>
          <w:p w14:paraId="4E229E0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1.00</w:t>
            </w:r>
          </w:p>
        </w:tc>
        <w:tc>
          <w:tcPr>
            <w:tcW w:w="793" w:type="dxa"/>
            <w:shd w:val="clear" w:color="auto" w:fill="E2EFD9" w:themeFill="accent6" w:themeFillTint="33"/>
            <w:noWrap/>
            <w:hideMark/>
          </w:tcPr>
          <w:p w14:paraId="21152BC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3.77</w:t>
            </w:r>
          </w:p>
        </w:tc>
      </w:tr>
      <w:tr w:rsidR="00E171EB" w:rsidRPr="00BE1BAE" w14:paraId="631A16A7" w14:textId="77777777" w:rsidTr="002D1307">
        <w:trPr>
          <w:trHeight w:val="386"/>
        </w:trPr>
        <w:tc>
          <w:tcPr>
            <w:tcW w:w="2312" w:type="dxa"/>
            <w:shd w:val="clear" w:color="auto" w:fill="D9E2F3" w:themeFill="accent1" w:themeFillTint="33"/>
            <w:noWrap/>
            <w:hideMark/>
          </w:tcPr>
          <w:p w14:paraId="0E69F162"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No of seed capsule</w:t>
            </w:r>
            <w:r w:rsidRPr="00BE1BAE">
              <w:rPr>
                <w:rFonts w:ascii="Arial" w:hAnsi="Arial" w:cs="Arial"/>
                <w:sz w:val="20"/>
                <w:szCs w:val="20"/>
                <w:vertAlign w:val="superscript"/>
                <w:lang w:val="en-US"/>
              </w:rPr>
              <w:t>-1</w:t>
            </w:r>
          </w:p>
        </w:tc>
        <w:tc>
          <w:tcPr>
            <w:tcW w:w="923" w:type="dxa"/>
            <w:shd w:val="clear" w:color="auto" w:fill="D0CECE" w:themeFill="background2" w:themeFillShade="E6"/>
            <w:noWrap/>
            <w:hideMark/>
          </w:tcPr>
          <w:p w14:paraId="115E015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0.34</w:t>
            </w:r>
          </w:p>
        </w:tc>
        <w:tc>
          <w:tcPr>
            <w:tcW w:w="842" w:type="dxa"/>
            <w:shd w:val="clear" w:color="auto" w:fill="D5DCE4" w:themeFill="text2" w:themeFillTint="33"/>
          </w:tcPr>
          <w:p w14:paraId="5E65233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1.517</w:t>
            </w:r>
          </w:p>
        </w:tc>
        <w:tc>
          <w:tcPr>
            <w:tcW w:w="1068" w:type="dxa"/>
            <w:shd w:val="clear" w:color="auto" w:fill="D9E2F3" w:themeFill="accent1" w:themeFillTint="33"/>
            <w:noWrap/>
            <w:hideMark/>
          </w:tcPr>
          <w:p w14:paraId="6903F36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793" w:type="dxa"/>
            <w:shd w:val="clear" w:color="auto" w:fill="FBE4D5" w:themeFill="accent2" w:themeFillTint="33"/>
            <w:noWrap/>
            <w:hideMark/>
          </w:tcPr>
          <w:p w14:paraId="579E9AA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6.66</w:t>
            </w:r>
          </w:p>
        </w:tc>
        <w:tc>
          <w:tcPr>
            <w:tcW w:w="811" w:type="dxa"/>
            <w:shd w:val="clear" w:color="auto" w:fill="EDEDED" w:themeFill="accent3" w:themeFillTint="33"/>
            <w:noWrap/>
            <w:hideMark/>
          </w:tcPr>
          <w:p w14:paraId="7A9ED9E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6.88</w:t>
            </w:r>
          </w:p>
        </w:tc>
        <w:tc>
          <w:tcPr>
            <w:tcW w:w="950" w:type="dxa"/>
            <w:shd w:val="clear" w:color="auto" w:fill="FFF2CC" w:themeFill="accent4" w:themeFillTint="33"/>
            <w:noWrap/>
            <w:hideMark/>
          </w:tcPr>
          <w:p w14:paraId="3B1A040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93.86</w:t>
            </w:r>
          </w:p>
        </w:tc>
        <w:tc>
          <w:tcPr>
            <w:tcW w:w="793" w:type="dxa"/>
            <w:shd w:val="clear" w:color="auto" w:fill="DEEAF6" w:themeFill="accent5" w:themeFillTint="33"/>
            <w:noWrap/>
            <w:hideMark/>
          </w:tcPr>
          <w:p w14:paraId="70185DB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1.17</w:t>
            </w:r>
          </w:p>
        </w:tc>
        <w:tc>
          <w:tcPr>
            <w:tcW w:w="793" w:type="dxa"/>
            <w:shd w:val="clear" w:color="auto" w:fill="E2EFD9" w:themeFill="accent6" w:themeFillTint="33"/>
            <w:noWrap/>
            <w:hideMark/>
          </w:tcPr>
          <w:p w14:paraId="71D0675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13.30</w:t>
            </w:r>
          </w:p>
        </w:tc>
      </w:tr>
      <w:tr w:rsidR="00E171EB" w:rsidRPr="00BE1BAE" w14:paraId="695D3E37" w14:textId="77777777" w:rsidTr="002D1307">
        <w:trPr>
          <w:trHeight w:val="386"/>
        </w:trPr>
        <w:tc>
          <w:tcPr>
            <w:tcW w:w="2312" w:type="dxa"/>
            <w:shd w:val="clear" w:color="auto" w:fill="D9E2F3" w:themeFill="accent1" w:themeFillTint="33"/>
            <w:noWrap/>
            <w:hideMark/>
          </w:tcPr>
          <w:p w14:paraId="7AE3E399"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Seed yield plot</w:t>
            </w:r>
            <w:r w:rsidRPr="00BE1BAE">
              <w:rPr>
                <w:rFonts w:ascii="Arial" w:hAnsi="Arial" w:cs="Arial"/>
                <w:b/>
                <w:bCs/>
                <w:color w:val="000000" w:themeColor="text1"/>
                <w:sz w:val="20"/>
                <w:szCs w:val="20"/>
                <w:vertAlign w:val="superscript"/>
              </w:rPr>
              <w:t>-1</w:t>
            </w:r>
            <w:r w:rsidRPr="00BE1BAE">
              <w:rPr>
                <w:rFonts w:ascii="Arial" w:hAnsi="Arial" w:cs="Arial"/>
                <w:b/>
                <w:bCs/>
                <w:color w:val="000000" w:themeColor="text1"/>
                <w:sz w:val="20"/>
                <w:szCs w:val="20"/>
              </w:rPr>
              <w:t xml:space="preserve"> (kg ha</w:t>
            </w:r>
            <w:r w:rsidRPr="00BE1BAE">
              <w:rPr>
                <w:rFonts w:ascii="Arial" w:hAnsi="Arial" w:cs="Arial"/>
                <w:b/>
                <w:bCs/>
                <w:color w:val="000000" w:themeColor="text1"/>
                <w:sz w:val="20"/>
                <w:szCs w:val="20"/>
                <w:vertAlign w:val="superscript"/>
              </w:rPr>
              <w:t>-1</w:t>
            </w:r>
            <w:r w:rsidRPr="00BE1BAE">
              <w:rPr>
                <w:rFonts w:ascii="Arial" w:hAnsi="Arial" w:cs="Arial"/>
                <w:b/>
                <w:bCs/>
                <w:color w:val="000000" w:themeColor="text1"/>
                <w:sz w:val="20"/>
                <w:szCs w:val="20"/>
              </w:rPr>
              <w:t>)</w:t>
            </w:r>
          </w:p>
        </w:tc>
        <w:tc>
          <w:tcPr>
            <w:tcW w:w="923" w:type="dxa"/>
            <w:shd w:val="clear" w:color="auto" w:fill="D0CECE" w:themeFill="background2" w:themeFillShade="E6"/>
            <w:noWrap/>
            <w:hideMark/>
          </w:tcPr>
          <w:p w14:paraId="139F6A1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612.84</w:t>
            </w:r>
          </w:p>
        </w:tc>
        <w:tc>
          <w:tcPr>
            <w:tcW w:w="842" w:type="dxa"/>
            <w:shd w:val="clear" w:color="auto" w:fill="D5DCE4" w:themeFill="text2" w:themeFillTint="33"/>
          </w:tcPr>
          <w:p w14:paraId="65B65BA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35.601</w:t>
            </w:r>
          </w:p>
        </w:tc>
        <w:tc>
          <w:tcPr>
            <w:tcW w:w="1068" w:type="dxa"/>
            <w:shd w:val="clear" w:color="auto" w:fill="D9E2F3" w:themeFill="accent1" w:themeFillTint="33"/>
            <w:noWrap/>
            <w:hideMark/>
          </w:tcPr>
          <w:p w14:paraId="1FE731A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638.56</w:t>
            </w:r>
          </w:p>
        </w:tc>
        <w:tc>
          <w:tcPr>
            <w:tcW w:w="793" w:type="dxa"/>
            <w:shd w:val="clear" w:color="auto" w:fill="FBE4D5" w:themeFill="accent2" w:themeFillTint="33"/>
            <w:noWrap/>
            <w:hideMark/>
          </w:tcPr>
          <w:p w14:paraId="03694DB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13.52</w:t>
            </w:r>
          </w:p>
        </w:tc>
        <w:tc>
          <w:tcPr>
            <w:tcW w:w="811" w:type="dxa"/>
            <w:shd w:val="clear" w:color="auto" w:fill="EDEDED" w:themeFill="accent3" w:themeFillTint="33"/>
            <w:noWrap/>
            <w:hideMark/>
          </w:tcPr>
          <w:p w14:paraId="79D6D16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13.80</w:t>
            </w:r>
          </w:p>
        </w:tc>
        <w:tc>
          <w:tcPr>
            <w:tcW w:w="950" w:type="dxa"/>
            <w:shd w:val="clear" w:color="auto" w:fill="FFF2CC" w:themeFill="accent4" w:themeFillTint="33"/>
            <w:noWrap/>
            <w:hideMark/>
          </w:tcPr>
          <w:p w14:paraId="412C1C2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95.97</w:t>
            </w:r>
          </w:p>
        </w:tc>
        <w:tc>
          <w:tcPr>
            <w:tcW w:w="793" w:type="dxa"/>
            <w:shd w:val="clear" w:color="auto" w:fill="DEEAF6" w:themeFill="accent5" w:themeFillTint="33"/>
            <w:noWrap/>
            <w:hideMark/>
          </w:tcPr>
          <w:p w14:paraId="544200B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49.96</w:t>
            </w:r>
          </w:p>
        </w:tc>
        <w:tc>
          <w:tcPr>
            <w:tcW w:w="793" w:type="dxa"/>
            <w:shd w:val="clear" w:color="auto" w:fill="E2EFD9" w:themeFill="accent6" w:themeFillTint="33"/>
            <w:noWrap/>
            <w:hideMark/>
          </w:tcPr>
          <w:p w14:paraId="0322CE9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27.29</w:t>
            </w:r>
          </w:p>
        </w:tc>
      </w:tr>
      <w:tr w:rsidR="00E171EB" w:rsidRPr="00BE1BAE" w14:paraId="7D051351" w14:textId="77777777" w:rsidTr="002D1307">
        <w:trPr>
          <w:trHeight w:val="386"/>
        </w:trPr>
        <w:tc>
          <w:tcPr>
            <w:tcW w:w="2312" w:type="dxa"/>
            <w:shd w:val="clear" w:color="auto" w:fill="D9E2F3" w:themeFill="accent1" w:themeFillTint="33"/>
            <w:noWrap/>
            <w:hideMark/>
          </w:tcPr>
          <w:p w14:paraId="3928B460"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Protein Content (g/100g)</w:t>
            </w:r>
          </w:p>
        </w:tc>
        <w:tc>
          <w:tcPr>
            <w:tcW w:w="923" w:type="dxa"/>
            <w:shd w:val="clear" w:color="auto" w:fill="D0CECE" w:themeFill="background2" w:themeFillShade="E6"/>
            <w:noWrap/>
            <w:hideMark/>
          </w:tcPr>
          <w:p w14:paraId="699CA30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6.67</w:t>
            </w:r>
          </w:p>
        </w:tc>
        <w:tc>
          <w:tcPr>
            <w:tcW w:w="842" w:type="dxa"/>
            <w:shd w:val="clear" w:color="auto" w:fill="D5DCE4" w:themeFill="text2" w:themeFillTint="33"/>
          </w:tcPr>
          <w:p w14:paraId="39277A2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0.19</w:t>
            </w:r>
          </w:p>
        </w:tc>
        <w:tc>
          <w:tcPr>
            <w:tcW w:w="1068" w:type="dxa"/>
            <w:shd w:val="clear" w:color="auto" w:fill="D9E2F3" w:themeFill="accent1" w:themeFillTint="33"/>
            <w:noWrap/>
            <w:hideMark/>
          </w:tcPr>
          <w:p w14:paraId="3A85AA2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6.86</w:t>
            </w:r>
          </w:p>
        </w:tc>
        <w:tc>
          <w:tcPr>
            <w:tcW w:w="793" w:type="dxa"/>
            <w:shd w:val="clear" w:color="auto" w:fill="FBE4D5" w:themeFill="accent2" w:themeFillTint="33"/>
            <w:noWrap/>
            <w:hideMark/>
          </w:tcPr>
          <w:p w14:paraId="34DE0D7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16.21</w:t>
            </w:r>
          </w:p>
        </w:tc>
        <w:tc>
          <w:tcPr>
            <w:tcW w:w="811" w:type="dxa"/>
            <w:shd w:val="clear" w:color="auto" w:fill="EDEDED" w:themeFill="accent3" w:themeFillTint="33"/>
            <w:noWrap/>
            <w:hideMark/>
          </w:tcPr>
          <w:p w14:paraId="45B7398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16.44</w:t>
            </w:r>
          </w:p>
        </w:tc>
        <w:tc>
          <w:tcPr>
            <w:tcW w:w="950" w:type="dxa"/>
            <w:shd w:val="clear" w:color="auto" w:fill="FFF2CC" w:themeFill="accent4" w:themeFillTint="33"/>
            <w:noWrap/>
            <w:hideMark/>
          </w:tcPr>
          <w:p w14:paraId="21273C8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97.17</w:t>
            </w:r>
          </w:p>
        </w:tc>
        <w:tc>
          <w:tcPr>
            <w:tcW w:w="793" w:type="dxa"/>
            <w:shd w:val="clear" w:color="auto" w:fill="DEEAF6" w:themeFill="accent5" w:themeFillTint="33"/>
            <w:noWrap/>
            <w:hideMark/>
          </w:tcPr>
          <w:p w14:paraId="7949AEE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5.24</w:t>
            </w:r>
          </w:p>
        </w:tc>
        <w:tc>
          <w:tcPr>
            <w:tcW w:w="793" w:type="dxa"/>
            <w:shd w:val="clear" w:color="auto" w:fill="E2EFD9" w:themeFill="accent6" w:themeFillTint="33"/>
            <w:noWrap/>
            <w:hideMark/>
          </w:tcPr>
          <w:p w14:paraId="1AC7C60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32.91</w:t>
            </w:r>
          </w:p>
        </w:tc>
      </w:tr>
      <w:tr w:rsidR="00E171EB" w:rsidRPr="00BE1BAE" w14:paraId="35E995FD" w14:textId="77777777" w:rsidTr="002D1307">
        <w:trPr>
          <w:trHeight w:val="386"/>
        </w:trPr>
        <w:tc>
          <w:tcPr>
            <w:tcW w:w="2312" w:type="dxa"/>
            <w:shd w:val="clear" w:color="auto" w:fill="D9E2F3" w:themeFill="accent1" w:themeFillTint="33"/>
            <w:noWrap/>
            <w:hideMark/>
          </w:tcPr>
          <w:p w14:paraId="46C318A4"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Carbohydrate Content (g/100g)</w:t>
            </w:r>
          </w:p>
        </w:tc>
        <w:tc>
          <w:tcPr>
            <w:tcW w:w="923" w:type="dxa"/>
            <w:shd w:val="clear" w:color="auto" w:fill="D0CECE" w:themeFill="background2" w:themeFillShade="E6"/>
            <w:noWrap/>
            <w:hideMark/>
          </w:tcPr>
          <w:p w14:paraId="45951C2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10.9076</w:t>
            </w:r>
          </w:p>
        </w:tc>
        <w:tc>
          <w:tcPr>
            <w:tcW w:w="842" w:type="dxa"/>
            <w:shd w:val="clear" w:color="auto" w:fill="D5DCE4" w:themeFill="text2" w:themeFillTint="33"/>
          </w:tcPr>
          <w:p w14:paraId="0464DB9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1.277</w:t>
            </w:r>
          </w:p>
        </w:tc>
        <w:tc>
          <w:tcPr>
            <w:tcW w:w="1068" w:type="dxa"/>
            <w:shd w:val="clear" w:color="auto" w:fill="D9E2F3" w:themeFill="accent1" w:themeFillTint="33"/>
            <w:noWrap/>
            <w:hideMark/>
          </w:tcPr>
          <w:p w14:paraId="2C48A27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12.1853</w:t>
            </w:r>
          </w:p>
        </w:tc>
        <w:tc>
          <w:tcPr>
            <w:tcW w:w="793" w:type="dxa"/>
            <w:shd w:val="clear" w:color="auto" w:fill="FBE4D5" w:themeFill="accent2" w:themeFillTint="33"/>
            <w:noWrap/>
            <w:hideMark/>
          </w:tcPr>
          <w:p w14:paraId="798CB58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13.52</w:t>
            </w:r>
          </w:p>
        </w:tc>
        <w:tc>
          <w:tcPr>
            <w:tcW w:w="811" w:type="dxa"/>
            <w:shd w:val="clear" w:color="auto" w:fill="EDEDED" w:themeFill="accent3" w:themeFillTint="33"/>
            <w:noWrap/>
            <w:hideMark/>
          </w:tcPr>
          <w:p w14:paraId="261D964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14.29</w:t>
            </w:r>
          </w:p>
        </w:tc>
        <w:tc>
          <w:tcPr>
            <w:tcW w:w="950" w:type="dxa"/>
            <w:shd w:val="clear" w:color="auto" w:fill="FFF2CC" w:themeFill="accent4" w:themeFillTint="33"/>
            <w:noWrap/>
            <w:hideMark/>
          </w:tcPr>
          <w:p w14:paraId="581BC4B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89.51</w:t>
            </w:r>
          </w:p>
        </w:tc>
        <w:tc>
          <w:tcPr>
            <w:tcW w:w="793" w:type="dxa"/>
            <w:shd w:val="clear" w:color="auto" w:fill="DEEAF6" w:themeFill="accent5" w:themeFillTint="33"/>
            <w:noWrap/>
            <w:hideMark/>
          </w:tcPr>
          <w:p w14:paraId="3C576C6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6.44</w:t>
            </w:r>
          </w:p>
        </w:tc>
        <w:tc>
          <w:tcPr>
            <w:tcW w:w="793" w:type="dxa"/>
            <w:shd w:val="clear" w:color="auto" w:fill="E2EFD9" w:themeFill="accent6" w:themeFillTint="33"/>
            <w:noWrap/>
            <w:hideMark/>
          </w:tcPr>
          <w:p w14:paraId="00E6EB9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26.36</w:t>
            </w:r>
          </w:p>
        </w:tc>
      </w:tr>
      <w:tr w:rsidR="00E171EB" w:rsidRPr="00BE1BAE" w14:paraId="1C9A5D90" w14:textId="77777777" w:rsidTr="002D1307">
        <w:trPr>
          <w:trHeight w:val="386"/>
        </w:trPr>
        <w:tc>
          <w:tcPr>
            <w:tcW w:w="2312" w:type="dxa"/>
            <w:shd w:val="clear" w:color="auto" w:fill="D9E2F3" w:themeFill="accent1" w:themeFillTint="33"/>
            <w:noWrap/>
            <w:hideMark/>
          </w:tcPr>
          <w:p w14:paraId="5D2BEE57"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Flavonoid Content (mg /100g)</w:t>
            </w:r>
          </w:p>
        </w:tc>
        <w:tc>
          <w:tcPr>
            <w:tcW w:w="923" w:type="dxa"/>
            <w:shd w:val="clear" w:color="auto" w:fill="D0CECE" w:themeFill="background2" w:themeFillShade="E6"/>
            <w:noWrap/>
            <w:hideMark/>
          </w:tcPr>
          <w:p w14:paraId="7963665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170.9600</w:t>
            </w:r>
          </w:p>
        </w:tc>
        <w:tc>
          <w:tcPr>
            <w:tcW w:w="842" w:type="dxa"/>
            <w:shd w:val="clear" w:color="auto" w:fill="D5DCE4" w:themeFill="text2" w:themeFillTint="33"/>
          </w:tcPr>
          <w:p w14:paraId="7559A5D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2.000</w:t>
            </w:r>
          </w:p>
        </w:tc>
        <w:tc>
          <w:tcPr>
            <w:tcW w:w="1068" w:type="dxa"/>
            <w:shd w:val="clear" w:color="auto" w:fill="D9E2F3" w:themeFill="accent1" w:themeFillTint="33"/>
            <w:noWrap/>
            <w:hideMark/>
          </w:tcPr>
          <w:p w14:paraId="0B3C16B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172.9600</w:t>
            </w:r>
          </w:p>
        </w:tc>
        <w:tc>
          <w:tcPr>
            <w:tcW w:w="793" w:type="dxa"/>
            <w:shd w:val="clear" w:color="auto" w:fill="FBE4D5" w:themeFill="accent2" w:themeFillTint="33"/>
            <w:noWrap/>
            <w:hideMark/>
          </w:tcPr>
          <w:p w14:paraId="1B40AD8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28.98</w:t>
            </w:r>
          </w:p>
        </w:tc>
        <w:tc>
          <w:tcPr>
            <w:tcW w:w="811" w:type="dxa"/>
            <w:shd w:val="clear" w:color="auto" w:fill="EDEDED" w:themeFill="accent3" w:themeFillTint="33"/>
            <w:noWrap/>
            <w:hideMark/>
          </w:tcPr>
          <w:p w14:paraId="1B4D99E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29.15</w:t>
            </w:r>
          </w:p>
        </w:tc>
        <w:tc>
          <w:tcPr>
            <w:tcW w:w="950" w:type="dxa"/>
            <w:shd w:val="clear" w:color="auto" w:fill="FFF2CC" w:themeFill="accent4" w:themeFillTint="33"/>
            <w:noWrap/>
            <w:hideMark/>
          </w:tcPr>
          <w:p w14:paraId="0B1579C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98.84</w:t>
            </w:r>
          </w:p>
        </w:tc>
        <w:tc>
          <w:tcPr>
            <w:tcW w:w="793" w:type="dxa"/>
            <w:shd w:val="clear" w:color="auto" w:fill="DEEAF6" w:themeFill="accent5" w:themeFillTint="33"/>
            <w:noWrap/>
            <w:hideMark/>
          </w:tcPr>
          <w:p w14:paraId="51EC7DE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26.78</w:t>
            </w:r>
          </w:p>
        </w:tc>
        <w:tc>
          <w:tcPr>
            <w:tcW w:w="793" w:type="dxa"/>
            <w:shd w:val="clear" w:color="auto" w:fill="E2EFD9" w:themeFill="accent6" w:themeFillTint="33"/>
            <w:noWrap/>
            <w:hideMark/>
          </w:tcPr>
          <w:p w14:paraId="78A63DB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59.35</w:t>
            </w:r>
          </w:p>
        </w:tc>
      </w:tr>
      <w:tr w:rsidR="00E171EB" w:rsidRPr="00BE1BAE" w14:paraId="6383FBF6" w14:textId="77777777" w:rsidTr="002D1307">
        <w:trPr>
          <w:trHeight w:val="386"/>
        </w:trPr>
        <w:tc>
          <w:tcPr>
            <w:tcW w:w="2312" w:type="dxa"/>
            <w:shd w:val="clear" w:color="auto" w:fill="D9E2F3" w:themeFill="accent1" w:themeFillTint="33"/>
            <w:noWrap/>
            <w:hideMark/>
          </w:tcPr>
          <w:p w14:paraId="69042D42"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Antioxidant Activity (%)</w:t>
            </w:r>
          </w:p>
        </w:tc>
        <w:tc>
          <w:tcPr>
            <w:tcW w:w="923" w:type="dxa"/>
            <w:shd w:val="clear" w:color="auto" w:fill="D0CECE" w:themeFill="background2" w:themeFillShade="E6"/>
            <w:noWrap/>
            <w:hideMark/>
          </w:tcPr>
          <w:p w14:paraId="604935E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857.574</w:t>
            </w:r>
          </w:p>
        </w:tc>
        <w:tc>
          <w:tcPr>
            <w:tcW w:w="842" w:type="dxa"/>
            <w:shd w:val="clear" w:color="auto" w:fill="D5DCE4" w:themeFill="text2" w:themeFillTint="33"/>
          </w:tcPr>
          <w:p w14:paraId="73A60BE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1.278</w:t>
            </w:r>
          </w:p>
        </w:tc>
        <w:tc>
          <w:tcPr>
            <w:tcW w:w="1068" w:type="dxa"/>
            <w:shd w:val="clear" w:color="auto" w:fill="D9E2F3" w:themeFill="accent1" w:themeFillTint="33"/>
            <w:noWrap/>
            <w:hideMark/>
          </w:tcPr>
          <w:p w14:paraId="44246C9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858.852</w:t>
            </w:r>
          </w:p>
        </w:tc>
        <w:tc>
          <w:tcPr>
            <w:tcW w:w="793" w:type="dxa"/>
            <w:shd w:val="clear" w:color="auto" w:fill="FBE4D5" w:themeFill="accent2" w:themeFillTint="33"/>
            <w:noWrap/>
            <w:hideMark/>
          </w:tcPr>
          <w:p w14:paraId="4466F9D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45.52</w:t>
            </w:r>
          </w:p>
        </w:tc>
        <w:tc>
          <w:tcPr>
            <w:tcW w:w="811" w:type="dxa"/>
            <w:shd w:val="clear" w:color="auto" w:fill="EDEDED" w:themeFill="accent3" w:themeFillTint="33"/>
            <w:noWrap/>
            <w:hideMark/>
          </w:tcPr>
          <w:p w14:paraId="3D8B287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45.55</w:t>
            </w:r>
          </w:p>
        </w:tc>
        <w:tc>
          <w:tcPr>
            <w:tcW w:w="950" w:type="dxa"/>
            <w:shd w:val="clear" w:color="auto" w:fill="FFF2CC" w:themeFill="accent4" w:themeFillTint="33"/>
            <w:noWrap/>
            <w:hideMark/>
          </w:tcPr>
          <w:p w14:paraId="1E9C06A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99.85</w:t>
            </w:r>
          </w:p>
        </w:tc>
        <w:tc>
          <w:tcPr>
            <w:tcW w:w="793" w:type="dxa"/>
            <w:shd w:val="clear" w:color="auto" w:fill="DEEAF6" w:themeFill="accent5" w:themeFillTint="33"/>
            <w:noWrap/>
            <w:hideMark/>
          </w:tcPr>
          <w:p w14:paraId="62B892C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60.28</w:t>
            </w:r>
          </w:p>
        </w:tc>
        <w:tc>
          <w:tcPr>
            <w:tcW w:w="793" w:type="dxa"/>
            <w:shd w:val="clear" w:color="auto" w:fill="E2EFD9" w:themeFill="accent6" w:themeFillTint="33"/>
            <w:noWrap/>
            <w:hideMark/>
          </w:tcPr>
          <w:p w14:paraId="5DE2DEA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93.70</w:t>
            </w:r>
          </w:p>
        </w:tc>
      </w:tr>
      <w:tr w:rsidR="00E171EB" w:rsidRPr="00BE1BAE" w14:paraId="33CA859D" w14:textId="77777777" w:rsidTr="002D1307">
        <w:trPr>
          <w:trHeight w:val="386"/>
        </w:trPr>
        <w:tc>
          <w:tcPr>
            <w:tcW w:w="2312" w:type="dxa"/>
            <w:shd w:val="clear" w:color="auto" w:fill="D9E2F3" w:themeFill="accent1" w:themeFillTint="33"/>
            <w:noWrap/>
            <w:hideMark/>
          </w:tcPr>
          <w:p w14:paraId="59660A05"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ALA / Omega-3 Content (% of total fatty acids)</w:t>
            </w:r>
          </w:p>
        </w:tc>
        <w:tc>
          <w:tcPr>
            <w:tcW w:w="923" w:type="dxa"/>
            <w:shd w:val="clear" w:color="auto" w:fill="D0CECE" w:themeFill="background2" w:themeFillShade="E6"/>
            <w:noWrap/>
            <w:hideMark/>
          </w:tcPr>
          <w:p w14:paraId="3A9B531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129.72</w:t>
            </w:r>
          </w:p>
        </w:tc>
        <w:tc>
          <w:tcPr>
            <w:tcW w:w="842" w:type="dxa"/>
            <w:shd w:val="clear" w:color="auto" w:fill="D5DCE4" w:themeFill="text2" w:themeFillTint="33"/>
          </w:tcPr>
          <w:p w14:paraId="73D0253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1.21</w:t>
            </w:r>
          </w:p>
        </w:tc>
        <w:tc>
          <w:tcPr>
            <w:tcW w:w="1068" w:type="dxa"/>
            <w:shd w:val="clear" w:color="auto" w:fill="D9E2F3" w:themeFill="accent1" w:themeFillTint="33"/>
            <w:noWrap/>
            <w:hideMark/>
          </w:tcPr>
          <w:p w14:paraId="1330E39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130.93</w:t>
            </w:r>
          </w:p>
        </w:tc>
        <w:tc>
          <w:tcPr>
            <w:tcW w:w="793" w:type="dxa"/>
            <w:shd w:val="clear" w:color="auto" w:fill="FBE4D5" w:themeFill="accent2" w:themeFillTint="33"/>
            <w:noWrap/>
            <w:hideMark/>
          </w:tcPr>
          <w:p w14:paraId="5596B57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23.14</w:t>
            </w:r>
          </w:p>
        </w:tc>
        <w:tc>
          <w:tcPr>
            <w:tcW w:w="811" w:type="dxa"/>
            <w:shd w:val="clear" w:color="auto" w:fill="EDEDED" w:themeFill="accent3" w:themeFillTint="33"/>
            <w:noWrap/>
            <w:hideMark/>
          </w:tcPr>
          <w:p w14:paraId="11BDAD1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23.24</w:t>
            </w:r>
          </w:p>
        </w:tc>
        <w:tc>
          <w:tcPr>
            <w:tcW w:w="950" w:type="dxa"/>
            <w:shd w:val="clear" w:color="auto" w:fill="FFF2CC" w:themeFill="accent4" w:themeFillTint="33"/>
            <w:noWrap/>
            <w:hideMark/>
          </w:tcPr>
          <w:p w14:paraId="34A6310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99.08</w:t>
            </w:r>
          </w:p>
        </w:tc>
        <w:tc>
          <w:tcPr>
            <w:tcW w:w="793" w:type="dxa"/>
            <w:shd w:val="clear" w:color="auto" w:fill="DEEAF6" w:themeFill="accent5" w:themeFillTint="33"/>
            <w:noWrap/>
            <w:hideMark/>
          </w:tcPr>
          <w:p w14:paraId="66B3EC6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23.35</w:t>
            </w:r>
          </w:p>
        </w:tc>
        <w:tc>
          <w:tcPr>
            <w:tcW w:w="793" w:type="dxa"/>
            <w:shd w:val="clear" w:color="auto" w:fill="E2EFD9" w:themeFill="accent6" w:themeFillTint="33"/>
            <w:noWrap/>
            <w:hideMark/>
          </w:tcPr>
          <w:p w14:paraId="1F8105D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47.44</w:t>
            </w:r>
          </w:p>
        </w:tc>
      </w:tr>
    </w:tbl>
    <w:p w14:paraId="502367C5" w14:textId="54988FB1" w:rsidR="004F49E8" w:rsidRPr="00BE1BAE" w:rsidRDefault="004F49E8" w:rsidP="00E171EB">
      <w:pPr>
        <w:spacing w:after="0" w:line="360" w:lineRule="auto"/>
        <w:jc w:val="both"/>
        <w:rPr>
          <w:rFonts w:ascii="Arial" w:hAnsi="Arial" w:cs="Arial"/>
          <w:sz w:val="20"/>
          <w:szCs w:val="20"/>
          <w:lang w:val="en-US"/>
        </w:rPr>
      </w:pPr>
    </w:p>
    <w:p w14:paraId="5923D4D6" w14:textId="0223831B" w:rsidR="00037155" w:rsidRPr="00BE1BAE" w:rsidRDefault="00C83B79" w:rsidP="004A73D2">
      <w:pPr>
        <w:tabs>
          <w:tab w:val="left" w:pos="2694"/>
        </w:tabs>
        <w:spacing w:after="0" w:line="360" w:lineRule="auto"/>
        <w:jc w:val="both"/>
        <w:rPr>
          <w:rFonts w:ascii="Arial" w:eastAsiaTheme="minorEastAsia" w:hAnsi="Arial" w:cs="Arial"/>
          <w:b/>
          <w:bCs/>
          <w:sz w:val="20"/>
          <w:szCs w:val="20"/>
        </w:rPr>
      </w:pPr>
      <w:r w:rsidRPr="00BE1BAE">
        <w:rPr>
          <w:rFonts w:ascii="Arial" w:eastAsiaTheme="minorEastAsia" w:hAnsi="Arial" w:cs="Arial"/>
          <w:b/>
          <w:bCs/>
          <w:noProof/>
          <w:sz w:val="20"/>
          <w:szCs w:val="20"/>
        </w:rPr>
        <w:drawing>
          <wp:inline distT="0" distB="0" distL="0" distR="0" wp14:anchorId="27694979" wp14:editId="3398ED53">
            <wp:extent cx="5486400" cy="3200400"/>
            <wp:effectExtent l="0" t="0" r="0" b="0"/>
            <wp:docPr id="15417486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5B723B" w14:textId="6F5790CC" w:rsidR="008E5F3E" w:rsidRPr="00BE1BAE" w:rsidRDefault="008E5F3E" w:rsidP="008E5F3E">
      <w:pPr>
        <w:spacing w:line="360" w:lineRule="auto"/>
        <w:jc w:val="center"/>
        <w:rPr>
          <w:rFonts w:ascii="Arial" w:hAnsi="Arial" w:cs="Arial"/>
          <w:b/>
          <w:bCs/>
          <w:color w:val="000000" w:themeColor="text1"/>
          <w:sz w:val="20"/>
          <w:szCs w:val="20"/>
          <w:lang w:val="en-US"/>
        </w:rPr>
      </w:pPr>
      <w:r w:rsidRPr="00BE1BAE">
        <w:rPr>
          <w:rFonts w:ascii="Arial" w:hAnsi="Arial" w:cs="Arial"/>
          <w:b/>
          <w:bCs/>
          <w:sz w:val="20"/>
          <w:szCs w:val="20"/>
        </w:rPr>
        <w:t>Fig.</w:t>
      </w:r>
      <w:r w:rsidR="003E4BC5">
        <w:rPr>
          <w:rFonts w:ascii="Arial" w:hAnsi="Arial" w:cs="Arial"/>
          <w:b/>
          <w:bCs/>
          <w:sz w:val="20"/>
          <w:szCs w:val="20"/>
        </w:rPr>
        <w:t>4</w:t>
      </w:r>
      <w:r w:rsidRPr="00BE1BAE">
        <w:rPr>
          <w:rFonts w:ascii="Arial" w:hAnsi="Arial" w:cs="Arial"/>
          <w:b/>
          <w:bCs/>
          <w:sz w:val="20"/>
          <w:szCs w:val="20"/>
        </w:rPr>
        <w:t xml:space="preserve"> </w:t>
      </w:r>
      <w:r w:rsidRPr="00BE1BAE">
        <w:rPr>
          <w:rFonts w:ascii="Arial" w:hAnsi="Arial" w:cs="Arial"/>
          <w:b/>
          <w:bCs/>
          <w:color w:val="000000" w:themeColor="text1"/>
          <w:sz w:val="20"/>
          <w:szCs w:val="20"/>
        </w:rPr>
        <w:t>Estimation of components of variance and genetic parameters</w:t>
      </w:r>
    </w:p>
    <w:p w14:paraId="4DFB0206" w14:textId="77777777" w:rsidR="00C83B79" w:rsidRDefault="00C83B79" w:rsidP="004A73D2">
      <w:pPr>
        <w:tabs>
          <w:tab w:val="left" w:pos="2694"/>
        </w:tabs>
        <w:spacing w:after="0" w:line="360" w:lineRule="auto"/>
        <w:jc w:val="both"/>
        <w:rPr>
          <w:rFonts w:ascii="Times New Roman" w:eastAsiaTheme="minorEastAsia" w:hAnsi="Times New Roman" w:cs="Times New Roman"/>
          <w:b/>
          <w:bCs/>
          <w:sz w:val="24"/>
          <w:szCs w:val="24"/>
        </w:rPr>
      </w:pPr>
    </w:p>
    <w:p w14:paraId="2A553642" w14:textId="47921165" w:rsidR="004F49E8" w:rsidRPr="002856B6" w:rsidRDefault="002856B6" w:rsidP="002856B6">
      <w:pPr>
        <w:tabs>
          <w:tab w:val="left" w:pos="2694"/>
        </w:tabs>
        <w:spacing w:after="0" w:line="360" w:lineRule="auto"/>
        <w:jc w:val="both"/>
        <w:rPr>
          <w:rFonts w:ascii="Arial" w:eastAsiaTheme="minorEastAsia" w:hAnsi="Arial" w:cs="Arial"/>
          <w:b/>
          <w:bCs/>
        </w:rPr>
      </w:pPr>
      <w:r>
        <w:rPr>
          <w:rFonts w:ascii="Arial" w:eastAsiaTheme="minorEastAsia" w:hAnsi="Arial" w:cs="Arial"/>
          <w:b/>
          <w:bCs/>
        </w:rPr>
        <w:t>6.</w:t>
      </w:r>
      <w:r w:rsidR="00E171EB" w:rsidRPr="002856B6">
        <w:rPr>
          <w:rFonts w:ascii="Arial" w:eastAsiaTheme="minorEastAsia" w:hAnsi="Arial" w:cs="Arial"/>
          <w:b/>
          <w:bCs/>
        </w:rPr>
        <w:t xml:space="preserve">REFERANCE </w:t>
      </w:r>
    </w:p>
    <w:p w14:paraId="0533B46C" w14:textId="77777777" w:rsidR="00A53F2B" w:rsidRPr="00EB6343" w:rsidRDefault="00A53F2B" w:rsidP="00EB6343">
      <w:pPr>
        <w:pStyle w:val="ListParagraph"/>
        <w:numPr>
          <w:ilvl w:val="0"/>
          <w:numId w:val="4"/>
        </w:numPr>
        <w:spacing w:after="0" w:line="360" w:lineRule="auto"/>
        <w:jc w:val="both"/>
        <w:rPr>
          <w:rFonts w:ascii="Arial" w:eastAsiaTheme="minorEastAsia" w:hAnsi="Arial" w:cs="Arial"/>
          <w:highlight w:val="yellow"/>
        </w:rPr>
      </w:pPr>
      <w:r w:rsidRPr="00EB6343">
        <w:rPr>
          <w:rFonts w:ascii="Arial" w:eastAsiaTheme="minorEastAsia" w:hAnsi="Arial" w:cs="Arial"/>
          <w:b/>
          <w:bCs/>
          <w:highlight w:val="yellow"/>
        </w:rPr>
        <w:t xml:space="preserve">Allard, R. W. (1960). </w:t>
      </w:r>
      <w:r w:rsidRPr="00EB6343">
        <w:rPr>
          <w:rFonts w:ascii="Arial" w:eastAsiaTheme="minorEastAsia" w:hAnsi="Arial" w:cs="Arial"/>
          <w:i/>
          <w:iCs/>
          <w:highlight w:val="yellow"/>
        </w:rPr>
        <w:t>Principles of plant breeding</w:t>
      </w:r>
      <w:r w:rsidRPr="00EB6343">
        <w:rPr>
          <w:rFonts w:ascii="Arial" w:eastAsiaTheme="minorEastAsia" w:hAnsi="Arial" w:cs="Arial"/>
          <w:highlight w:val="yellow"/>
        </w:rPr>
        <w:t>. New York: John Wiley &amp; Sons.</w:t>
      </w:r>
    </w:p>
    <w:p w14:paraId="2B9D4D3B" w14:textId="403064F4" w:rsidR="00A53F2B" w:rsidRPr="00EB6343" w:rsidRDefault="00A53F2B" w:rsidP="00EB6343">
      <w:pPr>
        <w:pStyle w:val="ListParagraph"/>
        <w:numPr>
          <w:ilvl w:val="0"/>
          <w:numId w:val="4"/>
        </w:numPr>
        <w:tabs>
          <w:tab w:val="left" w:pos="2694"/>
        </w:tabs>
        <w:spacing w:after="0" w:line="360" w:lineRule="auto"/>
        <w:jc w:val="both"/>
        <w:rPr>
          <w:rFonts w:ascii="Arial" w:eastAsiaTheme="minorEastAsia" w:hAnsi="Arial" w:cs="Arial"/>
          <w:highlight w:val="yellow"/>
        </w:rPr>
      </w:pPr>
      <w:r w:rsidRPr="00EB6343">
        <w:rPr>
          <w:rFonts w:ascii="Arial" w:eastAsiaTheme="minorEastAsia" w:hAnsi="Arial" w:cs="Arial"/>
          <w:b/>
          <w:bCs/>
          <w:highlight w:val="yellow"/>
        </w:rPr>
        <w:t>Bindra, S. and Paul S. (2016).</w:t>
      </w:r>
      <w:r w:rsidRPr="00EB6343">
        <w:rPr>
          <w:rFonts w:ascii="Arial" w:eastAsiaTheme="minorEastAsia" w:hAnsi="Arial" w:cs="Arial"/>
          <w:highlight w:val="yellow"/>
        </w:rPr>
        <w:t xml:space="preserve"> Genetic variability and association studies in linseed (</w:t>
      </w:r>
      <w:proofErr w:type="spellStart"/>
      <w:r w:rsidR="00E40DC2" w:rsidRPr="00EB6343">
        <w:rPr>
          <w:rFonts w:ascii="Arial" w:eastAsiaTheme="minorEastAsia" w:hAnsi="Arial" w:cs="Arial"/>
          <w:i/>
          <w:iCs/>
          <w:highlight w:val="yellow"/>
        </w:rPr>
        <w:t>Linum</w:t>
      </w:r>
      <w:proofErr w:type="spellEnd"/>
      <w:r w:rsidR="00E40DC2" w:rsidRPr="00EB6343">
        <w:rPr>
          <w:rFonts w:ascii="Arial" w:eastAsiaTheme="minorEastAsia" w:hAnsi="Arial" w:cs="Arial"/>
          <w:i/>
          <w:iCs/>
          <w:highlight w:val="yellow"/>
        </w:rPr>
        <w:t xml:space="preserve"> </w:t>
      </w:r>
      <w:proofErr w:type="spellStart"/>
      <w:r w:rsidR="00E40DC2" w:rsidRPr="00EB6343">
        <w:rPr>
          <w:rFonts w:ascii="Arial" w:eastAsiaTheme="minorEastAsia" w:hAnsi="Arial" w:cs="Arial"/>
          <w:i/>
          <w:iCs/>
          <w:highlight w:val="yellow"/>
        </w:rPr>
        <w:t>usitatissimum</w:t>
      </w:r>
      <w:proofErr w:type="spellEnd"/>
      <w:r w:rsidR="00E40DC2" w:rsidRPr="00EB6343">
        <w:rPr>
          <w:rFonts w:ascii="Arial" w:eastAsiaTheme="minorEastAsia" w:hAnsi="Arial" w:cs="Arial"/>
          <w:i/>
          <w:iCs/>
          <w:highlight w:val="yellow"/>
        </w:rPr>
        <w:t xml:space="preserve"> </w:t>
      </w:r>
      <w:r w:rsidRPr="00EB6343">
        <w:rPr>
          <w:rFonts w:ascii="Arial" w:eastAsiaTheme="minorEastAsia" w:hAnsi="Arial" w:cs="Arial"/>
          <w:highlight w:val="yellow"/>
        </w:rPr>
        <w:t xml:space="preserve">L.). </w:t>
      </w:r>
      <w:r w:rsidRPr="00EB6343">
        <w:rPr>
          <w:rFonts w:ascii="Arial" w:eastAsiaTheme="minorEastAsia" w:hAnsi="Arial" w:cs="Arial"/>
          <w:i/>
          <w:iCs/>
          <w:highlight w:val="yellow"/>
        </w:rPr>
        <w:t>The Bioscan</w:t>
      </w:r>
      <w:r w:rsidRPr="00EB6343">
        <w:rPr>
          <w:rFonts w:ascii="Arial" w:eastAsiaTheme="minorEastAsia" w:hAnsi="Arial" w:cs="Arial"/>
          <w:highlight w:val="yellow"/>
        </w:rPr>
        <w:t xml:space="preserve">, </w:t>
      </w:r>
      <w:r w:rsidRPr="00EB6343">
        <w:rPr>
          <w:rFonts w:ascii="Arial" w:eastAsiaTheme="minorEastAsia" w:hAnsi="Arial" w:cs="Arial"/>
          <w:b/>
          <w:bCs/>
          <w:highlight w:val="yellow"/>
        </w:rPr>
        <w:t>11</w:t>
      </w:r>
      <w:r w:rsidRPr="00EB6343">
        <w:rPr>
          <w:rFonts w:ascii="Arial" w:eastAsiaTheme="minorEastAsia" w:hAnsi="Arial" w:cs="Arial"/>
          <w:highlight w:val="yellow"/>
        </w:rPr>
        <w:t>(3):1855-1859.</w:t>
      </w:r>
    </w:p>
    <w:p w14:paraId="4CA89A8A" w14:textId="77777777" w:rsidR="00A53F2B" w:rsidRPr="00AC4689" w:rsidRDefault="00A53F2B" w:rsidP="00EB6343">
      <w:pPr>
        <w:pStyle w:val="ListParagraph"/>
        <w:numPr>
          <w:ilvl w:val="0"/>
          <w:numId w:val="4"/>
        </w:numPr>
        <w:spacing w:after="0" w:line="360" w:lineRule="auto"/>
        <w:jc w:val="both"/>
        <w:rPr>
          <w:rFonts w:ascii="Arial" w:eastAsiaTheme="minorEastAsia" w:hAnsi="Arial" w:cs="Arial"/>
          <w:highlight w:val="yellow"/>
        </w:rPr>
      </w:pPr>
      <w:r w:rsidRPr="00AC4689">
        <w:rPr>
          <w:rFonts w:ascii="Arial" w:eastAsiaTheme="minorEastAsia" w:hAnsi="Arial" w:cs="Arial"/>
          <w:b/>
          <w:bCs/>
          <w:highlight w:val="yellow"/>
        </w:rPr>
        <w:lastRenderedPageBreak/>
        <w:t>Burton, G. W. (1952).</w:t>
      </w:r>
      <w:r w:rsidRPr="00AC4689">
        <w:rPr>
          <w:rFonts w:ascii="Arial" w:eastAsiaTheme="minorEastAsia" w:hAnsi="Arial" w:cs="Arial"/>
          <w:highlight w:val="yellow"/>
        </w:rPr>
        <w:t xml:space="preserve"> Quantitative inheritance in grasses. </w:t>
      </w:r>
      <w:r w:rsidRPr="00AC4689">
        <w:rPr>
          <w:rFonts w:ascii="Arial" w:eastAsiaTheme="minorEastAsia" w:hAnsi="Arial" w:cs="Arial"/>
          <w:i/>
          <w:iCs/>
          <w:highlight w:val="yellow"/>
        </w:rPr>
        <w:t>Proceedings of the 6th International Grassland Congress</w:t>
      </w:r>
      <w:r w:rsidRPr="00AC4689">
        <w:rPr>
          <w:rFonts w:ascii="Arial" w:eastAsiaTheme="minorEastAsia" w:hAnsi="Arial" w:cs="Arial"/>
          <w:highlight w:val="yellow"/>
        </w:rPr>
        <w:t>, 1, 277–283.</w:t>
      </w:r>
    </w:p>
    <w:p w14:paraId="7B3D6C42" w14:textId="0F89F060" w:rsidR="00A53F2B" w:rsidRPr="00EB6343" w:rsidRDefault="00A53F2B" w:rsidP="00EB6343">
      <w:pPr>
        <w:pStyle w:val="ListParagraph"/>
        <w:numPr>
          <w:ilvl w:val="0"/>
          <w:numId w:val="4"/>
        </w:numPr>
        <w:tabs>
          <w:tab w:val="left" w:pos="2694"/>
        </w:tabs>
        <w:spacing w:after="0" w:line="360" w:lineRule="auto"/>
        <w:jc w:val="both"/>
        <w:rPr>
          <w:rFonts w:ascii="Arial" w:eastAsiaTheme="minorEastAsia" w:hAnsi="Arial" w:cs="Arial"/>
          <w:highlight w:val="yellow"/>
        </w:rPr>
      </w:pPr>
      <w:r w:rsidRPr="00EB6343">
        <w:rPr>
          <w:rFonts w:ascii="Arial" w:eastAsiaTheme="minorEastAsia" w:hAnsi="Arial" w:cs="Arial"/>
          <w:b/>
          <w:bCs/>
          <w:highlight w:val="yellow"/>
        </w:rPr>
        <w:t xml:space="preserve">Choudhary, A.K., Marker. S., </w:t>
      </w:r>
      <w:proofErr w:type="spellStart"/>
      <w:r w:rsidRPr="00EB6343">
        <w:rPr>
          <w:rFonts w:ascii="Arial" w:eastAsiaTheme="minorEastAsia" w:hAnsi="Arial" w:cs="Arial"/>
          <w:b/>
          <w:bCs/>
          <w:highlight w:val="yellow"/>
        </w:rPr>
        <w:t>Rizwi</w:t>
      </w:r>
      <w:proofErr w:type="spellEnd"/>
      <w:r w:rsidRPr="00EB6343">
        <w:rPr>
          <w:rFonts w:ascii="Arial" w:eastAsiaTheme="minorEastAsia" w:hAnsi="Arial" w:cs="Arial"/>
          <w:b/>
          <w:bCs/>
          <w:highlight w:val="yellow"/>
        </w:rPr>
        <w:t>. F.S. (2017).</w:t>
      </w:r>
      <w:r w:rsidRPr="00EB6343">
        <w:rPr>
          <w:rFonts w:ascii="Arial" w:eastAsiaTheme="minorEastAsia" w:hAnsi="Arial" w:cs="Arial"/>
          <w:highlight w:val="yellow"/>
        </w:rPr>
        <w:t xml:space="preserve"> Genetic variability and character association for seed yield in linseed (</w:t>
      </w:r>
      <w:proofErr w:type="spellStart"/>
      <w:r w:rsidR="00E40DC2" w:rsidRPr="00EB6343">
        <w:rPr>
          <w:rFonts w:ascii="Arial" w:eastAsiaTheme="minorEastAsia" w:hAnsi="Arial" w:cs="Arial"/>
          <w:i/>
          <w:iCs/>
          <w:highlight w:val="yellow"/>
        </w:rPr>
        <w:t>Linum</w:t>
      </w:r>
      <w:proofErr w:type="spellEnd"/>
      <w:r w:rsidR="00E40DC2" w:rsidRPr="00EB6343">
        <w:rPr>
          <w:rFonts w:ascii="Arial" w:eastAsiaTheme="minorEastAsia" w:hAnsi="Arial" w:cs="Arial"/>
          <w:i/>
          <w:iCs/>
          <w:highlight w:val="yellow"/>
        </w:rPr>
        <w:t xml:space="preserve"> </w:t>
      </w:r>
      <w:proofErr w:type="spellStart"/>
      <w:r w:rsidR="00E40DC2" w:rsidRPr="00EB6343">
        <w:rPr>
          <w:rFonts w:ascii="Arial" w:eastAsiaTheme="minorEastAsia" w:hAnsi="Arial" w:cs="Arial"/>
          <w:i/>
          <w:iCs/>
          <w:highlight w:val="yellow"/>
        </w:rPr>
        <w:t>usitatissimum</w:t>
      </w:r>
      <w:proofErr w:type="spellEnd"/>
      <w:r w:rsidR="00E40DC2" w:rsidRPr="00EB6343">
        <w:rPr>
          <w:rFonts w:ascii="Arial" w:eastAsiaTheme="minorEastAsia" w:hAnsi="Arial" w:cs="Arial"/>
          <w:i/>
          <w:iCs/>
          <w:highlight w:val="yellow"/>
        </w:rPr>
        <w:t xml:space="preserve"> </w:t>
      </w:r>
      <w:r w:rsidRPr="00EB6343">
        <w:rPr>
          <w:rFonts w:ascii="Arial" w:eastAsiaTheme="minorEastAsia" w:hAnsi="Arial" w:cs="Arial"/>
          <w:highlight w:val="yellow"/>
        </w:rPr>
        <w:t xml:space="preserve">L.) under rainfed condition. </w:t>
      </w:r>
      <w:r w:rsidRPr="00EB6343">
        <w:rPr>
          <w:rFonts w:ascii="Arial" w:eastAsiaTheme="minorEastAsia" w:hAnsi="Arial" w:cs="Arial"/>
          <w:i/>
          <w:iCs/>
          <w:highlight w:val="yellow"/>
        </w:rPr>
        <w:t>Journal of Pharmacognosy and Phytochemistry</w:t>
      </w:r>
      <w:r w:rsidRPr="00EB6343">
        <w:rPr>
          <w:rFonts w:ascii="Arial" w:eastAsiaTheme="minorEastAsia" w:hAnsi="Arial" w:cs="Arial"/>
          <w:highlight w:val="yellow"/>
        </w:rPr>
        <w:t xml:space="preserve">, </w:t>
      </w:r>
      <w:r w:rsidRPr="00EB6343">
        <w:rPr>
          <w:rFonts w:ascii="Arial" w:eastAsiaTheme="minorEastAsia" w:hAnsi="Arial" w:cs="Arial"/>
          <w:b/>
          <w:bCs/>
          <w:highlight w:val="yellow"/>
        </w:rPr>
        <w:t>6</w:t>
      </w:r>
      <w:r w:rsidRPr="00EB6343">
        <w:rPr>
          <w:rFonts w:ascii="Arial" w:eastAsiaTheme="minorEastAsia" w:hAnsi="Arial" w:cs="Arial"/>
          <w:highlight w:val="yellow"/>
        </w:rPr>
        <w:t>(5): 457-460</w:t>
      </w:r>
    </w:p>
    <w:p w14:paraId="7E6F0ECB" w14:textId="77777777" w:rsidR="00A53F2B" w:rsidRPr="00EB6343" w:rsidRDefault="00A53F2B" w:rsidP="00EB6343">
      <w:pPr>
        <w:pStyle w:val="ListParagraph"/>
        <w:numPr>
          <w:ilvl w:val="0"/>
          <w:numId w:val="4"/>
        </w:numPr>
        <w:rPr>
          <w:rFonts w:ascii="Arial" w:hAnsi="Arial" w:cs="Arial"/>
          <w:highlight w:val="yellow"/>
        </w:rPr>
      </w:pPr>
      <w:r w:rsidRPr="00EB6343">
        <w:rPr>
          <w:rFonts w:ascii="Arial" w:hAnsi="Arial" w:cs="Arial"/>
          <w:b/>
          <w:bCs/>
          <w:highlight w:val="yellow"/>
        </w:rPr>
        <w:t>Dahal, M., &amp; Koirala, P. (2020).</w:t>
      </w:r>
      <w:r w:rsidRPr="00EB6343">
        <w:rPr>
          <w:rFonts w:ascii="Arial" w:hAnsi="Arial" w:cs="Arial"/>
          <w:highlight w:val="yellow"/>
        </w:rPr>
        <w:t xml:space="preserve"> Effect of roasting on bioactive and antinutritional components of flaxseed (</w:t>
      </w:r>
      <w:proofErr w:type="spellStart"/>
      <w:r w:rsidRPr="00EB6343">
        <w:rPr>
          <w:rFonts w:ascii="Arial" w:hAnsi="Arial" w:cs="Arial"/>
          <w:highlight w:val="yellow"/>
        </w:rPr>
        <w:t>Linum</w:t>
      </w:r>
      <w:proofErr w:type="spellEnd"/>
      <w:r w:rsidRPr="00EB6343">
        <w:rPr>
          <w:rFonts w:ascii="Arial" w:hAnsi="Arial" w:cs="Arial"/>
          <w:highlight w:val="yellow"/>
        </w:rPr>
        <w:t xml:space="preserve"> </w:t>
      </w:r>
      <w:proofErr w:type="spellStart"/>
      <w:r w:rsidRPr="00EB6343">
        <w:rPr>
          <w:rFonts w:ascii="Arial" w:hAnsi="Arial" w:cs="Arial"/>
          <w:highlight w:val="yellow"/>
        </w:rPr>
        <w:t>usitatissimum</w:t>
      </w:r>
      <w:proofErr w:type="spellEnd"/>
      <w:r w:rsidRPr="00EB6343">
        <w:rPr>
          <w:rFonts w:ascii="Arial" w:hAnsi="Arial" w:cs="Arial"/>
          <w:highlight w:val="yellow"/>
        </w:rPr>
        <w:t>). Journal of Food and Nutritional Disorders 9(3), 2.</w:t>
      </w:r>
    </w:p>
    <w:p w14:paraId="05977477" w14:textId="77777777" w:rsidR="00A53F2B" w:rsidRPr="00EB6343" w:rsidRDefault="00A53F2B" w:rsidP="00EB6343">
      <w:pPr>
        <w:pStyle w:val="ListParagraph"/>
        <w:numPr>
          <w:ilvl w:val="0"/>
          <w:numId w:val="4"/>
        </w:numPr>
        <w:rPr>
          <w:rFonts w:ascii="Arial" w:hAnsi="Arial" w:cs="Arial"/>
          <w:highlight w:val="yellow"/>
        </w:rPr>
      </w:pPr>
      <w:proofErr w:type="spellStart"/>
      <w:r w:rsidRPr="00EB6343">
        <w:rPr>
          <w:rFonts w:ascii="Arial" w:hAnsi="Arial" w:cs="Arial"/>
          <w:b/>
          <w:bCs/>
          <w:highlight w:val="yellow"/>
        </w:rPr>
        <w:t>Drozłowska</w:t>
      </w:r>
      <w:proofErr w:type="spellEnd"/>
      <w:r w:rsidRPr="00EB6343">
        <w:rPr>
          <w:rFonts w:ascii="Arial" w:hAnsi="Arial" w:cs="Arial"/>
          <w:b/>
          <w:bCs/>
          <w:highlight w:val="yellow"/>
        </w:rPr>
        <w:t xml:space="preserve">, E., Bartkowiak, A., &amp; </w:t>
      </w:r>
      <w:proofErr w:type="spellStart"/>
      <w:r w:rsidRPr="00EB6343">
        <w:rPr>
          <w:rFonts w:ascii="Arial" w:hAnsi="Arial" w:cs="Arial"/>
          <w:b/>
          <w:bCs/>
          <w:highlight w:val="yellow"/>
        </w:rPr>
        <w:t>Łopusiewicz</w:t>
      </w:r>
      <w:proofErr w:type="spellEnd"/>
      <w:r w:rsidRPr="00EB6343">
        <w:rPr>
          <w:rFonts w:ascii="Arial" w:hAnsi="Arial" w:cs="Arial"/>
          <w:b/>
          <w:bCs/>
          <w:highlight w:val="yellow"/>
        </w:rPr>
        <w:t>, Ł. (2020).</w:t>
      </w:r>
      <w:r w:rsidRPr="00EB6343">
        <w:rPr>
          <w:rFonts w:ascii="Arial" w:hAnsi="Arial" w:cs="Arial"/>
          <w:highlight w:val="yellow"/>
        </w:rPr>
        <w:t xml:space="preserve"> Characterization of flaxseed oil bimodal emulsions prepared with flaxseed oil cake extract applied as a natural emulsifying agent. Polymers, 12(10), 2207. https://doi. org/10.3390/polym12102207</w:t>
      </w:r>
    </w:p>
    <w:p w14:paraId="1E5BB04E" w14:textId="77777777" w:rsidR="00A53F2B" w:rsidRPr="00EB6343" w:rsidRDefault="00A53F2B" w:rsidP="00EB6343">
      <w:pPr>
        <w:pStyle w:val="ListParagraph"/>
        <w:numPr>
          <w:ilvl w:val="0"/>
          <w:numId w:val="4"/>
        </w:numPr>
        <w:rPr>
          <w:rFonts w:ascii="Arial" w:hAnsi="Arial" w:cs="Arial"/>
          <w:highlight w:val="yellow"/>
        </w:rPr>
      </w:pPr>
      <w:r w:rsidRPr="00EB6343">
        <w:rPr>
          <w:rFonts w:ascii="Arial" w:hAnsi="Arial" w:cs="Arial"/>
          <w:b/>
          <w:bCs/>
          <w:highlight w:val="yellow"/>
        </w:rPr>
        <w:t>Dunford, N. T. (2022).</w:t>
      </w:r>
      <w:r w:rsidRPr="00EB6343">
        <w:rPr>
          <w:rFonts w:ascii="Arial" w:hAnsi="Arial" w:cs="Arial"/>
          <w:highlight w:val="yellow"/>
        </w:rPr>
        <w:t xml:space="preserve"> Enzyme-aided oil and oilseed processing: opportunities and challenges. Current Opinion in Food Science, 48, 100943. </w:t>
      </w:r>
      <w:hyperlink r:id="rId14" w:history="1">
        <w:r w:rsidRPr="00EB6343">
          <w:rPr>
            <w:rStyle w:val="Hyperlink"/>
            <w:rFonts w:ascii="Arial" w:hAnsi="Arial" w:cs="Arial"/>
            <w:highlight w:val="yellow"/>
          </w:rPr>
          <w:t>https://doi.org/10.1016/j.cofs. 2022.100943</w:t>
        </w:r>
      </w:hyperlink>
    </w:p>
    <w:p w14:paraId="3E876738" w14:textId="77777777" w:rsidR="00A53F2B" w:rsidRPr="00EB6343" w:rsidRDefault="00A53F2B" w:rsidP="00EB6343">
      <w:pPr>
        <w:pStyle w:val="ListParagraph"/>
        <w:numPr>
          <w:ilvl w:val="0"/>
          <w:numId w:val="4"/>
        </w:numPr>
        <w:tabs>
          <w:tab w:val="left" w:pos="2694"/>
        </w:tabs>
        <w:spacing w:after="0" w:line="360" w:lineRule="auto"/>
        <w:jc w:val="both"/>
        <w:rPr>
          <w:rFonts w:ascii="Arial" w:hAnsi="Arial" w:cs="Arial"/>
          <w:highlight w:val="yellow"/>
        </w:rPr>
      </w:pPr>
      <w:r w:rsidRPr="00EB6343">
        <w:rPr>
          <w:rFonts w:ascii="Arial" w:hAnsi="Arial" w:cs="Arial"/>
          <w:b/>
          <w:bCs/>
          <w:highlight w:val="yellow"/>
        </w:rPr>
        <w:t>Food and Agriculture Organization of the United Nations. (2023).</w:t>
      </w:r>
      <w:r w:rsidRPr="00EB6343">
        <w:rPr>
          <w:rFonts w:ascii="Arial" w:hAnsi="Arial" w:cs="Arial"/>
          <w:highlight w:val="yellow"/>
        </w:rPr>
        <w:t xml:space="preserve"> </w:t>
      </w:r>
      <w:r w:rsidRPr="00EB6343">
        <w:rPr>
          <w:rFonts w:ascii="Arial" w:hAnsi="Arial" w:cs="Arial"/>
          <w:i/>
          <w:iCs/>
          <w:highlight w:val="yellow"/>
        </w:rPr>
        <w:t>FAOSTAT statistical database</w:t>
      </w:r>
      <w:r w:rsidRPr="00EB6343">
        <w:rPr>
          <w:rFonts w:ascii="Arial" w:hAnsi="Arial" w:cs="Arial"/>
          <w:highlight w:val="yellow"/>
        </w:rPr>
        <w:t>. FAO.</w:t>
      </w:r>
    </w:p>
    <w:p w14:paraId="6B8FA2BD" w14:textId="77777777" w:rsidR="00A53F2B" w:rsidRPr="00EB6343" w:rsidRDefault="00A53F2B" w:rsidP="00EB6343">
      <w:pPr>
        <w:pStyle w:val="ListParagraph"/>
        <w:numPr>
          <w:ilvl w:val="0"/>
          <w:numId w:val="4"/>
        </w:numPr>
        <w:tabs>
          <w:tab w:val="left" w:pos="2694"/>
        </w:tabs>
        <w:spacing w:after="0" w:line="360" w:lineRule="auto"/>
        <w:jc w:val="both"/>
        <w:rPr>
          <w:rFonts w:ascii="Arial" w:hAnsi="Arial" w:cs="Arial"/>
          <w:highlight w:val="yellow"/>
        </w:rPr>
      </w:pPr>
      <w:r w:rsidRPr="00EB6343">
        <w:rPr>
          <w:rFonts w:ascii="Arial" w:hAnsi="Arial" w:cs="Arial"/>
          <w:b/>
          <w:bCs/>
          <w:highlight w:val="yellow"/>
        </w:rPr>
        <w:t>Food and Agriculture Organization of the United Nations. (2024).</w:t>
      </w:r>
      <w:r w:rsidRPr="00EB6343">
        <w:rPr>
          <w:rFonts w:ascii="Arial" w:hAnsi="Arial" w:cs="Arial"/>
          <w:highlight w:val="yellow"/>
        </w:rPr>
        <w:t xml:space="preserve"> </w:t>
      </w:r>
      <w:r w:rsidRPr="00EB6343">
        <w:rPr>
          <w:rFonts w:ascii="Arial" w:hAnsi="Arial" w:cs="Arial"/>
          <w:i/>
          <w:iCs/>
          <w:highlight w:val="yellow"/>
        </w:rPr>
        <w:t>FAOSTAT statistical database</w:t>
      </w:r>
      <w:r w:rsidRPr="00EB6343">
        <w:rPr>
          <w:rFonts w:ascii="Arial" w:hAnsi="Arial" w:cs="Arial"/>
          <w:highlight w:val="yellow"/>
        </w:rPr>
        <w:t>. FAO.</w:t>
      </w:r>
    </w:p>
    <w:p w14:paraId="00630CDF" w14:textId="77777777" w:rsidR="00A53F2B" w:rsidRPr="00EB6343" w:rsidRDefault="00A53F2B" w:rsidP="00EB6343">
      <w:pPr>
        <w:pStyle w:val="ListParagraph"/>
        <w:numPr>
          <w:ilvl w:val="0"/>
          <w:numId w:val="4"/>
        </w:numPr>
        <w:tabs>
          <w:tab w:val="left" w:pos="2694"/>
        </w:tabs>
        <w:spacing w:after="0" w:line="360" w:lineRule="auto"/>
        <w:jc w:val="both"/>
        <w:rPr>
          <w:rFonts w:ascii="Arial" w:eastAsiaTheme="minorEastAsia" w:hAnsi="Arial" w:cs="Arial"/>
          <w:highlight w:val="yellow"/>
        </w:rPr>
      </w:pPr>
      <w:r w:rsidRPr="00EB6343">
        <w:rPr>
          <w:rFonts w:ascii="Arial" w:hAnsi="Arial" w:cs="Arial"/>
          <w:b/>
          <w:bCs/>
          <w:highlight w:val="yellow"/>
        </w:rPr>
        <w:t>Gill KS. (1987)</w:t>
      </w:r>
      <w:r w:rsidRPr="00EB6343">
        <w:rPr>
          <w:rFonts w:ascii="Arial" w:hAnsi="Arial" w:cs="Arial"/>
          <w:highlight w:val="yellow"/>
        </w:rPr>
        <w:t xml:space="preserve"> Linseed. </w:t>
      </w:r>
      <w:r w:rsidRPr="00EB6343">
        <w:rPr>
          <w:rFonts w:ascii="Arial" w:hAnsi="Arial" w:cs="Arial"/>
          <w:i/>
          <w:iCs/>
          <w:highlight w:val="yellow"/>
        </w:rPr>
        <w:t>ICAR</w:t>
      </w:r>
      <w:r w:rsidRPr="00EB6343">
        <w:rPr>
          <w:rFonts w:ascii="Arial" w:hAnsi="Arial" w:cs="Arial"/>
          <w:highlight w:val="yellow"/>
        </w:rPr>
        <w:t xml:space="preserve"> publication, New Delhi, India.</w:t>
      </w:r>
    </w:p>
    <w:p w14:paraId="72F1832D" w14:textId="77777777" w:rsidR="00A53F2B" w:rsidRPr="00EB6343" w:rsidRDefault="00A53F2B" w:rsidP="00EB6343">
      <w:pPr>
        <w:pStyle w:val="ListParagraph"/>
        <w:numPr>
          <w:ilvl w:val="0"/>
          <w:numId w:val="4"/>
        </w:numPr>
        <w:spacing w:after="0" w:line="360" w:lineRule="auto"/>
        <w:jc w:val="both"/>
        <w:rPr>
          <w:rFonts w:ascii="Arial" w:hAnsi="Arial" w:cs="Arial"/>
          <w:highlight w:val="yellow"/>
        </w:rPr>
      </w:pPr>
      <w:r w:rsidRPr="00EB6343">
        <w:rPr>
          <w:rFonts w:ascii="Arial" w:hAnsi="Arial" w:cs="Arial"/>
          <w:b/>
          <w:bCs/>
          <w:highlight w:val="yellow"/>
        </w:rPr>
        <w:t>Goyal, A., Patel, A., Sihag, M. K., Shah, N., &amp; Tanwar, B. (2018)</w:t>
      </w:r>
      <w:r w:rsidRPr="00EB6343">
        <w:rPr>
          <w:rFonts w:ascii="Arial" w:hAnsi="Arial" w:cs="Arial"/>
          <w:highlight w:val="yellow"/>
        </w:rPr>
        <w:t xml:space="preserve">. Therapeutic potential of flaxseed. In Therapeutic, probiotic, and unconventional foods. </w:t>
      </w:r>
      <w:r w:rsidRPr="00EB6343">
        <w:rPr>
          <w:rFonts w:ascii="Arial" w:hAnsi="Arial" w:cs="Arial"/>
          <w:i/>
          <w:iCs/>
          <w:highlight w:val="yellow"/>
        </w:rPr>
        <w:t>Academic Press</w:t>
      </w:r>
      <w:r w:rsidRPr="00EB6343">
        <w:rPr>
          <w:rFonts w:ascii="Arial" w:hAnsi="Arial" w:cs="Arial"/>
          <w:highlight w:val="yellow"/>
        </w:rPr>
        <w:t>, 255–274.</w:t>
      </w:r>
    </w:p>
    <w:p w14:paraId="029A9C8E" w14:textId="77777777" w:rsidR="00AF54F6" w:rsidRPr="00EB6343" w:rsidRDefault="00A53F2B" w:rsidP="00EB6343">
      <w:pPr>
        <w:pStyle w:val="ListParagraph"/>
        <w:numPr>
          <w:ilvl w:val="0"/>
          <w:numId w:val="4"/>
        </w:numPr>
        <w:rPr>
          <w:rFonts w:ascii="Arial" w:hAnsi="Arial" w:cs="Arial"/>
          <w:highlight w:val="yellow"/>
        </w:rPr>
      </w:pPr>
      <w:r w:rsidRPr="00EB6343">
        <w:rPr>
          <w:rFonts w:ascii="Arial" w:hAnsi="Arial" w:cs="Arial"/>
          <w:b/>
          <w:bCs/>
          <w:highlight w:val="yellow"/>
        </w:rPr>
        <w:t xml:space="preserve">Gupta, K. K., Kalita, K., </w:t>
      </w:r>
      <w:proofErr w:type="spellStart"/>
      <w:r w:rsidRPr="00EB6343">
        <w:rPr>
          <w:rFonts w:ascii="Arial" w:hAnsi="Arial" w:cs="Arial"/>
          <w:b/>
          <w:bCs/>
          <w:highlight w:val="yellow"/>
        </w:rPr>
        <w:t>Ghadai</w:t>
      </w:r>
      <w:proofErr w:type="spellEnd"/>
      <w:r w:rsidRPr="00EB6343">
        <w:rPr>
          <w:rFonts w:ascii="Arial" w:hAnsi="Arial" w:cs="Arial"/>
          <w:b/>
          <w:bCs/>
          <w:highlight w:val="yellow"/>
        </w:rPr>
        <w:t>, R. K., Ramachandran, M., &amp; Gao, X. Z. (2021).</w:t>
      </w:r>
      <w:r w:rsidRPr="00EB6343">
        <w:rPr>
          <w:rFonts w:ascii="Arial" w:hAnsi="Arial" w:cs="Arial"/>
          <w:highlight w:val="yellow"/>
        </w:rPr>
        <w:t xml:space="preserve"> Machine learning-based predictive modelling of biodiesel production- A comparative perspective. Energies, 14(4), 1122. https://doi.org/10.3390/ en14041122 </w:t>
      </w:r>
    </w:p>
    <w:p w14:paraId="36425015" w14:textId="3059DDB1" w:rsidR="00A53F2B" w:rsidRPr="00EB6343" w:rsidRDefault="00A53F2B" w:rsidP="00EB6343">
      <w:pPr>
        <w:pStyle w:val="ListParagraph"/>
        <w:numPr>
          <w:ilvl w:val="0"/>
          <w:numId w:val="4"/>
        </w:numPr>
        <w:rPr>
          <w:rFonts w:ascii="Arial" w:hAnsi="Arial" w:cs="Arial"/>
          <w:highlight w:val="yellow"/>
        </w:rPr>
      </w:pPr>
      <w:r w:rsidRPr="00EB6343">
        <w:rPr>
          <w:rFonts w:ascii="Arial" w:hAnsi="Arial" w:cs="Arial"/>
          <w:b/>
          <w:bCs/>
          <w:highlight w:val="yellow"/>
        </w:rPr>
        <w:t>Gupta, N., &amp; Morya, S. (2022).</w:t>
      </w:r>
      <w:r w:rsidRPr="00EB6343">
        <w:rPr>
          <w:rFonts w:ascii="Arial" w:hAnsi="Arial" w:cs="Arial"/>
          <w:highlight w:val="yellow"/>
        </w:rPr>
        <w:t xml:space="preserve"> Bioactive and pharmacological characterization of Chenopodium quinoa, Sorghum </w:t>
      </w:r>
      <w:proofErr w:type="spellStart"/>
      <w:r w:rsidRPr="00EB6343">
        <w:rPr>
          <w:rFonts w:ascii="Arial" w:hAnsi="Arial" w:cs="Arial"/>
          <w:highlight w:val="yellow"/>
        </w:rPr>
        <w:t>bicolor</w:t>
      </w:r>
      <w:proofErr w:type="spellEnd"/>
      <w:r w:rsidRPr="00EB6343">
        <w:rPr>
          <w:rFonts w:ascii="Arial" w:hAnsi="Arial" w:cs="Arial"/>
          <w:highlight w:val="yellow"/>
        </w:rPr>
        <w:t xml:space="preserve"> and </w:t>
      </w:r>
      <w:proofErr w:type="spellStart"/>
      <w:r w:rsidRPr="00EB6343">
        <w:rPr>
          <w:rFonts w:ascii="Arial" w:hAnsi="Arial" w:cs="Arial"/>
          <w:highlight w:val="yellow"/>
        </w:rPr>
        <w:t>Linum</w:t>
      </w:r>
      <w:proofErr w:type="spellEnd"/>
      <w:r w:rsidRPr="00EB6343">
        <w:rPr>
          <w:rFonts w:ascii="Arial" w:hAnsi="Arial" w:cs="Arial"/>
          <w:highlight w:val="yellow"/>
        </w:rPr>
        <w:t xml:space="preserve"> </w:t>
      </w:r>
      <w:proofErr w:type="spellStart"/>
      <w:r w:rsidRPr="00EB6343">
        <w:rPr>
          <w:rFonts w:ascii="Arial" w:hAnsi="Arial" w:cs="Arial"/>
          <w:highlight w:val="yellow"/>
        </w:rPr>
        <w:t>usitassimum</w:t>
      </w:r>
      <w:proofErr w:type="spellEnd"/>
      <w:r w:rsidRPr="00EB6343">
        <w:rPr>
          <w:rFonts w:ascii="Arial" w:hAnsi="Arial" w:cs="Arial"/>
          <w:highlight w:val="yellow"/>
        </w:rPr>
        <w:t>: A review. Journal of Applied and Natural Science, 14(3), 1067–1084. https:// doi.org/10.31018/jans.v14i3.3796</w:t>
      </w:r>
    </w:p>
    <w:p w14:paraId="29070BB9" w14:textId="77777777" w:rsidR="00A53F2B" w:rsidRPr="00AC4689" w:rsidRDefault="00A53F2B" w:rsidP="00EB6343">
      <w:pPr>
        <w:pStyle w:val="ListParagraph"/>
        <w:numPr>
          <w:ilvl w:val="0"/>
          <w:numId w:val="4"/>
        </w:numPr>
        <w:spacing w:after="0" w:line="360" w:lineRule="auto"/>
        <w:jc w:val="both"/>
        <w:rPr>
          <w:rFonts w:ascii="Arial" w:eastAsiaTheme="minorEastAsia" w:hAnsi="Arial" w:cs="Arial"/>
          <w:highlight w:val="yellow"/>
        </w:rPr>
      </w:pPr>
      <w:r w:rsidRPr="00AC4689">
        <w:rPr>
          <w:rFonts w:ascii="Arial" w:eastAsiaTheme="minorEastAsia" w:hAnsi="Arial" w:cs="Arial"/>
          <w:b/>
          <w:bCs/>
          <w:highlight w:val="yellow"/>
        </w:rPr>
        <w:t>He, L., He, T., Farrar, S., Ji, L., Liu, T., &amp; Ma, X.</w:t>
      </w:r>
      <w:r w:rsidRPr="00AC4689">
        <w:rPr>
          <w:rFonts w:ascii="Arial" w:eastAsiaTheme="minorEastAsia" w:hAnsi="Arial" w:cs="Arial"/>
          <w:highlight w:val="yellow"/>
        </w:rPr>
        <w:t xml:space="preserve"> </w:t>
      </w:r>
      <w:r w:rsidRPr="00AC4689">
        <w:rPr>
          <w:rFonts w:ascii="Arial" w:eastAsiaTheme="minorEastAsia" w:hAnsi="Arial" w:cs="Arial"/>
          <w:b/>
          <w:bCs/>
          <w:highlight w:val="yellow"/>
        </w:rPr>
        <w:t>(2003)</w:t>
      </w:r>
      <w:r w:rsidRPr="00AC4689">
        <w:rPr>
          <w:rFonts w:ascii="Arial" w:eastAsiaTheme="minorEastAsia" w:hAnsi="Arial" w:cs="Arial"/>
          <w:highlight w:val="yellow"/>
        </w:rPr>
        <w:t xml:space="preserve">. Antioxidants maintain cellular redox homeostasis by elimination of reactive oxygen species. </w:t>
      </w:r>
      <w:r w:rsidRPr="00AC4689">
        <w:rPr>
          <w:rFonts w:ascii="Arial" w:eastAsiaTheme="minorEastAsia" w:hAnsi="Arial" w:cs="Arial"/>
          <w:i/>
          <w:iCs/>
          <w:highlight w:val="yellow"/>
        </w:rPr>
        <w:t>Cellular Physiology and Biochemistry</w:t>
      </w:r>
      <w:r w:rsidRPr="00AC4689">
        <w:rPr>
          <w:rFonts w:ascii="Arial" w:eastAsiaTheme="minorEastAsia" w:hAnsi="Arial" w:cs="Arial"/>
          <w:highlight w:val="yellow"/>
        </w:rPr>
        <w:t xml:space="preserve">, </w:t>
      </w:r>
      <w:r w:rsidRPr="00AC4689">
        <w:rPr>
          <w:rFonts w:ascii="Arial" w:eastAsiaTheme="minorEastAsia" w:hAnsi="Arial" w:cs="Arial"/>
          <w:b/>
          <w:bCs/>
          <w:highlight w:val="yellow"/>
        </w:rPr>
        <w:t>52</w:t>
      </w:r>
      <w:r w:rsidRPr="00AC4689">
        <w:rPr>
          <w:rFonts w:ascii="Arial" w:eastAsiaTheme="minorEastAsia" w:hAnsi="Arial" w:cs="Arial"/>
          <w:highlight w:val="yellow"/>
        </w:rPr>
        <w:t>(5), 217–242.</w:t>
      </w:r>
    </w:p>
    <w:p w14:paraId="0E5986BC" w14:textId="77777777" w:rsidR="00A53F2B" w:rsidRPr="00EB6343" w:rsidRDefault="00A53F2B" w:rsidP="00EB6343">
      <w:pPr>
        <w:pStyle w:val="ListParagraph"/>
        <w:numPr>
          <w:ilvl w:val="0"/>
          <w:numId w:val="4"/>
        </w:numPr>
        <w:rPr>
          <w:rFonts w:ascii="Arial" w:hAnsi="Arial" w:cs="Arial"/>
          <w:highlight w:val="yellow"/>
        </w:rPr>
      </w:pPr>
      <w:r w:rsidRPr="00EB6343">
        <w:rPr>
          <w:rFonts w:ascii="Arial" w:hAnsi="Arial" w:cs="Arial"/>
          <w:b/>
          <w:bCs/>
          <w:highlight w:val="yellow"/>
        </w:rPr>
        <w:t>Ilyas, Q. M., Ahmad, M., &amp; Mehmood, A. (2023).</w:t>
      </w:r>
      <w:r w:rsidRPr="00EB6343">
        <w:rPr>
          <w:rFonts w:ascii="Arial" w:hAnsi="Arial" w:cs="Arial"/>
          <w:highlight w:val="yellow"/>
        </w:rPr>
        <w:t xml:space="preserve"> Automated estimation of crop yield using artificial intelligence and remote sensing technologies. Bioengineering, 10(2), 125. </w:t>
      </w:r>
      <w:hyperlink r:id="rId15" w:history="1">
        <w:r w:rsidRPr="00EB6343">
          <w:rPr>
            <w:rStyle w:val="Hyperlink"/>
            <w:rFonts w:ascii="Arial" w:hAnsi="Arial" w:cs="Arial"/>
            <w:highlight w:val="yellow"/>
          </w:rPr>
          <w:t>https://doi.org/10.3390/bioengineering10020125</w:t>
        </w:r>
      </w:hyperlink>
    </w:p>
    <w:p w14:paraId="1B929B90" w14:textId="77777777" w:rsidR="00A53F2B" w:rsidRPr="00AC4689" w:rsidRDefault="00A53F2B" w:rsidP="00EB6343">
      <w:pPr>
        <w:pStyle w:val="ListParagraph"/>
        <w:numPr>
          <w:ilvl w:val="0"/>
          <w:numId w:val="4"/>
        </w:numPr>
        <w:spacing w:after="0" w:line="360" w:lineRule="auto"/>
        <w:jc w:val="both"/>
        <w:rPr>
          <w:rFonts w:ascii="Arial" w:eastAsiaTheme="minorEastAsia" w:hAnsi="Arial" w:cs="Arial"/>
          <w:highlight w:val="yellow"/>
        </w:rPr>
      </w:pPr>
      <w:r w:rsidRPr="00AC4689">
        <w:rPr>
          <w:rFonts w:ascii="Arial" w:eastAsiaTheme="minorEastAsia" w:hAnsi="Arial" w:cs="Arial"/>
          <w:b/>
          <w:bCs/>
          <w:highlight w:val="yellow"/>
        </w:rPr>
        <w:t xml:space="preserve">Johnson, H. W., Robinson, H. F., &amp; Comstock, R. E. (1955). </w:t>
      </w:r>
      <w:r w:rsidRPr="00AC4689">
        <w:rPr>
          <w:rFonts w:ascii="Arial" w:eastAsiaTheme="minorEastAsia" w:hAnsi="Arial" w:cs="Arial"/>
          <w:highlight w:val="yellow"/>
        </w:rPr>
        <w:t xml:space="preserve">Estimates of genetic and environmental variability in soybeans. </w:t>
      </w:r>
      <w:r w:rsidRPr="00AC4689">
        <w:rPr>
          <w:rFonts w:ascii="Arial" w:eastAsiaTheme="minorEastAsia" w:hAnsi="Arial" w:cs="Arial"/>
          <w:i/>
          <w:iCs/>
          <w:highlight w:val="yellow"/>
        </w:rPr>
        <w:t xml:space="preserve">Agronomy Journal, </w:t>
      </w:r>
      <w:r w:rsidRPr="00AC4689">
        <w:rPr>
          <w:rFonts w:ascii="Arial" w:eastAsiaTheme="minorEastAsia" w:hAnsi="Arial" w:cs="Arial"/>
          <w:b/>
          <w:bCs/>
          <w:highlight w:val="yellow"/>
        </w:rPr>
        <w:t>47</w:t>
      </w:r>
      <w:r w:rsidRPr="00AC4689">
        <w:rPr>
          <w:rFonts w:ascii="Arial" w:eastAsiaTheme="minorEastAsia" w:hAnsi="Arial" w:cs="Arial"/>
          <w:highlight w:val="yellow"/>
        </w:rPr>
        <w:t>(7), 314–318.</w:t>
      </w:r>
    </w:p>
    <w:p w14:paraId="62669ECE" w14:textId="11204E7A" w:rsidR="00A53F2B" w:rsidRPr="00EB6343" w:rsidRDefault="00A53F2B" w:rsidP="00EB6343">
      <w:pPr>
        <w:pStyle w:val="ListParagraph"/>
        <w:numPr>
          <w:ilvl w:val="0"/>
          <w:numId w:val="4"/>
        </w:numPr>
        <w:spacing w:after="0" w:line="360" w:lineRule="auto"/>
        <w:jc w:val="both"/>
        <w:rPr>
          <w:rFonts w:ascii="Arial" w:hAnsi="Arial" w:cs="Arial"/>
          <w:highlight w:val="yellow"/>
        </w:rPr>
      </w:pPr>
      <w:proofErr w:type="spellStart"/>
      <w:r w:rsidRPr="00EB6343">
        <w:rPr>
          <w:rFonts w:ascii="Arial" w:hAnsi="Arial" w:cs="Arial"/>
          <w:b/>
          <w:bCs/>
          <w:highlight w:val="yellow"/>
        </w:rPr>
        <w:t>Kasana</w:t>
      </w:r>
      <w:proofErr w:type="spellEnd"/>
      <w:r w:rsidRPr="00EB6343">
        <w:rPr>
          <w:rFonts w:ascii="Arial" w:hAnsi="Arial" w:cs="Arial"/>
          <w:b/>
          <w:bCs/>
          <w:highlight w:val="yellow"/>
        </w:rPr>
        <w:t>, R. K.; Singh, P. K.; Tomar, A.; Mohan, S. and Kumar, S. (2018).</w:t>
      </w:r>
      <w:r w:rsidRPr="00EB6343">
        <w:rPr>
          <w:rFonts w:ascii="Arial" w:hAnsi="Arial" w:cs="Arial"/>
          <w:highlight w:val="yellow"/>
        </w:rPr>
        <w:t xml:space="preserve"> Genetic diversity (D2 ) analysis in linseed (</w:t>
      </w:r>
      <w:proofErr w:type="spellStart"/>
      <w:r w:rsidR="00E40DC2" w:rsidRPr="00EB6343">
        <w:rPr>
          <w:rFonts w:ascii="Arial" w:hAnsi="Arial" w:cs="Arial"/>
          <w:i/>
          <w:iCs/>
          <w:highlight w:val="yellow"/>
        </w:rPr>
        <w:t>Linum</w:t>
      </w:r>
      <w:proofErr w:type="spellEnd"/>
      <w:r w:rsidR="00E40DC2" w:rsidRPr="00EB6343">
        <w:rPr>
          <w:rFonts w:ascii="Arial" w:hAnsi="Arial" w:cs="Arial"/>
          <w:i/>
          <w:iCs/>
          <w:highlight w:val="yellow"/>
        </w:rPr>
        <w:t xml:space="preserve"> </w:t>
      </w:r>
      <w:proofErr w:type="spellStart"/>
      <w:r w:rsidR="00E40DC2" w:rsidRPr="00EB6343">
        <w:rPr>
          <w:rFonts w:ascii="Arial" w:hAnsi="Arial" w:cs="Arial"/>
          <w:i/>
          <w:iCs/>
          <w:highlight w:val="yellow"/>
        </w:rPr>
        <w:t>usitatissimum</w:t>
      </w:r>
      <w:proofErr w:type="spellEnd"/>
      <w:r w:rsidR="00E40DC2" w:rsidRPr="00EB6343">
        <w:rPr>
          <w:rFonts w:ascii="Arial" w:hAnsi="Arial" w:cs="Arial"/>
          <w:i/>
          <w:iCs/>
          <w:highlight w:val="yellow"/>
        </w:rPr>
        <w:t xml:space="preserve"> </w:t>
      </w:r>
      <w:r w:rsidRPr="00EB6343">
        <w:rPr>
          <w:rFonts w:ascii="Arial" w:hAnsi="Arial" w:cs="Arial"/>
          <w:highlight w:val="yellow"/>
        </w:rPr>
        <w:t xml:space="preserve">L.). </w:t>
      </w:r>
      <w:r w:rsidRPr="00EB6343">
        <w:rPr>
          <w:rFonts w:ascii="Arial" w:hAnsi="Arial" w:cs="Arial"/>
          <w:i/>
          <w:iCs/>
          <w:highlight w:val="yellow"/>
        </w:rPr>
        <w:t>Journal of Pharmacognosy and Phytochemistry</w:t>
      </w:r>
      <w:r w:rsidRPr="00EB6343">
        <w:rPr>
          <w:rFonts w:ascii="Arial" w:hAnsi="Arial" w:cs="Arial"/>
          <w:highlight w:val="yellow"/>
        </w:rPr>
        <w:t xml:space="preserve">. </w:t>
      </w:r>
      <w:r w:rsidRPr="00EB6343">
        <w:rPr>
          <w:rFonts w:ascii="Arial" w:hAnsi="Arial" w:cs="Arial"/>
          <w:b/>
          <w:bCs/>
          <w:highlight w:val="yellow"/>
        </w:rPr>
        <w:t>7</w:t>
      </w:r>
      <w:r w:rsidRPr="00EB6343">
        <w:rPr>
          <w:rFonts w:ascii="Arial" w:hAnsi="Arial" w:cs="Arial"/>
          <w:highlight w:val="yellow"/>
        </w:rPr>
        <w:t>(3): 2148-2152.</w:t>
      </w:r>
    </w:p>
    <w:p w14:paraId="15E72738" w14:textId="77777777" w:rsidR="00A53F2B" w:rsidRPr="00EB6343" w:rsidRDefault="00A53F2B" w:rsidP="00EB6343">
      <w:pPr>
        <w:pStyle w:val="ListParagraph"/>
        <w:numPr>
          <w:ilvl w:val="0"/>
          <w:numId w:val="4"/>
        </w:numPr>
        <w:rPr>
          <w:rFonts w:ascii="Arial" w:hAnsi="Arial" w:cs="Arial"/>
          <w:highlight w:val="yellow"/>
        </w:rPr>
      </w:pPr>
      <w:r w:rsidRPr="00EB6343">
        <w:rPr>
          <w:rFonts w:ascii="Arial" w:hAnsi="Arial" w:cs="Arial"/>
          <w:b/>
          <w:bCs/>
          <w:highlight w:val="yellow"/>
        </w:rPr>
        <w:t>Kataria, A., Sharma, S., Singh, A., &amp; Singh, B. (2022).</w:t>
      </w:r>
      <w:r w:rsidRPr="00EB6343">
        <w:rPr>
          <w:rFonts w:ascii="Arial" w:hAnsi="Arial" w:cs="Arial"/>
          <w:highlight w:val="yellow"/>
        </w:rPr>
        <w:t xml:space="preserve"> Effect of hydrothermal and thermal processing on the antioxidative, antinutritional and functional characteristics </w:t>
      </w:r>
      <w:r w:rsidRPr="00EB6343">
        <w:rPr>
          <w:rFonts w:ascii="Arial" w:hAnsi="Arial" w:cs="Arial"/>
          <w:highlight w:val="yellow"/>
        </w:rPr>
        <w:lastRenderedPageBreak/>
        <w:t>of Salvia hispanica. Journal of Food Measurement and Characterization, 16(1), 332–343. https://doi.org/10.1007/ s11694-021-01161-9</w:t>
      </w:r>
    </w:p>
    <w:p w14:paraId="5FD855C6" w14:textId="77777777" w:rsidR="00A53F2B" w:rsidRPr="00EB6343" w:rsidRDefault="00A53F2B" w:rsidP="00EB6343">
      <w:pPr>
        <w:pStyle w:val="ListParagraph"/>
        <w:numPr>
          <w:ilvl w:val="0"/>
          <w:numId w:val="4"/>
        </w:numPr>
        <w:spacing w:after="0" w:line="360" w:lineRule="auto"/>
        <w:jc w:val="both"/>
        <w:rPr>
          <w:rFonts w:ascii="Arial" w:hAnsi="Arial" w:cs="Arial"/>
          <w:highlight w:val="yellow"/>
        </w:rPr>
      </w:pPr>
      <w:r w:rsidRPr="00EB6343">
        <w:rPr>
          <w:rFonts w:ascii="Arial" w:hAnsi="Arial" w:cs="Arial"/>
          <w:b/>
          <w:bCs/>
          <w:highlight w:val="yellow"/>
        </w:rPr>
        <w:t>Kumar, N. and Kumar, V. (2021).</w:t>
      </w:r>
      <w:r w:rsidRPr="00EB6343">
        <w:rPr>
          <w:rFonts w:ascii="Arial" w:hAnsi="Arial" w:cs="Arial"/>
          <w:highlight w:val="yellow"/>
        </w:rPr>
        <w:t xml:space="preserve"> Assessment of genetic diversity in linseed germplasm using morphological traits. </w:t>
      </w:r>
      <w:r w:rsidRPr="00EB6343">
        <w:rPr>
          <w:rFonts w:ascii="Arial" w:hAnsi="Arial" w:cs="Arial"/>
          <w:i/>
          <w:iCs/>
          <w:highlight w:val="yellow"/>
        </w:rPr>
        <w:t>Electronic Journal of Plant Breeding</w:t>
      </w:r>
      <w:r w:rsidRPr="00EB6343">
        <w:rPr>
          <w:rFonts w:ascii="Arial" w:hAnsi="Arial" w:cs="Arial"/>
          <w:highlight w:val="yellow"/>
        </w:rPr>
        <w:t xml:space="preserve">, </w:t>
      </w:r>
      <w:r w:rsidRPr="00EB6343">
        <w:rPr>
          <w:rFonts w:ascii="Arial" w:hAnsi="Arial" w:cs="Arial"/>
          <w:b/>
          <w:bCs/>
          <w:highlight w:val="yellow"/>
        </w:rPr>
        <w:t>12</w:t>
      </w:r>
      <w:r w:rsidRPr="00EB6343">
        <w:rPr>
          <w:rFonts w:ascii="Arial" w:hAnsi="Arial" w:cs="Arial"/>
          <w:highlight w:val="yellow"/>
        </w:rPr>
        <w:t>(1): 66-73.</w:t>
      </w:r>
    </w:p>
    <w:p w14:paraId="095F833F" w14:textId="0CCA0EF9" w:rsidR="00A53F2B" w:rsidRPr="00EB6343" w:rsidRDefault="00A53F2B" w:rsidP="00EB6343">
      <w:pPr>
        <w:pStyle w:val="ListParagraph"/>
        <w:numPr>
          <w:ilvl w:val="0"/>
          <w:numId w:val="4"/>
        </w:numPr>
        <w:spacing w:after="0" w:line="360" w:lineRule="auto"/>
        <w:jc w:val="both"/>
        <w:rPr>
          <w:rFonts w:ascii="Arial" w:hAnsi="Arial" w:cs="Arial"/>
          <w:highlight w:val="yellow"/>
        </w:rPr>
      </w:pPr>
      <w:r w:rsidRPr="00EB6343">
        <w:rPr>
          <w:rFonts w:ascii="Arial" w:hAnsi="Arial" w:cs="Arial"/>
          <w:b/>
          <w:bCs/>
          <w:highlight w:val="yellow"/>
        </w:rPr>
        <w:t>Kumar, S., Ram, S., Chakraborty, M., Ahmad, E., Verma, N., Lal, H. C. and Choudhary, A. K. (2019</w:t>
      </w:r>
      <w:r w:rsidRPr="00EB6343">
        <w:rPr>
          <w:rFonts w:ascii="Arial" w:hAnsi="Arial" w:cs="Arial"/>
          <w:highlight w:val="yellow"/>
        </w:rPr>
        <w:t>). Role of genetic variability for seed yield and its attributes in linseed (</w:t>
      </w:r>
      <w:proofErr w:type="spellStart"/>
      <w:r w:rsidR="00E40DC2" w:rsidRPr="00EB6343">
        <w:rPr>
          <w:rFonts w:ascii="Arial" w:hAnsi="Arial" w:cs="Arial"/>
          <w:i/>
          <w:iCs/>
          <w:highlight w:val="yellow"/>
        </w:rPr>
        <w:t>Linum</w:t>
      </w:r>
      <w:proofErr w:type="spellEnd"/>
      <w:r w:rsidR="00E40DC2" w:rsidRPr="00EB6343">
        <w:rPr>
          <w:rFonts w:ascii="Arial" w:hAnsi="Arial" w:cs="Arial"/>
          <w:i/>
          <w:iCs/>
          <w:highlight w:val="yellow"/>
        </w:rPr>
        <w:t xml:space="preserve"> </w:t>
      </w:r>
      <w:proofErr w:type="spellStart"/>
      <w:r w:rsidR="00E40DC2" w:rsidRPr="00EB6343">
        <w:rPr>
          <w:rFonts w:ascii="Arial" w:hAnsi="Arial" w:cs="Arial"/>
          <w:i/>
          <w:iCs/>
          <w:highlight w:val="yellow"/>
        </w:rPr>
        <w:t>usitatissimum</w:t>
      </w:r>
      <w:proofErr w:type="spellEnd"/>
      <w:r w:rsidR="00E40DC2" w:rsidRPr="00EB6343">
        <w:rPr>
          <w:rFonts w:ascii="Arial" w:hAnsi="Arial" w:cs="Arial"/>
          <w:i/>
          <w:iCs/>
          <w:highlight w:val="yellow"/>
        </w:rPr>
        <w:t xml:space="preserve"> </w:t>
      </w:r>
      <w:r w:rsidRPr="00EB6343">
        <w:rPr>
          <w:rFonts w:ascii="Arial" w:hAnsi="Arial" w:cs="Arial"/>
          <w:highlight w:val="yellow"/>
        </w:rPr>
        <w:t xml:space="preserve">L.) improvement. </w:t>
      </w:r>
      <w:r w:rsidRPr="00EB6343">
        <w:rPr>
          <w:rFonts w:ascii="Arial" w:hAnsi="Arial" w:cs="Arial"/>
          <w:i/>
          <w:iCs/>
          <w:highlight w:val="yellow"/>
        </w:rPr>
        <w:t>Journal of Pharmacognosy.</w:t>
      </w:r>
      <w:r w:rsidRPr="00EB6343">
        <w:rPr>
          <w:rFonts w:ascii="Arial" w:hAnsi="Arial" w:cs="Arial"/>
          <w:highlight w:val="yellow"/>
        </w:rPr>
        <w:t xml:space="preserve"> </w:t>
      </w:r>
      <w:r w:rsidRPr="00EB6343">
        <w:rPr>
          <w:rFonts w:ascii="Arial" w:hAnsi="Arial" w:cs="Arial"/>
          <w:i/>
          <w:iCs/>
          <w:highlight w:val="yellow"/>
        </w:rPr>
        <w:t>Phytochemistry</w:t>
      </w:r>
      <w:r w:rsidRPr="00EB6343">
        <w:rPr>
          <w:rFonts w:ascii="Arial" w:hAnsi="Arial" w:cs="Arial"/>
          <w:highlight w:val="yellow"/>
        </w:rPr>
        <w:t>, 8:266-268.</w:t>
      </w:r>
    </w:p>
    <w:p w14:paraId="303AB419" w14:textId="77777777" w:rsidR="00A53F2B" w:rsidRPr="00AC4689" w:rsidRDefault="00A53F2B" w:rsidP="00EB6343">
      <w:pPr>
        <w:pStyle w:val="ListParagraph"/>
        <w:numPr>
          <w:ilvl w:val="0"/>
          <w:numId w:val="4"/>
        </w:numPr>
        <w:spacing w:after="0" w:line="360" w:lineRule="auto"/>
        <w:jc w:val="both"/>
        <w:rPr>
          <w:rFonts w:ascii="Arial" w:hAnsi="Arial" w:cs="Arial"/>
          <w:highlight w:val="yellow"/>
        </w:rPr>
      </w:pPr>
      <w:r w:rsidRPr="00AC4689">
        <w:rPr>
          <w:rFonts w:ascii="Arial" w:hAnsi="Arial" w:cs="Arial"/>
          <w:b/>
          <w:bCs/>
          <w:highlight w:val="yellow"/>
        </w:rPr>
        <w:t xml:space="preserve">Lay CL, Dybing DD. Linseed. In: G. </w:t>
      </w:r>
      <w:proofErr w:type="spellStart"/>
      <w:r w:rsidRPr="00AC4689">
        <w:rPr>
          <w:rFonts w:ascii="Arial" w:hAnsi="Arial" w:cs="Arial"/>
          <w:b/>
          <w:bCs/>
          <w:highlight w:val="yellow"/>
        </w:rPr>
        <w:t>Robbelen</w:t>
      </w:r>
      <w:proofErr w:type="spellEnd"/>
      <w:r w:rsidRPr="00AC4689">
        <w:rPr>
          <w:rFonts w:ascii="Arial" w:hAnsi="Arial" w:cs="Arial"/>
          <w:b/>
          <w:bCs/>
          <w:highlight w:val="yellow"/>
        </w:rPr>
        <w:t>. (1989).</w:t>
      </w:r>
      <w:r w:rsidRPr="00AC4689">
        <w:rPr>
          <w:rFonts w:ascii="Arial" w:hAnsi="Arial" w:cs="Arial"/>
          <w:highlight w:val="yellow"/>
        </w:rPr>
        <w:t xml:space="preserve"> Oil crops of the world, their breeding and utilization. </w:t>
      </w:r>
      <w:r w:rsidRPr="00AC4689">
        <w:rPr>
          <w:rFonts w:ascii="Arial" w:hAnsi="Arial" w:cs="Arial"/>
          <w:i/>
          <w:iCs/>
          <w:highlight w:val="yellow"/>
        </w:rPr>
        <w:t>McGraw- W Publishing Company</w:t>
      </w:r>
      <w:r w:rsidRPr="00AC4689">
        <w:rPr>
          <w:rFonts w:ascii="Arial" w:hAnsi="Arial" w:cs="Arial"/>
          <w:highlight w:val="yellow"/>
        </w:rPr>
        <w:t>. New York; 416-430.</w:t>
      </w:r>
    </w:p>
    <w:p w14:paraId="571BDD00" w14:textId="77777777" w:rsidR="00A53F2B" w:rsidRPr="00AC4689" w:rsidRDefault="00A53F2B" w:rsidP="00EB6343">
      <w:pPr>
        <w:pStyle w:val="ListParagraph"/>
        <w:numPr>
          <w:ilvl w:val="0"/>
          <w:numId w:val="4"/>
        </w:numPr>
        <w:spacing w:after="0" w:line="360" w:lineRule="auto"/>
        <w:jc w:val="both"/>
        <w:rPr>
          <w:rFonts w:ascii="Arial" w:hAnsi="Arial" w:cs="Arial"/>
          <w:highlight w:val="yellow"/>
        </w:rPr>
      </w:pPr>
      <w:r w:rsidRPr="00AC4689">
        <w:rPr>
          <w:rFonts w:ascii="Arial" w:hAnsi="Arial" w:cs="Arial"/>
          <w:b/>
          <w:bCs/>
          <w:highlight w:val="yellow"/>
        </w:rPr>
        <w:t>Linnaeus C</w:t>
      </w:r>
      <w:r w:rsidRPr="00AC4689">
        <w:rPr>
          <w:rFonts w:ascii="Arial" w:hAnsi="Arial" w:cs="Arial"/>
          <w:highlight w:val="yellow"/>
        </w:rPr>
        <w:t xml:space="preserve">. Species Plantarum. </w:t>
      </w:r>
      <w:r w:rsidRPr="00AC4689">
        <w:rPr>
          <w:rFonts w:ascii="Arial" w:hAnsi="Arial" w:cs="Arial"/>
          <w:i/>
          <w:iCs/>
          <w:highlight w:val="yellow"/>
        </w:rPr>
        <w:t>The Royal Society of London,</w:t>
      </w:r>
      <w:r w:rsidRPr="00AC4689">
        <w:rPr>
          <w:rFonts w:ascii="Arial" w:hAnsi="Arial" w:cs="Arial"/>
          <w:highlight w:val="yellow"/>
        </w:rPr>
        <w:t xml:space="preserve"> (London) UK. 1857, 300.</w:t>
      </w:r>
    </w:p>
    <w:p w14:paraId="62FA327F" w14:textId="77777777" w:rsidR="00A53F2B" w:rsidRPr="00AC4689" w:rsidRDefault="00A53F2B" w:rsidP="00EB6343">
      <w:pPr>
        <w:pStyle w:val="ListParagraph"/>
        <w:numPr>
          <w:ilvl w:val="0"/>
          <w:numId w:val="4"/>
        </w:numPr>
        <w:spacing w:after="0" w:line="360" w:lineRule="auto"/>
        <w:jc w:val="both"/>
        <w:rPr>
          <w:rFonts w:ascii="Arial" w:eastAsiaTheme="minorEastAsia" w:hAnsi="Arial" w:cs="Arial"/>
          <w:highlight w:val="yellow"/>
        </w:rPr>
      </w:pPr>
      <w:r w:rsidRPr="00AC4689">
        <w:rPr>
          <w:rFonts w:ascii="Arial" w:eastAsiaTheme="minorEastAsia" w:hAnsi="Arial" w:cs="Arial"/>
          <w:b/>
          <w:bCs/>
          <w:highlight w:val="yellow"/>
        </w:rPr>
        <w:t>Ludwig, T. G., &amp; Goldberg, H. J. V.</w:t>
      </w:r>
      <w:r w:rsidRPr="00AC4689">
        <w:rPr>
          <w:rFonts w:ascii="Arial" w:eastAsiaTheme="minorEastAsia" w:hAnsi="Arial" w:cs="Arial"/>
          <w:highlight w:val="yellow"/>
        </w:rPr>
        <w:t xml:space="preserve"> </w:t>
      </w:r>
      <w:r w:rsidRPr="00AC4689">
        <w:rPr>
          <w:rFonts w:ascii="Arial" w:eastAsiaTheme="minorEastAsia" w:hAnsi="Arial" w:cs="Arial"/>
          <w:b/>
          <w:bCs/>
          <w:highlight w:val="yellow"/>
        </w:rPr>
        <w:t>(1956)</w:t>
      </w:r>
      <w:r w:rsidRPr="00AC4689">
        <w:rPr>
          <w:rFonts w:ascii="Arial" w:eastAsiaTheme="minorEastAsia" w:hAnsi="Arial" w:cs="Arial"/>
          <w:highlight w:val="yellow"/>
        </w:rPr>
        <w:t xml:space="preserve">. The </w:t>
      </w:r>
      <w:proofErr w:type="spellStart"/>
      <w:r w:rsidRPr="00AC4689">
        <w:rPr>
          <w:rFonts w:ascii="Arial" w:eastAsiaTheme="minorEastAsia" w:hAnsi="Arial" w:cs="Arial"/>
          <w:highlight w:val="yellow"/>
        </w:rPr>
        <w:t>anthrone</w:t>
      </w:r>
      <w:proofErr w:type="spellEnd"/>
      <w:r w:rsidRPr="00AC4689">
        <w:rPr>
          <w:rFonts w:ascii="Arial" w:eastAsiaTheme="minorEastAsia" w:hAnsi="Arial" w:cs="Arial"/>
          <w:highlight w:val="yellow"/>
        </w:rPr>
        <w:t xml:space="preserve"> method for the determination of carbohydrates in biological materials. </w:t>
      </w:r>
      <w:r w:rsidRPr="00AC4689">
        <w:rPr>
          <w:rFonts w:ascii="Arial" w:eastAsiaTheme="minorEastAsia" w:hAnsi="Arial" w:cs="Arial"/>
          <w:i/>
          <w:iCs/>
          <w:highlight w:val="yellow"/>
        </w:rPr>
        <w:t>Journal of Biological Chemistry</w:t>
      </w:r>
      <w:r w:rsidRPr="00AC4689">
        <w:rPr>
          <w:rFonts w:ascii="Arial" w:eastAsiaTheme="minorEastAsia" w:hAnsi="Arial" w:cs="Arial"/>
          <w:highlight w:val="yellow"/>
        </w:rPr>
        <w:t>, 200, 775–785.</w:t>
      </w:r>
    </w:p>
    <w:p w14:paraId="337028C0" w14:textId="77777777" w:rsidR="00A53F2B" w:rsidRPr="00AC4689" w:rsidRDefault="00A53F2B" w:rsidP="00EB6343">
      <w:pPr>
        <w:pStyle w:val="ListParagraph"/>
        <w:numPr>
          <w:ilvl w:val="0"/>
          <w:numId w:val="4"/>
        </w:numPr>
        <w:spacing w:after="0" w:line="360" w:lineRule="auto"/>
        <w:jc w:val="both"/>
        <w:rPr>
          <w:rFonts w:ascii="Arial" w:eastAsiaTheme="minorEastAsia" w:hAnsi="Arial" w:cs="Arial"/>
          <w:highlight w:val="yellow"/>
        </w:rPr>
      </w:pPr>
      <w:r w:rsidRPr="00AC4689">
        <w:rPr>
          <w:rFonts w:ascii="Arial" w:eastAsiaTheme="minorEastAsia" w:hAnsi="Arial" w:cs="Arial"/>
          <w:b/>
          <w:bCs/>
          <w:highlight w:val="yellow"/>
        </w:rPr>
        <w:t xml:space="preserve">Marinova, D., </w:t>
      </w:r>
      <w:proofErr w:type="spellStart"/>
      <w:r w:rsidRPr="00AC4689">
        <w:rPr>
          <w:rFonts w:ascii="Arial" w:eastAsiaTheme="minorEastAsia" w:hAnsi="Arial" w:cs="Arial"/>
          <w:b/>
          <w:bCs/>
          <w:highlight w:val="yellow"/>
        </w:rPr>
        <w:t>Ribarova</w:t>
      </w:r>
      <w:proofErr w:type="spellEnd"/>
      <w:r w:rsidRPr="00AC4689">
        <w:rPr>
          <w:rFonts w:ascii="Arial" w:eastAsiaTheme="minorEastAsia" w:hAnsi="Arial" w:cs="Arial"/>
          <w:b/>
          <w:bCs/>
          <w:highlight w:val="yellow"/>
        </w:rPr>
        <w:t xml:space="preserve">, F., &amp; </w:t>
      </w:r>
      <w:proofErr w:type="spellStart"/>
      <w:r w:rsidRPr="00AC4689">
        <w:rPr>
          <w:rFonts w:ascii="Arial" w:eastAsiaTheme="minorEastAsia" w:hAnsi="Arial" w:cs="Arial"/>
          <w:b/>
          <w:bCs/>
          <w:highlight w:val="yellow"/>
        </w:rPr>
        <w:t>Atanassova</w:t>
      </w:r>
      <w:proofErr w:type="spellEnd"/>
      <w:r w:rsidRPr="00AC4689">
        <w:rPr>
          <w:rFonts w:ascii="Arial" w:eastAsiaTheme="minorEastAsia" w:hAnsi="Arial" w:cs="Arial"/>
          <w:b/>
          <w:bCs/>
          <w:highlight w:val="yellow"/>
        </w:rPr>
        <w:t>, M.</w:t>
      </w:r>
      <w:r w:rsidRPr="00AC4689">
        <w:rPr>
          <w:rFonts w:ascii="Arial" w:eastAsiaTheme="minorEastAsia" w:hAnsi="Arial" w:cs="Arial"/>
          <w:highlight w:val="yellow"/>
        </w:rPr>
        <w:t xml:space="preserve"> </w:t>
      </w:r>
      <w:r w:rsidRPr="00AC4689">
        <w:rPr>
          <w:rFonts w:ascii="Arial" w:eastAsiaTheme="minorEastAsia" w:hAnsi="Arial" w:cs="Arial"/>
          <w:b/>
          <w:bCs/>
          <w:highlight w:val="yellow"/>
        </w:rPr>
        <w:t>(2005)</w:t>
      </w:r>
      <w:r w:rsidRPr="00AC4689">
        <w:rPr>
          <w:rFonts w:ascii="Arial" w:eastAsiaTheme="minorEastAsia" w:hAnsi="Arial" w:cs="Arial"/>
          <w:highlight w:val="yellow"/>
        </w:rPr>
        <w:t xml:space="preserve">. Total phenolics and total flavonoids in Bulgarian fruits and vegetables. </w:t>
      </w:r>
      <w:r w:rsidRPr="00AC4689">
        <w:rPr>
          <w:rFonts w:ascii="Arial" w:eastAsiaTheme="minorEastAsia" w:hAnsi="Arial" w:cs="Arial"/>
          <w:i/>
          <w:iCs/>
          <w:highlight w:val="yellow"/>
        </w:rPr>
        <w:t>Journal of the University of Chemical Technology and Metallurgy</w:t>
      </w:r>
      <w:r w:rsidRPr="00AC4689">
        <w:rPr>
          <w:rFonts w:ascii="Arial" w:eastAsiaTheme="minorEastAsia" w:hAnsi="Arial" w:cs="Arial"/>
          <w:highlight w:val="yellow"/>
        </w:rPr>
        <w:t xml:space="preserve">, </w:t>
      </w:r>
      <w:r w:rsidRPr="00AC4689">
        <w:rPr>
          <w:rFonts w:ascii="Arial" w:eastAsiaTheme="minorEastAsia" w:hAnsi="Arial" w:cs="Arial"/>
          <w:b/>
          <w:bCs/>
          <w:highlight w:val="yellow"/>
        </w:rPr>
        <w:t>40</w:t>
      </w:r>
      <w:r w:rsidRPr="00AC4689">
        <w:rPr>
          <w:rFonts w:ascii="Arial" w:eastAsiaTheme="minorEastAsia" w:hAnsi="Arial" w:cs="Arial"/>
          <w:highlight w:val="yellow"/>
        </w:rPr>
        <w:t>(3), 255–260.</w:t>
      </w:r>
    </w:p>
    <w:p w14:paraId="70D815D4" w14:textId="77777777" w:rsidR="00A53F2B" w:rsidRPr="00AC4689" w:rsidRDefault="00A53F2B" w:rsidP="00EB6343">
      <w:pPr>
        <w:pStyle w:val="ListParagraph"/>
        <w:numPr>
          <w:ilvl w:val="0"/>
          <w:numId w:val="4"/>
        </w:numPr>
        <w:spacing w:after="0" w:line="360" w:lineRule="auto"/>
        <w:jc w:val="both"/>
        <w:rPr>
          <w:rFonts w:ascii="Arial" w:eastAsiaTheme="minorEastAsia" w:hAnsi="Arial" w:cs="Arial"/>
          <w:highlight w:val="yellow"/>
        </w:rPr>
      </w:pPr>
      <w:r w:rsidRPr="00AC4689">
        <w:rPr>
          <w:rFonts w:ascii="Arial" w:eastAsiaTheme="minorEastAsia" w:hAnsi="Arial" w:cs="Arial"/>
          <w:b/>
          <w:bCs/>
          <w:highlight w:val="yellow"/>
        </w:rPr>
        <w:t>Markham, R. (1942).</w:t>
      </w:r>
      <w:r w:rsidRPr="00AC4689">
        <w:rPr>
          <w:rFonts w:ascii="Arial" w:eastAsiaTheme="minorEastAsia" w:hAnsi="Arial" w:cs="Arial"/>
          <w:highlight w:val="yellow"/>
        </w:rPr>
        <w:t xml:space="preserve"> A steam distillation apparatus suitable for micro-Kjeldahl analysis. </w:t>
      </w:r>
      <w:r w:rsidRPr="00AC4689">
        <w:rPr>
          <w:rFonts w:ascii="Arial" w:eastAsiaTheme="minorEastAsia" w:hAnsi="Arial" w:cs="Arial"/>
          <w:i/>
          <w:iCs/>
          <w:highlight w:val="yellow"/>
        </w:rPr>
        <w:t>Biochemical Journal</w:t>
      </w:r>
      <w:r w:rsidRPr="00AC4689">
        <w:rPr>
          <w:rFonts w:ascii="Arial" w:eastAsiaTheme="minorEastAsia" w:hAnsi="Arial" w:cs="Arial"/>
          <w:highlight w:val="yellow"/>
        </w:rPr>
        <w:t>, </w:t>
      </w:r>
      <w:r w:rsidRPr="00AC4689">
        <w:rPr>
          <w:rFonts w:ascii="Arial" w:eastAsiaTheme="minorEastAsia" w:hAnsi="Arial" w:cs="Arial"/>
          <w:b/>
          <w:bCs/>
          <w:highlight w:val="yellow"/>
        </w:rPr>
        <w:t>36</w:t>
      </w:r>
      <w:r w:rsidRPr="00AC4689">
        <w:rPr>
          <w:rFonts w:ascii="Arial" w:eastAsiaTheme="minorEastAsia" w:hAnsi="Arial" w:cs="Arial"/>
          <w:highlight w:val="yellow"/>
        </w:rPr>
        <w:t>(10-12), 790.</w:t>
      </w:r>
    </w:p>
    <w:p w14:paraId="2CCA5C2E" w14:textId="1491976D" w:rsidR="00A53F2B" w:rsidRPr="00EB6343" w:rsidRDefault="00A53F2B" w:rsidP="00EB6343">
      <w:pPr>
        <w:pStyle w:val="ListParagraph"/>
        <w:numPr>
          <w:ilvl w:val="0"/>
          <w:numId w:val="4"/>
        </w:numPr>
        <w:spacing w:after="0" w:line="360" w:lineRule="auto"/>
        <w:jc w:val="both"/>
        <w:rPr>
          <w:rFonts w:ascii="Arial" w:hAnsi="Arial" w:cs="Arial"/>
          <w:highlight w:val="yellow"/>
        </w:rPr>
      </w:pPr>
      <w:r w:rsidRPr="00EB6343">
        <w:rPr>
          <w:rFonts w:ascii="Arial" w:hAnsi="Arial" w:cs="Arial"/>
          <w:b/>
          <w:bCs/>
          <w:highlight w:val="yellow"/>
        </w:rPr>
        <w:t xml:space="preserve">Meena, A. K., </w:t>
      </w:r>
      <w:proofErr w:type="spellStart"/>
      <w:r w:rsidRPr="00EB6343">
        <w:rPr>
          <w:rFonts w:ascii="Arial" w:hAnsi="Arial" w:cs="Arial"/>
          <w:b/>
          <w:bCs/>
          <w:highlight w:val="yellow"/>
        </w:rPr>
        <w:t>Kulhari</w:t>
      </w:r>
      <w:proofErr w:type="spellEnd"/>
      <w:r w:rsidRPr="00EB6343">
        <w:rPr>
          <w:rFonts w:ascii="Arial" w:hAnsi="Arial" w:cs="Arial"/>
          <w:b/>
          <w:bCs/>
          <w:highlight w:val="yellow"/>
        </w:rPr>
        <w:t>, S., Kumar, M., Koli, N. R., Tak, Y., Meena, D. and Meena, N. (2020).</w:t>
      </w:r>
      <w:r w:rsidRPr="00EB6343">
        <w:rPr>
          <w:rFonts w:ascii="Arial" w:hAnsi="Arial" w:cs="Arial"/>
          <w:highlight w:val="yellow"/>
        </w:rPr>
        <w:t xml:space="preserve"> Studies on genetic variability and character association in linseed (</w:t>
      </w:r>
      <w:proofErr w:type="spellStart"/>
      <w:r w:rsidR="00E40DC2" w:rsidRPr="00EB6343">
        <w:rPr>
          <w:rFonts w:ascii="Arial" w:hAnsi="Arial" w:cs="Arial"/>
          <w:i/>
          <w:iCs/>
          <w:highlight w:val="yellow"/>
        </w:rPr>
        <w:t>Linum</w:t>
      </w:r>
      <w:proofErr w:type="spellEnd"/>
      <w:r w:rsidR="00E40DC2" w:rsidRPr="00EB6343">
        <w:rPr>
          <w:rFonts w:ascii="Arial" w:hAnsi="Arial" w:cs="Arial"/>
          <w:i/>
          <w:iCs/>
          <w:highlight w:val="yellow"/>
        </w:rPr>
        <w:t xml:space="preserve"> </w:t>
      </w:r>
      <w:proofErr w:type="spellStart"/>
      <w:r w:rsidR="00E40DC2" w:rsidRPr="00EB6343">
        <w:rPr>
          <w:rFonts w:ascii="Arial" w:hAnsi="Arial" w:cs="Arial"/>
          <w:i/>
          <w:iCs/>
          <w:highlight w:val="yellow"/>
        </w:rPr>
        <w:t>usitatissimum</w:t>
      </w:r>
      <w:proofErr w:type="spellEnd"/>
      <w:r w:rsidR="00E40DC2" w:rsidRPr="00EB6343">
        <w:rPr>
          <w:rFonts w:ascii="Arial" w:hAnsi="Arial" w:cs="Arial"/>
          <w:i/>
          <w:iCs/>
          <w:highlight w:val="yellow"/>
        </w:rPr>
        <w:t xml:space="preserve"> </w:t>
      </w:r>
      <w:r w:rsidRPr="00EB6343">
        <w:rPr>
          <w:rFonts w:ascii="Arial" w:hAnsi="Arial" w:cs="Arial"/>
          <w:highlight w:val="yellow"/>
        </w:rPr>
        <w:t xml:space="preserve">L.) genotypes. </w:t>
      </w:r>
      <w:r w:rsidRPr="00EB6343">
        <w:rPr>
          <w:rFonts w:ascii="Arial" w:hAnsi="Arial" w:cs="Arial"/>
          <w:i/>
          <w:iCs/>
          <w:highlight w:val="yellow"/>
        </w:rPr>
        <w:t xml:space="preserve">International Journal of Current Microbiology and Applied Sciences, </w:t>
      </w:r>
      <w:r w:rsidRPr="00EB6343">
        <w:rPr>
          <w:rFonts w:ascii="Arial" w:hAnsi="Arial" w:cs="Arial"/>
          <w:b/>
          <w:bCs/>
          <w:highlight w:val="yellow"/>
        </w:rPr>
        <w:t>9</w:t>
      </w:r>
      <w:r w:rsidRPr="00EB6343">
        <w:rPr>
          <w:rFonts w:ascii="Arial" w:hAnsi="Arial" w:cs="Arial"/>
          <w:highlight w:val="yellow"/>
        </w:rPr>
        <w:t>(7): 3949-3957.</w:t>
      </w:r>
    </w:p>
    <w:p w14:paraId="6A3F156B" w14:textId="77777777" w:rsidR="00A53F2B" w:rsidRPr="00EB6343" w:rsidRDefault="00A53F2B" w:rsidP="00EB6343">
      <w:pPr>
        <w:pStyle w:val="ListParagraph"/>
        <w:numPr>
          <w:ilvl w:val="0"/>
          <w:numId w:val="4"/>
        </w:numPr>
        <w:rPr>
          <w:rFonts w:ascii="Arial" w:hAnsi="Arial" w:cs="Arial"/>
          <w:highlight w:val="yellow"/>
        </w:rPr>
      </w:pPr>
      <w:r w:rsidRPr="00EB6343">
        <w:rPr>
          <w:rFonts w:ascii="Arial" w:hAnsi="Arial" w:cs="Arial"/>
          <w:b/>
          <w:bCs/>
          <w:highlight w:val="yellow"/>
        </w:rPr>
        <w:t xml:space="preserve">Morya, S., Menaa, F., Jiménez-López, C., Lourenço-Lopes, C., </w:t>
      </w:r>
      <w:proofErr w:type="spellStart"/>
      <w:r w:rsidRPr="00EB6343">
        <w:rPr>
          <w:rFonts w:ascii="Arial" w:hAnsi="Arial" w:cs="Arial"/>
          <w:b/>
          <w:bCs/>
          <w:highlight w:val="yellow"/>
        </w:rPr>
        <w:t>BinMowyna</w:t>
      </w:r>
      <w:proofErr w:type="spellEnd"/>
      <w:r w:rsidRPr="00EB6343">
        <w:rPr>
          <w:rFonts w:ascii="Arial" w:hAnsi="Arial" w:cs="Arial"/>
          <w:b/>
          <w:bCs/>
          <w:highlight w:val="yellow"/>
        </w:rPr>
        <w:t>, M. N., &amp; Alqahtani, A. (2022).</w:t>
      </w:r>
      <w:r w:rsidRPr="00EB6343">
        <w:rPr>
          <w:rFonts w:ascii="Arial" w:hAnsi="Arial" w:cs="Arial"/>
          <w:highlight w:val="yellow"/>
        </w:rPr>
        <w:t xml:space="preserve"> Nutraceutical and pharmaceutical </w:t>
      </w:r>
      <w:proofErr w:type="spellStart"/>
      <w:r w:rsidRPr="00EB6343">
        <w:rPr>
          <w:rFonts w:ascii="Arial" w:hAnsi="Arial" w:cs="Arial"/>
          <w:highlight w:val="yellow"/>
        </w:rPr>
        <w:t>behavior</w:t>
      </w:r>
      <w:proofErr w:type="spellEnd"/>
      <w:r w:rsidRPr="00EB6343">
        <w:rPr>
          <w:rFonts w:ascii="Arial" w:hAnsi="Arial" w:cs="Arial"/>
          <w:highlight w:val="yellow"/>
        </w:rPr>
        <w:t xml:space="preserve"> of bioactive compounds of miracle oilseeds: An overview. Foods (Basel, Switzerland), 11(13), 1824. https://doi.org/10.3390/ foods11131824</w:t>
      </w:r>
    </w:p>
    <w:p w14:paraId="1125995E" w14:textId="11BC278F" w:rsidR="00A53F2B" w:rsidRPr="00EB6343" w:rsidRDefault="00A53F2B" w:rsidP="00EB6343">
      <w:pPr>
        <w:pStyle w:val="ListParagraph"/>
        <w:numPr>
          <w:ilvl w:val="0"/>
          <w:numId w:val="4"/>
        </w:numPr>
        <w:rPr>
          <w:rFonts w:ascii="Arial" w:hAnsi="Arial" w:cs="Arial"/>
          <w:highlight w:val="yellow"/>
        </w:rPr>
      </w:pPr>
      <w:r w:rsidRPr="00EB6343">
        <w:rPr>
          <w:rFonts w:ascii="Arial" w:hAnsi="Arial" w:cs="Arial"/>
          <w:b/>
          <w:bCs/>
          <w:highlight w:val="yellow"/>
        </w:rPr>
        <w:t xml:space="preserve">Morya, S., Menaa, F., Jiménez-López, C., Lourenço-Lopes, C., </w:t>
      </w:r>
      <w:proofErr w:type="spellStart"/>
      <w:r w:rsidRPr="00EB6343">
        <w:rPr>
          <w:rFonts w:ascii="Arial" w:hAnsi="Arial" w:cs="Arial"/>
          <w:b/>
          <w:bCs/>
          <w:highlight w:val="yellow"/>
        </w:rPr>
        <w:t>BinMowyna</w:t>
      </w:r>
      <w:proofErr w:type="spellEnd"/>
      <w:r w:rsidRPr="00EB6343">
        <w:rPr>
          <w:rFonts w:ascii="Arial" w:hAnsi="Arial" w:cs="Arial"/>
          <w:b/>
          <w:bCs/>
          <w:highlight w:val="yellow"/>
        </w:rPr>
        <w:t>, M. N., &amp; Alqahtani, A. (2022).</w:t>
      </w:r>
      <w:r w:rsidRPr="00EB6343">
        <w:rPr>
          <w:rFonts w:ascii="Arial" w:hAnsi="Arial" w:cs="Arial"/>
          <w:highlight w:val="yellow"/>
        </w:rPr>
        <w:t xml:space="preserve"> Nutraceutical and pharmaceutical </w:t>
      </w:r>
      <w:proofErr w:type="spellStart"/>
      <w:r w:rsidRPr="00EB6343">
        <w:rPr>
          <w:rFonts w:ascii="Arial" w:hAnsi="Arial" w:cs="Arial"/>
          <w:highlight w:val="yellow"/>
        </w:rPr>
        <w:t>behavior</w:t>
      </w:r>
      <w:proofErr w:type="spellEnd"/>
      <w:r w:rsidRPr="00EB6343">
        <w:rPr>
          <w:rFonts w:ascii="Arial" w:hAnsi="Arial" w:cs="Arial"/>
          <w:highlight w:val="yellow"/>
        </w:rPr>
        <w:t xml:space="preserve"> of bioactive compounds of miracle oilseeds: An overview. Foods (Basel, Switzerland), 11(13), 1824. https://doi.org/10.3390/ foods11131824 Mueed, </w:t>
      </w:r>
      <w:r w:rsidRPr="00EB6343">
        <w:rPr>
          <w:rFonts w:ascii="Arial" w:hAnsi="Arial" w:cs="Arial"/>
          <w:b/>
          <w:bCs/>
          <w:highlight w:val="yellow"/>
        </w:rPr>
        <w:t>A., Shibli, S., Jahangir, M., Jabbar, S., &amp; Deng, Z. (2023).</w:t>
      </w:r>
      <w:r w:rsidRPr="00EB6343">
        <w:rPr>
          <w:rFonts w:ascii="Arial" w:hAnsi="Arial" w:cs="Arial"/>
          <w:highlight w:val="yellow"/>
        </w:rPr>
        <w:t xml:space="preserve"> A comprehensive review of flaxseed (</w:t>
      </w:r>
      <w:proofErr w:type="spellStart"/>
      <w:r w:rsidR="00E40DC2" w:rsidRPr="00EB6343">
        <w:rPr>
          <w:rFonts w:ascii="Arial" w:hAnsi="Arial" w:cs="Arial"/>
          <w:i/>
          <w:iCs/>
          <w:highlight w:val="yellow"/>
        </w:rPr>
        <w:t>Linum</w:t>
      </w:r>
      <w:proofErr w:type="spellEnd"/>
      <w:r w:rsidR="00E40DC2" w:rsidRPr="00EB6343">
        <w:rPr>
          <w:rFonts w:ascii="Arial" w:hAnsi="Arial" w:cs="Arial"/>
          <w:i/>
          <w:iCs/>
          <w:highlight w:val="yellow"/>
        </w:rPr>
        <w:t xml:space="preserve"> </w:t>
      </w:r>
      <w:proofErr w:type="spellStart"/>
      <w:r w:rsidR="00E40DC2" w:rsidRPr="00EB6343">
        <w:rPr>
          <w:rFonts w:ascii="Arial" w:hAnsi="Arial" w:cs="Arial"/>
          <w:i/>
          <w:iCs/>
          <w:highlight w:val="yellow"/>
        </w:rPr>
        <w:t>usitatissimum</w:t>
      </w:r>
      <w:proofErr w:type="spellEnd"/>
      <w:r w:rsidR="00E40DC2" w:rsidRPr="00EB6343">
        <w:rPr>
          <w:rFonts w:ascii="Arial" w:hAnsi="Arial" w:cs="Arial"/>
          <w:i/>
          <w:iCs/>
          <w:highlight w:val="yellow"/>
        </w:rPr>
        <w:t xml:space="preserve"> </w:t>
      </w:r>
      <w:r w:rsidRPr="00EB6343">
        <w:rPr>
          <w:rFonts w:ascii="Arial" w:hAnsi="Arial" w:cs="Arial"/>
          <w:highlight w:val="yellow"/>
        </w:rPr>
        <w:t>L.): Health-affecting compounds, mechanism of toxicity, detoxification, anticancer and potential risk. Critical Reviews in Food Science and Nutrition, 63(32), 11081–11104. https://doi. org/10.1080/10408398.2022.2092718</w:t>
      </w:r>
    </w:p>
    <w:p w14:paraId="6A796969" w14:textId="752B4C10" w:rsidR="00A53F2B" w:rsidRPr="00EB6343" w:rsidRDefault="00A53F2B" w:rsidP="00EB6343">
      <w:pPr>
        <w:pStyle w:val="ListParagraph"/>
        <w:numPr>
          <w:ilvl w:val="0"/>
          <w:numId w:val="4"/>
        </w:numPr>
        <w:rPr>
          <w:rFonts w:ascii="Arial" w:hAnsi="Arial" w:cs="Arial"/>
          <w:highlight w:val="yellow"/>
        </w:rPr>
      </w:pPr>
      <w:r w:rsidRPr="00EB6343">
        <w:rPr>
          <w:rFonts w:ascii="Arial" w:hAnsi="Arial" w:cs="Arial"/>
          <w:b/>
          <w:bCs/>
          <w:highlight w:val="yellow"/>
        </w:rPr>
        <w:t>Mueed, A., Shibli, S., Jahangir, M., Jabbar, S., &amp; Deng, Z. (2023).</w:t>
      </w:r>
      <w:r w:rsidRPr="00EB6343">
        <w:rPr>
          <w:rFonts w:ascii="Arial" w:hAnsi="Arial" w:cs="Arial"/>
          <w:highlight w:val="yellow"/>
        </w:rPr>
        <w:t xml:space="preserve"> A comprehensive review of flaxseed (</w:t>
      </w:r>
      <w:proofErr w:type="spellStart"/>
      <w:r w:rsidR="00E40DC2" w:rsidRPr="00EB6343">
        <w:rPr>
          <w:rFonts w:ascii="Arial" w:hAnsi="Arial" w:cs="Arial"/>
          <w:i/>
          <w:iCs/>
          <w:highlight w:val="yellow"/>
        </w:rPr>
        <w:t>Linum</w:t>
      </w:r>
      <w:proofErr w:type="spellEnd"/>
      <w:r w:rsidR="00E40DC2" w:rsidRPr="00EB6343">
        <w:rPr>
          <w:rFonts w:ascii="Arial" w:hAnsi="Arial" w:cs="Arial"/>
          <w:i/>
          <w:iCs/>
          <w:highlight w:val="yellow"/>
        </w:rPr>
        <w:t xml:space="preserve"> </w:t>
      </w:r>
      <w:proofErr w:type="spellStart"/>
      <w:r w:rsidR="00E40DC2" w:rsidRPr="00EB6343">
        <w:rPr>
          <w:rFonts w:ascii="Arial" w:hAnsi="Arial" w:cs="Arial"/>
          <w:i/>
          <w:iCs/>
          <w:highlight w:val="yellow"/>
        </w:rPr>
        <w:t>usitatissimum</w:t>
      </w:r>
      <w:proofErr w:type="spellEnd"/>
      <w:r w:rsidR="00E40DC2" w:rsidRPr="00EB6343">
        <w:rPr>
          <w:rFonts w:ascii="Arial" w:hAnsi="Arial" w:cs="Arial"/>
          <w:i/>
          <w:iCs/>
          <w:highlight w:val="yellow"/>
        </w:rPr>
        <w:t xml:space="preserve"> </w:t>
      </w:r>
      <w:r w:rsidRPr="00EB6343">
        <w:rPr>
          <w:rFonts w:ascii="Arial" w:hAnsi="Arial" w:cs="Arial"/>
          <w:highlight w:val="yellow"/>
        </w:rPr>
        <w:t xml:space="preserve">L.): Health-affecting compounds, mechanism of toxicity, detoxification, anticancer and potential risk. Critical Reviews in Food Science and Nutrition, 63(32), 11081–11104. https://doi. org/10.1080/10408398.2022.2092718 </w:t>
      </w:r>
      <w:proofErr w:type="spellStart"/>
      <w:r w:rsidRPr="00EB6343">
        <w:rPr>
          <w:rFonts w:ascii="Arial" w:hAnsi="Arial" w:cs="Arial"/>
          <w:highlight w:val="yellow"/>
        </w:rPr>
        <w:t>Muzyczek</w:t>
      </w:r>
      <w:proofErr w:type="spellEnd"/>
      <w:r w:rsidRPr="00EB6343">
        <w:rPr>
          <w:rFonts w:ascii="Arial" w:hAnsi="Arial" w:cs="Arial"/>
          <w:highlight w:val="yellow"/>
        </w:rPr>
        <w:t xml:space="preserve">, M. (2020). The use of flax and </w:t>
      </w:r>
      <w:r w:rsidRPr="00EB6343">
        <w:rPr>
          <w:rFonts w:ascii="Arial" w:hAnsi="Arial" w:cs="Arial"/>
          <w:highlight w:val="yellow"/>
        </w:rPr>
        <w:lastRenderedPageBreak/>
        <w:t>hemp for textile applications. In Handbook of natural fibres (pp. 147–167). Woodhead Publishing.</w:t>
      </w:r>
    </w:p>
    <w:p w14:paraId="4ECDDF2C" w14:textId="77777777" w:rsidR="00A53F2B" w:rsidRPr="00EB6343" w:rsidRDefault="00A53F2B" w:rsidP="00EB6343">
      <w:pPr>
        <w:pStyle w:val="ListParagraph"/>
        <w:numPr>
          <w:ilvl w:val="0"/>
          <w:numId w:val="4"/>
        </w:numPr>
        <w:tabs>
          <w:tab w:val="left" w:pos="2694"/>
        </w:tabs>
        <w:spacing w:after="0" w:line="360" w:lineRule="auto"/>
        <w:jc w:val="both"/>
        <w:rPr>
          <w:rFonts w:ascii="Arial" w:hAnsi="Arial" w:cs="Arial"/>
          <w:highlight w:val="yellow"/>
        </w:rPr>
      </w:pPr>
      <w:bookmarkStart w:id="0" w:name="_Hlk204887231"/>
      <w:r w:rsidRPr="00EB6343">
        <w:rPr>
          <w:rFonts w:ascii="Arial" w:hAnsi="Arial" w:cs="Arial"/>
          <w:b/>
          <w:bCs/>
          <w:highlight w:val="yellow"/>
        </w:rPr>
        <w:t>Paliwal</w:t>
      </w:r>
      <w:bookmarkEnd w:id="0"/>
      <w:r w:rsidRPr="00EB6343">
        <w:rPr>
          <w:rFonts w:ascii="Arial" w:hAnsi="Arial" w:cs="Arial"/>
          <w:b/>
          <w:bCs/>
          <w:highlight w:val="yellow"/>
        </w:rPr>
        <w:t xml:space="preserve"> Shruti, Tripathi Manoj Kumar, Sikarwar RS, Kumar Yadav Rakesh and </w:t>
      </w:r>
      <w:proofErr w:type="spellStart"/>
      <w:r w:rsidRPr="00EB6343">
        <w:rPr>
          <w:rFonts w:ascii="Arial" w:hAnsi="Arial" w:cs="Arial"/>
          <w:b/>
          <w:bCs/>
          <w:highlight w:val="yellow"/>
        </w:rPr>
        <w:t>Sonaniya</w:t>
      </w:r>
      <w:proofErr w:type="spellEnd"/>
      <w:r w:rsidRPr="00EB6343">
        <w:rPr>
          <w:rFonts w:ascii="Arial" w:hAnsi="Arial" w:cs="Arial"/>
          <w:b/>
          <w:bCs/>
          <w:highlight w:val="yellow"/>
        </w:rPr>
        <w:t xml:space="preserve"> Pallavi. (2024</w:t>
      </w:r>
      <w:r w:rsidRPr="00EB6343">
        <w:rPr>
          <w:rFonts w:ascii="Arial" w:hAnsi="Arial" w:cs="Arial"/>
          <w:highlight w:val="yellow"/>
        </w:rPr>
        <w:t>). Evaluation of biochemical parameters in linseed (</w:t>
      </w:r>
      <w:proofErr w:type="spellStart"/>
      <w:r w:rsidRPr="00EB6343">
        <w:rPr>
          <w:rFonts w:ascii="Arial" w:hAnsi="Arial" w:cs="Arial"/>
          <w:highlight w:val="yellow"/>
        </w:rPr>
        <w:t>Linum</w:t>
      </w:r>
      <w:proofErr w:type="spellEnd"/>
      <w:r w:rsidRPr="00EB6343">
        <w:rPr>
          <w:rFonts w:ascii="Arial" w:hAnsi="Arial" w:cs="Arial"/>
          <w:highlight w:val="yellow"/>
        </w:rPr>
        <w:t xml:space="preserve"> </w:t>
      </w:r>
      <w:proofErr w:type="spellStart"/>
      <w:r w:rsidRPr="00EB6343">
        <w:rPr>
          <w:rFonts w:ascii="Arial" w:hAnsi="Arial" w:cs="Arial"/>
          <w:highlight w:val="yellow"/>
        </w:rPr>
        <w:t>usitatissimum</w:t>
      </w:r>
      <w:proofErr w:type="spellEnd"/>
      <w:r w:rsidRPr="00EB6343">
        <w:rPr>
          <w:rFonts w:ascii="Arial" w:hAnsi="Arial" w:cs="Arial"/>
          <w:highlight w:val="yellow"/>
        </w:rPr>
        <w:t xml:space="preserve">). </w:t>
      </w:r>
      <w:r w:rsidRPr="00EB6343">
        <w:rPr>
          <w:rFonts w:ascii="Arial" w:hAnsi="Arial" w:cs="Arial"/>
          <w:i/>
          <w:iCs/>
          <w:highlight w:val="yellow"/>
        </w:rPr>
        <w:t>International Journal of Advanced Biochemistry Research</w:t>
      </w:r>
      <w:r w:rsidRPr="00EB6343">
        <w:rPr>
          <w:rFonts w:ascii="Arial" w:hAnsi="Arial" w:cs="Arial"/>
          <w:highlight w:val="yellow"/>
        </w:rPr>
        <w:t xml:space="preserve">; </w:t>
      </w:r>
      <w:r w:rsidRPr="00EB6343">
        <w:rPr>
          <w:rFonts w:ascii="Arial" w:hAnsi="Arial" w:cs="Arial"/>
          <w:b/>
          <w:bCs/>
          <w:highlight w:val="yellow"/>
        </w:rPr>
        <w:t>8</w:t>
      </w:r>
      <w:r w:rsidRPr="00EB6343">
        <w:rPr>
          <w:rFonts w:ascii="Arial" w:hAnsi="Arial" w:cs="Arial"/>
          <w:highlight w:val="yellow"/>
        </w:rPr>
        <w:t>(4): 260-267.</w:t>
      </w:r>
    </w:p>
    <w:p w14:paraId="4AF788C1" w14:textId="5ED953C1" w:rsidR="00A53F2B" w:rsidRPr="00AC4689" w:rsidRDefault="00A53F2B" w:rsidP="00EB6343">
      <w:pPr>
        <w:pStyle w:val="ListParagraph"/>
        <w:numPr>
          <w:ilvl w:val="0"/>
          <w:numId w:val="4"/>
        </w:numPr>
        <w:spacing w:after="0" w:line="360" w:lineRule="auto"/>
        <w:jc w:val="both"/>
        <w:rPr>
          <w:rFonts w:ascii="Arial" w:hAnsi="Arial" w:cs="Arial"/>
          <w:highlight w:val="yellow"/>
        </w:rPr>
      </w:pPr>
      <w:r w:rsidRPr="00AC4689">
        <w:rPr>
          <w:rFonts w:ascii="Arial" w:hAnsi="Arial" w:cs="Arial"/>
          <w:b/>
          <w:bCs/>
          <w:highlight w:val="yellow"/>
        </w:rPr>
        <w:t xml:space="preserve">Paul, S., </w:t>
      </w:r>
      <w:proofErr w:type="spellStart"/>
      <w:r w:rsidRPr="00AC4689">
        <w:rPr>
          <w:rFonts w:ascii="Arial" w:hAnsi="Arial" w:cs="Arial"/>
          <w:b/>
          <w:bCs/>
          <w:highlight w:val="yellow"/>
        </w:rPr>
        <w:t>Satasiya</w:t>
      </w:r>
      <w:proofErr w:type="spellEnd"/>
      <w:r w:rsidRPr="00AC4689">
        <w:rPr>
          <w:rFonts w:ascii="Arial" w:hAnsi="Arial" w:cs="Arial"/>
          <w:b/>
          <w:bCs/>
          <w:highlight w:val="yellow"/>
        </w:rPr>
        <w:t>, P. and Kumar, A. (2020).</w:t>
      </w:r>
      <w:r w:rsidRPr="00AC4689">
        <w:rPr>
          <w:rFonts w:ascii="Arial" w:hAnsi="Arial" w:cs="Arial"/>
          <w:highlight w:val="yellow"/>
        </w:rPr>
        <w:t xml:space="preserve"> Genetic variability, correlation and path coefficient analysis of introduced genotypes of linseed (</w:t>
      </w:r>
      <w:proofErr w:type="spellStart"/>
      <w:r w:rsidR="00E40DC2" w:rsidRPr="00E40DC2">
        <w:rPr>
          <w:rFonts w:ascii="Arial" w:hAnsi="Arial" w:cs="Arial"/>
          <w:i/>
          <w:iCs/>
          <w:highlight w:val="yellow"/>
        </w:rPr>
        <w:t>Linum</w:t>
      </w:r>
      <w:proofErr w:type="spellEnd"/>
      <w:r w:rsidR="00E40DC2" w:rsidRPr="00E40DC2">
        <w:rPr>
          <w:rFonts w:ascii="Arial" w:hAnsi="Arial" w:cs="Arial"/>
          <w:i/>
          <w:iCs/>
          <w:highlight w:val="yellow"/>
        </w:rPr>
        <w:t xml:space="preserve"> </w:t>
      </w:r>
      <w:proofErr w:type="spellStart"/>
      <w:r w:rsidR="00E40DC2" w:rsidRPr="00E40DC2">
        <w:rPr>
          <w:rFonts w:ascii="Arial" w:hAnsi="Arial" w:cs="Arial"/>
          <w:i/>
          <w:iCs/>
          <w:highlight w:val="yellow"/>
        </w:rPr>
        <w:t>usitatissimum</w:t>
      </w:r>
      <w:proofErr w:type="spellEnd"/>
      <w:r w:rsidR="00E40DC2" w:rsidRPr="00E40DC2">
        <w:rPr>
          <w:rFonts w:ascii="Arial" w:hAnsi="Arial" w:cs="Arial"/>
          <w:i/>
          <w:iCs/>
          <w:highlight w:val="yellow"/>
        </w:rPr>
        <w:t xml:space="preserve"> </w:t>
      </w:r>
      <w:r w:rsidRPr="00AC4689">
        <w:rPr>
          <w:rFonts w:ascii="Arial" w:hAnsi="Arial" w:cs="Arial"/>
          <w:highlight w:val="yellow"/>
        </w:rPr>
        <w:t xml:space="preserve">L.) in mid-hills of North-West Himalayas. </w:t>
      </w:r>
      <w:r w:rsidRPr="00AC4689">
        <w:rPr>
          <w:rFonts w:ascii="Arial" w:hAnsi="Arial" w:cs="Arial"/>
          <w:i/>
          <w:iCs/>
          <w:highlight w:val="yellow"/>
        </w:rPr>
        <w:t>Journal of Pharmacognosy and Phytochemistry,</w:t>
      </w:r>
      <w:r w:rsidRPr="00AC4689">
        <w:rPr>
          <w:rFonts w:ascii="Arial" w:hAnsi="Arial" w:cs="Arial"/>
          <w:highlight w:val="yellow"/>
        </w:rPr>
        <w:t xml:space="preserve"> </w:t>
      </w:r>
      <w:r w:rsidRPr="00AC4689">
        <w:rPr>
          <w:rFonts w:ascii="Arial" w:hAnsi="Arial" w:cs="Arial"/>
          <w:b/>
          <w:bCs/>
          <w:highlight w:val="yellow"/>
        </w:rPr>
        <w:t>9</w:t>
      </w:r>
      <w:r w:rsidRPr="00AC4689">
        <w:rPr>
          <w:rFonts w:ascii="Arial" w:hAnsi="Arial" w:cs="Arial"/>
          <w:highlight w:val="yellow"/>
        </w:rPr>
        <w:t>(1), 1189-1192.</w:t>
      </w:r>
    </w:p>
    <w:p w14:paraId="154631ED" w14:textId="77777777" w:rsidR="00A53F2B" w:rsidRPr="00AC4689" w:rsidRDefault="00A53F2B" w:rsidP="00EB6343">
      <w:pPr>
        <w:pStyle w:val="ListParagraph"/>
        <w:numPr>
          <w:ilvl w:val="0"/>
          <w:numId w:val="4"/>
        </w:numPr>
        <w:spacing w:after="0" w:line="360" w:lineRule="auto"/>
        <w:jc w:val="both"/>
        <w:rPr>
          <w:rFonts w:ascii="Arial" w:eastAsiaTheme="minorEastAsia" w:hAnsi="Arial" w:cs="Arial"/>
          <w:highlight w:val="yellow"/>
        </w:rPr>
      </w:pPr>
      <w:r w:rsidRPr="00AC4689">
        <w:rPr>
          <w:rFonts w:ascii="Arial" w:eastAsiaTheme="minorEastAsia" w:hAnsi="Arial" w:cs="Arial"/>
          <w:b/>
          <w:bCs/>
          <w:highlight w:val="yellow"/>
        </w:rPr>
        <w:t>Prieto, P., Pineda, M., &amp; Aguilar, M. (1999</w:t>
      </w:r>
      <w:r w:rsidRPr="00AC4689">
        <w:rPr>
          <w:rFonts w:ascii="Arial" w:eastAsiaTheme="minorEastAsia" w:hAnsi="Arial" w:cs="Arial"/>
          <w:highlight w:val="yellow"/>
        </w:rPr>
        <w:t xml:space="preserve">). Spectrophotometric quantitation of antioxidant capacity through the formation of a </w:t>
      </w:r>
      <w:proofErr w:type="spellStart"/>
      <w:r w:rsidRPr="00AC4689">
        <w:rPr>
          <w:rFonts w:ascii="Arial" w:eastAsiaTheme="minorEastAsia" w:hAnsi="Arial" w:cs="Arial"/>
          <w:highlight w:val="yellow"/>
        </w:rPr>
        <w:t>phosphomolybdenum</w:t>
      </w:r>
      <w:proofErr w:type="spellEnd"/>
      <w:r w:rsidRPr="00AC4689">
        <w:rPr>
          <w:rFonts w:ascii="Arial" w:eastAsiaTheme="minorEastAsia" w:hAnsi="Arial" w:cs="Arial"/>
          <w:highlight w:val="yellow"/>
        </w:rPr>
        <w:t xml:space="preserve"> complex: Specific application to the determination of vitamin E. </w:t>
      </w:r>
      <w:r w:rsidRPr="00AC4689">
        <w:rPr>
          <w:rFonts w:ascii="Arial" w:eastAsiaTheme="minorEastAsia" w:hAnsi="Arial" w:cs="Arial"/>
          <w:i/>
          <w:iCs/>
          <w:highlight w:val="yellow"/>
        </w:rPr>
        <w:t xml:space="preserve">Analytical Biochemistry, </w:t>
      </w:r>
      <w:r w:rsidRPr="00AC4689">
        <w:rPr>
          <w:rFonts w:ascii="Arial" w:eastAsiaTheme="minorEastAsia" w:hAnsi="Arial" w:cs="Arial"/>
          <w:b/>
          <w:bCs/>
          <w:i/>
          <w:iCs/>
          <w:highlight w:val="yellow"/>
        </w:rPr>
        <w:t>269</w:t>
      </w:r>
      <w:r w:rsidRPr="00AC4689">
        <w:rPr>
          <w:rFonts w:ascii="Arial" w:eastAsiaTheme="minorEastAsia" w:hAnsi="Arial" w:cs="Arial"/>
          <w:highlight w:val="yellow"/>
        </w:rPr>
        <w:t>(2), 337–341.</w:t>
      </w:r>
    </w:p>
    <w:p w14:paraId="40F61475" w14:textId="77777777" w:rsidR="00A53F2B" w:rsidRPr="00AC4689" w:rsidRDefault="00A53F2B" w:rsidP="00EB6343">
      <w:pPr>
        <w:pStyle w:val="ListParagraph"/>
        <w:numPr>
          <w:ilvl w:val="0"/>
          <w:numId w:val="4"/>
        </w:numPr>
        <w:spacing w:after="0" w:line="360" w:lineRule="auto"/>
        <w:jc w:val="both"/>
        <w:rPr>
          <w:rFonts w:ascii="Arial" w:hAnsi="Arial" w:cs="Arial"/>
          <w:highlight w:val="yellow"/>
        </w:rPr>
      </w:pPr>
      <w:proofErr w:type="spellStart"/>
      <w:r w:rsidRPr="00AC4689">
        <w:rPr>
          <w:rFonts w:ascii="Arial" w:hAnsi="Arial" w:cs="Arial"/>
          <w:b/>
          <w:bCs/>
          <w:highlight w:val="yellow"/>
        </w:rPr>
        <w:t>Richharia</w:t>
      </w:r>
      <w:proofErr w:type="spellEnd"/>
      <w:r w:rsidRPr="00AC4689">
        <w:rPr>
          <w:rFonts w:ascii="Arial" w:hAnsi="Arial" w:cs="Arial"/>
          <w:b/>
          <w:bCs/>
          <w:highlight w:val="yellow"/>
        </w:rPr>
        <w:t>, R.  H.  (1962</w:t>
      </w:r>
      <w:r w:rsidRPr="00AC4689">
        <w:rPr>
          <w:rFonts w:ascii="Arial" w:hAnsi="Arial" w:cs="Arial"/>
          <w:highlight w:val="yellow"/>
        </w:rPr>
        <w:t xml:space="preserve">).  Linseed.  </w:t>
      </w:r>
      <w:r w:rsidRPr="00AC4689">
        <w:rPr>
          <w:rFonts w:ascii="Arial" w:hAnsi="Arial" w:cs="Arial"/>
          <w:i/>
          <w:iCs/>
          <w:highlight w:val="yellow"/>
        </w:rPr>
        <w:t>The Indian Central Oilseeds Committee</w:t>
      </w:r>
      <w:r w:rsidRPr="00AC4689">
        <w:rPr>
          <w:rFonts w:ascii="Arial" w:hAnsi="Arial" w:cs="Arial"/>
          <w:highlight w:val="yellow"/>
        </w:rPr>
        <w:t>, Hyderabad, India: 155.</w:t>
      </w:r>
    </w:p>
    <w:p w14:paraId="3B7BB1A8" w14:textId="77777777" w:rsidR="00A53F2B" w:rsidRPr="00EB6343" w:rsidRDefault="00A53F2B" w:rsidP="00EB6343">
      <w:pPr>
        <w:pStyle w:val="ListParagraph"/>
        <w:numPr>
          <w:ilvl w:val="0"/>
          <w:numId w:val="4"/>
        </w:numPr>
        <w:rPr>
          <w:rFonts w:ascii="Arial" w:hAnsi="Arial" w:cs="Arial"/>
          <w:highlight w:val="yellow"/>
        </w:rPr>
      </w:pPr>
      <w:r w:rsidRPr="00EB6343">
        <w:rPr>
          <w:rFonts w:ascii="Arial" w:hAnsi="Arial" w:cs="Arial"/>
          <w:b/>
          <w:bCs/>
          <w:highlight w:val="yellow"/>
        </w:rPr>
        <w:t>Sá, A. G. A., Moreno, Y. M. F., &amp; Carciofi, B. A. M. (2020).</w:t>
      </w:r>
      <w:r w:rsidRPr="00EB6343">
        <w:rPr>
          <w:rFonts w:ascii="Arial" w:hAnsi="Arial" w:cs="Arial"/>
          <w:highlight w:val="yellow"/>
        </w:rPr>
        <w:t xml:space="preserve"> Plant proteins as high-quality nutritional source for human diet. Trends in Food Science &amp; Technology, 97, 170– 184. </w:t>
      </w:r>
      <w:hyperlink r:id="rId16" w:history="1">
        <w:r w:rsidRPr="00EB6343">
          <w:rPr>
            <w:rStyle w:val="Hyperlink"/>
            <w:rFonts w:ascii="Arial" w:hAnsi="Arial" w:cs="Arial"/>
            <w:highlight w:val="yellow"/>
          </w:rPr>
          <w:t>https://doi.org/10.1016/j.tifs.2020.01.011</w:t>
        </w:r>
      </w:hyperlink>
    </w:p>
    <w:p w14:paraId="135B5C1E" w14:textId="77777777" w:rsidR="00A53F2B" w:rsidRPr="00EB6343" w:rsidRDefault="00A53F2B" w:rsidP="00EB6343">
      <w:pPr>
        <w:pStyle w:val="ListParagraph"/>
        <w:numPr>
          <w:ilvl w:val="0"/>
          <w:numId w:val="4"/>
        </w:numPr>
        <w:spacing w:after="200" w:line="240" w:lineRule="auto"/>
        <w:jc w:val="both"/>
        <w:rPr>
          <w:rFonts w:ascii="Arial" w:hAnsi="Arial" w:cs="Arial"/>
          <w:highlight w:val="yellow"/>
        </w:rPr>
      </w:pPr>
      <w:r w:rsidRPr="00EB6343">
        <w:rPr>
          <w:rFonts w:ascii="Arial" w:hAnsi="Arial" w:cs="Arial"/>
          <w:b/>
          <w:bCs/>
          <w:highlight w:val="yellow"/>
        </w:rPr>
        <w:t xml:space="preserve">Singh D., Lawrence K., Marker S., Bhattacharjee I., Lawrence R., Choudhary R., </w:t>
      </w:r>
      <w:proofErr w:type="spellStart"/>
      <w:r w:rsidRPr="00EB6343">
        <w:rPr>
          <w:rFonts w:ascii="Arial" w:hAnsi="Arial" w:cs="Arial"/>
          <w:b/>
          <w:bCs/>
          <w:highlight w:val="yellow"/>
        </w:rPr>
        <w:t>Ercisli</w:t>
      </w:r>
      <w:proofErr w:type="spellEnd"/>
      <w:r w:rsidRPr="00EB6343">
        <w:rPr>
          <w:rFonts w:ascii="Arial" w:hAnsi="Arial" w:cs="Arial"/>
          <w:b/>
          <w:bCs/>
          <w:highlight w:val="yellow"/>
        </w:rPr>
        <w:t xml:space="preserve"> S., Karunakaran R., (2023a). </w:t>
      </w:r>
      <w:r w:rsidRPr="00EB6343">
        <w:rPr>
          <w:rFonts w:ascii="Arial" w:hAnsi="Arial" w:cs="Arial"/>
          <w:highlight w:val="yellow"/>
        </w:rPr>
        <w:t>Rainfed assessment of foxtail millet (</w:t>
      </w:r>
      <w:proofErr w:type="spellStart"/>
      <w:r w:rsidRPr="00EB6343">
        <w:rPr>
          <w:rFonts w:ascii="Arial" w:hAnsi="Arial" w:cs="Arial"/>
          <w:i/>
          <w:iCs/>
          <w:highlight w:val="yellow"/>
        </w:rPr>
        <w:t>Setaria</w:t>
      </w:r>
      <w:proofErr w:type="spellEnd"/>
      <w:r w:rsidRPr="00EB6343">
        <w:rPr>
          <w:rFonts w:ascii="Arial" w:hAnsi="Arial" w:cs="Arial"/>
          <w:i/>
          <w:iCs/>
          <w:highlight w:val="yellow"/>
        </w:rPr>
        <w:t xml:space="preserve"> </w:t>
      </w:r>
      <w:proofErr w:type="spellStart"/>
      <w:r w:rsidRPr="00EB6343">
        <w:rPr>
          <w:rFonts w:ascii="Arial" w:hAnsi="Arial" w:cs="Arial"/>
          <w:i/>
          <w:iCs/>
          <w:highlight w:val="yellow"/>
        </w:rPr>
        <w:t>italica</w:t>
      </w:r>
      <w:proofErr w:type="spellEnd"/>
      <w:r w:rsidRPr="00EB6343">
        <w:rPr>
          <w:rFonts w:ascii="Arial" w:hAnsi="Arial" w:cs="Arial"/>
          <w:i/>
          <w:iCs/>
          <w:highlight w:val="yellow"/>
        </w:rPr>
        <w:t xml:space="preserve"> L. </w:t>
      </w:r>
      <w:proofErr w:type="spellStart"/>
      <w:r w:rsidRPr="00EB6343">
        <w:rPr>
          <w:rFonts w:ascii="Arial" w:hAnsi="Arial" w:cs="Arial"/>
          <w:i/>
          <w:iCs/>
          <w:highlight w:val="yellow"/>
        </w:rPr>
        <w:t>beauv</w:t>
      </w:r>
      <w:proofErr w:type="spellEnd"/>
      <w:r w:rsidRPr="00EB6343">
        <w:rPr>
          <w:rFonts w:ascii="Arial" w:hAnsi="Arial" w:cs="Arial"/>
          <w:highlight w:val="yellow"/>
        </w:rPr>
        <w:t xml:space="preserve">) germplasms on genotyping and principal component analysis. </w:t>
      </w:r>
      <w:r w:rsidRPr="00EB6343">
        <w:rPr>
          <w:rFonts w:ascii="Arial" w:hAnsi="Arial" w:cs="Arial"/>
          <w:i/>
          <w:iCs/>
          <w:highlight w:val="yellow"/>
        </w:rPr>
        <w:t>Frontiers in Plant Science</w:t>
      </w:r>
      <w:r w:rsidRPr="00EB6343">
        <w:rPr>
          <w:rFonts w:ascii="Arial" w:hAnsi="Arial" w:cs="Arial"/>
          <w:highlight w:val="yellow"/>
        </w:rPr>
        <w:t>. 14:1017652, DOI:10.3389/fpls.2023.1017652.</w:t>
      </w:r>
    </w:p>
    <w:p w14:paraId="32E99575" w14:textId="77777777" w:rsidR="00A53F2B" w:rsidRPr="00EB6343" w:rsidRDefault="00A53F2B" w:rsidP="00EB6343">
      <w:pPr>
        <w:pStyle w:val="ListParagraph"/>
        <w:numPr>
          <w:ilvl w:val="0"/>
          <w:numId w:val="4"/>
        </w:numPr>
        <w:spacing w:after="200" w:line="240" w:lineRule="auto"/>
        <w:jc w:val="both"/>
        <w:rPr>
          <w:rFonts w:ascii="Arial" w:hAnsi="Arial" w:cs="Arial"/>
          <w:highlight w:val="yellow"/>
        </w:rPr>
      </w:pPr>
      <w:r w:rsidRPr="00EB6343">
        <w:rPr>
          <w:rFonts w:ascii="Arial" w:hAnsi="Arial" w:cs="Arial"/>
          <w:b/>
          <w:bCs/>
          <w:highlight w:val="yellow"/>
        </w:rPr>
        <w:t xml:space="preserve">Singh D., Lawrence K., Singh S., </w:t>
      </w:r>
      <w:proofErr w:type="spellStart"/>
      <w:r w:rsidRPr="00EB6343">
        <w:rPr>
          <w:rFonts w:ascii="Arial" w:hAnsi="Arial" w:cs="Arial"/>
          <w:b/>
          <w:bCs/>
          <w:highlight w:val="yellow"/>
        </w:rPr>
        <w:t>Ercisli</w:t>
      </w:r>
      <w:proofErr w:type="spellEnd"/>
      <w:r w:rsidRPr="00EB6343">
        <w:rPr>
          <w:rFonts w:ascii="Arial" w:hAnsi="Arial" w:cs="Arial"/>
          <w:b/>
          <w:bCs/>
          <w:highlight w:val="yellow"/>
        </w:rPr>
        <w:t xml:space="preserve"> S.  and Choudhary R.,</w:t>
      </w:r>
      <w:r w:rsidRPr="00EB6343">
        <w:rPr>
          <w:rFonts w:ascii="Arial" w:hAnsi="Arial" w:cs="Arial"/>
          <w:highlight w:val="yellow"/>
        </w:rPr>
        <w:t xml:space="preserve"> </w:t>
      </w:r>
      <w:r w:rsidRPr="00EB6343">
        <w:rPr>
          <w:rFonts w:ascii="Arial" w:hAnsi="Arial" w:cs="Arial"/>
          <w:b/>
          <w:bCs/>
          <w:highlight w:val="yellow"/>
        </w:rPr>
        <w:t>(2022a)</w:t>
      </w:r>
      <w:r w:rsidRPr="00EB6343">
        <w:rPr>
          <w:rFonts w:ascii="Arial" w:hAnsi="Arial" w:cs="Arial"/>
          <w:highlight w:val="yellow"/>
        </w:rPr>
        <w:t xml:space="preserve"> In-vivo </w:t>
      </w:r>
      <w:proofErr w:type="spellStart"/>
      <w:r w:rsidRPr="00EB6343">
        <w:rPr>
          <w:rFonts w:ascii="Arial" w:hAnsi="Arial" w:cs="Arial"/>
          <w:highlight w:val="yellow"/>
        </w:rPr>
        <w:t>hyperglycemic</w:t>
      </w:r>
      <w:proofErr w:type="spellEnd"/>
      <w:r w:rsidRPr="00EB6343">
        <w:rPr>
          <w:rFonts w:ascii="Arial" w:hAnsi="Arial" w:cs="Arial"/>
          <w:highlight w:val="yellow"/>
        </w:rPr>
        <w:t xml:space="preserve">, antioxidant, histopathological changes, and simultaneous measurement of kaempferol verified by high-performance thin layer chromatography of </w:t>
      </w:r>
      <w:proofErr w:type="spellStart"/>
      <w:r w:rsidRPr="00EB6343">
        <w:rPr>
          <w:rFonts w:ascii="Arial" w:hAnsi="Arial" w:cs="Arial"/>
          <w:i/>
          <w:iCs/>
          <w:highlight w:val="yellow"/>
        </w:rPr>
        <w:t>Setaria</w:t>
      </w:r>
      <w:proofErr w:type="spellEnd"/>
      <w:r w:rsidRPr="00EB6343">
        <w:rPr>
          <w:rFonts w:ascii="Arial" w:hAnsi="Arial" w:cs="Arial"/>
          <w:i/>
          <w:iCs/>
          <w:highlight w:val="yellow"/>
        </w:rPr>
        <w:t xml:space="preserve"> </w:t>
      </w:r>
      <w:proofErr w:type="spellStart"/>
      <w:r w:rsidRPr="00EB6343">
        <w:rPr>
          <w:rFonts w:ascii="Arial" w:hAnsi="Arial" w:cs="Arial"/>
          <w:i/>
          <w:iCs/>
          <w:highlight w:val="yellow"/>
        </w:rPr>
        <w:t>italica</w:t>
      </w:r>
      <w:proofErr w:type="spellEnd"/>
      <w:r w:rsidRPr="00EB6343">
        <w:rPr>
          <w:rFonts w:ascii="Arial" w:hAnsi="Arial" w:cs="Arial"/>
          <w:highlight w:val="yellow"/>
        </w:rPr>
        <w:t xml:space="preserve"> in streptozotocin -induced diabetic rats, </w:t>
      </w:r>
      <w:r w:rsidRPr="00EB6343">
        <w:rPr>
          <w:rFonts w:ascii="Arial" w:hAnsi="Arial" w:cs="Arial"/>
          <w:i/>
          <w:iCs/>
          <w:highlight w:val="yellow"/>
        </w:rPr>
        <w:t>Saudi Journal of Biological Sciences, Elsevier</w:t>
      </w:r>
      <w:r w:rsidRPr="00EB6343">
        <w:rPr>
          <w:rFonts w:ascii="Arial" w:hAnsi="Arial" w:cs="Arial"/>
          <w:highlight w:val="yellow"/>
        </w:rPr>
        <w:t xml:space="preserve">, 29(5): 3772-3790. </w:t>
      </w:r>
      <w:hyperlink r:id="rId17" w:history="1">
        <w:r w:rsidRPr="00EB6343">
          <w:rPr>
            <w:rStyle w:val="Hyperlink"/>
            <w:rFonts w:ascii="Arial" w:hAnsi="Arial" w:cs="Arial"/>
            <w:highlight w:val="yellow"/>
          </w:rPr>
          <w:t>https://doi.org/10.1016/j.sjbs.2022.03.009</w:t>
        </w:r>
      </w:hyperlink>
      <w:r w:rsidRPr="00EB6343">
        <w:rPr>
          <w:rFonts w:ascii="Arial" w:hAnsi="Arial" w:cs="Arial"/>
          <w:highlight w:val="yellow"/>
        </w:rPr>
        <w:t xml:space="preserve">. </w:t>
      </w:r>
    </w:p>
    <w:p w14:paraId="461789F0" w14:textId="77777777" w:rsidR="00A53F2B" w:rsidRPr="00EB6343" w:rsidRDefault="00A53F2B" w:rsidP="00EB6343">
      <w:pPr>
        <w:pStyle w:val="ListParagraph"/>
        <w:numPr>
          <w:ilvl w:val="0"/>
          <w:numId w:val="4"/>
        </w:numPr>
        <w:spacing w:after="200" w:line="240" w:lineRule="auto"/>
        <w:jc w:val="both"/>
        <w:rPr>
          <w:rFonts w:ascii="Arial" w:hAnsi="Arial" w:cs="Arial"/>
          <w:highlight w:val="yellow"/>
        </w:rPr>
      </w:pPr>
      <w:r w:rsidRPr="00EB6343">
        <w:rPr>
          <w:rFonts w:ascii="Arial" w:hAnsi="Arial" w:cs="Arial"/>
          <w:b/>
          <w:bCs/>
          <w:highlight w:val="yellow"/>
        </w:rPr>
        <w:t>Singh D., Marker S., B.G. Suresh, Lawrence K. (2022b).</w:t>
      </w:r>
      <w:r w:rsidRPr="00EB6343">
        <w:rPr>
          <w:rFonts w:ascii="Arial" w:hAnsi="Arial" w:cs="Arial"/>
          <w:highlight w:val="yellow"/>
        </w:rPr>
        <w:t xml:space="preserve"> Under rainfed effect of foxtail millet [</w:t>
      </w:r>
      <w:proofErr w:type="spellStart"/>
      <w:r w:rsidRPr="00EB6343">
        <w:rPr>
          <w:rFonts w:ascii="Arial" w:hAnsi="Arial" w:cs="Arial"/>
          <w:i/>
          <w:iCs/>
          <w:highlight w:val="yellow"/>
        </w:rPr>
        <w:t>Setaria</w:t>
      </w:r>
      <w:proofErr w:type="spellEnd"/>
      <w:r w:rsidRPr="00EB6343">
        <w:rPr>
          <w:rFonts w:ascii="Arial" w:hAnsi="Arial" w:cs="Arial"/>
          <w:i/>
          <w:iCs/>
          <w:highlight w:val="yellow"/>
        </w:rPr>
        <w:t xml:space="preserve"> </w:t>
      </w:r>
      <w:proofErr w:type="spellStart"/>
      <w:r w:rsidRPr="00EB6343">
        <w:rPr>
          <w:rFonts w:ascii="Arial" w:hAnsi="Arial" w:cs="Arial"/>
          <w:i/>
          <w:iCs/>
          <w:highlight w:val="yellow"/>
        </w:rPr>
        <w:t>italica</w:t>
      </w:r>
      <w:proofErr w:type="spellEnd"/>
      <w:r w:rsidRPr="00EB6343">
        <w:rPr>
          <w:rFonts w:ascii="Arial" w:hAnsi="Arial" w:cs="Arial"/>
          <w:highlight w:val="yellow"/>
        </w:rPr>
        <w:t xml:space="preserve"> (L.) </w:t>
      </w:r>
      <w:proofErr w:type="spellStart"/>
      <w:r w:rsidRPr="00EB6343">
        <w:rPr>
          <w:rFonts w:ascii="Arial" w:hAnsi="Arial" w:cs="Arial"/>
          <w:highlight w:val="yellow"/>
        </w:rPr>
        <w:t>beauv</w:t>
      </w:r>
      <w:proofErr w:type="spellEnd"/>
      <w:r w:rsidRPr="00EB6343">
        <w:rPr>
          <w:rFonts w:ascii="Arial" w:hAnsi="Arial" w:cs="Arial"/>
          <w:highlight w:val="yellow"/>
        </w:rPr>
        <w:t>] germplasms evaluation on genotypic variance, correlation, and path analysis 56(2):141-146. DOI: 10.18805/</w:t>
      </w:r>
      <w:proofErr w:type="spellStart"/>
      <w:r w:rsidRPr="00EB6343">
        <w:rPr>
          <w:rFonts w:ascii="Arial" w:hAnsi="Arial" w:cs="Arial"/>
          <w:highlight w:val="yellow"/>
        </w:rPr>
        <w:t>IJARe.A</w:t>
      </w:r>
      <w:proofErr w:type="spellEnd"/>
      <w:r w:rsidRPr="00EB6343">
        <w:rPr>
          <w:rFonts w:ascii="Arial" w:hAnsi="Arial" w:cs="Arial"/>
          <w:highlight w:val="yellow"/>
        </w:rPr>
        <w:t xml:space="preserve"> 5862http://dx.doi.org/10.18805/IJARe.A-5862. </w:t>
      </w:r>
    </w:p>
    <w:p w14:paraId="10138D43" w14:textId="77777777" w:rsidR="00A53F2B" w:rsidRPr="00EB6343" w:rsidRDefault="00A53F2B" w:rsidP="00EB6343">
      <w:pPr>
        <w:pStyle w:val="ListParagraph"/>
        <w:numPr>
          <w:ilvl w:val="0"/>
          <w:numId w:val="4"/>
        </w:numPr>
        <w:tabs>
          <w:tab w:val="left" w:pos="2694"/>
        </w:tabs>
        <w:spacing w:after="0" w:line="360" w:lineRule="auto"/>
        <w:jc w:val="both"/>
        <w:rPr>
          <w:rFonts w:ascii="Arial" w:hAnsi="Arial" w:cs="Arial"/>
        </w:rPr>
      </w:pPr>
      <w:r w:rsidRPr="00EB6343">
        <w:rPr>
          <w:rFonts w:ascii="Arial" w:hAnsi="Arial" w:cs="Arial"/>
          <w:b/>
          <w:bCs/>
          <w:highlight w:val="yellow"/>
        </w:rPr>
        <w:t>Vavilov, N. I. (1935)</w:t>
      </w:r>
      <w:r w:rsidRPr="00EB6343">
        <w:rPr>
          <w:rFonts w:ascii="Arial" w:hAnsi="Arial" w:cs="Arial"/>
          <w:highlight w:val="yellow"/>
        </w:rPr>
        <w:t xml:space="preserve">. Studies on the origin of cultivated plants. </w:t>
      </w:r>
      <w:r w:rsidRPr="00EB6343">
        <w:rPr>
          <w:rFonts w:ascii="Arial" w:hAnsi="Arial" w:cs="Arial"/>
          <w:i/>
          <w:iCs/>
          <w:highlight w:val="yellow"/>
        </w:rPr>
        <w:t>Bot. Pl. Breed</w:t>
      </w:r>
      <w:r w:rsidRPr="00EB6343">
        <w:rPr>
          <w:rFonts w:ascii="Arial" w:hAnsi="Arial" w:cs="Arial"/>
          <w:highlight w:val="yellow"/>
        </w:rPr>
        <w:t>., 16: 39-145.</w:t>
      </w:r>
    </w:p>
    <w:p w14:paraId="0AF9191B" w14:textId="77777777" w:rsidR="00A53F2B" w:rsidRPr="00BE1BAE" w:rsidRDefault="00A53F2B" w:rsidP="00037155">
      <w:pPr>
        <w:tabs>
          <w:tab w:val="left" w:pos="2694"/>
        </w:tabs>
        <w:spacing w:after="0" w:line="360" w:lineRule="auto"/>
        <w:ind w:left="567" w:hanging="567"/>
        <w:jc w:val="both"/>
        <w:rPr>
          <w:rFonts w:ascii="Arial" w:hAnsi="Arial" w:cs="Arial"/>
        </w:rPr>
      </w:pPr>
      <w:bookmarkStart w:id="1" w:name="_GoBack"/>
      <w:bookmarkEnd w:id="1"/>
    </w:p>
    <w:p w14:paraId="49A6D9E0" w14:textId="77777777" w:rsidR="00037155" w:rsidRPr="00BE1BAE" w:rsidRDefault="00037155" w:rsidP="00BE792A">
      <w:pPr>
        <w:pStyle w:val="ListParagraph"/>
        <w:spacing w:after="0" w:line="360" w:lineRule="auto"/>
        <w:ind w:left="709" w:hanging="709"/>
        <w:jc w:val="both"/>
        <w:rPr>
          <w:rFonts w:ascii="Arial" w:eastAsiaTheme="minorEastAsia" w:hAnsi="Arial" w:cs="Arial"/>
        </w:rPr>
      </w:pPr>
    </w:p>
    <w:p w14:paraId="281640B4" w14:textId="77777777" w:rsidR="00BE792A" w:rsidRPr="00BE1BAE" w:rsidRDefault="00BE792A" w:rsidP="004A73D2">
      <w:pPr>
        <w:tabs>
          <w:tab w:val="left" w:pos="2694"/>
        </w:tabs>
        <w:spacing w:after="0" w:line="360" w:lineRule="auto"/>
        <w:jc w:val="both"/>
        <w:rPr>
          <w:rFonts w:ascii="Arial" w:eastAsiaTheme="minorEastAsia" w:hAnsi="Arial" w:cs="Arial"/>
        </w:rPr>
      </w:pPr>
    </w:p>
    <w:p w14:paraId="503F5781" w14:textId="77777777" w:rsidR="004F49E8" w:rsidRPr="00BE1BAE" w:rsidRDefault="004F49E8" w:rsidP="004A73D2">
      <w:pPr>
        <w:tabs>
          <w:tab w:val="left" w:pos="2694"/>
        </w:tabs>
        <w:spacing w:after="0" w:line="360" w:lineRule="auto"/>
        <w:jc w:val="both"/>
        <w:rPr>
          <w:rFonts w:ascii="Arial" w:eastAsiaTheme="minorEastAsia" w:hAnsi="Arial" w:cs="Arial"/>
        </w:rPr>
      </w:pPr>
    </w:p>
    <w:p w14:paraId="72E96961" w14:textId="77777777" w:rsidR="00BE1BAE" w:rsidRPr="004F49E8" w:rsidRDefault="00BE1BAE">
      <w:pPr>
        <w:tabs>
          <w:tab w:val="left" w:pos="2694"/>
        </w:tabs>
        <w:spacing w:after="0" w:line="360" w:lineRule="auto"/>
        <w:jc w:val="both"/>
        <w:rPr>
          <w:rFonts w:ascii="Times New Roman" w:eastAsiaTheme="minorEastAsia" w:hAnsi="Times New Roman" w:cs="Times New Roman"/>
          <w:sz w:val="24"/>
          <w:szCs w:val="24"/>
        </w:rPr>
      </w:pPr>
    </w:p>
    <w:sectPr w:rsidR="00BE1BAE" w:rsidRPr="004F49E8" w:rsidSect="003A7E68">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18" w:header="4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0FEBD" w14:textId="77777777" w:rsidR="00222462" w:rsidRDefault="00222462" w:rsidP="00010BC3">
      <w:pPr>
        <w:spacing w:after="0" w:line="240" w:lineRule="auto"/>
      </w:pPr>
      <w:r>
        <w:separator/>
      </w:r>
    </w:p>
  </w:endnote>
  <w:endnote w:type="continuationSeparator" w:id="0">
    <w:p w14:paraId="65C8874F" w14:textId="77777777" w:rsidR="00222462" w:rsidRDefault="00222462" w:rsidP="00010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7B275" w14:textId="77777777" w:rsidR="00010BC3" w:rsidRDefault="00010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A42D0" w14:textId="77777777" w:rsidR="00010BC3" w:rsidRDefault="00010B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A0A2B" w14:textId="77777777" w:rsidR="00010BC3" w:rsidRDefault="00010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E865D" w14:textId="77777777" w:rsidR="00222462" w:rsidRDefault="00222462" w:rsidP="00010BC3">
      <w:pPr>
        <w:spacing w:after="0" w:line="240" w:lineRule="auto"/>
      </w:pPr>
      <w:r>
        <w:separator/>
      </w:r>
    </w:p>
  </w:footnote>
  <w:footnote w:type="continuationSeparator" w:id="0">
    <w:p w14:paraId="27CEE3D4" w14:textId="77777777" w:rsidR="00222462" w:rsidRDefault="00222462" w:rsidP="00010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82A3" w14:textId="122A4FB6" w:rsidR="00010BC3" w:rsidRDefault="00222462">
    <w:pPr>
      <w:pStyle w:val="Header"/>
    </w:pPr>
    <w:r>
      <w:rPr>
        <w:noProof/>
      </w:rPr>
      <w:pict w14:anchorId="5199B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328782" o:spid="_x0000_s2050" type="#_x0000_t136" style="position:absolute;margin-left:0;margin-top:0;width:536.55pt;height:101.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69B29" w14:textId="740C09A0" w:rsidR="00010BC3" w:rsidRDefault="00222462">
    <w:pPr>
      <w:pStyle w:val="Header"/>
    </w:pPr>
    <w:r>
      <w:rPr>
        <w:noProof/>
      </w:rPr>
      <w:pict w14:anchorId="61DCF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328783" o:spid="_x0000_s2051" type="#_x0000_t136" style="position:absolute;margin-left:0;margin-top:0;width:536.55pt;height:101.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FCD88" w14:textId="0A3CAB3E" w:rsidR="00010BC3" w:rsidRDefault="00222462">
    <w:pPr>
      <w:pStyle w:val="Header"/>
    </w:pPr>
    <w:r>
      <w:rPr>
        <w:noProof/>
      </w:rPr>
      <w:pict w14:anchorId="6ABDB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328781" o:spid="_x0000_s2049" type="#_x0000_t136" style="position:absolute;margin-left:0;margin-top:0;width:536.55pt;height:101.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30CE"/>
    <w:multiLevelType w:val="hybridMultilevel"/>
    <w:tmpl w:val="A6BE6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4143D"/>
    <w:multiLevelType w:val="hybridMultilevel"/>
    <w:tmpl w:val="C9B0FB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27A4AB3"/>
    <w:multiLevelType w:val="hybridMultilevel"/>
    <w:tmpl w:val="E6200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134616"/>
    <w:multiLevelType w:val="hybridMultilevel"/>
    <w:tmpl w:val="22184C0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20"/>
  <w:drawingGridHorizontalSpacing w:val="100"/>
  <w:drawingGridVerticalSpacing w:val="136"/>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262"/>
    <w:rsid w:val="00010BC3"/>
    <w:rsid w:val="0001699C"/>
    <w:rsid w:val="00021F65"/>
    <w:rsid w:val="00025262"/>
    <w:rsid w:val="00037155"/>
    <w:rsid w:val="00066E41"/>
    <w:rsid w:val="00070FF6"/>
    <w:rsid w:val="000776DD"/>
    <w:rsid w:val="00080415"/>
    <w:rsid w:val="000873B2"/>
    <w:rsid w:val="00096C77"/>
    <w:rsid w:val="000C1B12"/>
    <w:rsid w:val="000D1CBC"/>
    <w:rsid w:val="00137D25"/>
    <w:rsid w:val="00140206"/>
    <w:rsid w:val="00141545"/>
    <w:rsid w:val="00160848"/>
    <w:rsid w:val="001C4ABE"/>
    <w:rsid w:val="001D178A"/>
    <w:rsid w:val="001D48D8"/>
    <w:rsid w:val="00204AF9"/>
    <w:rsid w:val="002170BA"/>
    <w:rsid w:val="00222462"/>
    <w:rsid w:val="00222957"/>
    <w:rsid w:val="00273A10"/>
    <w:rsid w:val="00273DCF"/>
    <w:rsid w:val="002856B6"/>
    <w:rsid w:val="002A500B"/>
    <w:rsid w:val="002C39CA"/>
    <w:rsid w:val="002C56C3"/>
    <w:rsid w:val="002D0E40"/>
    <w:rsid w:val="002D1307"/>
    <w:rsid w:val="002D3887"/>
    <w:rsid w:val="00307646"/>
    <w:rsid w:val="003112A9"/>
    <w:rsid w:val="00323210"/>
    <w:rsid w:val="0034736A"/>
    <w:rsid w:val="00354BB0"/>
    <w:rsid w:val="00354CC4"/>
    <w:rsid w:val="00364BB5"/>
    <w:rsid w:val="00373403"/>
    <w:rsid w:val="00382319"/>
    <w:rsid w:val="003A7E68"/>
    <w:rsid w:val="003E4BC5"/>
    <w:rsid w:val="003F2762"/>
    <w:rsid w:val="0042384F"/>
    <w:rsid w:val="00433B80"/>
    <w:rsid w:val="004362A5"/>
    <w:rsid w:val="00444346"/>
    <w:rsid w:val="004A73D2"/>
    <w:rsid w:val="004C190D"/>
    <w:rsid w:val="004C2DA4"/>
    <w:rsid w:val="004D6563"/>
    <w:rsid w:val="004F49E8"/>
    <w:rsid w:val="00514DF8"/>
    <w:rsid w:val="00530AB4"/>
    <w:rsid w:val="00573245"/>
    <w:rsid w:val="00596511"/>
    <w:rsid w:val="005C3B73"/>
    <w:rsid w:val="005C47DB"/>
    <w:rsid w:val="005C63AB"/>
    <w:rsid w:val="005E31C0"/>
    <w:rsid w:val="005E39C3"/>
    <w:rsid w:val="005E7118"/>
    <w:rsid w:val="005F75D8"/>
    <w:rsid w:val="00604705"/>
    <w:rsid w:val="006135E1"/>
    <w:rsid w:val="00616939"/>
    <w:rsid w:val="00686BDD"/>
    <w:rsid w:val="006A02A5"/>
    <w:rsid w:val="006C36CF"/>
    <w:rsid w:val="006D525F"/>
    <w:rsid w:val="006D71DE"/>
    <w:rsid w:val="00704C62"/>
    <w:rsid w:val="00746785"/>
    <w:rsid w:val="007527C5"/>
    <w:rsid w:val="00752B15"/>
    <w:rsid w:val="00753284"/>
    <w:rsid w:val="00763202"/>
    <w:rsid w:val="00773F95"/>
    <w:rsid w:val="00786847"/>
    <w:rsid w:val="00791B8F"/>
    <w:rsid w:val="007C6BF5"/>
    <w:rsid w:val="007E627C"/>
    <w:rsid w:val="008000D7"/>
    <w:rsid w:val="00840A79"/>
    <w:rsid w:val="0085149D"/>
    <w:rsid w:val="0085268D"/>
    <w:rsid w:val="00852CE3"/>
    <w:rsid w:val="008765DE"/>
    <w:rsid w:val="00887B42"/>
    <w:rsid w:val="008B4905"/>
    <w:rsid w:val="008C0D80"/>
    <w:rsid w:val="008E5F3E"/>
    <w:rsid w:val="00903B3C"/>
    <w:rsid w:val="00921E08"/>
    <w:rsid w:val="0098584A"/>
    <w:rsid w:val="00992DC4"/>
    <w:rsid w:val="00994F8B"/>
    <w:rsid w:val="009F4139"/>
    <w:rsid w:val="009F7A0F"/>
    <w:rsid w:val="00A07552"/>
    <w:rsid w:val="00A10E2A"/>
    <w:rsid w:val="00A25B51"/>
    <w:rsid w:val="00A53F2B"/>
    <w:rsid w:val="00AA0951"/>
    <w:rsid w:val="00AA3103"/>
    <w:rsid w:val="00AC4689"/>
    <w:rsid w:val="00AF54F6"/>
    <w:rsid w:val="00B10590"/>
    <w:rsid w:val="00B25DD4"/>
    <w:rsid w:val="00B4650E"/>
    <w:rsid w:val="00B91061"/>
    <w:rsid w:val="00BC05EC"/>
    <w:rsid w:val="00BC39FE"/>
    <w:rsid w:val="00BE1BAE"/>
    <w:rsid w:val="00BE792A"/>
    <w:rsid w:val="00C26F95"/>
    <w:rsid w:val="00C3052F"/>
    <w:rsid w:val="00C5165E"/>
    <w:rsid w:val="00C55D60"/>
    <w:rsid w:val="00C6234C"/>
    <w:rsid w:val="00C759E9"/>
    <w:rsid w:val="00C8042A"/>
    <w:rsid w:val="00C8099C"/>
    <w:rsid w:val="00C83B79"/>
    <w:rsid w:val="00CC17EE"/>
    <w:rsid w:val="00CE5C97"/>
    <w:rsid w:val="00D345DE"/>
    <w:rsid w:val="00D37773"/>
    <w:rsid w:val="00D55E1D"/>
    <w:rsid w:val="00D705B4"/>
    <w:rsid w:val="00D8229B"/>
    <w:rsid w:val="00D83590"/>
    <w:rsid w:val="00DA7D18"/>
    <w:rsid w:val="00DB058A"/>
    <w:rsid w:val="00DB5D85"/>
    <w:rsid w:val="00DB7F08"/>
    <w:rsid w:val="00DC3642"/>
    <w:rsid w:val="00DC4A16"/>
    <w:rsid w:val="00DD587C"/>
    <w:rsid w:val="00DE1D37"/>
    <w:rsid w:val="00DE65D8"/>
    <w:rsid w:val="00DF0B15"/>
    <w:rsid w:val="00DF43B1"/>
    <w:rsid w:val="00E0334D"/>
    <w:rsid w:val="00E171EB"/>
    <w:rsid w:val="00E17368"/>
    <w:rsid w:val="00E329ED"/>
    <w:rsid w:val="00E40DC2"/>
    <w:rsid w:val="00E5175C"/>
    <w:rsid w:val="00E76F6A"/>
    <w:rsid w:val="00E8203D"/>
    <w:rsid w:val="00E84AD2"/>
    <w:rsid w:val="00EB6343"/>
    <w:rsid w:val="00ED5B09"/>
    <w:rsid w:val="00F03782"/>
    <w:rsid w:val="00F31771"/>
    <w:rsid w:val="00F32881"/>
    <w:rsid w:val="00F6679D"/>
    <w:rsid w:val="00F67CB2"/>
    <w:rsid w:val="00FE2C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8E87D4"/>
  <w15:chartTrackingRefBased/>
  <w15:docId w15:val="{A1891350-3AFB-4ACB-AD78-BD044F46D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DF8"/>
  </w:style>
  <w:style w:type="paragraph" w:styleId="Heading1">
    <w:name w:val="heading 1"/>
    <w:basedOn w:val="Normal"/>
    <w:next w:val="Normal"/>
    <w:link w:val="Heading1Char"/>
    <w:uiPriority w:val="9"/>
    <w:qFormat/>
    <w:rsid w:val="000252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52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52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52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52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52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52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52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52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2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52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52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52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52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52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52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52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5262"/>
    <w:rPr>
      <w:rFonts w:eastAsiaTheme="majorEastAsia" w:cstheme="majorBidi"/>
      <w:color w:val="272727" w:themeColor="text1" w:themeTint="D8"/>
    </w:rPr>
  </w:style>
  <w:style w:type="paragraph" w:styleId="Title">
    <w:name w:val="Title"/>
    <w:basedOn w:val="Normal"/>
    <w:next w:val="Normal"/>
    <w:link w:val="TitleChar"/>
    <w:uiPriority w:val="10"/>
    <w:qFormat/>
    <w:rsid w:val="000252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52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52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52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5262"/>
    <w:pPr>
      <w:spacing w:before="160"/>
      <w:jc w:val="center"/>
    </w:pPr>
    <w:rPr>
      <w:i/>
      <w:iCs/>
      <w:color w:val="404040" w:themeColor="text1" w:themeTint="BF"/>
    </w:rPr>
  </w:style>
  <w:style w:type="character" w:customStyle="1" w:styleId="QuoteChar">
    <w:name w:val="Quote Char"/>
    <w:basedOn w:val="DefaultParagraphFont"/>
    <w:link w:val="Quote"/>
    <w:uiPriority w:val="29"/>
    <w:rsid w:val="00025262"/>
    <w:rPr>
      <w:i/>
      <w:iCs/>
      <w:color w:val="404040" w:themeColor="text1" w:themeTint="BF"/>
    </w:rPr>
  </w:style>
  <w:style w:type="paragraph" w:styleId="ListParagraph">
    <w:name w:val="List Paragraph"/>
    <w:basedOn w:val="Normal"/>
    <w:uiPriority w:val="34"/>
    <w:qFormat/>
    <w:rsid w:val="00025262"/>
    <w:pPr>
      <w:ind w:left="720"/>
      <w:contextualSpacing/>
    </w:pPr>
  </w:style>
  <w:style w:type="character" w:styleId="IntenseEmphasis">
    <w:name w:val="Intense Emphasis"/>
    <w:basedOn w:val="DefaultParagraphFont"/>
    <w:uiPriority w:val="21"/>
    <w:qFormat/>
    <w:rsid w:val="00025262"/>
    <w:rPr>
      <w:i/>
      <w:iCs/>
      <w:color w:val="2F5496" w:themeColor="accent1" w:themeShade="BF"/>
    </w:rPr>
  </w:style>
  <w:style w:type="paragraph" w:styleId="IntenseQuote">
    <w:name w:val="Intense Quote"/>
    <w:basedOn w:val="Normal"/>
    <w:next w:val="Normal"/>
    <w:link w:val="IntenseQuoteChar"/>
    <w:uiPriority w:val="30"/>
    <w:qFormat/>
    <w:rsid w:val="000252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5262"/>
    <w:rPr>
      <w:i/>
      <w:iCs/>
      <w:color w:val="2F5496" w:themeColor="accent1" w:themeShade="BF"/>
    </w:rPr>
  </w:style>
  <w:style w:type="character" w:styleId="IntenseReference">
    <w:name w:val="Intense Reference"/>
    <w:basedOn w:val="DefaultParagraphFont"/>
    <w:uiPriority w:val="32"/>
    <w:qFormat/>
    <w:rsid w:val="00025262"/>
    <w:rPr>
      <w:b/>
      <w:bCs/>
      <w:smallCaps/>
      <w:color w:val="2F5496" w:themeColor="accent1" w:themeShade="BF"/>
      <w:spacing w:val="5"/>
    </w:rPr>
  </w:style>
  <w:style w:type="paragraph" w:styleId="NormalWeb">
    <w:name w:val="Normal (Web)"/>
    <w:basedOn w:val="Normal"/>
    <w:uiPriority w:val="99"/>
    <w:semiHidden/>
    <w:unhideWhenUsed/>
    <w:rsid w:val="004F49E8"/>
    <w:rPr>
      <w:rFonts w:ascii="Times New Roman" w:hAnsi="Times New Roman" w:cs="Times New Roman"/>
      <w:sz w:val="24"/>
      <w:szCs w:val="24"/>
    </w:rPr>
  </w:style>
  <w:style w:type="table" w:styleId="TableGrid">
    <w:name w:val="Table Grid"/>
    <w:basedOn w:val="TableNormal"/>
    <w:uiPriority w:val="39"/>
    <w:rsid w:val="00364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1545"/>
    <w:rPr>
      <w:color w:val="0563C1" w:themeColor="hyperlink"/>
      <w:u w:val="single"/>
    </w:rPr>
  </w:style>
  <w:style w:type="character" w:styleId="UnresolvedMention">
    <w:name w:val="Unresolved Mention"/>
    <w:basedOn w:val="DefaultParagraphFont"/>
    <w:uiPriority w:val="99"/>
    <w:semiHidden/>
    <w:unhideWhenUsed/>
    <w:rsid w:val="00141545"/>
    <w:rPr>
      <w:color w:val="605E5C"/>
      <w:shd w:val="clear" w:color="auto" w:fill="E1DFDD"/>
    </w:rPr>
  </w:style>
  <w:style w:type="paragraph" w:styleId="Header">
    <w:name w:val="header"/>
    <w:basedOn w:val="Normal"/>
    <w:link w:val="HeaderChar"/>
    <w:uiPriority w:val="99"/>
    <w:unhideWhenUsed/>
    <w:rsid w:val="00010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BC3"/>
  </w:style>
  <w:style w:type="paragraph" w:styleId="Footer">
    <w:name w:val="footer"/>
    <w:basedOn w:val="Normal"/>
    <w:link w:val="FooterChar"/>
    <w:uiPriority w:val="99"/>
    <w:unhideWhenUsed/>
    <w:rsid w:val="00010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oi.org/10.1016/j.sjbs.2022.03.00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tifs.2020.01.01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90/bioengineering10020125" TargetMode="External"/><Relationship Id="rId23" Type="http://schemas.openxmlformats.org/officeDocument/2006/relationships/footer" Target="footer3.xml"/><Relationship Id="rId19" Type="http://schemas.openxmlformats.org/officeDocument/2006/relationships/header" Target="header2.xml"/><Relationship Id="rId4" Type="http://schemas.openxmlformats.org/officeDocument/2006/relationships/settings" Target="settings.xml"/><Relationship Id="rId9" Type="http://schemas.microsoft.com/office/2014/relationships/chartEx" Target="charts/chartEx1.xml"/><Relationship Id="rId14" Type="http://schemas.openxmlformats.org/officeDocument/2006/relationships/hyperlink" Target="https://doi.org/10.1016/j.cofs.%202022.100943" TargetMode="Externa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[Book1]Sheet2!PivotTable7</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Sheet2!$F$3</c:f>
              <c:strCache>
                <c:ptCount val="1"/>
                <c:pt idx="0">
                  <c:v>Total</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Sheet2!$A$4:$E$16</c:f>
              <c:multiLvlStrCache>
                <c:ptCount val="13"/>
                <c:lvl>
                  <c:pt idx="0">
                    <c:v>0.9</c:v>
                  </c:pt>
                  <c:pt idx="1">
                    <c:v>1.9</c:v>
                  </c:pt>
                  <c:pt idx="2">
                    <c:v>2.23</c:v>
                  </c:pt>
                  <c:pt idx="3">
                    <c:v>49.23</c:v>
                  </c:pt>
                  <c:pt idx="4">
                    <c:v>58.22±0.04</c:v>
                  </c:pt>
                  <c:pt idx="5">
                    <c:v>48.72±0.03</c:v>
                  </c:pt>
                  <c:pt idx="6">
                    <c:v>56.78±0.03</c:v>
                  </c:pt>
                  <c:pt idx="7">
                    <c:v>50.36±0.03</c:v>
                  </c:pt>
                  <c:pt idx="8">
                    <c:v>55.62±0.05</c:v>
                  </c:pt>
                  <c:pt idx="9">
                    <c:v>44.85±0.04</c:v>
                  </c:pt>
                  <c:pt idx="10">
                    <c:v>39.24±0.06</c:v>
                  </c:pt>
                  <c:pt idx="11">
                    <c:v>46.27±0.03</c:v>
                  </c:pt>
                  <c:pt idx="12">
                    <c:v>42.98±0.06</c:v>
                  </c:pt>
                </c:lvl>
                <c:lvl>
                  <c:pt idx="0">
                    <c:v>0.92</c:v>
                  </c:pt>
                  <c:pt idx="1">
                    <c:v>1.96</c:v>
                  </c:pt>
                  <c:pt idx="2">
                    <c:v>1.76</c:v>
                  </c:pt>
                  <c:pt idx="3">
                    <c:v>64.33</c:v>
                  </c:pt>
                  <c:pt idx="4">
                    <c:v>71.00±0.03</c:v>
                  </c:pt>
                  <c:pt idx="5">
                    <c:v>92.00±0.03</c:v>
                  </c:pt>
                  <c:pt idx="6">
                    <c:v>40.00±0.03</c:v>
                  </c:pt>
                  <c:pt idx="7">
                    <c:v>74.00±0.04</c:v>
                  </c:pt>
                  <c:pt idx="8">
                    <c:v>76.00±0.04</c:v>
                  </c:pt>
                  <c:pt idx="9">
                    <c:v>74.00±0.04</c:v>
                  </c:pt>
                  <c:pt idx="10">
                    <c:v>52.00±0.05</c:v>
                  </c:pt>
                  <c:pt idx="11">
                    <c:v>50.00±0.02</c:v>
                  </c:pt>
                  <c:pt idx="12">
                    <c:v>50.00±0.05</c:v>
                  </c:pt>
                </c:lvl>
                <c:lvl>
                  <c:pt idx="0">
                    <c:v>1.15</c:v>
                  </c:pt>
                  <c:pt idx="1">
                    <c:v>2.45</c:v>
                  </c:pt>
                  <c:pt idx="2">
                    <c:v>3.13</c:v>
                  </c:pt>
                  <c:pt idx="3">
                    <c:v>45.12</c:v>
                  </c:pt>
                  <c:pt idx="4">
                    <c:v>56.02±0.02</c:v>
                  </c:pt>
                  <c:pt idx="5">
                    <c:v>50.12±0.03</c:v>
                  </c:pt>
                  <c:pt idx="6">
                    <c:v>54.80±0.03</c:v>
                  </c:pt>
                  <c:pt idx="7">
                    <c:v>42.01±0.03</c:v>
                  </c:pt>
                  <c:pt idx="8">
                    <c:v>50.11±0.04</c:v>
                  </c:pt>
                  <c:pt idx="9">
                    <c:v>62.01±0.04</c:v>
                  </c:pt>
                  <c:pt idx="10">
                    <c:v>21.04±0.03</c:v>
                  </c:pt>
                  <c:pt idx="11">
                    <c:v>38.90±0.02</c:v>
                  </c:pt>
                  <c:pt idx="12">
                    <c:v>31.08±0.05</c:v>
                  </c:pt>
                </c:lvl>
                <c:lvl>
                  <c:pt idx="0">
                    <c:v>0.92</c:v>
                  </c:pt>
                  <c:pt idx="1">
                    <c:v>1.96</c:v>
                  </c:pt>
                  <c:pt idx="2">
                    <c:v>4.63</c:v>
                  </c:pt>
                  <c:pt idx="3">
                    <c:v>24.42</c:v>
                  </c:pt>
                  <c:pt idx="4">
                    <c:v>24.88±0.04</c:v>
                  </c:pt>
                  <c:pt idx="5">
                    <c:v>22.45±0.04</c:v>
                  </c:pt>
                  <c:pt idx="6">
                    <c:v>25.45±0.03</c:v>
                  </c:pt>
                  <c:pt idx="7">
                    <c:v>21.76±0.03</c:v>
                  </c:pt>
                  <c:pt idx="8">
                    <c:v>26.02±0.02</c:v>
                  </c:pt>
                  <c:pt idx="9">
                    <c:v>20.12±0.03</c:v>
                  </c:pt>
                  <c:pt idx="10">
                    <c:v>28.34±0.03</c:v>
                  </c:pt>
                  <c:pt idx="11">
                    <c:v>20.91±0.02</c:v>
                  </c:pt>
                  <c:pt idx="12">
                    <c:v>29.87±0.05</c:v>
                  </c:pt>
                </c:lvl>
                <c:lvl>
                  <c:pt idx="0">
                    <c:v>0.36</c:v>
                  </c:pt>
                  <c:pt idx="1">
                    <c:v>0.76</c:v>
                  </c:pt>
                  <c:pt idx="2">
                    <c:v>2.77</c:v>
                  </c:pt>
                  <c:pt idx="3">
                    <c:v>15.93</c:v>
                  </c:pt>
                  <c:pt idx="4">
                    <c:v>12.45±0.04</c:v>
                  </c:pt>
                  <c:pt idx="5">
                    <c:v>13.12±0.03</c:v>
                  </c:pt>
                  <c:pt idx="7">
                    <c:v>14.76±0.03</c:v>
                  </c:pt>
                  <c:pt idx="8">
                    <c:v>16.87±0.02</c:v>
                  </c:pt>
                  <c:pt idx="9">
                    <c:v>17.34±0.04</c:v>
                  </c:pt>
                  <c:pt idx="10">
                    <c:v>17.84±0.05</c:v>
                  </c:pt>
                  <c:pt idx="11">
                    <c:v>18.91±0.02</c:v>
                  </c:pt>
                  <c:pt idx="12">
                    <c:v>18.96±0.05</c:v>
                  </c:pt>
                </c:lvl>
              </c:multiLvlStrCache>
            </c:multiLvlStrRef>
          </c:cat>
          <c:val>
            <c:numRef>
              <c:f>Sheet2!$F$4:$F$16</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extLst>
            <c:ext xmlns:c16="http://schemas.microsoft.com/office/drawing/2014/chart" uri="{C3380CC4-5D6E-409C-BE32-E72D297353CC}">
              <c16:uniqueId val="{00000000-485C-4DA5-86D3-9DDD0B391F22}"/>
            </c:ext>
          </c:extLst>
        </c:ser>
        <c:dLbls>
          <c:showLegendKey val="0"/>
          <c:showVal val="0"/>
          <c:showCatName val="0"/>
          <c:showSerName val="0"/>
          <c:showPercent val="0"/>
          <c:showBubbleSize val="0"/>
        </c:dLbls>
        <c:gapWidth val="219"/>
        <c:overlap val="-27"/>
        <c:axId val="26996095"/>
        <c:axId val="26998975"/>
      </c:barChart>
      <c:catAx>
        <c:axId val="2699609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baseline="0">
                    <a:effectLst/>
                  </a:rPr>
                  <a:t>Mean performance of different qualitative characters of linseed</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6998975"/>
        <c:crosses val="autoZero"/>
        <c:auto val="1"/>
        <c:lblAlgn val="ctr"/>
        <c:lblOffset val="100"/>
        <c:noMultiLvlLbl val="0"/>
      </c:catAx>
      <c:valAx>
        <c:axId val="26998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Content</a:t>
                </a:r>
                <a:r>
                  <a:rPr lang="en-IN" baseline="0"/>
                  <a:t>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60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GA AS %</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dispRSqr val="0"/>
            <c:dispEq val="0"/>
          </c:trendline>
          <c:xVal>
            <c:strRef>
              <c:f>Sheet1!$A$2:$A$20</c:f>
              <c:strCache>
                <c:ptCount val="19"/>
                <c:pt idx="0">
                  <c:v>(%)</c:v>
                </c:pt>
                <c:pt idx="1">
                  <c:v>42.82</c:v>
                </c:pt>
                <c:pt idx="2">
                  <c:v>73.16</c:v>
                </c:pt>
                <c:pt idx="3">
                  <c:v>95.63</c:v>
                </c:pt>
                <c:pt idx="4">
                  <c:v>94.99</c:v>
                </c:pt>
                <c:pt idx="5">
                  <c:v>78.69</c:v>
                </c:pt>
                <c:pt idx="6">
                  <c:v>83.44</c:v>
                </c:pt>
                <c:pt idx="7">
                  <c:v>93.03</c:v>
                </c:pt>
                <c:pt idx="8">
                  <c:v>95.97</c:v>
                </c:pt>
                <c:pt idx="9">
                  <c:v>83.94</c:v>
                </c:pt>
                <c:pt idx="10">
                  <c:v>98.88</c:v>
                </c:pt>
                <c:pt idx="11">
                  <c:v>65.4</c:v>
                </c:pt>
                <c:pt idx="12">
                  <c:v>93.86</c:v>
                </c:pt>
                <c:pt idx="13">
                  <c:v>95.97</c:v>
                </c:pt>
                <c:pt idx="14">
                  <c:v>97.17</c:v>
                </c:pt>
                <c:pt idx="15">
                  <c:v>89.51</c:v>
                </c:pt>
                <c:pt idx="16">
                  <c:v>98.84</c:v>
                </c:pt>
                <c:pt idx="17">
                  <c:v>99.85</c:v>
                </c:pt>
                <c:pt idx="18">
                  <c:v>99.08</c:v>
                </c:pt>
              </c:strCache>
            </c:strRef>
          </c:xVal>
          <c:yVal>
            <c:numRef>
              <c:f>Sheet1!$B$2:$B$20</c:f>
              <c:numCache>
                <c:formatCode>General</c:formatCode>
                <c:ptCount val="19"/>
                <c:pt idx="0">
                  <c:v>15.72</c:v>
                </c:pt>
                <c:pt idx="1">
                  <c:v>8.81</c:v>
                </c:pt>
                <c:pt idx="2">
                  <c:v>17.39</c:v>
                </c:pt>
                <c:pt idx="3">
                  <c:v>15.68</c:v>
                </c:pt>
                <c:pt idx="4">
                  <c:v>5.27</c:v>
                </c:pt>
                <c:pt idx="5">
                  <c:v>18.22</c:v>
                </c:pt>
                <c:pt idx="6">
                  <c:v>38.33</c:v>
                </c:pt>
                <c:pt idx="7">
                  <c:v>27.29</c:v>
                </c:pt>
                <c:pt idx="8">
                  <c:v>10.98</c:v>
                </c:pt>
                <c:pt idx="9">
                  <c:v>27.76</c:v>
                </c:pt>
                <c:pt idx="10">
                  <c:v>3.77</c:v>
                </c:pt>
                <c:pt idx="11">
                  <c:v>13.3</c:v>
                </c:pt>
                <c:pt idx="12">
                  <c:v>27.29</c:v>
                </c:pt>
                <c:pt idx="13">
                  <c:v>32.909999999999997</c:v>
                </c:pt>
                <c:pt idx="14">
                  <c:v>26.36</c:v>
                </c:pt>
                <c:pt idx="15">
                  <c:v>59.35</c:v>
                </c:pt>
                <c:pt idx="16">
                  <c:v>93.7</c:v>
                </c:pt>
                <c:pt idx="17">
                  <c:v>47.44</c:v>
                </c:pt>
              </c:numCache>
            </c:numRef>
          </c:yVal>
          <c:smooth val="0"/>
          <c:extLst>
            <c:ext xmlns:c16="http://schemas.microsoft.com/office/drawing/2014/chart" uri="{C3380CC4-5D6E-409C-BE32-E72D297353CC}">
              <c16:uniqueId val="{00000000-2231-4FC0-860C-A97BF4E40EA0}"/>
            </c:ext>
          </c:extLst>
        </c:ser>
        <c:dLbls>
          <c:showLegendKey val="0"/>
          <c:showVal val="0"/>
          <c:showCatName val="0"/>
          <c:showSerName val="0"/>
          <c:showPercent val="0"/>
          <c:showBubbleSize val="0"/>
        </c:dLbls>
        <c:axId val="1950058623"/>
        <c:axId val="1597339135"/>
      </c:scatterChart>
      <c:valAx>
        <c:axId val="19500586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HERITABILITY</a:t>
                </a:r>
                <a:r>
                  <a:rPr lang="en-IN" baseline="0"/>
                  <a:t> </a:t>
                </a:r>
                <a:endParaRPr lang="en-IN"/>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1597339135"/>
        <c:crosses val="autoZero"/>
        <c:crossBetween val="midCat"/>
      </c:valAx>
      <c:valAx>
        <c:axId val="1597339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GAM</a:t>
                </a:r>
                <a:r>
                  <a:rPr lang="en-IN" baseline="0"/>
                  <a:t> %</a:t>
                </a:r>
                <a:endParaRPr lang="en-IN"/>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005862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Sheet3!$B$2:$B$14</cx:f>
        <cx:lvl ptCount="13" formatCode="General">
          <cx:pt idx="0">12.93</cx:pt>
          <cx:pt idx="1">20.27</cx:pt>
          <cx:pt idx="2">18.469999999999999</cx:pt>
          <cx:pt idx="3">19.77</cx:pt>
          <cx:pt idx="4">18.870000000000001</cx:pt>
          <cx:pt idx="5">17.329999999999998</cx:pt>
          <cx:pt idx="6">18.469999999999999</cx:pt>
          <cx:pt idx="7">14.199999999999999</cx:pt>
          <cx:pt idx="8">17.57</cx:pt>
          <cx:pt idx="9">17.539999999999999</cx:pt>
          <cx:pt idx="10">1.9299999999999999</cx:pt>
          <cx:pt idx="11">4.0899999999999999</cx:pt>
          <cx:pt idx="12">13.470000000000001</cx:pt>
        </cx:lvl>
      </cx:numDim>
    </cx:data>
    <cx:data id="1">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Sheet3!$C$2:$C$14</cx:f>
        <cx:lvl ptCount="13" formatCode="General">
          <cx:pt idx="0">41.5</cx:pt>
          <cx:pt idx="1">40.229999999999997</cx:pt>
          <cx:pt idx="2">38.299999999999997</cx:pt>
          <cx:pt idx="3">42.969999999999999</cx:pt>
          <cx:pt idx="4">37.469999999999999</cx:pt>
          <cx:pt idx="5">42.469999999999999</cx:pt>
          <cx:pt idx="6">38.969999999999999</cx:pt>
          <cx:pt idx="7">41.170000000000002</cx:pt>
          <cx:pt idx="8">37.329999999999998</cx:pt>
          <cx:pt idx="9">40.039999999999999</cx:pt>
          <cx:pt idx="10">0.98999999999999999</cx:pt>
          <cx:pt idx="11">2.1000000000000001</cx:pt>
          <cx:pt idx="12">3.0299999999999998</cx:pt>
        </cx:lvl>
      </cx:numDim>
    </cx:data>
    <cx:data id="2">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Sheet3!$D$2:$D$14</cx:f>
        <cx:lvl ptCount="13" formatCode="General">
          <cx:pt idx="0">63.130000000000003</cx:pt>
          <cx:pt idx="1">60.829999999999998</cx:pt>
          <cx:pt idx="2">58.399999999999999</cx:pt>
          <cx:pt idx="3">65.599999999999994</cx:pt>
          <cx:pt idx="4">53.670000000000002</cx:pt>
          <cx:pt idx="5">62.530000000000001</cx:pt>
          <cx:pt idx="6">53.93</cx:pt>
          <cx:pt idx="7">62.700000000000003</cx:pt>
          <cx:pt idx="8">50.829999999999998</cx:pt>
          <cx:pt idx="9">59.07</cx:pt>
          <cx:pt idx="10">0.89000000000000001</cx:pt>
          <cx:pt idx="11">1.8899999999999999</cx:pt>
          <cx:pt idx="12">1.8500000000000001</cx:pt>
        </cx:lvl>
      </cx:numDim>
    </cx:data>
    <cx:data id="3">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Sheet3!$E$2:$E$14</cx:f>
        <cx:lvl ptCount="13" formatCode="General">
          <cx:pt idx="0">67.569999999999993</cx:pt>
          <cx:pt idx="1">64.569999999999993</cx:pt>
          <cx:pt idx="2">63.270000000000003</cx:pt>
          <cx:pt idx="3">71.670000000000002</cx:pt>
          <cx:pt idx="4">58.5</cx:pt>
          <cx:pt idx="5">67.230000000000004</cx:pt>
          <cx:pt idx="6">60.5</cx:pt>
          <cx:pt idx="7">64.299999999999997</cx:pt>
          <cx:pt idx="8">55.229999999999997</cx:pt>
          <cx:pt idx="9">63.649999999999999</cx:pt>
          <cx:pt idx="10">0.93000000000000005</cx:pt>
          <cx:pt idx="11">1.98</cx:pt>
          <cx:pt idx="12">1.79</cx:pt>
        </cx:lvl>
      </cx:numDim>
    </cx:data>
    <cx:data id="4">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Sheet3!$F$2:$F$14</cx:f>
        <cx:lvl ptCount="13" formatCode="General">
          <cx:pt idx="0">67</cx:pt>
          <cx:pt idx="1">64</cx:pt>
          <cx:pt idx="2">70</cx:pt>
          <cx:pt idx="3">65</cx:pt>
          <cx:pt idx="4">68</cx:pt>
          <cx:pt idx="5">67</cx:pt>
          <cx:pt idx="6">69</cx:pt>
          <cx:pt idx="7">68.329999999999998</cx:pt>
          <cx:pt idx="8">69.670000000000002</cx:pt>
          <cx:pt idx="9">67.560000000000002</cx:pt>
          <cx:pt idx="10">0.82999999999999996</cx:pt>
          <cx:pt idx="11">1.75</cx:pt>
          <cx:pt idx="12">1.5</cx:pt>
        </cx:lvl>
      </cx:numDim>
    </cx:data>
    <cx:data id="5">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Sheet3!$G$2:$G$14</cx:f>
        <cx:lvl ptCount="13" formatCode="General">
          <cx:pt idx="0">6.4299999999999997</cx:pt>
          <cx:pt idx="1">6.0300000000000002</cx:pt>
          <cx:pt idx="2">5.9000000000000004</cx:pt>
          <cx:pt idx="3">7.2000000000000002</cx:pt>
          <cx:pt idx="4">6.7999999999999998</cx:pt>
          <cx:pt idx="5">6.2999999999999998</cx:pt>
          <cx:pt idx="6">5.0300000000000002</cx:pt>
          <cx:pt idx="7">6.2000000000000002</cx:pt>
          <cx:pt idx="8">5.7999999999999998</cx:pt>
          <cx:pt idx="9">6.1900000000000004</cx:pt>
          <cx:pt idx="10">0.22</cx:pt>
          <cx:pt idx="11">0.46000000000000002</cx:pt>
          <cx:pt idx="12">4.3099999999999996</cx:pt>
        </cx:lvl>
      </cx:numDim>
    </cx:data>
    <cx:data id="6">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Sheet3!$H$2:$H$14</cx:f>
        <cx:lvl ptCount="13" formatCode="General">
          <cx:pt idx="0">71.329999999999998</cx:pt>
          <cx:pt idx="1">62</cx:pt>
          <cx:pt idx="2">56.670000000000002</cx:pt>
          <cx:pt idx="3">88</cx:pt>
          <cx:pt idx="4">56.670000000000002</cx:pt>
          <cx:pt idx="5">85.329999999999998</cx:pt>
          <cx:pt idx="6">51.329999999999998</cx:pt>
          <cx:pt idx="7">68</cx:pt>
          <cx:pt idx="8">58.670000000000002</cx:pt>
          <cx:pt idx="9">66.439999999999998</cx:pt>
          <cx:pt idx="10">2.8700000000000001</cx:pt>
          <cx:pt idx="11">6.0800000000000001</cx:pt>
          <cx:pt idx="12">5.2800000000000002</cx:pt>
        </cx:lvl>
      </cx:numDim>
    </cx:data>
    <cx:data id="7">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Sheet3!$I$2:$I$14</cx:f>
        <cx:lvl ptCount="13" formatCode="General">
          <cx:pt idx="0">6.0700000000000003</cx:pt>
          <cx:pt idx="1">5.5300000000000002</cx:pt>
          <cx:pt idx="2">5.4699999999999998</cx:pt>
          <cx:pt idx="3">6.7300000000000004</cx:pt>
          <cx:pt idx="4">4.5</cx:pt>
          <cx:pt idx="5">5.9000000000000004</cx:pt>
          <cx:pt idx="6">4.9000000000000004</cx:pt>
          <cx:pt idx="7">5.8300000000000001</cx:pt>
          <cx:pt idx="8">4.5</cx:pt>
          <cx:pt idx="9">5.4900000000000002</cx:pt>
          <cx:pt idx="10">0.12</cx:pt>
          <cx:pt idx="11">0.26000000000000001</cx:pt>
          <cx:pt idx="12">2.77</cx:pt>
        </cx:lvl>
      </cx:numDim>
    </cx:data>
    <cx:data id="8">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Sheet3!$J$2:$J$14</cx:f>
        <cx:lvl ptCount="13" formatCode="General">
          <cx:pt idx="0">6.5700000000000003</cx:pt>
          <cx:pt idx="1">6.2300000000000004</cx:pt>
          <cx:pt idx="2">6.5700000000000003</cx:pt>
          <cx:pt idx="3">7.1299999999999999</cx:pt>
          <cx:pt idx="4">6</cx:pt>
          <cx:pt idx="5">6.7000000000000002</cx:pt>
          <cx:pt idx="6">6.1699999999999999</cx:pt>
          <cx:pt idx="7">6.3300000000000001</cx:pt>
          <cx:pt idx="8">5.9000000000000004</cx:pt>
          <cx:pt idx="9">6.4000000000000004</cx:pt>
          <cx:pt idx="10">0.13</cx:pt>
          <cx:pt idx="11">0.28000000000000003</cx:pt>
          <cx:pt idx="12">2.54</cx:pt>
        </cx:lvl>
      </cx:numDim>
    </cx:data>
    <cx:data id="9">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Sheet3!$K$2:$K$14</cx:f>
        <cx:lvl ptCount="13" formatCode="General">
          <cx:pt idx="0">23.600000000000001</cx:pt>
          <cx:pt idx="1">21.699999999999999</cx:pt>
          <cx:pt idx="2">20.07</cx:pt>
          <cx:pt idx="3">25</cx:pt>
          <cx:pt idx="4">17.43</cx:pt>
          <cx:pt idx="5">21.870000000000001</cx:pt>
          <cx:pt idx="6">18.27</cx:pt>
          <cx:pt idx="7">21.870000000000001</cx:pt>
          <cx:pt idx="8">16.73</cx:pt>
          <cx:pt idx="9">20.73</cx:pt>
          <cx:pt idx="10">0.23999999999999999</cx:pt>
          <cx:pt idx="11">0.52000000000000002</cx:pt>
          <cx:pt idx="12">1.4399999999999999</cx:pt>
        </cx:lvl>
      </cx:numDim>
    </cx:data>
    <cx:data id="10">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Sheet3!$L$2:$L$14</cx:f>
        <cx:lvl ptCount="13" formatCode="General">
          <cx:pt idx="0">25.699999999999999</cx:pt>
          <cx:pt idx="1">25.5</cx:pt>
          <cx:pt idx="2">27.239999999999998</cx:pt>
          <cx:pt idx="3">26.940000000000001</cx:pt>
          <cx:pt idx="4">25.809999999999999</cx:pt>
          <cx:pt idx="5">26.989999999999998</cx:pt>
          <cx:pt idx="6">26.829999999999998</cx:pt>
          <cx:pt idx="7">26.699999999999999</cx:pt>
          <cx:pt idx="8">26.879999999999999</cx:pt>
          <cx:pt idx="9">26.510000000000002</cx:pt>
          <cx:pt idx="10">0.35999999999999999</cx:pt>
          <cx:pt idx="11">0.76000000000000001</cx:pt>
          <cx:pt idx="12">1.6499999999999999</cx:pt>
        </cx:lvl>
      </cx:numDim>
    </cx:data>
    <cx:data id="11">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Sheet3!$M$2:$M$14</cx:f>
        <cx:lvl ptCount="13" formatCode="General">
          <cx:pt idx="0">9.4000000000000004</cx:pt>
          <cx:pt idx="1">8.9000000000000004</cx:pt>
          <cx:pt idx="2">9</cx:pt>
          <cx:pt idx="3">9.6999999999999993</cx:pt>
          <cx:pt idx="4">8.1999999999999993</cx:pt>
          <cx:pt idx="5">9.0999999999999996</cx:pt>
          <cx:pt idx="6">8.4000000000000004</cx:pt>
          <cx:pt idx="7">8.4000000000000004</cx:pt>
          <cx:pt idx="8">7.9000000000000004</cx:pt>
          <cx:pt idx="9">8.7799999999999994</cx:pt>
          <cx:pt idx="10">0.12</cx:pt>
          <cx:pt idx="11">0.26000000000000001</cx:pt>
          <cx:pt idx="12">1.7</cx:pt>
        </cx:lvl>
      </cx:numDim>
    </cx:data>
    <cx:data id="12">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Sheet3!$N$2:$N$14</cx:f>
        <cx:lvl ptCount="13" formatCode="General">
          <cx:pt idx="0">202.19999999999999</cx:pt>
          <cx:pt idx="1">184.43000000000001</cx:pt>
          <cx:pt idx="2">182.19999999999999</cx:pt>
          <cx:pt idx="3">224.41999999999999</cx:pt>
          <cx:pt idx="4">149.99000000000001</cx:pt>
          <cx:pt idx="5">196.65000000000001</cx:pt>
          <cx:pt idx="6">163.31999999999999</cx:pt>
          <cx:pt idx="7">194.43000000000001</cx:pt>
          <cx:pt idx="8">149.99000000000001</cx:pt>
          <cx:pt idx="9">183.06999999999999</cx:pt>
          <cx:pt idx="10">4.1399999999999997</cx:pt>
          <cx:pt idx="11">8.7799999999999994</cx:pt>
          <cx:pt idx="12">2.77</cx:pt>
        </cx:lvl>
      </cx:numDim>
    </cx:data>
  </cx:chartData>
  <cx:chart>
    <cx:title pos="t" align="ctr" overlay="0">
      <cx:tx>
        <cx:txData>
          <cx:v> </cx:v>
        </cx:txData>
      </cx:tx>
      <cx:txPr>
        <a:bodyPr spcFirstLastPara="1" vertOverflow="ellipsis" horzOverflow="overflow" wrap="square" lIns="0" tIns="0" rIns="0" bIns="0" anchor="ctr" anchorCtr="1"/>
        <a:lstStyle/>
        <a:p>
          <a:pPr algn="ctr" rtl="0">
            <a:defRPr sz="1000">
              <a:latin typeface="Arial" panose="020B0604020202020204" pitchFamily="34" charset="0"/>
              <a:ea typeface="Arial" panose="020B0604020202020204" pitchFamily="34" charset="0"/>
              <a:cs typeface="Arial" panose="020B0604020202020204" pitchFamily="34" charset="0"/>
            </a:defRPr>
          </a:pPr>
          <a:r>
            <a:rPr lang="en-US" sz="10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 </a:t>
          </a:r>
        </a:p>
      </cx:txPr>
    </cx:title>
    <cx:plotArea>
      <cx:plotAreaRegion>
        <cx:series layoutId="clusteredColumn" uniqueId="{441C25B4-C4DC-46E1-99F3-EE16AC76F2ED}" formatIdx="0">
          <cx:tx>
            <cx:txData>
              <cx:f>Sheet3!$B$1</cx:f>
              <cx:v>Plant Height (cm) 30 DAS</cx:v>
            </cx:txData>
          </cx:tx>
          <cx:data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visibility seriesName="0" categoryName="0" value="1"/>
          </cx:dataLabels>
          <cx:dataId val="0"/>
          <cx:layoutPr>
            <cx:aggregation/>
          </cx:layoutPr>
          <cx:axisId val="1"/>
        </cx:series>
        <cx:series layoutId="paretoLine" ownerIdx="0" uniqueId="{9166A6A0-3255-488B-9A23-3C07A061552E}" formatIdx="1">
          <cx:axisId val="2"/>
        </cx:series>
        <cx:series layoutId="clusteredColumn" hidden="1" uniqueId="{FCBE17FF-C8F4-40BF-886B-9D6F1B889E0F}" formatIdx="2">
          <cx:tx>
            <cx:txData>
              <cx:v>Plant height (cm) 60 DAS</cx:v>
            </cx:txData>
          </cx:tx>
          <cx:data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dataLabels>
          <cx:dataId val="1"/>
          <cx:layoutPr>
            <cx:aggregation/>
          </cx:layoutPr>
          <cx:axisId val="1"/>
        </cx:series>
        <cx:series layoutId="paretoLine" ownerIdx="2" uniqueId="{790FD65A-23DE-4C7D-9C5E-430D434AE7A0}" formatIdx="3">
          <cx:axisId val="2"/>
        </cx:series>
        <cx:series layoutId="clusteredColumn" hidden="1" uniqueId="{AE7F0021-D3CD-490A-B140-00CF3FD5C524}" formatIdx="4">
          <cx:tx>
            <cx:txData>
              <cx:f/>
              <cx:v>Plant height (cm) 90 DAS</cx:v>
            </cx:txData>
          </cx:tx>
          <cx:dataId val="2"/>
          <cx:layoutPr>
            <cx:aggregation/>
          </cx:layoutPr>
          <cx:axisId val="1"/>
        </cx:series>
        <cx:series layoutId="paretoLine" ownerIdx="4" uniqueId="{FFBEF96B-D4A6-4F4A-BC97-D60C5B603A34}" formatIdx="5">
          <cx:axisId val="2"/>
        </cx:series>
        <cx:series layoutId="clusteredColumn" hidden="1" uniqueId="{6005FD9D-6A3D-4248-9721-11AD14D559CD}" formatIdx="6">
          <cx:tx>
            <cx:txData>
              <cx:v>Plant height day after maturity</cx:v>
            </cx:txData>
          </cx:tx>
          <cx:dataId val="3"/>
          <cx:layoutPr>
            <cx:aggregation/>
          </cx:layoutPr>
          <cx:axisId val="1"/>
        </cx:series>
        <cx:series layoutId="paretoLine" ownerIdx="6" uniqueId="{F7CCAACD-3431-4753-8280-CFFC953399BF}" formatIdx="7">
          <cx:axisId val="2"/>
        </cx:series>
        <cx:series layoutId="clusteredColumn" hidden="1" uniqueId="{B423CA80-739C-4A4F-939D-6B64D945E095}" formatIdx="8">
          <cx:tx>
            <cx:txData>
              <cx:f/>
              <cx:v>50% flowering stage</cx:v>
            </cx:txData>
          </cx:tx>
          <cx:dataId val="4"/>
          <cx:layoutPr>
            <cx:aggregation/>
          </cx:layoutPr>
          <cx:axisId val="1"/>
        </cx:series>
        <cx:series layoutId="paretoLine" ownerIdx="8" uniqueId="{D92ADF66-9649-4BF5-B38E-CADC450566F9}" formatIdx="9">
          <cx:axisId val="2"/>
        </cx:series>
        <cx:series layoutId="clusteredColumn" hidden="1" uniqueId="{839D8B77-781A-412C-9946-C36121FBDC92}" formatIdx="10">
          <cx:tx>
            <cx:txData>
              <cx:v>No. Of branches plant-1</cx:v>
            </cx:txData>
          </cx:tx>
          <cx:dataId val="5"/>
          <cx:layoutPr>
            <cx:aggregation/>
          </cx:layoutPr>
          <cx:axisId val="1"/>
        </cx:series>
        <cx:series layoutId="paretoLine" ownerIdx="10" uniqueId="{B4C9D15F-B64A-4FA8-8330-3D17B29EFE7D}" formatIdx="11">
          <cx:axisId val="2"/>
        </cx:series>
        <cx:series layoutId="clusteredColumn" hidden="1" uniqueId="{563A9809-2391-44E7-87C4-5CBA4F6242E8}" formatIdx="12">
          <cx:tx>
            <cx:txData>
              <cx:f/>
              <cx:v>No. Of capsule plant-1</cx:v>
            </cx:txData>
          </cx:tx>
          <cx:dataId val="6"/>
          <cx:layoutPr>
            <cx:aggregation/>
          </cx:layoutPr>
          <cx:axisId val="1"/>
        </cx:series>
        <cx:series layoutId="paretoLine" ownerIdx="12" uniqueId="{C58C8B1E-87E2-4D78-A947-ACE728C9B1F3}" formatIdx="13">
          <cx:axisId val="2"/>
        </cx:series>
        <cx:series layoutId="clusteredColumn" hidden="1" uniqueId="{202B1013-0AFD-4321-BAD9-BB6F4D765640}" formatIdx="14">
          <cx:tx>
            <cx:txData>
              <cx:v>Seed yield plant-1</cx:v>
            </cx:txData>
          </cx:tx>
          <cx:dataId val="7"/>
          <cx:layoutPr>
            <cx:aggregation/>
          </cx:layoutPr>
          <cx:axisId val="1"/>
        </cx:series>
        <cx:series layoutId="paretoLine" ownerIdx="14" uniqueId="{98911A99-0CF9-4769-B35F-8C2A2E14FF09}" formatIdx="15">
          <cx:axisId val="2"/>
        </cx:series>
        <cx:series layoutId="clusteredColumn" hidden="1" uniqueId="{D65B4E33-D03A-4DD8-BD9D-BD6C79CC5F8A}" formatIdx="16">
          <cx:tx>
            <cx:txData>
              <cx:v>1000 seed weight (g)</cx:v>
            </cx:txData>
          </cx:tx>
          <cx:dataId val="8"/>
          <cx:layoutPr>
            <cx:aggregation/>
          </cx:layoutPr>
          <cx:axisId val="1"/>
        </cx:series>
        <cx:series layoutId="paretoLine" ownerIdx="16" uniqueId="{859216D6-59C4-4274-8649-51273C68809A}" formatIdx="17">
          <cx:axisId val="2"/>
        </cx:series>
        <cx:series layoutId="clusteredColumn" hidden="1" uniqueId="{FD028DD6-FD29-43CF-A7A9-17D1D02EED38}" formatIdx="18">
          <cx:tx>
            <cx:txData>
              <cx:v>Biological yield plant-1 (g)</cx:v>
            </cx:txData>
          </cx:tx>
          <cx:dataId val="9"/>
          <cx:layoutPr>
            <cx:aggregation/>
          </cx:layoutPr>
          <cx:axisId val="1"/>
        </cx:series>
        <cx:series layoutId="paretoLine" ownerIdx="18" uniqueId="{E7594748-D764-4B50-BEB2-0C1733DA580B}" formatIdx="19">
          <cx:axisId val="2"/>
        </cx:series>
        <cx:series layoutId="clusteredColumn" hidden="1" uniqueId="{1AA10E12-B8C6-4388-9B10-6435D68C206B}" formatIdx="20">
          <cx:tx>
            <cx:txData>
              <cx:v>Harvest index</cx:v>
            </cx:txData>
          </cx:tx>
          <cx:dataId val="10"/>
          <cx:layoutPr>
            <cx:aggregation/>
          </cx:layoutPr>
          <cx:axisId val="1"/>
        </cx:series>
        <cx:series layoutId="paretoLine" ownerIdx="20" uniqueId="{98F609A6-2B70-4051-A275-BD186821DB6E}" formatIdx="21">
          <cx:axisId val="2"/>
        </cx:series>
        <cx:series layoutId="clusteredColumn" hidden="1" uniqueId="{040B27EF-69CC-4D08-BFFF-62D5B27EB4BD}" formatIdx="22">
          <cx:tx>
            <cx:txData>
              <cx:v>No of seed per capsule</cx:v>
            </cx:txData>
          </cx:tx>
          <cx:dataId val="11"/>
          <cx:layoutPr>
            <cx:aggregation/>
          </cx:layoutPr>
          <cx:axisId val="1"/>
        </cx:series>
        <cx:series layoutId="paretoLine" ownerIdx="22" uniqueId="{CDC6576C-AE55-40C1-992D-ACBBB93B32E8}" formatIdx="23">
          <cx:axisId val="2"/>
        </cx:series>
        <cx:series layoutId="clusteredColumn" hidden="1" uniqueId="{F1B9A2B7-95B3-4B44-84CE-453B4BB6DBB3}" formatIdx="24">
          <cx:tx>
            <cx:txData>
              <cx:v>Seed yield plot-1  (kg ha-1)</cx:v>
            </cx:txData>
          </cx:tx>
          <cx:dataId val="12"/>
          <cx:layoutPr>
            <cx:aggregation/>
          </cx:layoutPr>
          <cx:axisId val="1"/>
        </cx:series>
        <cx:series layoutId="paretoLine" ownerIdx="24" uniqueId="{1460D8B5-2501-4210-96C2-A4337ED650EC}" formatIdx="25">
          <cx:axisId val="2"/>
        </cx:series>
      </cx:plotAreaRegion>
      <cx:axis id="0">
        <cx:catScaling gapWidth="0"/>
        <cx:title>
          <cx:tx>
            <cx:rich>
              <a:bodyPr spcFirstLastPara="1" vertOverflow="ellipsis" horzOverflow="overflow" wrap="square" lIns="0" tIns="0" rIns="0" bIns="0"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a:latin typeface="Arial" panose="020B0604020202020204" pitchFamily="34" charset="0"/>
                    <a:ea typeface="Arial" panose="020B0604020202020204" pitchFamily="34" charset="0"/>
                    <a:cs typeface="Arial" panose="020B0604020202020204" pitchFamily="34" charset="0"/>
                  </a:defRPr>
                </a:pPr>
                <a:r>
                  <a:rPr lang="en-IN" sz="1000" b="1"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Mean performance of different quantitative characters of linseed</a:t>
                </a:r>
                <a:endParaRPr lang="en-IN" sz="10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endParaRPr>
              </a:p>
            </cx:rich>
          </cx:tx>
        </cx:title>
        <cx:tick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axis>
      <cx:axis id="1">
        <cx:valScaling/>
        <cx:title>
          <cx:tx>
            <cx:rich>
              <a:bodyPr spcFirstLastPara="1" vertOverflow="ellipsis" horzOverflow="overflow" wrap="square" lIns="0" tIns="0" rIns="0" bIns="0" anchor="ctr" anchorCtr="1"/>
              <a:lstStyle/>
              <a:p>
                <a:pPr algn="ctr" rtl="0">
                  <a:defRPr sz="1000">
                    <a:latin typeface="Arial" panose="020B0604020202020204" pitchFamily="34" charset="0"/>
                    <a:ea typeface="Arial" panose="020B0604020202020204" pitchFamily="34" charset="0"/>
                    <a:cs typeface="Arial" panose="020B0604020202020204" pitchFamily="34" charset="0"/>
                  </a:defRPr>
                </a:pPr>
                <a:r>
                  <a:rPr lang="en-IN" sz="1000" b="1"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characters</a:t>
                </a:r>
                <a:endParaRPr lang="en-US" sz="10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rich>
          </cx:tx>
        </cx:title>
        <cx:majorGridlines/>
        <cx:tick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axis>
      <cx:axis id="2">
        <cx:valScaling max="1" min="0"/>
        <cx:units unit="percentage"/>
        <cx:tick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33731-75CF-4960-A268-E47FD7172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18</Pages>
  <Words>6052</Words>
  <Characters>34499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shubhamkumar08050@gmail.com</dc:creator>
  <cp:keywords/>
  <dc:description/>
  <cp:lastModifiedBy>SDI 1022</cp:lastModifiedBy>
  <cp:revision>39</cp:revision>
  <dcterms:created xsi:type="dcterms:W3CDTF">2026-05-07T17:00:00Z</dcterms:created>
  <dcterms:modified xsi:type="dcterms:W3CDTF">2026-05-09T06:10:00Z</dcterms:modified>
</cp:coreProperties>
</file>