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FE" w:rsidRPr="004672FE" w:rsidRDefault="004672FE" w:rsidP="004672FE">
      <w:pPr>
        <w:bidi w:val="0"/>
        <w:spacing w:after="0" w:line="360" w:lineRule="auto"/>
        <w:rPr>
          <w:rFonts w:asciiTheme="majorBidi" w:hAnsiTheme="majorBidi" w:cstheme="majorBidi"/>
          <w:sz w:val="24"/>
          <w:szCs w:val="24"/>
          <w:u w:val="single"/>
        </w:rPr>
      </w:pPr>
      <w:r w:rsidRPr="004672FE">
        <w:rPr>
          <w:rFonts w:asciiTheme="majorBidi" w:hAnsiTheme="majorBidi" w:cstheme="majorBidi"/>
          <w:sz w:val="24"/>
          <w:szCs w:val="24"/>
          <w:u w:val="single"/>
        </w:rPr>
        <w:t>Original Research Article</w:t>
      </w:r>
    </w:p>
    <w:p w:rsidR="004672FE" w:rsidRDefault="004672FE" w:rsidP="004672FE">
      <w:pPr>
        <w:bidi w:val="0"/>
        <w:spacing w:after="0" w:line="360" w:lineRule="auto"/>
        <w:jc w:val="center"/>
        <w:rPr>
          <w:rFonts w:asciiTheme="majorBidi" w:hAnsiTheme="majorBidi" w:cstheme="majorBidi"/>
          <w:sz w:val="24"/>
          <w:szCs w:val="24"/>
        </w:rPr>
      </w:pPr>
    </w:p>
    <w:p w:rsidR="005B4B3D" w:rsidRPr="00D57D14" w:rsidRDefault="00465510" w:rsidP="004672FE">
      <w:pPr>
        <w:bidi w:val="0"/>
        <w:spacing w:after="0" w:line="360" w:lineRule="auto"/>
        <w:jc w:val="center"/>
        <w:rPr>
          <w:rFonts w:asciiTheme="majorBidi" w:hAnsiTheme="majorBidi" w:cstheme="majorBidi"/>
          <w:sz w:val="24"/>
          <w:szCs w:val="24"/>
        </w:rPr>
      </w:pPr>
      <w:r w:rsidRPr="00D57D14">
        <w:rPr>
          <w:rFonts w:asciiTheme="majorBidi" w:hAnsiTheme="majorBidi" w:cstheme="majorBidi"/>
          <w:sz w:val="24"/>
          <w:szCs w:val="24"/>
        </w:rPr>
        <w:t>Phenetic Analysis and M</w:t>
      </w:r>
      <w:r w:rsidR="005B4B3D" w:rsidRPr="00D57D14">
        <w:rPr>
          <w:rFonts w:asciiTheme="majorBidi" w:hAnsiTheme="majorBidi" w:cstheme="majorBidi"/>
          <w:sz w:val="24"/>
          <w:szCs w:val="24"/>
        </w:rPr>
        <w:t>orphological Trait</w:t>
      </w:r>
      <w:r w:rsidR="009424FE" w:rsidRPr="00D57D14">
        <w:rPr>
          <w:rFonts w:asciiTheme="majorBidi" w:hAnsiTheme="majorBidi" w:cstheme="majorBidi"/>
          <w:sz w:val="24"/>
          <w:szCs w:val="24"/>
        </w:rPr>
        <w:t>s</w:t>
      </w:r>
      <w:r w:rsidR="005B4B3D" w:rsidRPr="00D57D14">
        <w:rPr>
          <w:rFonts w:asciiTheme="majorBidi" w:hAnsiTheme="majorBidi" w:cstheme="majorBidi"/>
          <w:sz w:val="24"/>
          <w:szCs w:val="24"/>
        </w:rPr>
        <w:t xml:space="preserve"> </w:t>
      </w:r>
      <w:r w:rsidR="00C80F50" w:rsidRPr="00D57D14">
        <w:rPr>
          <w:rFonts w:asciiTheme="majorBidi" w:hAnsiTheme="majorBidi" w:cstheme="majorBidi"/>
          <w:sz w:val="24"/>
          <w:szCs w:val="24"/>
        </w:rPr>
        <w:t>Evaluation</w:t>
      </w:r>
      <w:r w:rsidR="005B4B3D" w:rsidRPr="00D57D14">
        <w:rPr>
          <w:rFonts w:asciiTheme="majorBidi" w:hAnsiTheme="majorBidi" w:cstheme="majorBidi"/>
          <w:sz w:val="24"/>
          <w:szCs w:val="24"/>
        </w:rPr>
        <w:t xml:space="preserve"> of </w:t>
      </w:r>
      <w:r w:rsidR="004E1452" w:rsidRPr="00D57D14">
        <w:rPr>
          <w:rFonts w:asciiTheme="majorBidi" w:hAnsiTheme="majorBidi" w:cstheme="majorBidi"/>
          <w:i/>
          <w:iCs/>
          <w:sz w:val="24"/>
          <w:szCs w:val="24"/>
        </w:rPr>
        <w:t>Convolvulus</w:t>
      </w:r>
      <w:r w:rsidR="004E1452" w:rsidRPr="00D57D14">
        <w:rPr>
          <w:rFonts w:asciiTheme="majorBidi" w:hAnsiTheme="majorBidi" w:cstheme="majorBidi"/>
          <w:sz w:val="24"/>
          <w:szCs w:val="24"/>
        </w:rPr>
        <w:t xml:space="preserve"> </w:t>
      </w:r>
      <w:r w:rsidR="00E23CA7" w:rsidRPr="00D57D14">
        <w:rPr>
          <w:rFonts w:asciiTheme="majorBidi" w:hAnsiTheme="majorBidi" w:cstheme="majorBidi"/>
          <w:sz w:val="24"/>
          <w:szCs w:val="24"/>
        </w:rPr>
        <w:t xml:space="preserve">L. </w:t>
      </w:r>
      <w:r w:rsidRPr="00D57D14">
        <w:rPr>
          <w:rFonts w:asciiTheme="majorBidi" w:hAnsiTheme="majorBidi" w:cstheme="majorBidi"/>
          <w:sz w:val="24"/>
          <w:szCs w:val="24"/>
        </w:rPr>
        <w:t>from Flora of Saudi Arabia</w:t>
      </w:r>
    </w:p>
    <w:p w:rsidR="003B7F09" w:rsidRPr="00D57D14" w:rsidRDefault="003B7F09" w:rsidP="0011030C">
      <w:pPr>
        <w:autoSpaceDE w:val="0"/>
        <w:autoSpaceDN w:val="0"/>
        <w:bidi w:val="0"/>
        <w:adjustRightInd w:val="0"/>
        <w:spacing w:after="0" w:line="360" w:lineRule="auto"/>
        <w:jc w:val="both"/>
        <w:rPr>
          <w:rFonts w:asciiTheme="majorBidi" w:hAnsiTheme="majorBidi" w:cstheme="majorBidi"/>
          <w:sz w:val="24"/>
          <w:szCs w:val="24"/>
        </w:rPr>
      </w:pPr>
    </w:p>
    <w:p w:rsidR="00D57D14" w:rsidRPr="00D57D14" w:rsidRDefault="00D57D14" w:rsidP="0011030C">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A514D7" w:rsidRPr="00D57D14" w:rsidRDefault="00AA75F9" w:rsidP="00D57D14">
      <w:pPr>
        <w:bidi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Abstract</w:t>
      </w:r>
    </w:p>
    <w:p w:rsidR="006E5EF8" w:rsidRPr="005A5130" w:rsidRDefault="00F35CC8" w:rsidP="005A5130">
      <w:pPr>
        <w:bidi w:val="0"/>
        <w:spacing w:after="0" w:line="360" w:lineRule="auto"/>
        <w:jc w:val="both"/>
        <w:rPr>
          <w:rFonts w:asciiTheme="majorBidi" w:hAnsiTheme="majorBidi" w:cstheme="majorBidi"/>
          <w:sz w:val="24"/>
          <w:szCs w:val="24"/>
        </w:rPr>
      </w:pPr>
      <w:r w:rsidRPr="005A5130">
        <w:rPr>
          <w:rFonts w:asciiTheme="majorBidi" w:hAnsiTheme="majorBidi" w:cstheme="majorBidi"/>
          <w:sz w:val="24"/>
          <w:szCs w:val="24"/>
        </w:rPr>
        <w:tab/>
      </w:r>
      <w:r w:rsidR="005A5130" w:rsidRPr="005A5130">
        <w:rPr>
          <w:rFonts w:asciiTheme="majorBidi" w:hAnsiTheme="majorBidi" w:cstheme="majorBidi"/>
          <w:sz w:val="24"/>
          <w:szCs w:val="24"/>
        </w:rPr>
        <w:t>The goal of the current investigation is to</w:t>
      </w:r>
      <w:r w:rsidR="005C63E8" w:rsidRPr="005A5130">
        <w:rPr>
          <w:rFonts w:asciiTheme="majorBidi" w:hAnsiTheme="majorBidi" w:cstheme="majorBidi"/>
          <w:sz w:val="24"/>
          <w:szCs w:val="24"/>
        </w:rPr>
        <w:t xml:space="preserve"> comprehend the patterns of morphological variation among species within the genus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using Principal Component Analysis (PCA) and phenetic clustering</w:t>
      </w:r>
      <w:r w:rsidR="00543E28"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 xml:space="preserve">Principal Component Analysis (PCA) </w:t>
      </w:r>
      <w:r w:rsidR="005A5130" w:rsidRPr="005A5130">
        <w:rPr>
          <w:rFonts w:asciiTheme="majorBidi" w:hAnsiTheme="majorBidi" w:cstheme="majorBidi"/>
          <w:sz w:val="24"/>
          <w:szCs w:val="24"/>
        </w:rPr>
        <w:t xml:space="preserve">was accustomed to </w:t>
      </w:r>
      <w:r w:rsidR="005C63E8" w:rsidRPr="005A5130">
        <w:rPr>
          <w:rFonts w:asciiTheme="majorBidi" w:hAnsiTheme="majorBidi" w:cstheme="majorBidi"/>
          <w:sz w:val="24"/>
          <w:szCs w:val="24"/>
        </w:rPr>
        <w:t xml:space="preserve">evaluate morphological variation in eighteen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genera</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Fifty two morphological characteristics, including 126 character states, were analyzed</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PCA revealed that 47.55% of the variation was explained by the first two categories</w:t>
      </w:r>
      <w:r w:rsidR="008A44CF" w:rsidRPr="005A5130">
        <w:rPr>
          <w:rFonts w:asciiTheme="majorBidi" w:hAnsiTheme="majorBidi" w:cstheme="majorBidi"/>
          <w:sz w:val="24"/>
          <w:szCs w:val="24"/>
        </w:rPr>
        <w:t xml:space="preserve">, with </w:t>
      </w:r>
      <w:r w:rsidRPr="005A5130">
        <w:rPr>
          <w:rFonts w:asciiTheme="majorBidi" w:hAnsiTheme="majorBidi" w:cstheme="majorBidi"/>
          <w:sz w:val="24"/>
          <w:szCs w:val="24"/>
        </w:rPr>
        <w:t>corolla color</w:t>
      </w:r>
      <w:r w:rsidR="003F3CF9" w:rsidRPr="005A5130">
        <w:rPr>
          <w:rFonts w:asciiTheme="majorBidi" w:hAnsiTheme="majorBidi" w:cstheme="majorBidi"/>
          <w:sz w:val="24"/>
          <w:szCs w:val="24"/>
        </w:rPr>
        <w:t>, stem strength, leaf shape and fruit surface</w:t>
      </w:r>
      <w:r w:rsidR="008A44CF" w:rsidRPr="005A5130">
        <w:rPr>
          <w:rFonts w:asciiTheme="majorBidi" w:hAnsiTheme="majorBidi" w:cstheme="majorBidi"/>
          <w:sz w:val="24"/>
          <w:szCs w:val="24"/>
        </w:rPr>
        <w:t xml:space="preserve"> making the most contribution.</w:t>
      </w:r>
      <w:r w:rsidR="00FD0416" w:rsidRPr="005A5130">
        <w:rPr>
          <w:rFonts w:asciiTheme="majorBidi" w:hAnsiTheme="majorBidi" w:cstheme="majorBidi"/>
          <w:sz w:val="24"/>
          <w:szCs w:val="24"/>
        </w:rPr>
        <w:t xml:space="preserve"> </w:t>
      </w:r>
      <w:r w:rsidR="003F3CF9" w:rsidRPr="005A5130">
        <w:rPr>
          <w:rFonts w:asciiTheme="majorBidi" w:hAnsiTheme="majorBidi" w:cstheme="majorBidi"/>
          <w:sz w:val="24"/>
          <w:szCs w:val="24"/>
        </w:rPr>
        <w:t>A</w:t>
      </w:r>
      <w:r w:rsidR="00FD0416" w:rsidRPr="005A5130">
        <w:rPr>
          <w:rFonts w:asciiTheme="majorBidi" w:hAnsiTheme="majorBidi" w:cstheme="majorBidi"/>
          <w:sz w:val="24"/>
          <w:szCs w:val="24"/>
        </w:rPr>
        <w:t>ccording to UPGMA clustering</w:t>
      </w:r>
      <w:r w:rsidR="003F3CF9" w:rsidRPr="005A5130">
        <w:rPr>
          <w:rFonts w:asciiTheme="majorBidi" w:hAnsiTheme="majorBidi" w:cstheme="majorBidi"/>
          <w:sz w:val="24"/>
          <w:szCs w:val="24"/>
        </w:rPr>
        <w:t xml:space="preserve">, </w:t>
      </w:r>
      <w:r w:rsidR="003F3CF9" w:rsidRPr="005A5130">
        <w:rPr>
          <w:rFonts w:asciiTheme="majorBidi" w:eastAsia="Times New Roman" w:hAnsiTheme="majorBidi" w:cstheme="majorBidi"/>
          <w:sz w:val="24"/>
          <w:szCs w:val="24"/>
        </w:rPr>
        <w:t xml:space="preserve">genus </w:t>
      </w:r>
      <w:r w:rsidR="003F3CF9" w:rsidRPr="005A5130">
        <w:rPr>
          <w:rFonts w:asciiTheme="majorBidi" w:eastAsia="Times New Roman" w:hAnsiTheme="majorBidi" w:cstheme="majorBidi"/>
          <w:i/>
          <w:iCs/>
          <w:sz w:val="24"/>
          <w:szCs w:val="24"/>
        </w:rPr>
        <w:t>Convolvulus</w:t>
      </w:r>
      <w:r w:rsidR="003F3CF9" w:rsidRPr="005A5130">
        <w:rPr>
          <w:rFonts w:asciiTheme="majorBidi" w:eastAsia="Times New Roman" w:hAnsiTheme="majorBidi" w:cstheme="majorBidi"/>
          <w:sz w:val="24"/>
          <w:szCs w:val="24"/>
        </w:rPr>
        <w:t xml:space="preserve"> divided into six phenetic groups </w:t>
      </w:r>
      <w:r w:rsidR="003F3CF9" w:rsidRPr="005A5130">
        <w:rPr>
          <w:rFonts w:asciiTheme="majorBidi" w:hAnsiTheme="majorBidi" w:cstheme="majorBidi"/>
          <w:sz w:val="24"/>
          <w:szCs w:val="24"/>
        </w:rPr>
        <w:t>at 0.06 taxonomic distance</w:t>
      </w:r>
      <w:r w:rsidR="008A44CF" w:rsidRPr="005A5130">
        <w:rPr>
          <w:rFonts w:asciiTheme="majorBidi" w:hAnsiTheme="majorBidi" w:cstheme="majorBidi"/>
          <w:sz w:val="24"/>
          <w:szCs w:val="24"/>
        </w:rPr>
        <w:t xml:space="preserve">. </w:t>
      </w:r>
      <w:r w:rsidR="006E5EF8" w:rsidRPr="005A5130">
        <w:rPr>
          <w:rFonts w:asciiTheme="majorBidi" w:hAnsiTheme="majorBidi" w:cstheme="majorBidi"/>
          <w:sz w:val="24"/>
          <w:szCs w:val="24"/>
        </w:rPr>
        <w:t xml:space="preserve">Overall, the PCA results demonstrate that herbarium-based morphological data provide sufficient resolution to detect major patterns of variation within </w:t>
      </w:r>
      <w:r w:rsidR="006E5EF8" w:rsidRPr="005A5130">
        <w:rPr>
          <w:rStyle w:val="Emphasis"/>
          <w:rFonts w:asciiTheme="majorBidi" w:hAnsiTheme="majorBidi" w:cstheme="majorBidi"/>
          <w:sz w:val="24"/>
          <w:szCs w:val="24"/>
        </w:rPr>
        <w:t>Convolvulus</w:t>
      </w:r>
      <w:r w:rsidR="006E5EF8" w:rsidRPr="005A5130">
        <w:rPr>
          <w:rFonts w:asciiTheme="majorBidi" w:hAnsiTheme="majorBidi" w:cstheme="majorBidi"/>
          <w:sz w:val="24"/>
          <w:szCs w:val="24"/>
        </w:rPr>
        <w:t>. The combination of vegetative and reproductive traits captured by the first two principal components effectively summarizes morphological diversity and supports their use in taxonomic and systematic interpretations.</w:t>
      </w:r>
    </w:p>
    <w:p w:rsidR="004147A7" w:rsidRPr="00D57D14" w:rsidRDefault="004147A7" w:rsidP="0011030C">
      <w:pPr>
        <w:bidi w:val="0"/>
        <w:spacing w:after="0" w:line="360" w:lineRule="auto"/>
        <w:jc w:val="both"/>
        <w:rPr>
          <w:rFonts w:asciiTheme="majorBidi" w:hAnsiTheme="majorBidi" w:cstheme="majorBidi"/>
          <w:sz w:val="24"/>
          <w:szCs w:val="24"/>
          <w:highlight w:val="yellow"/>
        </w:rPr>
      </w:pPr>
    </w:p>
    <w:p w:rsidR="004147A7" w:rsidRPr="00D57D14" w:rsidRDefault="004147A7" w:rsidP="0011030C">
      <w:pPr>
        <w:bidi w:val="0"/>
        <w:spacing w:after="0" w:line="360" w:lineRule="auto"/>
        <w:jc w:val="both"/>
        <w:rPr>
          <w:rFonts w:asciiTheme="majorBidi" w:hAnsiTheme="majorBidi" w:cstheme="majorBidi"/>
          <w:sz w:val="24"/>
          <w:szCs w:val="24"/>
          <w:highlight w:val="yellow"/>
        </w:rPr>
      </w:pPr>
    </w:p>
    <w:p w:rsidR="00A514D7" w:rsidRPr="00D57D14" w:rsidRDefault="00DB3FAF" w:rsidP="001C3A40">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Key words: </w:t>
      </w:r>
      <w:r w:rsidR="00D5628B" w:rsidRPr="001C3A40">
        <w:rPr>
          <w:rFonts w:asciiTheme="majorBidi" w:hAnsiTheme="majorBidi" w:cstheme="majorBidi"/>
          <w:sz w:val="24"/>
          <w:szCs w:val="24"/>
        </w:rPr>
        <w:t>Convolvuleae</w:t>
      </w:r>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Phenogram</w:t>
      </w:r>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Principle component analysis</w:t>
      </w:r>
      <w:r w:rsidR="001C3A40">
        <w:rPr>
          <w:rFonts w:asciiTheme="majorBidi" w:hAnsiTheme="majorBidi" w:cstheme="majorBidi"/>
          <w:sz w:val="24"/>
          <w:szCs w:val="24"/>
        </w:rPr>
        <w:t>, UPGMA</w:t>
      </w:r>
      <w:r w:rsidR="005F1D84" w:rsidRPr="00D57D14">
        <w:rPr>
          <w:rFonts w:asciiTheme="majorBidi" w:hAnsiTheme="majorBidi" w:cstheme="majorBidi"/>
          <w:sz w:val="24"/>
          <w:szCs w:val="24"/>
        </w:rPr>
        <w:t>.</w:t>
      </w:r>
    </w:p>
    <w:p w:rsidR="00D57D14" w:rsidRPr="00D57D14" w:rsidRDefault="00D57D14" w:rsidP="00FD7D4B">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392AB2" w:rsidRPr="00D57D14" w:rsidRDefault="00392AB2" w:rsidP="00D57D14">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Introduction</w:t>
      </w:r>
    </w:p>
    <w:p w:rsidR="008106A3" w:rsidRPr="005F74A0" w:rsidRDefault="007D2ABB" w:rsidP="005F74A0">
      <w:pPr>
        <w:bidi w:val="0"/>
        <w:spacing w:after="0" w:line="360" w:lineRule="auto"/>
        <w:jc w:val="both"/>
        <w:rPr>
          <w:rFonts w:asciiTheme="majorBidi" w:eastAsia="Times New Roman" w:hAnsiTheme="majorBidi" w:cstheme="majorBidi"/>
          <w:sz w:val="24"/>
          <w:szCs w:val="24"/>
        </w:rPr>
      </w:pPr>
      <w:r w:rsidRPr="005F74A0">
        <w:rPr>
          <w:rFonts w:asciiTheme="majorBidi" w:eastAsia="Times New Roman" w:hAnsiTheme="majorBidi" w:cstheme="majorBidi"/>
          <w:i/>
          <w:iCs/>
          <w:sz w:val="24"/>
          <w:szCs w:val="24"/>
        </w:rPr>
        <w:tab/>
      </w:r>
      <w:r w:rsidR="002768F3" w:rsidRPr="005F74A0">
        <w:rPr>
          <w:rFonts w:asciiTheme="majorBidi" w:hAnsiTheme="majorBidi" w:cstheme="majorBidi"/>
          <w:sz w:val="24"/>
          <w:szCs w:val="24"/>
        </w:rPr>
        <w:t>The Convolvulaceae, or morning glory family, is a big family with about 1600–1700 species spread across 50–60 genera.</w:t>
      </w:r>
      <w:r w:rsidR="002768F3" w:rsidRPr="005F74A0">
        <w:rPr>
          <w:rFonts w:asciiTheme="majorBidi" w:eastAsia="Times New Roman" w:hAnsiTheme="majorBidi" w:cstheme="majorBidi"/>
          <w:sz w:val="24"/>
          <w:szCs w:val="24"/>
        </w:rPr>
        <w:t xml:space="preserve"> </w:t>
      </w:r>
      <w:r w:rsidR="00890381"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{"citationItems":[{"id":"ITEM-1","itemData":{"author":[{"dropping-particle":"","family":"Mabberley","given":"David J","non-dropping-particle":"","parse-names":false,"suffix":""}],"container-title":"A portable dictionary of plants, their classifications and uses","id":"ITEM-1","issued":{"date-parts":[["2008"]]},"title":"Mabberley's plant-book","type":"article-journal","volume":"3"},"uris":["http://www.mendeley.com/documents/?uuid=ed6bbf62-8e46-473b-b23e-f63b924627d4"]}],"mendeley":{"formattedCitation":"(Mabberley, 2008)","plainTextFormattedCitation":"(Mabberley, 2008)","previouslyFormattedCitation":"(Mabberley, 2008)"},"properties":{"noteIndex":0},"schema":"https://github.com/citation-style-language/schema/raw/master/csl-citation.json"}</w:instrText>
      </w:r>
      <w:r w:rsidR="00890381" w:rsidRPr="005F74A0">
        <w:rPr>
          <w:rFonts w:asciiTheme="majorBidi" w:eastAsia="Times New Roman" w:hAnsiTheme="majorBidi" w:cstheme="majorBidi"/>
          <w:sz w:val="24"/>
          <w:szCs w:val="24"/>
        </w:rPr>
        <w:fldChar w:fldCharType="separate"/>
      </w:r>
      <w:r w:rsidR="00F76AFF" w:rsidRPr="005F74A0">
        <w:rPr>
          <w:rFonts w:asciiTheme="majorBidi" w:eastAsia="Times New Roman" w:hAnsiTheme="majorBidi" w:cstheme="majorBidi"/>
          <w:noProof/>
          <w:sz w:val="24"/>
          <w:szCs w:val="24"/>
        </w:rPr>
        <w:t>(Mabberley, 2008)</w:t>
      </w:r>
      <w:r w:rsidR="00890381"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displaying a broad variety of ecological environments and a vast array of physical traits</w:t>
      </w:r>
      <w:r w:rsidR="008106A3" w:rsidRPr="005F74A0">
        <w:rPr>
          <w:rFonts w:asciiTheme="majorBidi" w:eastAsia="Times New Roman" w:hAnsiTheme="majorBidi" w:cstheme="majorBidi"/>
          <w:sz w:val="24"/>
          <w:szCs w:val="24"/>
        </w:rPr>
        <w:t>.</w:t>
      </w:r>
      <w:r w:rsidR="00905E97"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Convolvulaceae members are easily distinguished by their morphology, but species-level identification is challenging</w:t>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This is mostly because plants may adapt to a broad variety of habitat types through a variety of morphological and structural changes</w:t>
      </w:r>
      <w:r w:rsidR="00852009" w:rsidRPr="005F74A0">
        <w:rPr>
          <w:rFonts w:asciiTheme="majorBidi" w:hAnsiTheme="majorBidi" w:cstheme="majorBidi"/>
          <w:sz w:val="24"/>
          <w:szCs w:val="24"/>
        </w:rPr>
        <w:t xml:space="preserve"> </w:t>
      </w:r>
      <w:r w:rsidR="00890381"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{"citationItems":[{"id":"ITEM-1","itemData":{"author":[{"dropping-particle":"","family":"Rabei","given":"Sami","non-dropping-particle":"","parse-names":false,"suffix":""},{"dropping-particle":"","family":"Khalik","given":"Kadry Abdel","non-dropping-particle":"","parse-names":false,"suffix":""}],"container-title":"Fl. Medit","id":"ITEM-1","issued":{"date-parts":[["2012"]]},"page":"45-62","title":"Conventional keys for Convolvulaceae in the flora of Egypt","type":"article-journal","volume":"22"},"uris":["http://www.mendeley.com/documents/?uuid=58c40fd5-0abc-4e51-8c35-f503ee4632e8"]}],"mendeley":{"formattedCitation":"(Rabei &amp; Khalik, 2012)","plainTextFormattedCitation":"(Rabei &amp; Khalik, 2012)","previouslyFormattedCitation":"(Rabei &amp; Khalik, 2012)"},"properties":{"noteIndex":0},"schema":"https://github.com/citation-style-language/schema/raw/master/csl-citation.json"}</w:instrText>
      </w:r>
      <w:r w:rsidR="00890381"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(Rabei &amp; Khalik, 2012)</w:t>
      </w:r>
      <w:r w:rsidR="00890381" w:rsidRPr="005F74A0">
        <w:rPr>
          <w:rFonts w:asciiTheme="majorBidi" w:hAnsiTheme="majorBidi" w:cstheme="majorBidi"/>
          <w:sz w:val="24"/>
          <w:szCs w:val="24"/>
        </w:rPr>
        <w:fldChar w:fldCharType="end"/>
      </w:r>
      <w:r w:rsidR="008106A3" w:rsidRPr="005F74A0">
        <w:rPr>
          <w:rFonts w:asciiTheme="majorBidi" w:hAnsiTheme="majorBidi" w:cstheme="majorBidi"/>
          <w:sz w:val="24"/>
          <w:szCs w:val="24"/>
        </w:rPr>
        <w:t>.</w:t>
      </w:r>
      <w:r w:rsidR="00905E97" w:rsidRPr="005F74A0">
        <w:rPr>
          <w:rFonts w:asciiTheme="majorBidi" w:eastAsia="Times New Roman" w:hAnsiTheme="majorBidi" w:cstheme="majorBidi"/>
          <w:sz w:val="24"/>
          <w:szCs w:val="24"/>
        </w:rPr>
        <w:t xml:space="preserve"> </w:t>
      </w:r>
      <w:r w:rsidR="00890381" w:rsidRPr="005F74A0">
        <w:rPr>
          <w:rFonts w:asciiTheme="majorBidi" w:eastAsia="Times New Roman" w:hAnsiTheme="majorBidi" w:cstheme="majorBidi"/>
          <w:sz w:val="24"/>
          <w:szCs w:val="24"/>
        </w:rPr>
        <w:fldChar w:fldCharType="begin" w:fldLock="1"/>
      </w:r>
      <w:r w:rsidR="005D6D01">
        <w:rPr>
          <w:rFonts w:asciiTheme="majorBidi" w:eastAsia="Times New Roman" w:hAnsiTheme="majorBidi" w:cstheme="majorBidi"/>
          <w:sz w:val="24"/>
          <w:szCs w:val="24"/>
        </w:rPr>
        <w:instrText>ADDIN CSL_CITATION {"citationItems":[{"id":"ITEM-1","itemData":{"author":[{"dropping-particle":"","family":"Hallier","given":"Hans","non-dropping-particle":"","parse-names":false,"suffix":""}],"id":"ITEM-1","issued":{"date-parts":[["1893"]]},"number-of-pages":"81–160","publisher-place":"Bot. Jahrb. System. 18","title":"Convolvulaceae africanae- Bot. Jahrb. System. 18: 81–160","type":"book"},"uris":["http://www.mendeley.com/documents/?uuid=fdf33cd4-f03e-49d3-9163-6011c43361ee"]}],"mendeley":{"formattedCitation":"(Hallier, 1893)","plainTextFormattedCitation":"(Hallier, 1893)","previouslyFormattedCitation":"(Hallier, 1893)"},"properties":{"noteIndex":0},"schema":"https://github.com/citation-style-language/schema/raw/master/csl-citation.json"}</w:instrText>
      </w:r>
      <w:r w:rsidR="00890381" w:rsidRPr="005F74A0">
        <w:rPr>
          <w:rFonts w:asciiTheme="majorBidi" w:eastAsia="Times New Roman" w:hAnsiTheme="majorBidi" w:cstheme="majorBidi"/>
          <w:sz w:val="24"/>
          <w:szCs w:val="24"/>
        </w:rPr>
        <w:fldChar w:fldCharType="separate"/>
      </w:r>
      <w:r w:rsidR="00FF0137" w:rsidRPr="005F74A0">
        <w:rPr>
          <w:rFonts w:asciiTheme="majorBidi" w:eastAsia="Times New Roman" w:hAnsiTheme="majorBidi" w:cstheme="majorBidi"/>
          <w:noProof/>
          <w:sz w:val="24"/>
          <w:szCs w:val="24"/>
        </w:rPr>
        <w:t>(Hallier, 1893)</w:t>
      </w:r>
      <w:r w:rsidR="00890381" w:rsidRPr="005F74A0">
        <w:rPr>
          <w:rFonts w:asciiTheme="majorBidi" w:eastAsia="Times New Roman" w:hAnsiTheme="majorBidi" w:cstheme="majorBidi"/>
          <w:sz w:val="24"/>
          <w:szCs w:val="24"/>
        </w:rPr>
        <w:fldChar w:fldCharType="end"/>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 xml:space="preserve">split the family into two subfamilies after realizing the value of pollen characteristics </w:t>
      </w:r>
      <w:r w:rsidR="002768F3" w:rsidRPr="005F74A0">
        <w:rPr>
          <w:rFonts w:asciiTheme="majorBidi" w:hAnsiTheme="majorBidi" w:cstheme="majorBidi"/>
          <w:i/>
          <w:iCs/>
          <w:sz w:val="24"/>
          <w:szCs w:val="24"/>
        </w:rPr>
        <w:t>Viz</w:t>
      </w:r>
      <w:r w:rsidR="002768F3" w:rsidRPr="005F74A0">
        <w:rPr>
          <w:rFonts w:asciiTheme="majorBidi" w:hAnsiTheme="majorBidi" w:cstheme="majorBidi"/>
          <w:sz w:val="24"/>
          <w:szCs w:val="24"/>
        </w:rPr>
        <w:t>.</w:t>
      </w:r>
      <w:r w:rsidR="008106A3" w:rsidRPr="005F74A0">
        <w:rPr>
          <w:rFonts w:asciiTheme="majorBidi" w:hAnsiTheme="majorBidi" w:cstheme="majorBidi"/>
          <w:sz w:val="24"/>
          <w:szCs w:val="24"/>
        </w:rPr>
        <w:t xml:space="preserve"> </w:t>
      </w:r>
      <w:r w:rsidR="008106A3" w:rsidRPr="005F74A0">
        <w:rPr>
          <w:rFonts w:asciiTheme="majorBidi" w:hAnsiTheme="majorBidi" w:cstheme="majorBidi"/>
          <w:i/>
          <w:iCs/>
          <w:sz w:val="24"/>
          <w:szCs w:val="24"/>
        </w:rPr>
        <w:t xml:space="preserve">Echinoconiae </w:t>
      </w:r>
      <w:r w:rsidR="008106A3" w:rsidRPr="005F74A0">
        <w:rPr>
          <w:rFonts w:asciiTheme="majorBidi" w:hAnsiTheme="majorBidi" w:cstheme="majorBidi"/>
          <w:sz w:val="24"/>
          <w:szCs w:val="24"/>
        </w:rPr>
        <w:t xml:space="preserve">and </w:t>
      </w:r>
      <w:r w:rsidR="008106A3" w:rsidRPr="005F74A0">
        <w:rPr>
          <w:rFonts w:asciiTheme="majorBidi" w:hAnsiTheme="majorBidi" w:cstheme="majorBidi"/>
          <w:i/>
          <w:iCs/>
          <w:sz w:val="24"/>
          <w:szCs w:val="24"/>
        </w:rPr>
        <w:t>Psiloconiae</w:t>
      </w:r>
      <w:r w:rsidR="0088204D" w:rsidRPr="005F74A0">
        <w:rPr>
          <w:rFonts w:asciiTheme="majorBidi" w:hAnsiTheme="majorBidi" w:cstheme="majorBidi"/>
          <w:sz w:val="24"/>
          <w:szCs w:val="24"/>
        </w:rPr>
        <w:t xml:space="preserve"> </w:t>
      </w:r>
      <w:r w:rsidR="005F74A0">
        <w:rPr>
          <w:rFonts w:asciiTheme="majorBidi" w:hAnsiTheme="majorBidi" w:cstheme="majorBidi"/>
          <w:sz w:val="24"/>
          <w:szCs w:val="24"/>
        </w:rPr>
        <w:t>b</w:t>
      </w:r>
      <w:r w:rsidR="00707E78" w:rsidRPr="005F74A0">
        <w:rPr>
          <w:rFonts w:asciiTheme="majorBidi" w:hAnsiTheme="majorBidi" w:cstheme="majorBidi"/>
          <w:sz w:val="24"/>
          <w:szCs w:val="24"/>
        </w:rPr>
        <w:t xml:space="preserve">ecause the pollen has either a granulated or psilate surface, the species </w:t>
      </w:r>
      <w:r w:rsidR="00707E78" w:rsidRPr="005F74A0">
        <w:rPr>
          <w:rFonts w:asciiTheme="majorBidi" w:hAnsiTheme="majorBidi" w:cstheme="majorBidi"/>
          <w:i/>
          <w:iCs/>
          <w:sz w:val="24"/>
          <w:szCs w:val="24"/>
        </w:rPr>
        <w:t>Convolvulus</w:t>
      </w:r>
      <w:r w:rsidR="00707E78" w:rsidRPr="005F74A0">
        <w:rPr>
          <w:rFonts w:asciiTheme="majorBidi" w:hAnsiTheme="majorBidi" w:cstheme="majorBidi"/>
          <w:sz w:val="24"/>
          <w:szCs w:val="24"/>
        </w:rPr>
        <w:t xml:space="preserve"> is included with the latter</w:t>
      </w:r>
      <w:r w:rsidR="008106A3" w:rsidRPr="005F74A0">
        <w:rPr>
          <w:rFonts w:asciiTheme="majorBidi" w:eastAsia="Times New Roman" w:hAnsiTheme="majorBidi" w:cstheme="majorBidi"/>
          <w:sz w:val="24"/>
          <w:szCs w:val="24"/>
        </w:rPr>
        <w:t>.</w:t>
      </w:r>
      <w:r w:rsidR="00EA55C7"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Convolvulaceae are traditionally placed in Solanales</w:t>
      </w:r>
      <w:r w:rsidR="003B7F09" w:rsidRPr="005F74A0">
        <w:rPr>
          <w:rFonts w:asciiTheme="majorBidi" w:hAnsiTheme="majorBidi" w:cstheme="majorBidi"/>
          <w:sz w:val="24"/>
          <w:szCs w:val="24"/>
        </w:rPr>
        <w:t xml:space="preserve"> </w:t>
      </w:r>
      <w:r w:rsidR="00890381"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{"citationItems":[{"id":"ITEM-1","itemData":{"author":[{"dropping-particle":"","family":"Cronquist","given":"A","non-dropping-particle":"","parse-names":false,"suffix":""}],"container-title":"The New York Botanical Z Garden, Bronx, New York, USA","id":"ITEM-1","issued":{"date-parts":[["1988"]]},"page":"503-517","title":"The Evolution and Classification of Flowering Plants (Second eds.)","type":"article-journal"},"uris":["http://www.mendeley.com/documents/?uuid=48d74109-e7df-4293-a5c6-072711c2f6cc"]},{"id":"ITEM-2","itemData":{"author":[{"dropping-particle":"","family":"Dahlgren","given":"Gertrud","non-dropping-particle":"","parse-names":false,"suffix":""}],"container-title":"Botanical journal of the Linnean Society","id":"ITEM-2","issue":"3","issued":{"date-parts":[["1989"]]},"page":"197-203","publisher":"Wiley Online Library","title":"An updated angiosperm classification","type":"article-journal","volume":"100"},"uris":["http://www.mendeley.com/documents/?uuid=a8e13dc6-7a32-4687-aebc-216627d63dd8"]},{"id":"ITEM-3","itemData":{"author":[{"dropping-particle":"","family":"Thorne","given":"Robert F","non-dropping-particle":"","parse-names":false,"suffix":""}],"container-title":"Aliso: A Journal of Systematic and Floristic Botany","id":"ITEM-3","issue":"2","issued":{"date-parts":[["1992"]]},"page":"365-389","title":"An updated phylogenetic classification of the flowering plants","type":"article-journal","volume":"13"},"uris":["http://www.mendeley.com/documents/?uuid=932348df-27dc-4b03-99e6-abcbc934d9b8"]},{"id":"ITEM-4","itemData":{"DOI":"10.1111/j.1095-8339.2009.00996.x","ISSN":"0024-4074","author":[{"dropping-particle":"","family":"APG","given":"","non-dropping-particle":"","parse-names":false,"suffix":""}],"container-title":"Botanical Journal of the Linnean Society","id":"ITEM-4","issue":"2","issued":{"date-parts":[["2009"]]},"page":"105-121","publisher":"Oxford University Press (OUP)","title":"An update of the Angiosperm Phylogeny Group classification for the orders and families of flowering plants: APG III","type":"article-journal","volume":"161"},"uris":["http://www.mendeley.com/documents/?uuid=5594fcbe-c1c0-4642-8293-f86f70a22a24"]}],"mendeley":{"formattedCitation":"(APG, 2009; Cronquist, 1988; Dahlgren, 1989; Thorne, 1992)","plainTextFormattedCitation":"(APG, 2009; Cronquist, 1988; Dahlgren, 1989; Thorne, 1992)","previouslyFormattedCitation":"(APG, 2009; Cronquist, 1988; Dahlgren, 1989; Thorne, 1992)"},"properties":{"noteIndex":0},"schema":"https://github.com/citation-style-language/schema/raw/master/csl-citation.json"}</w:instrText>
      </w:r>
      <w:r w:rsidR="00890381"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(APG, 2009; Cronquist, 1988; Dahlgren, 1989; Thorne, 1992)</w:t>
      </w:r>
      <w:r w:rsidR="00890381"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along with the Solanaceae. </w:t>
      </w:r>
      <w:r w:rsidR="00890381" w:rsidRPr="005F74A0">
        <w:rPr>
          <w:rFonts w:asciiTheme="majorBidi" w:hAnsiTheme="majorBidi" w:cstheme="majorBidi"/>
          <w:sz w:val="24"/>
          <w:szCs w:val="24"/>
        </w:rPr>
        <w:fldChar w:fldCharType="begin" w:fldLock="1"/>
      </w:r>
      <w:r w:rsidR="00144051" w:rsidRPr="005F74A0">
        <w:rPr>
          <w:rFonts w:asciiTheme="majorBidi" w:hAnsiTheme="majorBidi" w:cstheme="majorBidi"/>
          <w:sz w:val="24"/>
          <w:szCs w:val="24"/>
        </w:rPr>
        <w:instrText>ADDIN CSL_CITATION {"citationItems":[{"id":"ITEM-1","itemData":{"author":[{"dropping-particle":"","family":"Takhtajan","given":"Armen","non-dropping-particle":"","parse-names":false,"suffix":""}],"id":"ITEM-1","issued":{"date-parts":[["2009"]]},"publisher":"Publications de la Société Linnéenne de Lyon 79.5 (2010):179-182","title":"Flowering plants","type":"book"},"uris":["http://www.mendeley.com/documents/?uuid=d81f4880-e0d9-4f4c-b98a-d531c8fce693"]}],"mendeley":{"formattedCitation":"(Takhtajan, 2009)","plainTextFormattedCitation":"(Takhtajan, 2009)","previouslyFormattedCitation":"(Takhtajan, 2009)"},"properties":{"noteIndex":0},"schema":"https://github.com/citation-style-language/schema/raw/master/csl-citation.json"}</w:instrText>
      </w:r>
      <w:r w:rsidR="00890381"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(Takhtajan, 2009)</w:t>
      </w:r>
      <w:r w:rsidR="00890381"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however, </w:t>
      </w:r>
      <w:r w:rsidR="00707E78" w:rsidRPr="005F74A0">
        <w:rPr>
          <w:rFonts w:asciiTheme="majorBidi" w:hAnsiTheme="majorBidi" w:cstheme="majorBidi"/>
          <w:sz w:val="24"/>
          <w:szCs w:val="24"/>
        </w:rPr>
        <w:t>isolates this family into its own order;</w:t>
      </w:r>
      <w:r w:rsidR="00EA55C7" w:rsidRPr="005F74A0">
        <w:rPr>
          <w:rFonts w:asciiTheme="majorBidi" w:hAnsiTheme="majorBidi" w:cstheme="majorBidi"/>
          <w:sz w:val="24"/>
          <w:szCs w:val="24"/>
        </w:rPr>
        <w:t xml:space="preserve"> Convolvulales, </w:t>
      </w:r>
      <w:r w:rsidR="00707E78" w:rsidRPr="005F74A0">
        <w:rPr>
          <w:rFonts w:asciiTheme="majorBidi" w:hAnsiTheme="majorBidi" w:cstheme="majorBidi"/>
          <w:sz w:val="24"/>
          <w:szCs w:val="24"/>
        </w:rPr>
        <w:t>based on characteristics unique to other Solanales, such as the existence of articulate latex canals, latex cells, intraxylary phloem location, and seed and pollen shape</w:t>
      </w:r>
      <w:r w:rsidR="00707E78" w:rsidRPr="005F74A0">
        <w:rPr>
          <w:rFonts w:asciiTheme="majorBidi" w:eastAsia="Times New Roman" w:hAnsiTheme="majorBidi" w:cstheme="majorBidi"/>
          <w:sz w:val="24"/>
          <w:szCs w:val="24"/>
        </w:rPr>
        <w:t>.</w:t>
      </w:r>
      <w:r w:rsidR="008106A3" w:rsidRPr="005F74A0">
        <w:rPr>
          <w:rFonts w:asciiTheme="majorBidi" w:eastAsia="Times New Roman" w:hAnsiTheme="majorBidi" w:cstheme="majorBidi"/>
          <w:sz w:val="24"/>
          <w:szCs w:val="24"/>
        </w:rPr>
        <w:t xml:space="preserve"> </w:t>
      </w:r>
      <w:r w:rsidR="00890381"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2008)","manualFormatting":"Khalik (2008)","plainTextFormattedCitation":"(Khalik, 2008)","previouslyFormattedCitation":"(Khalik, 2008)"},"properties":{"noteIndex":0},"schema":"https://github.com/citation-style-language/schema/raw/master/csl-citation.json"}</w:instrText>
      </w:r>
      <w:r w:rsidR="00890381" w:rsidRPr="005F74A0">
        <w:rPr>
          <w:rFonts w:asciiTheme="majorBidi" w:eastAsia="Times New Roman" w:hAnsiTheme="majorBidi" w:cstheme="majorBidi"/>
          <w:sz w:val="24"/>
          <w:szCs w:val="24"/>
        </w:rPr>
        <w:fldChar w:fldCharType="separate"/>
      </w:r>
      <w:r w:rsidR="00551E34" w:rsidRPr="005F74A0">
        <w:rPr>
          <w:rFonts w:asciiTheme="majorBidi" w:eastAsia="Times New Roman" w:hAnsiTheme="majorBidi" w:cstheme="majorBidi"/>
          <w:noProof/>
          <w:sz w:val="24"/>
          <w:szCs w:val="24"/>
        </w:rPr>
        <w:t xml:space="preserve">Khalik </w:t>
      </w:r>
      <w:r w:rsidR="00FF69B8" w:rsidRPr="005F74A0">
        <w:rPr>
          <w:rFonts w:asciiTheme="majorBidi" w:eastAsia="Times New Roman" w:hAnsiTheme="majorBidi" w:cstheme="majorBidi"/>
          <w:noProof/>
          <w:sz w:val="24"/>
          <w:szCs w:val="24"/>
        </w:rPr>
        <w:t>(</w:t>
      </w:r>
      <w:r w:rsidR="00551E34" w:rsidRPr="005F74A0">
        <w:rPr>
          <w:rFonts w:asciiTheme="majorBidi" w:eastAsia="Times New Roman" w:hAnsiTheme="majorBidi" w:cstheme="majorBidi"/>
          <w:noProof/>
          <w:sz w:val="24"/>
          <w:szCs w:val="24"/>
        </w:rPr>
        <w:t>2008)</w:t>
      </w:r>
      <w:r w:rsidR="00890381"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examined the Convolvulaceae's phenetic traits and identified five major groupings</w:t>
      </w:r>
      <w:r w:rsidR="008106A3" w:rsidRPr="005F74A0">
        <w:rPr>
          <w:rFonts w:asciiTheme="majorBidi" w:eastAsia="Times New Roman" w:hAnsiTheme="majorBidi" w:cstheme="majorBidi"/>
          <w:sz w:val="24"/>
          <w:szCs w:val="24"/>
        </w:rPr>
        <w:t>: Convolvuleae, Cuscuteae, Cresseae, Dichondreae</w:t>
      </w:r>
      <w:r w:rsidR="008106A3" w:rsidRPr="005F74A0">
        <w:rPr>
          <w:rFonts w:asciiTheme="majorBidi" w:eastAsia="Times New Roman" w:hAnsiTheme="majorBidi" w:cstheme="majorBidi"/>
          <w:i/>
          <w:iCs/>
          <w:sz w:val="24"/>
          <w:szCs w:val="24"/>
        </w:rPr>
        <w:t xml:space="preserve"> </w:t>
      </w:r>
      <w:r w:rsidR="008106A3" w:rsidRPr="005F74A0">
        <w:rPr>
          <w:rFonts w:asciiTheme="majorBidi" w:eastAsia="Times New Roman" w:hAnsiTheme="majorBidi" w:cstheme="majorBidi"/>
          <w:sz w:val="24"/>
          <w:szCs w:val="24"/>
        </w:rPr>
        <w:t>and a mixed group from Ipomoeeae and Merremieae</w:t>
      </w:r>
      <w:r w:rsidR="008106A3" w:rsidRPr="005F74A0">
        <w:rPr>
          <w:rFonts w:asciiTheme="majorBidi" w:eastAsia="Times New Roman" w:hAnsiTheme="majorBidi" w:cstheme="majorBidi"/>
          <w:i/>
          <w:iCs/>
          <w:sz w:val="24"/>
          <w:szCs w:val="24"/>
        </w:rPr>
        <w:t>.</w:t>
      </w:r>
    </w:p>
    <w:p w:rsidR="00D43823" w:rsidRPr="00D57D14" w:rsidRDefault="007D2ABB" w:rsidP="005A5130">
      <w:pPr>
        <w:bidi w:val="0"/>
        <w:spacing w:after="0" w:line="360" w:lineRule="auto"/>
        <w:jc w:val="both"/>
        <w:rPr>
          <w:rFonts w:asciiTheme="majorBidi" w:hAnsiTheme="majorBidi" w:cstheme="majorBidi"/>
          <w:sz w:val="24"/>
          <w:szCs w:val="24"/>
        </w:rPr>
      </w:pPr>
      <w:r w:rsidRPr="00D57D14">
        <w:rPr>
          <w:rFonts w:asciiTheme="majorBidi" w:hAnsiTheme="majorBidi" w:cstheme="majorBidi"/>
          <w:i/>
          <w:iCs/>
          <w:sz w:val="24"/>
          <w:szCs w:val="24"/>
        </w:rPr>
        <w:tab/>
      </w:r>
      <w:r w:rsidR="005A5130" w:rsidRPr="005A5130">
        <w:rPr>
          <w:rFonts w:asciiTheme="majorBidi" w:hAnsiTheme="majorBidi" w:cstheme="majorBidi"/>
          <w:sz w:val="24"/>
          <w:szCs w:val="24"/>
        </w:rPr>
        <w:t>The genus that is second in size</w:t>
      </w:r>
      <w:r w:rsidR="005C634E"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of</w:t>
      </w:r>
      <w:r w:rsidR="005C634E" w:rsidRPr="005A5130">
        <w:rPr>
          <w:rFonts w:asciiTheme="majorBidi" w:hAnsiTheme="majorBidi" w:cstheme="majorBidi"/>
          <w:sz w:val="24"/>
          <w:szCs w:val="24"/>
        </w:rPr>
        <w:t xml:space="preserve"> the Convolvulaceae</w:t>
      </w:r>
      <w:r w:rsidR="005C634E" w:rsidRPr="00D57D14">
        <w:rPr>
          <w:rFonts w:asciiTheme="majorBidi" w:hAnsiTheme="majorBidi" w:cstheme="majorBidi"/>
          <w:sz w:val="24"/>
          <w:szCs w:val="24"/>
        </w:rPr>
        <w:t xml:space="preserve"> family</w:t>
      </w:r>
      <w:r w:rsidR="005F74A0">
        <w:rPr>
          <w:rFonts w:asciiTheme="majorBidi" w:hAnsiTheme="majorBidi" w:cstheme="majorBidi"/>
          <w:sz w:val="24"/>
          <w:szCs w:val="24"/>
        </w:rPr>
        <w:t xml:space="preserve"> is </w:t>
      </w:r>
      <w:r w:rsidR="005F74A0" w:rsidRPr="00D57D14">
        <w:rPr>
          <w:rFonts w:asciiTheme="majorBidi" w:hAnsiTheme="majorBidi" w:cstheme="majorBidi"/>
          <w:i/>
          <w:iCs/>
          <w:sz w:val="24"/>
          <w:szCs w:val="24"/>
        </w:rPr>
        <w:t>Convolvulus</w:t>
      </w:r>
      <w:r w:rsidR="005C634E" w:rsidRPr="00D57D14">
        <w:rPr>
          <w:rFonts w:asciiTheme="majorBidi" w:hAnsiTheme="majorBidi" w:cstheme="majorBidi"/>
          <w:sz w:val="24"/>
          <w:szCs w:val="24"/>
        </w:rPr>
        <w:t xml:space="preserve"> </w:t>
      </w:r>
      <w:r w:rsidR="00890381"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Iraq","type":"article-journal","volume":"66"},"uris":["http://www.mendeley.com/documents/?uuid=d51959f2-306a-4ff5-8b91-7213a17b5b46"]},{"id":"ITEM-2","itemData":{"author":[{"dropping-particle":"","family":"Carine","given":"Mark A","non-dropping-particle":"","parse-names":false,"suffix":""},{"dropping-particle":"","family":"Robba","given":"Lavinia","non-dropping-particle":"","parse-names":false,"suffix":""}],"container-title":"Phytotaxa","id":"ITEM-2","issue":"1","issued":{"date-parts":[["2010"]]},"page":"1-21","title":"Taxonomy and evolution of the Convolvulus sabatius complex (Convolvulaceae)","type":"article-journal","volume":"14"},"uris":["http://www.mendeley.com/documents/?uuid=a6e90439-336d-4ebc-9b21-1669fa3ea3de"]}],"mendeley":{"formattedCitation":"(Carine &amp; Robba, 2010; Hasan, 2023)","plainTextFormattedCitation":"(Carine &amp; Robba, 2010; Hasan, 2023)","previouslyFormattedCitation":"(Carine &amp; Robba, 2010; Hasan, 2023)"},"properties":{"noteIndex":0},"schema":"https://github.com/citation-style-language/schema/raw/master/csl-citation.json"}</w:instrText>
      </w:r>
      <w:r w:rsidR="00890381"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(Carine &amp; Robba, 2010; Hasan, 2023)</w:t>
      </w:r>
      <w:r w:rsidR="00890381" w:rsidRPr="00D57D14">
        <w:rPr>
          <w:rFonts w:asciiTheme="majorBidi" w:hAnsiTheme="majorBidi" w:cstheme="majorBidi"/>
          <w:sz w:val="24"/>
          <w:szCs w:val="24"/>
        </w:rPr>
        <w:fldChar w:fldCharType="end"/>
      </w:r>
      <w:r w:rsidR="00FF69B8" w:rsidRPr="00D57D14">
        <w:rPr>
          <w:rFonts w:asciiTheme="majorBidi" w:hAnsiTheme="majorBidi" w:cstheme="majorBidi"/>
          <w:sz w:val="24"/>
          <w:szCs w:val="24"/>
        </w:rPr>
        <w:t>.</w:t>
      </w:r>
      <w:r w:rsidRPr="00D57D14">
        <w:rPr>
          <w:rFonts w:asciiTheme="majorBidi" w:eastAsia="Times New Roman" w:hAnsiTheme="majorBidi" w:cstheme="majorBidi"/>
          <w:sz w:val="24"/>
          <w:szCs w:val="24"/>
        </w:rPr>
        <w:t xml:space="preserve"> Members of the genus exhibit pronounced morphological diversity, particularly in vegetative and floral traits, which is often associated with adaptation to diverse ecological conditions such as drought, soil </w:t>
      </w:r>
      <w:r w:rsidR="005C634E" w:rsidRPr="00D57D14">
        <w:rPr>
          <w:rFonts w:asciiTheme="majorBidi" w:eastAsia="Times New Roman" w:hAnsiTheme="majorBidi" w:cstheme="majorBidi"/>
          <w:sz w:val="24"/>
          <w:szCs w:val="24"/>
        </w:rPr>
        <w:t xml:space="preserve">type, and altitude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cotland","given":"Robert","non-dropping-particle":"","parse-names":false,"suffix":""},{"dropping-particle":"","family":"Wood","given":"John","non-dropping-particle":"","parse-names":false,"suffix":""},{"dropping-particle":"","family":"RM Williams","given":"Bethany","non-dropping-particle":"","parse-names":false,"suffix":""},{"dropping-particle":"","family":"Mitchell","given":"Thomas C","non-dropping-particle":"","parse-names":false,"suffix":""},{"dropping-particle":"","family":"Carine","given":"Mark","non-dropping-particle":"","parse-names":false,"suffix":""},{"dropping-particle":"","family":"Harris","given":"David","non-dropping-particle":"","parse-names":false,"suffix":""}],"container-title":"PhytoKeys","id":"ITEM-1","issued":{"date-parts":[["2015"]]},"page":"1-282","title":"A foundation monograph of Convolvulus L.(Convolvulaceae)","type":"article-journal","volume":"51"},"uris":["http://www.mendeley.com/documents/?uuid=ca19efec-5110-4ff3-a3ec-56fed86d1ed4"]}],"mendeley":{"formattedCitation":"(Scotland et al., 2015)","plainTextFormattedCitation":"(Scotland et al., 2015)","previouslyFormattedCitation":"(Scotland et al., 2015)"},"properties":{"noteIndex":0},"schema":"https://github.com/citation-style-language/schema/raw/master/csl-citation.json"}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(Scotland et al., 2015)</w:t>
      </w:r>
      <w:r w:rsidR="00890381" w:rsidRPr="00D57D14">
        <w:rPr>
          <w:rFonts w:asciiTheme="majorBidi" w:eastAsia="Times New Roman" w:hAnsiTheme="majorBidi" w:cstheme="majorBidi"/>
          <w:sz w:val="24"/>
          <w:szCs w:val="24"/>
        </w:rPr>
        <w:fldChar w:fldCharType="end"/>
      </w:r>
      <w:r w:rsidRPr="00D57D14">
        <w:rPr>
          <w:rFonts w:asciiTheme="majorBidi" w:eastAsia="Times New Roman" w:hAnsiTheme="majorBidi" w:cstheme="majorBidi"/>
          <w:sz w:val="24"/>
          <w:szCs w:val="24"/>
        </w:rPr>
        <w:t xml:space="preserve">. This high level of morphological variability frequently complicates species delimitation and infraspecific classification within </w:t>
      </w:r>
      <w:r w:rsidRPr="00D57D14">
        <w:rPr>
          <w:rFonts w:asciiTheme="majorBidi" w:eastAsia="Times New Roman" w:hAnsiTheme="majorBidi" w:cstheme="majorBidi"/>
          <w:i/>
          <w:iCs/>
          <w:sz w:val="24"/>
          <w:szCs w:val="24"/>
        </w:rPr>
        <w:t>Convolvulus</w:t>
      </w:r>
      <w:r w:rsidR="00FF69B8" w:rsidRPr="00D57D14">
        <w:rPr>
          <w:rFonts w:asciiTheme="majorBidi" w:hAnsiTheme="majorBidi" w:cstheme="majorBidi"/>
          <w:sz w:val="24"/>
          <w:szCs w:val="24"/>
        </w:rPr>
        <w:t>.</w:t>
      </w:r>
      <w:r w:rsidR="001212C3" w:rsidRPr="00D57D14">
        <w:rPr>
          <w:rFonts w:asciiTheme="majorBidi" w:hAnsiTheme="majorBidi" w:cstheme="majorBidi"/>
          <w:sz w:val="24"/>
          <w:szCs w:val="24"/>
        </w:rPr>
        <w:t xml:space="preserve"> </w:t>
      </w:r>
    </w:p>
    <w:p w:rsidR="00FF69B8" w:rsidRPr="005F74A0" w:rsidRDefault="005F74A0" w:rsidP="005A5130">
      <w:pPr>
        <w:bidi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ab/>
      </w:r>
      <w:r w:rsidR="00707E78" w:rsidRPr="005F74A0">
        <w:rPr>
          <w:rFonts w:asciiTheme="majorBidi" w:hAnsiTheme="majorBidi" w:cstheme="majorBidi"/>
          <w:sz w:val="24"/>
          <w:szCs w:val="24"/>
        </w:rPr>
        <w:t xml:space="preserve">The Saudi Arabian flora contained eighteen species of </w:t>
      </w:r>
      <w:r w:rsidR="00707E78" w:rsidRPr="005F74A0">
        <w:rPr>
          <w:rFonts w:asciiTheme="majorBidi" w:hAnsiTheme="majorBidi" w:cstheme="majorBidi"/>
          <w:i/>
          <w:iCs/>
          <w:sz w:val="24"/>
          <w:szCs w:val="24"/>
        </w:rPr>
        <w:t>Convolvulus</w:t>
      </w:r>
      <w:r w:rsidR="001212C3" w:rsidRPr="005F74A0">
        <w:rPr>
          <w:rFonts w:asciiTheme="majorBidi" w:hAnsiTheme="majorBidi" w:cstheme="majorBidi"/>
          <w:sz w:val="24"/>
          <w:szCs w:val="24"/>
        </w:rPr>
        <w:t xml:space="preserve"> </w:t>
      </w:r>
      <w:r w:rsidR="00890381"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F74A0">
        <w:rPr>
          <w:rFonts w:asciiTheme="majorBidi" w:hAnsi="Tahoma" w:cstheme="majorBidi"/>
          <w:sz w:val="24"/>
          <w:szCs w:val="24"/>
        </w:rPr>
        <w:instrText>�</w:instrText>
      </w:r>
      <w:r w:rsidR="00F76AFF" w:rsidRPr="005F74A0">
        <w:rPr>
          <w:rFonts w:asciiTheme="majorBidi" w:hAnsiTheme="majorBidi" w:cstheme="majorBidi"/>
          <w:sz w:val="24"/>
          <w:szCs w:val="24"/>
        </w:rPr>
        <w:instrText>","title":"Flora of the Kingdom of Saudi Arabia, illustrated. v. 1, v. 2, pt. 1, 3, v. 3","type":"article-journal"},"uris":["http://www.mendeley.com/documents/?uuid=c05414f1-2acc-4f99-9ff9-14ea1b358a85"]}],"mendeley":{"formattedCitation":"(Chaudhary, 1999)","plainTextFormattedCitation":"(Chaudhary, 1999)","previouslyFormattedCitation":"(Chaudhary, 1999)"},"properties":{"noteIndex":0},"schema":"https://github.com/citation-style-language/schema/raw/master/csl-citation.json"}</w:instrText>
      </w:r>
      <w:r w:rsidR="00890381"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(Chaudhary, 1999)</w:t>
      </w:r>
      <w:r w:rsidR="00890381" w:rsidRPr="005F74A0">
        <w:rPr>
          <w:rFonts w:asciiTheme="majorBidi" w:hAnsiTheme="majorBidi" w:cstheme="majorBidi"/>
          <w:sz w:val="24"/>
          <w:szCs w:val="24"/>
        </w:rPr>
        <w:fldChar w:fldCharType="end"/>
      </w:r>
      <w:r w:rsidR="001212C3" w:rsidRPr="005F74A0">
        <w:rPr>
          <w:rFonts w:asciiTheme="majorBidi" w:hAnsiTheme="majorBidi" w:cstheme="majorBidi"/>
          <w:sz w:val="24"/>
          <w:szCs w:val="24"/>
        </w:rPr>
        <w:t>.</w:t>
      </w:r>
      <w:r w:rsidR="001212C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The great rate of variation in its phenotypic features made it difficult to classify the current genus at an intraspecific level</w:t>
      </w:r>
      <w:r w:rsidR="001212C3"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Differences can sometimes be seen within a species as it adapts to changes in its environment. </w:t>
      </w:r>
      <w:r w:rsidR="005A5130" w:rsidRPr="005A5130">
        <w:rPr>
          <w:rFonts w:asciiTheme="majorBidi" w:hAnsiTheme="majorBidi" w:cstheme="majorBidi"/>
          <w:sz w:val="24"/>
          <w:szCs w:val="24"/>
        </w:rPr>
        <w:t xml:space="preserve">Good proof of species delimitation </w:t>
      </w:r>
      <w:r w:rsidR="00707E78" w:rsidRPr="005A5130">
        <w:rPr>
          <w:rFonts w:asciiTheme="majorBidi" w:hAnsiTheme="majorBidi" w:cstheme="majorBidi"/>
          <w:sz w:val="24"/>
          <w:szCs w:val="24"/>
        </w:rPr>
        <w:t xml:space="preserve">and linkage was not presented in previous study </w:t>
      </w:r>
      <w:r w:rsidR="00707E78" w:rsidRPr="005F74A0">
        <w:rPr>
          <w:rFonts w:asciiTheme="majorBidi" w:hAnsiTheme="majorBidi" w:cstheme="majorBidi"/>
          <w:sz w:val="24"/>
          <w:szCs w:val="24"/>
        </w:rPr>
        <w:t xml:space="preserve">since just a few traits were considered for classification </w:t>
      </w:r>
      <w:r w:rsidR="00890381"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890381"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(Khalik, 2008)</w:t>
      </w:r>
      <w:r w:rsidR="00890381" w:rsidRPr="005F74A0">
        <w:rPr>
          <w:rFonts w:asciiTheme="majorBidi" w:hAnsiTheme="majorBidi" w:cstheme="majorBidi"/>
          <w:sz w:val="24"/>
          <w:szCs w:val="24"/>
        </w:rPr>
        <w:fldChar w:fldCharType="end"/>
      </w:r>
      <w:r w:rsidR="00905E97" w:rsidRPr="005F74A0">
        <w:rPr>
          <w:rFonts w:asciiTheme="majorBidi" w:eastAsia="Times New Roman" w:hAnsiTheme="majorBidi" w:cstheme="majorBidi"/>
          <w:sz w:val="24"/>
          <w:szCs w:val="24"/>
        </w:rPr>
        <w:t>.</w:t>
      </w:r>
    </w:p>
    <w:p w:rsidR="00905E97" w:rsidRPr="005A5130" w:rsidRDefault="007D2ABB" w:rsidP="005D6D01">
      <w:pPr>
        <w:bidi w:val="0"/>
        <w:spacing w:after="0" w:line="360" w:lineRule="auto"/>
        <w:jc w:val="both"/>
        <w:rPr>
          <w:rFonts w:asciiTheme="majorBidi" w:eastAsia="Times New Roman" w:hAnsiTheme="majorBidi" w:cstheme="majorBidi"/>
          <w:sz w:val="24"/>
          <w:szCs w:val="24"/>
        </w:rPr>
      </w:pPr>
      <w:r w:rsidRPr="005A5130">
        <w:rPr>
          <w:rFonts w:asciiTheme="majorBidi" w:hAnsiTheme="majorBidi" w:cstheme="majorBidi"/>
          <w:sz w:val="24"/>
          <w:szCs w:val="24"/>
        </w:rPr>
        <w:tab/>
      </w:r>
      <w:r w:rsidR="0088204D" w:rsidRPr="005A5130">
        <w:rPr>
          <w:rFonts w:asciiTheme="majorBidi" w:hAnsiTheme="majorBidi" w:cstheme="majorBidi"/>
          <w:sz w:val="24"/>
          <w:szCs w:val="24"/>
        </w:rPr>
        <w:t xml:space="preserve">The </w:t>
      </w:r>
      <w:r w:rsidR="00156B51" w:rsidRPr="005A5130">
        <w:rPr>
          <w:rFonts w:asciiTheme="majorBidi" w:hAnsiTheme="majorBidi" w:cstheme="majorBidi"/>
          <w:sz w:val="24"/>
          <w:szCs w:val="24"/>
        </w:rPr>
        <w:t xml:space="preserve">species of </w:t>
      </w:r>
      <w:r w:rsidR="0088204D" w:rsidRPr="005A5130">
        <w:rPr>
          <w:rFonts w:asciiTheme="majorBidi" w:hAnsiTheme="majorBidi" w:cstheme="majorBidi"/>
          <w:sz w:val="24"/>
          <w:szCs w:val="24"/>
        </w:rPr>
        <w:t xml:space="preserve">genus </w:t>
      </w:r>
      <w:r w:rsidR="0088204D" w:rsidRPr="005A5130">
        <w:rPr>
          <w:rFonts w:asciiTheme="majorBidi" w:hAnsiTheme="majorBidi" w:cstheme="majorBidi"/>
          <w:i/>
          <w:iCs/>
          <w:sz w:val="24"/>
          <w:szCs w:val="24"/>
        </w:rPr>
        <w:t>Convolvulus</w:t>
      </w:r>
      <w:r w:rsidR="0088204D"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 xml:space="preserve">divided into three portions. </w:t>
      </w:r>
      <w:r w:rsidR="0088204D" w:rsidRPr="005A5130">
        <w:rPr>
          <w:rFonts w:asciiTheme="majorBidi" w:hAnsiTheme="majorBidi" w:cstheme="majorBidi"/>
          <w:sz w:val="24"/>
          <w:szCs w:val="24"/>
        </w:rPr>
        <w:t>and six subsections</w:t>
      </w:r>
      <w:r w:rsidR="00156B51" w:rsidRPr="005A5130">
        <w:rPr>
          <w:rFonts w:asciiTheme="majorBidi" w:hAnsiTheme="majorBidi" w:cstheme="majorBidi"/>
          <w:sz w:val="24"/>
          <w:szCs w:val="24"/>
        </w:rPr>
        <w:t xml:space="preserve"> </w:t>
      </w:r>
      <w:r w:rsidR="00890381" w:rsidRPr="005A5130">
        <w:rPr>
          <w:rFonts w:asciiTheme="majorBidi" w:hAnsiTheme="majorBidi" w:cstheme="majorBidi"/>
          <w:sz w:val="24"/>
          <w:szCs w:val="24"/>
        </w:rPr>
        <w:fldChar w:fldCharType="begin" w:fldLock="1"/>
      </w:r>
      <w:r w:rsidR="00F76AFF" w:rsidRPr="005A513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890381" w:rsidRPr="005A5130">
        <w:rPr>
          <w:rFonts w:asciiTheme="majorBidi" w:hAnsiTheme="majorBidi" w:cstheme="majorBidi"/>
          <w:sz w:val="24"/>
          <w:szCs w:val="24"/>
        </w:rPr>
        <w:fldChar w:fldCharType="separate"/>
      </w:r>
      <w:r w:rsidR="00F76AFF" w:rsidRPr="005A5130">
        <w:rPr>
          <w:rFonts w:asciiTheme="majorBidi" w:hAnsiTheme="majorBidi" w:cstheme="majorBidi"/>
          <w:noProof/>
          <w:sz w:val="24"/>
          <w:szCs w:val="24"/>
        </w:rPr>
        <w:t>(Menemen &amp; Jury, 2002)</w:t>
      </w:r>
      <w:r w:rsidR="00890381" w:rsidRPr="005A5130">
        <w:rPr>
          <w:rFonts w:asciiTheme="majorBidi" w:hAnsiTheme="majorBidi" w:cstheme="majorBidi"/>
          <w:sz w:val="24"/>
          <w:szCs w:val="24"/>
        </w:rPr>
        <w:fldChar w:fldCharType="end"/>
      </w:r>
      <w:r w:rsidR="00156B51" w:rsidRPr="005A5130">
        <w:rPr>
          <w:rFonts w:asciiTheme="majorBidi" w:hAnsiTheme="majorBidi" w:cstheme="majorBidi"/>
          <w:sz w:val="24"/>
          <w:szCs w:val="24"/>
        </w:rPr>
        <w:t xml:space="preserve"> </w:t>
      </w:r>
      <w:r w:rsidR="00156B51" w:rsidRPr="005A5130">
        <w:rPr>
          <w:rFonts w:asciiTheme="majorBidi" w:hAnsiTheme="majorBidi" w:cstheme="majorBidi"/>
          <w:i/>
          <w:iCs/>
          <w:sz w:val="24"/>
          <w:szCs w:val="24"/>
        </w:rPr>
        <w:t>Viz</w:t>
      </w:r>
      <w:r w:rsidR="00156B51" w:rsidRPr="005A5130">
        <w:rPr>
          <w:rFonts w:asciiTheme="majorBidi" w:hAnsiTheme="majorBidi" w:cstheme="majorBidi"/>
          <w:sz w:val="24"/>
          <w:szCs w:val="24"/>
        </w:rPr>
        <w:t xml:space="preserve">. </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w:t>
      </w:r>
      <w:r w:rsidR="0088204D" w:rsidRPr="005A5130">
        <w:rPr>
          <w:rFonts w:asciiTheme="majorBidi" w:eastAsia="Times New Roman" w:hAnsiTheme="majorBidi" w:cstheme="majorBidi"/>
          <w:sz w:val="24"/>
          <w:szCs w:val="24"/>
        </w:rPr>
        <w:t xml:space="preserve"> Acanthocla</w:t>
      </w:r>
      <w:r w:rsidR="00524616" w:rsidRPr="005A5130">
        <w:rPr>
          <w:rFonts w:asciiTheme="majorBidi" w:eastAsia="Times New Roman" w:hAnsiTheme="majorBidi" w:cstheme="majorBidi"/>
          <w:sz w:val="24"/>
          <w:szCs w:val="24"/>
        </w:rPr>
        <w:t>di Boiss., Fl. Or. 4: 84 (1875),</w:t>
      </w:r>
      <w:r w:rsidR="0088204D"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piny shrub or subshrub, with branching shoots.</w:t>
      </w:r>
      <w:r w:rsidR="00524616" w:rsidRPr="005A5130">
        <w:rPr>
          <w:rFonts w:asciiTheme="majorBidi" w:eastAsia="Times New Roman" w:hAnsiTheme="majorBidi" w:cstheme="majorBidi"/>
          <w:sz w:val="24"/>
          <w:szCs w:val="24"/>
        </w:rPr>
        <w:t xml:space="preserve"> Subsection 1:</w:t>
      </w:r>
      <w:r w:rsidR="0088204D" w:rsidRPr="005A5130">
        <w:rPr>
          <w:rFonts w:asciiTheme="majorBidi" w:eastAsia="Times New Roman" w:hAnsiTheme="majorBidi" w:cstheme="majorBidi"/>
          <w:sz w:val="24"/>
          <w:szCs w:val="24"/>
        </w:rPr>
        <w:t xml:space="preserve"> Spinescent</w:t>
      </w:r>
      <w:r w:rsidR="00524616" w:rsidRPr="005A5130">
        <w:rPr>
          <w:rFonts w:asciiTheme="majorBidi" w:eastAsia="Times New Roman" w:hAnsiTheme="majorBidi" w:cstheme="majorBidi"/>
          <w:sz w:val="24"/>
          <w:szCs w:val="24"/>
        </w:rPr>
        <w:t>es Boiss., Fl. Or. 4: 84 (1875),</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sessile or subsessile, solitary or in a capitulum.</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II:</w:t>
      </w:r>
      <w:r w:rsidR="0088204D" w:rsidRPr="005A5130">
        <w:rPr>
          <w:rFonts w:asciiTheme="majorBidi" w:eastAsia="Times New Roman" w:hAnsiTheme="majorBidi" w:cstheme="majorBidi"/>
          <w:sz w:val="24"/>
          <w:szCs w:val="24"/>
        </w:rPr>
        <w:t xml:space="preserve"> Inermes Boiss., Fl. Or. 4: 84 (1875)</w:t>
      </w:r>
      <w:r w:rsidR="00524616" w:rsidRPr="005A5130">
        <w:rPr>
          <w:rFonts w:asciiTheme="majorBidi" w:eastAsia="Times New Roman" w:hAnsiTheme="majorBidi" w:cstheme="majorBidi"/>
          <w:sz w:val="24"/>
          <w:szCs w:val="24"/>
        </w:rPr>
        <w:t>, s</w:t>
      </w:r>
      <w:r w:rsidR="0088204D" w:rsidRPr="005A5130">
        <w:rPr>
          <w:rFonts w:asciiTheme="majorBidi" w:eastAsia="Times New Roman" w:hAnsiTheme="majorBidi" w:cstheme="majorBidi"/>
          <w:sz w:val="24"/>
          <w:szCs w:val="24"/>
        </w:rPr>
        <w:t>hrubs or subshrubs, without spines, erect or prostrate, but not twining.</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 xml:space="preserve">Subsection 2: </w:t>
      </w:r>
      <w:r w:rsidR="00524616" w:rsidRPr="005A5130">
        <w:rPr>
          <w:rFonts w:asciiTheme="majorBidi" w:eastAsia="Times New Roman" w:hAnsiTheme="majorBidi" w:cstheme="majorBidi"/>
          <w:sz w:val="24"/>
          <w:szCs w:val="24"/>
        </w:rPr>
        <w:t>Floridi Sa’ad, t</w:t>
      </w:r>
      <w:r w:rsidR="0088204D" w:rsidRPr="005A5130">
        <w:rPr>
          <w:rFonts w:asciiTheme="majorBidi" w:eastAsia="Times New Roman" w:hAnsiTheme="majorBidi" w:cstheme="majorBidi"/>
          <w:sz w:val="24"/>
          <w:szCs w:val="24"/>
        </w:rPr>
        <w:t xml:space="preserve">he </w:t>
      </w:r>
      <w:r w:rsidR="0088204D" w:rsidRPr="005A5130">
        <w:rPr>
          <w:rFonts w:asciiTheme="majorBidi" w:eastAsia="Times New Roman" w:hAnsiTheme="majorBidi" w:cstheme="majorBidi"/>
          <w:i/>
          <w:iCs/>
          <w:sz w:val="24"/>
          <w:szCs w:val="24"/>
        </w:rPr>
        <w:t>Convolvulus</w:t>
      </w:r>
      <w:r w:rsidR="0088204D" w:rsidRPr="005A5130">
        <w:rPr>
          <w:rFonts w:asciiTheme="majorBidi" w:eastAsia="Times New Roman" w:hAnsiTheme="majorBidi" w:cstheme="majorBidi"/>
          <w:sz w:val="24"/>
          <w:szCs w:val="24"/>
        </w:rPr>
        <w:t xml:space="preserve"> </w:t>
      </w:r>
      <w:r w:rsidR="009A5B2C"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pecies of the Canary Isles, the Mediterranean region and the N</w:t>
      </w:r>
      <w:r w:rsidR="00524616" w:rsidRPr="005A5130">
        <w:rPr>
          <w:rFonts w:asciiTheme="majorBidi" w:eastAsia="Times New Roman" w:hAnsiTheme="majorBidi" w:cstheme="majorBidi"/>
          <w:sz w:val="24"/>
          <w:szCs w:val="24"/>
        </w:rPr>
        <w:t>ear and Middle East, 288 (1967), s</w:t>
      </w:r>
      <w:r w:rsidR="0088204D" w:rsidRPr="005A5130">
        <w:rPr>
          <w:rFonts w:asciiTheme="majorBidi" w:eastAsia="Times New Roman" w:hAnsiTheme="majorBidi" w:cstheme="majorBidi"/>
          <w:sz w:val="24"/>
          <w:szCs w:val="24"/>
        </w:rPr>
        <w:t>hrubs with numerous flowers at the top of the branches in the form of a panicle.</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Subsection 3</w:t>
      </w:r>
      <w:r w:rsidR="00524616" w:rsidRPr="005A5130">
        <w:rPr>
          <w:rFonts w:asciiTheme="majorBidi" w:eastAsia="Times New Roman" w:hAnsiTheme="majorBidi" w:cstheme="majorBidi"/>
          <w:sz w:val="24"/>
          <w:szCs w:val="24"/>
        </w:rPr>
        <w:t>:</w:t>
      </w:r>
      <w:r w:rsidR="0088204D" w:rsidRPr="005A5130">
        <w:rPr>
          <w:rFonts w:asciiTheme="majorBidi" w:eastAsia="Times New Roman" w:hAnsiTheme="majorBidi" w:cstheme="majorBidi"/>
          <w:sz w:val="24"/>
          <w:szCs w:val="24"/>
        </w:rPr>
        <w:t xml:space="preserve"> Lanuginosi Peter in Engler and Prantl, Naturl.</w:t>
      </w:r>
      <w:r w:rsidR="00524616" w:rsidRPr="005A5130">
        <w:rPr>
          <w:rFonts w:asciiTheme="majorBidi" w:eastAsia="Times New Roman" w:hAnsiTheme="majorBidi" w:cstheme="majorBidi"/>
          <w:sz w:val="24"/>
          <w:szCs w:val="24"/>
        </w:rPr>
        <w:t xml:space="preserve"> Pflanzenfam. 4 (3a): 33 (1897),</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numerous, terminal in heads; base of the shoots ligneous.</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Subsection 4: Oleifolii Peter in Engler &amp; Prantl, Naturl. Pflanzenfam. 4 (3a): 33 (1897)</w:t>
      </w:r>
      <w:r w:rsidR="00524616" w:rsidRPr="005A5130">
        <w:rPr>
          <w:rFonts w:asciiTheme="majorBidi" w:eastAsia="Times New Roman" w:hAnsiTheme="majorBidi" w:cstheme="majorBidi"/>
          <w:sz w:val="24"/>
          <w:szCs w:val="24"/>
        </w:rPr>
        <w:t>, s</w:t>
      </w:r>
      <w:r w:rsidR="00B032FC" w:rsidRPr="005A5130">
        <w:rPr>
          <w:rFonts w:asciiTheme="majorBidi" w:eastAsia="Times New Roman" w:hAnsiTheme="majorBidi" w:cstheme="majorBidi"/>
          <w:sz w:val="24"/>
          <w:szCs w:val="24"/>
        </w:rPr>
        <w:t>hoots with axillary and terminal flowers at the top.</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Subsection 5: Diffu</w:t>
      </w:r>
      <w:r w:rsidR="00524616" w:rsidRPr="005A5130">
        <w:rPr>
          <w:rFonts w:asciiTheme="majorBidi" w:eastAsia="Times New Roman" w:hAnsiTheme="majorBidi" w:cstheme="majorBidi"/>
          <w:sz w:val="24"/>
          <w:szCs w:val="24"/>
        </w:rPr>
        <w:t>si Boiss., Fl. Or. 4: 84 (1872),</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a</w:t>
      </w:r>
      <w:r w:rsidR="00B032FC" w:rsidRPr="005A5130">
        <w:rPr>
          <w:rFonts w:asciiTheme="majorBidi" w:eastAsia="Times New Roman" w:hAnsiTheme="majorBidi" w:cstheme="majorBidi"/>
          <w:sz w:val="24"/>
          <w:szCs w:val="24"/>
        </w:rPr>
        <w:t>nnual or perennial herbs, rarely subshrubs; shoots prostrate or ascending, never twining.</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Section </w:t>
      </w:r>
      <w:r w:rsidR="00524616" w:rsidRPr="005A5130">
        <w:rPr>
          <w:rFonts w:asciiTheme="majorBidi" w:eastAsia="Times New Roman" w:hAnsiTheme="majorBidi" w:cstheme="majorBidi"/>
          <w:sz w:val="24"/>
          <w:szCs w:val="24"/>
        </w:rPr>
        <w:t xml:space="preserve">III: </w:t>
      </w:r>
      <w:r w:rsidR="00B032FC" w:rsidRPr="005A5130">
        <w:rPr>
          <w:rFonts w:asciiTheme="majorBidi" w:eastAsia="Times New Roman" w:hAnsiTheme="majorBidi" w:cstheme="majorBidi"/>
          <w:sz w:val="24"/>
          <w:szCs w:val="24"/>
        </w:rPr>
        <w:t>Convolvulus</w:t>
      </w:r>
      <w:r w:rsidR="00524616" w:rsidRPr="005A5130">
        <w:rPr>
          <w:rFonts w:asciiTheme="majorBidi" w:eastAsia="Times New Roman" w:hAnsiTheme="majorBidi" w:cstheme="majorBidi"/>
          <w:sz w:val="24"/>
          <w:szCs w:val="24"/>
        </w:rPr>
        <w:t>, h</w:t>
      </w:r>
      <w:r w:rsidR="00B032FC" w:rsidRPr="005A5130">
        <w:rPr>
          <w:rFonts w:asciiTheme="majorBidi" w:eastAsia="Times New Roman" w:hAnsiTheme="majorBidi" w:cstheme="majorBidi"/>
          <w:sz w:val="24"/>
          <w:szCs w:val="24"/>
        </w:rPr>
        <w:t>erbs or subshrubs; branches twining. Subsection 6: Convolvulus</w:t>
      </w:r>
      <w:r w:rsidR="00524616" w:rsidRPr="005A5130">
        <w:rPr>
          <w:rFonts w:asciiTheme="majorBidi" w:eastAsia="Times New Roman" w:hAnsiTheme="majorBidi" w:cstheme="majorBidi"/>
          <w:sz w:val="24"/>
          <w:szCs w:val="24"/>
        </w:rPr>
        <w:t>. a</w:t>
      </w:r>
      <w:r w:rsidR="00B032FC" w:rsidRPr="005A5130">
        <w:rPr>
          <w:rFonts w:asciiTheme="majorBidi" w:eastAsia="Times New Roman" w:hAnsiTheme="majorBidi" w:cstheme="majorBidi"/>
          <w:sz w:val="24"/>
          <w:szCs w:val="24"/>
        </w:rPr>
        <w:t>nnual or perennial herbs; shoots twining, never spiny.</w:t>
      </w:r>
      <w:r w:rsidR="005D6D01">
        <w:rPr>
          <w:rFonts w:asciiTheme="majorBidi" w:eastAsia="Times New Roman" w:hAnsiTheme="majorBidi" w:cstheme="majorBidi"/>
          <w:sz w:val="24"/>
          <w:szCs w:val="24"/>
        </w:rPr>
        <w:t xml:space="preserve"> Phylogenetically, </w:t>
      </w:r>
      <w:r w:rsidR="005D6D01">
        <w:rPr>
          <w:rFonts w:asciiTheme="majorBidi" w:eastAsia="Times New Roman" w:hAnsiTheme="majorBidi" w:cstheme="majorBidi"/>
          <w:sz w:val="24"/>
          <w:szCs w:val="24"/>
        </w:rPr>
        <w:fldChar w:fldCharType="begin" w:fldLock="1"/>
      </w:r>
      <w:r w:rsidR="005B0E42">
        <w:rPr>
          <w:rFonts w:asciiTheme="majorBidi" w:eastAsia="Times New Roman" w:hAnsiTheme="majorBidi" w:cstheme="majorBidi"/>
          <w:sz w:val="24"/>
          <w:szCs w:val="24"/>
        </w:rPr>
        <w:instrText>ADDIN CSL_CITATION {"citationItems":[{"id":"ITEM-1","itemData":{"abstract":"DOI: 10.1093/botlinnean/boaf023 Botanical Journal of the Linnean Society, Volume. XX, Issue. XX, XX XX XXXX Abstract Phylogenetic studies in the last two decades have demonstrated the non-monophyly of Convolvulus (~200 spp.), with Calystegia (~25 spp.) nested in it. However, no systematic progress has been made to resolve the non-monophyly of the genus and, as a consequence, at the present both Calystegia and a non-monophyletic Convolvulus are formally recognized. In this study, we explore a more adequate classification of Convolvulus. We investigate the molecular phylogenetic relationships between species of Convolvulus and Calystegia through a well-sampled and resolved phylogenetic analysis of nuclear ITS. Additionally, we explore morphological synapomorphies that could support the recognition of genera or sections through the parsimony optimization of seven morphological traits suggested as taxonomically informative for the genus, and we evaluate the chromosome number evolution. Two large clades were recovered that are mostly characterized by the habit, leaf base, and presence/absence of a petiole. We also discuss these results considering biogeographic patterns previously recovered for the group. In a reclassification of Convolvulus, we propose combining Calystegia in Convolvulus, with the recognition of the two larger clades as sections Convolvulus and Orthocaulus. This results in six new names, 29 new combinations and 29 re-establishments.","author":[{"dropping-particle":"","family":"Nepomuceno","given":"Silmara","non-dropping-particle":"","parse-names":false,"suffix":""},{"dropping-particle":"","family":"Fay","given":"Michael F","non-dropping-particle":"","parse-names":false,"suffix":""},{"dropping-particle":"","family":"Rita","given":"Ana","non-dropping-particle":"","parse-names":false,"suffix":""},{"dropping-particle":"","family":"Simões","given":"Giraldes","non-dropping-particle":"","parse-names":false,"suffix":""},{"dropping-particle":"","family":"Buril","given":"Maria Teresa","non-dropping-particle":"","parse-names":false,"suffix":""}],"container-title":"Botanical Journal of the Linnean Society","id":"ITEM-1","issue":"February","issued":{"date-parts":[["2025"]]},"page":"359-380","title":"Character reconstruction and re-circumscription of the genus","type":"article-journal"},"uris":["http://www.mendeley.com/documents/?uuid=784573a4-4ac8-4311-928c-caf91f5302db"]}],"mendeley":{"formattedCitation":"(Nepomuceno et al., 2025)","manualFormatting":"Nepomuceno et al. (2025)","plainTextFormattedCitation":"(Nepomuceno et al., 2025)","previouslyFormattedCitation":"(Nepomuceno et al., 2025)"},"properties":{"noteIndex":0},"schema":"https://github.com/citation-style-language/schema/raw/master/csl-citation.json"}</w:instrText>
      </w:r>
      <w:r w:rsidR="005D6D01">
        <w:rPr>
          <w:rFonts w:asciiTheme="majorBidi" w:eastAsia="Times New Roman" w:hAnsiTheme="majorBidi" w:cstheme="majorBidi"/>
          <w:sz w:val="24"/>
          <w:szCs w:val="24"/>
        </w:rPr>
        <w:fldChar w:fldCharType="separate"/>
      </w:r>
      <w:r w:rsidR="005D6D01">
        <w:rPr>
          <w:rFonts w:asciiTheme="majorBidi" w:eastAsia="Times New Roman" w:hAnsiTheme="majorBidi" w:cstheme="majorBidi"/>
          <w:noProof/>
          <w:sz w:val="24"/>
          <w:szCs w:val="24"/>
        </w:rPr>
        <w:t>Nepomuceno et al.</w:t>
      </w:r>
      <w:r w:rsidR="005D6D01" w:rsidRPr="005D6D01">
        <w:rPr>
          <w:rFonts w:asciiTheme="majorBidi" w:eastAsia="Times New Roman" w:hAnsiTheme="majorBidi" w:cstheme="majorBidi"/>
          <w:noProof/>
          <w:sz w:val="24"/>
          <w:szCs w:val="24"/>
        </w:rPr>
        <w:t xml:space="preserve"> </w:t>
      </w:r>
      <w:r w:rsidR="005D6D01">
        <w:rPr>
          <w:rFonts w:asciiTheme="majorBidi" w:eastAsia="Times New Roman" w:hAnsiTheme="majorBidi" w:cstheme="majorBidi"/>
          <w:noProof/>
          <w:sz w:val="24"/>
          <w:szCs w:val="24"/>
        </w:rPr>
        <w:t>(</w:t>
      </w:r>
      <w:r w:rsidR="005D6D01" w:rsidRPr="005D6D01">
        <w:rPr>
          <w:rFonts w:asciiTheme="majorBidi" w:eastAsia="Times New Roman" w:hAnsiTheme="majorBidi" w:cstheme="majorBidi"/>
          <w:noProof/>
          <w:sz w:val="24"/>
          <w:szCs w:val="24"/>
        </w:rPr>
        <w:t>2025)</w:t>
      </w:r>
      <w:r w:rsidR="005D6D01">
        <w:rPr>
          <w:rFonts w:asciiTheme="majorBidi" w:eastAsia="Times New Roman" w:hAnsiTheme="majorBidi" w:cstheme="majorBidi"/>
          <w:sz w:val="24"/>
          <w:szCs w:val="24"/>
        </w:rPr>
        <w:fldChar w:fldCharType="end"/>
      </w:r>
      <w:r w:rsidR="005D6D01">
        <w:rPr>
          <w:rFonts w:asciiTheme="majorBidi" w:eastAsia="Times New Roman" w:hAnsiTheme="majorBidi" w:cstheme="majorBidi"/>
          <w:sz w:val="24"/>
          <w:szCs w:val="24"/>
        </w:rPr>
        <w:t xml:space="preserve"> have been divided the genus into two clades depending on the morphological characters.</w:t>
      </w:r>
    </w:p>
    <w:p w:rsidR="000D5690" w:rsidRPr="005F74A0" w:rsidRDefault="005F74A0" w:rsidP="00F76AFF">
      <w:pPr>
        <w:bidi w:val="0"/>
        <w:spacing w:after="0" w:line="360" w:lineRule="auto"/>
        <w:ind w:firstLine="720"/>
        <w:jc w:val="both"/>
        <w:rPr>
          <w:rFonts w:asciiTheme="majorBidi" w:hAnsiTheme="majorBidi" w:cstheme="majorBidi"/>
          <w:sz w:val="24"/>
          <w:szCs w:val="24"/>
          <w:lang w:bidi="ar-EG"/>
        </w:rPr>
      </w:pPr>
      <w:r w:rsidRPr="005F74A0">
        <w:rPr>
          <w:rFonts w:asciiTheme="majorBidi" w:hAnsiTheme="majorBidi" w:cstheme="majorBidi"/>
          <w:sz w:val="24"/>
          <w:szCs w:val="24"/>
        </w:rPr>
        <w:t>Phenetic analysis quantifies the similarities and differences between species and genera. It is capable of carrying out several data analysis and display tasks, such as statistical analysis and graphical data presentation</w:t>
      </w:r>
      <w:r w:rsidRPr="005F74A0">
        <w:rPr>
          <w:rFonts w:asciiTheme="majorBidi" w:hAnsiTheme="majorBidi" w:cstheme="majorBidi"/>
          <w:sz w:val="24"/>
          <w:szCs w:val="24"/>
          <w:lang w:bidi="ar-EG"/>
        </w:rPr>
        <w:t xml:space="preserve"> </w:t>
      </w:r>
      <w:r w:rsidR="00890381"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{"citationItems":[{"id":"ITEM-1","itemData":{"author":[{"dropping-particle":"","family":"Sneath","given":"Peter H A","non-dropping-particle":"","parse-names":false,"suffix":""}],"container-title":"Bergey's manual of systematic bacteriology","id":"ITEM-1","issued":{"date-parts":[["2005"]]},"page":"39-42","publisher":"Springer","title":"Numerical taxonomy","type":"chapter"},"uris":["http://www.mendeley.com/documents/?uuid=666c105f-ecbf-4d33-9c09-6f85dff982b7"]}],"mendeley":{"formattedCitation":"(Sneath, 2005)","plainTextFormattedCitation":"(Sneath, 2005)","previouslyFormattedCitation":"(Sneath, 2005)"},"properties":{"noteIndex":0},"schema":"https://github.com/citation-style-language/schema/raw/master/csl-citation.json"}</w:instrText>
      </w:r>
      <w:r w:rsidR="00890381"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(Sneath, 2005)</w:t>
      </w:r>
      <w:r w:rsidR="00890381"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The taxa in numerical analysis are us</w:t>
      </w:r>
      <w:r w:rsidR="005D6F74" w:rsidRPr="005F74A0">
        <w:rPr>
          <w:rFonts w:asciiTheme="majorBidi" w:hAnsiTheme="majorBidi" w:cstheme="majorBidi"/>
          <w:sz w:val="24"/>
          <w:szCs w:val="24"/>
          <w:lang w:bidi="ar-EG"/>
        </w:rPr>
        <w:t>ually referred to as OTU’s (</w:t>
      </w:r>
      <w:r w:rsidR="000D5690" w:rsidRPr="005F74A0">
        <w:rPr>
          <w:rFonts w:asciiTheme="majorBidi" w:hAnsiTheme="majorBidi" w:cstheme="majorBidi"/>
          <w:sz w:val="24"/>
          <w:szCs w:val="24"/>
          <w:lang w:bidi="ar-EG"/>
        </w:rPr>
        <w:t>Operational Taxonomic Units</w:t>
      </w:r>
      <w:r w:rsidR="005D6F74" w:rsidRPr="005F74A0">
        <w:rPr>
          <w:rFonts w:asciiTheme="majorBidi" w:hAnsiTheme="majorBidi" w:cstheme="majorBidi"/>
          <w:sz w:val="24"/>
          <w:szCs w:val="24"/>
          <w:lang w:bidi="ar-EG"/>
        </w:rPr>
        <w:t>)</w:t>
      </w:r>
      <w:r w:rsidR="000D5690" w:rsidRPr="005F74A0">
        <w:rPr>
          <w:rFonts w:asciiTheme="majorBidi" w:hAnsiTheme="majorBidi" w:cstheme="majorBidi"/>
          <w:sz w:val="24"/>
          <w:szCs w:val="24"/>
          <w:lang w:bidi="ar-EG"/>
        </w:rPr>
        <w:t>. In some studies, the species may be studied from more than one specimen, so it is more convenient to refer to taxa as OTU. This term indicates that in this specific numerical operation each OTU is a distinct taxon. Characters in numerical taxonomy should be carefully defined. There are three main types of characters: qualitative or two state, multi-state and quantitative characters</w:t>
      </w:r>
      <w:r w:rsidR="005D6F74" w:rsidRPr="005F74A0">
        <w:rPr>
          <w:rFonts w:asciiTheme="majorBidi" w:hAnsiTheme="majorBidi" w:cstheme="majorBidi"/>
          <w:sz w:val="24"/>
          <w:szCs w:val="24"/>
          <w:lang w:bidi="ar-EG"/>
        </w:rPr>
        <w:t xml:space="preserve"> </w:t>
      </w:r>
      <w:r w:rsidR="00890381"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Xia","given":"Yinglin","non-dropping-particle":"","parse-names":false,"suffix":""},{"dropping-particle":"","family":"Sun","given":"Jun","non-dropping-particle":"","parse-names":false,"suffix":""}],"container-title":"Bioinformatic and Statistical Analysis of Microbiome Data: From Raw Sequences to Advanced Modeling with QIIME 2 and R","id":"ITEM-1","issued":{"date-parts":[["2023"]]},"page":"161-225","publisher":"Springer","title":"OTU methods in numerical taxonomy","type":"chapter"},"uris":["http://www.mendeley.com/documents/?uuid=370d784c-eec3-4745-99ed-df21a0c5846d"]}],"mendeley":{"formattedCitation":"(Xia &amp; Sun, 2023)","plainTextFormattedCitation":"(Xia &amp; Sun, 2023)","previouslyFormattedCitation":"(Xia &amp; Sun, 2023)"},"properties":{"noteIndex":0},"schema":"https://github.com/citation-style-language/schema/raw/master/csl-citation.json"}</w:instrText>
      </w:r>
      <w:r w:rsidR="00890381"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(Xia &amp; Sun, 2023)</w:t>
      </w:r>
      <w:r w:rsidR="00890381"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w:t>
      </w:r>
      <w:r w:rsidR="00280AD3"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Clustering methods one of the most important algorithms that used in the numerical analysis and played a prominent role in classification or comparing the taxonomic relationships at various ranks </w:t>
      </w:r>
      <w:r w:rsidR="00890381"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Tutlel","given":"BETÜL","non-dropping-particle":"","parse-names":false,"suffix":""},{"dropping-particle":"","family":"Kandemir","given":"Irfan","non-dropping-particle":"","parse-names":false,"suffix":""},{"dropping-particle":"","family":"Ku\\cs","given":"Semra","non-dropping-particle":"","parse-names":false,"suffix":""},{"dropping-particle":"","family":"Kence","given":"Aykut","non-dropping-particle":"","parse-names":false,"suffix":""}],"container-title":"Turkish Journal of Botany","id":"ITEM-1","issue":"1","issued":{"date-parts":[["2005"]]},"page":"51-61","title":"Classification of Turkish Plantago L. species using numerical taxonomy","type":"article-journal","volume":"29"},"uris":["http://www.mendeley.com/documents/?uuid=35d3d7b6-2093-4ef1-a5bd-c079a9eed6e5"]}],"mendeley":{"formattedCitation":"(Tutlel et al., 2005)","plainTextFormattedCitation":"(Tutlel et al., 2005)","previouslyFormattedCitation":"(Tutlel et al., 2005)"},"properties":{"noteIndex":0},"schema":"https://github.com/citation-style-language/schema/raw/master/csl-citation.json"}</w:instrText>
      </w:r>
      <w:r w:rsidR="00890381"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(Tutlel et al., 2005)</w:t>
      </w:r>
      <w:r w:rsidR="00890381"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 xml:space="preserve">. The </w:t>
      </w:r>
      <w:r w:rsidR="005D6F74" w:rsidRPr="005F74A0">
        <w:rPr>
          <w:rFonts w:asciiTheme="majorBidi" w:hAnsiTheme="majorBidi" w:cstheme="majorBidi"/>
          <w:sz w:val="24"/>
          <w:szCs w:val="24"/>
          <w:lang w:bidi="ar-EG"/>
        </w:rPr>
        <w:t>PAST</w:t>
      </w:r>
      <w:r w:rsidR="000D5690" w:rsidRPr="005F74A0">
        <w:rPr>
          <w:rFonts w:asciiTheme="majorBidi" w:hAnsiTheme="majorBidi" w:cstheme="majorBidi"/>
          <w:sz w:val="24"/>
          <w:szCs w:val="24"/>
          <w:lang w:bidi="ar-EG"/>
        </w:rPr>
        <w:t xml:space="preserve"> program or </w:t>
      </w:r>
      <w:r w:rsidR="005D6F74" w:rsidRPr="005F74A0">
        <w:rPr>
          <w:rFonts w:asciiTheme="majorBidi" w:hAnsiTheme="majorBidi" w:cstheme="majorBidi"/>
          <w:sz w:val="24"/>
          <w:szCs w:val="24"/>
        </w:rPr>
        <w:t>Paleontological Statistics Software package for education and data analysis</w:t>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using personal computers </w:t>
      </w:r>
      <w:r w:rsidR="00890381"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890381"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(Hammer et al., 2001)</w:t>
      </w:r>
      <w:r w:rsidR="00890381"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provide</w:t>
      </w:r>
      <w:r w:rsidR="005D6F74" w:rsidRPr="005F74A0">
        <w:rPr>
          <w:rFonts w:asciiTheme="majorBidi" w:hAnsiTheme="majorBidi" w:cstheme="majorBidi"/>
          <w:sz w:val="24"/>
          <w:szCs w:val="24"/>
          <w:lang w:bidi="ar-EG"/>
        </w:rPr>
        <w:t>s</w:t>
      </w:r>
      <w:r w:rsidR="000D5690" w:rsidRPr="005F74A0">
        <w:rPr>
          <w:rFonts w:asciiTheme="majorBidi" w:hAnsiTheme="majorBidi" w:cstheme="majorBidi"/>
          <w:sz w:val="24"/>
          <w:szCs w:val="24"/>
          <w:lang w:bidi="ar-EG"/>
        </w:rPr>
        <w:t xml:space="preserve"> efficient modules uses a rather conservative approach and warn of ties when there actually only a single tree possible. </w:t>
      </w:r>
    </w:p>
    <w:p w:rsidR="007D2ABB" w:rsidRPr="00D57D14" w:rsidRDefault="000D5690" w:rsidP="00F76AFF">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392AB2" w:rsidRPr="00D57D14">
        <w:rPr>
          <w:rFonts w:asciiTheme="majorBidi" w:eastAsia="Times New Roman" w:hAnsiTheme="majorBidi" w:cstheme="majorBidi"/>
          <w:sz w:val="24"/>
          <w:szCs w:val="24"/>
        </w:rPr>
        <w:t>Multivariate statistical methods offer robust tools for analyzing complex morphological datasets. Among these, Principal Component Analysis (PCA) is widely applied to summarize variation, reduce dimensionality, and identify traits contributing most</w:t>
      </w:r>
      <w:r w:rsidR="00ED6484" w:rsidRPr="00D57D14">
        <w:rPr>
          <w:rFonts w:asciiTheme="majorBidi" w:eastAsia="Times New Roman" w:hAnsiTheme="majorBidi" w:cstheme="majorBidi"/>
          <w:sz w:val="24"/>
          <w:szCs w:val="24"/>
        </w:rPr>
        <w:t xml:space="preserve"> to phenotypic differentiation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890381"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In botanical research, PCA has been successfully employed to clarify taxonomic boundaries, reveal morphological gradients, and assess relationships among closel</w:t>
      </w:r>
      <w:r w:rsidR="00ED6484" w:rsidRPr="00D57D14">
        <w:rPr>
          <w:rFonts w:asciiTheme="majorBidi" w:eastAsia="Times New Roman" w:hAnsiTheme="majorBidi" w:cstheme="majorBidi"/>
          <w:sz w:val="24"/>
          <w:szCs w:val="24"/>
        </w:rPr>
        <w:t xml:space="preserve">y related taxa and populations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{"citationItems":[{"id":"ITEM-1","itemData":{"author":[{"dropping-particle":"","family":"Sokal","given":"R R","non-dropping-particle":"","parse-names":false,"suffix":""}],"container-title":"Computer-assisted bacterial systematics","id":"ITEM-1","issue":"1","issued":{"date-parts":[["1985"]]},"publisher":"Academic Press New York","title":"The principles of numerical taxonomy: twenty-five years later","type":"article-journal","volume":"15"},"uris":["http://www.mendeley.com/documents/?uuid=8ce647ea-1563-445f-bfcc-07e93630e7c1"]}],"mendeley":{"formattedCitation":"(Sokal, 1985)","plainTextFormattedCitation":"(Sokal, 1985)","previouslyFormattedCitation":"(Sokal, 1985)"},"properties":{"noteIndex":0},"schema":"https://github.com/citation-style-language/schema/raw/master/csl-citation.json"}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(Sokal, 1985)</w:t>
      </w:r>
      <w:r w:rsidR="00890381"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By transforming correlated variables into independent principal components, PCA enables an objective assessment of morphological structure and diversity.</w:t>
      </w:r>
      <w:r w:rsidR="007D2ABB" w:rsidRPr="00D57D14">
        <w:rPr>
          <w:rFonts w:asciiTheme="majorBidi" w:eastAsia="Times New Roman" w:hAnsiTheme="majorBidi" w:cstheme="majorBidi"/>
          <w:sz w:val="24"/>
          <w:szCs w:val="24"/>
        </w:rPr>
        <w:t xml:space="preserve"> </w:t>
      </w:r>
      <w:r w:rsidR="00392AB2" w:rsidRPr="00D57D14">
        <w:rPr>
          <w:rFonts w:asciiTheme="majorBidi" w:eastAsia="Times New Roman" w:hAnsiTheme="majorBidi" w:cstheme="majorBidi"/>
          <w:sz w:val="24"/>
          <w:szCs w:val="24"/>
        </w:rPr>
        <w:t>Within Convolvulaceae, PCA and related multivariate approaches have proven effective in distinguishing taxa and supporting taxonomic interpretations based on morphological evidence</w:t>
      </w:r>
      <w:r w:rsidR="00ED6484" w:rsidRPr="00D57D14">
        <w:rPr>
          <w:rFonts w:asciiTheme="majorBidi" w:eastAsia="Times New Roman" w:hAnsiTheme="majorBidi" w:cstheme="majorBidi"/>
          <w:sz w:val="24"/>
          <w:szCs w:val="24"/>
        </w:rPr>
        <w:t xml:space="preserve">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Ashfaq","given":"Shomaila","non-dropping-particle":"","parse-names":false,"suffix":""},{"dropping-particle":"","family":"Ahmad","given":"Mushtaq","non-dropping-particle":"","parse-names":false,"suffix":""},{"dropping-particle":"","family":"Zafar","given":"Muhammad","non-dropping-particle":"","parse-names":false,"suffix":""},{"dropping-particle":"","family":"Sultana","given":"Shazia","non-dropping-particle":"","parse-names":false,"suffix":""},{"dropping-particle":"","family":"Bahadur","given":"Saraj","non-dropping-particle":"","parse-names":false,"suffix":""},{"dropping-particle":"","family":"Ullah","given":"Fazal","non-dropping-particle":"","parse-names":false,"suffix":""},{"dropping-particle":"","family":"Zaman","given":"Wajid","non-dropping-particle":"","parse-names":false,"suffix":""},{"dropping-particle":"","family":"Ahmed","given":"Sidra Nisar","non-dropping-particle":"","parse-names":false,"suffix":""},{"dropping-particle":"","family":"Nazish","given":"Moona","non-dropping-particle":"","parse-names":false,"suffix":""}],"container-title":"Flora","id":"ITEM-1","issued":{"date-parts":[["2019"]]},"page":"110-124","publisher":"Elsevier","title":"Foliar micromorphology of Convolvulaceous species with special emphasis on trichome diversity from the arid zone of Pakistan","type":"article-journal","volume":"255"},"uris":["http://www.mendeley.com/documents/?uuid=1db83097-04e9-4058-97ee-a3303c3848e6"]}],"mendeley":{"formattedCitation":"(Ashfaq et al., 2019)","plainTextFormattedCitation":"(Ashfaq et al., 2019)","previouslyFormattedCitation":"(Ashfaq et al., 2019)"},"properties":{"noteIndex":0},"schema":"https://github.com/citation-style-language/schema/raw/master/csl-citation.json"}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(Ashfaq et al., 2019)</w:t>
      </w:r>
      <w:r w:rsidR="00890381"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xml:space="preserve">. Despite this, comprehensive multivariate evaluations of morphological traits in </w:t>
      </w:r>
      <w:r w:rsidR="00392AB2" w:rsidRPr="00D57D14">
        <w:rPr>
          <w:rFonts w:asciiTheme="majorBidi" w:eastAsia="Times New Roman" w:hAnsiTheme="majorBidi" w:cstheme="majorBidi"/>
          <w:i/>
          <w:iCs/>
          <w:sz w:val="24"/>
          <w:szCs w:val="24"/>
        </w:rPr>
        <w:t>Convolvulus</w:t>
      </w:r>
      <w:r w:rsidR="00392AB2" w:rsidRPr="00D57D14">
        <w:rPr>
          <w:rFonts w:asciiTheme="majorBidi" w:eastAsia="Times New Roman" w:hAnsiTheme="majorBidi" w:cstheme="majorBidi"/>
          <w:sz w:val="24"/>
          <w:szCs w:val="24"/>
        </w:rPr>
        <w:t xml:space="preserve"> remain limited, particularly for taxa occurring in arid and semi-arid regions where morphological plasticity is pronounced</w:t>
      </w:r>
      <w:r w:rsidR="00ED6484" w:rsidRPr="00D57D14">
        <w:rPr>
          <w:rFonts w:asciiTheme="majorBidi" w:eastAsia="Times New Roman" w:hAnsiTheme="majorBidi" w:cstheme="majorBidi"/>
          <w:sz w:val="24"/>
          <w:szCs w:val="24"/>
        </w:rPr>
        <w:t xml:space="preserve">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V","family":"González","given":"Alejandra","non-dropping-particle":"","parse-names":false,"suffix":""},{"dropping-particle":"","family":"Gianoli","given":"Ernesto","non-dropping-particle":"","parse-names":false,"suffix":""}],"container-title":"Acta Oecologica","id":"ITEM-1","issue":"3","issued":{"date-parts":[["2004"]]},"page":"185-190","publisher":"Elsevier","title":"Morphological plasticity in response to shading in three Convolvulus species of different ecological breadth","type":"article-journal","volume":"26"},"uris":["http://www.mendeley.com/documents/?uuid=96a8fcd0-cb61-415d-bdac-8a1a323b20ac"]}],"mendeley":{"formattedCitation":"(González &amp; Gianoli, 2004)","plainTextFormattedCitation":"(González &amp; Gianoli, 2004)","previouslyFormattedCitation":"(González &amp; Gianoli, 2004)"},"properties":{"noteIndex":0},"schema":"https://github.com/citation-style-language/schema/raw/master/csl-citation.json"}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(González &amp; Gianoli, 2004)</w:t>
      </w:r>
      <w:r w:rsidR="00890381"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w:t>
      </w:r>
    </w:p>
    <w:p w:rsidR="007D2ABB" w:rsidRPr="00D57D14" w:rsidRDefault="00BF0FD2" w:rsidP="005A5130">
      <w:pPr>
        <w:bidi w:val="0"/>
        <w:spacing w:after="0" w:line="360" w:lineRule="auto"/>
        <w:jc w:val="both"/>
        <w:rPr>
          <w:rFonts w:asciiTheme="majorBidi" w:hAnsiTheme="majorBidi" w:cstheme="majorBidi"/>
          <w:sz w:val="24"/>
          <w:szCs w:val="24"/>
        </w:rPr>
      </w:pPr>
      <w:r w:rsidRPr="00D57D14">
        <w:rPr>
          <w:rStyle w:val="s1"/>
          <w:rFonts w:asciiTheme="majorBidi" w:hAnsiTheme="majorBidi" w:cstheme="majorBidi"/>
          <w:sz w:val="24"/>
          <w:szCs w:val="24"/>
        </w:rPr>
        <w:tab/>
      </w:r>
      <w:r w:rsidR="005A5130" w:rsidRPr="005A5130">
        <w:rPr>
          <w:rFonts w:asciiTheme="majorBidi" w:hAnsiTheme="majorBidi" w:cstheme="majorBidi"/>
          <w:sz w:val="24"/>
          <w:szCs w:val="24"/>
        </w:rPr>
        <w:t>The present investigation's goal</w:t>
      </w:r>
      <w:r w:rsidR="005A5130" w:rsidRPr="005A5130">
        <w:rPr>
          <w:rStyle w:val="s1"/>
          <w:rFonts w:asciiTheme="majorBidi" w:hAnsiTheme="majorBidi" w:cstheme="majorBidi"/>
          <w:sz w:val="24"/>
          <w:szCs w:val="24"/>
        </w:rPr>
        <w:t xml:space="preserve"> </w:t>
      </w:r>
      <w:r w:rsidR="007D2ABB" w:rsidRPr="005A5130">
        <w:rPr>
          <w:rStyle w:val="s1"/>
          <w:rFonts w:asciiTheme="majorBidi" w:hAnsiTheme="majorBidi" w:cstheme="majorBidi"/>
          <w:sz w:val="24"/>
          <w:szCs w:val="24"/>
        </w:rPr>
        <w:t>was to identify</w:t>
      </w:r>
      <w:r w:rsidR="007D2ABB" w:rsidRPr="00D57D14">
        <w:rPr>
          <w:rStyle w:val="s1"/>
          <w:rFonts w:asciiTheme="majorBidi" w:hAnsiTheme="majorBidi" w:cstheme="majorBidi"/>
          <w:sz w:val="24"/>
          <w:szCs w:val="24"/>
        </w:rPr>
        <w:t xml:space="preserve"> the taxonomic relationships among the </w:t>
      </w:r>
      <w:r w:rsidR="007D2ABB" w:rsidRPr="00D57D14">
        <w:rPr>
          <w:rStyle w:val="s1"/>
          <w:rFonts w:asciiTheme="majorBidi" w:hAnsiTheme="majorBidi" w:cstheme="majorBidi"/>
          <w:i/>
          <w:iCs/>
          <w:sz w:val="24"/>
          <w:szCs w:val="24"/>
        </w:rPr>
        <w:t>Convolvulus</w:t>
      </w:r>
      <w:r w:rsidR="007D2ABB" w:rsidRPr="00D57D14">
        <w:rPr>
          <w:rStyle w:val="s1"/>
          <w:rFonts w:asciiTheme="majorBidi" w:hAnsiTheme="majorBidi" w:cstheme="majorBidi"/>
          <w:sz w:val="24"/>
          <w:szCs w:val="24"/>
        </w:rPr>
        <w:t xml:space="preserve"> taxa </w:t>
      </w:r>
      <w:r w:rsidR="007D2ABB" w:rsidRPr="00D57D14">
        <w:rPr>
          <w:rFonts w:asciiTheme="majorBidi" w:hAnsiTheme="majorBidi" w:cstheme="majorBidi"/>
          <w:sz w:val="24"/>
          <w:szCs w:val="24"/>
        </w:rPr>
        <w:t>from the flora of Saudi Arabia</w:t>
      </w:r>
      <w:r w:rsidR="007D2ABB" w:rsidRPr="00D57D14">
        <w:rPr>
          <w:rStyle w:val="s1"/>
          <w:rFonts w:asciiTheme="majorBidi" w:hAnsiTheme="majorBidi" w:cstheme="majorBidi"/>
          <w:sz w:val="24"/>
          <w:szCs w:val="24"/>
        </w:rPr>
        <w:t xml:space="preserve"> to draw a precise phenogram clarifying these relationships, in addition </w:t>
      </w:r>
      <w:r w:rsidR="007D2ABB" w:rsidRPr="00D57D14">
        <w:rPr>
          <w:rFonts w:asciiTheme="majorBidi" w:hAnsiTheme="majorBidi" w:cstheme="majorBidi"/>
          <w:sz w:val="24"/>
          <w:szCs w:val="24"/>
        </w:rPr>
        <w:t>to evaluate their morphological traits and their extent of their contribution to the classification of the investigated genus.</w:t>
      </w:r>
    </w:p>
    <w:p w:rsidR="00ED609D" w:rsidRPr="00D57D14" w:rsidRDefault="00ED609D"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707DD7" w:rsidRPr="00D57D14" w:rsidRDefault="00707DD7" w:rsidP="0011030C">
      <w:pPr>
        <w:pStyle w:val="Heading2"/>
        <w:spacing w:before="0" w:beforeAutospacing="0" w:after="0" w:afterAutospacing="0" w:line="360" w:lineRule="auto"/>
        <w:jc w:val="both"/>
        <w:rPr>
          <w:rFonts w:asciiTheme="majorBidi" w:hAnsiTheme="majorBidi" w:cstheme="majorBidi"/>
          <w:b w:val="0"/>
          <w:bCs w:val="0"/>
          <w:sz w:val="24"/>
          <w:szCs w:val="24"/>
        </w:rPr>
      </w:pPr>
      <w:r w:rsidRPr="00D57D14">
        <w:rPr>
          <w:rFonts w:asciiTheme="majorBidi" w:hAnsiTheme="majorBidi" w:cstheme="majorBidi"/>
          <w:b w:val="0"/>
          <w:bCs w:val="0"/>
          <w:sz w:val="24"/>
          <w:szCs w:val="24"/>
        </w:rPr>
        <w:t>Materials and Methods</w:t>
      </w:r>
    </w:p>
    <w:p w:rsidR="009D5BB6" w:rsidRPr="00D57D14" w:rsidRDefault="00E46F7D" w:rsidP="002C7363">
      <w:pPr>
        <w:bidi w:val="0"/>
        <w:spacing w:after="0" w:line="360" w:lineRule="auto"/>
        <w:jc w:val="both"/>
        <w:rPr>
          <w:rFonts w:asciiTheme="majorBidi" w:eastAsia="Times New Roman" w:hAnsiTheme="majorBidi" w:cstheme="majorBidi"/>
          <w:sz w:val="24"/>
          <w:szCs w:val="24"/>
        </w:rPr>
      </w:pPr>
      <w:r w:rsidRPr="00D57D14">
        <w:rPr>
          <w:rFonts w:asciiTheme="majorBidi" w:hAnsiTheme="majorBidi" w:cstheme="majorBidi"/>
          <w:sz w:val="24"/>
          <w:szCs w:val="24"/>
        </w:rPr>
        <w:tab/>
        <w:t xml:space="preserve">The </w:t>
      </w:r>
      <w:r w:rsidR="005A5130">
        <w:rPr>
          <w:rFonts w:asciiTheme="majorBidi" w:hAnsiTheme="majorBidi" w:cstheme="majorBidi"/>
          <w:sz w:val="24"/>
          <w:szCs w:val="24"/>
        </w:rPr>
        <w:t>present</w:t>
      </w:r>
      <w:r w:rsidR="005960EA">
        <w:rPr>
          <w:rFonts w:asciiTheme="majorBidi" w:hAnsiTheme="majorBidi" w:cstheme="majorBidi"/>
          <w:sz w:val="24"/>
          <w:szCs w:val="24"/>
        </w:rPr>
        <w:t xml:space="preserve"> investigation</w:t>
      </w:r>
      <w:r w:rsidRPr="00D57D14">
        <w:rPr>
          <w:rFonts w:asciiTheme="majorBidi" w:hAnsiTheme="majorBidi" w:cstheme="majorBidi"/>
          <w:sz w:val="24"/>
          <w:szCs w:val="24"/>
        </w:rPr>
        <w:t xml:space="preserve"> was based on herbarium specimens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L. from the flora of Saudi Arabia, </w:t>
      </w:r>
      <w:r w:rsidRPr="00D57D14">
        <w:rPr>
          <w:rFonts w:asciiTheme="majorBidi" w:eastAsia="Times New Roman" w:hAnsiTheme="majorBidi" w:cstheme="majorBidi"/>
          <w:sz w:val="24"/>
          <w:szCs w:val="24"/>
        </w:rPr>
        <w:t>deposited in the herbarium of King Saud University (KSU)</w:t>
      </w:r>
      <w:r w:rsidRPr="00D57D14">
        <w:rPr>
          <w:rFonts w:asciiTheme="majorBidi" w:hAnsiTheme="majorBidi" w:cstheme="majorBidi"/>
          <w:sz w:val="24"/>
          <w:szCs w:val="24"/>
        </w:rPr>
        <w:t xml:space="preserve"> and th</w:t>
      </w:r>
      <w:r w:rsidR="00A40087" w:rsidRPr="00D57D14">
        <w:rPr>
          <w:rFonts w:asciiTheme="majorBidi" w:hAnsiTheme="majorBidi" w:cstheme="majorBidi"/>
          <w:sz w:val="24"/>
          <w:szCs w:val="24"/>
        </w:rPr>
        <w:t>e herbarium of Tabuk University, in addition to some collected wild taxa from Madinah, Saudi Arabia</w:t>
      </w:r>
      <w:r w:rsidR="004D53C4" w:rsidRPr="00D57D14">
        <w:rPr>
          <w:rFonts w:asciiTheme="majorBidi" w:hAnsiTheme="majorBidi" w:cstheme="majorBidi"/>
          <w:sz w:val="24"/>
          <w:szCs w:val="24"/>
        </w:rPr>
        <w:t xml:space="preserve"> (</w:t>
      </w:r>
      <w:r w:rsidR="004D53C4" w:rsidRPr="00D57D14">
        <w:rPr>
          <w:rFonts w:asciiTheme="majorBidi" w:hAnsiTheme="majorBidi" w:cstheme="majorBidi"/>
          <w:sz w:val="24"/>
          <w:szCs w:val="24"/>
          <w:lang w:val="en-GB"/>
        </w:rPr>
        <w:t>24</w:t>
      </w:r>
      <w:r w:rsidR="004D53C4" w:rsidRPr="00D57D14">
        <w:rPr>
          <w:rFonts w:asciiTheme="majorBidi" w:hAnsiTheme="majorBidi" w:cstheme="majorBidi"/>
          <w:sz w:val="24"/>
          <w:szCs w:val="24"/>
          <w:vertAlign w:val="superscript"/>
          <w:lang w:val="en-GB"/>
        </w:rPr>
        <w:t>o</w:t>
      </w:r>
      <w:r w:rsidR="004D53C4" w:rsidRPr="00D57D14">
        <w:rPr>
          <w:rFonts w:asciiTheme="majorBidi" w:hAnsiTheme="majorBidi" w:cstheme="majorBidi"/>
          <w:sz w:val="24"/>
          <w:szCs w:val="24"/>
          <w:lang w:val="en-GB"/>
        </w:rPr>
        <w:t xml:space="preserve"> 25ʹ 12'' N and 39</w:t>
      </w:r>
      <w:r w:rsidR="004D53C4" w:rsidRPr="00D57D14">
        <w:rPr>
          <w:rFonts w:asciiTheme="majorBidi" w:hAnsiTheme="majorBidi" w:cstheme="majorBidi"/>
          <w:sz w:val="24"/>
          <w:szCs w:val="24"/>
          <w:vertAlign w:val="superscript"/>
          <w:lang w:val="en-GB"/>
        </w:rPr>
        <w:t xml:space="preserve"> o</w:t>
      </w:r>
      <w:r w:rsidR="004D53C4" w:rsidRPr="00D57D14">
        <w:rPr>
          <w:rFonts w:asciiTheme="majorBidi" w:hAnsiTheme="majorBidi" w:cstheme="majorBidi"/>
          <w:sz w:val="24"/>
          <w:szCs w:val="24"/>
          <w:lang w:val="en-GB"/>
        </w:rPr>
        <w:t xml:space="preserve"> 36ʹ  47" E)</w:t>
      </w:r>
      <w:r w:rsidR="00FD313E" w:rsidRPr="00D57D14">
        <w:rPr>
          <w:rFonts w:asciiTheme="majorBidi" w:hAnsiTheme="majorBidi" w:cstheme="majorBidi"/>
          <w:sz w:val="24"/>
          <w:szCs w:val="24"/>
        </w:rPr>
        <w:t>.</w:t>
      </w:r>
      <w:r w:rsidRPr="00D57D14">
        <w:rPr>
          <w:rFonts w:asciiTheme="majorBidi" w:hAnsiTheme="majorBidi" w:cstheme="majorBidi"/>
          <w:sz w:val="24"/>
          <w:szCs w:val="24"/>
        </w:rPr>
        <w:t xml:space="preserve"> The investigated taxa included 14 species and four subspecies (Table 1). The identification was matched against </w:t>
      </w:r>
      <w:r w:rsidR="00890381"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Pr>
          <w:rFonts w:ascii="Tahoma" w:hAnsi="Tahoma" w:cs="Tahoma"/>
          <w:sz w:val="24"/>
          <w:szCs w:val="24"/>
        </w:rPr>
        <w:instrText>�</w:instrText>
      </w:r>
      <w:r w:rsidR="00F76AFF">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Arabia","type":"book"},"uris":["http://www.mendeley.com/documents/?uuid=c4251820-4105-4561-8789-60db71b3708b"]}],"mendeley":{"formattedCitation":"(Chaudhary, 1999; Collenette, 1999)","plainTextFormattedCitation":"(Chaudhary, 1999; Collenette, 1999)","previouslyFormattedCitation":"(Chaudhary, 1999; Collenette, 1999)"},"properties":{"noteIndex":0},"schema":"https://github.com/citation-style-language/schema/raw/master/csl-citation.json"}</w:instrText>
      </w:r>
      <w:r w:rsidR="00890381"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(Chaudhary, 1999; Collenette, 1999)</w:t>
      </w:r>
      <w:r w:rsidR="00890381"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and the nomenclature was authenticated from </w:t>
      </w:r>
      <w:r w:rsidR="00890381"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{"citationItems":[{"id":"ITEM-1","itemData":{"author":[{"dropping-particle":"","family":"IPNI","given":"","non-dropping-particle":"","parse-names":false,"suffix":""}],"container-title":"The Royal Botanic Gardens, Kew, Harvard University Herbaria &amp; Libraries and Australian National Herbarium. [Retrieved 19 March 2025]","id":"ITEM-1","issued":{"date-parts":[["2025"]]},"publisher":"The Royal Botanic Gardens, Kew, Harvard University Herbaria &amp; Libraries and Australian National Herbarium. [Retrieved 19 March 2025]","title":"International Plant Names Index. Published on the Internet http://www.ipni.org,","type":"article-journal"},"uris":["http://www.mendeley.com/documents/?uuid=c8eed215-dc77-433e-9cf9-c742fa07f4cc"]},{"id":"ITEM-2","itemData":{"author":[{"dropping-particle":"","family":"POWO","given":"","non-dropping-particle":"","parse-names":false,"suffix":""}],"id":"ITEM-2","issued":{"date-parts":[["2026"]]},"title":"Plants of the World Online. Facilitated by the Royal Botanic Gardens, Kew. Published on the Internet; https://powo.science.kew.org/Retrieved 11 April 2026","type":"article-journal"},"uris":["http://www.mendeley.com/documents/?uuid=26305823-3ba0-4b63-b66c-7e3d13475359"]}],"mendeley":{"formattedCitation":"(IPNI, 2025; POWO, 2026)","plainTextFormattedCitation":"(IPNI, 2025; POWO, 2026)","previouslyFormattedCitation":"(IPNI, 2025; POWO, 2026)"},"properties":{"noteIndex":0},"schema":"https://github.com/citation-style-language/schema/raw/master/csl-citation.json"}</w:instrText>
      </w:r>
      <w:r w:rsidR="00890381"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(IPNI, 2025; POWO, 2026)</w:t>
      </w:r>
      <w:r w:rsidR="00890381"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w:t>
      </w:r>
      <w:r w:rsidR="00D12FAB">
        <w:rPr>
          <w:rFonts w:asciiTheme="majorBidi" w:hAnsiTheme="majorBidi" w:cstheme="majorBidi"/>
          <w:sz w:val="24"/>
          <w:szCs w:val="24"/>
        </w:rPr>
        <w:t xml:space="preserve">Some of the herbarium sheets have been </w:t>
      </w:r>
      <w:r w:rsidR="00D12FAB" w:rsidRPr="0010264A">
        <w:rPr>
          <w:rFonts w:asciiTheme="majorBidi" w:hAnsiTheme="majorBidi" w:cstheme="majorBidi"/>
          <w:sz w:val="24"/>
          <w:szCs w:val="24"/>
        </w:rPr>
        <w:t xml:space="preserve">photographed (Figures 1-3). </w:t>
      </w:r>
      <w:r w:rsidRPr="0010264A">
        <w:rPr>
          <w:rFonts w:asciiTheme="majorBidi" w:hAnsiTheme="majorBidi" w:cstheme="majorBidi"/>
          <w:sz w:val="24"/>
          <w:szCs w:val="24"/>
        </w:rPr>
        <w:t>Only well</w:t>
      </w:r>
      <w:r w:rsidRPr="00D57D14">
        <w:rPr>
          <w:rFonts w:asciiTheme="majorBidi" w:hAnsiTheme="majorBidi" w:cstheme="majorBidi"/>
          <w:sz w:val="24"/>
          <w:szCs w:val="24"/>
        </w:rPr>
        <w:t xml:space="preserve">-preserved specimens bearing mature vegetative and reproductive structures were included to ensure reliable morphological assessment. </w:t>
      </w:r>
    </w:p>
    <w:p w:rsidR="002C7363" w:rsidRDefault="002C7363" w:rsidP="00355756">
      <w:pPr>
        <w:bidi w:val="0"/>
        <w:rPr>
          <w:rFonts w:asciiTheme="majorBidi" w:hAnsiTheme="majorBidi" w:cstheme="majorBidi"/>
          <w:sz w:val="24"/>
          <w:szCs w:val="24"/>
        </w:rPr>
      </w:pPr>
      <w:r>
        <w:rPr>
          <w:rFonts w:asciiTheme="majorBidi" w:hAnsiTheme="majorBidi" w:cstheme="majorBidi"/>
          <w:sz w:val="24"/>
          <w:szCs w:val="24"/>
        </w:rPr>
        <w:t>Table 1. Taxa under investigation</w:t>
      </w:r>
    </w:p>
    <w:tbl>
      <w:tblPr>
        <w:tblStyle w:val="TableGrid"/>
        <w:tblW w:w="0" w:type="auto"/>
        <w:tblBorders>
          <w:left w:val="none" w:sz="0" w:space="0" w:color="auto"/>
          <w:right w:val="none" w:sz="0" w:space="0" w:color="auto"/>
          <w:insideV w:val="none" w:sz="0" w:space="0" w:color="auto"/>
        </w:tblBorders>
        <w:tblLook w:val="04A0"/>
      </w:tblPr>
      <w:tblGrid>
        <w:gridCol w:w="649"/>
        <w:gridCol w:w="8071"/>
      </w:tblGrid>
      <w:tr w:rsidR="002C7363" w:rsidRPr="00A52CC2" w:rsidTr="002C7363">
        <w:tc>
          <w:tcPr>
            <w:tcW w:w="675" w:type="dxa"/>
          </w:tcPr>
          <w:p w:rsidR="002C7363" w:rsidRPr="00A52CC2" w:rsidRDefault="002C7363" w:rsidP="00355756">
            <w:pPr>
              <w:pStyle w:val="ListParagraph"/>
              <w:ind w:left="0"/>
              <w:rPr>
                <w:rFonts w:asciiTheme="majorBidi" w:hAnsiTheme="majorBidi" w:cstheme="majorBidi"/>
                <w:sz w:val="24"/>
                <w:szCs w:val="24"/>
              </w:rPr>
            </w:pPr>
            <w:r w:rsidRPr="00A52CC2">
              <w:rPr>
                <w:rFonts w:asciiTheme="majorBidi" w:hAnsiTheme="majorBidi" w:cstheme="majorBidi"/>
                <w:sz w:val="24"/>
                <w:szCs w:val="24"/>
              </w:rPr>
              <w:t>No.</w:t>
            </w:r>
          </w:p>
        </w:tc>
        <w:tc>
          <w:tcPr>
            <w:tcW w:w="9464" w:type="dxa"/>
          </w:tcPr>
          <w:p w:rsidR="002C7363" w:rsidRPr="00A52CC2" w:rsidRDefault="002C7363" w:rsidP="00355756">
            <w:pPr>
              <w:bidi w:val="0"/>
              <w:rPr>
                <w:rFonts w:asciiTheme="majorBidi" w:hAnsiTheme="majorBidi" w:cstheme="majorBidi"/>
                <w:sz w:val="24"/>
                <w:szCs w:val="24"/>
              </w:rPr>
            </w:pPr>
            <w:r w:rsidRPr="00A52CC2">
              <w:rPr>
                <w:rFonts w:asciiTheme="majorBidi" w:hAnsiTheme="majorBidi" w:cstheme="majorBidi"/>
                <w:sz w:val="24"/>
                <w:szCs w:val="24"/>
              </w:rPr>
              <w:t>Taxa</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arvensis</w:t>
            </w:r>
            <w:r w:rsidRPr="00A52CC2">
              <w:rPr>
                <w:rFonts w:asciiTheme="majorBidi" w:hAnsiTheme="majorBidi" w:cstheme="majorBidi"/>
                <w:color w:val="000000"/>
                <w:sz w:val="24"/>
                <w:szCs w:val="24"/>
              </w:rPr>
              <w:t> L., Sp. Pl. [Linnaeus] 1: 153 (1753).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color w:val="000000"/>
                <w:sz w:val="24"/>
                <w:szCs w:val="24"/>
              </w:rPr>
            </w:pPr>
            <w:r w:rsidRPr="00A52CC2">
              <w:rPr>
                <w:rFonts w:asciiTheme="majorBidi" w:hAnsiTheme="majorBidi" w:cstheme="majorBidi"/>
                <w:i/>
                <w:iCs/>
                <w:color w:val="000000"/>
                <w:sz w:val="24"/>
                <w:szCs w:val="24"/>
              </w:rPr>
              <w:t>Convolvulus asyrensis</w:t>
            </w:r>
            <w:r w:rsidRPr="00A52CC2">
              <w:rPr>
                <w:rFonts w:asciiTheme="majorBidi" w:hAnsiTheme="majorBidi" w:cstheme="majorBidi"/>
                <w:color w:val="000000"/>
                <w:sz w:val="24"/>
                <w:szCs w:val="24"/>
              </w:rPr>
              <w:t xml:space="preserve"> Kotschy, Sitzungsber. Acad. Wien, Math.-Nat. lii. Abth. I. (8166) 260.</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austroaegyptiacus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Abdallah</w:t>
            </w:r>
            <w:r w:rsidRPr="00A52CC2">
              <w:rPr>
                <w:rFonts w:asciiTheme="majorBidi" w:hAnsiTheme="majorBidi" w:cstheme="majorBidi"/>
                <w:color w:val="000000"/>
                <w:sz w:val="24"/>
                <w:szCs w:val="24"/>
              </w:rPr>
              <w:t> &amp; </w:t>
            </w:r>
            <w:r w:rsidRPr="00A52CC2">
              <w:rPr>
                <w:rFonts w:asciiTheme="majorBidi" w:hAnsiTheme="majorBidi" w:cstheme="majorBidi"/>
                <w:sz w:val="24"/>
                <w:szCs w:val="24"/>
              </w:rPr>
              <w:t>Sa'ad</w:t>
            </w:r>
            <w:r w:rsidRPr="00A52CC2">
              <w:rPr>
                <w:rFonts w:asciiTheme="majorBidi" w:hAnsiTheme="majorBidi" w:cstheme="majorBidi"/>
                <w:color w:val="000000"/>
                <w:sz w:val="24"/>
                <w:szCs w:val="24"/>
              </w:rPr>
              <w:t xml:space="preserve"> , </w:t>
            </w:r>
            <w:r w:rsidRPr="00A52CC2">
              <w:rPr>
                <w:rFonts w:asciiTheme="majorBidi" w:hAnsiTheme="majorBidi" w:cstheme="majorBidi"/>
                <w:sz w:val="24"/>
                <w:szCs w:val="24"/>
              </w:rPr>
              <w:t>Acta Bot. Neerl.</w:t>
            </w:r>
            <w:r w:rsidRPr="00A52CC2">
              <w:rPr>
                <w:rFonts w:asciiTheme="majorBidi" w:hAnsiTheme="majorBidi" w:cstheme="majorBidi"/>
                <w:color w:val="000000"/>
                <w:sz w:val="24"/>
                <w:szCs w:val="24"/>
              </w:rPr>
              <w:t> 15: 190 (1966).</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cephalopodus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Boiss.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Diagn. Pl. Orient.</w:t>
            </w:r>
            <w:r w:rsidRPr="00A52CC2">
              <w:rPr>
                <w:rFonts w:asciiTheme="majorBidi" w:hAnsiTheme="majorBidi" w:cstheme="majorBidi"/>
                <w:color w:val="000000"/>
                <w:sz w:val="24"/>
                <w:szCs w:val="24"/>
              </w:rPr>
              <w:t> ser. 1, 7: 24 (1846).</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excelsus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R.R.Mill</w:t>
            </w:r>
            <w:r w:rsidRPr="00A52CC2">
              <w:rPr>
                <w:rFonts w:asciiTheme="majorBidi" w:hAnsiTheme="majorBidi" w:cstheme="majorBidi"/>
                <w:color w:val="000000"/>
                <w:sz w:val="24"/>
                <w:szCs w:val="24"/>
              </w:rPr>
              <w:t>, </w:t>
            </w:r>
            <w:r w:rsidRPr="00A52CC2">
              <w:rPr>
                <w:rFonts w:asciiTheme="majorBidi" w:hAnsiTheme="majorBidi" w:cstheme="majorBidi"/>
                <w:sz w:val="24"/>
                <w:szCs w:val="24"/>
              </w:rPr>
              <w:t>Edinburgh J. Bot.</w:t>
            </w:r>
            <w:r w:rsidRPr="00A52CC2">
              <w:rPr>
                <w:rFonts w:asciiTheme="majorBidi" w:hAnsiTheme="majorBidi" w:cstheme="majorBidi"/>
                <w:color w:val="000000"/>
                <w:sz w:val="24"/>
                <w:szCs w:val="24"/>
              </w:rPr>
              <w:t> 70(2): 368 (2013).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fatmensis</w:t>
            </w:r>
            <w:r w:rsidRPr="00A52CC2">
              <w:rPr>
                <w:rFonts w:asciiTheme="majorBidi" w:hAnsiTheme="majorBidi" w:cstheme="majorBidi"/>
                <w:color w:val="000000"/>
                <w:sz w:val="24"/>
                <w:szCs w:val="24"/>
              </w:rPr>
              <w:t xml:space="preserve"> Kunze, Flora 23(1): 172 (1840). </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glomeratus </w:t>
            </w:r>
            <w:r w:rsidRPr="00A52CC2">
              <w:rPr>
                <w:rFonts w:asciiTheme="majorBidi" w:hAnsiTheme="majorBidi" w:cstheme="majorBidi"/>
                <w:color w:val="000000"/>
                <w:sz w:val="24"/>
                <w:szCs w:val="24"/>
              </w:rPr>
              <w:t>Thunb., Mus. Nat. Acad. Upsal. App. 17: 4 (1809)</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hamrinensis </w:t>
            </w:r>
            <w:r w:rsidRPr="00A52CC2">
              <w:rPr>
                <w:rFonts w:asciiTheme="majorBidi" w:hAnsiTheme="majorBidi" w:cstheme="majorBidi"/>
                <w:color w:val="000000"/>
                <w:sz w:val="24"/>
                <w:szCs w:val="24"/>
              </w:rPr>
              <w:t>Rech.f., Anz. Österr. Akad. Wiss., Math.-Naturwiss. Kl. xcviii. 11 (1961).</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hystrix</w:t>
            </w:r>
            <w:r w:rsidRPr="00A52CC2">
              <w:rPr>
                <w:rFonts w:asciiTheme="majorBidi" w:hAnsiTheme="majorBidi" w:cstheme="majorBidi"/>
                <w:color w:val="000000"/>
                <w:sz w:val="24"/>
                <w:szCs w:val="24"/>
              </w:rPr>
              <w:t xml:space="preserve"> Vahl, Symb. Bot. (Vahl) 1: 16 (1790).</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oxyphyllus </w:t>
            </w:r>
            <w:r w:rsidRPr="00A52CC2">
              <w:rPr>
                <w:rFonts w:asciiTheme="majorBidi" w:hAnsiTheme="majorBidi" w:cstheme="majorBidi"/>
                <w:color w:val="000000"/>
                <w:sz w:val="24"/>
                <w:szCs w:val="24"/>
              </w:rPr>
              <w:t xml:space="preserve"> subsp. </w:t>
            </w:r>
            <w:r w:rsidRPr="00E50A72">
              <w:rPr>
                <w:rFonts w:asciiTheme="majorBidi" w:hAnsiTheme="majorBidi" w:cstheme="majorBidi"/>
                <w:i/>
                <w:iCs/>
                <w:color w:val="000000"/>
                <w:sz w:val="24"/>
                <w:szCs w:val="24"/>
              </w:rPr>
              <w:t>oxycladus</w:t>
            </w:r>
            <w:r w:rsidRPr="00A52CC2">
              <w:rPr>
                <w:rFonts w:asciiTheme="majorBidi" w:hAnsiTheme="majorBidi" w:cstheme="majorBidi"/>
                <w:color w:val="000000"/>
                <w:sz w:val="24"/>
                <w:szCs w:val="24"/>
              </w:rPr>
              <w:t> Rech.f., Anz. Österr. Akad. Wiss., Math.-Naturwiss. Kl. 23: 11 (1961).</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oxyphyllus </w:t>
            </w:r>
            <w:r w:rsidRPr="00A52CC2">
              <w:rPr>
                <w:rFonts w:asciiTheme="majorBidi" w:hAnsiTheme="majorBidi" w:cstheme="majorBidi"/>
                <w:color w:val="000000"/>
                <w:sz w:val="24"/>
                <w:szCs w:val="24"/>
              </w:rPr>
              <w:t xml:space="preserve">subsp. </w:t>
            </w:r>
            <w:r w:rsidRPr="00E50A72">
              <w:rPr>
                <w:rFonts w:asciiTheme="majorBidi" w:hAnsiTheme="majorBidi" w:cstheme="majorBidi"/>
                <w:i/>
                <w:iCs/>
                <w:color w:val="000000"/>
                <w:sz w:val="24"/>
                <w:szCs w:val="24"/>
              </w:rPr>
              <w:t>sheilae</w:t>
            </w:r>
            <w:r w:rsidRPr="00A52CC2">
              <w:rPr>
                <w:rFonts w:asciiTheme="majorBidi" w:hAnsiTheme="majorBidi" w:cstheme="majorBidi"/>
                <w:color w:val="000000"/>
                <w:sz w:val="24"/>
                <w:szCs w:val="24"/>
              </w:rPr>
              <w:t xml:space="preserve"> R.R.Mill, Edinburgh J. Bot. 70(2): 376 (2013).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pilosellifolius </w:t>
            </w:r>
            <w:r w:rsidRPr="00A52CC2">
              <w:rPr>
                <w:rFonts w:asciiTheme="majorBidi" w:hAnsiTheme="majorBidi" w:cstheme="majorBidi"/>
                <w:color w:val="000000"/>
                <w:sz w:val="24"/>
                <w:szCs w:val="24"/>
              </w:rPr>
              <w:t>Desr., Encycl. [J. Lamarck &amp; al.] 3(2): 551 (1792).</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prostratus</w:t>
            </w:r>
            <w:r w:rsidRPr="00A52CC2">
              <w:rPr>
                <w:rFonts w:asciiTheme="majorBidi" w:hAnsiTheme="majorBidi" w:cstheme="majorBidi"/>
                <w:color w:val="000000"/>
                <w:sz w:val="24"/>
                <w:szCs w:val="24"/>
              </w:rPr>
              <w:t> Forssk., Fl. Aegypt.-Arab. 203 (1775).</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rhyniospermus </w:t>
            </w:r>
            <w:r w:rsidRPr="00A52CC2">
              <w:rPr>
                <w:rFonts w:asciiTheme="majorBidi" w:hAnsiTheme="majorBidi" w:cstheme="majorBidi"/>
                <w:color w:val="000000"/>
                <w:sz w:val="24"/>
                <w:szCs w:val="24"/>
              </w:rPr>
              <w:t>Hochst. ex Choisy, Prodr. [A. P. de Candolle] 9: 405 (1845).</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sagittatus </w:t>
            </w:r>
            <w:r w:rsidRPr="00A52CC2">
              <w:rPr>
                <w:rFonts w:asciiTheme="majorBidi" w:hAnsiTheme="majorBidi" w:cstheme="majorBidi"/>
                <w:color w:val="000000"/>
                <w:sz w:val="24"/>
                <w:szCs w:val="24"/>
              </w:rPr>
              <w:t>Thunb., Prodr. Pl. Cap. 1: 35 (1794).</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siculus </w:t>
            </w:r>
            <w:r w:rsidRPr="00A52CC2">
              <w:rPr>
                <w:rFonts w:asciiTheme="majorBidi" w:hAnsiTheme="majorBidi" w:cstheme="majorBidi"/>
                <w:color w:val="000000"/>
                <w:sz w:val="24"/>
                <w:szCs w:val="24"/>
              </w:rPr>
              <w:t xml:space="preserve">subsp. </w:t>
            </w:r>
            <w:r w:rsidRPr="00A20584">
              <w:rPr>
                <w:rFonts w:asciiTheme="majorBidi" w:hAnsiTheme="majorBidi" w:cstheme="majorBidi"/>
                <w:i/>
                <w:iCs/>
                <w:color w:val="000000"/>
                <w:sz w:val="24"/>
                <w:szCs w:val="24"/>
              </w:rPr>
              <w:t>agrestis</w:t>
            </w:r>
            <w:r w:rsidRPr="00A52CC2">
              <w:rPr>
                <w:rFonts w:asciiTheme="majorBidi" w:hAnsiTheme="majorBidi" w:cstheme="majorBidi"/>
                <w:color w:val="000000"/>
                <w:sz w:val="24"/>
                <w:szCs w:val="24"/>
              </w:rPr>
              <w:t xml:space="preserve"> (Schweinf.) Verdc., Kew Bull.12: 344 (1957).</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siculus</w:t>
            </w:r>
            <w:r>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subsp.</w:t>
            </w:r>
            <w:r>
              <w:rPr>
                <w:rFonts w:asciiTheme="majorBidi" w:hAnsiTheme="majorBidi" w:cstheme="majorBidi"/>
                <w:color w:val="000000"/>
                <w:sz w:val="24"/>
                <w:szCs w:val="24"/>
              </w:rPr>
              <w:t xml:space="preserve"> </w:t>
            </w:r>
            <w:r w:rsidRPr="00A52CC2">
              <w:rPr>
                <w:rFonts w:asciiTheme="majorBidi" w:hAnsiTheme="majorBidi" w:cstheme="majorBidi"/>
                <w:i/>
                <w:iCs/>
                <w:color w:val="000000"/>
                <w:sz w:val="24"/>
                <w:szCs w:val="24"/>
              </w:rPr>
              <w:t>siculus</w:t>
            </w:r>
            <w:r w:rsidRPr="00A52CC2">
              <w:rPr>
                <w:rFonts w:asciiTheme="majorBidi" w:hAnsiTheme="majorBidi" w:cstheme="majorBidi"/>
                <w:color w:val="000000"/>
                <w:sz w:val="24"/>
                <w:szCs w:val="24"/>
              </w:rPr>
              <w:t xml:space="preserve"> L., Sp. Pl. [Linnaeus] 1: 156 (1753).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spicatus </w:t>
            </w:r>
            <w:r w:rsidRPr="00A52CC2">
              <w:rPr>
                <w:rFonts w:asciiTheme="majorBidi" w:hAnsiTheme="majorBidi" w:cstheme="majorBidi"/>
                <w:color w:val="000000"/>
                <w:sz w:val="24"/>
                <w:szCs w:val="24"/>
              </w:rPr>
              <w:t>Peter ex Hallier f., Bot. Jahrb. Syst. 18(1-2): 99 (1893).</w:t>
            </w:r>
          </w:p>
        </w:tc>
      </w:tr>
    </w:tbl>
    <w:p w:rsidR="002C7363" w:rsidRDefault="002C7363" w:rsidP="00355756">
      <w:pPr>
        <w:bidi w:val="0"/>
        <w:rPr>
          <w:rFonts w:asciiTheme="majorBidi" w:hAnsiTheme="majorBidi" w:cstheme="majorBidi"/>
          <w:sz w:val="24"/>
          <w:szCs w:val="24"/>
        </w:rPr>
      </w:pPr>
    </w:p>
    <w:p w:rsidR="009D5BB6" w:rsidRPr="00D57D14" w:rsidRDefault="009D5BB6" w:rsidP="009D5BB6">
      <w:pPr>
        <w:bidi w:val="0"/>
        <w:spacing w:after="0" w:line="360" w:lineRule="auto"/>
        <w:jc w:val="both"/>
        <w:rPr>
          <w:rFonts w:asciiTheme="majorBidi" w:eastAsia="Times New Roman" w:hAnsiTheme="majorBidi" w:cstheme="majorBidi"/>
          <w:sz w:val="24"/>
          <w:szCs w:val="24"/>
        </w:rPr>
      </w:pPr>
    </w:p>
    <w:p w:rsidR="002F0B00" w:rsidRPr="005960EA" w:rsidRDefault="00A40087" w:rsidP="005960EA">
      <w:pPr>
        <w:bidi w:val="0"/>
        <w:spacing w:after="0" w:line="360" w:lineRule="auto"/>
        <w:jc w:val="both"/>
        <w:rPr>
          <w:rFonts w:asciiTheme="majorBidi" w:hAnsiTheme="majorBidi" w:cstheme="majorBidi"/>
          <w:sz w:val="24"/>
          <w:szCs w:val="24"/>
        </w:rPr>
      </w:pPr>
      <w:r w:rsidRPr="005960EA">
        <w:rPr>
          <w:rFonts w:asciiTheme="majorBidi" w:eastAsia="Times New Roman" w:hAnsiTheme="majorBidi" w:cstheme="majorBidi"/>
          <w:sz w:val="24"/>
          <w:szCs w:val="24"/>
        </w:rPr>
        <w:tab/>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morphological attributes of the whole plant, were described from the herbarium specimens that were matched with text books and some of published literatures such as </w:t>
      </w:r>
      <w:r w:rsidR="00890381" w:rsidRPr="005960EA">
        <w:rPr>
          <w:rFonts w:asciiTheme="majorBidi" w:hAnsiTheme="majorBidi" w:cstheme="majorBidi"/>
          <w:sz w:val="24"/>
          <w:szCs w:val="24"/>
        </w:rPr>
        <w:fldChar w:fldCharType="begin" w:fldLock="1"/>
      </w:r>
      <w:r w:rsidR="00F76AFF" w:rsidRPr="005960EA">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960EA">
        <w:rPr>
          <w:rFonts w:asciiTheme="majorBidi" w:hAnsi="Tahoma" w:cstheme="majorBidi"/>
          <w:sz w:val="24"/>
          <w:szCs w:val="24"/>
        </w:rPr>
        <w:instrText>�</w:instrText>
      </w:r>
      <w:r w:rsidR="00F76AFF" w:rsidRPr="005960EA">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id":"ITEM-3","itemData":{"author":[{"dropping-particle":"","family":"Rabei","given":"Sami","non-dropping-particle":"","parse-names":false,"suffix":""},{"dropping-particle":"","family":"Khalik","given":"Kadry Abdel","non-dropping-particle":"","parse-names":false,"suffix":""}],"container-title":"Fl. Medit","id":"ITEM-3","issued":{"date-parts":[["2012"]]},"page":"45-62","title":"Conventional keys for Convolvulaceae in the flora of Egypt","type":"article-journal","volume":"22"},"uris":["http://www.mendeley.com/documents/?uuid=58c40fd5-0abc-4e51-8c35-f503ee4632e8"]}],"mendeley":{"formattedCitation":"(Chaudhary, 1999; Collenette, 1999; Rabei &amp; Khalik, 2012)","plainTextFormattedCitation":"(Chaudhary, 1999; Collenette, 1999; Rabei &amp; Khalik, 2012)","previouslyFormattedCitation":"(Chaudhary, 1999; Collenette, 1999; Rabei &amp; Khalik, 2012)"},"properties":{"noteIndex":0},"schema":"https://github.com/citation-style-language/schema/raw/master/csl-citation.json"}</w:instrText>
      </w:r>
      <w:r w:rsidR="00890381" w:rsidRPr="005960EA">
        <w:rPr>
          <w:rFonts w:asciiTheme="majorBidi" w:hAnsiTheme="majorBidi" w:cstheme="majorBidi"/>
          <w:sz w:val="24"/>
          <w:szCs w:val="24"/>
        </w:rPr>
        <w:fldChar w:fldCharType="separate"/>
      </w:r>
      <w:r w:rsidR="00F76AFF" w:rsidRPr="005960EA">
        <w:rPr>
          <w:rFonts w:asciiTheme="majorBidi" w:hAnsiTheme="majorBidi" w:cstheme="majorBidi"/>
          <w:noProof/>
          <w:sz w:val="24"/>
          <w:szCs w:val="24"/>
        </w:rPr>
        <w:t>(Chaudhary, 1999; Collenette, 1999; Rabei &amp; Khalik, 2012)</w:t>
      </w:r>
      <w:r w:rsidR="00890381" w:rsidRPr="005960EA">
        <w:rPr>
          <w:rFonts w:asciiTheme="majorBidi" w:hAnsiTheme="majorBidi" w:cstheme="majorBidi"/>
          <w:sz w:val="24"/>
          <w:szCs w:val="24"/>
        </w:rPr>
        <w:fldChar w:fldCharType="end"/>
      </w:r>
      <w:r w:rsidR="00E46F7D" w:rsidRPr="005960EA">
        <w:rPr>
          <w:rFonts w:asciiTheme="majorBidi" w:eastAsia="Times New Roman" w:hAnsiTheme="majorBidi" w:cstheme="majorBidi"/>
          <w:sz w:val="24"/>
          <w:szCs w:val="24"/>
        </w:rPr>
        <w:t>.</w:t>
      </w:r>
      <w:r w:rsidR="00F44934" w:rsidRPr="005960EA">
        <w:rPr>
          <w:rFonts w:asciiTheme="majorBidi" w:eastAsia="Times New Roman" w:hAnsiTheme="majorBidi" w:cstheme="majorBidi"/>
          <w:sz w:val="24"/>
          <w:szCs w:val="24"/>
        </w:rPr>
        <w:t xml:space="preserve"> </w:t>
      </w:r>
      <w:r w:rsidR="00F44934" w:rsidRPr="005960EA">
        <w:rPr>
          <w:rStyle w:val="normaltextrun"/>
          <w:rFonts w:asciiTheme="majorBidi" w:hAnsiTheme="majorBidi" w:cstheme="majorBidi"/>
          <w:sz w:val="24"/>
          <w:szCs w:val="24"/>
          <w:shd w:val="clear" w:color="auto" w:fill="FFFFFF"/>
        </w:rPr>
        <w:t>All collected data were systematically organized and tabulated in Microsoft Excel for subsequent analysis</w:t>
      </w:r>
      <w:r w:rsidR="00F44934" w:rsidRPr="005960EA">
        <w:rPr>
          <w:rFonts w:asciiTheme="majorBidi" w:eastAsia="Times New Roman" w:hAnsiTheme="majorBidi" w:cstheme="majorBidi"/>
          <w:sz w:val="24"/>
          <w:szCs w:val="24"/>
        </w:rPr>
        <w:t>.</w:t>
      </w:r>
      <w:r w:rsidR="000C63D0" w:rsidRPr="005960EA">
        <w:rPr>
          <w:rFonts w:asciiTheme="majorBidi" w:eastAsia="Times New Roman" w:hAnsiTheme="majorBidi" w:cstheme="majorBidi"/>
          <w:sz w:val="24"/>
          <w:szCs w:val="24"/>
        </w:rPr>
        <w:t xml:space="preserve"> </w:t>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photographs of the studied taxa were made from herbaria representatives. </w:t>
      </w:r>
      <w:r w:rsidR="005960EA" w:rsidRPr="005960EA">
        <w:rPr>
          <w:rFonts w:asciiTheme="majorBidi" w:hAnsiTheme="majorBidi" w:cstheme="majorBidi"/>
          <w:sz w:val="24"/>
          <w:szCs w:val="24"/>
        </w:rPr>
        <w:t>Table (2) summarizes the clearly observable (126) character states of (52) morphological characters together with their codes</w:t>
      </w:r>
      <w:r w:rsidR="00E46F7D" w:rsidRPr="005960EA">
        <w:rPr>
          <w:rFonts w:asciiTheme="majorBidi" w:eastAsia="Times New Roman" w:hAnsiTheme="majorBidi" w:cstheme="majorBidi"/>
          <w:sz w:val="24"/>
          <w:szCs w:val="24"/>
        </w:rPr>
        <w:t>.</w:t>
      </w:r>
      <w:r w:rsidR="00E46F7D" w:rsidRPr="005960EA">
        <w:rPr>
          <w:rFonts w:asciiTheme="majorBidi" w:hAnsiTheme="majorBidi" w:cstheme="majorBidi"/>
          <w:sz w:val="24"/>
          <w:szCs w:val="24"/>
        </w:rPr>
        <w:t xml:space="preserve"> </w:t>
      </w:r>
      <w:r w:rsidR="005960EA" w:rsidRPr="005960EA">
        <w:rPr>
          <w:rFonts w:asciiTheme="majorBidi" w:hAnsiTheme="majorBidi" w:cstheme="majorBidi"/>
          <w:sz w:val="24"/>
          <w:szCs w:val="24"/>
        </w:rPr>
        <w:t xml:space="preserve">Phenetic analysis was performed on the morphological character states </w:t>
      </w:r>
      <w:r w:rsidR="006310FB" w:rsidRPr="005960EA">
        <w:rPr>
          <w:rStyle w:val="fontstyle01"/>
          <w:rFonts w:asciiTheme="majorBidi" w:hAnsiTheme="majorBidi" w:cstheme="majorBidi"/>
          <w:color w:val="auto"/>
          <w:sz w:val="24"/>
          <w:szCs w:val="24"/>
        </w:rPr>
        <w:t xml:space="preserve">to draw the interrelationships among the studied taxa of </w:t>
      </w:r>
      <w:r w:rsidR="006310FB" w:rsidRPr="005960EA">
        <w:rPr>
          <w:rStyle w:val="Emphasis"/>
          <w:rFonts w:asciiTheme="majorBidi" w:hAnsiTheme="majorBidi" w:cstheme="majorBidi"/>
          <w:sz w:val="24"/>
          <w:szCs w:val="24"/>
        </w:rPr>
        <w:t>Convolvulus</w:t>
      </w:r>
      <w:r w:rsidR="006310FB" w:rsidRPr="005960EA">
        <w:rPr>
          <w:rFonts w:asciiTheme="majorBidi" w:hAnsiTheme="majorBidi" w:cstheme="majorBidi"/>
          <w:sz w:val="24"/>
          <w:szCs w:val="24"/>
        </w:rPr>
        <w:t xml:space="preserve"> L</w:t>
      </w:r>
      <w:r w:rsidR="006310FB" w:rsidRPr="005960EA">
        <w:rPr>
          <w:rStyle w:val="fontstyle01"/>
          <w:rFonts w:asciiTheme="majorBidi" w:hAnsiTheme="majorBidi" w:cstheme="majorBidi"/>
          <w:color w:val="auto"/>
          <w:sz w:val="24"/>
          <w:szCs w:val="24"/>
        </w:rPr>
        <w:t xml:space="preserve">. In addition to </w:t>
      </w:r>
      <w:r w:rsidR="006310FB" w:rsidRPr="005960EA">
        <w:rPr>
          <w:rFonts w:asciiTheme="majorBidi" w:hAnsiTheme="majorBidi" w:cstheme="majorBidi"/>
          <w:sz w:val="24"/>
          <w:szCs w:val="24"/>
        </w:rPr>
        <w:t>Principal Component Analysis (PCA) to summarize phenotypic variation and identify diagnostic traits</w:t>
      </w:r>
      <w:r w:rsidR="00E46F7D" w:rsidRPr="005960EA">
        <w:rPr>
          <w:rStyle w:val="fontstyle01"/>
          <w:rFonts w:asciiTheme="majorBidi" w:hAnsiTheme="majorBidi" w:cstheme="majorBidi"/>
          <w:color w:val="auto"/>
          <w:sz w:val="24"/>
          <w:szCs w:val="24"/>
        </w:rPr>
        <w:t xml:space="preserve"> using PAleontological STatistics Version 3.23 </w:t>
      </w:r>
      <w:r w:rsidR="00890381" w:rsidRPr="005960EA">
        <w:rPr>
          <w:rStyle w:val="fontstyle01"/>
          <w:rFonts w:asciiTheme="majorBidi" w:hAnsiTheme="majorBidi" w:cstheme="majorBidi"/>
          <w:color w:val="auto"/>
          <w:sz w:val="24"/>
          <w:szCs w:val="24"/>
        </w:rPr>
        <w:fldChar w:fldCharType="begin" w:fldLock="1"/>
      </w:r>
      <w:r w:rsidR="00F76AFF" w:rsidRPr="005960EA">
        <w:rPr>
          <w:rStyle w:val="fontstyle01"/>
          <w:rFonts w:asciiTheme="majorBidi" w:hAnsiTheme="majorBidi" w:cstheme="majorBidi"/>
          <w:color w:val="auto"/>
          <w:sz w:val="24"/>
          <w:szCs w:val="24"/>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890381" w:rsidRPr="005960EA">
        <w:rPr>
          <w:rStyle w:val="fontstyle01"/>
          <w:rFonts w:asciiTheme="majorBidi" w:hAnsiTheme="majorBidi" w:cstheme="majorBidi"/>
          <w:color w:val="auto"/>
          <w:sz w:val="24"/>
          <w:szCs w:val="24"/>
        </w:rPr>
        <w:fldChar w:fldCharType="separate"/>
      </w:r>
      <w:r w:rsidR="00F76AFF" w:rsidRPr="005960EA">
        <w:rPr>
          <w:rStyle w:val="fontstyle01"/>
          <w:rFonts w:asciiTheme="majorBidi" w:hAnsiTheme="majorBidi" w:cstheme="majorBidi"/>
          <w:noProof/>
          <w:color w:val="auto"/>
          <w:sz w:val="24"/>
          <w:szCs w:val="24"/>
        </w:rPr>
        <w:t>(Hammer et al., 2001)</w:t>
      </w:r>
      <w:r w:rsidR="00890381" w:rsidRPr="005960EA">
        <w:rPr>
          <w:rStyle w:val="fontstyle01"/>
          <w:rFonts w:asciiTheme="majorBidi" w:hAnsiTheme="majorBidi" w:cstheme="majorBidi"/>
          <w:color w:val="auto"/>
          <w:sz w:val="24"/>
          <w:szCs w:val="24"/>
        </w:rPr>
        <w:fldChar w:fldCharType="end"/>
      </w:r>
      <w:r w:rsidR="00E46F7D" w:rsidRPr="005960EA">
        <w:rPr>
          <w:rStyle w:val="fontstyle01"/>
          <w:rFonts w:asciiTheme="majorBidi" w:hAnsiTheme="majorBidi" w:cstheme="majorBidi"/>
          <w:color w:val="auto"/>
          <w:sz w:val="24"/>
          <w:szCs w:val="24"/>
        </w:rPr>
        <w:t>.</w:t>
      </w:r>
    </w:p>
    <w:p w:rsidR="008B1E54" w:rsidRDefault="008B1E54" w:rsidP="00AA78D4">
      <w:pPr>
        <w:bidi w:val="0"/>
        <w:rPr>
          <w:rFonts w:asciiTheme="majorBidi" w:hAnsiTheme="majorBidi" w:cstheme="majorBidi"/>
          <w:sz w:val="24"/>
          <w:szCs w:val="24"/>
        </w:rPr>
      </w:pPr>
    </w:p>
    <w:p w:rsidR="002C7363" w:rsidRPr="00AA78D4" w:rsidRDefault="002C7363" w:rsidP="008B1E54">
      <w:pPr>
        <w:bidi w:val="0"/>
        <w:rPr>
          <w:rStyle w:val="fontstyle01"/>
          <w:rFonts w:asciiTheme="majorBidi" w:hAnsiTheme="majorBidi" w:cstheme="majorBidi"/>
          <w:sz w:val="24"/>
          <w:szCs w:val="24"/>
        </w:rPr>
      </w:pPr>
      <w:r w:rsidRPr="00AA78D4">
        <w:rPr>
          <w:rFonts w:asciiTheme="majorBidi" w:hAnsiTheme="majorBidi" w:cstheme="majorBidi"/>
          <w:sz w:val="24"/>
          <w:szCs w:val="24"/>
        </w:rPr>
        <w:t xml:space="preserve">Table </w:t>
      </w:r>
      <w:r>
        <w:rPr>
          <w:rFonts w:asciiTheme="majorBidi" w:hAnsiTheme="majorBidi" w:cstheme="majorBidi"/>
          <w:sz w:val="24"/>
          <w:szCs w:val="24"/>
        </w:rPr>
        <w:t>2</w:t>
      </w:r>
      <w:r w:rsidRPr="00AA78D4">
        <w:rPr>
          <w:rFonts w:asciiTheme="majorBidi" w:hAnsiTheme="majorBidi" w:cstheme="majorBidi"/>
          <w:sz w:val="24"/>
          <w:szCs w:val="24"/>
        </w:rPr>
        <w:t>. The extracted morphological characters, their states and codes of the studied taxa.</w:t>
      </w:r>
    </w:p>
    <w:tbl>
      <w:tblPr>
        <w:tblStyle w:val="TableGrid"/>
        <w:tblW w:w="0" w:type="auto"/>
        <w:tblBorders>
          <w:left w:val="none" w:sz="0" w:space="0" w:color="auto"/>
          <w:right w:val="none" w:sz="0" w:space="0" w:color="auto"/>
          <w:insideV w:val="none" w:sz="0" w:space="0" w:color="auto"/>
        </w:tblBorders>
        <w:tblLook w:val="04A0"/>
      </w:tblPr>
      <w:tblGrid>
        <w:gridCol w:w="675"/>
        <w:gridCol w:w="7847"/>
      </w:tblGrid>
      <w:tr w:rsidR="002C7363" w:rsidRPr="00217D2C" w:rsidTr="008B1E54">
        <w:tc>
          <w:tcPr>
            <w:tcW w:w="675" w:type="dxa"/>
          </w:tcPr>
          <w:p w:rsidR="002C7363" w:rsidRPr="00AB5288" w:rsidRDefault="002C7363" w:rsidP="00355756">
            <w:pPr>
              <w:pStyle w:val="ListParagraph"/>
              <w:ind w:left="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No.</w:t>
            </w: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Pr>
                <w:rStyle w:val="fontstyle01"/>
                <w:rFonts w:asciiTheme="majorBidi" w:hAnsiTheme="majorBidi" w:cstheme="majorBidi"/>
                <w:sz w:val="24"/>
                <w:szCs w:val="24"/>
              </w:rPr>
              <w:t>C</w:t>
            </w:r>
            <w:r w:rsidRPr="00F508B1">
              <w:rPr>
                <w:rStyle w:val="fontstyle01"/>
                <w:rFonts w:asciiTheme="majorBidi" w:hAnsiTheme="majorBidi" w:cstheme="majorBidi"/>
                <w:sz w:val="24"/>
                <w:szCs w:val="24"/>
              </w:rPr>
              <w:t>haracters</w:t>
            </w:r>
            <w:r>
              <w:rPr>
                <w:rStyle w:val="fontstyle01"/>
                <w:rFonts w:asciiTheme="majorBidi" w:hAnsiTheme="majorBidi" w:cstheme="majorBidi"/>
                <w:sz w:val="24"/>
                <w:szCs w:val="24"/>
              </w:rPr>
              <w:t>,</w:t>
            </w:r>
            <w:r w:rsidRPr="00F508B1">
              <w:rPr>
                <w:rStyle w:val="fontstyle01"/>
                <w:rFonts w:asciiTheme="majorBidi" w:hAnsiTheme="majorBidi" w:cstheme="majorBidi"/>
                <w:sz w:val="24"/>
                <w:szCs w:val="24"/>
              </w:rPr>
              <w:t xml:space="preserve"> their character states</w:t>
            </w:r>
            <w:r>
              <w:rPr>
                <w:rStyle w:val="fontstyle01"/>
                <w:rFonts w:asciiTheme="majorBidi" w:hAnsiTheme="majorBidi" w:cstheme="majorBidi"/>
                <w:sz w:val="24"/>
                <w:szCs w:val="24"/>
              </w:rPr>
              <w:t xml:space="preserve"> and codes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 1. Parasite/ 2. Not parasite/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Chlorophyll/ 1. Non-chlorophyllous </w:t>
            </w:r>
            <w:r w:rsidRPr="00217D2C">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2. </w:t>
            </w:r>
            <w:r w:rsidRPr="00217D2C">
              <w:rPr>
                <w:rFonts w:asciiTheme="majorBidi" w:eastAsia="Times New Roman" w:hAnsiTheme="majorBidi" w:cstheme="majorBidi"/>
                <w:color w:val="000000"/>
                <w:sz w:val="24"/>
                <w:szCs w:val="24"/>
              </w:rPr>
              <w:t>chlorophyllous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 1. Annual/ 2. annual or short lived perennial/ 3. Perennial/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 1. herb/ 2. sub-shrub/ 3. shrub/</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 1. Herbaceous/ 2. Woody/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r w:rsidRPr="00217D2C">
              <w:rPr>
                <w:rFonts w:asciiTheme="majorBidi" w:eastAsia="Times New Roman" w:hAnsiTheme="majorBidi" w:cstheme="majorBidi"/>
                <w:color w:val="000000"/>
                <w:sz w:val="24"/>
                <w:szCs w:val="24"/>
              </w:rPr>
              <w:t>/ 1. Prostrate/ 2. Prostrate to twining/ 3. Twining/ 4. Climbing/ 5. Prostrate to ascending/ 6. Ascending/ 7. Ascending to erect/ 8. Erect/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 1. Rhizomatous/ 2. Not rhizomatous/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 1. Spinescent/ 2. Not spinescent/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r w:rsidRPr="00217D2C">
              <w:rPr>
                <w:rFonts w:asciiTheme="majorBidi" w:eastAsia="Times New Roman" w:hAnsiTheme="majorBidi" w:cstheme="majorBidi"/>
                <w:color w:val="000000"/>
                <w:sz w:val="24"/>
                <w:szCs w:val="24"/>
              </w:rPr>
              <w:t>/ 1. Glabrous/ 2. Glabrous to sparsely hairs/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Hairs patent/ 1. Spreading/ 2. Appressd/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 shape/ 1. Simple/ 2. Simple and glandular/ 3. Simple and vasculate/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 1. Rosette-forming/ 2. No rosette/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petiole/1. Sessile/ 2. Sessile to short petiolate/ 3. Petiolate/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 1. Pinnate/ 2. Palmate/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 1. Linear to lanceolate/ 2. Oblong to lanceolate/ 3. Ovate to lanceolate/ 4. Spathulate to oblanceolate/ 5. Sagittate to hastate/ 6. Cordate to sagittate/ 7. Cordate to ovate/ 8. Reniform to elliptical/ 9. Reniform/ 10. Orbicular/</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 1. Mucronate/ 2. Acuminate/ 3. Apiculate/ 4. Acute to acuminate/ 5. Acute/ 6. Obtuse to acute/ 7. Obtuse/ 8. Retuse/ 9. Emarginate/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 1. Entire/ 2. Crenate/ 3. Dentate to crenate/ 4. Undulate/ 5. Crenate to lobed/ 6. Dissected or divided/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 1. Terminal/ 2. Terminal and axillary/ 3. Axillary/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 1. Solitary/ 2. Solitary or in pairs/ 3. 2 to 10/ 4. more than 10/</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 1. Sessile/ 2. Sessile to short-pedicellate/ 3. Pedicellate/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 1. Lanceolate/ 2. Lanceolate to oblong/ 3. Oblong/ 4. Oblong to obovate/ 5. Obovate/ 6. Ovate/ 7. Cordate to ovate/ 8. Orbicular to ovate/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 1. Acuminate/ 2. Apiculate/ 3. Acute/ 4. Obtuse to acute to mucronate/ 5. Obtuse/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 1. Glabrous/ 2. Glabrous to sparsely hairs/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 1. Erect/ 2. Erect to spreading/ 3. Spreading/</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 1. Funnel- shape/ 2. Campanulate/ 3. Tubular shape/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 1. Deeply lobed/ 2. Shallowly lobed or bifid/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colour/ 1. White/ 2. Yellow to white/ 3. Yellow/ 4. Yellow to brown/ 5. Pink/ 6. Pink to white/ 7. Violet/ 8. Violet to pink/ 9. Blue/ 10. Blue to pink or white/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 1. Glabrous/ 2. Glabrous with hairy bands outside/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 1. Glabrous/ 2. With sessile glandular hairs at the base/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 1. Globose/ 2. Sagittate/ 3. Oblong to sagittate/ 4. Oblong/</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 1. Included/ 2. Exserted/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 1. One/ 2. Two/</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 1. Filiform/ 2. Stout/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 1. Glabrous/ 2.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 1. Shorter than stigma/ 2. Equal the stigma/ 3. Longer than stigma/</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 1. Forked/ 2. Not forked/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 1. One or bi-lobed/ 2. 2/ 3. 4/</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 1. Filiform/ 2. Cylindrical/ 3. Clavate to cylindrical/ 4. Clavate/ 5. Globose/ 6. Capitate/ 7. Peltate/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 1. Dehiscent/ 2. Indehiscent/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 1. Globose/ 2. Subglobose/ 3. Obovate/ 4. Oblong/ 5. Conical/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 1. 1/ 2. 2/ 3. 2–3/ 4. 3/</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Persistent calyx/ 1. Appressd/ 2. Erect/ 3. Erect to spreading/ 4. Spreading/ 5. Recurved/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 1. Glabrous/ 2. Glabrous to sparsely hairs/ 3. Hairy/ 4. Papillate/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 1. Glabrous/ 2.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 1. 1/ 2. 2/ 3. 2–4/ 4. 4/ 5. 6/</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 1. Oblong/ 2. Obovoid/ 3. Ovoid/ 4. Pyramidal/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 1. Glabrous/ 2. Short hairy/ 3. Long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 1. Smooth/ 2. Tuberculate/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Seed colour/ 1. Black/ 2. Black to brown/ 3. Brown/ 4. Yellow to brown/ 5. Orange/</w:t>
            </w:r>
          </w:p>
        </w:tc>
      </w:tr>
    </w:tbl>
    <w:p w:rsidR="002C7363" w:rsidRDefault="002C7363" w:rsidP="00355756">
      <w:pPr>
        <w:bidi w:val="0"/>
        <w:spacing w:after="0"/>
      </w:pPr>
    </w:p>
    <w:p w:rsidR="002C7363" w:rsidRDefault="002C7363" w:rsidP="00355756">
      <w:pPr>
        <w:bidi w:val="0"/>
        <w:spacing w:after="0"/>
      </w:pPr>
    </w:p>
    <w:p w:rsidR="009D5BB6" w:rsidRPr="00D57D14" w:rsidRDefault="009D5BB6" w:rsidP="009D5BB6">
      <w:pPr>
        <w:bidi w:val="0"/>
        <w:spacing w:after="0" w:line="360" w:lineRule="auto"/>
        <w:jc w:val="both"/>
        <w:outlineLvl w:val="1"/>
        <w:rPr>
          <w:rFonts w:asciiTheme="majorBidi" w:eastAsia="Times New Roman" w:hAnsiTheme="majorBidi" w:cstheme="majorBidi"/>
          <w:sz w:val="24"/>
          <w:szCs w:val="24"/>
        </w:rPr>
      </w:pPr>
    </w:p>
    <w:p w:rsidR="00D57D14" w:rsidRDefault="00D57D14" w:rsidP="00477733">
      <w:pPr>
        <w:bidi w:val="0"/>
        <w:spacing w:after="0" w:line="360" w:lineRule="auto"/>
        <w:jc w:val="both"/>
        <w:outlineLvl w:val="1"/>
        <w:rPr>
          <w:rFonts w:asciiTheme="majorBidi" w:eastAsia="Times New Roman" w:hAnsiTheme="majorBidi" w:cstheme="majorBidi"/>
          <w:sz w:val="24"/>
          <w:szCs w:val="24"/>
        </w:rPr>
      </w:pPr>
    </w:p>
    <w:p w:rsidR="002C7363" w:rsidRDefault="002C7363" w:rsidP="00D57D14">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extent cx="5319304" cy="7283395"/>
            <wp:effectExtent l="19050" t="0" r="0" b="0"/>
            <wp:docPr id="1" name="Picture 0" descr="Figure 1. Photographs of herbarium sheets deposited at KSU Herbarium. a. C. arvensis. b. C. austroaegyptiacus.  c. C. excelsus. d. C. fat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hotographs of herbarium sheets deposited at KSU Herbarium. a. C. arvensis. b. C. austroaegyptiacus.  c. C. excelsus. d. C. fatmensis.jpg"/>
                    <pic:cNvPicPr/>
                  </pic:nvPicPr>
                  <pic:blipFill>
                    <a:blip r:embed="rId8" cstate="print"/>
                    <a:stretch>
                      <a:fillRect/>
                    </a:stretch>
                  </pic:blipFill>
                  <pic:spPr>
                    <a:xfrm>
                      <a:off x="0" y="0"/>
                      <a:ext cx="5330399" cy="7298586"/>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1. Photographs of herbarium sheets deposited at KSU Herbarium. a. </w:t>
      </w:r>
      <w:r w:rsidRPr="002C7363">
        <w:rPr>
          <w:rFonts w:asciiTheme="majorBidi" w:eastAsia="Times New Roman" w:hAnsiTheme="majorBidi" w:cstheme="majorBidi"/>
          <w:i/>
          <w:iCs/>
          <w:sz w:val="24"/>
          <w:szCs w:val="24"/>
        </w:rPr>
        <w:t>C. arvensis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austroaegyptiacus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excelsus</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fatmensis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extent cx="5400040" cy="7282180"/>
            <wp:effectExtent l="19050" t="0" r="0" b="0"/>
            <wp:docPr id="2" name="Picture 1" descr="Figure 2. Photographs of herbarium sheets deposited at KSU Herbarium. a. C. glomeratus. b. C. hamrinensis. c. C. hystrix. d. C. oxyphyllus  subsp. oxycl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hotographs of herbarium sheets deposited at KSU Herbarium. a. C. glomeratus. b. C. hamrinensis. c. C. hystrix. d. C. oxyphyllus  subsp. oxycladus.jpg"/>
                    <pic:cNvPicPr/>
                  </pic:nvPicPr>
                  <pic:blipFill>
                    <a:blip r:embed="rId9" cstate="print"/>
                    <a:stretch>
                      <a:fillRect/>
                    </a:stretch>
                  </pic:blipFill>
                  <pic:spPr>
                    <a:xfrm>
                      <a:off x="0" y="0"/>
                      <a:ext cx="5400040" cy="7282180"/>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2. Photographs of herbarium sheets deposited at KSU Herbarium. a. </w:t>
      </w:r>
      <w:r w:rsidRPr="002C7363">
        <w:rPr>
          <w:rFonts w:asciiTheme="majorBidi" w:eastAsia="Times New Roman" w:hAnsiTheme="majorBidi" w:cstheme="majorBidi"/>
          <w:i/>
          <w:iCs/>
          <w:sz w:val="24"/>
          <w:szCs w:val="24"/>
        </w:rPr>
        <w:t>C. glomeratus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hamrinensis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hystrix</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oxyphyllus</w:t>
      </w:r>
      <w:r w:rsidRPr="002C7363">
        <w:rPr>
          <w:rFonts w:asciiTheme="majorBidi" w:eastAsia="Times New Roman" w:hAnsiTheme="majorBidi" w:cstheme="majorBidi"/>
          <w:sz w:val="24"/>
          <w:szCs w:val="24"/>
        </w:rPr>
        <w:t xml:space="preserve">  subsp. </w:t>
      </w:r>
      <w:r w:rsidRPr="002C7363">
        <w:rPr>
          <w:rFonts w:asciiTheme="majorBidi" w:eastAsia="Times New Roman" w:hAnsiTheme="majorBidi" w:cstheme="majorBidi"/>
          <w:i/>
          <w:iCs/>
          <w:sz w:val="24"/>
          <w:szCs w:val="24"/>
        </w:rPr>
        <w:t>oxycladus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extent cx="5400040" cy="7441565"/>
            <wp:effectExtent l="19050" t="0" r="0" b="0"/>
            <wp:docPr id="3" name="Picture 2" descr="Figure 3. Photographs of herbarium sheets deposited at KSU Herbarium. a. C. pilosellifolius. b. C. prostratus. c. C. siculus subsp. siculus. d. C. sp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otographs of herbarium sheets deposited at KSU Herbarium. a. C. pilosellifolius. b. C. prostratus. c. C. siculus subsp. siculus. d. C. spicatus.jpg"/>
                    <pic:cNvPicPr/>
                  </pic:nvPicPr>
                  <pic:blipFill>
                    <a:blip r:embed="rId10" cstate="print"/>
                    <a:stretch>
                      <a:fillRect/>
                    </a:stretch>
                  </pic:blipFill>
                  <pic:spPr>
                    <a:xfrm>
                      <a:off x="0" y="0"/>
                      <a:ext cx="5400040" cy="7441565"/>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3. Photographs of herbarium sheets deposited at KSU Herbarium. a. </w:t>
      </w:r>
      <w:r w:rsidRPr="002C7363">
        <w:rPr>
          <w:rFonts w:asciiTheme="majorBidi" w:eastAsia="Times New Roman" w:hAnsiTheme="majorBidi" w:cstheme="majorBidi"/>
          <w:i/>
          <w:iCs/>
          <w:sz w:val="24"/>
          <w:szCs w:val="24"/>
        </w:rPr>
        <w:t>C. pilosellifolius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prostratus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siculus</w:t>
      </w:r>
      <w:r w:rsidRPr="002C7363">
        <w:rPr>
          <w:rFonts w:asciiTheme="majorBidi" w:eastAsia="Times New Roman" w:hAnsiTheme="majorBidi" w:cstheme="majorBidi"/>
          <w:sz w:val="24"/>
          <w:szCs w:val="24"/>
        </w:rPr>
        <w:t xml:space="preserve"> subsp. </w:t>
      </w:r>
      <w:r w:rsidRPr="002C7363">
        <w:rPr>
          <w:rFonts w:asciiTheme="majorBidi" w:eastAsia="Times New Roman" w:hAnsiTheme="majorBidi" w:cstheme="majorBidi"/>
          <w:i/>
          <w:iCs/>
          <w:sz w:val="24"/>
          <w:szCs w:val="24"/>
        </w:rPr>
        <w:t>siculus</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spicatus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9E497F" w:rsidRDefault="009E497F" w:rsidP="002C7363">
      <w:pPr>
        <w:bidi w:val="0"/>
        <w:spacing w:after="0" w:line="360" w:lineRule="auto"/>
        <w:jc w:val="both"/>
        <w:outlineLvl w:val="1"/>
        <w:rPr>
          <w:rFonts w:asciiTheme="majorBidi" w:eastAsia="Times New Roman" w:hAnsiTheme="majorBidi" w:cstheme="majorBidi"/>
          <w:sz w:val="24"/>
          <w:szCs w:val="24"/>
        </w:rPr>
      </w:pPr>
    </w:p>
    <w:p w:rsidR="002F0B00" w:rsidRPr="00D57D14" w:rsidRDefault="002F0B00" w:rsidP="009E497F">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Results</w:t>
      </w:r>
      <w:r w:rsidR="009365A4">
        <w:rPr>
          <w:rFonts w:asciiTheme="majorBidi" w:eastAsia="Times New Roman" w:hAnsiTheme="majorBidi" w:cstheme="majorBidi"/>
          <w:sz w:val="24"/>
          <w:szCs w:val="24"/>
        </w:rPr>
        <w:t xml:space="preserve"> &amp;</w:t>
      </w:r>
      <w:r w:rsidR="009365A4" w:rsidRPr="009365A4">
        <w:t xml:space="preserve"> </w:t>
      </w:r>
      <w:r w:rsidR="009365A4" w:rsidRPr="009365A4">
        <w:rPr>
          <w:rFonts w:asciiTheme="majorBidi" w:eastAsia="Times New Roman" w:hAnsiTheme="majorBidi" w:cstheme="majorBidi"/>
          <w:sz w:val="24"/>
          <w:szCs w:val="24"/>
        </w:rPr>
        <w:t>Discussion</w:t>
      </w:r>
    </w:p>
    <w:p w:rsidR="001940EE" w:rsidRPr="00702E38" w:rsidRDefault="00D47AA4" w:rsidP="005A5130">
      <w:pPr>
        <w:bidi w:val="0"/>
        <w:spacing w:after="0" w:line="360" w:lineRule="auto"/>
        <w:jc w:val="both"/>
        <w:rPr>
          <w:rFonts w:asciiTheme="majorBidi" w:hAnsiTheme="majorBidi" w:cstheme="majorBidi"/>
          <w:sz w:val="24"/>
          <w:szCs w:val="24"/>
        </w:rPr>
      </w:pPr>
      <w:r w:rsidRPr="00702E38">
        <w:rPr>
          <w:rFonts w:asciiTheme="majorBidi" w:hAnsiTheme="majorBidi" w:cstheme="majorBidi"/>
          <w:sz w:val="24"/>
          <w:szCs w:val="24"/>
        </w:rPr>
        <w:tab/>
      </w:r>
      <w:r w:rsidR="00702E38" w:rsidRPr="00702E38">
        <w:rPr>
          <w:rFonts w:asciiTheme="majorBidi" w:hAnsiTheme="majorBidi" w:cstheme="majorBidi"/>
          <w:sz w:val="24"/>
          <w:szCs w:val="24"/>
        </w:rPr>
        <w:t xml:space="preserve">A dendrogram was created by the phenetics </w:t>
      </w:r>
      <w:r w:rsidR="005A5130">
        <w:rPr>
          <w:rFonts w:asciiTheme="majorBidi" w:hAnsiTheme="majorBidi" w:cstheme="majorBidi"/>
          <w:sz w:val="24"/>
          <w:szCs w:val="24"/>
        </w:rPr>
        <w:t>in light of</w:t>
      </w:r>
      <w:r w:rsidR="00702E38" w:rsidRPr="00702E38">
        <w:rPr>
          <w:rFonts w:asciiTheme="majorBidi" w:hAnsiTheme="majorBidi" w:cstheme="majorBidi"/>
          <w:sz w:val="24"/>
          <w:szCs w:val="24"/>
        </w:rPr>
        <w:t xml:space="preserve"> the coded morphological data matrix of the species under </w:t>
      </w:r>
      <w:r w:rsidR="005A5130">
        <w:rPr>
          <w:rFonts w:asciiTheme="majorBidi" w:hAnsiTheme="majorBidi" w:cstheme="majorBidi"/>
          <w:sz w:val="24"/>
          <w:szCs w:val="24"/>
        </w:rPr>
        <w:t>investigation</w:t>
      </w:r>
      <w:r w:rsidR="00702E38" w:rsidRPr="00702E38">
        <w:rPr>
          <w:rFonts w:asciiTheme="majorBidi" w:hAnsiTheme="majorBidi" w:cstheme="majorBidi"/>
          <w:sz w:val="24"/>
          <w:szCs w:val="24"/>
        </w:rPr>
        <w:t xml:space="preserve"> </w:t>
      </w:r>
      <w:r w:rsidR="00FC4B1C" w:rsidRPr="00702E38">
        <w:rPr>
          <w:rFonts w:asciiTheme="majorBidi" w:hAnsiTheme="majorBidi" w:cstheme="majorBidi"/>
          <w:sz w:val="24"/>
          <w:szCs w:val="24"/>
        </w:rPr>
        <w:t>(</w:t>
      </w:r>
      <w:r w:rsidR="0010264A" w:rsidRPr="00702E38">
        <w:rPr>
          <w:rFonts w:asciiTheme="majorBidi" w:hAnsiTheme="majorBidi" w:cstheme="majorBidi"/>
          <w:sz w:val="24"/>
          <w:szCs w:val="24"/>
        </w:rPr>
        <w:t>F</w:t>
      </w:r>
      <w:r w:rsidR="00FC4B1C" w:rsidRPr="00702E38">
        <w:rPr>
          <w:rFonts w:asciiTheme="majorBidi" w:hAnsiTheme="majorBidi" w:cstheme="majorBidi"/>
          <w:sz w:val="24"/>
          <w:szCs w:val="24"/>
        </w:rPr>
        <w:t xml:space="preserve">igure </w:t>
      </w:r>
      <w:r w:rsidR="0010264A" w:rsidRPr="00702E38">
        <w:rPr>
          <w:rFonts w:asciiTheme="majorBidi" w:hAnsiTheme="majorBidi" w:cstheme="majorBidi"/>
          <w:sz w:val="24"/>
          <w:szCs w:val="24"/>
        </w:rPr>
        <w:t>4</w:t>
      </w:r>
      <w:r w:rsidR="00FC4B1C" w:rsidRPr="00702E38">
        <w:rPr>
          <w:rFonts w:asciiTheme="majorBidi" w:hAnsiTheme="majorBidi" w:cstheme="majorBidi"/>
          <w:sz w:val="24"/>
          <w:szCs w:val="24"/>
        </w:rPr>
        <w:t>) in which the studied taxa were segregated into six groups at 0.06 taxonomic distance</w:t>
      </w:r>
      <w:r w:rsidRPr="00702E38">
        <w:rPr>
          <w:rFonts w:asciiTheme="majorBidi" w:hAnsiTheme="majorBidi" w:cstheme="majorBidi"/>
          <w:sz w:val="24"/>
          <w:szCs w:val="24"/>
        </w:rPr>
        <w:t xml:space="preserve"> away from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rhyniospermus</w:t>
      </w:r>
      <w:r w:rsidRPr="00702E38">
        <w:rPr>
          <w:rFonts w:asciiTheme="majorBidi" w:hAnsiTheme="majorBidi" w:cstheme="majorBidi"/>
          <w:sz w:val="24"/>
          <w:szCs w:val="24"/>
        </w:rPr>
        <w:t xml:space="preserve"> that was segregated at the base of the phenogram (0.1 taxonomic distance)</w:t>
      </w:r>
      <w:r w:rsidR="00FC4B1C" w:rsidRPr="00702E38">
        <w:rPr>
          <w:rFonts w:asciiTheme="majorBidi" w:hAnsiTheme="majorBidi" w:cstheme="majorBidi"/>
          <w:sz w:val="24"/>
          <w:szCs w:val="24"/>
        </w:rPr>
        <w:t xml:space="preserve">; the first </w:t>
      </w:r>
      <w:r w:rsidRPr="00702E38">
        <w:rPr>
          <w:rFonts w:asciiTheme="majorBidi" w:hAnsiTheme="majorBidi" w:cstheme="majorBidi"/>
          <w:sz w:val="24"/>
          <w:szCs w:val="24"/>
        </w:rPr>
        <w:t>group</w:t>
      </w:r>
      <w:r w:rsidR="00FC4B1C" w:rsidRPr="00702E38">
        <w:rPr>
          <w:rFonts w:asciiTheme="majorBidi" w:hAnsiTheme="majorBidi" w:cstheme="majorBidi"/>
          <w:sz w:val="24"/>
          <w:szCs w:val="24"/>
        </w:rPr>
        <w:t xml:space="preserve"> included </w:t>
      </w:r>
      <w:r w:rsidR="00FC4B1C" w:rsidRPr="00702E38">
        <w:rPr>
          <w:rFonts w:asciiTheme="majorBidi" w:hAnsiTheme="majorBidi" w:cstheme="majorBidi"/>
          <w:i/>
          <w:iCs/>
          <w:sz w:val="24"/>
          <w:szCs w:val="24"/>
        </w:rPr>
        <w:t>C. cephalopodus, 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 xml:space="preserve">oxyphyllus </w:t>
      </w:r>
      <w:r w:rsidR="00FC4B1C" w:rsidRPr="00702E38">
        <w:rPr>
          <w:rFonts w:asciiTheme="majorBidi" w:hAnsiTheme="majorBidi" w:cstheme="majorBidi"/>
          <w:sz w:val="24"/>
          <w:szCs w:val="24"/>
        </w:rPr>
        <w:t xml:space="preserve">subsp. </w:t>
      </w:r>
      <w:r w:rsidR="00FC4B1C" w:rsidRPr="00702E38">
        <w:rPr>
          <w:rFonts w:asciiTheme="majorBidi" w:hAnsiTheme="majorBidi" w:cstheme="majorBidi"/>
          <w:i/>
          <w:iCs/>
          <w:sz w:val="24"/>
          <w:szCs w:val="24"/>
        </w:rPr>
        <w:t>sheilae</w:t>
      </w:r>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hamrinensis</w:t>
      </w:r>
      <w:r w:rsidR="00FC4B1C" w:rsidRPr="00702E38">
        <w:rPr>
          <w:rFonts w:asciiTheme="majorBidi" w:hAnsiTheme="majorBidi" w:cstheme="majorBidi"/>
          <w:sz w:val="24"/>
          <w:szCs w:val="24"/>
        </w:rPr>
        <w:t xml:space="preserve">. The second group segregated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asyrensis</w:t>
      </w:r>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glomeratus</w:t>
      </w:r>
      <w:r w:rsidR="00FC4B1C" w:rsidRPr="00702E38">
        <w:rPr>
          <w:rFonts w:asciiTheme="majorBidi" w:hAnsiTheme="majorBidi" w:cstheme="majorBidi"/>
          <w:sz w:val="24"/>
          <w:szCs w:val="24"/>
        </w:rPr>
        <w:t xml:space="preserve">. The third group included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austroaegyptiacus</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 xml:space="preserve">pilosellifolius </w:t>
      </w:r>
      <w:r w:rsidR="00FC4B1C" w:rsidRPr="00702E38">
        <w:rPr>
          <w:rFonts w:asciiTheme="majorBidi" w:hAnsiTheme="majorBidi" w:cstheme="majorBidi"/>
          <w:sz w:val="24"/>
          <w:szCs w:val="24"/>
        </w:rPr>
        <w:t xml:space="preserve">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prostratus</w:t>
      </w:r>
      <w:r w:rsidR="00FC4B1C" w:rsidRPr="00702E38">
        <w:rPr>
          <w:rFonts w:asciiTheme="majorBidi" w:hAnsiTheme="majorBidi" w:cstheme="majorBidi"/>
          <w:sz w:val="24"/>
          <w:szCs w:val="24"/>
        </w:rPr>
        <w:t xml:space="preserve">. The forth one nested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hystrix</w:t>
      </w:r>
      <w:r w:rsidRPr="00702E38">
        <w:rPr>
          <w:rFonts w:asciiTheme="majorBidi" w:hAnsiTheme="majorBidi" w:cstheme="majorBidi"/>
          <w:sz w:val="24"/>
          <w:szCs w:val="24"/>
        </w:rPr>
        <w:t xml:space="preserve"> and the two studied subspecies of </w:t>
      </w:r>
      <w:r w:rsidRPr="00702E38">
        <w:rPr>
          <w:rFonts w:asciiTheme="majorBidi" w:hAnsiTheme="majorBidi" w:cstheme="majorBidi"/>
          <w:i/>
          <w:iCs/>
          <w:sz w:val="24"/>
          <w:szCs w:val="24"/>
        </w:rPr>
        <w:t>C. siculus</w:t>
      </w:r>
      <w:r w:rsidRPr="00702E38">
        <w:rPr>
          <w:rFonts w:asciiTheme="majorBidi" w:hAnsiTheme="majorBidi" w:cstheme="majorBidi"/>
          <w:sz w:val="24"/>
          <w:szCs w:val="24"/>
        </w:rPr>
        <w:t xml:space="preserve">. the fifth group segregated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excelsus</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oxyphyllus </w:t>
      </w:r>
      <w:r w:rsidRPr="00702E38">
        <w:rPr>
          <w:rFonts w:asciiTheme="majorBidi" w:hAnsiTheme="majorBidi" w:cstheme="majorBidi"/>
          <w:sz w:val="24"/>
          <w:szCs w:val="24"/>
        </w:rPr>
        <w:t xml:space="preserve"> subsp. </w:t>
      </w:r>
      <w:r w:rsidRPr="00702E38">
        <w:rPr>
          <w:rFonts w:asciiTheme="majorBidi" w:hAnsiTheme="majorBidi" w:cstheme="majorBidi"/>
          <w:i/>
          <w:iCs/>
          <w:sz w:val="24"/>
          <w:szCs w:val="24"/>
        </w:rPr>
        <w:t>oxycladus</w:t>
      </w:r>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spicatus</w:t>
      </w:r>
      <w:r w:rsidRPr="00702E38">
        <w:rPr>
          <w:rFonts w:asciiTheme="majorBidi" w:hAnsiTheme="majorBidi" w:cstheme="majorBidi"/>
          <w:sz w:val="24"/>
          <w:szCs w:val="24"/>
        </w:rPr>
        <w:t xml:space="preserve">. the last group included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fatmensis</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sagittatus</w:t>
      </w:r>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arvensis</w:t>
      </w:r>
      <w:r w:rsidRPr="00702E38">
        <w:rPr>
          <w:rFonts w:asciiTheme="majorBidi" w:hAnsiTheme="majorBidi" w:cstheme="majorBidi"/>
          <w:sz w:val="24"/>
          <w:szCs w:val="24"/>
        </w:rPr>
        <w:t>.  </w:t>
      </w:r>
    </w:p>
    <w:p w:rsidR="009D5BB6" w:rsidRPr="00D57D14" w:rsidRDefault="002C7363" w:rsidP="002C7363">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01875" cy="5340362"/>
            <wp:effectExtent l="19050" t="0" r="0" b="0"/>
            <wp:docPr id="4" name="Picture 3" descr="Figure 4. UPGMA clustering of the studied taxa based on morphological 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UPGMA clustering of the studied taxa based on morphological characters.jpg"/>
                    <pic:cNvPicPr/>
                  </pic:nvPicPr>
                  <pic:blipFill>
                    <a:blip r:embed="rId11" cstate="print"/>
                    <a:srcRect b="12208"/>
                    <a:stretch>
                      <a:fillRect/>
                    </a:stretch>
                  </pic:blipFill>
                  <pic:spPr>
                    <a:xfrm>
                      <a:off x="0" y="0"/>
                      <a:ext cx="4405145" cy="5344330"/>
                    </a:xfrm>
                    <a:prstGeom prst="rect">
                      <a:avLst/>
                    </a:prstGeom>
                  </pic:spPr>
                </pic:pic>
              </a:graphicData>
            </a:graphic>
          </wp:inline>
        </w:drawing>
      </w:r>
    </w:p>
    <w:p w:rsidR="00D36CA4" w:rsidRPr="00D57D14" w:rsidRDefault="00D36CA4" w:rsidP="002C7363">
      <w:pPr>
        <w:bidi w:val="0"/>
        <w:spacing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Figure </w:t>
      </w:r>
      <w:r w:rsidR="0010264A">
        <w:rPr>
          <w:rFonts w:asciiTheme="majorBidi" w:hAnsiTheme="majorBidi" w:cstheme="majorBidi"/>
          <w:sz w:val="24"/>
          <w:szCs w:val="24"/>
        </w:rPr>
        <w:t>4</w:t>
      </w:r>
      <w:r w:rsidRPr="00D57D14">
        <w:rPr>
          <w:rFonts w:asciiTheme="majorBidi" w:hAnsiTheme="majorBidi" w:cstheme="majorBidi"/>
          <w:sz w:val="24"/>
          <w:szCs w:val="24"/>
        </w:rPr>
        <w:t>. UPGMA clustering of the studied taxa based on morphological characters</w:t>
      </w:r>
    </w:p>
    <w:p w:rsidR="00DA4288" w:rsidRPr="00702E38" w:rsidRDefault="0045565D" w:rsidP="004152AF">
      <w:pPr>
        <w:bidi w:val="0"/>
        <w:spacing w:after="0" w:line="360" w:lineRule="auto"/>
        <w:jc w:val="both"/>
        <w:rPr>
          <w:rFonts w:asciiTheme="majorBidi" w:eastAsia="Times New Roman" w:hAnsiTheme="majorBidi" w:cstheme="majorBidi"/>
          <w:sz w:val="24"/>
          <w:szCs w:val="24"/>
        </w:rPr>
      </w:pPr>
      <w:r w:rsidRPr="00702E38">
        <w:rPr>
          <w:rFonts w:asciiTheme="majorBidi" w:hAnsiTheme="majorBidi" w:cstheme="majorBidi"/>
          <w:sz w:val="24"/>
          <w:szCs w:val="24"/>
        </w:rPr>
        <w:tab/>
      </w:r>
      <w:r w:rsidR="00DA4288" w:rsidRPr="00702E38">
        <w:rPr>
          <w:rFonts w:asciiTheme="majorBidi" w:hAnsiTheme="majorBidi" w:cstheme="majorBidi"/>
          <w:sz w:val="24"/>
          <w:szCs w:val="24"/>
        </w:rPr>
        <w:t xml:space="preserve">The principal component analysis (PCA) </w:t>
      </w:r>
      <w:r w:rsidR="00C573AA" w:rsidRPr="00702E38">
        <w:rPr>
          <w:rFonts w:asciiTheme="majorBidi" w:hAnsiTheme="majorBidi" w:cstheme="majorBidi"/>
          <w:sz w:val="24"/>
          <w:szCs w:val="24"/>
        </w:rPr>
        <w:t xml:space="preserve">biplot of the first two principal components (PC1 </w:t>
      </w:r>
      <w:r w:rsidR="00421066" w:rsidRPr="00702E38">
        <w:rPr>
          <w:rFonts w:asciiTheme="majorBidi" w:hAnsiTheme="majorBidi" w:cstheme="majorBidi"/>
          <w:i/>
          <w:iCs/>
          <w:sz w:val="24"/>
          <w:szCs w:val="24"/>
        </w:rPr>
        <w:t>V</w:t>
      </w:r>
      <w:r w:rsidR="00C573AA" w:rsidRPr="00702E38">
        <w:rPr>
          <w:rFonts w:asciiTheme="majorBidi" w:hAnsiTheme="majorBidi" w:cstheme="majorBidi"/>
          <w:i/>
          <w:iCs/>
          <w:sz w:val="24"/>
          <w:szCs w:val="24"/>
        </w:rPr>
        <w:t>s</w:t>
      </w:r>
      <w:r w:rsidR="00C573AA" w:rsidRPr="00702E38">
        <w:rPr>
          <w:rFonts w:asciiTheme="majorBidi" w:hAnsiTheme="majorBidi" w:cstheme="majorBidi"/>
          <w:sz w:val="24"/>
          <w:szCs w:val="24"/>
        </w:rPr>
        <w:t xml:space="preserve">. PC2) illustrates the distribution of </w:t>
      </w:r>
      <w:r w:rsidR="00C573AA" w:rsidRPr="00702E38">
        <w:rPr>
          <w:rStyle w:val="Emphasis"/>
          <w:rFonts w:asciiTheme="majorBidi" w:hAnsiTheme="majorBidi" w:cstheme="majorBidi"/>
          <w:sz w:val="24"/>
          <w:szCs w:val="24"/>
        </w:rPr>
        <w:t>Convolvulus</w:t>
      </w:r>
      <w:r w:rsidR="00C573AA" w:rsidRPr="00702E38">
        <w:rPr>
          <w:rFonts w:asciiTheme="majorBidi" w:hAnsiTheme="majorBidi" w:cstheme="majorBidi"/>
          <w:sz w:val="24"/>
          <w:szCs w:val="24"/>
        </w:rPr>
        <w:t xml:space="preserve"> specimens in multivariate morphological space and clarifies</w:t>
      </w:r>
      <w:r w:rsidR="00DA4288" w:rsidRPr="00702E38">
        <w:rPr>
          <w:rFonts w:asciiTheme="majorBidi" w:hAnsiTheme="majorBidi" w:cstheme="majorBidi"/>
          <w:sz w:val="24"/>
          <w:szCs w:val="24"/>
        </w:rPr>
        <w:t xml:space="preserve"> that, </w:t>
      </w:r>
      <w:r w:rsidR="00C573AA" w:rsidRPr="00702E38">
        <w:rPr>
          <w:rFonts w:asciiTheme="majorBidi" w:hAnsiTheme="majorBidi" w:cstheme="majorBidi"/>
          <w:sz w:val="24"/>
          <w:szCs w:val="24"/>
        </w:rPr>
        <w:t xml:space="preserve">the </w:t>
      </w:r>
      <w:r w:rsidR="00882BBB" w:rsidRPr="00702E38">
        <w:rPr>
          <w:rFonts w:asciiTheme="majorBidi" w:hAnsiTheme="majorBidi" w:cstheme="majorBidi"/>
          <w:sz w:val="24"/>
          <w:szCs w:val="24"/>
        </w:rPr>
        <w:t>first two</w:t>
      </w:r>
      <w:r w:rsidR="00C573AA" w:rsidRPr="00702E38">
        <w:rPr>
          <w:rFonts w:asciiTheme="majorBidi" w:hAnsiTheme="majorBidi" w:cstheme="majorBidi"/>
          <w:sz w:val="24"/>
          <w:szCs w:val="24"/>
        </w:rPr>
        <w:t xml:space="preserve"> principal components had eigenvalues and together explained a high percentage of the total variance</w:t>
      </w:r>
      <w:r w:rsidR="004E57D2" w:rsidRPr="00702E38">
        <w:rPr>
          <w:rFonts w:asciiTheme="majorBidi" w:hAnsiTheme="majorBidi" w:cstheme="majorBidi"/>
          <w:sz w:val="24"/>
          <w:szCs w:val="24"/>
        </w:rPr>
        <w:t xml:space="preserve"> (Table 3)</w:t>
      </w:r>
      <w:r w:rsidR="00C573AA" w:rsidRPr="00702E38">
        <w:rPr>
          <w:rFonts w:asciiTheme="majorBidi" w:hAnsiTheme="majorBidi" w:cstheme="majorBidi"/>
          <w:sz w:val="24"/>
          <w:szCs w:val="24"/>
        </w:rPr>
        <w:t xml:space="preserve">. </w:t>
      </w:r>
      <w:r w:rsidR="00DA4288" w:rsidRPr="00702E38">
        <w:rPr>
          <w:rFonts w:asciiTheme="majorBidi" w:hAnsiTheme="majorBidi" w:cstheme="majorBidi"/>
          <w:sz w:val="24"/>
          <w:szCs w:val="24"/>
        </w:rPr>
        <w:t>the percentage reached 27.</w:t>
      </w:r>
      <w:r w:rsidR="00F52D56" w:rsidRPr="00702E38">
        <w:rPr>
          <w:rFonts w:asciiTheme="majorBidi" w:hAnsiTheme="majorBidi" w:cstheme="majorBidi"/>
          <w:sz w:val="24"/>
          <w:szCs w:val="24"/>
        </w:rPr>
        <w:t>13</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Concerning the first component </w:t>
      </w:r>
      <w:r w:rsidR="00DA4288" w:rsidRPr="00702E38">
        <w:rPr>
          <w:rFonts w:asciiTheme="majorBidi" w:hAnsiTheme="majorBidi" w:cstheme="majorBidi"/>
          <w:sz w:val="24"/>
          <w:szCs w:val="24"/>
        </w:rPr>
        <w:t xml:space="preserve">PC1 and </w:t>
      </w:r>
      <w:r w:rsidR="00F52D56" w:rsidRPr="00702E38">
        <w:rPr>
          <w:rFonts w:asciiTheme="majorBidi" w:hAnsiTheme="majorBidi" w:cstheme="majorBidi"/>
          <w:sz w:val="24"/>
          <w:szCs w:val="24"/>
        </w:rPr>
        <w:t>20</w:t>
      </w:r>
      <w:r w:rsidR="00DA4288" w:rsidRPr="00702E38">
        <w:rPr>
          <w:rFonts w:asciiTheme="majorBidi" w:hAnsiTheme="majorBidi" w:cstheme="majorBidi"/>
          <w:sz w:val="24"/>
          <w:szCs w:val="24"/>
        </w:rPr>
        <w:t>.4</w:t>
      </w:r>
      <w:r w:rsidR="00F52D56" w:rsidRPr="00702E38">
        <w:rPr>
          <w:rFonts w:asciiTheme="majorBidi" w:hAnsiTheme="majorBidi" w:cstheme="majorBidi"/>
          <w:sz w:val="24"/>
          <w:szCs w:val="24"/>
        </w:rPr>
        <w:t>2</w:t>
      </w:r>
      <w:r w:rsidR="00DA4288" w:rsidRPr="00702E38">
        <w:rPr>
          <w:rFonts w:asciiTheme="majorBidi" w:hAnsiTheme="majorBidi" w:cstheme="majorBidi"/>
          <w:sz w:val="24"/>
          <w:szCs w:val="24"/>
        </w:rPr>
        <w:t>% due to PC2 (</w:t>
      </w:r>
      <w:r w:rsidR="00F52D56" w:rsidRPr="00702E38">
        <w:rPr>
          <w:rFonts w:asciiTheme="majorBidi" w:hAnsiTheme="majorBidi" w:cstheme="majorBidi"/>
          <w:sz w:val="24"/>
          <w:szCs w:val="24"/>
        </w:rPr>
        <w:t xml:space="preserve">Figure </w:t>
      </w:r>
      <w:r w:rsidR="0010264A" w:rsidRPr="00702E38">
        <w:rPr>
          <w:rFonts w:asciiTheme="majorBidi" w:hAnsiTheme="majorBidi" w:cstheme="majorBidi"/>
          <w:sz w:val="24"/>
          <w:szCs w:val="24"/>
        </w:rPr>
        <w:t>5</w:t>
      </w:r>
      <w:r w:rsidR="00DA4288" w:rsidRPr="00702E38">
        <w:rPr>
          <w:rFonts w:asciiTheme="majorBidi" w:hAnsiTheme="majorBidi" w:cstheme="majorBidi"/>
          <w:sz w:val="24"/>
          <w:szCs w:val="24"/>
        </w:rPr>
        <w:t xml:space="preserve">). </w:t>
      </w:r>
      <w:r w:rsidR="00D36CA4" w:rsidRPr="00702E38">
        <w:rPr>
          <w:rFonts w:asciiTheme="majorBidi" w:eastAsia="Times New Roman" w:hAnsiTheme="majorBidi" w:cstheme="majorBidi"/>
          <w:sz w:val="24"/>
          <w:szCs w:val="24"/>
        </w:rPr>
        <w:t xml:space="preserve">Ordination plots based on the first two principal components </w:t>
      </w:r>
      <w:r w:rsidR="0010264A" w:rsidRPr="00702E38">
        <w:rPr>
          <w:rFonts w:asciiTheme="majorBidi" w:eastAsia="Times New Roman" w:hAnsiTheme="majorBidi" w:cstheme="majorBidi"/>
          <w:sz w:val="24"/>
          <w:szCs w:val="24"/>
        </w:rPr>
        <w:t>(Figure 6)</w:t>
      </w:r>
      <w:r w:rsidR="0010264A" w:rsidRPr="00702E38">
        <w:rPr>
          <w:rFonts w:asciiTheme="majorBidi" w:hAnsiTheme="majorBidi" w:cstheme="majorBidi"/>
          <w:sz w:val="24"/>
          <w:szCs w:val="24"/>
        </w:rPr>
        <w:t xml:space="preserve"> </w:t>
      </w:r>
      <w:r w:rsidR="00882BBB" w:rsidRPr="00702E38">
        <w:rPr>
          <w:rFonts w:asciiTheme="majorBidi" w:hAnsiTheme="majorBidi" w:cstheme="majorBidi"/>
          <w:sz w:val="24"/>
          <w:szCs w:val="24"/>
        </w:rPr>
        <w:t xml:space="preserve">shows a clear separation of specimens </w:t>
      </w:r>
      <w:r w:rsidR="00D36CA4" w:rsidRPr="00702E38">
        <w:rPr>
          <w:rFonts w:asciiTheme="majorBidi" w:eastAsia="Times New Roman" w:hAnsiTheme="majorBidi" w:cstheme="majorBidi"/>
          <w:sz w:val="24"/>
          <w:szCs w:val="24"/>
        </w:rPr>
        <w:t>according to taxonomic identity, indicating that morphological traits captured from herbarium material are sufficient to distinguish</w:t>
      </w:r>
      <w:r w:rsidR="00882BBB" w:rsidRPr="00702E38">
        <w:rPr>
          <w:rFonts w:asciiTheme="majorBidi" w:eastAsia="Times New Roman" w:hAnsiTheme="majorBidi" w:cstheme="majorBidi"/>
          <w:sz w:val="24"/>
          <w:szCs w:val="24"/>
        </w:rPr>
        <w:t xml:space="preserve"> among species</w:t>
      </w:r>
      <w:r w:rsidR="00D36CA4" w:rsidRPr="00702E38">
        <w:rPr>
          <w:rFonts w:asciiTheme="majorBidi" w:eastAsia="Times New Roman" w:hAnsiTheme="majorBidi" w:cstheme="majorBidi"/>
          <w:sz w:val="24"/>
          <w:szCs w:val="24"/>
        </w:rPr>
        <w:t xml:space="preserve">. </w:t>
      </w:r>
      <w:r w:rsidR="00702E38" w:rsidRPr="00702E38">
        <w:rPr>
          <w:rFonts w:asciiTheme="majorBidi" w:hAnsiTheme="majorBidi" w:cstheme="majorBidi"/>
          <w:sz w:val="24"/>
          <w:szCs w:val="24"/>
        </w:rPr>
        <w:t>The two components' variability is directly correlated with the arrow's length</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the extremely short arrow </w:t>
      </w:r>
      <w:r w:rsidR="00DA4288" w:rsidRPr="00702E38">
        <w:rPr>
          <w:rFonts w:asciiTheme="majorBidi" w:hAnsiTheme="majorBidi" w:cstheme="majorBidi"/>
          <w:sz w:val="24"/>
          <w:szCs w:val="24"/>
        </w:rPr>
        <w:t xml:space="preserve">for example </w:t>
      </w:r>
      <w:r w:rsidR="009D5BB6" w:rsidRPr="00702E38">
        <w:rPr>
          <w:rFonts w:asciiTheme="majorBidi" w:hAnsiTheme="majorBidi" w:cstheme="majorBidi"/>
          <w:sz w:val="24"/>
          <w:szCs w:val="24"/>
        </w:rPr>
        <w:t>inflorescence</w:t>
      </w:r>
      <w:r w:rsidR="00341D78" w:rsidRPr="00702E38">
        <w:rPr>
          <w:rFonts w:asciiTheme="majorBidi" w:hAnsiTheme="majorBidi" w:cstheme="majorBidi"/>
          <w:sz w:val="24"/>
          <w:szCs w:val="24"/>
        </w:rPr>
        <w:t xml:space="preserve"> </w:t>
      </w:r>
      <w:r w:rsidR="009D5BB6" w:rsidRPr="00702E38">
        <w:rPr>
          <w:rFonts w:asciiTheme="majorBidi" w:hAnsiTheme="majorBidi" w:cstheme="majorBidi"/>
          <w:sz w:val="24"/>
          <w:szCs w:val="24"/>
        </w:rPr>
        <w:t>position</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shows that there is </w:t>
      </w:r>
      <w:r w:rsidR="004152AF">
        <w:rPr>
          <w:rFonts w:asciiTheme="majorBidi" w:hAnsiTheme="majorBidi" w:cstheme="majorBidi"/>
          <w:sz w:val="24"/>
          <w:szCs w:val="24"/>
        </w:rPr>
        <w:t>nothing to know</w:t>
      </w:r>
      <w:r w:rsidR="00702E38" w:rsidRPr="00702E38">
        <w:rPr>
          <w:rFonts w:asciiTheme="majorBidi" w:hAnsiTheme="majorBidi" w:cstheme="majorBidi"/>
          <w:sz w:val="24"/>
          <w:szCs w:val="24"/>
        </w:rPr>
        <w:t xml:space="preserve"> about this component with loading score (0.04) in the first two components</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but the longest arrow's loading score for corolla color was 0.80,</w:t>
      </w:r>
      <w:r w:rsidR="009D5BB6" w:rsidRPr="00702E38">
        <w:rPr>
          <w:rFonts w:asciiTheme="majorBidi" w:hAnsiTheme="majorBidi" w:cstheme="majorBidi"/>
          <w:sz w:val="24"/>
          <w:szCs w:val="24"/>
        </w:rPr>
        <w:t xml:space="preserve"> followed by stem strength (0.75)</w:t>
      </w:r>
      <w:r w:rsidR="00341D7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highlighting their role in explaining finer-scale morphological variation</w:t>
      </w:r>
      <w:r w:rsidR="00341D78" w:rsidRPr="00702E38">
        <w:rPr>
          <w:rFonts w:asciiTheme="majorBidi" w:hAnsiTheme="majorBidi" w:cstheme="majorBidi"/>
          <w:sz w:val="24"/>
          <w:szCs w:val="24"/>
        </w:rPr>
        <w:t>,</w:t>
      </w:r>
      <w:r w:rsidR="00DA428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 xml:space="preserve">these traits may contribute to the separation of morphologically similar taxa that are otherwise difficult to distinguish using size-related characters alone. </w:t>
      </w:r>
      <w:r w:rsidR="00702E38" w:rsidRPr="00702E38">
        <w:rPr>
          <w:rFonts w:asciiTheme="majorBidi" w:hAnsiTheme="majorBidi" w:cstheme="majorBidi"/>
          <w:sz w:val="24"/>
          <w:szCs w:val="24"/>
        </w:rPr>
        <w:t xml:space="preserve">The correlation is made clear by the angle between two arrows; an obtuse angle suggests a negative connection, a right angle </w:t>
      </w:r>
      <w:r w:rsidR="004152AF">
        <w:rPr>
          <w:rFonts w:asciiTheme="majorBidi" w:hAnsiTheme="majorBidi" w:cstheme="majorBidi"/>
          <w:sz w:val="24"/>
          <w:szCs w:val="24"/>
        </w:rPr>
        <w:t>shows</w:t>
      </w:r>
      <w:r w:rsidR="00702E38" w:rsidRPr="00702E38">
        <w:rPr>
          <w:rFonts w:asciiTheme="majorBidi" w:hAnsiTheme="majorBidi" w:cstheme="majorBidi"/>
          <w:sz w:val="24"/>
          <w:szCs w:val="24"/>
        </w:rPr>
        <w:t xml:space="preserve"> no correlation, and an acute angle </w:t>
      </w:r>
      <w:r w:rsidR="004152AF">
        <w:rPr>
          <w:rFonts w:asciiTheme="majorBidi" w:hAnsiTheme="majorBidi" w:cstheme="majorBidi"/>
          <w:sz w:val="24"/>
          <w:szCs w:val="24"/>
        </w:rPr>
        <w:t>signifies</w:t>
      </w:r>
      <w:r w:rsidR="00702E38" w:rsidRPr="00702E38">
        <w:rPr>
          <w:rFonts w:asciiTheme="majorBidi" w:hAnsiTheme="majorBidi" w:cstheme="majorBidi"/>
          <w:sz w:val="24"/>
          <w:szCs w:val="24"/>
        </w:rPr>
        <w:t xml:space="preserve"> a positive correlation</w:t>
      </w:r>
      <w:r w:rsidR="00DA4288" w:rsidRPr="00702E38">
        <w:rPr>
          <w:rFonts w:asciiTheme="majorBidi" w:hAnsiTheme="majorBidi" w:cstheme="majorBidi"/>
          <w:sz w:val="24"/>
          <w:szCs w:val="24"/>
        </w:rPr>
        <w:t>.</w:t>
      </w:r>
    </w:p>
    <w:p w:rsidR="008B1E54" w:rsidRPr="008B1E54" w:rsidRDefault="004E57D2" w:rsidP="008B1E54">
      <w:pPr>
        <w:bidi w:val="0"/>
        <w:spacing w:after="0"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Table 3.</w:t>
      </w:r>
      <w:r w:rsidRPr="00D57D14">
        <w:rPr>
          <w:rFonts w:asciiTheme="majorBidi" w:hAnsiTheme="majorBidi" w:cstheme="majorBidi"/>
          <w:sz w:val="24"/>
          <w:szCs w:val="24"/>
        </w:rPr>
        <w:t xml:space="preserve"> Eigenvalues, percentage of variance explained, and loadings of morphological characters on the first two principal components derived from PCA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herbarium specimens.</w:t>
      </w:r>
    </w:p>
    <w:p w:rsidR="008B1E54" w:rsidRPr="00AC752B" w:rsidRDefault="008B1E54" w:rsidP="008B1E54">
      <w:pPr>
        <w:bidi w:val="0"/>
        <w:jc w:val="both"/>
        <w:rPr>
          <w:rFonts w:asciiTheme="majorBidi" w:hAnsiTheme="majorBidi" w:cstheme="majorBidi"/>
          <w:sz w:val="24"/>
          <w:szCs w:val="24"/>
        </w:rPr>
      </w:pPr>
      <w:r w:rsidRPr="00AC752B">
        <w:rPr>
          <w:rFonts w:asciiTheme="majorBidi" w:hAnsiTheme="majorBidi" w:cstheme="majorBidi"/>
          <w:sz w:val="24"/>
          <w:szCs w:val="24"/>
        </w:rPr>
        <w:t>Table 3. Eigenvalues, percentage of variance explained, and loadings of morphological characters on the first two principal components derived from PCA of Convolvulus herbarium specimens.</w:t>
      </w:r>
    </w:p>
    <w:tbl>
      <w:tblPr>
        <w:tblW w:w="6313" w:type="dxa"/>
        <w:tblInd w:w="91" w:type="dxa"/>
        <w:tblLook w:val="04A0"/>
      </w:tblPr>
      <w:tblGrid>
        <w:gridCol w:w="3703"/>
        <w:gridCol w:w="1305"/>
        <w:gridCol w:w="1305"/>
      </w:tblGrid>
      <w:tr w:rsidR="008B1E54" w:rsidRPr="00AC752B" w:rsidTr="008B1E54">
        <w:trPr>
          <w:trHeight w:val="285"/>
        </w:trPr>
        <w:tc>
          <w:tcPr>
            <w:tcW w:w="3703" w:type="dxa"/>
            <w:tcBorders>
              <w:top w:val="single" w:sz="4" w:space="0" w:color="auto"/>
              <w:bottom w:val="single" w:sz="4" w:space="0" w:color="auto"/>
              <w:tl2br w:val="single" w:sz="4" w:space="0" w:color="auto"/>
            </w:tcBorders>
            <w:noWrap/>
            <w:hideMark/>
          </w:tcPr>
          <w:p w:rsidR="008B1E54" w:rsidRDefault="008B1E54" w:rsidP="00AC752B">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PC</w:t>
            </w:r>
          </w:p>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Character</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-4.34E-17</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1.35E-16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-0.0964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0.049267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0.004341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0.11109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-0.05465</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-0.06004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0.79511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-0.00718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0.03045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0.031763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-0.05544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-0.01052</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0.10157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Hairs patent</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0.016755</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0.026667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0.001668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-0.03556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2.72E-25</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3.64E-24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1.41E-27</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2.60E-26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0.039928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-0.20591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-4.27E-29</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-1.18E-27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0.050038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-0.29446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0.053554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0.039859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-0.23423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0.024226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4.28E-05</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0.014198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-0.04638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-0.05698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-0.0114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0.028298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0.1876</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-0.00106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0.023478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-0.04201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0.030874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0.008559</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0.031177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-0.05122</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0.081105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-0.0789</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-0.05331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-0.04073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0.05846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-0.08253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0.035156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colour</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0.89801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0.080671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-0.02839</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0.088833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0.035042</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-0.02622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-0.00283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-0.02916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0.023823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0.015054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0.014802</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-0.00901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-0.02547</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-0.00486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-0.07778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-0.01268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-0.01371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-0.03141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0.004552</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0.046163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-0.08324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-0.23486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0.027793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0.079163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-0.00511</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-0.03409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Persistent calyx</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-0.16065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-0.14358</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0.18689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-0.06033</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0.026814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0.04654</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0.054262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Seed colour</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-0.1019</w:t>
            </w:r>
          </w:p>
        </w:tc>
        <w:tc>
          <w:tcPr>
            <w:tcW w:w="1305" w:type="dxa"/>
            <w:tcBorders>
              <w:top w:val="single" w:sz="4" w:space="0" w:color="auto"/>
              <w:bottom w:val="single" w:sz="4" w:space="0" w:color="auto"/>
            </w:tcBorders>
            <w:noWrap/>
            <w:hideMark/>
          </w:tcPr>
          <w:p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-0.1597</w:t>
            </w:r>
          </w:p>
        </w:tc>
      </w:tr>
      <w:tr w:rsidR="008B1E54" w:rsidRPr="00AC752B" w:rsidTr="008B1E54">
        <w:trPr>
          <w:trHeight w:val="285"/>
        </w:trPr>
        <w:tc>
          <w:tcPr>
            <w:tcW w:w="3703"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Eigenvalue</w:t>
            </w:r>
          </w:p>
        </w:tc>
        <w:tc>
          <w:tcPr>
            <w:tcW w:w="1305"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10.7831</w:t>
            </w:r>
          </w:p>
        </w:tc>
        <w:tc>
          <w:tcPr>
            <w:tcW w:w="1305"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8.11516</w:t>
            </w:r>
          </w:p>
        </w:tc>
      </w:tr>
      <w:tr w:rsidR="008B1E54" w:rsidRPr="00AC752B" w:rsidTr="008B1E54">
        <w:trPr>
          <w:trHeight w:val="285"/>
        </w:trPr>
        <w:tc>
          <w:tcPr>
            <w:tcW w:w="3703"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 variance</w:t>
            </w:r>
          </w:p>
        </w:tc>
        <w:tc>
          <w:tcPr>
            <w:tcW w:w="1305"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27.126</w:t>
            </w:r>
          </w:p>
        </w:tc>
        <w:tc>
          <w:tcPr>
            <w:tcW w:w="1305" w:type="dxa"/>
            <w:tcBorders>
              <w:top w:val="single" w:sz="4" w:space="0" w:color="auto"/>
              <w:bottom w:val="single" w:sz="4" w:space="0" w:color="auto"/>
            </w:tcBorders>
            <w:noWrap/>
          </w:tcPr>
          <w:p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20.415</w:t>
            </w:r>
          </w:p>
        </w:tc>
      </w:tr>
    </w:tbl>
    <w:p w:rsidR="008B1E54" w:rsidRDefault="008B1E54" w:rsidP="0010264A">
      <w:pPr>
        <w:bidi w:val="0"/>
        <w:spacing w:line="360" w:lineRule="auto"/>
        <w:jc w:val="both"/>
        <w:rPr>
          <w:rFonts w:asciiTheme="majorBidi" w:eastAsia="TimesNewRomanPSMT" w:hAnsiTheme="majorBidi" w:cstheme="majorBidi"/>
          <w:sz w:val="24"/>
          <w:szCs w:val="24"/>
        </w:rPr>
      </w:pPr>
    </w:p>
    <w:p w:rsidR="008B1E54" w:rsidRDefault="008B1E54" w:rsidP="008B1E54">
      <w:pPr>
        <w:bidi w:val="0"/>
        <w:spacing w:line="360" w:lineRule="auto"/>
        <w:jc w:val="both"/>
        <w:rPr>
          <w:rFonts w:asciiTheme="majorBidi" w:eastAsia="TimesNewRomanPSMT" w:hAnsiTheme="majorBidi" w:cstheme="majorBidi"/>
          <w:sz w:val="24"/>
          <w:szCs w:val="24"/>
        </w:rPr>
      </w:pPr>
      <w:r>
        <w:rPr>
          <w:rFonts w:asciiTheme="majorBidi" w:eastAsia="TimesNewRomanPSMT" w:hAnsiTheme="majorBidi" w:cstheme="majorBidi"/>
          <w:noProof/>
          <w:sz w:val="24"/>
          <w:szCs w:val="24"/>
        </w:rPr>
        <w:drawing>
          <wp:inline distT="0" distB="0" distL="0" distR="0">
            <wp:extent cx="5400040" cy="2665730"/>
            <wp:effectExtent l="19050" t="0" r="0" b="0"/>
            <wp:docPr id="5" name="Picture 4" descr="Figure 5. Scree plot indicating the percentage of explained variances Vs. principal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Scree plot indicating the percentage of explained variances Vs. principal components..jpg"/>
                    <pic:cNvPicPr/>
                  </pic:nvPicPr>
                  <pic:blipFill>
                    <a:blip r:embed="rId12" cstate="print"/>
                    <a:stretch>
                      <a:fillRect/>
                    </a:stretch>
                  </pic:blipFill>
                  <pic:spPr>
                    <a:xfrm>
                      <a:off x="0" y="0"/>
                      <a:ext cx="5400040" cy="2665730"/>
                    </a:xfrm>
                    <a:prstGeom prst="rect">
                      <a:avLst/>
                    </a:prstGeom>
                  </pic:spPr>
                </pic:pic>
              </a:graphicData>
            </a:graphic>
          </wp:inline>
        </w:drawing>
      </w:r>
    </w:p>
    <w:p w:rsidR="00D36CA4" w:rsidRPr="00D57D14" w:rsidRDefault="00D36CA4" w:rsidP="008B1E54">
      <w:pPr>
        <w:bidi w:val="0"/>
        <w:spacing w:line="360" w:lineRule="auto"/>
        <w:jc w:val="both"/>
        <w:rPr>
          <w:rFonts w:asciiTheme="majorBidi" w:eastAsia="TimesNewRomanPSMT" w:hAnsiTheme="majorBidi" w:cstheme="majorBidi"/>
          <w:sz w:val="24"/>
          <w:szCs w:val="24"/>
        </w:rPr>
      </w:pPr>
      <w:r w:rsidRPr="00D57D14">
        <w:rPr>
          <w:rFonts w:asciiTheme="majorBidi" w:eastAsia="TimesNewRomanPSMT" w:hAnsiTheme="majorBidi" w:cstheme="majorBidi"/>
          <w:sz w:val="24"/>
          <w:szCs w:val="24"/>
        </w:rPr>
        <w:t xml:space="preserve">Figure </w:t>
      </w:r>
      <w:r w:rsidR="0010264A">
        <w:rPr>
          <w:rFonts w:asciiTheme="majorBidi" w:eastAsia="TimesNewRomanPSMT" w:hAnsiTheme="majorBidi" w:cstheme="majorBidi"/>
          <w:sz w:val="24"/>
          <w:szCs w:val="24"/>
        </w:rPr>
        <w:t>5</w:t>
      </w:r>
      <w:r w:rsidRPr="00D57D14">
        <w:rPr>
          <w:rFonts w:asciiTheme="majorBidi" w:eastAsia="TimesNewRomanPSMT" w:hAnsiTheme="majorBidi" w:cstheme="majorBidi"/>
          <w:sz w:val="24"/>
          <w:szCs w:val="24"/>
        </w:rPr>
        <w:t xml:space="preserve">. Scree plot indicating the percentage of explained variances </w:t>
      </w:r>
      <w:r w:rsidRPr="00D57D14">
        <w:rPr>
          <w:rFonts w:asciiTheme="majorBidi" w:eastAsia="TimesNewRomanPSMT" w:hAnsiTheme="majorBidi" w:cstheme="majorBidi"/>
          <w:i/>
          <w:iCs/>
          <w:sz w:val="24"/>
          <w:szCs w:val="24"/>
        </w:rPr>
        <w:t>Vs.</w:t>
      </w:r>
      <w:r w:rsidRPr="00D57D14">
        <w:rPr>
          <w:rFonts w:asciiTheme="majorBidi" w:eastAsia="TimesNewRomanPSMT" w:hAnsiTheme="majorBidi" w:cstheme="majorBidi"/>
          <w:sz w:val="24"/>
          <w:szCs w:val="24"/>
        </w:rPr>
        <w:t xml:space="preserve"> principal components.</w:t>
      </w:r>
    </w:p>
    <w:p w:rsidR="008B1E54" w:rsidRDefault="003245E6" w:rsidP="0010264A">
      <w:pPr>
        <w:bidi w:val="0"/>
        <w:spacing w:line="360" w:lineRule="auto"/>
        <w:jc w:val="both"/>
        <w:rPr>
          <w:rStyle w:val="Strong"/>
          <w:rFonts w:asciiTheme="majorBidi" w:hAnsiTheme="majorBidi" w:cstheme="majorBidi"/>
          <w:b w:val="0"/>
          <w:bCs w:val="0"/>
          <w:sz w:val="24"/>
          <w:szCs w:val="24"/>
        </w:rPr>
      </w:pPr>
      <w:r>
        <w:rPr>
          <w:rFonts w:asciiTheme="majorBidi" w:hAnsiTheme="majorBidi" w:cstheme="majorBidi"/>
          <w:noProof/>
          <w:sz w:val="24"/>
          <w:szCs w:val="24"/>
        </w:rPr>
        <w:drawing>
          <wp:inline distT="0" distB="0" distL="0" distR="0">
            <wp:extent cx="5400040" cy="2741930"/>
            <wp:effectExtent l="19050" t="0" r="0" b="0"/>
            <wp:docPr id="7" name="Picture 6" descr="Figure 6. PCA bi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CA biplot.jpg"/>
                    <pic:cNvPicPr/>
                  </pic:nvPicPr>
                  <pic:blipFill>
                    <a:blip r:embed="rId13" cstate="print"/>
                    <a:stretch>
                      <a:fillRect/>
                    </a:stretch>
                  </pic:blipFill>
                  <pic:spPr>
                    <a:xfrm>
                      <a:off x="0" y="0"/>
                      <a:ext cx="5400040" cy="2741930"/>
                    </a:xfrm>
                    <a:prstGeom prst="rect">
                      <a:avLst/>
                    </a:prstGeom>
                  </pic:spPr>
                </pic:pic>
              </a:graphicData>
            </a:graphic>
          </wp:inline>
        </w:drawing>
      </w:r>
    </w:p>
    <w:p w:rsidR="00D36CA4" w:rsidRPr="00D57D14" w:rsidRDefault="00C8047F" w:rsidP="008B1E54">
      <w:pPr>
        <w:bidi w:val="0"/>
        <w:spacing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 xml:space="preserve">Figure </w:t>
      </w:r>
      <w:r w:rsidR="0010264A">
        <w:rPr>
          <w:rStyle w:val="Strong"/>
          <w:rFonts w:asciiTheme="majorBidi" w:hAnsiTheme="majorBidi" w:cstheme="majorBidi"/>
          <w:b w:val="0"/>
          <w:bCs w:val="0"/>
          <w:sz w:val="24"/>
          <w:szCs w:val="24"/>
        </w:rPr>
        <w:t>6</w:t>
      </w:r>
      <w:r w:rsidRPr="00D57D14">
        <w:rPr>
          <w:rStyle w:val="Strong"/>
          <w:rFonts w:asciiTheme="majorBidi" w:hAnsiTheme="majorBidi" w:cstheme="majorBidi"/>
          <w:b w:val="0"/>
          <w:bCs w:val="0"/>
          <w:sz w:val="24"/>
          <w:szCs w:val="24"/>
        </w:rPr>
        <w:t>.</w:t>
      </w:r>
      <w:r w:rsidRPr="00D57D14">
        <w:rPr>
          <w:rFonts w:asciiTheme="majorBidi" w:hAnsiTheme="majorBidi" w:cstheme="majorBidi"/>
          <w:sz w:val="24"/>
          <w:szCs w:val="24"/>
        </w:rPr>
        <w:t xml:space="preserve"> PCA biplot showing the distribution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specimens along the first two principal components (PC1 and PC2) based on standardized morphological characters.</w:t>
      </w:r>
    </w:p>
    <w:p w:rsidR="00D57D14" w:rsidRDefault="00D57D14" w:rsidP="00191A01">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1C3D37" w:rsidRPr="00D57D14" w:rsidRDefault="00191A01" w:rsidP="001C3D37">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A06B02" w:rsidRPr="00D57D14">
        <w:rPr>
          <w:rFonts w:asciiTheme="majorBidi" w:eastAsia="Times New Roman" w:hAnsiTheme="majorBidi" w:cstheme="majorBidi"/>
          <w:sz w:val="24"/>
          <w:szCs w:val="24"/>
        </w:rPr>
        <w:t xml:space="preserve">UPGMA-derived phenogram </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Figure 1</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 xml:space="preserve">, showed a clear clustering tendency among </w:t>
      </w:r>
      <w:r w:rsidRPr="00D57D14">
        <w:rPr>
          <w:rFonts w:asciiTheme="majorBidi" w:eastAsia="Times New Roman" w:hAnsiTheme="majorBidi" w:cstheme="majorBidi"/>
          <w:sz w:val="24"/>
          <w:szCs w:val="24"/>
        </w:rPr>
        <w:t xml:space="preserve">the studied taxa of genus </w:t>
      </w:r>
      <w:r w:rsidRPr="00D57D14">
        <w:rPr>
          <w:rFonts w:asciiTheme="majorBidi" w:eastAsia="Times New Roman" w:hAnsiTheme="majorBidi" w:cstheme="majorBidi"/>
          <w:i/>
          <w:iCs/>
          <w:sz w:val="24"/>
          <w:szCs w:val="24"/>
        </w:rPr>
        <w:t>Convolvulus</w:t>
      </w:r>
      <w:r w:rsidR="00A06B02" w:rsidRPr="00D57D14">
        <w:rPr>
          <w:rFonts w:asciiTheme="majorBidi" w:eastAsia="Times New Roman" w:hAnsiTheme="majorBidi" w:cstheme="majorBidi"/>
          <w:sz w:val="24"/>
          <w:szCs w:val="24"/>
        </w:rPr>
        <w:t xml:space="preserve"> with a taxonomic distance</w:t>
      </w:r>
      <w:r w:rsidRPr="00D57D14">
        <w:rPr>
          <w:rFonts w:asciiTheme="majorBidi" w:eastAsia="Times New Roman" w:hAnsiTheme="majorBidi" w:cstheme="majorBidi"/>
          <w:sz w:val="24"/>
          <w:szCs w:val="24"/>
        </w:rPr>
        <w:t xml:space="preserve"> 0.09 into six phenetic groups excluding </w:t>
      </w:r>
      <w:r w:rsidRPr="00D57D14">
        <w:rPr>
          <w:rFonts w:asciiTheme="majorBidi" w:eastAsia="Times New Roman" w:hAnsiTheme="majorBidi" w:cstheme="majorBidi"/>
          <w:i/>
          <w:iCs/>
          <w:sz w:val="24"/>
          <w:szCs w:val="24"/>
        </w:rPr>
        <w:t>C.</w:t>
      </w:r>
      <w:r w:rsidRPr="00D57D14">
        <w:rPr>
          <w:rFonts w:asciiTheme="majorBidi" w:eastAsia="Times New Roman" w:hAnsiTheme="majorBidi" w:cstheme="majorBidi"/>
          <w:sz w:val="24"/>
          <w:szCs w:val="24"/>
        </w:rPr>
        <w:t xml:space="preserve"> </w:t>
      </w:r>
      <w:r w:rsidRPr="00D57D14">
        <w:rPr>
          <w:rFonts w:asciiTheme="majorBidi" w:hAnsiTheme="majorBidi" w:cstheme="majorBidi"/>
          <w:i/>
          <w:iCs/>
          <w:sz w:val="24"/>
          <w:szCs w:val="24"/>
        </w:rPr>
        <w:t>rhyniospermus</w:t>
      </w:r>
      <w:r w:rsidRPr="00D57D14">
        <w:rPr>
          <w:rFonts w:asciiTheme="majorBidi" w:hAnsiTheme="majorBidi" w:cstheme="majorBidi"/>
          <w:sz w:val="24"/>
          <w:szCs w:val="24"/>
        </w:rPr>
        <w:t xml:space="preserve"> at earlier level, </w:t>
      </w:r>
      <w:r w:rsidR="00B86CD2" w:rsidRPr="00D57D14">
        <w:rPr>
          <w:rFonts w:asciiTheme="majorBidi" w:hAnsiTheme="majorBidi" w:cstheme="majorBidi"/>
          <w:sz w:val="24"/>
          <w:szCs w:val="24"/>
        </w:rPr>
        <w:t>t</w:t>
      </w:r>
      <w:r w:rsidRPr="00D57D14">
        <w:rPr>
          <w:rFonts w:asciiTheme="majorBidi" w:hAnsiTheme="majorBidi" w:cstheme="majorBidi"/>
          <w:sz w:val="24"/>
          <w:szCs w:val="24"/>
        </w:rPr>
        <w:t xml:space="preserve">his is in some extent comparable with </w:t>
      </w:r>
      <w:r w:rsidR="00890381"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Iraq","type":"article-journal","volume":"66"},"uris":["http://www.mendeley.com/documents/?uuid=d51959f2-306a-4ff5-8b91-7213a17b5b46"]}],"mendeley":{"formattedCitation":"(Hasan, 2023)","plainTextFormattedCitation":"(Hasan, 2023)","previouslyFormattedCitation":"(Hasan, 2023)"},"properties":{"noteIndex":0},"schema":"https://github.com/citation-style-language/schema/raw/master/csl-citation.json"}</w:instrText>
      </w:r>
      <w:r w:rsidR="00890381"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(Hasan, 2023)</w:t>
      </w:r>
      <w:r w:rsidR="00890381" w:rsidRPr="00D57D14">
        <w:rPr>
          <w:rFonts w:asciiTheme="majorBidi" w:hAnsiTheme="majorBidi" w:cstheme="majorBidi"/>
          <w:sz w:val="24"/>
          <w:szCs w:val="24"/>
        </w:rPr>
        <w:fldChar w:fldCharType="end"/>
      </w:r>
      <w:r w:rsidR="0007195F" w:rsidRPr="00D57D14">
        <w:rPr>
          <w:rFonts w:asciiTheme="majorBidi" w:hAnsiTheme="majorBidi" w:cstheme="majorBidi"/>
          <w:sz w:val="24"/>
          <w:szCs w:val="24"/>
        </w:rPr>
        <w:t xml:space="preserve"> </w:t>
      </w:r>
      <w:r w:rsidR="00C85909" w:rsidRPr="00D57D14">
        <w:rPr>
          <w:rFonts w:asciiTheme="majorBidi" w:eastAsia="Times New Roman" w:hAnsiTheme="majorBidi" w:cstheme="majorBidi"/>
          <w:sz w:val="24"/>
          <w:szCs w:val="24"/>
        </w:rPr>
        <w:t>who diverge</w:t>
      </w:r>
      <w:r w:rsidR="00B86CD2" w:rsidRPr="00D57D14">
        <w:rPr>
          <w:rFonts w:asciiTheme="majorBidi" w:eastAsia="Times New Roman" w:hAnsiTheme="majorBidi" w:cstheme="majorBidi"/>
          <w:sz w:val="24"/>
          <w:szCs w:val="24"/>
        </w:rPr>
        <w:t>d</w:t>
      </w:r>
      <w:r w:rsidR="00C85909" w:rsidRPr="00D57D14">
        <w:rPr>
          <w:rFonts w:asciiTheme="majorBidi" w:eastAsia="Times New Roman" w:hAnsiTheme="majorBidi" w:cstheme="majorBidi"/>
          <w:sz w:val="24"/>
          <w:szCs w:val="24"/>
        </w:rPr>
        <w:t xml:space="preserve"> </w:t>
      </w:r>
      <w:r w:rsidR="00C85909" w:rsidRPr="00D57D14">
        <w:rPr>
          <w:rFonts w:asciiTheme="majorBidi" w:eastAsia="Times New Roman" w:hAnsiTheme="majorBidi" w:cstheme="majorBidi"/>
          <w:i/>
          <w:iCs/>
          <w:sz w:val="24"/>
          <w:szCs w:val="24"/>
        </w:rPr>
        <w:t>Convolvulus</w:t>
      </w:r>
      <w:r w:rsidR="00C85909" w:rsidRPr="00D57D14">
        <w:rPr>
          <w:rFonts w:asciiTheme="majorBidi" w:eastAsia="Times New Roman" w:hAnsiTheme="majorBidi" w:cstheme="majorBidi"/>
          <w:sz w:val="24"/>
          <w:szCs w:val="24"/>
        </w:rPr>
        <w:t xml:space="preserve"> into five lineages based on molecular phylogenetics.</w:t>
      </w:r>
      <w:r w:rsidR="00385854" w:rsidRPr="00D57D14">
        <w:rPr>
          <w:rFonts w:asciiTheme="majorBidi" w:eastAsia="Times New Roman" w:hAnsiTheme="majorBidi" w:cstheme="majorBidi"/>
          <w:sz w:val="24"/>
          <w:szCs w:val="24"/>
        </w:rPr>
        <w:t xml:space="preserve"> </w:t>
      </w:r>
    </w:p>
    <w:p w:rsidR="00FE6DC2" w:rsidRPr="00D56350" w:rsidRDefault="001C3D37"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890381"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890381"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(Menemen &amp; Jury, 2002)</w:t>
      </w:r>
      <w:r w:rsidR="00890381" w:rsidRPr="00D56350">
        <w:rPr>
          <w:rFonts w:asciiTheme="majorBidi" w:hAnsiTheme="majorBidi" w:cstheme="majorBidi"/>
          <w:sz w:val="24"/>
          <w:szCs w:val="24"/>
        </w:rPr>
        <w:fldChar w:fldCharType="end"/>
      </w:r>
      <w:r w:rsidR="00684FA7" w:rsidRPr="00D56350">
        <w:rPr>
          <w:rFonts w:asciiTheme="majorBidi" w:eastAsia="Times New Roman" w:hAnsiTheme="majorBidi" w:cstheme="majorBidi"/>
          <w:sz w:val="24"/>
          <w:szCs w:val="24"/>
        </w:rPr>
        <w:t xml:space="preserve"> divided </w:t>
      </w:r>
      <w:r w:rsidR="00684FA7" w:rsidRPr="00D56350">
        <w:rPr>
          <w:rFonts w:asciiTheme="majorBidi" w:hAnsiTheme="majorBidi" w:cstheme="majorBidi"/>
          <w:sz w:val="24"/>
          <w:szCs w:val="24"/>
        </w:rPr>
        <w:t xml:space="preserve">genus </w:t>
      </w:r>
      <w:r w:rsidR="00684FA7" w:rsidRPr="00D56350">
        <w:rPr>
          <w:rFonts w:asciiTheme="majorBidi" w:hAnsiTheme="majorBidi" w:cstheme="majorBidi"/>
          <w:i/>
          <w:iCs/>
          <w:sz w:val="24"/>
          <w:szCs w:val="24"/>
        </w:rPr>
        <w:t>Convolvulus</w:t>
      </w:r>
      <w:r w:rsidR="00684FA7" w:rsidRPr="00D56350">
        <w:rPr>
          <w:rFonts w:asciiTheme="majorBidi" w:hAnsiTheme="majorBidi" w:cstheme="majorBidi"/>
          <w:sz w:val="24"/>
          <w:szCs w:val="24"/>
        </w:rPr>
        <w:t xml:space="preserve"> into three 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Pr="00D56350">
        <w:rPr>
          <w:rFonts w:asciiTheme="majorBidi" w:eastAsia="Times New Roman" w:hAnsiTheme="majorBidi" w:cstheme="majorBidi"/>
          <w:sz w:val="24"/>
          <w:szCs w:val="24"/>
        </w:rPr>
        <w:t xml:space="preserve"> </w:t>
      </w:r>
      <w:r w:rsidRPr="00D56350">
        <w:rPr>
          <w:rFonts w:asciiTheme="majorBidi" w:hAnsiTheme="majorBidi" w:cstheme="majorBidi"/>
          <w:sz w:val="24"/>
          <w:szCs w:val="24"/>
        </w:rPr>
        <w:t xml:space="preserve">Convolvulus, Acanthocladi Boiss. and Inermes Boiss. </w:t>
      </w:r>
      <w:r w:rsidR="00684FA7" w:rsidRPr="00D56350">
        <w:rPr>
          <w:rFonts w:asciiTheme="majorBidi" w:hAnsiTheme="majorBidi" w:cstheme="majorBidi"/>
          <w:sz w:val="24"/>
          <w:szCs w:val="24"/>
        </w:rPr>
        <w:t xml:space="preserve">and </w:t>
      </w:r>
      <w:r w:rsidRPr="00D56350">
        <w:rPr>
          <w:rFonts w:asciiTheme="majorBidi" w:hAnsiTheme="majorBidi" w:cstheme="majorBidi"/>
          <w:sz w:val="24"/>
          <w:szCs w:val="24"/>
        </w:rPr>
        <w:t>six</w:t>
      </w:r>
      <w:r w:rsidR="00684FA7" w:rsidRPr="00D56350">
        <w:rPr>
          <w:rFonts w:asciiTheme="majorBidi" w:hAnsiTheme="majorBidi" w:cstheme="majorBidi"/>
          <w:sz w:val="24"/>
          <w:szCs w:val="24"/>
        </w:rPr>
        <w:t xml:space="preserve"> subsections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Convolvulus, Spinescentes Boiss., Oleifolii Peter, Diffusi Boiss.</w:t>
      </w:r>
      <w:r w:rsidRPr="00D56350">
        <w:rPr>
          <w:rFonts w:asciiTheme="majorBidi" w:hAnsiTheme="majorBidi" w:cstheme="majorBidi"/>
          <w:sz w:val="24"/>
          <w:szCs w:val="24"/>
        </w:rPr>
        <w:t xml:space="preserve">, </w:t>
      </w:r>
      <w:r w:rsidRPr="00D56350">
        <w:rPr>
          <w:rFonts w:asciiTheme="majorBidi" w:eastAsia="Times New Roman" w:hAnsiTheme="majorBidi" w:cstheme="majorBidi"/>
          <w:sz w:val="24"/>
          <w:szCs w:val="24"/>
        </w:rPr>
        <w:t>Floridi Sa’ad</w:t>
      </w:r>
      <w:r w:rsidRPr="00D56350">
        <w:rPr>
          <w:rFonts w:asciiTheme="majorBidi" w:hAnsiTheme="majorBidi" w:cstheme="majorBidi"/>
          <w:sz w:val="24"/>
          <w:szCs w:val="24"/>
        </w:rPr>
        <w:t xml:space="preserve">, and </w:t>
      </w:r>
      <w:r w:rsidRPr="00D56350">
        <w:rPr>
          <w:rFonts w:asciiTheme="majorBidi" w:eastAsia="Times New Roman" w:hAnsiTheme="majorBidi" w:cstheme="majorBidi"/>
          <w:sz w:val="24"/>
          <w:szCs w:val="24"/>
        </w:rPr>
        <w:t xml:space="preserve">Lanuginosi Peter depending on the morphological characters </w:t>
      </w:r>
      <w:r w:rsidR="005E495C" w:rsidRPr="00D56350">
        <w:rPr>
          <w:rFonts w:asciiTheme="majorBidi" w:eastAsia="Times New Roman" w:hAnsiTheme="majorBidi" w:cstheme="majorBidi"/>
          <w:sz w:val="24"/>
          <w:szCs w:val="24"/>
        </w:rPr>
        <w:t xml:space="preserve">as the same as </w:t>
      </w:r>
      <w:r w:rsidRPr="00D56350">
        <w:rPr>
          <w:rFonts w:asciiTheme="majorBidi" w:eastAsia="Times New Roman" w:hAnsiTheme="majorBidi" w:cstheme="majorBidi"/>
          <w:sz w:val="24"/>
          <w:szCs w:val="24"/>
        </w:rPr>
        <w:t>that used in the present study.</w:t>
      </w:r>
      <w:r w:rsidR="00BC11C7" w:rsidRPr="00D56350">
        <w:rPr>
          <w:rFonts w:asciiTheme="majorBidi" w:eastAsia="Times New Roman" w:hAnsiTheme="majorBidi" w:cstheme="majorBidi"/>
          <w:sz w:val="24"/>
          <w:szCs w:val="24"/>
        </w:rPr>
        <w:t xml:space="preserve"> In the </w:t>
      </w:r>
      <w:r w:rsidR="00D5628B" w:rsidRPr="00D56350">
        <w:rPr>
          <w:rFonts w:asciiTheme="majorBidi" w:eastAsia="Times New Roman" w:hAnsiTheme="majorBidi" w:cstheme="majorBidi"/>
          <w:sz w:val="24"/>
          <w:szCs w:val="24"/>
        </w:rPr>
        <w:t>current</w:t>
      </w:r>
      <w:r w:rsidR="00BC11C7" w:rsidRPr="00D56350">
        <w:rPr>
          <w:rFonts w:asciiTheme="majorBidi" w:eastAsia="Times New Roman" w:hAnsiTheme="majorBidi" w:cstheme="majorBidi"/>
          <w:sz w:val="24"/>
          <w:szCs w:val="24"/>
        </w:rPr>
        <w:t xml:space="preserve"> </w:t>
      </w:r>
      <w:r w:rsidR="00D5628B" w:rsidRPr="00D56350">
        <w:rPr>
          <w:rFonts w:asciiTheme="majorBidi" w:eastAsia="Times New Roman" w:hAnsiTheme="majorBidi" w:cstheme="majorBidi"/>
          <w:sz w:val="24"/>
          <w:szCs w:val="24"/>
        </w:rPr>
        <w:t>investigation</w:t>
      </w:r>
      <w:r w:rsidR="00BC11C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i/>
          <w:iCs/>
          <w:sz w:val="24"/>
          <w:szCs w:val="24"/>
        </w:rPr>
        <w:t>C.</w:t>
      </w:r>
      <w:r w:rsidR="00385854" w:rsidRPr="00D56350">
        <w:rPr>
          <w:rFonts w:asciiTheme="majorBidi" w:eastAsia="Times New Roman" w:hAnsiTheme="majorBidi" w:cstheme="majorBidi"/>
          <w:sz w:val="24"/>
          <w:szCs w:val="24"/>
        </w:rPr>
        <w:t xml:space="preserve"> </w:t>
      </w:r>
      <w:r w:rsidR="00385854" w:rsidRPr="00D56350">
        <w:rPr>
          <w:rFonts w:asciiTheme="majorBidi" w:hAnsiTheme="majorBidi" w:cstheme="majorBidi"/>
          <w:i/>
          <w:iCs/>
          <w:sz w:val="24"/>
          <w:szCs w:val="24"/>
        </w:rPr>
        <w:t>arvensis</w:t>
      </w:r>
      <w:r w:rsidR="00385854" w:rsidRPr="00D56350">
        <w:rPr>
          <w:rFonts w:asciiTheme="majorBidi" w:hAnsiTheme="majorBidi" w:cstheme="majorBidi"/>
          <w:sz w:val="24"/>
          <w:szCs w:val="24"/>
        </w:rPr>
        <w:t xml:space="preserve">  and </w:t>
      </w:r>
      <w:r w:rsidR="00385854" w:rsidRPr="00D56350">
        <w:rPr>
          <w:rFonts w:asciiTheme="majorBidi" w:hAnsiTheme="majorBidi" w:cstheme="majorBidi"/>
          <w:i/>
          <w:iCs/>
          <w:sz w:val="24"/>
          <w:szCs w:val="24"/>
        </w:rPr>
        <w:t>C.</w:t>
      </w:r>
      <w:r w:rsidR="00385854" w:rsidRPr="00D56350">
        <w:rPr>
          <w:rFonts w:asciiTheme="majorBidi" w:hAnsiTheme="majorBidi" w:cstheme="majorBidi"/>
          <w:sz w:val="24"/>
          <w:szCs w:val="24"/>
        </w:rPr>
        <w:t xml:space="preserve"> </w:t>
      </w:r>
      <w:r w:rsidR="00385854" w:rsidRPr="00D56350">
        <w:rPr>
          <w:rFonts w:asciiTheme="majorBidi" w:hAnsiTheme="majorBidi" w:cstheme="majorBidi"/>
          <w:i/>
          <w:iCs/>
          <w:sz w:val="24"/>
          <w:szCs w:val="24"/>
        </w:rPr>
        <w:t>sagittatus</w:t>
      </w:r>
      <w:r w:rsidR="00385854" w:rsidRPr="00D56350">
        <w:rPr>
          <w:rFonts w:asciiTheme="majorBidi" w:eastAsia="Times New Roman" w:hAnsiTheme="majorBidi" w:cstheme="majorBidi"/>
          <w:sz w:val="24"/>
          <w:szCs w:val="24"/>
        </w:rPr>
        <w:t xml:space="preserve"> were phenetically clustered together and this is </w:t>
      </w:r>
      <w:r w:rsidR="00672F87" w:rsidRPr="00D56350">
        <w:rPr>
          <w:rFonts w:asciiTheme="majorBidi" w:eastAsia="Times New Roman" w:hAnsiTheme="majorBidi" w:cstheme="majorBidi"/>
          <w:sz w:val="24"/>
          <w:szCs w:val="24"/>
        </w:rPr>
        <w:t xml:space="preserve">comparable with </w:t>
      </w:r>
      <w:r w:rsidR="00890381" w:rsidRPr="00D56350">
        <w:rPr>
          <w:rFonts w:asciiTheme="majorBidi" w:eastAsia="Times New Roman" w:hAnsiTheme="majorBidi" w:cstheme="majorBidi"/>
          <w:sz w:val="24"/>
          <w:szCs w:val="24"/>
        </w:rPr>
        <w:fldChar w:fldCharType="begin" w:fldLock="1"/>
      </w:r>
      <w:r w:rsidR="00FE21EC" w:rsidRPr="00D56350">
        <w:rPr>
          <w:rFonts w:asciiTheme="majorBidi" w:eastAsia="Times New Roman" w:hAnsiTheme="majorBidi" w:cstheme="majorBidi"/>
          <w:sz w:val="24"/>
          <w:szCs w:val="24"/>
        </w:rPr>
        <w:instrText>ADDIN CSL_CITATION {"citationItems":[{"id":"ITEM-1","itemData":{"author":[{"dropping-particle":"","family":"Stefanovic","given":"R Ichard G O","non-dropping-particle":"","parse-names":false,"suffix":""}],"container-title":"American journal of botany","id":"ITEM-1","issue":"9","issued":{"date-parts":[["2002"]]},"page":"1510-1522","title":"Circumscription of Their Major Lineages Based","type":"article-journal","volume":"89"},"uris":["http://www.mendeley.com/documents/?uuid=0a884075-d1c9-4d85-ab1b-a9ee2f127bb9"]}],"mendeley":{"formattedCitation":"(Stefanovic, 2002)","plainTextFormattedCitation":"(Stefanovic, 2002)","previouslyFormattedCitation":"(Stefanovic, 2002)"},"properties":{"noteIndex":0},"schema":"https://github.com/citation-style-language/schema/raw/master/csl-citation.json"}</w:instrText>
      </w:r>
      <w:r w:rsidR="00890381" w:rsidRPr="00D56350">
        <w:rPr>
          <w:rFonts w:asciiTheme="majorBidi" w:eastAsia="Times New Roman" w:hAnsiTheme="majorBidi" w:cstheme="majorBidi"/>
          <w:sz w:val="24"/>
          <w:szCs w:val="24"/>
        </w:rPr>
        <w:fldChar w:fldCharType="separate"/>
      </w:r>
      <w:r w:rsidR="00672F87" w:rsidRPr="00D56350">
        <w:rPr>
          <w:rFonts w:asciiTheme="majorBidi" w:eastAsia="Times New Roman" w:hAnsiTheme="majorBidi" w:cstheme="majorBidi"/>
          <w:noProof/>
          <w:sz w:val="24"/>
          <w:szCs w:val="24"/>
        </w:rPr>
        <w:t>(Stefanovic, 2002)</w:t>
      </w:r>
      <w:r w:rsidR="00890381" w:rsidRPr="00D56350">
        <w:rPr>
          <w:rFonts w:asciiTheme="majorBidi" w:eastAsia="Times New Roman" w:hAnsiTheme="majorBidi" w:cstheme="majorBidi"/>
          <w:sz w:val="24"/>
          <w:szCs w:val="24"/>
        </w:rPr>
        <w:fldChar w:fldCharType="end"/>
      </w:r>
      <w:r w:rsidR="00672F87" w:rsidRPr="00D56350">
        <w:rPr>
          <w:rFonts w:asciiTheme="majorBidi" w:eastAsia="Times New Roman" w:hAnsiTheme="majorBidi" w:cstheme="majorBidi"/>
          <w:sz w:val="24"/>
          <w:szCs w:val="24"/>
        </w:rPr>
        <w:t xml:space="preserve"> who joined them in one group based on molecular data, </w:t>
      </w:r>
      <w:r w:rsidR="00D5628B" w:rsidRPr="00D56350">
        <w:rPr>
          <w:rFonts w:asciiTheme="majorBidi" w:eastAsia="Times New Roman" w:hAnsiTheme="majorBidi" w:cstheme="majorBidi"/>
          <w:sz w:val="24"/>
          <w:szCs w:val="24"/>
        </w:rPr>
        <w:t xml:space="preserve">and </w:t>
      </w:r>
      <w:r w:rsidR="00672F87" w:rsidRPr="00D56350">
        <w:rPr>
          <w:rFonts w:asciiTheme="majorBidi" w:eastAsia="Times New Roman" w:hAnsiTheme="majorBidi" w:cstheme="majorBidi"/>
          <w:sz w:val="24"/>
          <w:szCs w:val="24"/>
        </w:rPr>
        <w:t xml:space="preserve">in contrast to </w:t>
      </w:r>
      <w:r w:rsidR="00890381"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(Convolvulaceae)","type":"article-journal","volume":"51"},"uris":["http://www.mendeley.com/documents/?uuid=50af832b-bee0-4907-ac15-267ed92dce57"]},{"id":"ITEM-2","itemData":{"author":[{"dropping-particle":"","family":"Williams","given":"Bethany R M","non-dropping-particle":"","parse-names":false,"suffix":""},{"dropping-particle":"","family":"Mitchell","given":"Thomas C","non-dropping-particle":"","parse-names":false,"suffix":""},{"dropping-particle":"","family":"Wood","given":"John R I","non-dropping-particle":"","parse-names":false,"suffix":""},{"dropping-particle":"","family":"Harris","given":"David J","non-dropping-particle":"","parse-names":false,"suffix":""},{"dropping-particle":"","family":"Scotland","given":"Robert W","non-dropping-particle":"","parse-names":false,"suffix":""},{"dropping-particle":"","family":"Carine","given":"Mark A","non-dropping-particle":"","parse-names":false,"suffix":""}],"container-title":"Taxon","id":"ITEM-2","issue":"6","issued":{"date-parts":[["2014"]]},"page":"1287-1306","publisher":"Wiley Online Library","title":"Integrating DNA barcode data in a monographic study of Convolvulus","type":"article-journal","volume":"63"},"uris":["http://www.mendeley.com/documents/?uuid=9af2e125-4b8d-4048-8c60-77e4185f4c33"]}],"mendeley":{"formattedCitation":"(Williams et al., 2014; Wood et al., 2015)","plainTextFormattedCitation":"(Williams et al., 2014; Wood et al., 2015)","previouslyFormattedCitation":"(Williams et al., 2014; Wood et al., 2015)"},"properties":{"noteIndex":0},"schema":"https://github.com/citation-style-language/schema/raw/master/csl-citation.json"}</w:instrText>
      </w:r>
      <w:r w:rsidR="00890381"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(Williams et al., 2014; Wood et al., 2015)</w:t>
      </w:r>
      <w:r w:rsidR="00890381" w:rsidRPr="00D56350">
        <w:rPr>
          <w:rFonts w:asciiTheme="majorBidi" w:eastAsia="Times New Roman" w:hAnsiTheme="majorBidi" w:cstheme="majorBidi"/>
          <w:sz w:val="24"/>
          <w:szCs w:val="24"/>
        </w:rPr>
        <w:fldChar w:fldCharType="end"/>
      </w:r>
      <w:r w:rsidR="001D5572"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sz w:val="24"/>
          <w:szCs w:val="24"/>
        </w:rPr>
        <w:t xml:space="preserve">where the two species </w:t>
      </w:r>
      <w:r w:rsidR="00D5628B" w:rsidRPr="00D56350">
        <w:rPr>
          <w:rFonts w:asciiTheme="majorBidi" w:eastAsia="Times New Roman" w:hAnsiTheme="majorBidi" w:cstheme="majorBidi"/>
          <w:sz w:val="24"/>
          <w:szCs w:val="24"/>
        </w:rPr>
        <w:t xml:space="preserve">have been </w:t>
      </w:r>
      <w:r w:rsidR="00385854" w:rsidRPr="00D56350">
        <w:rPr>
          <w:rFonts w:asciiTheme="majorBidi" w:eastAsia="Times New Roman" w:hAnsiTheme="majorBidi" w:cstheme="majorBidi"/>
          <w:sz w:val="24"/>
          <w:szCs w:val="24"/>
        </w:rPr>
        <w:t>separated with molecular supports</w:t>
      </w:r>
      <w:r w:rsidR="00672F8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ab/>
        <w:t xml:space="preserve">Two </w:t>
      </w:r>
      <w:r w:rsidR="00FE6DC2" w:rsidRPr="00D56350">
        <w:rPr>
          <w:rFonts w:asciiTheme="majorBidi" w:eastAsia="Times New Roman" w:hAnsiTheme="majorBidi" w:cstheme="majorBidi"/>
          <w:sz w:val="24"/>
          <w:szCs w:val="24"/>
        </w:rPr>
        <w:t xml:space="preserve">studied subspecies were nested together </w:t>
      </w:r>
      <w:r w:rsidR="00FE6DC2" w:rsidRPr="00D56350">
        <w:rPr>
          <w:rFonts w:asciiTheme="majorBidi" w:eastAsia="Times New Roman" w:hAnsiTheme="majorBidi" w:cstheme="majorBidi"/>
          <w:i/>
          <w:iCs/>
          <w:sz w:val="24"/>
          <w:szCs w:val="24"/>
        </w:rPr>
        <w:t>Viz</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i/>
          <w:iCs/>
          <w:sz w:val="24"/>
          <w:szCs w:val="24"/>
        </w:rPr>
        <w:t>C.</w:t>
      </w:r>
      <w:r w:rsidR="00A27CE2" w:rsidRPr="00D56350">
        <w:rPr>
          <w:rFonts w:asciiTheme="majorBidi" w:eastAsia="Times New Roman" w:hAnsiTheme="majorBidi" w:cstheme="majorBidi"/>
          <w:sz w:val="24"/>
          <w:szCs w:val="24"/>
        </w:rPr>
        <w:t xml:space="preserve"> </w:t>
      </w:r>
      <w:r w:rsidR="00A27CE2" w:rsidRPr="00D56350">
        <w:rPr>
          <w:rFonts w:asciiTheme="majorBidi" w:hAnsiTheme="majorBidi" w:cstheme="majorBidi"/>
          <w:i/>
          <w:iCs/>
          <w:sz w:val="24"/>
          <w:szCs w:val="24"/>
        </w:rPr>
        <w:t xml:space="preserve">siculus </w:t>
      </w:r>
      <w:r w:rsidR="00A27CE2" w:rsidRPr="00D56350">
        <w:rPr>
          <w:rFonts w:asciiTheme="majorBidi" w:hAnsiTheme="majorBidi" w:cstheme="majorBidi"/>
          <w:sz w:val="24"/>
          <w:szCs w:val="24"/>
        </w:rPr>
        <w:t xml:space="preserve">subsp. </w:t>
      </w:r>
      <w:r w:rsidR="00A27CE2" w:rsidRPr="00D56350">
        <w:rPr>
          <w:rFonts w:asciiTheme="majorBidi" w:hAnsiTheme="majorBidi" w:cstheme="majorBidi"/>
          <w:i/>
          <w:iCs/>
          <w:sz w:val="24"/>
          <w:szCs w:val="24"/>
        </w:rPr>
        <w:t xml:space="preserve">agrestis </w:t>
      </w:r>
      <w:r w:rsidR="00A27CE2" w:rsidRPr="00D56350">
        <w:rPr>
          <w:rFonts w:asciiTheme="majorBidi" w:hAnsiTheme="majorBidi" w:cstheme="majorBidi"/>
          <w:sz w:val="24"/>
          <w:szCs w:val="24"/>
        </w:rPr>
        <w:t>and</w:t>
      </w:r>
      <w:r w:rsidR="00A27CE2" w:rsidRPr="00D56350">
        <w:rPr>
          <w:rFonts w:asciiTheme="majorBidi" w:hAnsiTheme="majorBidi" w:cstheme="majorBidi"/>
          <w:i/>
          <w:iCs/>
          <w:sz w:val="24"/>
          <w:szCs w:val="24"/>
        </w:rPr>
        <w:t xml:space="preserve"> C. siculus </w:t>
      </w:r>
      <w:r w:rsidR="00A27CE2" w:rsidRPr="00D56350">
        <w:rPr>
          <w:rFonts w:asciiTheme="majorBidi" w:hAnsiTheme="majorBidi" w:cstheme="majorBidi"/>
          <w:sz w:val="24"/>
          <w:szCs w:val="24"/>
        </w:rPr>
        <w:t xml:space="preserve">subsp. </w:t>
      </w:r>
      <w:r w:rsidR="00A27CE2" w:rsidRPr="00D56350">
        <w:rPr>
          <w:rFonts w:asciiTheme="majorBidi" w:hAnsiTheme="majorBidi" w:cstheme="majorBidi"/>
          <w:i/>
          <w:iCs/>
          <w:sz w:val="24"/>
          <w:szCs w:val="24"/>
        </w:rPr>
        <w:t>siculus</w:t>
      </w:r>
      <w:r w:rsidR="00A27CE2" w:rsidRPr="00D56350">
        <w:rPr>
          <w:rFonts w:asciiTheme="majorBidi" w:eastAsia="Times New Roman" w:hAnsiTheme="majorBidi" w:cstheme="majorBidi"/>
          <w:sz w:val="24"/>
          <w:szCs w:val="24"/>
        </w:rPr>
        <w:t xml:space="preserve"> </w:t>
      </w:r>
      <w:r w:rsidR="00FE6DC2" w:rsidRPr="00D56350">
        <w:rPr>
          <w:rFonts w:asciiTheme="majorBidi" w:eastAsia="Times New Roman" w:hAnsiTheme="majorBidi" w:cstheme="majorBidi"/>
          <w:sz w:val="24"/>
          <w:szCs w:val="24"/>
        </w:rPr>
        <w:t>that is</w:t>
      </w:r>
      <w:r w:rsidR="00A27CE2" w:rsidRPr="00D56350">
        <w:rPr>
          <w:rFonts w:asciiTheme="majorBidi" w:eastAsia="Times New Roman" w:hAnsiTheme="majorBidi" w:cstheme="majorBidi"/>
          <w:sz w:val="24"/>
          <w:szCs w:val="24"/>
        </w:rPr>
        <w:t xml:space="preserve"> in line with the definition of the rank subspecies according</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sz w:val="24"/>
          <w:szCs w:val="24"/>
        </w:rPr>
        <w:t xml:space="preserve">to </w:t>
      </w:r>
      <w:r w:rsidR="00890381" w:rsidRPr="00D56350">
        <w:rPr>
          <w:rFonts w:asciiTheme="majorBidi" w:eastAsia="Times New Roman" w:hAnsiTheme="majorBidi" w:cstheme="majorBidi"/>
          <w:noProof/>
          <w:sz w:val="24"/>
          <w:szCs w:val="24"/>
        </w:rPr>
        <w:fldChar w:fldCharType="begin" w:fldLock="1"/>
      </w:r>
      <w:r w:rsidR="00F76AFF" w:rsidRPr="00D56350">
        <w:rPr>
          <w:rFonts w:asciiTheme="majorBidi" w:eastAsia="Times New Roman" w:hAnsiTheme="majorBidi" w:cstheme="majorBidi"/>
          <w:noProof/>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890381" w:rsidRPr="00D56350">
        <w:rPr>
          <w:rFonts w:asciiTheme="majorBidi" w:eastAsia="Times New Roman" w:hAnsiTheme="majorBidi" w:cstheme="majorBidi"/>
          <w:noProof/>
          <w:sz w:val="24"/>
          <w:szCs w:val="24"/>
        </w:rPr>
        <w:fldChar w:fldCharType="separate"/>
      </w:r>
      <w:r w:rsidR="00F76AFF" w:rsidRPr="00D56350">
        <w:rPr>
          <w:rFonts w:asciiTheme="majorBidi" w:eastAsia="Times New Roman" w:hAnsiTheme="majorBidi" w:cstheme="majorBidi"/>
          <w:noProof/>
          <w:sz w:val="24"/>
          <w:szCs w:val="24"/>
        </w:rPr>
        <w:t>(Wood et al., 2015)</w:t>
      </w:r>
      <w:r w:rsidR="00890381" w:rsidRPr="00D56350">
        <w:rPr>
          <w:rFonts w:asciiTheme="majorBidi" w:eastAsia="Times New Roman" w:hAnsiTheme="majorBidi" w:cstheme="majorBidi"/>
          <w:noProof/>
          <w:sz w:val="24"/>
          <w:szCs w:val="24"/>
        </w:rPr>
        <w:fldChar w:fldCharType="end"/>
      </w:r>
      <w:r w:rsidR="00A27CE2" w:rsidRPr="00D56350">
        <w:rPr>
          <w:rFonts w:asciiTheme="majorBidi" w:eastAsia="Times New Roman" w:hAnsiTheme="majorBidi" w:cstheme="majorBidi"/>
          <w:noProof/>
          <w:sz w:val="24"/>
          <w:szCs w:val="24"/>
        </w:rPr>
        <w:t xml:space="preserve"> where</w:t>
      </w:r>
      <w:r w:rsidR="00A27CE2" w:rsidRPr="00D56350">
        <w:rPr>
          <w:rFonts w:asciiTheme="majorBidi" w:eastAsia="Times New Roman" w:hAnsiTheme="majorBidi" w:cstheme="majorBidi"/>
          <w:sz w:val="24"/>
          <w:szCs w:val="24"/>
        </w:rPr>
        <w:t xml:space="preserve"> </w:t>
      </w:r>
      <w:r w:rsidR="00D56350" w:rsidRPr="00D56350">
        <w:rPr>
          <w:rFonts w:asciiTheme="majorBidi" w:hAnsiTheme="majorBidi" w:cstheme="majorBidi"/>
          <w:sz w:val="24"/>
          <w:szCs w:val="24"/>
        </w:rPr>
        <w:t>two closely related and often intergrading taxa are geographically separated but may have overlapping ranges, they are distinguished using the rank of "subspecies"</w:t>
      </w:r>
      <w:r w:rsidR="00A27CE2"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Usually, one or two characters divide them. Throughout much of their range, they exhibit distinctive behaviors</w:t>
      </w:r>
      <w:r w:rsidR="004A5EF2" w:rsidRPr="00D56350">
        <w:rPr>
          <w:rFonts w:asciiTheme="majorBidi" w:hAnsiTheme="majorBidi" w:cstheme="majorBidi"/>
          <w:sz w:val="24"/>
          <w:szCs w:val="24"/>
        </w:rPr>
        <w:t xml:space="preserve">, this definition contradicts with what has concluded regarding </w:t>
      </w:r>
      <w:r w:rsidR="004A5EF2" w:rsidRPr="00D56350">
        <w:rPr>
          <w:rFonts w:asciiTheme="majorBidi" w:hAnsiTheme="majorBidi" w:cstheme="majorBidi"/>
          <w:i/>
          <w:iCs/>
          <w:color w:val="000000"/>
          <w:sz w:val="24"/>
          <w:szCs w:val="24"/>
        </w:rPr>
        <w:t>C. oxyphyllus </w:t>
      </w:r>
      <w:r w:rsidR="004A5EF2" w:rsidRPr="00D56350">
        <w:rPr>
          <w:rFonts w:asciiTheme="majorBidi" w:hAnsiTheme="majorBidi" w:cstheme="majorBidi"/>
          <w:color w:val="000000"/>
          <w:sz w:val="24"/>
          <w:szCs w:val="24"/>
        </w:rPr>
        <w:t xml:space="preserve"> subsp. </w:t>
      </w:r>
      <w:r w:rsidR="004A5EF2" w:rsidRPr="00D56350">
        <w:rPr>
          <w:rFonts w:asciiTheme="majorBidi" w:hAnsiTheme="majorBidi" w:cstheme="majorBidi"/>
          <w:i/>
          <w:iCs/>
          <w:color w:val="000000"/>
          <w:sz w:val="24"/>
          <w:szCs w:val="24"/>
        </w:rPr>
        <w:t>oxycladus</w:t>
      </w:r>
      <w:r w:rsidR="004A5EF2" w:rsidRPr="00D56350">
        <w:rPr>
          <w:rFonts w:asciiTheme="majorBidi" w:hAnsiTheme="majorBidi" w:cstheme="majorBidi"/>
          <w:color w:val="000000"/>
          <w:sz w:val="24"/>
          <w:szCs w:val="24"/>
        </w:rPr>
        <w:t> </w:t>
      </w:r>
      <w:r w:rsidR="00A27CE2" w:rsidRPr="00D56350">
        <w:rPr>
          <w:rFonts w:asciiTheme="majorBidi" w:eastAsia="Times New Roman" w:hAnsiTheme="majorBidi" w:cstheme="majorBidi"/>
          <w:sz w:val="24"/>
          <w:szCs w:val="24"/>
        </w:rPr>
        <w:t xml:space="preserve"> </w:t>
      </w:r>
      <w:r w:rsidR="004A5EF2" w:rsidRPr="00D56350">
        <w:rPr>
          <w:rFonts w:asciiTheme="majorBidi" w:eastAsia="Times New Roman" w:hAnsiTheme="majorBidi" w:cstheme="majorBidi"/>
          <w:sz w:val="24"/>
          <w:szCs w:val="24"/>
        </w:rPr>
        <w:t xml:space="preserve">and </w:t>
      </w:r>
      <w:r w:rsidR="004A5EF2" w:rsidRPr="00D56350">
        <w:rPr>
          <w:rFonts w:asciiTheme="majorBidi" w:hAnsiTheme="majorBidi" w:cstheme="majorBidi"/>
          <w:i/>
          <w:iCs/>
          <w:color w:val="000000"/>
          <w:sz w:val="24"/>
          <w:szCs w:val="24"/>
        </w:rPr>
        <w:t xml:space="preserve">C. oxyphyllus </w:t>
      </w:r>
      <w:r w:rsidR="004A5EF2" w:rsidRPr="00D56350">
        <w:rPr>
          <w:rFonts w:asciiTheme="majorBidi" w:hAnsiTheme="majorBidi" w:cstheme="majorBidi"/>
          <w:color w:val="000000"/>
          <w:sz w:val="24"/>
          <w:szCs w:val="24"/>
        </w:rPr>
        <w:t xml:space="preserve">subsp. </w:t>
      </w:r>
      <w:r w:rsidR="004A5EF2" w:rsidRPr="00D56350">
        <w:rPr>
          <w:rFonts w:asciiTheme="majorBidi" w:hAnsiTheme="majorBidi" w:cstheme="majorBidi"/>
          <w:i/>
          <w:iCs/>
          <w:color w:val="000000"/>
          <w:sz w:val="24"/>
          <w:szCs w:val="24"/>
        </w:rPr>
        <w:t>sheilae</w:t>
      </w:r>
      <w:r w:rsidR="004A5EF2" w:rsidRPr="00D56350">
        <w:rPr>
          <w:rFonts w:asciiTheme="majorBidi" w:eastAsia="Times New Roman" w:hAnsiTheme="majorBidi" w:cstheme="majorBidi"/>
          <w:sz w:val="24"/>
          <w:szCs w:val="24"/>
        </w:rPr>
        <w:t xml:space="preserve"> where the two subspecies have been separated in two distinct phenetic groups.</w:t>
      </w:r>
    </w:p>
    <w:p w:rsidR="00A27CE2" w:rsidRPr="00D56350" w:rsidRDefault="00FE6DC2"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890381" w:rsidRPr="00D56350">
        <w:rPr>
          <w:rFonts w:asciiTheme="majorBidi" w:eastAsia="Times New Roman" w:hAnsiTheme="majorBidi" w:cstheme="majorBidi"/>
          <w:sz w:val="24"/>
          <w:szCs w:val="24"/>
        </w:rPr>
        <w:fldChar w:fldCharType="begin" w:fldLock="1"/>
      </w:r>
      <w:r w:rsidR="005D6D01">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2015)","manualFormatting":"Wood et al. (2015)","plainTextFormattedCitation":"(Wood et al., 2015)","previouslyFormattedCitation":"(Wood et al., 2015)"},"properties":{"noteIndex":0},"schema":"https://github.com/citation-style-language/schema/raw/master/csl-citation.json"}</w:instrText>
      </w:r>
      <w:r w:rsidR="00890381" w:rsidRPr="00D56350">
        <w:rPr>
          <w:rFonts w:asciiTheme="majorBidi" w:eastAsia="Times New Roman" w:hAnsiTheme="majorBidi" w:cstheme="majorBidi"/>
          <w:sz w:val="24"/>
          <w:szCs w:val="24"/>
        </w:rPr>
        <w:fldChar w:fldCharType="separate"/>
      </w:r>
      <w:r w:rsidR="009E497F">
        <w:rPr>
          <w:rFonts w:asciiTheme="majorBidi" w:eastAsia="Times New Roman" w:hAnsiTheme="majorBidi" w:cstheme="majorBidi"/>
          <w:noProof/>
          <w:sz w:val="24"/>
          <w:szCs w:val="24"/>
        </w:rPr>
        <w:t>Wood et al.</w:t>
      </w:r>
      <w:r w:rsidR="00F76AFF" w:rsidRPr="00D56350">
        <w:rPr>
          <w:rFonts w:asciiTheme="majorBidi" w:eastAsia="Times New Roman" w:hAnsiTheme="majorBidi" w:cstheme="majorBidi"/>
          <w:noProof/>
          <w:sz w:val="24"/>
          <w:szCs w:val="24"/>
        </w:rPr>
        <w:t xml:space="preserve"> </w:t>
      </w:r>
      <w:r w:rsidR="009E497F">
        <w:rPr>
          <w:rFonts w:asciiTheme="majorBidi" w:eastAsia="Times New Roman" w:hAnsiTheme="majorBidi" w:cstheme="majorBidi"/>
          <w:noProof/>
          <w:sz w:val="24"/>
          <w:szCs w:val="24"/>
        </w:rPr>
        <w:t>(</w:t>
      </w:r>
      <w:r w:rsidR="00F76AFF" w:rsidRPr="00D56350">
        <w:rPr>
          <w:rFonts w:asciiTheme="majorBidi" w:eastAsia="Times New Roman" w:hAnsiTheme="majorBidi" w:cstheme="majorBidi"/>
          <w:noProof/>
          <w:sz w:val="24"/>
          <w:szCs w:val="24"/>
        </w:rPr>
        <w:t>2015)</w:t>
      </w:r>
      <w:r w:rsidR="00890381" w:rsidRPr="00D56350">
        <w:rPr>
          <w:rFonts w:asciiTheme="majorBidi" w:eastAsia="Times New Roman" w:hAnsiTheme="majorBidi" w:cstheme="majorBidi"/>
          <w:sz w:val="24"/>
          <w:szCs w:val="24"/>
        </w:rPr>
        <w:fldChar w:fldCharType="end"/>
      </w:r>
      <w:r w:rsidR="00A27CE2" w:rsidRPr="00D56350">
        <w:rPr>
          <w:rFonts w:asciiTheme="majorBidi" w:eastAsia="Times New Roman" w:hAnsiTheme="majorBidi" w:cstheme="majorBidi"/>
          <w:sz w:val="24"/>
          <w:szCs w:val="24"/>
        </w:rPr>
        <w:t xml:space="preserve"> used many of the present morphological traits in species delimitation of </w:t>
      </w:r>
      <w:r w:rsidR="00A27CE2" w:rsidRPr="00D56350">
        <w:rPr>
          <w:rFonts w:asciiTheme="majorBidi" w:eastAsia="Times New Roman" w:hAnsiTheme="majorBidi" w:cstheme="majorBidi"/>
          <w:i/>
          <w:iCs/>
          <w:sz w:val="24"/>
          <w:szCs w:val="24"/>
        </w:rPr>
        <w:t>Convolvulus</w:t>
      </w:r>
      <w:r w:rsidR="00A27CE2" w:rsidRPr="00D56350">
        <w:rPr>
          <w:rFonts w:asciiTheme="majorBidi" w:eastAsia="Times New Roman" w:hAnsiTheme="majorBidi" w:cstheme="majorBidi"/>
          <w:sz w:val="24"/>
          <w:szCs w:val="24"/>
        </w:rPr>
        <w:t xml:space="preserve">. </w:t>
      </w:r>
      <w:r w:rsidR="00890381"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Sa'ad","given":"Fatima","non-dropping-particle":"","parse-names":false,"suffix":""}],"container-title":"Bronder-Offset","id":"ITEM-1","issued":{"date-parts":[["1967"]]},"page":"258-261","title":"The Convolvulus species of the Canary Isles, the Mediterranean region and the Near and Middle East","type":"article-journal"},"uris":["http://www.mendeley.com/documents/?uuid=cb9ff1da-9ae0-4818-80a8-882aced23788"]}],"mendeley":{"formattedCitation":"(Sa’ad, 1967)","plainTextFormattedCitation":"(Sa’ad, 1967)","previouslyFormattedCitation":"(Sa’ad, 1967)"},"properties":{"noteIndex":0},"schema":"https://github.com/citation-style-language/schema/raw/master/csl-citation.json"}</w:instrText>
      </w:r>
      <w:r w:rsidR="00890381"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(Sa’ad, 1967)</w:t>
      </w:r>
      <w:r w:rsidR="00890381" w:rsidRPr="00D56350">
        <w:rPr>
          <w:rFonts w:asciiTheme="majorBidi" w:hAnsiTheme="majorBidi" w:cstheme="majorBidi"/>
          <w:sz w:val="24"/>
          <w:szCs w:val="24"/>
        </w:rPr>
        <w:fldChar w:fldCharType="end"/>
      </w:r>
      <w:r w:rsidR="00495D09"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highlighted the many hair forms in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but neither she nor we used this for species delimitation; instead, we have highlighted a few indumentum characteristics that we believe are taxonomically signi</w:t>
      </w:r>
      <w:r w:rsidR="00D56350">
        <w:rPr>
          <w:rFonts w:asciiTheme="majorBidi" w:hAnsiTheme="majorBidi" w:cstheme="majorBidi"/>
          <w:sz w:val="24"/>
          <w:szCs w:val="24"/>
        </w:rPr>
        <w:t>ficant</w:t>
      </w:r>
      <w:r w:rsidR="00495D09" w:rsidRPr="00D56350">
        <w:rPr>
          <w:rFonts w:asciiTheme="majorBidi" w:hAnsiTheme="majorBidi" w:cstheme="majorBidi"/>
          <w:sz w:val="24"/>
          <w:szCs w:val="24"/>
        </w:rPr>
        <w:t>.</w:t>
      </w:r>
    </w:p>
    <w:p w:rsidR="00E9001B" w:rsidRPr="00D56350" w:rsidRDefault="00520ABB" w:rsidP="004152AF">
      <w:pPr>
        <w:bidi w:val="0"/>
        <w:spacing w:after="0" w:line="360" w:lineRule="auto"/>
        <w:jc w:val="both"/>
        <w:outlineLvl w:val="1"/>
        <w:rPr>
          <w:rFonts w:asciiTheme="majorBidi" w:eastAsia="Times New Roman"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Morphological species delimitation is based on a small number of specimens and/or characteristics assessed. </w:t>
      </w:r>
      <w:r w:rsidR="00890381"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{"citationItems":[{"id":"ITEM-1","itemData":{"author":[{"dropping-particle":"","family":"Monro","given":"Alexandre K","non-dropping-particle":"","parse-names":false,"suffix":""},{"dropping-particle":"","family":"Mayo","given":"Simon J","non-dropping-particle":"","parse-names":false,"suffix":""}],"id":"ITEM-1","issue":"89","issued":{"date-parts":[["2022"]]},"publisher":"Cambridge University Press","title":"Cryptic species: Morphological stasis, circumscription, and hidden diversity","type":"book"},"uris":["http://www.mendeley.com/documents/?uuid=abbd57e4-1385-4ef6-a79b-a9ac76415259"]}],"mendeley":{"formattedCitation":"(Monro &amp; Mayo, 2022)","plainTextFormattedCitation":"(Monro &amp; Mayo, 2022)","previouslyFormattedCitation":"(Monro &amp; Mayo, 2022)"},"properties":{"noteIndex":0},"schema":"https://github.com/citation-style-language/schema/raw/master/csl-citation.json"}</w:instrText>
      </w:r>
      <w:r w:rsidR="00890381"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(Monro &amp; Mayo, 2022)</w:t>
      </w:r>
      <w:r w:rsidR="00890381" w:rsidRPr="00D56350">
        <w:rPr>
          <w:rFonts w:asciiTheme="majorBidi" w:hAnsiTheme="majorBidi" w:cstheme="majorBidi"/>
          <w:sz w:val="24"/>
          <w:szCs w:val="24"/>
        </w:rPr>
        <w:fldChar w:fldCharType="end"/>
      </w:r>
      <w:r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Principle component analysis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can be helpful in the variety of characteristics</w:t>
      </w:r>
      <w:r w:rsidR="00DB1437" w:rsidRPr="00D56350">
        <w:rPr>
          <w:rFonts w:asciiTheme="majorBidi" w:hAnsiTheme="majorBidi" w:cstheme="majorBidi"/>
          <w:sz w:val="24"/>
          <w:szCs w:val="24"/>
        </w:rPr>
        <w:t xml:space="preserve"> </w:t>
      </w:r>
      <w:r w:rsidR="00890381"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{"citationItems":[{"id":"ITEM-1","itemData":{"author":[{"dropping-particle":"","family":"Ogwu","given":"M C","non-dropping-particle":"","parse-names":false,"suffix":""},{"dropping-particle":"","family":"Osawaru","given":"M E","non-dropping-particle":"","parse-names":false,"suffix":""}],"container-title":"African Journal of Plant Science","id":"ITEM-1","issue":"x","issued":{"date-parts":[["2016"]]},"page":"1-5","title":"Principal component analysis: A tool for multivariate analysis of genetic variability","type":"article-journal","volume":"x"},"uris":["http://www.mendeley.com/documents/?uuid=66b3628f-e7f8-4288-8e91-cd10a3236c88"]}],"mendeley":{"formattedCitation":"(Ogwu &amp; Osawaru, 2016)","plainTextFormattedCitation":"(Ogwu &amp; Osawaru, 2016)","previouslyFormattedCitation":"(Ogwu &amp; Osawaru, 2016)"},"properties":{"noteIndex":0},"schema":"https://github.com/citation-style-language/schema/raw/master/csl-citation.json"}</w:instrText>
      </w:r>
      <w:r w:rsidR="00890381"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(Ogwu &amp; Osawaru, 2016)</w:t>
      </w:r>
      <w:r w:rsidR="00890381" w:rsidRPr="00D56350">
        <w:rPr>
          <w:rFonts w:asciiTheme="majorBidi" w:hAnsiTheme="majorBidi" w:cstheme="majorBidi"/>
          <w:sz w:val="24"/>
          <w:szCs w:val="24"/>
        </w:rPr>
        <w:fldChar w:fldCharType="end"/>
      </w:r>
      <w:r w:rsidR="00DA4288"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The morphological traits</w:t>
      </w:r>
      <w:r w:rsidRPr="00D56350">
        <w:rPr>
          <w:rFonts w:asciiTheme="majorBidi" w:hAnsiTheme="majorBidi" w:cstheme="majorBidi"/>
          <w:sz w:val="24"/>
          <w:szCs w:val="24"/>
        </w:rPr>
        <w:t xml:space="preserve"> </w:t>
      </w:r>
      <w:r w:rsidR="00DA4288" w:rsidRPr="00D56350">
        <w:rPr>
          <w:rFonts w:asciiTheme="majorBidi" w:hAnsiTheme="majorBidi" w:cstheme="majorBidi"/>
          <w:sz w:val="24"/>
          <w:szCs w:val="24"/>
        </w:rPr>
        <w:t xml:space="preserve">can be considered as a strong support for the </w:t>
      </w:r>
      <w:r w:rsidR="00DB1437" w:rsidRPr="00D56350">
        <w:rPr>
          <w:rFonts w:asciiTheme="majorBidi" w:hAnsiTheme="majorBidi" w:cstheme="majorBidi"/>
          <w:sz w:val="24"/>
          <w:szCs w:val="24"/>
        </w:rPr>
        <w:t>classification</w:t>
      </w:r>
      <w:r w:rsidR="00DA4288" w:rsidRPr="00D56350">
        <w:rPr>
          <w:rFonts w:asciiTheme="majorBidi" w:hAnsiTheme="majorBidi" w:cstheme="majorBidi"/>
          <w:sz w:val="24"/>
          <w:szCs w:val="24"/>
        </w:rPr>
        <w:t xml:space="preserve"> of </w:t>
      </w:r>
      <w:r w:rsidR="00DB1437"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w:t>
      </w:r>
      <w:r w:rsidR="00DB1437" w:rsidRPr="00D56350">
        <w:rPr>
          <w:rFonts w:asciiTheme="majorBidi" w:hAnsiTheme="majorBidi" w:cstheme="majorBidi"/>
          <w:sz w:val="24"/>
          <w:szCs w:val="24"/>
        </w:rPr>
        <w:t xml:space="preserve"> </w:t>
      </w:r>
      <w:r w:rsidR="00E9001B" w:rsidRPr="00D56350">
        <w:rPr>
          <w:rFonts w:asciiTheme="majorBidi" w:hAnsiTheme="majorBidi" w:cstheme="majorBidi"/>
          <w:sz w:val="24"/>
          <w:szCs w:val="24"/>
        </w:rPr>
        <w:t xml:space="preserve">PCA revealed that the first </w:t>
      </w:r>
      <w:r w:rsidR="00810121" w:rsidRPr="00D56350">
        <w:rPr>
          <w:rFonts w:asciiTheme="majorBidi" w:hAnsiTheme="majorBidi" w:cstheme="majorBidi"/>
          <w:sz w:val="24"/>
          <w:szCs w:val="24"/>
        </w:rPr>
        <w:t>two</w:t>
      </w:r>
      <w:r w:rsidR="00E9001B" w:rsidRPr="00D56350">
        <w:rPr>
          <w:rFonts w:asciiTheme="majorBidi" w:hAnsiTheme="majorBidi" w:cstheme="majorBidi"/>
          <w:sz w:val="24"/>
          <w:szCs w:val="24"/>
        </w:rPr>
        <w:t xml:space="preserve"> principal components </w:t>
      </w:r>
      <w:r w:rsidR="004152AF">
        <w:rPr>
          <w:rFonts w:asciiTheme="majorBidi" w:hAnsiTheme="majorBidi" w:cstheme="majorBidi"/>
          <w:sz w:val="24"/>
          <w:szCs w:val="24"/>
        </w:rPr>
        <w:t>described</w:t>
      </w:r>
      <w:r w:rsidR="00E9001B" w:rsidRPr="00D56350">
        <w:rPr>
          <w:rFonts w:asciiTheme="majorBidi" w:hAnsiTheme="majorBidi" w:cstheme="majorBidi"/>
          <w:sz w:val="24"/>
          <w:szCs w:val="24"/>
        </w:rPr>
        <w:t xml:space="preserve"> most of the total morphological variance. </w:t>
      </w:r>
    </w:p>
    <w:p w:rsidR="00707DD7" w:rsidRPr="00D57D14" w:rsidRDefault="00D56350" w:rsidP="00C628A7">
      <w:p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707DD7" w:rsidRPr="00D57D14">
        <w:rPr>
          <w:rFonts w:asciiTheme="majorBidi" w:eastAsia="Times New Roman" w:hAnsiTheme="majorBidi" w:cstheme="majorBidi"/>
          <w:sz w:val="24"/>
          <w:szCs w:val="24"/>
        </w:rPr>
        <w:t xml:space="preserve">The Principal Component Analysis (PCA) effectively summarized complex morphological data and identified key traits contributing to interspecific and intraspecific differentiation. The clear structuring of variation along the first </w:t>
      </w:r>
      <w:r w:rsidR="00C628A7" w:rsidRPr="00D57D14">
        <w:rPr>
          <w:rFonts w:asciiTheme="majorBidi" w:eastAsia="Times New Roman" w:hAnsiTheme="majorBidi" w:cstheme="majorBidi"/>
          <w:sz w:val="24"/>
          <w:szCs w:val="24"/>
        </w:rPr>
        <w:t>two</w:t>
      </w:r>
      <w:r w:rsidR="00707DD7" w:rsidRPr="00D57D14">
        <w:rPr>
          <w:rFonts w:asciiTheme="majorBidi" w:eastAsia="Times New Roman" w:hAnsiTheme="majorBidi" w:cstheme="majorBidi"/>
          <w:sz w:val="24"/>
          <w:szCs w:val="24"/>
        </w:rPr>
        <w:t xml:space="preserve"> principal components indicates that a limited number of morphological characters capture most of the observable diversity within the genus</w:t>
      </w:r>
      <w:r w:rsidR="00C628A7" w:rsidRPr="00D57D14">
        <w:rPr>
          <w:rFonts w:asciiTheme="majorBidi" w:eastAsia="Times New Roman" w:hAnsiTheme="majorBidi" w:cstheme="majorBidi"/>
          <w:sz w:val="24"/>
          <w:szCs w:val="24"/>
        </w:rPr>
        <w:t xml:space="preserve"> such as</w:t>
      </w:r>
      <w:r w:rsidR="008E15B3" w:rsidRPr="00D57D14">
        <w:rPr>
          <w:rFonts w:asciiTheme="majorBidi" w:eastAsia="Times New Roman" w:hAnsiTheme="majorBidi" w:cstheme="majorBidi"/>
          <w:sz w:val="24"/>
          <w:szCs w:val="24"/>
        </w:rPr>
        <w:t xml:space="preserve"> corolla color, stem strength, leaf shape and fruit surface as the same as may authors depending on the morphological characters to refine the inter-relationships among </w:t>
      </w:r>
      <w:r w:rsidR="008E15B3" w:rsidRPr="00D57D14">
        <w:rPr>
          <w:rFonts w:asciiTheme="majorBidi" w:eastAsia="Times New Roman" w:hAnsiTheme="majorBidi" w:cstheme="majorBidi"/>
          <w:i/>
          <w:iCs/>
          <w:sz w:val="24"/>
          <w:szCs w:val="24"/>
        </w:rPr>
        <w:t>Convolvulus</w:t>
      </w:r>
      <w:r w:rsidR="008E15B3" w:rsidRPr="00D57D14">
        <w:rPr>
          <w:rFonts w:asciiTheme="majorBidi" w:eastAsia="Times New Roman" w:hAnsiTheme="majorBidi" w:cstheme="majorBidi"/>
          <w:sz w:val="24"/>
          <w:szCs w:val="24"/>
        </w:rPr>
        <w:t xml:space="preserve"> taxa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(Khalik, 2008)</w:t>
      </w:r>
      <w:r w:rsidR="00890381"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w:t>
      </w:r>
    </w:p>
    <w:p w:rsidR="00707DD7" w:rsidRPr="00D57D14" w:rsidRDefault="00421066" w:rsidP="00421066">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t>T</w:t>
      </w:r>
      <w:r w:rsidR="00707DD7" w:rsidRPr="00D57D14">
        <w:rPr>
          <w:rFonts w:asciiTheme="majorBidi" w:eastAsia="Times New Roman" w:hAnsiTheme="majorBidi" w:cstheme="majorBidi"/>
          <w:sz w:val="24"/>
          <w:szCs w:val="24"/>
        </w:rPr>
        <w:t>he results confirm the suitability of herbarium specimens for quan</w:t>
      </w:r>
      <w:r w:rsidRPr="00D57D14">
        <w:rPr>
          <w:rFonts w:asciiTheme="majorBidi" w:eastAsia="Times New Roman" w:hAnsiTheme="majorBidi" w:cstheme="majorBidi"/>
          <w:sz w:val="24"/>
          <w:szCs w:val="24"/>
        </w:rPr>
        <w:t>titative morphological analyses</w:t>
      </w:r>
      <w:r w:rsidR="00707DD7" w:rsidRPr="00D57D14">
        <w:rPr>
          <w:rFonts w:asciiTheme="majorBidi" w:eastAsia="Times New Roman" w:hAnsiTheme="majorBidi" w:cstheme="majorBidi"/>
          <w:sz w:val="24"/>
          <w:szCs w:val="24"/>
        </w:rPr>
        <w:t xml:space="preserve">, herbarium-based datasets have been shown to reliably capture diagnostic morphological variation when carefully selected and standardized </w:t>
      </w:r>
      <w:r w:rsidR="00890381"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890381"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890381"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 The successful application of PCA in this study supports the continued use of herbarium collections as valuable resources for taxonomic and systematic research, particularly in regions where fresh material is difficult to obtain.</w:t>
      </w:r>
    </w:p>
    <w:p w:rsidR="00F6752E" w:rsidRDefault="00F6752E" w:rsidP="00D57D14">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8B1E54" w:rsidRDefault="008B1E54" w:rsidP="008B1E54">
      <w:pPr>
        <w:bidi w:val="0"/>
        <w:spacing w:after="0" w:line="360" w:lineRule="auto"/>
        <w:jc w:val="both"/>
        <w:rPr>
          <w:rFonts w:asciiTheme="majorBidi" w:eastAsia="Times New Roman" w:hAnsiTheme="majorBidi" w:cstheme="majorBidi"/>
          <w:sz w:val="24"/>
          <w:szCs w:val="24"/>
        </w:rPr>
      </w:pPr>
    </w:p>
    <w:p w:rsidR="00DA4288" w:rsidRPr="00D57D14" w:rsidRDefault="00DA4288" w:rsidP="00FE21EC">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Concl</w:t>
      </w:r>
      <w:r w:rsidR="00A23BE9" w:rsidRPr="00D57D14">
        <w:rPr>
          <w:rFonts w:asciiTheme="majorBidi" w:eastAsia="Times New Roman" w:hAnsiTheme="majorBidi" w:cstheme="majorBidi"/>
          <w:sz w:val="24"/>
          <w:szCs w:val="24"/>
        </w:rPr>
        <w:t>u</w:t>
      </w:r>
      <w:r w:rsidRPr="00D57D14">
        <w:rPr>
          <w:rFonts w:asciiTheme="majorBidi" w:eastAsia="Times New Roman" w:hAnsiTheme="majorBidi" w:cstheme="majorBidi"/>
          <w:sz w:val="24"/>
          <w:szCs w:val="24"/>
        </w:rPr>
        <w:t>sion</w:t>
      </w:r>
    </w:p>
    <w:p w:rsidR="00BB4EBD" w:rsidRPr="00D56350" w:rsidRDefault="00421066" w:rsidP="004152AF">
      <w:pPr>
        <w:bidi w:val="0"/>
        <w:spacing w:after="0" w:line="360" w:lineRule="auto"/>
        <w:jc w:val="both"/>
        <w:rPr>
          <w:rFonts w:asciiTheme="majorBidi"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The chosen morphological characteristics of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xml:space="preserve"> were shown to be essential for species differentiation</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The morphological features showed </w:t>
      </w:r>
      <w:r w:rsidR="004152AF">
        <w:rPr>
          <w:rFonts w:asciiTheme="majorBidi" w:hAnsiTheme="majorBidi" w:cstheme="majorBidi"/>
          <w:sz w:val="24"/>
          <w:szCs w:val="24"/>
        </w:rPr>
        <w:t>a certain level</w:t>
      </w:r>
      <w:r w:rsidR="00D56350" w:rsidRPr="00D56350">
        <w:rPr>
          <w:rFonts w:asciiTheme="majorBidi" w:hAnsiTheme="majorBidi" w:cstheme="majorBidi"/>
          <w:sz w:val="24"/>
          <w:szCs w:val="24"/>
        </w:rPr>
        <w:t xml:space="preserve"> of high variability t</w:t>
      </w:r>
      <w:r w:rsidR="004152AF">
        <w:rPr>
          <w:rFonts w:asciiTheme="majorBidi" w:hAnsiTheme="majorBidi" w:cstheme="majorBidi"/>
          <w:sz w:val="24"/>
          <w:szCs w:val="24"/>
        </w:rPr>
        <w:t>hat is useful for discrimination</w:t>
      </w:r>
      <w:r w:rsidR="00D56350" w:rsidRPr="00D56350">
        <w:rPr>
          <w:rFonts w:asciiTheme="majorBidi" w:hAnsiTheme="majorBidi" w:cstheme="majorBidi"/>
          <w:sz w:val="24"/>
          <w:szCs w:val="24"/>
        </w:rPr>
        <w:t xml:space="preserve">, as the first two primary components accounted for slightly </w:t>
      </w:r>
      <w:r w:rsidR="004152AF">
        <w:rPr>
          <w:rFonts w:asciiTheme="majorBidi" w:hAnsiTheme="majorBidi" w:cstheme="majorBidi"/>
          <w:sz w:val="24"/>
          <w:szCs w:val="24"/>
        </w:rPr>
        <w:t>fewer</w:t>
      </w:r>
      <w:r w:rsidR="00D56350" w:rsidRPr="00D56350">
        <w:rPr>
          <w:rFonts w:asciiTheme="majorBidi" w:hAnsiTheme="majorBidi" w:cstheme="majorBidi"/>
          <w:sz w:val="24"/>
          <w:szCs w:val="24"/>
        </w:rPr>
        <w:t xml:space="preserve"> than half of all morphological variations (47.55%)</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and these characteristics illustrate the phenetic linkages of </w:t>
      </w:r>
      <w:r w:rsidR="00D56350"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The authors advise using molecular data in the future to confirm the taxa's morphological segregation.</w:t>
      </w:r>
      <w:r w:rsidR="00DA4288" w:rsidRPr="00D56350">
        <w:rPr>
          <w:rFonts w:asciiTheme="majorBidi" w:hAnsiTheme="majorBidi" w:cstheme="majorBidi"/>
          <w:sz w:val="24"/>
          <w:szCs w:val="24"/>
        </w:rPr>
        <w:t>.</w:t>
      </w:r>
    </w:p>
    <w:p w:rsidR="00BB4EBD" w:rsidRPr="00D57D14" w:rsidRDefault="00BB4EBD" w:rsidP="00421066">
      <w:pPr>
        <w:bidi w:val="0"/>
        <w:spacing w:after="0" w:line="360" w:lineRule="auto"/>
        <w:jc w:val="both"/>
        <w:rPr>
          <w:rFonts w:asciiTheme="majorBidi" w:hAnsiTheme="majorBidi" w:cstheme="majorBidi"/>
          <w:sz w:val="24"/>
          <w:szCs w:val="24"/>
        </w:rPr>
      </w:pPr>
    </w:p>
    <w:p w:rsidR="00FE21EC" w:rsidRDefault="00FE21EC" w:rsidP="0011030C">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B01F12" w:rsidRDefault="00B01F12" w:rsidP="00B01F12">
      <w:pPr>
        <w:bidi w:val="0"/>
        <w:spacing w:after="0" w:line="360" w:lineRule="auto"/>
        <w:jc w:val="both"/>
        <w:rPr>
          <w:rFonts w:asciiTheme="majorBidi" w:eastAsia="Times New Roman" w:hAnsiTheme="majorBidi" w:cstheme="majorBidi"/>
          <w:sz w:val="24"/>
          <w:szCs w:val="24"/>
        </w:rPr>
      </w:pPr>
    </w:p>
    <w:p w:rsidR="00B01F12" w:rsidRDefault="00B01F12" w:rsidP="00B01F12">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B01F12" w:rsidRPr="00D57D14" w:rsidRDefault="00B01F12" w:rsidP="00B01F12">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Novelty statement: </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Estimating the </w:t>
      </w:r>
      <w:r w:rsidRPr="00D57D14">
        <w:rPr>
          <w:rFonts w:asciiTheme="majorBidi" w:eastAsia="TimesNewRomanPSMT" w:hAnsiTheme="majorBidi" w:cstheme="majorBidi"/>
          <w:sz w:val="24"/>
          <w:szCs w:val="24"/>
        </w:rPr>
        <w:t xml:space="preserve">phenetic relationships within some taxa of genus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 xml:space="preserve"> represented in Saudi Arabian flora.</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eastAsia="TimesNewRomanPSMT" w:hAnsiTheme="majorBidi" w:cstheme="majorBidi"/>
          <w:sz w:val="24"/>
          <w:szCs w:val="24"/>
        </w:rPr>
        <w:t>Evaluating the use of the morphological characters in systematics of</w:t>
      </w:r>
      <w:r w:rsidRPr="00D57D14">
        <w:rPr>
          <w:rFonts w:asciiTheme="majorBidi" w:hAnsiTheme="majorBidi" w:cstheme="majorBidi"/>
          <w:i/>
          <w:iCs/>
          <w:sz w:val="24"/>
          <w:szCs w:val="24"/>
        </w:rPr>
        <w:t xml:space="preserve">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Detecting the most </w:t>
      </w:r>
      <w:r>
        <w:rPr>
          <w:rFonts w:asciiTheme="majorBidi" w:hAnsiTheme="majorBidi" w:cstheme="majorBidi"/>
          <w:sz w:val="24"/>
          <w:szCs w:val="24"/>
        </w:rPr>
        <w:t>valuable</w:t>
      </w:r>
      <w:r w:rsidRPr="00D57D14">
        <w:rPr>
          <w:rFonts w:asciiTheme="majorBidi" w:hAnsiTheme="majorBidi" w:cstheme="majorBidi"/>
          <w:sz w:val="24"/>
          <w:szCs w:val="24"/>
        </w:rPr>
        <w:t xml:space="preserve"> characters </w:t>
      </w:r>
      <w:r>
        <w:rPr>
          <w:rFonts w:asciiTheme="majorBidi" w:hAnsiTheme="majorBidi" w:cstheme="majorBidi"/>
          <w:sz w:val="24"/>
          <w:szCs w:val="24"/>
        </w:rPr>
        <w:t>delimiting</w:t>
      </w:r>
      <w:r w:rsidRPr="00D57D14">
        <w:rPr>
          <w:rFonts w:asciiTheme="majorBidi" w:hAnsiTheme="majorBidi" w:cstheme="majorBidi"/>
          <w:sz w:val="24"/>
          <w:szCs w:val="24"/>
        </w:rPr>
        <w:t xml:space="preserve"> the studied taxa of </w:t>
      </w:r>
      <w:r w:rsidRPr="00D57D14">
        <w:rPr>
          <w:rFonts w:asciiTheme="majorBidi" w:eastAsia="TimesNewRomanPSMT" w:hAnsiTheme="majorBidi" w:cstheme="majorBidi"/>
          <w:i/>
          <w:iCs/>
          <w:sz w:val="24"/>
          <w:szCs w:val="24"/>
        </w:rPr>
        <w:t>Convolvulus</w:t>
      </w:r>
      <w:r w:rsidRPr="00D57D14">
        <w:rPr>
          <w:rFonts w:asciiTheme="majorBidi" w:hAnsiTheme="majorBidi" w:cstheme="majorBidi"/>
          <w:sz w:val="24"/>
          <w:szCs w:val="24"/>
        </w:rPr>
        <w:t xml:space="preserve"> by aid of PCA.</w:t>
      </w:r>
    </w:p>
    <w:p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Unlike traditional descriptive treatments, the study provides a statistically supported identification of key morphological traits driving morphological differentiation within the genus. </w:t>
      </w:r>
    </w:p>
    <w:p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The work demonstrates the reliability of herbarium specimens for PCA-based morphological assessment and offers a reproducible analytical approach that strengthens taxonomic interpretation of morphologically complex taxa. </w:t>
      </w:r>
    </w:p>
    <w:p w:rsidR="00FE21EC" w:rsidRDefault="00FE21EC" w:rsidP="00FE21EC">
      <w:pPr>
        <w:bidi w:val="0"/>
        <w:spacing w:after="0" w:line="360" w:lineRule="auto"/>
        <w:jc w:val="both"/>
        <w:rPr>
          <w:rFonts w:asciiTheme="majorBidi" w:eastAsia="Times New Roman" w:hAnsiTheme="majorBidi" w:cstheme="majorBidi"/>
          <w:sz w:val="24"/>
          <w:szCs w:val="24"/>
        </w:rPr>
      </w:pPr>
    </w:p>
    <w:p w:rsidR="00D56350" w:rsidRDefault="00D56350" w:rsidP="00FE21EC">
      <w:pPr>
        <w:bidi w:val="0"/>
        <w:spacing w:after="0" w:line="360" w:lineRule="auto"/>
        <w:jc w:val="both"/>
        <w:rPr>
          <w:rFonts w:asciiTheme="majorBidi" w:eastAsia="Times New Roman" w:hAnsiTheme="majorBidi" w:cstheme="majorBidi"/>
          <w:sz w:val="24"/>
          <w:szCs w:val="24"/>
        </w:rPr>
      </w:pPr>
    </w:p>
    <w:p w:rsidR="00DA4288" w:rsidRPr="00D57D14" w:rsidRDefault="00DA4288" w:rsidP="00D56350">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Declaration of Competing Interest</w:t>
      </w:r>
    </w:p>
    <w:p w:rsidR="00D56350" w:rsidRPr="00D56350" w:rsidRDefault="00D56350" w:rsidP="0011030C">
      <w:pPr>
        <w:bidi w:val="0"/>
        <w:spacing w:after="0" w:line="360" w:lineRule="auto"/>
        <w:jc w:val="both"/>
        <w:rPr>
          <w:rFonts w:asciiTheme="majorBidi" w:eastAsia="Times New Roman" w:hAnsiTheme="majorBidi" w:cstheme="majorBidi"/>
          <w:sz w:val="24"/>
          <w:szCs w:val="24"/>
        </w:rPr>
      </w:pPr>
      <w:r w:rsidRPr="00D56350">
        <w:rPr>
          <w:rFonts w:asciiTheme="majorBidi" w:hAnsiTheme="majorBidi" w:cstheme="majorBidi"/>
          <w:sz w:val="24"/>
          <w:szCs w:val="24"/>
        </w:rPr>
        <w:t>The authors affirm that the work described in this publication was not influenced by any known conflicting financial interests or personal ties.</w:t>
      </w:r>
    </w:p>
    <w:p w:rsidR="00D56350" w:rsidRDefault="00D56350" w:rsidP="00D56350">
      <w:pPr>
        <w:bidi w:val="0"/>
        <w:spacing w:after="0" w:line="360" w:lineRule="auto"/>
        <w:jc w:val="both"/>
        <w:rPr>
          <w:rFonts w:asciiTheme="majorBidi" w:eastAsia="Times New Roman" w:hAnsiTheme="majorBidi" w:cstheme="majorBidi"/>
          <w:sz w:val="24"/>
          <w:szCs w:val="24"/>
        </w:rPr>
      </w:pPr>
    </w:p>
    <w:p w:rsidR="00FE21EC" w:rsidRDefault="00FE21EC" w:rsidP="00144051">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AE624F" w:rsidRPr="00AE624F" w:rsidRDefault="00AE624F" w:rsidP="00AE624F">
      <w:pPr>
        <w:keepNext/>
        <w:keepLines/>
        <w:bidi w:val="0"/>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AE624F">
        <w:rPr>
          <w:rFonts w:ascii="Times New Roman" w:eastAsia="Times New Roman" w:hAnsi="Times New Roman" w:cs="Times New Roman"/>
          <w:bCs/>
          <w:sz w:val="24"/>
          <w:szCs w:val="24"/>
          <w:highlight w:val="yellow"/>
          <w:lang w:val="en-GB" w:eastAsia="en-IN"/>
        </w:rPr>
        <w:t>Disclaimer (Artificial intelligence)</w:t>
      </w:r>
    </w:p>
    <w:p w:rsidR="00FE21EC" w:rsidRPr="003245E6" w:rsidRDefault="00AE624F" w:rsidP="003245E6">
      <w:pPr>
        <w:keepNext/>
        <w:keepLines/>
        <w:bidi w:val="0"/>
        <w:spacing w:before="120" w:after="120" w:line="360" w:lineRule="auto"/>
        <w:jc w:val="both"/>
        <w:outlineLvl w:val="1"/>
        <w:rPr>
          <w:rFonts w:ascii="Times New Roman" w:eastAsia="Times New Roman" w:hAnsi="Times New Roman" w:cs="Times New Roman"/>
          <w:bCs/>
          <w:sz w:val="24"/>
          <w:szCs w:val="24"/>
          <w:lang w:val="en-GB" w:eastAsia="en-IN"/>
        </w:rPr>
      </w:pPr>
      <w:r w:rsidRPr="00AE624F">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AE624F">
        <w:rPr>
          <w:rFonts w:ascii="Times New Roman" w:eastAsia="Times New Roman" w:hAnsi="Times New Roman" w:cs="Times New Roman"/>
          <w:bCs/>
          <w:sz w:val="24"/>
          <w:szCs w:val="24"/>
          <w:lang w:val="en-GB" w:eastAsia="en-IN"/>
        </w:rPr>
        <w:t xml:space="preserve"> </w:t>
      </w:r>
      <w:bookmarkStart w:id="1" w:name="_GoBack"/>
      <w:bookmarkEnd w:id="0"/>
      <w:bookmarkEnd w:id="1"/>
    </w:p>
    <w:p w:rsidR="00C71F63" w:rsidRPr="00C71F63" w:rsidRDefault="00C71F63" w:rsidP="00C71F63">
      <w:pPr>
        <w:bidi w:val="0"/>
        <w:rPr>
          <w:rFonts w:ascii="Arial" w:eastAsiaTheme="minorEastAsia" w:hAnsi="Arial" w:cs="Arial"/>
          <w:b/>
          <w:bCs/>
          <w:lang w:val="en-GB" w:eastAsia="en-GB"/>
        </w:rPr>
      </w:pPr>
      <w:r w:rsidRPr="00C71F63">
        <w:rPr>
          <w:rFonts w:ascii="Arial" w:eastAsiaTheme="minorEastAsia" w:hAnsi="Arial" w:cs="Arial"/>
          <w:b/>
          <w:bCs/>
          <w:lang w:val="en-GB" w:eastAsia="en-GB"/>
        </w:rPr>
        <w:t>COMPETING INTERESTS DISCLAIMER:</w:t>
      </w:r>
    </w:p>
    <w:p w:rsidR="00FE21EC" w:rsidRPr="00C71F63" w:rsidRDefault="00C71F63" w:rsidP="00C71F63">
      <w:pPr>
        <w:bidi w:val="0"/>
        <w:rPr>
          <w:rFonts w:eastAsiaTheme="minorEastAsia"/>
          <w:lang w:val="en-GB" w:eastAsia="en-GB"/>
        </w:rPr>
      </w:pPr>
      <w:r w:rsidRPr="00C71F63">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D647A0" w:rsidRPr="00D57D14" w:rsidRDefault="00852009"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References</w:t>
      </w:r>
    </w:p>
    <w:p w:rsidR="005B0E42" w:rsidRPr="005B0E42" w:rsidRDefault="00890381"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D57D14">
        <w:rPr>
          <w:rFonts w:asciiTheme="majorBidi" w:eastAsia="Times New Roman" w:hAnsiTheme="majorBidi" w:cstheme="majorBidi"/>
          <w:sz w:val="24"/>
          <w:szCs w:val="24"/>
        </w:rPr>
        <w:fldChar w:fldCharType="begin" w:fldLock="1"/>
      </w:r>
      <w:r w:rsidR="00852009" w:rsidRPr="00D57D14">
        <w:rPr>
          <w:rFonts w:asciiTheme="majorBidi" w:eastAsia="Times New Roman" w:hAnsiTheme="majorBidi" w:cstheme="majorBidi"/>
          <w:sz w:val="24"/>
          <w:szCs w:val="24"/>
        </w:rPr>
        <w:instrText xml:space="preserve">ADDIN Mendeley Bibliography CSL_BIBLIOGRAPHY </w:instrText>
      </w:r>
      <w:r w:rsidRPr="00D57D14">
        <w:rPr>
          <w:rFonts w:asciiTheme="majorBidi" w:eastAsia="Times New Roman" w:hAnsiTheme="majorBidi" w:cstheme="majorBidi"/>
          <w:sz w:val="24"/>
          <w:szCs w:val="24"/>
        </w:rPr>
        <w:fldChar w:fldCharType="separate"/>
      </w:r>
      <w:r w:rsidR="005B0E42" w:rsidRPr="005B0E42">
        <w:rPr>
          <w:rFonts w:ascii="Times New Roman" w:hAnsi="Times New Roman" w:cs="Times New Roman"/>
          <w:noProof/>
          <w:sz w:val="24"/>
          <w:szCs w:val="24"/>
        </w:rPr>
        <w:t xml:space="preserve">APG. (2009). An update of the Angiosperm Phylogeny Group classification for the orders and families of flowering plants: APG III. </w:t>
      </w:r>
      <w:r w:rsidR="005B0E42" w:rsidRPr="005B0E42">
        <w:rPr>
          <w:rFonts w:ascii="Times New Roman" w:hAnsi="Times New Roman" w:cs="Times New Roman"/>
          <w:i/>
          <w:iCs/>
          <w:noProof/>
          <w:sz w:val="24"/>
          <w:szCs w:val="24"/>
        </w:rPr>
        <w:t>Botanical Journal of the Linnean Society</w:t>
      </w:r>
      <w:r w:rsidR="005B0E42" w:rsidRPr="005B0E42">
        <w:rPr>
          <w:rFonts w:ascii="Times New Roman" w:hAnsi="Times New Roman" w:cs="Times New Roman"/>
          <w:noProof/>
          <w:sz w:val="24"/>
          <w:szCs w:val="24"/>
        </w:rPr>
        <w:t xml:space="preserve">, </w:t>
      </w:r>
      <w:r w:rsidR="005B0E42" w:rsidRPr="005B0E42">
        <w:rPr>
          <w:rFonts w:ascii="Times New Roman" w:hAnsi="Times New Roman" w:cs="Times New Roman"/>
          <w:i/>
          <w:iCs/>
          <w:noProof/>
          <w:sz w:val="24"/>
          <w:szCs w:val="24"/>
        </w:rPr>
        <w:t>161</w:t>
      </w:r>
      <w:r w:rsidR="005B0E42" w:rsidRPr="005B0E42">
        <w:rPr>
          <w:rFonts w:ascii="Times New Roman" w:hAnsi="Times New Roman" w:cs="Times New Roman"/>
          <w:noProof/>
          <w:sz w:val="24"/>
          <w:szCs w:val="24"/>
        </w:rPr>
        <w:t>(2), 105–121. https://doi.org/10.1111/j.1095-8339.2009.00996.x</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Ashfaq, S., Ahmad, M., Zafar, M., Sultana, S., Bahadur, S., Ullah, F., Zaman, W., Ahmed, S. N., &amp; Nazish, M. (2019). Foliar micromorphology of Convolvulaceous species with special emphasis on trichome diversity from the arid zone of Pakistan. </w:t>
      </w:r>
      <w:r w:rsidRPr="005B0E42">
        <w:rPr>
          <w:rFonts w:ascii="Times New Roman" w:hAnsi="Times New Roman" w:cs="Times New Roman"/>
          <w:i/>
          <w:iCs/>
          <w:noProof/>
          <w:sz w:val="24"/>
          <w:szCs w:val="24"/>
        </w:rPr>
        <w:t>Flora</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255</w:t>
      </w:r>
      <w:r w:rsidRPr="005B0E42">
        <w:rPr>
          <w:rFonts w:ascii="Times New Roman" w:hAnsi="Times New Roman" w:cs="Times New Roman"/>
          <w:noProof/>
          <w:sz w:val="24"/>
          <w:szCs w:val="24"/>
        </w:rPr>
        <w:t>, 110–124.</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Carine, M. A., &amp; Robba, L. (2010). Taxonomy and evolution of the Convolvulus sabatius complex (Convolvulaceae). </w:t>
      </w:r>
      <w:r w:rsidRPr="005B0E42">
        <w:rPr>
          <w:rFonts w:ascii="Times New Roman" w:hAnsi="Times New Roman" w:cs="Times New Roman"/>
          <w:i/>
          <w:iCs/>
          <w:noProof/>
          <w:sz w:val="24"/>
          <w:szCs w:val="24"/>
        </w:rPr>
        <w:t>Phytotaxa</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14</w:t>
      </w:r>
      <w:r w:rsidRPr="005B0E42">
        <w:rPr>
          <w:rFonts w:ascii="Times New Roman" w:hAnsi="Times New Roman" w:cs="Times New Roman"/>
          <w:noProof/>
          <w:sz w:val="24"/>
          <w:szCs w:val="24"/>
        </w:rPr>
        <w:t>(1), 1–21.</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Chaudhary, S. A. (1999). </w:t>
      </w:r>
      <w:r w:rsidRPr="005B0E42">
        <w:rPr>
          <w:rFonts w:ascii="Times New Roman" w:hAnsi="Times New Roman" w:cs="Times New Roman"/>
          <w:i/>
          <w:iCs/>
          <w:noProof/>
          <w:sz w:val="24"/>
          <w:szCs w:val="24"/>
        </w:rPr>
        <w:t>Flora of the Kingdom of Saudi Arabia, illustrated. v. 1, v. 2, pt. 1, 3, v. 3</w:t>
      </w:r>
      <w:r w:rsidRPr="005B0E42">
        <w:rPr>
          <w:rFonts w:ascii="Times New Roman" w:hAnsi="Times New Roman" w:cs="Times New Roman"/>
          <w:noProof/>
          <w:sz w:val="24"/>
          <w:szCs w:val="24"/>
        </w:rPr>
        <w:t>.</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Collenette, S. (1999). </w:t>
      </w:r>
      <w:r w:rsidRPr="005B0E42">
        <w:rPr>
          <w:rFonts w:ascii="Times New Roman" w:hAnsi="Times New Roman" w:cs="Times New Roman"/>
          <w:i/>
          <w:iCs/>
          <w:noProof/>
          <w:sz w:val="24"/>
          <w:szCs w:val="24"/>
        </w:rPr>
        <w:t>Wildflowers of Saudi Arabia</w:t>
      </w:r>
      <w:r w:rsidRPr="005B0E42">
        <w:rPr>
          <w:rFonts w:ascii="Times New Roman" w:hAnsi="Times New Roman" w:cs="Times New Roman"/>
          <w:noProof/>
          <w:sz w:val="24"/>
          <w:szCs w:val="24"/>
        </w:rPr>
        <w:t>. National Commission for Wildlife Conservation and Development (NCWCD).</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Cronquist, A. (1988). The Evolution and Classification of Flowering Plants (Second eds.). </w:t>
      </w:r>
      <w:r w:rsidRPr="005B0E42">
        <w:rPr>
          <w:rFonts w:ascii="Times New Roman" w:hAnsi="Times New Roman" w:cs="Times New Roman"/>
          <w:i/>
          <w:iCs/>
          <w:noProof/>
          <w:sz w:val="24"/>
          <w:szCs w:val="24"/>
        </w:rPr>
        <w:t>The New York Botanical Z Garden, Bronx, New York, USA</w:t>
      </w:r>
      <w:r w:rsidRPr="005B0E42">
        <w:rPr>
          <w:rFonts w:ascii="Times New Roman" w:hAnsi="Times New Roman" w:cs="Times New Roman"/>
          <w:noProof/>
          <w:sz w:val="24"/>
          <w:szCs w:val="24"/>
        </w:rPr>
        <w:t>, 503–517.</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Dahlgren, G. (1989). An updated angiosperm classification. </w:t>
      </w:r>
      <w:r w:rsidRPr="005B0E42">
        <w:rPr>
          <w:rFonts w:ascii="Times New Roman" w:hAnsi="Times New Roman" w:cs="Times New Roman"/>
          <w:i/>
          <w:iCs/>
          <w:noProof/>
          <w:sz w:val="24"/>
          <w:szCs w:val="24"/>
        </w:rPr>
        <w:t>Botanical Journal of the Linnean Society</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100</w:t>
      </w:r>
      <w:r w:rsidRPr="005B0E42">
        <w:rPr>
          <w:rFonts w:ascii="Times New Roman" w:hAnsi="Times New Roman" w:cs="Times New Roman"/>
          <w:noProof/>
          <w:sz w:val="24"/>
          <w:szCs w:val="24"/>
        </w:rPr>
        <w:t>(3), 197–203.</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González, A. V, &amp; Gianoli, E. (2004). Morphological plasticity in response to shading in three Convolvulus species of different ecological breadth. </w:t>
      </w:r>
      <w:r w:rsidRPr="005B0E42">
        <w:rPr>
          <w:rFonts w:ascii="Times New Roman" w:hAnsi="Times New Roman" w:cs="Times New Roman"/>
          <w:i/>
          <w:iCs/>
          <w:noProof/>
          <w:sz w:val="24"/>
          <w:szCs w:val="24"/>
        </w:rPr>
        <w:t>Acta Oecologica</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26</w:t>
      </w:r>
      <w:r w:rsidRPr="005B0E42">
        <w:rPr>
          <w:rFonts w:ascii="Times New Roman" w:hAnsi="Times New Roman" w:cs="Times New Roman"/>
          <w:noProof/>
          <w:sz w:val="24"/>
          <w:szCs w:val="24"/>
        </w:rPr>
        <w:t>(3), 185–190.</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Hallier, H. (1893). </w:t>
      </w:r>
      <w:r w:rsidRPr="005B0E42">
        <w:rPr>
          <w:rFonts w:ascii="Times New Roman" w:hAnsi="Times New Roman" w:cs="Times New Roman"/>
          <w:i/>
          <w:iCs/>
          <w:noProof/>
          <w:sz w:val="24"/>
          <w:szCs w:val="24"/>
        </w:rPr>
        <w:t>Convolvulaceae africanae- Bot. Jahrb. System. 18: 81–160</w:t>
      </w:r>
      <w:r w:rsidRPr="005B0E42">
        <w:rPr>
          <w:rFonts w:ascii="Times New Roman" w:hAnsi="Times New Roman" w:cs="Times New Roman"/>
          <w:noProof/>
          <w:sz w:val="24"/>
          <w:szCs w:val="24"/>
        </w:rPr>
        <w:t>.</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Hammer, Ø., Harper, D. A. T., &amp; Ryan, P. D. (2001). Past: Paleontological Statistics Software Package for Education and Data Analysis. </w:t>
      </w:r>
      <w:r w:rsidRPr="005B0E42">
        <w:rPr>
          <w:rFonts w:ascii="Times New Roman" w:hAnsi="Times New Roman" w:cs="Times New Roman"/>
          <w:i/>
          <w:iCs/>
          <w:noProof/>
          <w:sz w:val="24"/>
          <w:szCs w:val="24"/>
        </w:rPr>
        <w:t>Palaeontologia Electronica</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4</w:t>
      </w:r>
      <w:r w:rsidRPr="005B0E42">
        <w:rPr>
          <w:rFonts w:ascii="Times New Roman" w:hAnsi="Times New Roman" w:cs="Times New Roman"/>
          <w:noProof/>
          <w:sz w:val="24"/>
          <w:szCs w:val="24"/>
        </w:rPr>
        <w:t>(May), 1–9.</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Hasan, H. H. (2023). Phylogenetic Relationships among some Species of the Genus Hypericum (Hypericaceae) in Kurdistan-Rgeion Iraq. </w:t>
      </w:r>
      <w:r w:rsidRPr="005B0E42">
        <w:rPr>
          <w:rFonts w:ascii="Times New Roman" w:hAnsi="Times New Roman" w:cs="Times New Roman"/>
          <w:i/>
          <w:iCs/>
          <w:noProof/>
          <w:sz w:val="24"/>
          <w:szCs w:val="24"/>
        </w:rPr>
        <w:t>Ann. For. Res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66</w:t>
      </w:r>
      <w:r w:rsidRPr="005B0E42">
        <w:rPr>
          <w:rFonts w:ascii="Times New Roman" w:hAnsi="Times New Roman" w:cs="Times New Roman"/>
          <w:noProof/>
          <w:sz w:val="24"/>
          <w:szCs w:val="24"/>
        </w:rPr>
        <w:t>(1), 3982–3992.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IPNI. (2025). International Plant Names Index. Published on the Internet http://www.ipni.org,. </w:t>
      </w:r>
      <w:r w:rsidRPr="005B0E42">
        <w:rPr>
          <w:rFonts w:ascii="Times New Roman" w:hAnsi="Times New Roman" w:cs="Times New Roman"/>
          <w:i/>
          <w:iCs/>
          <w:noProof/>
          <w:sz w:val="24"/>
          <w:szCs w:val="24"/>
        </w:rPr>
        <w:t>The Royal Botanic Gardens, Kew, Harvard University Herbaria &amp; Libraries and Australian National Herbarium. [Retrieved 19 March 2025]</w:t>
      </w:r>
      <w:r w:rsidRPr="005B0E42">
        <w:rPr>
          <w:rFonts w:ascii="Times New Roman" w:hAnsi="Times New Roman" w:cs="Times New Roman"/>
          <w:noProof/>
          <w:sz w:val="24"/>
          <w:szCs w:val="24"/>
        </w:rPr>
        <w:t>.</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Jolliffe, I. T., &amp; Cadima, J. (2016). Principal component analysis: a review and recent developments. </w:t>
      </w:r>
      <w:r w:rsidRPr="005B0E42">
        <w:rPr>
          <w:rFonts w:ascii="Times New Roman" w:hAnsi="Times New Roman" w:cs="Times New Roman"/>
          <w:i/>
          <w:iCs/>
          <w:noProof/>
          <w:sz w:val="24"/>
          <w:szCs w:val="24"/>
        </w:rPr>
        <w:t>Philosophical Transactions of the Royal Society A: Mathematical, Physical and Engineering Sciences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374</w:t>
      </w:r>
      <w:r w:rsidRPr="005B0E42">
        <w:rPr>
          <w:rFonts w:ascii="Times New Roman" w:hAnsi="Times New Roman" w:cs="Times New Roman"/>
          <w:noProof/>
          <w:sz w:val="24"/>
          <w:szCs w:val="24"/>
        </w:rPr>
        <w:t>(2065), 20150202. https://doi.org/10.1098/rsta.2015.0202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Khalik, K. A. (2008). A phenetic study of Convolvulaceae from Egypt based on analysis of morphological characters. </w:t>
      </w:r>
      <w:r w:rsidRPr="005B0E42">
        <w:rPr>
          <w:rFonts w:ascii="Times New Roman" w:hAnsi="Times New Roman" w:cs="Times New Roman"/>
          <w:i/>
          <w:iCs/>
          <w:noProof/>
          <w:sz w:val="24"/>
          <w:szCs w:val="24"/>
        </w:rPr>
        <w:t>Fl. Medit</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18</w:t>
      </w:r>
      <w:r w:rsidRPr="005B0E42">
        <w:rPr>
          <w:rFonts w:ascii="Times New Roman" w:hAnsi="Times New Roman" w:cs="Times New Roman"/>
          <w:noProof/>
          <w:sz w:val="24"/>
          <w:szCs w:val="24"/>
        </w:rPr>
        <w:t>, 65–87.</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Mabberley, D. J. (2008). Mabberley’s plant-book. </w:t>
      </w:r>
      <w:r w:rsidRPr="005B0E42">
        <w:rPr>
          <w:rFonts w:ascii="Times New Roman" w:hAnsi="Times New Roman" w:cs="Times New Roman"/>
          <w:i/>
          <w:iCs/>
          <w:noProof/>
          <w:sz w:val="24"/>
          <w:szCs w:val="24"/>
        </w:rPr>
        <w:t>A Portable Dictionary of Plants, Their Classifications and Uses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3</w:t>
      </w:r>
      <w:r w:rsidRPr="005B0E42">
        <w:rPr>
          <w:rFonts w:ascii="Times New Roman" w:hAnsi="Times New Roman" w:cs="Times New Roman"/>
          <w:noProof/>
          <w:sz w:val="24"/>
          <w:szCs w:val="24"/>
        </w:rPr>
        <w:t>.</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Menemen, Y., &amp; Jury, S. L. (2002). Pollen studies on some species of the genus Convolvulus L.(Convolvulaceae) from Morocco. </w:t>
      </w:r>
      <w:r w:rsidRPr="005B0E42">
        <w:rPr>
          <w:rFonts w:ascii="Times New Roman" w:hAnsi="Times New Roman" w:cs="Times New Roman"/>
          <w:i/>
          <w:iCs/>
          <w:noProof/>
          <w:sz w:val="24"/>
          <w:szCs w:val="24"/>
        </w:rPr>
        <w:t>Turkish Journal of Botany</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26</w:t>
      </w:r>
      <w:r w:rsidRPr="005B0E42">
        <w:rPr>
          <w:rFonts w:ascii="Times New Roman" w:hAnsi="Times New Roman" w:cs="Times New Roman"/>
          <w:noProof/>
          <w:sz w:val="24"/>
          <w:szCs w:val="24"/>
        </w:rPr>
        <w:t>(3), 141–148.</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Monro, A. K., &amp; Mayo, S. J. (2022). </w:t>
      </w:r>
      <w:r w:rsidRPr="005B0E42">
        <w:rPr>
          <w:rFonts w:ascii="Times New Roman" w:hAnsi="Times New Roman" w:cs="Times New Roman"/>
          <w:i/>
          <w:iCs/>
          <w:noProof/>
          <w:sz w:val="24"/>
          <w:szCs w:val="24"/>
        </w:rPr>
        <w:t>Cryptic species: Morphological stasis, circumscription, and hidden diversity</w:t>
      </w:r>
      <w:r w:rsidRPr="005B0E42">
        <w:rPr>
          <w:rFonts w:ascii="Times New Roman" w:hAnsi="Times New Roman" w:cs="Times New Roman"/>
          <w:noProof/>
          <w:sz w:val="24"/>
          <w:szCs w:val="24"/>
        </w:rPr>
        <w:t xml:space="preserve"> (Number 89). Cambridge University Press.</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Nepomuceno, S., Fay, M. F., Rita, A., Simões, G., &amp; Buril, M. T. (2025). Character reconstruction and re-circumscription of the genus. </w:t>
      </w:r>
      <w:r w:rsidRPr="005B0E42">
        <w:rPr>
          <w:rFonts w:ascii="Times New Roman" w:hAnsi="Times New Roman" w:cs="Times New Roman"/>
          <w:i/>
          <w:iCs/>
          <w:noProof/>
          <w:sz w:val="24"/>
          <w:szCs w:val="24"/>
        </w:rPr>
        <w:t>Botanical Journal of the Linnean Society</w:t>
      </w:r>
      <w:r w:rsidRPr="005B0E42">
        <w:rPr>
          <w:rFonts w:ascii="Times New Roman" w:hAnsi="Times New Roman" w:cs="Times New Roman"/>
          <w:noProof/>
          <w:sz w:val="24"/>
          <w:szCs w:val="24"/>
        </w:rPr>
        <w:t>, (February), 359–380.</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Ogwu, M. C., &amp; Osawaru, M. E. (2016). Principal component analysis: A tool for multivariate analysis of genetic variability. </w:t>
      </w:r>
      <w:r w:rsidRPr="005B0E42">
        <w:rPr>
          <w:rFonts w:ascii="Times New Roman" w:hAnsi="Times New Roman" w:cs="Times New Roman"/>
          <w:i/>
          <w:iCs/>
          <w:noProof/>
          <w:sz w:val="24"/>
          <w:szCs w:val="24"/>
        </w:rPr>
        <w:t>African Journal of Plant Science</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x</w:t>
      </w:r>
      <w:r w:rsidRPr="005B0E42">
        <w:rPr>
          <w:rFonts w:ascii="Times New Roman" w:hAnsi="Times New Roman" w:cs="Times New Roman"/>
          <w:noProof/>
          <w:sz w:val="24"/>
          <w:szCs w:val="24"/>
        </w:rPr>
        <w:t>(x), 1–5.</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POWO. (2026). </w:t>
      </w:r>
      <w:r w:rsidRPr="005B0E42">
        <w:rPr>
          <w:rFonts w:ascii="Times New Roman" w:hAnsi="Times New Roman" w:cs="Times New Roman"/>
          <w:i/>
          <w:iCs/>
          <w:noProof/>
          <w:sz w:val="24"/>
          <w:szCs w:val="24"/>
        </w:rPr>
        <w:t>Plants of the World Online. Facilitated by the Royal Botanic Gardens, Kew. Published on the Internet; https://powo.science.kew.org/Retrieved 11 April 2026</w:t>
      </w:r>
      <w:r w:rsidRPr="005B0E42">
        <w:rPr>
          <w:rFonts w:ascii="Times New Roman" w:hAnsi="Times New Roman" w:cs="Times New Roman"/>
          <w:noProof/>
          <w:sz w:val="24"/>
          <w:szCs w:val="24"/>
        </w:rPr>
        <w:t>.</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Rabei, S., &amp; Khalik, K. A. (2012). Conventional keys for Convolvulaceae in the flora of Egypt. </w:t>
      </w:r>
      <w:r w:rsidRPr="005B0E42">
        <w:rPr>
          <w:rFonts w:ascii="Times New Roman" w:hAnsi="Times New Roman" w:cs="Times New Roman"/>
          <w:i/>
          <w:iCs/>
          <w:noProof/>
          <w:sz w:val="24"/>
          <w:szCs w:val="24"/>
        </w:rPr>
        <w:t>Fl. Medit</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22</w:t>
      </w:r>
      <w:r w:rsidRPr="005B0E42">
        <w:rPr>
          <w:rFonts w:ascii="Times New Roman" w:hAnsi="Times New Roman" w:cs="Times New Roman"/>
          <w:noProof/>
          <w:sz w:val="24"/>
          <w:szCs w:val="24"/>
        </w:rPr>
        <w:t>, 45–62.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Sa’ad, F. (1967). The Convolvulus species of the Canary Isles, the Mediterranean region and the Near and Middle East. </w:t>
      </w:r>
      <w:r w:rsidRPr="005B0E42">
        <w:rPr>
          <w:rFonts w:ascii="Times New Roman" w:hAnsi="Times New Roman" w:cs="Times New Roman"/>
          <w:i/>
          <w:iCs/>
          <w:noProof/>
          <w:sz w:val="24"/>
          <w:szCs w:val="24"/>
        </w:rPr>
        <w:t>Bronder-Offset</w:t>
      </w:r>
      <w:r w:rsidRPr="005B0E42">
        <w:rPr>
          <w:rFonts w:ascii="Times New Roman" w:hAnsi="Times New Roman" w:cs="Times New Roman"/>
          <w:noProof/>
          <w:sz w:val="24"/>
          <w:szCs w:val="24"/>
        </w:rPr>
        <w:t>, 258–261.</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Scotland, R., Wood, J., RM Williams, B., Mitchell, T. C., Carine, M., &amp; Harris, D. (2015). A foundation monograph of Convolvulus L.(Convolvulaceae). </w:t>
      </w:r>
      <w:r w:rsidRPr="005B0E42">
        <w:rPr>
          <w:rFonts w:ascii="Times New Roman" w:hAnsi="Times New Roman" w:cs="Times New Roman"/>
          <w:i/>
          <w:iCs/>
          <w:noProof/>
          <w:sz w:val="24"/>
          <w:szCs w:val="24"/>
        </w:rPr>
        <w:t>PhytoKeys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51</w:t>
      </w:r>
      <w:r w:rsidRPr="005B0E42">
        <w:rPr>
          <w:rFonts w:ascii="Times New Roman" w:hAnsi="Times New Roman" w:cs="Times New Roman"/>
          <w:noProof/>
          <w:sz w:val="24"/>
          <w:szCs w:val="24"/>
        </w:rPr>
        <w:t>, 1–282.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Sneath, P. H. A. (2005). Numerical taxonomy. In </w:t>
      </w:r>
      <w:r w:rsidRPr="005B0E42">
        <w:rPr>
          <w:rFonts w:ascii="Times New Roman" w:hAnsi="Times New Roman" w:cs="Times New Roman"/>
          <w:i/>
          <w:iCs/>
          <w:noProof/>
          <w:sz w:val="24"/>
          <w:szCs w:val="24"/>
        </w:rPr>
        <w:t>Bergey’s manual of systematic bacteriology</w:t>
      </w:r>
      <w:r w:rsidRPr="005B0E42">
        <w:rPr>
          <w:rFonts w:ascii="Times New Roman" w:hAnsi="Times New Roman" w:cs="Times New Roman"/>
          <w:noProof/>
          <w:sz w:val="24"/>
          <w:szCs w:val="24"/>
        </w:rPr>
        <w:t xml:space="preserve"> (pp. 39–42). Springer.</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Sokal, R. R. (1985). The principles of numerical taxonomy: twenty-five years later. </w:t>
      </w:r>
      <w:r w:rsidRPr="005B0E42">
        <w:rPr>
          <w:rFonts w:ascii="Times New Roman" w:hAnsi="Times New Roman" w:cs="Times New Roman"/>
          <w:i/>
          <w:iCs/>
          <w:noProof/>
          <w:sz w:val="24"/>
          <w:szCs w:val="24"/>
        </w:rPr>
        <w:t>Computer-Assisted Bacterial Systematics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15</w:t>
      </w:r>
      <w:r w:rsidRPr="005B0E42">
        <w:rPr>
          <w:rFonts w:ascii="Times New Roman" w:hAnsi="Times New Roman" w:cs="Times New Roman"/>
          <w:noProof/>
          <w:sz w:val="24"/>
          <w:szCs w:val="24"/>
        </w:rPr>
        <w:t>(1).</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Stefanovic, R. I. G. O. (2002). Circumscription of Their Major Lineages Based. </w:t>
      </w:r>
      <w:r w:rsidRPr="005B0E42">
        <w:rPr>
          <w:rFonts w:ascii="Times New Roman" w:hAnsi="Times New Roman" w:cs="Times New Roman"/>
          <w:i/>
          <w:iCs/>
          <w:noProof/>
          <w:sz w:val="24"/>
          <w:szCs w:val="24"/>
        </w:rPr>
        <w:t>American Journal of Botany</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89</w:t>
      </w:r>
      <w:r w:rsidRPr="005B0E42">
        <w:rPr>
          <w:rFonts w:ascii="Times New Roman" w:hAnsi="Times New Roman" w:cs="Times New Roman"/>
          <w:noProof/>
          <w:sz w:val="24"/>
          <w:szCs w:val="24"/>
        </w:rPr>
        <w:t>(9), 1510–1522.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Takhtajan, A. (2009). </w:t>
      </w:r>
      <w:r w:rsidRPr="005B0E42">
        <w:rPr>
          <w:rFonts w:ascii="Times New Roman" w:hAnsi="Times New Roman" w:cs="Times New Roman"/>
          <w:i/>
          <w:iCs/>
          <w:noProof/>
          <w:sz w:val="24"/>
          <w:szCs w:val="24"/>
        </w:rPr>
        <w:t>Flowering plants</w:t>
      </w:r>
      <w:r w:rsidRPr="005B0E42">
        <w:rPr>
          <w:rFonts w:ascii="Times New Roman" w:hAnsi="Times New Roman" w:cs="Times New Roman"/>
          <w:noProof/>
          <w:sz w:val="24"/>
          <w:szCs w:val="24"/>
        </w:rPr>
        <w:t>. Publications de la Société Linnéenne de Lyon 79.5 (2010):179-182.</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Thorne, R. F. (1992). An updated phylogenetic classification of the flowering plants. </w:t>
      </w:r>
      <w:r w:rsidRPr="005B0E42">
        <w:rPr>
          <w:rFonts w:ascii="Times New Roman" w:hAnsi="Times New Roman" w:cs="Times New Roman"/>
          <w:i/>
          <w:iCs/>
          <w:noProof/>
          <w:sz w:val="24"/>
          <w:szCs w:val="24"/>
        </w:rPr>
        <w:t>Aliso: A Journal of Systematic and Floristic Botany</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13</w:t>
      </w:r>
      <w:r w:rsidRPr="005B0E42">
        <w:rPr>
          <w:rFonts w:ascii="Times New Roman" w:hAnsi="Times New Roman" w:cs="Times New Roman"/>
          <w:noProof/>
          <w:sz w:val="24"/>
          <w:szCs w:val="24"/>
        </w:rPr>
        <w:t>(2), 365–389.</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Tutlel, B., Kandemir, I., Ku\cs, S., &amp; Kence, A. (2005). Classification of Turkish Plantago L. species using numerical taxonomy. </w:t>
      </w:r>
      <w:r w:rsidRPr="005B0E42">
        <w:rPr>
          <w:rFonts w:ascii="Times New Roman" w:hAnsi="Times New Roman" w:cs="Times New Roman"/>
          <w:i/>
          <w:iCs/>
          <w:noProof/>
          <w:sz w:val="24"/>
          <w:szCs w:val="24"/>
        </w:rPr>
        <w:t>Turkish Journal of Botany</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29</w:t>
      </w:r>
      <w:r w:rsidRPr="005B0E42">
        <w:rPr>
          <w:rFonts w:ascii="Times New Roman" w:hAnsi="Times New Roman" w:cs="Times New Roman"/>
          <w:noProof/>
          <w:sz w:val="24"/>
          <w:szCs w:val="24"/>
        </w:rPr>
        <w:t>(1), 51–61.</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Williams, B. R. M., Mitchell, T. C., Wood, J. R. I., Harris, D. J., Scotland, R. W., &amp; Carine, M. A. (2014). Integrating DNA barcode data in a monographic study of Convolvulus. </w:t>
      </w:r>
      <w:r w:rsidRPr="005B0E42">
        <w:rPr>
          <w:rFonts w:ascii="Times New Roman" w:hAnsi="Times New Roman" w:cs="Times New Roman"/>
          <w:i/>
          <w:iCs/>
          <w:noProof/>
          <w:sz w:val="24"/>
          <w:szCs w:val="24"/>
        </w:rPr>
        <w:t>Taxon</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63</w:t>
      </w:r>
      <w:r w:rsidRPr="005B0E42">
        <w:rPr>
          <w:rFonts w:ascii="Times New Roman" w:hAnsi="Times New Roman" w:cs="Times New Roman"/>
          <w:noProof/>
          <w:sz w:val="24"/>
          <w:szCs w:val="24"/>
        </w:rPr>
        <w:t>(6), 1287–1306.</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5B0E42">
        <w:rPr>
          <w:rFonts w:ascii="Times New Roman" w:hAnsi="Times New Roman" w:cs="Times New Roman"/>
          <w:noProof/>
          <w:sz w:val="24"/>
          <w:szCs w:val="24"/>
        </w:rPr>
        <w:t xml:space="preserve">Wood, J. R. I., Williams, B. R. M., Mitchell, T. C., Carine, M. A., Harris, D. J., &amp; Scotland, R. W. (2015). A foundation monograph of Convolvulus L. (Convolvulaceae). </w:t>
      </w:r>
      <w:r w:rsidRPr="005B0E42">
        <w:rPr>
          <w:rFonts w:ascii="Times New Roman" w:hAnsi="Times New Roman" w:cs="Times New Roman"/>
          <w:i/>
          <w:iCs/>
          <w:noProof/>
          <w:sz w:val="24"/>
          <w:szCs w:val="24"/>
        </w:rPr>
        <w:t>PhytoKeys</w:t>
      </w:r>
      <w:r w:rsidRPr="005B0E42">
        <w:rPr>
          <w:rFonts w:ascii="Times New Roman" w:hAnsi="Times New Roman" w:cs="Times New Roman"/>
          <w:noProof/>
          <w:sz w:val="24"/>
          <w:szCs w:val="24"/>
        </w:rPr>
        <w:t xml:space="preserve">, </w:t>
      </w:r>
      <w:r w:rsidRPr="005B0E42">
        <w:rPr>
          <w:rFonts w:ascii="Times New Roman" w:hAnsi="Times New Roman" w:cs="Times New Roman"/>
          <w:i/>
          <w:iCs/>
          <w:noProof/>
          <w:sz w:val="24"/>
          <w:szCs w:val="24"/>
        </w:rPr>
        <w:t>51</w:t>
      </w:r>
      <w:r w:rsidRPr="005B0E42">
        <w:rPr>
          <w:rFonts w:ascii="Times New Roman" w:hAnsi="Times New Roman" w:cs="Times New Roman"/>
          <w:noProof/>
          <w:sz w:val="24"/>
          <w:szCs w:val="24"/>
        </w:rPr>
        <w:t>(1), 1–282. https://doi.org/10.3897/phytokeys.51.7104</w:t>
      </w:r>
    </w:p>
    <w:p w:rsidR="005B0E42" w:rsidRPr="005B0E42" w:rsidRDefault="005B0E42" w:rsidP="005B0E42">
      <w:pPr>
        <w:widowControl w:val="0"/>
        <w:autoSpaceDE w:val="0"/>
        <w:autoSpaceDN w:val="0"/>
        <w:bidi w:val="0"/>
        <w:adjustRightInd w:val="0"/>
        <w:spacing w:before="100" w:after="100" w:line="360" w:lineRule="auto"/>
        <w:ind w:left="480" w:hanging="480"/>
        <w:rPr>
          <w:rFonts w:ascii="Times New Roman" w:hAnsi="Times New Roman" w:cs="Times New Roman"/>
          <w:noProof/>
          <w:sz w:val="24"/>
        </w:rPr>
      </w:pPr>
      <w:r w:rsidRPr="005B0E42">
        <w:rPr>
          <w:rFonts w:ascii="Times New Roman" w:hAnsi="Times New Roman" w:cs="Times New Roman"/>
          <w:noProof/>
          <w:sz w:val="24"/>
          <w:szCs w:val="24"/>
        </w:rPr>
        <w:t xml:space="preserve">Xia, Y., &amp; Sun, J. (2023). OTU methods in numerical taxonomy. In </w:t>
      </w:r>
      <w:r w:rsidRPr="005B0E42">
        <w:rPr>
          <w:rFonts w:ascii="Times New Roman" w:hAnsi="Times New Roman" w:cs="Times New Roman"/>
          <w:i/>
          <w:iCs/>
          <w:noProof/>
          <w:sz w:val="24"/>
          <w:szCs w:val="24"/>
        </w:rPr>
        <w:t>Bioinformatic and Statistical Analysis of Microbiome Data: From Raw Sequences to Advanced Modeling with QIIME 2 and R</w:t>
      </w:r>
      <w:r w:rsidRPr="005B0E42">
        <w:rPr>
          <w:rFonts w:ascii="Times New Roman" w:hAnsi="Times New Roman" w:cs="Times New Roman"/>
          <w:noProof/>
          <w:sz w:val="24"/>
          <w:szCs w:val="24"/>
        </w:rPr>
        <w:t xml:space="preserve"> (pp. 161–225). Springer.</w:t>
      </w:r>
    </w:p>
    <w:p w:rsidR="00852009" w:rsidRPr="00D57D14" w:rsidRDefault="00890381" w:rsidP="005B0E42">
      <w:pPr>
        <w:widowControl w:val="0"/>
        <w:autoSpaceDE w:val="0"/>
        <w:autoSpaceDN w:val="0"/>
        <w:bidi w:val="0"/>
        <w:adjustRightInd w:val="0"/>
        <w:spacing w:before="100" w:after="100" w:line="360" w:lineRule="auto"/>
        <w:ind w:left="480" w:hanging="480"/>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fldChar w:fldCharType="end"/>
      </w:r>
    </w:p>
    <w:sectPr w:rsidR="00852009" w:rsidRPr="00D57D14" w:rsidSect="00F53C48">
      <w:headerReference w:type="even" r:id="rId14"/>
      <w:headerReference w:type="default" r:id="rId15"/>
      <w:footerReference w:type="default" r:id="rId16"/>
      <w:headerReference w:type="first" r:id="rId17"/>
      <w:pgSz w:w="11906" w:h="16838"/>
      <w:pgMar w:top="1701" w:right="1701" w:bottom="1701" w:left="1701"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9BC" w:rsidRDefault="007E49BC" w:rsidP="002A3676">
      <w:pPr>
        <w:spacing w:after="0" w:line="240" w:lineRule="auto"/>
      </w:pPr>
      <w:r>
        <w:separator/>
      </w:r>
    </w:p>
  </w:endnote>
  <w:endnote w:type="continuationSeparator" w:id="0">
    <w:p w:rsidR="007E49BC" w:rsidRDefault="007E49BC" w:rsidP="002A36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ato-Regular">
    <w:altName w:val="Times New Roman"/>
    <w:panose1 w:val="00000000000000000000"/>
    <w:charset w:val="00"/>
    <w:family w:val="roman"/>
    <w:notTrueType/>
    <w:pitch w:val="default"/>
    <w:sig w:usb0="00000000" w:usb1="00000000" w:usb2="00000000" w:usb3="00000000" w:csb0="00000000" w:csb1="00000000"/>
  </w:font>
  <w:font w:name="TimesNewRomanPSMT">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0939194"/>
      <w:docPartObj>
        <w:docPartGallery w:val="Page Numbers (Bottom of Page)"/>
        <w:docPartUnique/>
      </w:docPartObj>
    </w:sdtPr>
    <w:sdtContent>
      <w:p w:rsidR="00A27CE2" w:rsidRDefault="00890381">
        <w:pPr>
          <w:pStyle w:val="Footer"/>
          <w:jc w:val="center"/>
        </w:pPr>
        <w:r>
          <w:fldChar w:fldCharType="begin"/>
        </w:r>
        <w:r w:rsidR="00821CB1">
          <w:instrText xml:space="preserve"> PAGE   \* MERGEFORMAT </w:instrText>
        </w:r>
        <w:r>
          <w:fldChar w:fldCharType="separate"/>
        </w:r>
        <w:r w:rsidR="007E49BC">
          <w:rPr>
            <w:noProof/>
            <w:rtl/>
          </w:rPr>
          <w:t>1</w:t>
        </w:r>
        <w:r>
          <w:rPr>
            <w:noProof/>
          </w:rPr>
          <w:fldChar w:fldCharType="end"/>
        </w:r>
      </w:p>
    </w:sdtContent>
  </w:sdt>
  <w:p w:rsidR="00A27CE2" w:rsidRDefault="00A27C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9BC" w:rsidRDefault="007E49BC" w:rsidP="002A3676">
      <w:pPr>
        <w:spacing w:after="0" w:line="240" w:lineRule="auto"/>
      </w:pPr>
      <w:r>
        <w:separator/>
      </w:r>
    </w:p>
  </w:footnote>
  <w:footnote w:type="continuationSeparator" w:id="0">
    <w:p w:rsidR="007E49BC" w:rsidRDefault="007E49BC" w:rsidP="002A36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845" w:rsidRDefault="008903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7" o:spid="_x0000_s2050" type="#_x0000_t136" style="position:absolute;left:0;text-align:left;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845" w:rsidRDefault="008903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8" o:spid="_x0000_s2051" type="#_x0000_t136" style="position:absolute;left:0;text-align:left;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845" w:rsidRDefault="008903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6" o:spid="_x0000_s2049" type="#_x0000_t136" style="position:absolute;left:0;text-align:left;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4685"/>
    <w:multiLevelType w:val="multilevel"/>
    <w:tmpl w:val="2596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041E9"/>
    <w:multiLevelType w:val="multilevel"/>
    <w:tmpl w:val="7388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8310E"/>
    <w:multiLevelType w:val="multilevel"/>
    <w:tmpl w:val="2306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1019E6"/>
    <w:multiLevelType w:val="hybridMultilevel"/>
    <w:tmpl w:val="97840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64665"/>
    <w:multiLevelType w:val="multilevel"/>
    <w:tmpl w:val="9AE4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C3E3C"/>
    <w:multiLevelType w:val="multilevel"/>
    <w:tmpl w:val="74C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25AE9"/>
    <w:multiLevelType w:val="hybridMultilevel"/>
    <w:tmpl w:val="C55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CC731D"/>
    <w:multiLevelType w:val="hybridMultilevel"/>
    <w:tmpl w:val="0076E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976864"/>
    <w:multiLevelType w:val="hybridMultilevel"/>
    <w:tmpl w:val="0860B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B37770C"/>
    <w:multiLevelType w:val="multilevel"/>
    <w:tmpl w:val="B23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0"/>
  </w:num>
  <w:num w:numId="6">
    <w:abstractNumId w:val="9"/>
  </w:num>
  <w:num w:numId="7">
    <w:abstractNumId w:val="2"/>
  </w:num>
  <w:num w:numId="8">
    <w:abstractNumId w:val="5"/>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drawingGridHorizontalSpacing w:val="110"/>
  <w:displayHorizontalDrawingGridEvery w:val="2"/>
  <w:characterSpacingControl w:val="doNotCompress"/>
  <w:savePreviewPicture/>
  <w:hdrShapeDefaults>
    <o:shapedefaults v:ext="edit" spidmax="8194"/>
    <o:shapelayout v:ext="edit">
      <o:idmap v:ext="edit" data="2"/>
    </o:shapelayout>
  </w:hdrShapeDefaults>
  <w:footnotePr>
    <w:footnote w:id="-1"/>
    <w:footnote w:id="0"/>
  </w:footnotePr>
  <w:endnotePr>
    <w:endnote w:id="-1"/>
    <w:endnote w:id="0"/>
  </w:endnotePr>
  <w:compat/>
  <w:rsids>
    <w:rsidRoot w:val="004128F0"/>
    <w:rsid w:val="00007C0F"/>
    <w:rsid w:val="00010E88"/>
    <w:rsid w:val="00015605"/>
    <w:rsid w:val="000245AC"/>
    <w:rsid w:val="0006242E"/>
    <w:rsid w:val="000677E7"/>
    <w:rsid w:val="0007195F"/>
    <w:rsid w:val="00074924"/>
    <w:rsid w:val="0008050A"/>
    <w:rsid w:val="00086817"/>
    <w:rsid w:val="000871AE"/>
    <w:rsid w:val="00087432"/>
    <w:rsid w:val="000876F6"/>
    <w:rsid w:val="00094103"/>
    <w:rsid w:val="00095E52"/>
    <w:rsid w:val="00097857"/>
    <w:rsid w:val="000A1DFE"/>
    <w:rsid w:val="000A3BDB"/>
    <w:rsid w:val="000B0AE1"/>
    <w:rsid w:val="000B6144"/>
    <w:rsid w:val="000C141E"/>
    <w:rsid w:val="000C2BEF"/>
    <w:rsid w:val="000C43D7"/>
    <w:rsid w:val="000C628C"/>
    <w:rsid w:val="000C63D0"/>
    <w:rsid w:val="000D5690"/>
    <w:rsid w:val="000D66E7"/>
    <w:rsid w:val="000E41DA"/>
    <w:rsid w:val="000F1972"/>
    <w:rsid w:val="000F74C8"/>
    <w:rsid w:val="0010144C"/>
    <w:rsid w:val="001021AA"/>
    <w:rsid w:val="0010264A"/>
    <w:rsid w:val="00107109"/>
    <w:rsid w:val="0011030C"/>
    <w:rsid w:val="00111F85"/>
    <w:rsid w:val="00120A86"/>
    <w:rsid w:val="001212C3"/>
    <w:rsid w:val="001238CA"/>
    <w:rsid w:val="0013318C"/>
    <w:rsid w:val="001408F3"/>
    <w:rsid w:val="00144051"/>
    <w:rsid w:val="00146500"/>
    <w:rsid w:val="001475BF"/>
    <w:rsid w:val="0015008C"/>
    <w:rsid w:val="00152CB8"/>
    <w:rsid w:val="00156B51"/>
    <w:rsid w:val="0016626D"/>
    <w:rsid w:val="00166B14"/>
    <w:rsid w:val="0017032B"/>
    <w:rsid w:val="0017251E"/>
    <w:rsid w:val="00173B6B"/>
    <w:rsid w:val="001832A4"/>
    <w:rsid w:val="00184117"/>
    <w:rsid w:val="00191A01"/>
    <w:rsid w:val="001940EE"/>
    <w:rsid w:val="001A01F9"/>
    <w:rsid w:val="001A098D"/>
    <w:rsid w:val="001A29C4"/>
    <w:rsid w:val="001A2B6B"/>
    <w:rsid w:val="001B2806"/>
    <w:rsid w:val="001C1384"/>
    <w:rsid w:val="001C3A40"/>
    <w:rsid w:val="001C3D37"/>
    <w:rsid w:val="001C542D"/>
    <w:rsid w:val="001D0022"/>
    <w:rsid w:val="001D0784"/>
    <w:rsid w:val="001D5572"/>
    <w:rsid w:val="001D5C1D"/>
    <w:rsid w:val="001F39C7"/>
    <w:rsid w:val="002008E9"/>
    <w:rsid w:val="00201837"/>
    <w:rsid w:val="002041AF"/>
    <w:rsid w:val="002051A1"/>
    <w:rsid w:val="002051B2"/>
    <w:rsid w:val="0020597E"/>
    <w:rsid w:val="00211AF1"/>
    <w:rsid w:val="0022169F"/>
    <w:rsid w:val="00223ABB"/>
    <w:rsid w:val="00225FAC"/>
    <w:rsid w:val="00230B59"/>
    <w:rsid w:val="002336F8"/>
    <w:rsid w:val="002367EA"/>
    <w:rsid w:val="00240489"/>
    <w:rsid w:val="00241433"/>
    <w:rsid w:val="00243A20"/>
    <w:rsid w:val="00253170"/>
    <w:rsid w:val="00254FE0"/>
    <w:rsid w:val="0026635B"/>
    <w:rsid w:val="0026669E"/>
    <w:rsid w:val="00266A4E"/>
    <w:rsid w:val="00267F75"/>
    <w:rsid w:val="00272377"/>
    <w:rsid w:val="002768F3"/>
    <w:rsid w:val="00277C60"/>
    <w:rsid w:val="00280AD3"/>
    <w:rsid w:val="00281CF9"/>
    <w:rsid w:val="00281D8D"/>
    <w:rsid w:val="00291D32"/>
    <w:rsid w:val="0029270E"/>
    <w:rsid w:val="002A1A43"/>
    <w:rsid w:val="002A3676"/>
    <w:rsid w:val="002A79C9"/>
    <w:rsid w:val="002B100F"/>
    <w:rsid w:val="002B1DA8"/>
    <w:rsid w:val="002B28CB"/>
    <w:rsid w:val="002B3100"/>
    <w:rsid w:val="002B6B0B"/>
    <w:rsid w:val="002C6C62"/>
    <w:rsid w:val="002C7363"/>
    <w:rsid w:val="002F0B00"/>
    <w:rsid w:val="002F6055"/>
    <w:rsid w:val="002F60A6"/>
    <w:rsid w:val="002F6F21"/>
    <w:rsid w:val="00302E5E"/>
    <w:rsid w:val="00307942"/>
    <w:rsid w:val="003106D2"/>
    <w:rsid w:val="0031094C"/>
    <w:rsid w:val="00310FF0"/>
    <w:rsid w:val="00311D49"/>
    <w:rsid w:val="00313E6C"/>
    <w:rsid w:val="00320B86"/>
    <w:rsid w:val="003245E6"/>
    <w:rsid w:val="00327B87"/>
    <w:rsid w:val="00330136"/>
    <w:rsid w:val="00333698"/>
    <w:rsid w:val="0033523B"/>
    <w:rsid w:val="00336DF9"/>
    <w:rsid w:val="00341D78"/>
    <w:rsid w:val="00343AE4"/>
    <w:rsid w:val="00355FF9"/>
    <w:rsid w:val="003608BF"/>
    <w:rsid w:val="00367A73"/>
    <w:rsid w:val="00385854"/>
    <w:rsid w:val="00387B35"/>
    <w:rsid w:val="00392AB2"/>
    <w:rsid w:val="00396C70"/>
    <w:rsid w:val="003A06FC"/>
    <w:rsid w:val="003A54BB"/>
    <w:rsid w:val="003A5F61"/>
    <w:rsid w:val="003B07D8"/>
    <w:rsid w:val="003B6557"/>
    <w:rsid w:val="003B7F09"/>
    <w:rsid w:val="003C0E17"/>
    <w:rsid w:val="003C280D"/>
    <w:rsid w:val="003C2ABB"/>
    <w:rsid w:val="003E05A4"/>
    <w:rsid w:val="003E0B26"/>
    <w:rsid w:val="003E131E"/>
    <w:rsid w:val="003E2FAC"/>
    <w:rsid w:val="003E683C"/>
    <w:rsid w:val="003F0D6F"/>
    <w:rsid w:val="003F0F2B"/>
    <w:rsid w:val="003F16A9"/>
    <w:rsid w:val="003F19F3"/>
    <w:rsid w:val="003F1D8D"/>
    <w:rsid w:val="003F301F"/>
    <w:rsid w:val="003F32F9"/>
    <w:rsid w:val="003F3CF9"/>
    <w:rsid w:val="003F72AE"/>
    <w:rsid w:val="003F7630"/>
    <w:rsid w:val="004128F0"/>
    <w:rsid w:val="00413ECC"/>
    <w:rsid w:val="004147A7"/>
    <w:rsid w:val="004152AF"/>
    <w:rsid w:val="00415A1C"/>
    <w:rsid w:val="00421066"/>
    <w:rsid w:val="004231A8"/>
    <w:rsid w:val="0043075E"/>
    <w:rsid w:val="00431ED6"/>
    <w:rsid w:val="00442FE4"/>
    <w:rsid w:val="00454FC1"/>
    <w:rsid w:val="0045565D"/>
    <w:rsid w:val="00457060"/>
    <w:rsid w:val="00465510"/>
    <w:rsid w:val="004672FE"/>
    <w:rsid w:val="00467E1F"/>
    <w:rsid w:val="00472D74"/>
    <w:rsid w:val="0047411B"/>
    <w:rsid w:val="00476859"/>
    <w:rsid w:val="00477733"/>
    <w:rsid w:val="00477BE0"/>
    <w:rsid w:val="004828AD"/>
    <w:rsid w:val="0048310C"/>
    <w:rsid w:val="00491565"/>
    <w:rsid w:val="004935AF"/>
    <w:rsid w:val="00493B4A"/>
    <w:rsid w:val="00495D09"/>
    <w:rsid w:val="004A01DA"/>
    <w:rsid w:val="004A5EF2"/>
    <w:rsid w:val="004B431F"/>
    <w:rsid w:val="004D4011"/>
    <w:rsid w:val="004D4959"/>
    <w:rsid w:val="004D53C4"/>
    <w:rsid w:val="004E1452"/>
    <w:rsid w:val="004E57D2"/>
    <w:rsid w:val="004E60CF"/>
    <w:rsid w:val="004F2C1C"/>
    <w:rsid w:val="004F6708"/>
    <w:rsid w:val="0050165F"/>
    <w:rsid w:val="00501938"/>
    <w:rsid w:val="00501BAE"/>
    <w:rsid w:val="00502F3E"/>
    <w:rsid w:val="0050504A"/>
    <w:rsid w:val="00512CE7"/>
    <w:rsid w:val="00520ABB"/>
    <w:rsid w:val="00523D66"/>
    <w:rsid w:val="00524616"/>
    <w:rsid w:val="005361DE"/>
    <w:rsid w:val="00536D9F"/>
    <w:rsid w:val="00543E28"/>
    <w:rsid w:val="005444E5"/>
    <w:rsid w:val="00545F96"/>
    <w:rsid w:val="00551280"/>
    <w:rsid w:val="0055169B"/>
    <w:rsid w:val="00551B9E"/>
    <w:rsid w:val="00551E34"/>
    <w:rsid w:val="0056133F"/>
    <w:rsid w:val="0056548C"/>
    <w:rsid w:val="0056586C"/>
    <w:rsid w:val="00566F17"/>
    <w:rsid w:val="005674D3"/>
    <w:rsid w:val="005776C1"/>
    <w:rsid w:val="005831B2"/>
    <w:rsid w:val="0058479F"/>
    <w:rsid w:val="00585ABF"/>
    <w:rsid w:val="00590902"/>
    <w:rsid w:val="00590F69"/>
    <w:rsid w:val="00591BE0"/>
    <w:rsid w:val="005960EA"/>
    <w:rsid w:val="005A3723"/>
    <w:rsid w:val="005A5130"/>
    <w:rsid w:val="005B068B"/>
    <w:rsid w:val="005B0E42"/>
    <w:rsid w:val="005B4B3D"/>
    <w:rsid w:val="005B4E4C"/>
    <w:rsid w:val="005B5757"/>
    <w:rsid w:val="005B72B8"/>
    <w:rsid w:val="005C104C"/>
    <w:rsid w:val="005C1DF5"/>
    <w:rsid w:val="005C34FC"/>
    <w:rsid w:val="005C4723"/>
    <w:rsid w:val="005C51A7"/>
    <w:rsid w:val="005C634E"/>
    <w:rsid w:val="005C63E8"/>
    <w:rsid w:val="005D3526"/>
    <w:rsid w:val="005D6076"/>
    <w:rsid w:val="005D6D01"/>
    <w:rsid w:val="005D6F74"/>
    <w:rsid w:val="005D7A3A"/>
    <w:rsid w:val="005E48F7"/>
    <w:rsid w:val="005E495C"/>
    <w:rsid w:val="005E7BFA"/>
    <w:rsid w:val="005F09A7"/>
    <w:rsid w:val="005F1D84"/>
    <w:rsid w:val="005F3FB6"/>
    <w:rsid w:val="005F48F0"/>
    <w:rsid w:val="005F49D8"/>
    <w:rsid w:val="005F74A0"/>
    <w:rsid w:val="006005F2"/>
    <w:rsid w:val="00601030"/>
    <w:rsid w:val="00604EBC"/>
    <w:rsid w:val="00615CF2"/>
    <w:rsid w:val="00626F22"/>
    <w:rsid w:val="006310FB"/>
    <w:rsid w:val="00633239"/>
    <w:rsid w:val="00635168"/>
    <w:rsid w:val="0063592E"/>
    <w:rsid w:val="00642B0B"/>
    <w:rsid w:val="006453AA"/>
    <w:rsid w:val="00645797"/>
    <w:rsid w:val="006516CC"/>
    <w:rsid w:val="00655AAE"/>
    <w:rsid w:val="00672F87"/>
    <w:rsid w:val="00680C6A"/>
    <w:rsid w:val="00684FA7"/>
    <w:rsid w:val="006865C0"/>
    <w:rsid w:val="00686ED5"/>
    <w:rsid w:val="00696710"/>
    <w:rsid w:val="006A5253"/>
    <w:rsid w:val="006B41E2"/>
    <w:rsid w:val="006B6F72"/>
    <w:rsid w:val="006B778A"/>
    <w:rsid w:val="006C0F48"/>
    <w:rsid w:val="006C2A3B"/>
    <w:rsid w:val="006C2C09"/>
    <w:rsid w:val="006D0337"/>
    <w:rsid w:val="006D1E94"/>
    <w:rsid w:val="006D23F1"/>
    <w:rsid w:val="006D78D3"/>
    <w:rsid w:val="006E35DA"/>
    <w:rsid w:val="006E5EF8"/>
    <w:rsid w:val="006F25C6"/>
    <w:rsid w:val="00702E38"/>
    <w:rsid w:val="00707DD7"/>
    <w:rsid w:val="00707E78"/>
    <w:rsid w:val="00710ACE"/>
    <w:rsid w:val="007123C7"/>
    <w:rsid w:val="00723495"/>
    <w:rsid w:val="00726D77"/>
    <w:rsid w:val="007471FE"/>
    <w:rsid w:val="0075168A"/>
    <w:rsid w:val="007553F5"/>
    <w:rsid w:val="007624B7"/>
    <w:rsid w:val="007644AB"/>
    <w:rsid w:val="007646CC"/>
    <w:rsid w:val="007700ED"/>
    <w:rsid w:val="00771845"/>
    <w:rsid w:val="007725F6"/>
    <w:rsid w:val="0077270D"/>
    <w:rsid w:val="00774FF0"/>
    <w:rsid w:val="00777727"/>
    <w:rsid w:val="007915D3"/>
    <w:rsid w:val="00795945"/>
    <w:rsid w:val="00797ED7"/>
    <w:rsid w:val="007A1605"/>
    <w:rsid w:val="007B27C6"/>
    <w:rsid w:val="007C124D"/>
    <w:rsid w:val="007C18E8"/>
    <w:rsid w:val="007C4BF6"/>
    <w:rsid w:val="007C6204"/>
    <w:rsid w:val="007C67FA"/>
    <w:rsid w:val="007D2ABB"/>
    <w:rsid w:val="007D3C23"/>
    <w:rsid w:val="007D5278"/>
    <w:rsid w:val="007E2F84"/>
    <w:rsid w:val="007E3AA4"/>
    <w:rsid w:val="007E49BC"/>
    <w:rsid w:val="007E5171"/>
    <w:rsid w:val="007E662B"/>
    <w:rsid w:val="007E7EBF"/>
    <w:rsid w:val="007F27AF"/>
    <w:rsid w:val="007F5025"/>
    <w:rsid w:val="00810121"/>
    <w:rsid w:val="008106A3"/>
    <w:rsid w:val="00817698"/>
    <w:rsid w:val="008213AC"/>
    <w:rsid w:val="00821CB1"/>
    <w:rsid w:val="00825E29"/>
    <w:rsid w:val="00830C5D"/>
    <w:rsid w:val="008310C0"/>
    <w:rsid w:val="00832B8A"/>
    <w:rsid w:val="008464E8"/>
    <w:rsid w:val="00852009"/>
    <w:rsid w:val="008527AF"/>
    <w:rsid w:val="0086051D"/>
    <w:rsid w:val="00864142"/>
    <w:rsid w:val="008650DF"/>
    <w:rsid w:val="008678E1"/>
    <w:rsid w:val="008748AE"/>
    <w:rsid w:val="00875783"/>
    <w:rsid w:val="00875845"/>
    <w:rsid w:val="00875BC2"/>
    <w:rsid w:val="00875E05"/>
    <w:rsid w:val="00875FFE"/>
    <w:rsid w:val="00877F58"/>
    <w:rsid w:val="00880F98"/>
    <w:rsid w:val="00881C86"/>
    <w:rsid w:val="0088204D"/>
    <w:rsid w:val="00882BBB"/>
    <w:rsid w:val="008876A5"/>
    <w:rsid w:val="00890381"/>
    <w:rsid w:val="00890D5B"/>
    <w:rsid w:val="0089249A"/>
    <w:rsid w:val="00896724"/>
    <w:rsid w:val="008A44CF"/>
    <w:rsid w:val="008A6B21"/>
    <w:rsid w:val="008B0164"/>
    <w:rsid w:val="008B1E54"/>
    <w:rsid w:val="008B29CC"/>
    <w:rsid w:val="008B33BB"/>
    <w:rsid w:val="008B4C64"/>
    <w:rsid w:val="008B599E"/>
    <w:rsid w:val="008B6008"/>
    <w:rsid w:val="008B75E8"/>
    <w:rsid w:val="008C2766"/>
    <w:rsid w:val="008C721C"/>
    <w:rsid w:val="008D28D4"/>
    <w:rsid w:val="008E0F2A"/>
    <w:rsid w:val="008E15B3"/>
    <w:rsid w:val="008E1E8B"/>
    <w:rsid w:val="008E2CEE"/>
    <w:rsid w:val="008E4850"/>
    <w:rsid w:val="008E6B06"/>
    <w:rsid w:val="008F2A31"/>
    <w:rsid w:val="008F6FFD"/>
    <w:rsid w:val="00905E97"/>
    <w:rsid w:val="009175E7"/>
    <w:rsid w:val="00924F48"/>
    <w:rsid w:val="00932290"/>
    <w:rsid w:val="00933011"/>
    <w:rsid w:val="009338C1"/>
    <w:rsid w:val="009365A4"/>
    <w:rsid w:val="009424FE"/>
    <w:rsid w:val="009541C7"/>
    <w:rsid w:val="009556F5"/>
    <w:rsid w:val="00956561"/>
    <w:rsid w:val="00960FBB"/>
    <w:rsid w:val="00961150"/>
    <w:rsid w:val="00962933"/>
    <w:rsid w:val="0097205C"/>
    <w:rsid w:val="0097419E"/>
    <w:rsid w:val="0098287B"/>
    <w:rsid w:val="009862FA"/>
    <w:rsid w:val="00986BF2"/>
    <w:rsid w:val="00996233"/>
    <w:rsid w:val="009A4E6B"/>
    <w:rsid w:val="009A5B2C"/>
    <w:rsid w:val="009A67C1"/>
    <w:rsid w:val="009B1BF8"/>
    <w:rsid w:val="009C4062"/>
    <w:rsid w:val="009D27E7"/>
    <w:rsid w:val="009D36DA"/>
    <w:rsid w:val="009D3C1D"/>
    <w:rsid w:val="009D5A1C"/>
    <w:rsid w:val="009D5BB6"/>
    <w:rsid w:val="009D639A"/>
    <w:rsid w:val="009D70AE"/>
    <w:rsid w:val="009E207A"/>
    <w:rsid w:val="009E255D"/>
    <w:rsid w:val="009E497F"/>
    <w:rsid w:val="009F755E"/>
    <w:rsid w:val="00A02A55"/>
    <w:rsid w:val="00A02B9D"/>
    <w:rsid w:val="00A06B02"/>
    <w:rsid w:val="00A10759"/>
    <w:rsid w:val="00A11696"/>
    <w:rsid w:val="00A15633"/>
    <w:rsid w:val="00A160D4"/>
    <w:rsid w:val="00A21DBD"/>
    <w:rsid w:val="00A22F53"/>
    <w:rsid w:val="00A23BE9"/>
    <w:rsid w:val="00A27CE2"/>
    <w:rsid w:val="00A34ADE"/>
    <w:rsid w:val="00A40087"/>
    <w:rsid w:val="00A42545"/>
    <w:rsid w:val="00A4341E"/>
    <w:rsid w:val="00A46A8F"/>
    <w:rsid w:val="00A504D6"/>
    <w:rsid w:val="00A5141E"/>
    <w:rsid w:val="00A514D7"/>
    <w:rsid w:val="00A54A61"/>
    <w:rsid w:val="00A64BB7"/>
    <w:rsid w:val="00A65749"/>
    <w:rsid w:val="00A71542"/>
    <w:rsid w:val="00A76A9D"/>
    <w:rsid w:val="00A8007F"/>
    <w:rsid w:val="00A84AD3"/>
    <w:rsid w:val="00A938BA"/>
    <w:rsid w:val="00A97319"/>
    <w:rsid w:val="00AA0219"/>
    <w:rsid w:val="00AA3860"/>
    <w:rsid w:val="00AA75F9"/>
    <w:rsid w:val="00AB4659"/>
    <w:rsid w:val="00AB717D"/>
    <w:rsid w:val="00AC0AD5"/>
    <w:rsid w:val="00AC1D11"/>
    <w:rsid w:val="00AC7F1B"/>
    <w:rsid w:val="00AD3071"/>
    <w:rsid w:val="00AD7DF5"/>
    <w:rsid w:val="00AE2898"/>
    <w:rsid w:val="00AE2968"/>
    <w:rsid w:val="00AE2BDF"/>
    <w:rsid w:val="00AE51C5"/>
    <w:rsid w:val="00AE5618"/>
    <w:rsid w:val="00AE624F"/>
    <w:rsid w:val="00B01F12"/>
    <w:rsid w:val="00B032FC"/>
    <w:rsid w:val="00B03870"/>
    <w:rsid w:val="00B079BE"/>
    <w:rsid w:val="00B10F34"/>
    <w:rsid w:val="00B1396A"/>
    <w:rsid w:val="00B238F7"/>
    <w:rsid w:val="00B2561F"/>
    <w:rsid w:val="00B428A9"/>
    <w:rsid w:val="00B43225"/>
    <w:rsid w:val="00B4657D"/>
    <w:rsid w:val="00B53DF1"/>
    <w:rsid w:val="00B57EBD"/>
    <w:rsid w:val="00B66203"/>
    <w:rsid w:val="00B71658"/>
    <w:rsid w:val="00B753A1"/>
    <w:rsid w:val="00B8286F"/>
    <w:rsid w:val="00B8337E"/>
    <w:rsid w:val="00B84552"/>
    <w:rsid w:val="00B86CD2"/>
    <w:rsid w:val="00BA1D0E"/>
    <w:rsid w:val="00BB0687"/>
    <w:rsid w:val="00BB4EBD"/>
    <w:rsid w:val="00BC11C7"/>
    <w:rsid w:val="00BC61D1"/>
    <w:rsid w:val="00BD1124"/>
    <w:rsid w:val="00BD5F70"/>
    <w:rsid w:val="00BE78EC"/>
    <w:rsid w:val="00BF0D35"/>
    <w:rsid w:val="00BF0FD2"/>
    <w:rsid w:val="00BF1295"/>
    <w:rsid w:val="00BF584C"/>
    <w:rsid w:val="00C001E8"/>
    <w:rsid w:val="00C0264A"/>
    <w:rsid w:val="00C05305"/>
    <w:rsid w:val="00C070A1"/>
    <w:rsid w:val="00C20BD5"/>
    <w:rsid w:val="00C326FC"/>
    <w:rsid w:val="00C416E1"/>
    <w:rsid w:val="00C422AD"/>
    <w:rsid w:val="00C44E11"/>
    <w:rsid w:val="00C53D55"/>
    <w:rsid w:val="00C54E62"/>
    <w:rsid w:val="00C56D36"/>
    <w:rsid w:val="00C573AA"/>
    <w:rsid w:val="00C57F64"/>
    <w:rsid w:val="00C628A7"/>
    <w:rsid w:val="00C64092"/>
    <w:rsid w:val="00C71F63"/>
    <w:rsid w:val="00C8047F"/>
    <w:rsid w:val="00C80CE5"/>
    <w:rsid w:val="00C80F50"/>
    <w:rsid w:val="00C81B28"/>
    <w:rsid w:val="00C8485E"/>
    <w:rsid w:val="00C85909"/>
    <w:rsid w:val="00C87FED"/>
    <w:rsid w:val="00C920EC"/>
    <w:rsid w:val="00C9243B"/>
    <w:rsid w:val="00C9349A"/>
    <w:rsid w:val="00C94DA5"/>
    <w:rsid w:val="00C9648F"/>
    <w:rsid w:val="00C97F51"/>
    <w:rsid w:val="00CA1AF7"/>
    <w:rsid w:val="00CA2C36"/>
    <w:rsid w:val="00CA7294"/>
    <w:rsid w:val="00CB3E30"/>
    <w:rsid w:val="00CB3E95"/>
    <w:rsid w:val="00CB7E05"/>
    <w:rsid w:val="00CC03AC"/>
    <w:rsid w:val="00CC04B2"/>
    <w:rsid w:val="00CC2865"/>
    <w:rsid w:val="00CD2631"/>
    <w:rsid w:val="00CD3148"/>
    <w:rsid w:val="00CE0393"/>
    <w:rsid w:val="00CE0CB1"/>
    <w:rsid w:val="00CE2128"/>
    <w:rsid w:val="00CE4789"/>
    <w:rsid w:val="00CE5B29"/>
    <w:rsid w:val="00CF2D1C"/>
    <w:rsid w:val="00CF7262"/>
    <w:rsid w:val="00D01047"/>
    <w:rsid w:val="00D01480"/>
    <w:rsid w:val="00D07C64"/>
    <w:rsid w:val="00D12FAB"/>
    <w:rsid w:val="00D14CD1"/>
    <w:rsid w:val="00D234CF"/>
    <w:rsid w:val="00D26460"/>
    <w:rsid w:val="00D32823"/>
    <w:rsid w:val="00D35C0D"/>
    <w:rsid w:val="00D36CA4"/>
    <w:rsid w:val="00D43823"/>
    <w:rsid w:val="00D47AA4"/>
    <w:rsid w:val="00D47CC0"/>
    <w:rsid w:val="00D525B1"/>
    <w:rsid w:val="00D53ABF"/>
    <w:rsid w:val="00D5628B"/>
    <w:rsid w:val="00D56350"/>
    <w:rsid w:val="00D57D14"/>
    <w:rsid w:val="00D6042F"/>
    <w:rsid w:val="00D61872"/>
    <w:rsid w:val="00D647A0"/>
    <w:rsid w:val="00D74E71"/>
    <w:rsid w:val="00D75418"/>
    <w:rsid w:val="00D77491"/>
    <w:rsid w:val="00D80CB0"/>
    <w:rsid w:val="00D85737"/>
    <w:rsid w:val="00D92F97"/>
    <w:rsid w:val="00D933E1"/>
    <w:rsid w:val="00D9629E"/>
    <w:rsid w:val="00D97640"/>
    <w:rsid w:val="00DA0CC7"/>
    <w:rsid w:val="00DA37A9"/>
    <w:rsid w:val="00DA4288"/>
    <w:rsid w:val="00DB1437"/>
    <w:rsid w:val="00DB32B3"/>
    <w:rsid w:val="00DB3FAF"/>
    <w:rsid w:val="00DC1EF0"/>
    <w:rsid w:val="00DC7222"/>
    <w:rsid w:val="00DD1023"/>
    <w:rsid w:val="00DD39FE"/>
    <w:rsid w:val="00DD786C"/>
    <w:rsid w:val="00DE0DFD"/>
    <w:rsid w:val="00DE45BB"/>
    <w:rsid w:val="00DE63A1"/>
    <w:rsid w:val="00E10663"/>
    <w:rsid w:val="00E11248"/>
    <w:rsid w:val="00E128A6"/>
    <w:rsid w:val="00E13538"/>
    <w:rsid w:val="00E140F4"/>
    <w:rsid w:val="00E15D68"/>
    <w:rsid w:val="00E17671"/>
    <w:rsid w:val="00E20961"/>
    <w:rsid w:val="00E23CA7"/>
    <w:rsid w:val="00E23E98"/>
    <w:rsid w:val="00E25850"/>
    <w:rsid w:val="00E331A4"/>
    <w:rsid w:val="00E460C9"/>
    <w:rsid w:val="00E4691D"/>
    <w:rsid w:val="00E46F7D"/>
    <w:rsid w:val="00E5194C"/>
    <w:rsid w:val="00E51A9D"/>
    <w:rsid w:val="00E55D86"/>
    <w:rsid w:val="00E56955"/>
    <w:rsid w:val="00E611A9"/>
    <w:rsid w:val="00E65511"/>
    <w:rsid w:val="00E65C2A"/>
    <w:rsid w:val="00E66A27"/>
    <w:rsid w:val="00E67CE6"/>
    <w:rsid w:val="00E70D32"/>
    <w:rsid w:val="00E71B7B"/>
    <w:rsid w:val="00E75DA5"/>
    <w:rsid w:val="00E82551"/>
    <w:rsid w:val="00E86111"/>
    <w:rsid w:val="00E9001B"/>
    <w:rsid w:val="00E9383C"/>
    <w:rsid w:val="00E94639"/>
    <w:rsid w:val="00EA04C6"/>
    <w:rsid w:val="00EA2557"/>
    <w:rsid w:val="00EA55C7"/>
    <w:rsid w:val="00EA6557"/>
    <w:rsid w:val="00EB3A79"/>
    <w:rsid w:val="00EC2B39"/>
    <w:rsid w:val="00EC3410"/>
    <w:rsid w:val="00ED0B12"/>
    <w:rsid w:val="00ED4E5E"/>
    <w:rsid w:val="00ED5FCF"/>
    <w:rsid w:val="00ED609D"/>
    <w:rsid w:val="00ED6484"/>
    <w:rsid w:val="00EE7385"/>
    <w:rsid w:val="00EF75BD"/>
    <w:rsid w:val="00F038B1"/>
    <w:rsid w:val="00F03A3F"/>
    <w:rsid w:val="00F03DAD"/>
    <w:rsid w:val="00F1264F"/>
    <w:rsid w:val="00F12A34"/>
    <w:rsid w:val="00F13D4E"/>
    <w:rsid w:val="00F17878"/>
    <w:rsid w:val="00F20689"/>
    <w:rsid w:val="00F20ABA"/>
    <w:rsid w:val="00F26492"/>
    <w:rsid w:val="00F35CC8"/>
    <w:rsid w:val="00F44934"/>
    <w:rsid w:val="00F50597"/>
    <w:rsid w:val="00F50A14"/>
    <w:rsid w:val="00F52D56"/>
    <w:rsid w:val="00F53C48"/>
    <w:rsid w:val="00F5510F"/>
    <w:rsid w:val="00F56137"/>
    <w:rsid w:val="00F634FD"/>
    <w:rsid w:val="00F6752E"/>
    <w:rsid w:val="00F675AD"/>
    <w:rsid w:val="00F725E7"/>
    <w:rsid w:val="00F76AFF"/>
    <w:rsid w:val="00F803CB"/>
    <w:rsid w:val="00F80E0C"/>
    <w:rsid w:val="00F820BF"/>
    <w:rsid w:val="00F83920"/>
    <w:rsid w:val="00F86E08"/>
    <w:rsid w:val="00F911B1"/>
    <w:rsid w:val="00F94166"/>
    <w:rsid w:val="00F951EA"/>
    <w:rsid w:val="00FA033F"/>
    <w:rsid w:val="00FA0A4E"/>
    <w:rsid w:val="00FA0D14"/>
    <w:rsid w:val="00FA15C3"/>
    <w:rsid w:val="00FA15D0"/>
    <w:rsid w:val="00FA1E3E"/>
    <w:rsid w:val="00FB5843"/>
    <w:rsid w:val="00FB6C0F"/>
    <w:rsid w:val="00FC4B1C"/>
    <w:rsid w:val="00FC5C67"/>
    <w:rsid w:val="00FC69FC"/>
    <w:rsid w:val="00FC6C2B"/>
    <w:rsid w:val="00FD0416"/>
    <w:rsid w:val="00FD313E"/>
    <w:rsid w:val="00FD5440"/>
    <w:rsid w:val="00FD7D4B"/>
    <w:rsid w:val="00FE21EC"/>
    <w:rsid w:val="00FE33D6"/>
    <w:rsid w:val="00FE4959"/>
    <w:rsid w:val="00FE52E0"/>
    <w:rsid w:val="00FE6DC2"/>
    <w:rsid w:val="00FF0137"/>
    <w:rsid w:val="00FF331B"/>
    <w:rsid w:val="00FF511F"/>
    <w:rsid w:val="00FF69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3E"/>
    <w:pPr>
      <w:bidi/>
    </w:pPr>
  </w:style>
  <w:style w:type="paragraph" w:styleId="Heading1">
    <w:name w:val="heading 1"/>
    <w:basedOn w:val="Normal"/>
    <w:next w:val="Normal"/>
    <w:link w:val="Heading1Char"/>
    <w:uiPriority w:val="9"/>
    <w:qFormat/>
    <w:rsid w:val="00875E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5E0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E2C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47A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47A0"/>
    <w:rPr>
      <w:color w:val="0000FF"/>
      <w:u w:val="single"/>
    </w:rPr>
  </w:style>
  <w:style w:type="character" w:customStyle="1" w:styleId="name">
    <w:name w:val="name"/>
    <w:basedOn w:val="DefaultParagraphFont"/>
    <w:rsid w:val="00AE2898"/>
  </w:style>
  <w:style w:type="character" w:customStyle="1" w:styleId="infraspr">
    <w:name w:val="infraspr"/>
    <w:basedOn w:val="DefaultParagraphFont"/>
    <w:rsid w:val="00AE2898"/>
  </w:style>
  <w:style w:type="paragraph" w:styleId="Header">
    <w:name w:val="header"/>
    <w:basedOn w:val="Normal"/>
    <w:link w:val="HeaderChar"/>
    <w:uiPriority w:val="99"/>
    <w:unhideWhenUsed/>
    <w:rsid w:val="002A36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3676"/>
  </w:style>
  <w:style w:type="paragraph" w:styleId="Footer">
    <w:name w:val="footer"/>
    <w:basedOn w:val="Normal"/>
    <w:link w:val="FooterChar"/>
    <w:uiPriority w:val="99"/>
    <w:unhideWhenUsed/>
    <w:rsid w:val="002A36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3676"/>
  </w:style>
  <w:style w:type="paragraph" w:styleId="ListParagraph">
    <w:name w:val="List Paragraph"/>
    <w:basedOn w:val="Normal"/>
    <w:uiPriority w:val="34"/>
    <w:qFormat/>
    <w:rsid w:val="0056586C"/>
    <w:pPr>
      <w:ind w:left="720"/>
      <w:contextualSpacing/>
    </w:pPr>
  </w:style>
  <w:style w:type="paragraph" w:customStyle="1" w:styleId="MDPI13authornames">
    <w:name w:val="MDPI_1.3_authornames"/>
    <w:next w:val="Normal"/>
    <w:qFormat/>
    <w:rsid w:val="00C920EC"/>
    <w:pPr>
      <w:adjustRightInd w:val="0"/>
      <w:snapToGrid w:val="0"/>
      <w:spacing w:after="360" w:line="260" w:lineRule="atLeast"/>
    </w:pPr>
    <w:rPr>
      <w:rFonts w:ascii="Palatino Linotype" w:eastAsia="Times New Roman" w:hAnsi="Palatino Linotype" w:cs="Times New Roman"/>
      <w:b/>
      <w:color w:val="000000"/>
      <w:kern w:val="2"/>
      <w:sz w:val="20"/>
      <w:lang w:eastAsia="de-DE" w:bidi="en-US"/>
    </w:rPr>
  </w:style>
  <w:style w:type="paragraph" w:customStyle="1" w:styleId="MDPI16affiliation">
    <w:name w:val="MDPI_1.6_affiliation"/>
    <w:qFormat/>
    <w:rsid w:val="00C920EC"/>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eastAsia="de-DE" w:bidi="en-US"/>
    </w:rPr>
  </w:style>
  <w:style w:type="character" w:styleId="CommentReference">
    <w:name w:val="annotation reference"/>
    <w:rsid w:val="00C920EC"/>
    <w:rPr>
      <w:sz w:val="21"/>
      <w:szCs w:val="21"/>
    </w:rPr>
  </w:style>
  <w:style w:type="paragraph" w:styleId="CommentText">
    <w:name w:val="annotation text"/>
    <w:basedOn w:val="Normal"/>
    <w:link w:val="CommentTextChar"/>
    <w:rsid w:val="00C920EC"/>
    <w:pPr>
      <w:bidi w:val="0"/>
      <w:spacing w:after="0" w:line="260" w:lineRule="atLeast"/>
      <w:jc w:val="both"/>
    </w:pPr>
    <w:rPr>
      <w:rFonts w:ascii="Palatino Linotype" w:eastAsia="SimSun" w:hAnsi="Palatino Linotype" w:cs="Times New Roman"/>
      <w:noProof/>
      <w:color w:val="000000"/>
      <w:sz w:val="20"/>
      <w:szCs w:val="20"/>
      <w:lang w:eastAsia="zh-CN"/>
    </w:rPr>
  </w:style>
  <w:style w:type="character" w:customStyle="1" w:styleId="CommentTextChar">
    <w:name w:val="Comment Text Char"/>
    <w:basedOn w:val="DefaultParagraphFont"/>
    <w:link w:val="CommentText"/>
    <w:rsid w:val="00C920EC"/>
    <w:rPr>
      <w:rFonts w:ascii="Palatino Linotype" w:eastAsia="SimSun" w:hAnsi="Palatino Linotype" w:cs="Times New Roman"/>
      <w:noProof/>
      <w:color w:val="000000"/>
      <w:sz w:val="20"/>
      <w:szCs w:val="20"/>
      <w:lang w:eastAsia="zh-CN"/>
    </w:rPr>
  </w:style>
  <w:style w:type="paragraph" w:styleId="BalloonText">
    <w:name w:val="Balloon Text"/>
    <w:basedOn w:val="Normal"/>
    <w:link w:val="BalloonTextChar"/>
    <w:uiPriority w:val="99"/>
    <w:semiHidden/>
    <w:unhideWhenUsed/>
    <w:rsid w:val="00C9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EC"/>
    <w:rPr>
      <w:rFonts w:ascii="Tahoma" w:hAnsi="Tahoma" w:cs="Tahoma"/>
      <w:sz w:val="16"/>
      <w:szCs w:val="16"/>
    </w:rPr>
  </w:style>
  <w:style w:type="character" w:customStyle="1" w:styleId="apple-converted-space">
    <w:name w:val="apple-converted-space"/>
    <w:basedOn w:val="DefaultParagraphFont"/>
    <w:rsid w:val="00881C86"/>
  </w:style>
  <w:style w:type="character" w:customStyle="1" w:styleId="reference">
    <w:name w:val="reference"/>
    <w:basedOn w:val="DefaultParagraphFont"/>
    <w:rsid w:val="00881C86"/>
  </w:style>
  <w:style w:type="character" w:customStyle="1" w:styleId="iksource">
    <w:name w:val="iksource"/>
    <w:basedOn w:val="DefaultParagraphFont"/>
    <w:rsid w:val="00881C86"/>
  </w:style>
  <w:style w:type="character" w:customStyle="1" w:styleId="Heading2Char">
    <w:name w:val="Heading 2 Char"/>
    <w:basedOn w:val="DefaultParagraphFont"/>
    <w:link w:val="Heading2"/>
    <w:uiPriority w:val="9"/>
    <w:rsid w:val="00875E0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5E0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75E05"/>
    <w:rPr>
      <w:i/>
      <w:iCs/>
    </w:rPr>
  </w:style>
  <w:style w:type="character" w:customStyle="1" w:styleId="p-s">
    <w:name w:val="p-s"/>
    <w:basedOn w:val="DefaultParagraphFont"/>
    <w:rsid w:val="004A01DA"/>
  </w:style>
  <w:style w:type="character" w:customStyle="1" w:styleId="fontstyle01">
    <w:name w:val="fontstyle01"/>
    <w:basedOn w:val="DefaultParagraphFont"/>
    <w:rsid w:val="000C628C"/>
    <w:rPr>
      <w:rFonts w:ascii="Lato-Regular" w:hAnsi="Lato-Regular" w:hint="default"/>
      <w:b w:val="0"/>
      <w:bCs w:val="0"/>
      <w:i w:val="0"/>
      <w:iCs w:val="0"/>
      <w:color w:val="242021"/>
      <w:sz w:val="16"/>
      <w:szCs w:val="16"/>
    </w:rPr>
  </w:style>
  <w:style w:type="character" w:customStyle="1" w:styleId="fontstyle21">
    <w:name w:val="fontstyle21"/>
    <w:basedOn w:val="DefaultParagraphFont"/>
    <w:rsid w:val="00333698"/>
    <w:rPr>
      <w:rFonts w:ascii="Times New Roman" w:hAnsi="Times New Roman" w:cs="Times New Roman" w:hint="default"/>
      <w:b w:val="0"/>
      <w:bCs w:val="0"/>
      <w:i/>
      <w:iCs/>
      <w:color w:val="000000"/>
      <w:sz w:val="20"/>
      <w:szCs w:val="20"/>
    </w:rPr>
  </w:style>
  <w:style w:type="character" w:customStyle="1" w:styleId="Heading3Char">
    <w:name w:val="Heading 3 Char"/>
    <w:basedOn w:val="DefaultParagraphFont"/>
    <w:link w:val="Heading3"/>
    <w:uiPriority w:val="9"/>
    <w:rsid w:val="008E2CE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92AB2"/>
    <w:rPr>
      <w:b/>
      <w:bCs/>
    </w:rPr>
  </w:style>
  <w:style w:type="character" w:customStyle="1" w:styleId="s3">
    <w:name w:val="s3"/>
    <w:basedOn w:val="DefaultParagraphFont"/>
    <w:rsid w:val="008B599E"/>
    <w:rPr>
      <w:rFonts w:ascii="Times New Roman" w:hAnsi="Times New Roman" w:cs="Times New Roman" w:hint="default"/>
      <w:b w:val="0"/>
      <w:bCs w:val="0"/>
      <w:i w:val="0"/>
      <w:iCs w:val="0"/>
      <w:sz w:val="15"/>
      <w:szCs w:val="15"/>
    </w:rPr>
  </w:style>
  <w:style w:type="character" w:customStyle="1" w:styleId="s1">
    <w:name w:val="s1"/>
    <w:basedOn w:val="DefaultParagraphFont"/>
    <w:rsid w:val="009A5B2C"/>
    <w:rPr>
      <w:rFonts w:ascii="Times New Roman" w:hAnsi="Times New Roman" w:cs="Times New Roman" w:hint="default"/>
      <w:b w:val="0"/>
      <w:bCs w:val="0"/>
      <w:i w:val="0"/>
      <w:iCs w:val="0"/>
      <w:sz w:val="26"/>
      <w:szCs w:val="26"/>
    </w:rPr>
  </w:style>
  <w:style w:type="character" w:customStyle="1" w:styleId="normaltextrun">
    <w:name w:val="normaltextrun"/>
    <w:basedOn w:val="DefaultParagraphFont"/>
    <w:rsid w:val="00F44934"/>
  </w:style>
  <w:style w:type="table" w:styleId="TableGrid">
    <w:name w:val="Table Grid"/>
    <w:basedOn w:val="TableNormal"/>
    <w:uiPriority w:val="59"/>
    <w:rsid w:val="002C736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01F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92074">
      <w:bodyDiv w:val="1"/>
      <w:marLeft w:val="0"/>
      <w:marRight w:val="0"/>
      <w:marTop w:val="0"/>
      <w:marBottom w:val="0"/>
      <w:divBdr>
        <w:top w:val="none" w:sz="0" w:space="0" w:color="auto"/>
        <w:left w:val="none" w:sz="0" w:space="0" w:color="auto"/>
        <w:bottom w:val="none" w:sz="0" w:space="0" w:color="auto"/>
        <w:right w:val="none" w:sz="0" w:space="0" w:color="auto"/>
      </w:divBdr>
    </w:div>
    <w:div w:id="37900792">
      <w:bodyDiv w:val="1"/>
      <w:marLeft w:val="0"/>
      <w:marRight w:val="0"/>
      <w:marTop w:val="0"/>
      <w:marBottom w:val="0"/>
      <w:divBdr>
        <w:top w:val="none" w:sz="0" w:space="0" w:color="auto"/>
        <w:left w:val="none" w:sz="0" w:space="0" w:color="auto"/>
        <w:bottom w:val="none" w:sz="0" w:space="0" w:color="auto"/>
        <w:right w:val="none" w:sz="0" w:space="0" w:color="auto"/>
      </w:divBdr>
    </w:div>
    <w:div w:id="68582505">
      <w:bodyDiv w:val="1"/>
      <w:marLeft w:val="0"/>
      <w:marRight w:val="0"/>
      <w:marTop w:val="0"/>
      <w:marBottom w:val="0"/>
      <w:divBdr>
        <w:top w:val="none" w:sz="0" w:space="0" w:color="auto"/>
        <w:left w:val="none" w:sz="0" w:space="0" w:color="auto"/>
        <w:bottom w:val="none" w:sz="0" w:space="0" w:color="auto"/>
        <w:right w:val="none" w:sz="0" w:space="0" w:color="auto"/>
      </w:divBdr>
    </w:div>
    <w:div w:id="185293562">
      <w:bodyDiv w:val="1"/>
      <w:marLeft w:val="0"/>
      <w:marRight w:val="0"/>
      <w:marTop w:val="0"/>
      <w:marBottom w:val="0"/>
      <w:divBdr>
        <w:top w:val="none" w:sz="0" w:space="0" w:color="auto"/>
        <w:left w:val="none" w:sz="0" w:space="0" w:color="auto"/>
        <w:bottom w:val="none" w:sz="0" w:space="0" w:color="auto"/>
        <w:right w:val="none" w:sz="0" w:space="0" w:color="auto"/>
      </w:divBdr>
    </w:div>
    <w:div w:id="189683628">
      <w:bodyDiv w:val="1"/>
      <w:marLeft w:val="0"/>
      <w:marRight w:val="0"/>
      <w:marTop w:val="0"/>
      <w:marBottom w:val="0"/>
      <w:divBdr>
        <w:top w:val="none" w:sz="0" w:space="0" w:color="auto"/>
        <w:left w:val="none" w:sz="0" w:space="0" w:color="auto"/>
        <w:bottom w:val="none" w:sz="0" w:space="0" w:color="auto"/>
        <w:right w:val="none" w:sz="0" w:space="0" w:color="auto"/>
      </w:divBdr>
    </w:div>
    <w:div w:id="257637957">
      <w:bodyDiv w:val="1"/>
      <w:marLeft w:val="0"/>
      <w:marRight w:val="0"/>
      <w:marTop w:val="0"/>
      <w:marBottom w:val="0"/>
      <w:divBdr>
        <w:top w:val="none" w:sz="0" w:space="0" w:color="auto"/>
        <w:left w:val="none" w:sz="0" w:space="0" w:color="auto"/>
        <w:bottom w:val="none" w:sz="0" w:space="0" w:color="auto"/>
        <w:right w:val="none" w:sz="0" w:space="0" w:color="auto"/>
      </w:divBdr>
    </w:div>
    <w:div w:id="335621200">
      <w:bodyDiv w:val="1"/>
      <w:marLeft w:val="0"/>
      <w:marRight w:val="0"/>
      <w:marTop w:val="0"/>
      <w:marBottom w:val="0"/>
      <w:divBdr>
        <w:top w:val="none" w:sz="0" w:space="0" w:color="auto"/>
        <w:left w:val="none" w:sz="0" w:space="0" w:color="auto"/>
        <w:bottom w:val="none" w:sz="0" w:space="0" w:color="auto"/>
        <w:right w:val="none" w:sz="0" w:space="0" w:color="auto"/>
      </w:divBdr>
    </w:div>
    <w:div w:id="358547606">
      <w:bodyDiv w:val="1"/>
      <w:marLeft w:val="0"/>
      <w:marRight w:val="0"/>
      <w:marTop w:val="0"/>
      <w:marBottom w:val="0"/>
      <w:divBdr>
        <w:top w:val="none" w:sz="0" w:space="0" w:color="auto"/>
        <w:left w:val="none" w:sz="0" w:space="0" w:color="auto"/>
        <w:bottom w:val="none" w:sz="0" w:space="0" w:color="auto"/>
        <w:right w:val="none" w:sz="0" w:space="0" w:color="auto"/>
      </w:divBdr>
    </w:div>
    <w:div w:id="414515373">
      <w:bodyDiv w:val="1"/>
      <w:marLeft w:val="0"/>
      <w:marRight w:val="0"/>
      <w:marTop w:val="0"/>
      <w:marBottom w:val="0"/>
      <w:divBdr>
        <w:top w:val="none" w:sz="0" w:space="0" w:color="auto"/>
        <w:left w:val="none" w:sz="0" w:space="0" w:color="auto"/>
        <w:bottom w:val="none" w:sz="0" w:space="0" w:color="auto"/>
        <w:right w:val="none" w:sz="0" w:space="0" w:color="auto"/>
      </w:divBdr>
    </w:div>
    <w:div w:id="462695524">
      <w:bodyDiv w:val="1"/>
      <w:marLeft w:val="0"/>
      <w:marRight w:val="0"/>
      <w:marTop w:val="0"/>
      <w:marBottom w:val="0"/>
      <w:divBdr>
        <w:top w:val="none" w:sz="0" w:space="0" w:color="auto"/>
        <w:left w:val="none" w:sz="0" w:space="0" w:color="auto"/>
        <w:bottom w:val="none" w:sz="0" w:space="0" w:color="auto"/>
        <w:right w:val="none" w:sz="0" w:space="0" w:color="auto"/>
      </w:divBdr>
    </w:div>
    <w:div w:id="471408476">
      <w:bodyDiv w:val="1"/>
      <w:marLeft w:val="0"/>
      <w:marRight w:val="0"/>
      <w:marTop w:val="0"/>
      <w:marBottom w:val="0"/>
      <w:divBdr>
        <w:top w:val="none" w:sz="0" w:space="0" w:color="auto"/>
        <w:left w:val="none" w:sz="0" w:space="0" w:color="auto"/>
        <w:bottom w:val="none" w:sz="0" w:space="0" w:color="auto"/>
        <w:right w:val="none" w:sz="0" w:space="0" w:color="auto"/>
      </w:divBdr>
    </w:div>
    <w:div w:id="525679213">
      <w:bodyDiv w:val="1"/>
      <w:marLeft w:val="0"/>
      <w:marRight w:val="0"/>
      <w:marTop w:val="0"/>
      <w:marBottom w:val="0"/>
      <w:divBdr>
        <w:top w:val="none" w:sz="0" w:space="0" w:color="auto"/>
        <w:left w:val="none" w:sz="0" w:space="0" w:color="auto"/>
        <w:bottom w:val="none" w:sz="0" w:space="0" w:color="auto"/>
        <w:right w:val="none" w:sz="0" w:space="0" w:color="auto"/>
      </w:divBdr>
    </w:div>
    <w:div w:id="543295084">
      <w:bodyDiv w:val="1"/>
      <w:marLeft w:val="0"/>
      <w:marRight w:val="0"/>
      <w:marTop w:val="0"/>
      <w:marBottom w:val="0"/>
      <w:divBdr>
        <w:top w:val="none" w:sz="0" w:space="0" w:color="auto"/>
        <w:left w:val="none" w:sz="0" w:space="0" w:color="auto"/>
        <w:bottom w:val="none" w:sz="0" w:space="0" w:color="auto"/>
        <w:right w:val="none" w:sz="0" w:space="0" w:color="auto"/>
      </w:divBdr>
    </w:div>
    <w:div w:id="613902237">
      <w:bodyDiv w:val="1"/>
      <w:marLeft w:val="0"/>
      <w:marRight w:val="0"/>
      <w:marTop w:val="0"/>
      <w:marBottom w:val="0"/>
      <w:divBdr>
        <w:top w:val="none" w:sz="0" w:space="0" w:color="auto"/>
        <w:left w:val="none" w:sz="0" w:space="0" w:color="auto"/>
        <w:bottom w:val="none" w:sz="0" w:space="0" w:color="auto"/>
        <w:right w:val="none" w:sz="0" w:space="0" w:color="auto"/>
      </w:divBdr>
    </w:div>
    <w:div w:id="674960991">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72821597">
      <w:bodyDiv w:val="1"/>
      <w:marLeft w:val="0"/>
      <w:marRight w:val="0"/>
      <w:marTop w:val="0"/>
      <w:marBottom w:val="0"/>
      <w:divBdr>
        <w:top w:val="none" w:sz="0" w:space="0" w:color="auto"/>
        <w:left w:val="none" w:sz="0" w:space="0" w:color="auto"/>
        <w:bottom w:val="none" w:sz="0" w:space="0" w:color="auto"/>
        <w:right w:val="none" w:sz="0" w:space="0" w:color="auto"/>
      </w:divBdr>
      <w:divsChild>
        <w:div w:id="2009596172">
          <w:marLeft w:val="0"/>
          <w:marRight w:val="0"/>
          <w:marTop w:val="0"/>
          <w:marBottom w:val="259"/>
          <w:divBdr>
            <w:top w:val="none" w:sz="0" w:space="0" w:color="auto"/>
            <w:left w:val="none" w:sz="0" w:space="0" w:color="auto"/>
            <w:bottom w:val="none" w:sz="0" w:space="0" w:color="auto"/>
            <w:right w:val="none" w:sz="0" w:space="0" w:color="auto"/>
          </w:divBdr>
        </w:div>
      </w:divsChild>
    </w:div>
    <w:div w:id="778260366">
      <w:bodyDiv w:val="1"/>
      <w:marLeft w:val="0"/>
      <w:marRight w:val="0"/>
      <w:marTop w:val="0"/>
      <w:marBottom w:val="0"/>
      <w:divBdr>
        <w:top w:val="none" w:sz="0" w:space="0" w:color="auto"/>
        <w:left w:val="none" w:sz="0" w:space="0" w:color="auto"/>
        <w:bottom w:val="none" w:sz="0" w:space="0" w:color="auto"/>
        <w:right w:val="none" w:sz="0" w:space="0" w:color="auto"/>
      </w:divBdr>
    </w:div>
    <w:div w:id="911965667">
      <w:bodyDiv w:val="1"/>
      <w:marLeft w:val="0"/>
      <w:marRight w:val="0"/>
      <w:marTop w:val="0"/>
      <w:marBottom w:val="0"/>
      <w:divBdr>
        <w:top w:val="none" w:sz="0" w:space="0" w:color="auto"/>
        <w:left w:val="none" w:sz="0" w:space="0" w:color="auto"/>
        <w:bottom w:val="none" w:sz="0" w:space="0" w:color="auto"/>
        <w:right w:val="none" w:sz="0" w:space="0" w:color="auto"/>
      </w:divBdr>
    </w:div>
    <w:div w:id="932055149">
      <w:bodyDiv w:val="1"/>
      <w:marLeft w:val="0"/>
      <w:marRight w:val="0"/>
      <w:marTop w:val="0"/>
      <w:marBottom w:val="0"/>
      <w:divBdr>
        <w:top w:val="none" w:sz="0" w:space="0" w:color="auto"/>
        <w:left w:val="none" w:sz="0" w:space="0" w:color="auto"/>
        <w:bottom w:val="none" w:sz="0" w:space="0" w:color="auto"/>
        <w:right w:val="none" w:sz="0" w:space="0" w:color="auto"/>
      </w:divBdr>
    </w:div>
    <w:div w:id="1016885358">
      <w:bodyDiv w:val="1"/>
      <w:marLeft w:val="0"/>
      <w:marRight w:val="0"/>
      <w:marTop w:val="0"/>
      <w:marBottom w:val="0"/>
      <w:divBdr>
        <w:top w:val="none" w:sz="0" w:space="0" w:color="auto"/>
        <w:left w:val="none" w:sz="0" w:space="0" w:color="auto"/>
        <w:bottom w:val="none" w:sz="0" w:space="0" w:color="auto"/>
        <w:right w:val="none" w:sz="0" w:space="0" w:color="auto"/>
      </w:divBdr>
    </w:div>
    <w:div w:id="1072198147">
      <w:bodyDiv w:val="1"/>
      <w:marLeft w:val="0"/>
      <w:marRight w:val="0"/>
      <w:marTop w:val="0"/>
      <w:marBottom w:val="0"/>
      <w:divBdr>
        <w:top w:val="none" w:sz="0" w:space="0" w:color="auto"/>
        <w:left w:val="none" w:sz="0" w:space="0" w:color="auto"/>
        <w:bottom w:val="none" w:sz="0" w:space="0" w:color="auto"/>
        <w:right w:val="none" w:sz="0" w:space="0" w:color="auto"/>
      </w:divBdr>
    </w:div>
    <w:div w:id="1194342457">
      <w:bodyDiv w:val="1"/>
      <w:marLeft w:val="0"/>
      <w:marRight w:val="0"/>
      <w:marTop w:val="0"/>
      <w:marBottom w:val="0"/>
      <w:divBdr>
        <w:top w:val="none" w:sz="0" w:space="0" w:color="auto"/>
        <w:left w:val="none" w:sz="0" w:space="0" w:color="auto"/>
        <w:bottom w:val="none" w:sz="0" w:space="0" w:color="auto"/>
        <w:right w:val="none" w:sz="0" w:space="0" w:color="auto"/>
      </w:divBdr>
    </w:div>
    <w:div w:id="1197083409">
      <w:bodyDiv w:val="1"/>
      <w:marLeft w:val="0"/>
      <w:marRight w:val="0"/>
      <w:marTop w:val="0"/>
      <w:marBottom w:val="0"/>
      <w:divBdr>
        <w:top w:val="none" w:sz="0" w:space="0" w:color="auto"/>
        <w:left w:val="none" w:sz="0" w:space="0" w:color="auto"/>
        <w:bottom w:val="none" w:sz="0" w:space="0" w:color="auto"/>
        <w:right w:val="none" w:sz="0" w:space="0" w:color="auto"/>
      </w:divBdr>
    </w:div>
    <w:div w:id="1300575840">
      <w:bodyDiv w:val="1"/>
      <w:marLeft w:val="0"/>
      <w:marRight w:val="0"/>
      <w:marTop w:val="0"/>
      <w:marBottom w:val="0"/>
      <w:divBdr>
        <w:top w:val="none" w:sz="0" w:space="0" w:color="auto"/>
        <w:left w:val="none" w:sz="0" w:space="0" w:color="auto"/>
        <w:bottom w:val="none" w:sz="0" w:space="0" w:color="auto"/>
        <w:right w:val="none" w:sz="0" w:space="0" w:color="auto"/>
      </w:divBdr>
    </w:div>
    <w:div w:id="1486437999">
      <w:bodyDiv w:val="1"/>
      <w:marLeft w:val="0"/>
      <w:marRight w:val="0"/>
      <w:marTop w:val="0"/>
      <w:marBottom w:val="0"/>
      <w:divBdr>
        <w:top w:val="none" w:sz="0" w:space="0" w:color="auto"/>
        <w:left w:val="none" w:sz="0" w:space="0" w:color="auto"/>
        <w:bottom w:val="none" w:sz="0" w:space="0" w:color="auto"/>
        <w:right w:val="none" w:sz="0" w:space="0" w:color="auto"/>
      </w:divBdr>
    </w:div>
    <w:div w:id="1621952834">
      <w:bodyDiv w:val="1"/>
      <w:marLeft w:val="0"/>
      <w:marRight w:val="0"/>
      <w:marTop w:val="0"/>
      <w:marBottom w:val="0"/>
      <w:divBdr>
        <w:top w:val="none" w:sz="0" w:space="0" w:color="auto"/>
        <w:left w:val="none" w:sz="0" w:space="0" w:color="auto"/>
        <w:bottom w:val="none" w:sz="0" w:space="0" w:color="auto"/>
        <w:right w:val="none" w:sz="0" w:space="0" w:color="auto"/>
      </w:divBdr>
    </w:div>
    <w:div w:id="1646078816">
      <w:bodyDiv w:val="1"/>
      <w:marLeft w:val="0"/>
      <w:marRight w:val="0"/>
      <w:marTop w:val="0"/>
      <w:marBottom w:val="0"/>
      <w:divBdr>
        <w:top w:val="none" w:sz="0" w:space="0" w:color="auto"/>
        <w:left w:val="none" w:sz="0" w:space="0" w:color="auto"/>
        <w:bottom w:val="none" w:sz="0" w:space="0" w:color="auto"/>
        <w:right w:val="none" w:sz="0" w:space="0" w:color="auto"/>
      </w:divBdr>
    </w:div>
    <w:div w:id="1790275327">
      <w:bodyDiv w:val="1"/>
      <w:marLeft w:val="0"/>
      <w:marRight w:val="0"/>
      <w:marTop w:val="0"/>
      <w:marBottom w:val="0"/>
      <w:divBdr>
        <w:top w:val="none" w:sz="0" w:space="0" w:color="auto"/>
        <w:left w:val="none" w:sz="0" w:space="0" w:color="auto"/>
        <w:bottom w:val="none" w:sz="0" w:space="0" w:color="auto"/>
        <w:right w:val="none" w:sz="0" w:space="0" w:color="auto"/>
      </w:divBdr>
    </w:div>
    <w:div w:id="1850368558">
      <w:bodyDiv w:val="1"/>
      <w:marLeft w:val="0"/>
      <w:marRight w:val="0"/>
      <w:marTop w:val="0"/>
      <w:marBottom w:val="0"/>
      <w:divBdr>
        <w:top w:val="none" w:sz="0" w:space="0" w:color="auto"/>
        <w:left w:val="none" w:sz="0" w:space="0" w:color="auto"/>
        <w:bottom w:val="none" w:sz="0" w:space="0" w:color="auto"/>
        <w:right w:val="none" w:sz="0" w:space="0" w:color="auto"/>
      </w:divBdr>
    </w:div>
    <w:div w:id="1943295682">
      <w:bodyDiv w:val="1"/>
      <w:marLeft w:val="0"/>
      <w:marRight w:val="0"/>
      <w:marTop w:val="0"/>
      <w:marBottom w:val="0"/>
      <w:divBdr>
        <w:top w:val="none" w:sz="0" w:space="0" w:color="auto"/>
        <w:left w:val="none" w:sz="0" w:space="0" w:color="auto"/>
        <w:bottom w:val="none" w:sz="0" w:space="0" w:color="auto"/>
        <w:right w:val="none" w:sz="0" w:space="0" w:color="auto"/>
      </w:divBdr>
    </w:div>
    <w:div w:id="1979414114">
      <w:bodyDiv w:val="1"/>
      <w:marLeft w:val="0"/>
      <w:marRight w:val="0"/>
      <w:marTop w:val="0"/>
      <w:marBottom w:val="0"/>
      <w:divBdr>
        <w:top w:val="none" w:sz="0" w:space="0" w:color="auto"/>
        <w:left w:val="none" w:sz="0" w:space="0" w:color="auto"/>
        <w:bottom w:val="none" w:sz="0" w:space="0" w:color="auto"/>
        <w:right w:val="none" w:sz="0" w:space="0" w:color="auto"/>
      </w:divBdr>
    </w:div>
    <w:div w:id="1986078472">
      <w:bodyDiv w:val="1"/>
      <w:marLeft w:val="0"/>
      <w:marRight w:val="0"/>
      <w:marTop w:val="0"/>
      <w:marBottom w:val="0"/>
      <w:divBdr>
        <w:top w:val="none" w:sz="0" w:space="0" w:color="auto"/>
        <w:left w:val="none" w:sz="0" w:space="0" w:color="auto"/>
        <w:bottom w:val="none" w:sz="0" w:space="0" w:color="auto"/>
        <w:right w:val="none" w:sz="0" w:space="0" w:color="auto"/>
      </w:divBdr>
    </w:div>
    <w:div w:id="2131165800">
      <w:bodyDiv w:val="1"/>
      <w:marLeft w:val="0"/>
      <w:marRight w:val="0"/>
      <w:marTop w:val="0"/>
      <w:marBottom w:val="0"/>
      <w:divBdr>
        <w:top w:val="none" w:sz="0" w:space="0" w:color="auto"/>
        <w:left w:val="none" w:sz="0" w:space="0" w:color="auto"/>
        <w:bottom w:val="none" w:sz="0" w:space="0" w:color="auto"/>
        <w:right w:val="none" w:sz="0" w:space="0" w:color="auto"/>
      </w:divBdr>
    </w:div>
    <w:div w:id="21330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2F9DD3F-4408-4304-81E8-18342379C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4370</TotalTime>
  <Pages>1</Pages>
  <Words>12013</Words>
  <Characters>68479</Characters>
  <Application>Microsoft Office Word</Application>
  <DocSecurity>0</DocSecurity>
  <Lines>570</Lines>
  <Paragraphs>160</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Materials and Methods</vt:lpstr>
      <vt:lpstr>    </vt:lpstr>
      <vt:lpstr>    </vt:lpstr>
      <vt:lpstr>    </vt:lpstr>
      <vt:lpstr>    /</vt:lpstr>
      <vt:lpstr>    Figure 1. Photographs of herbarium sheets deposited at KSU Herbarium. a. C. arve</vt:lpstr>
      <vt:lpstr>    </vt:lpstr>
      <vt:lpstr>    </vt:lpstr>
      <vt:lpstr>    /</vt:lpstr>
      <vt:lpstr>    Figure 2. Photographs of herbarium sheets deposited at KSU Herbarium. a. C. glom</vt:lpstr>
      <vt:lpstr>    </vt:lpstr>
      <vt:lpstr>    </vt:lpstr>
      <vt:lpstr>    /</vt:lpstr>
      <vt:lpstr>    Figure 3. Photographs of herbarium sheets deposited at KSU Herbarium. a. C. pilo</vt:lpstr>
      <vt:lpstr>    </vt:lpstr>
      <vt:lpstr>    </vt:lpstr>
      <vt:lpstr>    Results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Discussion</vt:lpstr>
      <vt:lpstr>    UPGMA-derived phenogram Figure 1, showed a clear clustering tendency among the </vt:lpstr>
      <vt:lpstr>    (Menemen &amp; Jury, 2002) divided genus Convolvulus into three sections Viz.  Conv</vt:lpstr>
      <vt:lpstr>    (Wood et al., 2015) used many of the present morphological traits in species de</vt:lpstr>
      <vt:lpstr>    Morphological species delimitation is based on a small number of specimens and/</vt:lpstr>
    </vt:vector>
  </TitlesOfParts>
  <Company/>
  <LinksUpToDate>false</LinksUpToDate>
  <CharactersWithSpaces>80332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Usama K Abdelhameed</dc:creator>
  <cp:lastModifiedBy>Usama K Abdelhameed</cp:lastModifiedBy>
  <cp:revision>352</cp:revision>
  <cp:lastPrinted>2026-04-22T21:19:00Z</cp:lastPrinted>
  <dcterms:created xsi:type="dcterms:W3CDTF">2020-09-02T16:47:00Z</dcterms:created>
  <dcterms:modified xsi:type="dcterms:W3CDTF">2026-05-01T04:39:00Z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APA Style 7th edition</vt:lpwstr>
  </property>
  <property fmtid="{D5CDD505-2E9C-101B-9397-08002B2CF9AE}" pid="4" name="Mendeley Recent Style Id 1_1">
    <vt:lpwstr>http://www.zotero.org/styles/adansonia</vt:lpwstr>
  </property>
  <property fmtid="{D5CDD505-2E9C-101B-9397-08002B2CF9AE}" pid="5" name="Mendeley Recent Style Name 1_1">
    <vt:lpwstr>Adansonia</vt:lpwstr>
  </property>
  <property fmtid="{D5CDD505-2E9C-101B-9397-08002B2CF9AE}" pid="6" name="Mendeley Recent Style Id 2_1">
    <vt:lpwstr>http://www.zotero.org/styles/brazilian-journal-of-botany</vt:lpwstr>
  </property>
  <property fmtid="{D5CDD505-2E9C-101B-9397-08002B2CF9AE}" pid="7" name="Mendeley Recent Style Name 2_1">
    <vt:lpwstr>Brazilian Journal of Botany</vt:lpwstr>
  </property>
  <property fmtid="{D5CDD505-2E9C-101B-9397-08002B2CF9AE}" pid="8" name="Mendeley Recent Style Id 3_1">
    <vt:lpwstr>http://csl.mendeley.com/styles/23416141/international-journal-of-plant-sciences</vt:lpwstr>
  </property>
  <property fmtid="{D5CDD505-2E9C-101B-9397-08002B2CF9AE}" pid="9" name="Mendeley Recent Style Name 3_1">
    <vt:lpwstr>International Journal of Agriculture and Biology - Usama Abdel-Hameed</vt:lpwstr>
  </property>
  <property fmtid="{D5CDD505-2E9C-101B-9397-08002B2CF9AE}" pid="10" name="Mendeley Recent Style Id 4_1">
    <vt:lpwstr>http://www.zotero.org/styles/international-journal-of-plant-sciences</vt:lpwstr>
  </property>
  <property fmtid="{D5CDD505-2E9C-101B-9397-08002B2CF9AE}" pid="11" name="Mendeley Recent Style Name 4_1">
    <vt:lpwstr>International Journal of Plant Sciences</vt:lpwstr>
  </property>
  <property fmtid="{D5CDD505-2E9C-101B-9397-08002B2CF9AE}" pid="12" name="Mendeley Recent Style Id 5_1">
    <vt:lpwstr>http://www.zotero.org/styles/journal-of-taibah-university-for-science</vt:lpwstr>
  </property>
  <property fmtid="{D5CDD505-2E9C-101B-9397-08002B2CF9AE}" pid="13" name="Mendeley Recent Style Name 5_1">
    <vt:lpwstr>Journal of Taibah University for Science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http://www.zotero.org/styles/pakistan-journal-of-agricultural-sciences</vt:lpwstr>
  </property>
  <property fmtid="{D5CDD505-2E9C-101B-9397-08002B2CF9AE}" pid="17" name="Mendeley Recent Style Name 7_1">
    <vt:lpwstr>Pakistan Journal of Agricultural Sciences</vt:lpwstr>
  </property>
  <property fmtid="{D5CDD505-2E9C-101B-9397-08002B2CF9AE}" pid="18" name="Mendeley Recent Style Id 8_1">
    <vt:lpwstr>http://www.zotero.org/styles/plant-diversity</vt:lpwstr>
  </property>
  <property fmtid="{D5CDD505-2E9C-101B-9397-08002B2CF9AE}" pid="19" name="Mendeley Recent Style Name 8_1">
    <vt:lpwstr>Plant Diversity</vt:lpwstr>
  </property>
  <property fmtid="{D5CDD505-2E9C-101B-9397-08002B2CF9AE}" pid="20" name="Mendeley Recent Style Id 9_1">
    <vt:lpwstr>http://www.zotero.org/styles/saudi-journal-of-biological-sciences</vt:lpwstr>
  </property>
  <property fmtid="{D5CDD505-2E9C-101B-9397-08002B2CF9AE}" pid="21" name="Mendeley Recent Style Name 9_1">
    <vt:lpwstr>Saudi Journal of Biological Sciences</vt:lpwstr>
  </property>
  <property fmtid="{D5CDD505-2E9C-101B-9397-08002B2CF9AE}" pid="22" name="Mendeley Document_1">
    <vt:lpwstr>True</vt:lpwstr>
  </property>
  <property fmtid="{D5CDD505-2E9C-101B-9397-08002B2CF9AE}" pid="23" name="Mendeley Unique User Id_1">
    <vt:lpwstr>e22e15ab-4572-3718-bffe-4477da27ae73</vt:lpwstr>
  </property>
  <property fmtid="{D5CDD505-2E9C-101B-9397-08002B2CF9AE}" pid="24" name="Mendeley Citation Style_1">
    <vt:lpwstr>http://www.zotero.org/styles/apa</vt:lpwstr>
  </property>
</Properties>
</file>