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054E" w:rsidRDefault="000359A1">
      <w:pPr>
        <w:jc w:val="center"/>
        <w:rPr>
          <w:b/>
          <w:bCs/>
          <w:sz w:val="28"/>
          <w:szCs w:val="28"/>
        </w:rPr>
      </w:pPr>
      <w:r>
        <w:rPr>
          <w:b/>
          <w:bCs/>
          <w:sz w:val="28"/>
          <w:szCs w:val="28"/>
        </w:rPr>
        <w:t xml:space="preserve">Evaluation of Morpho-Physiological Traits and Biological Yield in </w:t>
      </w:r>
      <w:proofErr w:type="spellStart"/>
      <w:r>
        <w:rPr>
          <w:b/>
          <w:bCs/>
          <w:sz w:val="28"/>
          <w:szCs w:val="28"/>
        </w:rPr>
        <w:t>Coloured</w:t>
      </w:r>
      <w:proofErr w:type="spellEnd"/>
      <w:r>
        <w:rPr>
          <w:b/>
          <w:bCs/>
          <w:sz w:val="28"/>
          <w:szCs w:val="28"/>
        </w:rPr>
        <w:t xml:space="preserve"> Cauliflower </w:t>
      </w:r>
      <w:r>
        <w:rPr>
          <w:b/>
          <w:bCs/>
          <w:i/>
          <w:iCs/>
          <w:sz w:val="28"/>
          <w:szCs w:val="28"/>
        </w:rPr>
        <w:t xml:space="preserve">(Brassica oleracea var. botrytis) </w:t>
      </w:r>
      <w:r>
        <w:rPr>
          <w:b/>
          <w:bCs/>
          <w:sz w:val="28"/>
          <w:szCs w:val="28"/>
        </w:rPr>
        <w:t xml:space="preserve">Cultivars under Subtropical Conditions of </w:t>
      </w:r>
      <w:proofErr w:type="spellStart"/>
      <w:r>
        <w:rPr>
          <w:b/>
          <w:bCs/>
          <w:sz w:val="28"/>
          <w:szCs w:val="28"/>
        </w:rPr>
        <w:t>Prayagraj</w:t>
      </w:r>
      <w:proofErr w:type="spellEnd"/>
    </w:p>
    <w:p w:rsidR="0078054E" w:rsidRDefault="0078054E">
      <w:pPr>
        <w:spacing w:after="240"/>
        <w:jc w:val="center"/>
        <w:rPr>
          <w:b/>
          <w:bCs/>
          <w:sz w:val="26"/>
          <w:szCs w:val="26"/>
        </w:rPr>
      </w:pPr>
    </w:p>
    <w:p w:rsidR="0078054E" w:rsidRDefault="000359A1">
      <w:pPr>
        <w:pStyle w:val="Heading1"/>
        <w:spacing w:before="200"/>
        <w:jc w:val="center"/>
      </w:pPr>
      <w:r>
        <w:t>ABSTRACT</w:t>
      </w:r>
    </w:p>
    <w:p w:rsidR="00161E1A" w:rsidRDefault="00161E1A">
      <w:pPr>
        <w:spacing w:after="160" w:line="360" w:lineRule="auto"/>
        <w:jc w:val="both"/>
      </w:pPr>
    </w:p>
    <w:p w:rsidR="0078054E" w:rsidRDefault="00F94D31">
      <w:pPr>
        <w:spacing w:after="160" w:line="360" w:lineRule="auto"/>
        <w:jc w:val="both"/>
      </w:pPr>
      <w:r w:rsidRPr="00F94D31">
        <w:t>Cauliflower (</w:t>
      </w:r>
      <w:r w:rsidRPr="002064A1">
        <w:rPr>
          <w:i/>
        </w:rPr>
        <w:t>Brassica oleracea</w:t>
      </w:r>
      <w:r w:rsidRPr="00F94D31">
        <w:t xml:space="preserve"> var. </w:t>
      </w:r>
      <w:r w:rsidRPr="002064A1">
        <w:rPr>
          <w:i/>
        </w:rPr>
        <w:t>botrytis</w:t>
      </w:r>
      <w:r w:rsidRPr="00F94D31">
        <w:t xml:space="preserve"> L.) is a nutritionally important and commercially valuable vegetable crop widely cultivated in India, where emerging </w:t>
      </w:r>
      <w:proofErr w:type="spellStart"/>
      <w:r w:rsidRPr="00F94D31">
        <w:t>coloured</w:t>
      </w:r>
      <w:proofErr w:type="spellEnd"/>
      <w:r w:rsidRPr="00F94D31">
        <w:t xml:space="preserve"> variants with enhanced antioxidant properties are gaining increasing scientific and market attention. However, limited evidence exists on the morpho-physiological performance and yield potential of these </w:t>
      </w:r>
      <w:proofErr w:type="spellStart"/>
      <w:r w:rsidRPr="00F94D31">
        <w:t>coloured</w:t>
      </w:r>
      <w:proofErr w:type="spellEnd"/>
      <w:r w:rsidRPr="00F94D31">
        <w:t xml:space="preserve"> varieties under subtropical </w:t>
      </w:r>
      <w:proofErr w:type="spellStart"/>
      <w:r w:rsidRPr="00F94D31">
        <w:t>agro</w:t>
      </w:r>
      <w:proofErr w:type="spellEnd"/>
      <w:r w:rsidRPr="00F94D31">
        <w:t>-climatic conditions, highlighting the need for systematic evaluation.</w:t>
      </w:r>
      <w:r>
        <w:t xml:space="preserve"> </w:t>
      </w:r>
      <w:r w:rsidR="000359A1">
        <w:t xml:space="preserve">A field experiment was conducted to evaluate morpho-physiological traits governing biological yield performance across ten </w:t>
      </w:r>
      <w:proofErr w:type="spellStart"/>
      <w:r w:rsidR="000359A1">
        <w:t>coloured</w:t>
      </w:r>
      <w:proofErr w:type="spellEnd"/>
      <w:r w:rsidR="000359A1">
        <w:t xml:space="preserve"> cauliflower (Brassica oleracea var. botrytis) varieties under subtropical </w:t>
      </w:r>
      <w:proofErr w:type="spellStart"/>
      <w:r w:rsidR="000359A1">
        <w:t>agro</w:t>
      </w:r>
      <w:proofErr w:type="spellEnd"/>
      <w:r w:rsidR="000359A1">
        <w:t xml:space="preserve">-climatic conditions at SHUATS, </w:t>
      </w:r>
      <w:proofErr w:type="spellStart"/>
      <w:r w:rsidR="000359A1">
        <w:t>Prayagraj</w:t>
      </w:r>
      <w:proofErr w:type="spellEnd"/>
      <w:r w:rsidR="000359A1">
        <w:t xml:space="preserve">, Uttar Pradesh, India, during the winter season (December 2024 to February 2025). The novelty of this study lies in the systematic, multi-stage quantification of canopy architecture, SPAD-based chlorophyll content, and biomass dynamics in </w:t>
      </w:r>
      <w:proofErr w:type="spellStart"/>
      <w:r w:rsidR="000359A1">
        <w:t>coloured</w:t>
      </w:r>
      <w:proofErr w:type="spellEnd"/>
      <w:r w:rsidR="000359A1">
        <w:t xml:space="preserve"> cauliflower varieties traits hitherto underexplored in the subtropical Indian context. Using a Randomized Block Design (RBD) with three replications, significant inter-genotypic variation was recorded for all measured parameters. At 90 days after transplanting (DAT), canopy cover ranged from 30.12 cm (</w:t>
      </w:r>
      <w:proofErr w:type="spellStart"/>
      <w:r w:rsidR="000359A1">
        <w:t>Poosi</w:t>
      </w:r>
      <w:proofErr w:type="spellEnd"/>
      <w:r w:rsidR="000359A1">
        <w:t xml:space="preserve">) to 43.57 cm (Snow Crown); leaf area varied from 342.55 cm² to 427.98 cm²; chlorophyll content (SPAD values) ranged from 47.28 to 63.77; and biological yield ranged from 510.93 g to 744.93 g per plant. Snow Crown recorded the highest biological yield (744.93 g/plant), associated with the largest canopy cover, leaf area, and chlorophyll content. These results demonstrate that canopy architecture and photosynthetic efficiency are key determinants of biomass accumulation, and that Snow Crown is the most promising genotype for subtropical conditions. The findings provide actionable selection criteria for </w:t>
      </w:r>
      <w:proofErr w:type="spellStart"/>
      <w:r w:rsidR="000359A1">
        <w:t>coloured</w:t>
      </w:r>
      <w:proofErr w:type="spellEnd"/>
      <w:r w:rsidR="000359A1">
        <w:t xml:space="preserve"> cauliflower breeding </w:t>
      </w:r>
      <w:proofErr w:type="spellStart"/>
      <w:r w:rsidR="000359A1">
        <w:t>programmes</w:t>
      </w:r>
      <w:proofErr w:type="spellEnd"/>
      <w:r w:rsidR="000359A1">
        <w:t xml:space="preserve"> targeting high biological yield under comparable </w:t>
      </w:r>
      <w:proofErr w:type="spellStart"/>
      <w:r w:rsidR="000359A1">
        <w:t>agro</w:t>
      </w:r>
      <w:proofErr w:type="spellEnd"/>
      <w:r w:rsidR="000359A1">
        <w:t>-climatic settings.</w:t>
      </w:r>
    </w:p>
    <w:p w:rsidR="0078054E" w:rsidRDefault="000359A1">
      <w:pPr>
        <w:spacing w:after="200" w:line="360" w:lineRule="auto"/>
        <w:jc w:val="both"/>
      </w:pPr>
      <w:r>
        <w:rPr>
          <w:b/>
          <w:bCs/>
        </w:rPr>
        <w:t xml:space="preserve">Keywords: </w:t>
      </w:r>
      <w:proofErr w:type="spellStart"/>
      <w:r>
        <w:rPr>
          <w:i/>
          <w:iCs/>
        </w:rPr>
        <w:t>coloured</w:t>
      </w:r>
      <w:proofErr w:type="spellEnd"/>
      <w:r>
        <w:rPr>
          <w:i/>
          <w:iCs/>
        </w:rPr>
        <w:t xml:space="preserve"> cauliflower; biomass accumulation; canopy architecture; SPAD chlorophyll; morpho-physiological traits; subtropical </w:t>
      </w:r>
      <w:proofErr w:type="spellStart"/>
      <w:r>
        <w:rPr>
          <w:i/>
          <w:iCs/>
        </w:rPr>
        <w:t>agro</w:t>
      </w:r>
      <w:proofErr w:type="spellEnd"/>
      <w:r>
        <w:rPr>
          <w:i/>
          <w:iCs/>
        </w:rPr>
        <w:t>-climate; Brassica oleracea var. botrytis</w:t>
      </w:r>
    </w:p>
    <w:p w:rsidR="0078054E" w:rsidRDefault="000359A1">
      <w:pPr>
        <w:pStyle w:val="Heading1"/>
        <w:spacing w:before="200"/>
      </w:pPr>
      <w:r>
        <w:rPr>
          <w:sz w:val="22"/>
          <w:szCs w:val="22"/>
        </w:rPr>
        <w:t>1. INTRODUCTION</w:t>
      </w:r>
    </w:p>
    <w:p w:rsidR="0078054E" w:rsidRDefault="000359A1">
      <w:pPr>
        <w:spacing w:after="120" w:line="360" w:lineRule="auto"/>
        <w:ind w:firstLine="720"/>
        <w:jc w:val="both"/>
      </w:pPr>
      <w:r>
        <w:t>Cauliflower (Brassica oleracea var. botrytis L.) is one of the most commercially significant vegetable crops of the Brassicaceae family, widely cultivated across temperate, subtropical, and tropical regions. In India, it ranks among the top priority vegetable crops, with major production concentrated in Uttar Pradesh, Bihar, West Bengal, Haryana, and Maharashtra. The edible curd, an immature, compact inflorescence constitutes approximately 45% of the total plant biomass and is nutritionally rich, providing 2.6 g protein, 56 mg Vitamin C, 33 mg calcium, and 30 kcal energy per 100 g fresh weight (Singh, 1998).</w:t>
      </w:r>
    </w:p>
    <w:p w:rsidR="0078054E" w:rsidRDefault="000359A1">
      <w:pPr>
        <w:spacing w:after="120" w:line="360" w:lineRule="auto"/>
        <w:ind w:firstLine="720"/>
        <w:jc w:val="both"/>
      </w:pPr>
      <w:r>
        <w:lastRenderedPageBreak/>
        <w:t xml:space="preserve">In recent years, </w:t>
      </w:r>
      <w:proofErr w:type="spellStart"/>
      <w:r>
        <w:t>coloured</w:t>
      </w:r>
      <w:proofErr w:type="spellEnd"/>
      <w:r>
        <w:t xml:space="preserve"> cauliflower varieties including orange (rich in β-carotene), purple (rich in anthocyanins), and green variants have attracted growing scientific and commercial interest due to their superior antioxidant profiles and rising consumer demand in both domestic and export markets </w:t>
      </w:r>
      <w:r>
        <w:rPr>
          <w:i/>
          <w:iCs/>
        </w:rPr>
        <w:t>(Chaudhary et al., 2022; Poornima &amp; Bhatt, 2021).</w:t>
      </w:r>
      <w:r>
        <w:t xml:space="preserve"> Despite this growing interest, systematic agronomic evaluation of </w:t>
      </w:r>
      <w:proofErr w:type="spellStart"/>
      <w:r>
        <w:t>coloured</w:t>
      </w:r>
      <w:proofErr w:type="spellEnd"/>
      <w:r>
        <w:t xml:space="preserve"> cauliflower varieties under subtropical Indian conditions remains limited.</w:t>
      </w:r>
    </w:p>
    <w:p w:rsidR="0078054E" w:rsidRDefault="000359A1">
      <w:pPr>
        <w:spacing w:after="120" w:line="360" w:lineRule="auto"/>
        <w:ind w:firstLine="720"/>
        <w:jc w:val="both"/>
        <w:rPr>
          <w:i/>
          <w:iCs/>
        </w:rPr>
      </w:pPr>
      <w:r>
        <w:t xml:space="preserve">The existing body of literature has extensively documented cauliflower biology, cultivation practices, and nutritional composition </w:t>
      </w:r>
      <w:r>
        <w:rPr>
          <w:i/>
          <w:iCs/>
        </w:rPr>
        <w:t>(Sharma et al., 2005; Singh &amp; Sharma, 2001).</w:t>
      </w:r>
      <w:r>
        <w:t xml:space="preserve"> However, a critical research gap persists in understanding how key morpho-physiological traits particularly canopy architecture, SPAD-based chlorophyll content, leaf area dynamics, and their collective influence on biomass accumulation vary among </w:t>
      </w:r>
      <w:proofErr w:type="spellStart"/>
      <w:r>
        <w:t>coloured</w:t>
      </w:r>
      <w:proofErr w:type="spellEnd"/>
      <w:r>
        <w:t xml:space="preserve"> varieties under the specific subtropical </w:t>
      </w:r>
      <w:proofErr w:type="spellStart"/>
      <w:r>
        <w:t>agro</w:t>
      </w:r>
      <w:proofErr w:type="spellEnd"/>
      <w:r>
        <w:t xml:space="preserve">-climatic conditions of </w:t>
      </w:r>
      <w:proofErr w:type="spellStart"/>
      <w:r>
        <w:t>Prayagraj</w:t>
      </w:r>
      <w:proofErr w:type="spellEnd"/>
      <w:r>
        <w:t>. Most prior evaluations have focused on white-curded cultivars or have been conducted under temperate conditions, limiting the applicability of their findings to subtropical growing environments</w:t>
      </w:r>
      <w:r w:rsidR="006D0FDD">
        <w:t xml:space="preserve"> </w:t>
      </w:r>
      <w:r>
        <w:rPr>
          <w:i/>
          <w:iCs/>
        </w:rPr>
        <w:t>(Meena et al., 2023).</w:t>
      </w:r>
    </w:p>
    <w:p w:rsidR="0078054E" w:rsidRDefault="000359A1">
      <w:pPr>
        <w:spacing w:after="120" w:line="360" w:lineRule="auto"/>
        <w:ind w:firstLine="720"/>
        <w:jc w:val="both"/>
      </w:pPr>
      <w:r>
        <w:t xml:space="preserve">The justification for the present study is therefore twofold: first, to fill the identified research gap through systematic multi-stage morpho-physiological characterization of ten </w:t>
      </w:r>
      <w:proofErr w:type="spellStart"/>
      <w:r>
        <w:t>coloured</w:t>
      </w:r>
      <w:proofErr w:type="spellEnd"/>
      <w:r>
        <w:t xml:space="preserve"> cauliflower varieties; and second, to identify superior-performing varieties for recommendation under </w:t>
      </w:r>
      <w:proofErr w:type="spellStart"/>
      <w:r>
        <w:t>Prayagraj’s</w:t>
      </w:r>
      <w:proofErr w:type="spellEnd"/>
      <w:r>
        <w:t xml:space="preserve"> subtropical </w:t>
      </w:r>
      <w:proofErr w:type="spellStart"/>
      <w:r>
        <w:t>agro</w:t>
      </w:r>
      <w:proofErr w:type="spellEnd"/>
      <w:r>
        <w:t xml:space="preserve">-climate, thereby contributing practical information to regional variety selection </w:t>
      </w:r>
      <w:proofErr w:type="spellStart"/>
      <w:r>
        <w:t>programmes</w:t>
      </w:r>
      <w:proofErr w:type="spellEnd"/>
      <w:r>
        <w:t>.</w:t>
      </w:r>
    </w:p>
    <w:p w:rsidR="0078054E" w:rsidRDefault="000359A1">
      <w:pPr>
        <w:pStyle w:val="Heading2"/>
      </w:pPr>
      <w:r>
        <w:t>1.1 Objectives and Hypotheses</w:t>
      </w:r>
    </w:p>
    <w:p w:rsidR="0078054E" w:rsidRDefault="000359A1">
      <w:pPr>
        <w:numPr>
          <w:ilvl w:val="0"/>
          <w:numId w:val="1"/>
        </w:numPr>
        <w:spacing w:line="360" w:lineRule="auto"/>
      </w:pPr>
      <w:r>
        <w:t xml:space="preserve">To evaluate and compare morpho-physiological traits that is canopy cover, leaf area, leaf length, SPAD chlorophyll content, and stem girth among ten </w:t>
      </w:r>
      <w:proofErr w:type="spellStart"/>
      <w:r>
        <w:t>coloured</w:t>
      </w:r>
      <w:proofErr w:type="spellEnd"/>
      <w:r>
        <w:t xml:space="preserve"> cauliflower varieties. </w:t>
      </w:r>
    </w:p>
    <w:p w:rsidR="0078054E" w:rsidRDefault="000359A1">
      <w:pPr>
        <w:numPr>
          <w:ilvl w:val="0"/>
          <w:numId w:val="1"/>
        </w:numPr>
        <w:spacing w:line="360" w:lineRule="auto"/>
      </w:pPr>
      <w:r>
        <w:t>To quantify biological yield and biomass accumulation across the varieties and identify the best-performing ones.</w:t>
      </w:r>
    </w:p>
    <w:p w:rsidR="0078054E" w:rsidRDefault="000359A1">
      <w:pPr>
        <w:spacing w:before="120" w:after="60" w:line="360" w:lineRule="auto"/>
        <w:jc w:val="both"/>
        <w:rPr>
          <w:b/>
          <w:bCs/>
        </w:rPr>
      </w:pPr>
      <w:r>
        <w:rPr>
          <w:b/>
          <w:bCs/>
        </w:rPr>
        <w:t>Hypothesis:</w:t>
      </w:r>
      <w:bookmarkStart w:id="0" w:name="_GoBack"/>
      <w:bookmarkEnd w:id="0"/>
    </w:p>
    <w:p w:rsidR="0078054E" w:rsidRDefault="000359A1">
      <w:pPr>
        <w:spacing w:before="30" w:after="30" w:line="360" w:lineRule="auto"/>
        <w:jc w:val="both"/>
      </w:pPr>
      <w:r>
        <w:t xml:space="preserve">H₀ (Null hypothesis): There is no significant variation in morpho-physiological traits or biological yield among the ten </w:t>
      </w:r>
      <w:proofErr w:type="spellStart"/>
      <w:r>
        <w:t>coloured</w:t>
      </w:r>
      <w:proofErr w:type="spellEnd"/>
      <w:r>
        <w:t xml:space="preserve"> cauliflower varieties studied.</w:t>
      </w:r>
    </w:p>
    <w:p w:rsidR="0078054E" w:rsidRDefault="000359A1">
      <w:pPr>
        <w:spacing w:before="30" w:after="30" w:line="360" w:lineRule="auto"/>
      </w:pPr>
      <w:r>
        <w:t>H₁ (Alternative hypothesis): Significant variation exists among the varieties in morpho-physiological traits, and those with greater canopy area and higher SPAD values are expected to produce higher biological yield.</w:t>
      </w:r>
    </w:p>
    <w:p w:rsidR="0078054E" w:rsidRDefault="000359A1">
      <w:pPr>
        <w:pStyle w:val="Heading1"/>
      </w:pPr>
      <w:r>
        <w:rPr>
          <w:sz w:val="22"/>
          <w:szCs w:val="22"/>
        </w:rPr>
        <w:t>2. MATERIALS AND METHODS</w:t>
      </w:r>
    </w:p>
    <w:p w:rsidR="0078054E" w:rsidRDefault="000359A1">
      <w:pPr>
        <w:pStyle w:val="Heading2"/>
      </w:pPr>
      <w:r>
        <w:t xml:space="preserve">2.1 Experimental Site and </w:t>
      </w:r>
      <w:proofErr w:type="spellStart"/>
      <w:r>
        <w:t>Agro</w:t>
      </w:r>
      <w:proofErr w:type="spellEnd"/>
      <w:r>
        <w:t>-Climatic Conditions</w:t>
      </w:r>
    </w:p>
    <w:p w:rsidR="0078054E" w:rsidRDefault="000359A1">
      <w:pPr>
        <w:spacing w:after="120" w:line="360" w:lineRule="auto"/>
        <w:ind w:firstLine="720"/>
        <w:jc w:val="both"/>
      </w:pPr>
      <w:r>
        <w:t xml:space="preserve">The field experiment was conducted at the Research Farm of Sam Higginbottom University of Agriculture, Technology and Sciences (SHUATS), </w:t>
      </w:r>
      <w:proofErr w:type="spellStart"/>
      <w:r>
        <w:t>Prayagraj</w:t>
      </w:r>
      <w:proofErr w:type="spellEnd"/>
      <w:r>
        <w:t xml:space="preserve">, Uttar Pradesh, India (25°27’N, 81°51’E; altitude 98 m </w:t>
      </w:r>
      <w:proofErr w:type="spellStart"/>
      <w:r>
        <w:t>asl</w:t>
      </w:r>
      <w:proofErr w:type="spellEnd"/>
      <w:r>
        <w:t xml:space="preserve">), during the winter cropping season from December 2024 to February 2025. </w:t>
      </w:r>
      <w:proofErr w:type="spellStart"/>
      <w:r>
        <w:t>Prayagraj</w:t>
      </w:r>
      <w:proofErr w:type="spellEnd"/>
      <w:r>
        <w:t xml:space="preserve"> lies in the subtropical Gangetic plains and experiences a typical subtropical climate with cool, dry winters (mean minimum temperature 8–12°C; mean </w:t>
      </w:r>
      <w:r>
        <w:lastRenderedPageBreak/>
        <w:t xml:space="preserve">maximum 20–25°C) and adequate solar </w:t>
      </w:r>
      <w:proofErr w:type="gramStart"/>
      <w:r>
        <w:t>radiation  conditions</w:t>
      </w:r>
      <w:proofErr w:type="gramEnd"/>
      <w:r>
        <w:t xml:space="preserve"> ideal for cauliflower curd initiation and development. The experimental soil was sandy loam in texture, with a pH of 6.8, organic carbon of 0.62%, and adequate macro and micronutrient availability.</w:t>
      </w:r>
    </w:p>
    <w:p w:rsidR="0078054E" w:rsidRDefault="000359A1">
      <w:pPr>
        <w:pStyle w:val="Heading2"/>
      </w:pPr>
      <w:r>
        <w:t>2.2 Experimental Design and Treatments</w:t>
      </w:r>
    </w:p>
    <w:p w:rsidR="0078054E" w:rsidRDefault="000359A1">
      <w:pPr>
        <w:spacing w:after="120" w:line="360" w:lineRule="auto"/>
        <w:ind w:firstLine="720"/>
        <w:jc w:val="both"/>
      </w:pPr>
      <w:r>
        <w:t xml:space="preserve">Ten </w:t>
      </w:r>
      <w:proofErr w:type="spellStart"/>
      <w:r>
        <w:t>coloured</w:t>
      </w:r>
      <w:proofErr w:type="spellEnd"/>
      <w:r>
        <w:t xml:space="preserve"> cauliflower varieties (Cauliflower F1 Hybrid, Snow Crown, White </w:t>
      </w:r>
      <w:proofErr w:type="spellStart"/>
      <w:r>
        <w:t>Dex</w:t>
      </w:r>
      <w:proofErr w:type="spellEnd"/>
      <w:r>
        <w:t xml:space="preserve">, </w:t>
      </w:r>
      <w:proofErr w:type="spellStart"/>
      <w:r>
        <w:t>Carotena</w:t>
      </w:r>
      <w:proofErr w:type="spellEnd"/>
      <w:r>
        <w:t xml:space="preserve">, F1 Hybrid Yellow, Pili </w:t>
      </w:r>
      <w:proofErr w:type="spellStart"/>
      <w:r>
        <w:t>Phool</w:t>
      </w:r>
      <w:proofErr w:type="spellEnd"/>
      <w:r>
        <w:t xml:space="preserve"> </w:t>
      </w:r>
      <w:proofErr w:type="spellStart"/>
      <w:r>
        <w:t>Gobhi</w:t>
      </w:r>
      <w:proofErr w:type="spellEnd"/>
      <w:r>
        <w:t xml:space="preserve">, </w:t>
      </w:r>
      <w:proofErr w:type="spellStart"/>
      <w:r>
        <w:t>Valentena</w:t>
      </w:r>
      <w:proofErr w:type="spellEnd"/>
      <w:r>
        <w:t xml:space="preserve">, F1 Hybrid Purple, </w:t>
      </w:r>
      <w:proofErr w:type="spellStart"/>
      <w:r>
        <w:t>Bainganee</w:t>
      </w:r>
      <w:proofErr w:type="spellEnd"/>
      <w:r>
        <w:t xml:space="preserve"> </w:t>
      </w:r>
      <w:proofErr w:type="spellStart"/>
      <w:r>
        <w:t>Phool</w:t>
      </w:r>
      <w:proofErr w:type="spellEnd"/>
      <w:r>
        <w:t xml:space="preserve"> </w:t>
      </w:r>
      <w:proofErr w:type="spellStart"/>
      <w:r>
        <w:t>Gobhi</w:t>
      </w:r>
      <w:proofErr w:type="spellEnd"/>
      <w:r>
        <w:t xml:space="preserve">, and </w:t>
      </w:r>
      <w:proofErr w:type="spellStart"/>
      <w:r>
        <w:t>Poosi</w:t>
      </w:r>
      <w:proofErr w:type="spellEnd"/>
      <w:r>
        <w:t xml:space="preserve">) were evaluated using a Randomized Block Design (RBD) with three replications, following the procedures outlined by Gomez and Gomez (1984). Each experimental unit comprised a plot of 3 m × 2 m, with a plant spacing of 60 cm × 45 cm, accommodating a minimum of 20 plants per plot. Transplanting was carried out using 25-day-old nursery-raised seedlings. All recommended agronomic </w:t>
      </w:r>
      <w:proofErr w:type="gramStart"/>
      <w:r>
        <w:t>practices  including</w:t>
      </w:r>
      <w:proofErr w:type="gramEnd"/>
      <w:r>
        <w:t xml:space="preserve"> uniform fertilization (120:60:60 kg NPK ha⁻¹), irrigation scheduling, and integrated pest and disease management were uniformly applied across all plots to isolate genotypic effects on the measured parameters.</w:t>
      </w:r>
    </w:p>
    <w:p w:rsidR="0078054E" w:rsidRDefault="000359A1">
      <w:pPr>
        <w:pStyle w:val="Heading2"/>
      </w:pPr>
      <w:r>
        <w:t>2.3 Observations Recorded</w:t>
      </w:r>
    </w:p>
    <w:p w:rsidR="0078054E" w:rsidRDefault="000359A1">
      <w:pPr>
        <w:spacing w:after="60" w:line="360" w:lineRule="auto"/>
        <w:jc w:val="both"/>
      </w:pPr>
      <w:r>
        <w:t>Morpho-physiological observations were recorded from five randomly tagged plants per plot at 30, 60, and 90 DAT, and at final harvest. The parameters measured and their respective methodologies are described below:</w:t>
      </w:r>
    </w:p>
    <w:p w:rsidR="0078054E" w:rsidRDefault="000359A1">
      <w:pPr>
        <w:spacing w:after="120" w:line="360" w:lineRule="auto"/>
        <w:ind w:firstLine="720"/>
        <w:jc w:val="both"/>
      </w:pPr>
      <w:r>
        <w:rPr>
          <w:b/>
          <w:bCs/>
        </w:rPr>
        <w:t xml:space="preserve">Canopy cover (cm): </w:t>
      </w:r>
      <w:r>
        <w:t>The spread of each tagged plant was measured from east to west and north to south using a measuring tape and averaged.</w:t>
      </w:r>
    </w:p>
    <w:p w:rsidR="0078054E" w:rsidRDefault="000359A1">
      <w:pPr>
        <w:spacing w:after="120" w:line="360" w:lineRule="auto"/>
        <w:ind w:firstLine="720"/>
        <w:jc w:val="both"/>
      </w:pPr>
      <w:r>
        <w:rPr>
          <w:b/>
          <w:bCs/>
        </w:rPr>
        <w:t xml:space="preserve">Leaf area (cm²): </w:t>
      </w:r>
      <w:r>
        <w:t>Leaf area was determined using the gravimetric method, wherein leaf paper cut-outs were weighed and compared to known-area standards. Leaf area index (LAI) was subsequently calculated as the ratio of total leaf area to ground area occupied by the plant.</w:t>
      </w:r>
    </w:p>
    <w:p w:rsidR="0078054E" w:rsidRDefault="000359A1">
      <w:pPr>
        <w:spacing w:after="120" w:line="360" w:lineRule="auto"/>
        <w:ind w:firstLine="720"/>
        <w:jc w:val="both"/>
      </w:pPr>
      <w:r>
        <w:rPr>
          <w:b/>
          <w:bCs/>
        </w:rPr>
        <w:t xml:space="preserve">Leaf length (cm): </w:t>
      </w:r>
      <w:r>
        <w:t>Measured from leaf base to tip using a ruler on the largest fully expanded leaf of each tagged plant.</w:t>
      </w:r>
    </w:p>
    <w:p w:rsidR="0078054E" w:rsidRDefault="000359A1">
      <w:pPr>
        <w:spacing w:after="120" w:line="360" w:lineRule="auto"/>
        <w:ind w:firstLine="720"/>
        <w:jc w:val="both"/>
      </w:pPr>
      <w:r>
        <w:rPr>
          <w:b/>
          <w:bCs/>
        </w:rPr>
        <w:t xml:space="preserve">SPAD chlorophyll content: </w:t>
      </w:r>
      <w:r>
        <w:t>Chlorophyll content was measured non-destructively using a SPAD-502Plus chlorophyll meter (Konica Minolta, Japan) on the most recently fully expanded leaf of five tagged plants per plot. Three readings per leaf were averaged to obtain the SPAD value. SPAD readings are reported in dimensionless SPAD units, which have been widely validated as reliable proxies for leaf chlorophyll concentration in Brassica crops.</w:t>
      </w:r>
    </w:p>
    <w:p w:rsidR="0078054E" w:rsidRDefault="000359A1">
      <w:pPr>
        <w:spacing w:after="120" w:line="360" w:lineRule="auto"/>
        <w:ind w:firstLine="720"/>
        <w:jc w:val="both"/>
      </w:pPr>
      <w:r>
        <w:rPr>
          <w:b/>
          <w:bCs/>
        </w:rPr>
        <w:t xml:space="preserve">Stem girth (cm): </w:t>
      </w:r>
      <w:r>
        <w:t xml:space="preserve">Measured at the base of the main stem using a digital </w:t>
      </w:r>
      <w:proofErr w:type="spellStart"/>
      <w:r>
        <w:t>vernier</w:t>
      </w:r>
      <w:proofErr w:type="spellEnd"/>
      <w:r>
        <w:t xml:space="preserve"> </w:t>
      </w:r>
      <w:proofErr w:type="spellStart"/>
      <w:r>
        <w:t>calliper</w:t>
      </w:r>
      <w:proofErr w:type="spellEnd"/>
      <w:r>
        <w:t>.</w:t>
      </w:r>
    </w:p>
    <w:p w:rsidR="0078054E" w:rsidRDefault="000359A1">
      <w:pPr>
        <w:spacing w:after="120" w:line="360" w:lineRule="auto"/>
        <w:ind w:firstLine="720"/>
        <w:jc w:val="both"/>
      </w:pPr>
      <w:r>
        <w:rPr>
          <w:b/>
          <w:bCs/>
        </w:rPr>
        <w:t xml:space="preserve">Biological yield (g/plant): </w:t>
      </w:r>
      <w:r>
        <w:t>At physiological maturity, all above-ground biomass (leaves, stems, and curds) of five randomly selected plants per plot was harvested and the fresh weight recorded using a digital balance.</w:t>
      </w:r>
    </w:p>
    <w:p w:rsidR="0078054E" w:rsidRDefault="000359A1">
      <w:pPr>
        <w:pStyle w:val="Heading2"/>
      </w:pPr>
      <w:r>
        <w:t>2.4 Statistical Analysis</w:t>
      </w:r>
    </w:p>
    <w:p w:rsidR="0078054E" w:rsidRDefault="000359A1">
      <w:pPr>
        <w:spacing w:after="120" w:line="360" w:lineRule="auto"/>
        <w:ind w:firstLine="720"/>
        <w:jc w:val="both"/>
      </w:pPr>
      <w:r>
        <w:lastRenderedPageBreak/>
        <w:t>Data were subjected to analysis of variance (ANOVA) appropriate for an RBD. Treatment means were compared using the least significant difference (LSD) at the 5% level of significance (p &lt; 0.05). Critical difference (CD), standard error of difference (</w:t>
      </w:r>
      <w:proofErr w:type="spellStart"/>
      <w:r>
        <w:t>SEd</w:t>
      </w:r>
      <w:proofErr w:type="spellEnd"/>
      <w:r>
        <w:t>), and coefficient of variation (CV%) were computed following Gomez and Gomez (1984). All statistical analyses were performed using OPSTAT software (CCS Haryana Agricultural University, Hisar).</w:t>
      </w:r>
    </w:p>
    <w:p w:rsidR="0078054E" w:rsidRDefault="000359A1">
      <w:pPr>
        <w:pStyle w:val="Heading1"/>
      </w:pPr>
      <w:r>
        <w:rPr>
          <w:sz w:val="22"/>
          <w:szCs w:val="22"/>
        </w:rPr>
        <w:t>3. RESULTS AND DISCUSSION</w:t>
      </w:r>
    </w:p>
    <w:p w:rsidR="0078054E" w:rsidRDefault="000359A1">
      <w:pPr>
        <w:spacing w:after="120" w:line="360" w:lineRule="auto"/>
        <w:ind w:firstLine="720"/>
        <w:jc w:val="both"/>
      </w:pPr>
      <w:r>
        <w:t xml:space="preserve">Significant inter-genotypic variation (p &lt; 0.05) was recorded for all morpho-physiological traits and biological yield across the ten </w:t>
      </w:r>
      <w:proofErr w:type="spellStart"/>
      <w:r>
        <w:t>coloured</w:t>
      </w:r>
      <w:proofErr w:type="spellEnd"/>
      <w:r>
        <w:t xml:space="preserve"> cauliflower varieties evaluated. The results are presented below along with a comparative discussion of relevant findings from the existing literature.</w:t>
      </w:r>
    </w:p>
    <w:p w:rsidR="0078054E" w:rsidRDefault="000359A1">
      <w:pPr>
        <w:pStyle w:val="Heading2"/>
      </w:pPr>
      <w:r>
        <w:t>3.1 Growth Parameters</w:t>
      </w:r>
    </w:p>
    <w:p w:rsidR="0078054E" w:rsidRDefault="000359A1">
      <w:pPr>
        <w:pStyle w:val="Heading3"/>
        <w:rPr>
          <w:i w:val="0"/>
          <w:iCs w:val="0"/>
        </w:rPr>
      </w:pPr>
      <w:r>
        <w:rPr>
          <w:i w:val="0"/>
          <w:iCs w:val="0"/>
        </w:rPr>
        <w:t>3.1.1 Canopy Cover (cm)</w:t>
      </w:r>
    </w:p>
    <w:p w:rsidR="0078054E" w:rsidRDefault="000359A1">
      <w:pPr>
        <w:spacing w:after="120" w:line="360" w:lineRule="auto"/>
        <w:ind w:firstLine="720"/>
        <w:jc w:val="both"/>
      </w:pPr>
      <w:r>
        <w:t xml:space="preserve">Canopy cover varies significantly (p &lt; 0.05) among varieties at 30, 60, and 90 DAT, and at final harvest. Snow Crown recorded the maximum canopy cover of 43.57 cm, exceeding the overall genotype mean by approximately 15%, while </w:t>
      </w:r>
      <w:proofErr w:type="spellStart"/>
      <w:r>
        <w:t>Poosi</w:t>
      </w:r>
      <w:proofErr w:type="spellEnd"/>
      <w:r>
        <w:t xml:space="preserve"> recorded the minimum at 30.12 cm. The broader canopy observed in Snow Crown likely enhanced light interception, leading to increased photosynthetic activity and greater biomass accumulation </w:t>
      </w:r>
      <w:r>
        <w:rPr>
          <w:i/>
          <w:iCs/>
        </w:rPr>
        <w:t>(</w:t>
      </w:r>
      <w:proofErr w:type="spellStart"/>
      <w:r>
        <w:rPr>
          <w:i/>
          <w:iCs/>
        </w:rPr>
        <w:t>Sarlikioti</w:t>
      </w:r>
      <w:proofErr w:type="spellEnd"/>
      <w:r>
        <w:rPr>
          <w:i/>
          <w:iCs/>
        </w:rPr>
        <w:t xml:space="preserve"> et al., 2011)</w:t>
      </w:r>
      <w:r>
        <w:t xml:space="preserve">. These results align with findings by </w:t>
      </w:r>
      <w:r>
        <w:rPr>
          <w:i/>
          <w:iCs/>
        </w:rPr>
        <w:t>Kumar et al</w:t>
      </w:r>
      <w:r>
        <w:t xml:space="preserve">., who reported a positive relationship between canopy spread, light-use efficiency, and economic yield in Brassica crops. Similarly, </w:t>
      </w:r>
      <w:proofErr w:type="spellStart"/>
      <w:r>
        <w:rPr>
          <w:i/>
          <w:iCs/>
        </w:rPr>
        <w:t>Giri</w:t>
      </w:r>
      <w:proofErr w:type="spellEnd"/>
      <w:r>
        <w:rPr>
          <w:i/>
          <w:iCs/>
        </w:rPr>
        <w:t xml:space="preserve"> et al. (2020)</w:t>
      </w:r>
      <w:r>
        <w:t xml:space="preserve"> documented significant varietal differences in canopy architecture. This observation was further supported by </w:t>
      </w:r>
      <w:r>
        <w:rPr>
          <w:i/>
          <w:iCs/>
        </w:rPr>
        <w:t xml:space="preserve">Tripathi et al. (2022) </w:t>
      </w:r>
      <w:r>
        <w:t xml:space="preserve">under Indo-Gangetic subtropical conditions, where canopy spread emerged as the strongest indicator of biological yield among Brassica varieties. Comparable results have also been reported for late-season cauliflower cultivars under similar field conditions in the </w:t>
      </w:r>
      <w:proofErr w:type="spellStart"/>
      <w:r>
        <w:t>Terai</w:t>
      </w:r>
      <w:proofErr w:type="spellEnd"/>
      <w:r>
        <w:t xml:space="preserve"> region, highlighting canopy structure as a critical determinant of productivity.</w:t>
      </w:r>
    </w:p>
    <w:p w:rsidR="0078054E" w:rsidRDefault="000359A1">
      <w:pPr>
        <w:pStyle w:val="Heading3"/>
        <w:rPr>
          <w:i w:val="0"/>
          <w:iCs w:val="0"/>
        </w:rPr>
      </w:pPr>
      <w:r>
        <w:rPr>
          <w:i w:val="0"/>
          <w:iCs w:val="0"/>
        </w:rPr>
        <w:t>3.1.2 Leaf Area (cm²)</w:t>
      </w:r>
    </w:p>
    <w:p w:rsidR="0078054E" w:rsidRDefault="000359A1">
      <w:pPr>
        <w:spacing w:after="120" w:line="360" w:lineRule="auto"/>
        <w:ind w:firstLine="720"/>
        <w:jc w:val="both"/>
      </w:pPr>
      <w:r>
        <w:t xml:space="preserve">Leaf area varied significantly among varieties, with Snow Crown attaining the highest value of 427.98 cm² and </w:t>
      </w:r>
      <w:proofErr w:type="spellStart"/>
      <w:r>
        <w:t>Poosi</w:t>
      </w:r>
      <w:proofErr w:type="spellEnd"/>
      <w:r>
        <w:t xml:space="preserve"> the lowest at 342.55 cm² at 90 DAT. A larger leaf area increases the interception of photosynthetically active radiation (PAR) </w:t>
      </w:r>
      <w:r>
        <w:rPr>
          <w:i/>
          <w:iCs/>
        </w:rPr>
        <w:t>(Poor et al., 2021)</w:t>
      </w:r>
      <w:r>
        <w:t xml:space="preserve">, which in turn enhances assimilate production and biomass accumulation. The F-test for leaf area was non-significant (NS), suggesting that although some trends were observed, variation among varieties for this trait was less pronounced compared to canopy cover and chlorophyll content. The positive association between leaf area and biological yield in the present study is consistent with </w:t>
      </w:r>
      <w:r>
        <w:rPr>
          <w:i/>
          <w:iCs/>
        </w:rPr>
        <w:t>Alt et al. (2000)</w:t>
      </w:r>
      <w:r>
        <w:t xml:space="preserve">, who reported a close link between leaf area, photosynthetic capacity, and nitrogen content in cauliflower, and with </w:t>
      </w:r>
      <w:proofErr w:type="spellStart"/>
      <w:r>
        <w:rPr>
          <w:i/>
          <w:iCs/>
        </w:rPr>
        <w:t>Bhowal</w:t>
      </w:r>
      <w:proofErr w:type="spellEnd"/>
      <w:r>
        <w:rPr>
          <w:i/>
          <w:iCs/>
        </w:rPr>
        <w:t xml:space="preserve"> et al. (2020)</w:t>
      </w:r>
      <w:r>
        <w:t>, who found that a higher leaf area index was positively correlated with biological yield in Brassica crops.</w:t>
      </w:r>
    </w:p>
    <w:p w:rsidR="0078054E" w:rsidRDefault="000359A1">
      <w:pPr>
        <w:pStyle w:val="Heading3"/>
        <w:rPr>
          <w:i w:val="0"/>
          <w:iCs w:val="0"/>
        </w:rPr>
      </w:pPr>
      <w:r>
        <w:rPr>
          <w:i w:val="0"/>
          <w:iCs w:val="0"/>
        </w:rPr>
        <w:t>3.1.3 Leaf Length (cm)</w:t>
      </w:r>
    </w:p>
    <w:p w:rsidR="0078054E" w:rsidRDefault="000359A1">
      <w:pPr>
        <w:spacing w:after="120" w:line="360" w:lineRule="auto"/>
        <w:ind w:firstLine="720"/>
        <w:jc w:val="both"/>
      </w:pPr>
      <w:r>
        <w:lastRenderedPageBreak/>
        <w:t xml:space="preserve">Significant differences (p &lt; 0.05) were observed among varieties for leaf length at 30, 60, and 90 DAT. Snow Crown recorded the longest leaves (24.11 cm), while </w:t>
      </w:r>
      <w:proofErr w:type="spellStart"/>
      <w:r>
        <w:t>Poosi</w:t>
      </w:r>
      <w:proofErr w:type="spellEnd"/>
      <w:r>
        <w:t xml:space="preserve"> had the shortest (20.34 cm). Longer leaves in Snow Crown variety indicate greater vegetative </w:t>
      </w:r>
      <w:proofErr w:type="spellStart"/>
      <w:r>
        <w:t>vigour</w:t>
      </w:r>
      <w:proofErr w:type="spellEnd"/>
      <w:r>
        <w:t xml:space="preserve"> and are consistent with its higher canopy cover and leaf area values. Leaf length in Brassica crops has been reported as a useful early selection indicates for biomass potential</w:t>
      </w:r>
      <w:r>
        <w:rPr>
          <w:i/>
          <w:iCs/>
        </w:rPr>
        <w:t xml:space="preserve"> (Singh et al., 2013)</w:t>
      </w:r>
      <w:r>
        <w:t>.</w:t>
      </w:r>
    </w:p>
    <w:p w:rsidR="0078054E" w:rsidRDefault="000359A1">
      <w:pPr>
        <w:pStyle w:val="Heading3"/>
        <w:rPr>
          <w:i w:val="0"/>
          <w:iCs w:val="0"/>
        </w:rPr>
      </w:pPr>
      <w:r>
        <w:rPr>
          <w:i w:val="0"/>
          <w:iCs w:val="0"/>
        </w:rPr>
        <w:t>3.1.4 Chlorophyll Content (SPAD Values)</w:t>
      </w:r>
    </w:p>
    <w:p w:rsidR="0078054E" w:rsidRDefault="000359A1">
      <w:pPr>
        <w:spacing w:after="120" w:line="360" w:lineRule="auto"/>
        <w:ind w:firstLine="720"/>
        <w:jc w:val="both"/>
      </w:pPr>
      <w:r>
        <w:t xml:space="preserve">SPAD-based chlorophyll content differed significantly (p &lt; 0.05) among varieties. Snow Crown recorded the highest SPAD value of 63.77, compared to the minimum of 47.28 in </w:t>
      </w:r>
      <w:proofErr w:type="spellStart"/>
      <w:r>
        <w:t>Poosi</w:t>
      </w:r>
      <w:proofErr w:type="spellEnd"/>
      <w:r>
        <w:t xml:space="preserve"> a difference of 34.9%, indicating substantial variation in photosynthetic pigment concentration. Higher SPAD values indicate greater leaf chlorophyll content and, consequently, enhanced photosynthetic potential, which supports increased assimilate production and biomass accumulation. Croft and Chen (2018) confirmed that SPAD-based chlorophyll estimation is a reliable</w:t>
      </w:r>
      <w:r>
        <w:rPr>
          <w:i/>
          <w:iCs/>
        </w:rPr>
        <w:t xml:space="preserve"> (</w:t>
      </w:r>
      <w:proofErr w:type="spellStart"/>
      <w:r>
        <w:rPr>
          <w:i/>
          <w:iCs/>
        </w:rPr>
        <w:t>Uddling</w:t>
      </w:r>
      <w:proofErr w:type="spellEnd"/>
      <w:r>
        <w:rPr>
          <w:i/>
          <w:iCs/>
        </w:rPr>
        <w:t xml:space="preserve"> et al., 2007),</w:t>
      </w:r>
      <w:r>
        <w:t xml:space="preserve"> non-destructive indicator of photosynthetic capacity in Brassica crops</w:t>
      </w:r>
      <w:r>
        <w:rPr>
          <w:i/>
          <w:iCs/>
        </w:rPr>
        <w:t xml:space="preserve"> (</w:t>
      </w:r>
      <w:proofErr w:type="spellStart"/>
      <w:r>
        <w:rPr>
          <w:i/>
          <w:iCs/>
        </w:rPr>
        <w:t>Kalaji</w:t>
      </w:r>
      <w:proofErr w:type="spellEnd"/>
      <w:r>
        <w:rPr>
          <w:i/>
          <w:iCs/>
        </w:rPr>
        <w:t xml:space="preserve"> et al., 2012)</w:t>
      </w:r>
      <w:r>
        <w:t xml:space="preserve">. Similarly, Singh and Singh (2015) reported a positive association between chlorophyll content and biomass production in cauliflower under subtropical conditions, supporting the present findings. More recently, </w:t>
      </w:r>
      <w:r>
        <w:rPr>
          <w:i/>
          <w:iCs/>
        </w:rPr>
        <w:t>Yadav et al. (2021)</w:t>
      </w:r>
      <w:r>
        <w:t xml:space="preserve"> demonstrated that SPAD readings can reliably predict biomass potential in </w:t>
      </w:r>
      <w:proofErr w:type="spellStart"/>
      <w:r>
        <w:t>cole</w:t>
      </w:r>
      <w:proofErr w:type="spellEnd"/>
      <w:r>
        <w:t xml:space="preserve"> crops, while Nair and George (2023) highlighted their effectiveness in differentiating photosynthetic performance among </w:t>
      </w:r>
      <w:proofErr w:type="spellStart"/>
      <w:r>
        <w:t>coloured</w:t>
      </w:r>
      <w:proofErr w:type="spellEnd"/>
      <w:r>
        <w:t xml:space="preserve"> cauliflower varieties under varying temperature conditions.</w:t>
      </w:r>
    </w:p>
    <w:p w:rsidR="0078054E" w:rsidRDefault="000359A1">
      <w:pPr>
        <w:pStyle w:val="Heading3"/>
        <w:rPr>
          <w:i w:val="0"/>
          <w:iCs w:val="0"/>
        </w:rPr>
      </w:pPr>
      <w:r>
        <w:rPr>
          <w:i w:val="0"/>
          <w:iCs w:val="0"/>
        </w:rPr>
        <w:t>3.1.5 Stem Girth (cm)</w:t>
      </w:r>
    </w:p>
    <w:p w:rsidR="0078054E" w:rsidRDefault="000359A1">
      <w:pPr>
        <w:spacing w:after="120" w:line="360" w:lineRule="auto"/>
        <w:ind w:firstLine="720"/>
        <w:jc w:val="both"/>
      </w:pPr>
      <w:r>
        <w:t xml:space="preserve">Significant inter-genotypic variation (p &lt; 0.05) was recorded for stem girth. Snow Crown had the largest stem girth (5.19 cm), while </w:t>
      </w:r>
      <w:proofErr w:type="spellStart"/>
      <w:r>
        <w:t>Poosi</w:t>
      </w:r>
      <w:proofErr w:type="spellEnd"/>
      <w:r>
        <w:t xml:space="preserve"> had the smallest (3.53 cm). Stem girth indicates the plant’s structural strength to support the weight of leaves and curd, and a thicker stem is associated with more efficient translocation of photosynthates from source leaves to sink organs. </w:t>
      </w:r>
      <w:proofErr w:type="spellStart"/>
      <w:r>
        <w:t>Valentena</w:t>
      </w:r>
      <w:proofErr w:type="spellEnd"/>
      <w:r>
        <w:t xml:space="preserve"> recorded a relatively high stem girth (4.87 cm), which corresponded with its above-average biological yield of 693.73 g per plant.</w:t>
      </w:r>
    </w:p>
    <w:p w:rsidR="0078054E" w:rsidRDefault="000359A1">
      <w:pPr>
        <w:pStyle w:val="Heading2"/>
      </w:pPr>
      <w:r>
        <w:t>3.2 Yield Parameters and Biological Yield</w:t>
      </w:r>
    </w:p>
    <w:p w:rsidR="0078054E" w:rsidRDefault="000359A1">
      <w:pPr>
        <w:spacing w:after="120" w:line="360" w:lineRule="auto"/>
        <w:ind w:firstLine="720"/>
        <w:jc w:val="both"/>
      </w:pPr>
      <w:r>
        <w:t>Biological yield (total above-ground fresh biomass per plant) varied significantly (p &lt; 0.05) among varieties, ranging from 510.93 g/plant (</w:t>
      </w:r>
      <w:proofErr w:type="spellStart"/>
      <w:r>
        <w:t>Poosi</w:t>
      </w:r>
      <w:proofErr w:type="spellEnd"/>
      <w:r>
        <w:t xml:space="preserve">) to 744.93 g/plant (Snow Crown). This range reflects a 45.8% difference between the least and most productive varieties, highlighting the importance of genotype selection for improving </w:t>
      </w:r>
      <w:proofErr w:type="spellStart"/>
      <w:r>
        <w:t>coloured</w:t>
      </w:r>
      <w:proofErr w:type="spellEnd"/>
      <w:r>
        <w:t xml:space="preserve"> cauliflower productivity under subtropical conditions. </w:t>
      </w:r>
      <w:proofErr w:type="spellStart"/>
      <w:r>
        <w:t>Valentena</w:t>
      </w:r>
      <w:proofErr w:type="spellEnd"/>
      <w:r>
        <w:t xml:space="preserve"> ranked second in biological yield (693.73 g per plant), followed by White </w:t>
      </w:r>
      <w:proofErr w:type="spellStart"/>
      <w:r>
        <w:t>Dex</w:t>
      </w:r>
      <w:proofErr w:type="spellEnd"/>
      <w:r>
        <w:t xml:space="preserve"> (654.40 g per plant). In contrast, F1 Hybrid Yellow, despite having moderate canopy cover, recorded a relatively low biological yield (444.67 g per plant), indicating that canopy efficiency, rather than canopy size alone, plays a key role in biomass accumulation.</w:t>
      </w:r>
    </w:p>
    <w:p w:rsidR="0078054E" w:rsidRDefault="000359A1">
      <w:pPr>
        <w:spacing w:before="240" w:after="240" w:line="360" w:lineRule="auto"/>
        <w:jc w:val="both"/>
      </w:pPr>
      <w:r>
        <w:t>The strong association observed between SPAD chlorophyll content, canopy cover, and biological yield in the present study supports the source–sink concept in crop physiology (</w:t>
      </w:r>
      <w:proofErr w:type="spellStart"/>
      <w:r>
        <w:t>Marcelis</w:t>
      </w:r>
      <w:proofErr w:type="spellEnd"/>
      <w:r>
        <w:t xml:space="preserve">, 1996). According to this concept, a </w:t>
      </w:r>
      <w:r>
        <w:lastRenderedPageBreak/>
        <w:t xml:space="preserve">well-developed photosynthetic source—characterized by leaves with high chlorophyll content and extensive canopy cover—enhances the plant’s ability to support a larger sink, such as curd and total biomass. Thakur et al. (2018) emphasized the importance of canopy architecture in improving light-use efficiency and overall productivity in Brassica crops, which aligns with the present findings. Similarly, </w:t>
      </w:r>
      <w:r>
        <w:rPr>
          <w:i/>
          <w:iCs/>
        </w:rPr>
        <w:t xml:space="preserve">Kumari et al. (2022) </w:t>
      </w:r>
      <w:r>
        <w:t xml:space="preserve">demonstrated that source–sink balance, defined by the ratio of photosynthetically active leaf area to curd size, is a major factor influencing biological yield variation among </w:t>
      </w:r>
      <w:proofErr w:type="spellStart"/>
      <w:r>
        <w:t>coloured</w:t>
      </w:r>
      <w:proofErr w:type="spellEnd"/>
      <w:r>
        <w:t xml:space="preserve"> cauliflower varieties under subtropical North Indian conditions, directly supporting these results.</w:t>
      </w:r>
    </w:p>
    <w:p w:rsidR="0078054E" w:rsidRDefault="000359A1">
      <w:pPr>
        <w:spacing w:before="240" w:after="240" w:line="360" w:lineRule="auto"/>
        <w:jc w:val="both"/>
      </w:pPr>
      <w:r>
        <w:t xml:space="preserve">Furthermore, </w:t>
      </w:r>
      <w:r>
        <w:rPr>
          <w:i/>
          <w:iCs/>
        </w:rPr>
        <w:t>Sharma et al. (2018)</w:t>
      </w:r>
      <w:r>
        <w:t xml:space="preserve"> reported that higher yield in cauliflower under mid-hill conditions is associated with a combination of </w:t>
      </w:r>
      <w:proofErr w:type="spellStart"/>
      <w:r>
        <w:t>favourable</w:t>
      </w:r>
      <w:proofErr w:type="spellEnd"/>
      <w:r>
        <w:t xml:space="preserve"> morphological and physiological traits. This pattern is clearly reflected in the performance of Snow Crown, which consistently showed superior results across all measured parameters in the present study.</w:t>
      </w:r>
    </w:p>
    <w:p w:rsidR="0078054E" w:rsidRDefault="000359A1">
      <w:pPr>
        <w:spacing w:before="200" w:after="100"/>
        <w:jc w:val="center"/>
      </w:pPr>
      <w:r>
        <w:rPr>
          <w:b/>
          <w:bCs/>
          <w:sz w:val="20"/>
          <w:szCs w:val="20"/>
        </w:rPr>
        <w:t>Table 1.</w:t>
      </w:r>
      <w:r>
        <w:rPr>
          <w:sz w:val="20"/>
          <w:szCs w:val="20"/>
        </w:rPr>
        <w:t xml:space="preserve"> Morpho-physiological and yield parameters of ten </w:t>
      </w:r>
      <w:proofErr w:type="spellStart"/>
      <w:r>
        <w:rPr>
          <w:sz w:val="20"/>
          <w:szCs w:val="20"/>
        </w:rPr>
        <w:t>coloured</w:t>
      </w:r>
      <w:proofErr w:type="spellEnd"/>
      <w:r>
        <w:rPr>
          <w:sz w:val="20"/>
          <w:szCs w:val="20"/>
        </w:rPr>
        <w:t xml:space="preserve"> cauliflower varieties evaluated at 90 DAT under </w:t>
      </w:r>
      <w:proofErr w:type="spellStart"/>
      <w:r>
        <w:rPr>
          <w:sz w:val="20"/>
          <w:szCs w:val="20"/>
        </w:rPr>
        <w:t>Prayagraj</w:t>
      </w:r>
      <w:proofErr w:type="spellEnd"/>
      <w:r>
        <w:rPr>
          <w:sz w:val="20"/>
          <w:szCs w:val="20"/>
        </w:rPr>
        <w:t xml:space="preserve"> subtropical </w:t>
      </w:r>
      <w:proofErr w:type="spellStart"/>
      <w:r>
        <w:rPr>
          <w:sz w:val="20"/>
          <w:szCs w:val="20"/>
        </w:rPr>
        <w:t>agro</w:t>
      </w:r>
      <w:proofErr w:type="spellEnd"/>
      <w:r>
        <w:rPr>
          <w:sz w:val="20"/>
          <w:szCs w:val="20"/>
        </w:rPr>
        <w:t>-climatic conditions (Mean ± pooled SED, n = 3)</w:t>
      </w:r>
    </w:p>
    <w:tbl>
      <w:tblPr>
        <w:tblStyle w:val="a"/>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0"/>
        <w:gridCol w:w="1260"/>
        <w:gridCol w:w="1260"/>
        <w:gridCol w:w="1260"/>
        <w:gridCol w:w="1560"/>
        <w:gridCol w:w="1200"/>
        <w:gridCol w:w="1260"/>
      </w:tblGrid>
      <w:tr w:rsidR="0078054E">
        <w:trPr>
          <w:tblHeader/>
        </w:trPr>
        <w:tc>
          <w:tcPr>
            <w:tcW w:w="1560" w:type="dxa"/>
            <w:tcBorders>
              <w:top w:val="single" w:sz="4" w:space="0" w:color="AAAAAA"/>
              <w:left w:val="single" w:sz="4" w:space="0" w:color="AAAAAA"/>
              <w:bottom w:val="single" w:sz="4" w:space="0" w:color="AAAAAA"/>
              <w:right w:val="single" w:sz="4" w:space="0" w:color="AAAAAA"/>
            </w:tcBorders>
            <w:shd w:val="clear" w:color="auto" w:fill="D0E4F5"/>
            <w:tcMar>
              <w:top w:w="100" w:type="dxa"/>
              <w:left w:w="120" w:type="dxa"/>
              <w:bottom w:w="100" w:type="dxa"/>
              <w:right w:w="120" w:type="dxa"/>
            </w:tcMar>
            <w:vAlign w:val="center"/>
          </w:tcPr>
          <w:p w:rsidR="0078054E" w:rsidRDefault="000359A1">
            <w:pPr>
              <w:jc w:val="center"/>
            </w:pPr>
            <w:r>
              <w:rPr>
                <w:b/>
                <w:bCs/>
                <w:sz w:val="18"/>
                <w:szCs w:val="18"/>
              </w:rPr>
              <w:t>Genotype</w:t>
            </w:r>
          </w:p>
        </w:tc>
        <w:tc>
          <w:tcPr>
            <w:tcW w:w="1260" w:type="dxa"/>
            <w:tcBorders>
              <w:top w:val="single" w:sz="4" w:space="0" w:color="AAAAAA"/>
              <w:left w:val="single" w:sz="4" w:space="0" w:color="AAAAAA"/>
              <w:bottom w:val="single" w:sz="4" w:space="0" w:color="AAAAAA"/>
              <w:right w:val="single" w:sz="4" w:space="0" w:color="AAAAAA"/>
            </w:tcBorders>
            <w:shd w:val="clear" w:color="auto" w:fill="D0E4F5"/>
            <w:tcMar>
              <w:top w:w="100" w:type="dxa"/>
              <w:left w:w="120" w:type="dxa"/>
              <w:bottom w:w="100" w:type="dxa"/>
              <w:right w:w="120" w:type="dxa"/>
            </w:tcMar>
            <w:vAlign w:val="center"/>
          </w:tcPr>
          <w:p w:rsidR="0078054E" w:rsidRDefault="000359A1">
            <w:pPr>
              <w:jc w:val="center"/>
            </w:pPr>
            <w:r>
              <w:rPr>
                <w:b/>
                <w:bCs/>
                <w:sz w:val="18"/>
                <w:szCs w:val="18"/>
              </w:rPr>
              <w:t>Canopy Cover (cm)</w:t>
            </w:r>
          </w:p>
        </w:tc>
        <w:tc>
          <w:tcPr>
            <w:tcW w:w="1260" w:type="dxa"/>
            <w:tcBorders>
              <w:top w:val="single" w:sz="4" w:space="0" w:color="AAAAAA"/>
              <w:left w:val="single" w:sz="4" w:space="0" w:color="AAAAAA"/>
              <w:bottom w:val="single" w:sz="4" w:space="0" w:color="AAAAAA"/>
              <w:right w:val="single" w:sz="4" w:space="0" w:color="AAAAAA"/>
            </w:tcBorders>
            <w:shd w:val="clear" w:color="auto" w:fill="D0E4F5"/>
            <w:tcMar>
              <w:top w:w="100" w:type="dxa"/>
              <w:left w:w="120" w:type="dxa"/>
              <w:bottom w:w="100" w:type="dxa"/>
              <w:right w:w="120" w:type="dxa"/>
            </w:tcMar>
            <w:vAlign w:val="center"/>
          </w:tcPr>
          <w:p w:rsidR="0078054E" w:rsidRDefault="000359A1">
            <w:pPr>
              <w:jc w:val="center"/>
            </w:pPr>
            <w:r>
              <w:rPr>
                <w:b/>
                <w:bCs/>
                <w:sz w:val="18"/>
                <w:szCs w:val="18"/>
              </w:rPr>
              <w:t>Leaf Area (cm²)</w:t>
            </w:r>
          </w:p>
        </w:tc>
        <w:tc>
          <w:tcPr>
            <w:tcW w:w="1260" w:type="dxa"/>
            <w:tcBorders>
              <w:top w:val="single" w:sz="4" w:space="0" w:color="AAAAAA"/>
              <w:left w:val="single" w:sz="4" w:space="0" w:color="AAAAAA"/>
              <w:bottom w:val="single" w:sz="4" w:space="0" w:color="AAAAAA"/>
              <w:right w:val="single" w:sz="4" w:space="0" w:color="AAAAAA"/>
            </w:tcBorders>
            <w:shd w:val="clear" w:color="auto" w:fill="D0E4F5"/>
            <w:tcMar>
              <w:top w:w="100" w:type="dxa"/>
              <w:left w:w="120" w:type="dxa"/>
              <w:bottom w:w="100" w:type="dxa"/>
              <w:right w:w="120" w:type="dxa"/>
            </w:tcMar>
            <w:vAlign w:val="center"/>
          </w:tcPr>
          <w:p w:rsidR="0078054E" w:rsidRDefault="000359A1">
            <w:pPr>
              <w:jc w:val="center"/>
            </w:pPr>
            <w:r>
              <w:rPr>
                <w:b/>
                <w:bCs/>
                <w:sz w:val="18"/>
                <w:szCs w:val="18"/>
              </w:rPr>
              <w:t>Leaf Length (cm)</w:t>
            </w:r>
          </w:p>
        </w:tc>
        <w:tc>
          <w:tcPr>
            <w:tcW w:w="1560" w:type="dxa"/>
            <w:tcBorders>
              <w:top w:val="single" w:sz="4" w:space="0" w:color="AAAAAA"/>
              <w:left w:val="single" w:sz="4" w:space="0" w:color="AAAAAA"/>
              <w:bottom w:val="single" w:sz="4" w:space="0" w:color="AAAAAA"/>
              <w:right w:val="single" w:sz="4" w:space="0" w:color="AAAAAA"/>
            </w:tcBorders>
            <w:shd w:val="clear" w:color="auto" w:fill="D0E4F5"/>
            <w:tcMar>
              <w:top w:w="100" w:type="dxa"/>
              <w:left w:w="120" w:type="dxa"/>
              <w:bottom w:w="100" w:type="dxa"/>
              <w:right w:w="120" w:type="dxa"/>
            </w:tcMar>
            <w:vAlign w:val="center"/>
          </w:tcPr>
          <w:p w:rsidR="0078054E" w:rsidRDefault="000359A1">
            <w:pPr>
              <w:jc w:val="center"/>
            </w:pPr>
            <w:r>
              <w:rPr>
                <w:b/>
                <w:bCs/>
                <w:sz w:val="18"/>
                <w:szCs w:val="18"/>
              </w:rPr>
              <w:t>SPAD Chlorophyll</w:t>
            </w:r>
          </w:p>
        </w:tc>
        <w:tc>
          <w:tcPr>
            <w:tcW w:w="1200" w:type="dxa"/>
            <w:tcBorders>
              <w:top w:val="single" w:sz="4" w:space="0" w:color="AAAAAA"/>
              <w:left w:val="single" w:sz="4" w:space="0" w:color="AAAAAA"/>
              <w:bottom w:val="single" w:sz="4" w:space="0" w:color="AAAAAA"/>
              <w:right w:val="single" w:sz="4" w:space="0" w:color="AAAAAA"/>
            </w:tcBorders>
            <w:shd w:val="clear" w:color="auto" w:fill="D0E4F5"/>
            <w:tcMar>
              <w:top w:w="100" w:type="dxa"/>
              <w:left w:w="120" w:type="dxa"/>
              <w:bottom w:w="100" w:type="dxa"/>
              <w:right w:w="120" w:type="dxa"/>
            </w:tcMar>
            <w:vAlign w:val="center"/>
          </w:tcPr>
          <w:p w:rsidR="0078054E" w:rsidRDefault="000359A1">
            <w:pPr>
              <w:jc w:val="center"/>
            </w:pPr>
            <w:r>
              <w:rPr>
                <w:b/>
                <w:bCs/>
                <w:sz w:val="18"/>
                <w:szCs w:val="18"/>
              </w:rPr>
              <w:t>Stem Girth (cm)</w:t>
            </w:r>
          </w:p>
        </w:tc>
        <w:tc>
          <w:tcPr>
            <w:tcW w:w="1260" w:type="dxa"/>
            <w:tcBorders>
              <w:top w:val="single" w:sz="4" w:space="0" w:color="AAAAAA"/>
              <w:left w:val="single" w:sz="4" w:space="0" w:color="AAAAAA"/>
              <w:bottom w:val="single" w:sz="4" w:space="0" w:color="AAAAAA"/>
              <w:right w:val="single" w:sz="4" w:space="0" w:color="AAAAAA"/>
            </w:tcBorders>
            <w:shd w:val="clear" w:color="auto" w:fill="D0E4F5"/>
            <w:tcMar>
              <w:top w:w="100" w:type="dxa"/>
              <w:left w:w="120" w:type="dxa"/>
              <w:bottom w:w="100" w:type="dxa"/>
              <w:right w:w="120" w:type="dxa"/>
            </w:tcMar>
            <w:vAlign w:val="center"/>
          </w:tcPr>
          <w:p w:rsidR="0078054E" w:rsidRDefault="000359A1">
            <w:pPr>
              <w:jc w:val="center"/>
            </w:pPr>
            <w:r>
              <w:rPr>
                <w:b/>
                <w:bCs/>
                <w:sz w:val="18"/>
                <w:szCs w:val="18"/>
              </w:rPr>
              <w:t>Biological Yield (g/plant)</w:t>
            </w:r>
          </w:p>
        </w:tc>
      </w:tr>
      <w:tr w:rsidR="0078054E">
        <w:tc>
          <w:tcPr>
            <w:tcW w:w="15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rsidR="0078054E" w:rsidRDefault="000359A1">
            <w:pPr>
              <w:jc w:val="center"/>
            </w:pPr>
            <w:r>
              <w:rPr>
                <w:sz w:val="18"/>
                <w:szCs w:val="18"/>
              </w:rPr>
              <w:t>Cauliflower F1 Hybrid</w:t>
            </w:r>
          </w:p>
        </w:tc>
        <w:tc>
          <w:tcPr>
            <w:tcW w:w="12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rsidR="0078054E" w:rsidRDefault="000359A1">
            <w:pPr>
              <w:jc w:val="center"/>
            </w:pPr>
            <w:r>
              <w:rPr>
                <w:sz w:val="18"/>
                <w:szCs w:val="18"/>
              </w:rPr>
              <w:t>38.57</w:t>
            </w:r>
          </w:p>
        </w:tc>
        <w:tc>
          <w:tcPr>
            <w:tcW w:w="12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rsidR="0078054E" w:rsidRDefault="000359A1">
            <w:pPr>
              <w:jc w:val="center"/>
            </w:pPr>
            <w:r>
              <w:rPr>
                <w:sz w:val="18"/>
                <w:szCs w:val="18"/>
              </w:rPr>
              <w:t>342.73</w:t>
            </w:r>
          </w:p>
        </w:tc>
        <w:tc>
          <w:tcPr>
            <w:tcW w:w="12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rsidR="0078054E" w:rsidRDefault="000359A1">
            <w:pPr>
              <w:jc w:val="center"/>
            </w:pPr>
            <w:r>
              <w:rPr>
                <w:sz w:val="18"/>
                <w:szCs w:val="18"/>
              </w:rPr>
              <w:t>21.46</w:t>
            </w:r>
          </w:p>
        </w:tc>
        <w:tc>
          <w:tcPr>
            <w:tcW w:w="15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rsidR="0078054E" w:rsidRDefault="000359A1">
            <w:pPr>
              <w:jc w:val="center"/>
            </w:pPr>
            <w:r>
              <w:rPr>
                <w:sz w:val="18"/>
                <w:szCs w:val="18"/>
              </w:rPr>
              <w:t>51.32</w:t>
            </w:r>
          </w:p>
        </w:tc>
        <w:tc>
          <w:tcPr>
            <w:tcW w:w="120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rsidR="0078054E" w:rsidRDefault="000359A1">
            <w:pPr>
              <w:jc w:val="center"/>
            </w:pPr>
            <w:r>
              <w:rPr>
                <w:sz w:val="18"/>
                <w:szCs w:val="18"/>
              </w:rPr>
              <w:t>4.15</w:t>
            </w:r>
          </w:p>
        </w:tc>
        <w:tc>
          <w:tcPr>
            <w:tcW w:w="12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rsidR="0078054E" w:rsidRDefault="000359A1">
            <w:pPr>
              <w:jc w:val="center"/>
            </w:pPr>
            <w:r>
              <w:rPr>
                <w:sz w:val="18"/>
                <w:szCs w:val="18"/>
              </w:rPr>
              <w:t>585.67</w:t>
            </w:r>
          </w:p>
        </w:tc>
      </w:tr>
      <w:tr w:rsidR="0078054E">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rsidR="0078054E" w:rsidRDefault="000359A1">
            <w:pPr>
              <w:jc w:val="center"/>
            </w:pPr>
            <w:r>
              <w:rPr>
                <w:sz w:val="18"/>
                <w:szCs w:val="18"/>
              </w:rPr>
              <w:t>Snow Crown</w:t>
            </w:r>
          </w:p>
        </w:tc>
        <w:tc>
          <w:tcPr>
            <w:tcW w:w="12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rsidR="0078054E" w:rsidRDefault="000359A1">
            <w:pPr>
              <w:jc w:val="center"/>
            </w:pPr>
            <w:r>
              <w:rPr>
                <w:sz w:val="18"/>
                <w:szCs w:val="18"/>
              </w:rPr>
              <w:t>43.57</w:t>
            </w:r>
          </w:p>
        </w:tc>
        <w:tc>
          <w:tcPr>
            <w:tcW w:w="12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rsidR="0078054E" w:rsidRDefault="000359A1">
            <w:pPr>
              <w:jc w:val="center"/>
            </w:pPr>
            <w:r>
              <w:rPr>
                <w:sz w:val="18"/>
                <w:szCs w:val="18"/>
              </w:rPr>
              <w:t>427.98</w:t>
            </w:r>
          </w:p>
        </w:tc>
        <w:tc>
          <w:tcPr>
            <w:tcW w:w="12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rsidR="0078054E" w:rsidRDefault="000359A1">
            <w:pPr>
              <w:jc w:val="center"/>
            </w:pPr>
            <w:r>
              <w:rPr>
                <w:sz w:val="18"/>
                <w:szCs w:val="18"/>
              </w:rPr>
              <w:t>24.11</w:t>
            </w:r>
          </w:p>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rsidR="0078054E" w:rsidRDefault="000359A1">
            <w:pPr>
              <w:jc w:val="center"/>
            </w:pPr>
            <w:r>
              <w:rPr>
                <w:sz w:val="18"/>
                <w:szCs w:val="18"/>
              </w:rPr>
              <w:t>63.77</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rsidR="0078054E" w:rsidRDefault="000359A1">
            <w:pPr>
              <w:jc w:val="center"/>
            </w:pPr>
            <w:r>
              <w:rPr>
                <w:sz w:val="18"/>
                <w:szCs w:val="18"/>
              </w:rPr>
              <w:t>5.19</w:t>
            </w:r>
          </w:p>
        </w:tc>
        <w:tc>
          <w:tcPr>
            <w:tcW w:w="12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rsidR="0078054E" w:rsidRDefault="000359A1">
            <w:pPr>
              <w:jc w:val="center"/>
            </w:pPr>
            <w:r>
              <w:rPr>
                <w:sz w:val="18"/>
                <w:szCs w:val="18"/>
              </w:rPr>
              <w:t>744.93</w:t>
            </w:r>
          </w:p>
        </w:tc>
      </w:tr>
      <w:tr w:rsidR="0078054E">
        <w:tc>
          <w:tcPr>
            <w:tcW w:w="15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rsidR="0078054E" w:rsidRDefault="000359A1">
            <w:pPr>
              <w:jc w:val="center"/>
            </w:pPr>
            <w:r>
              <w:rPr>
                <w:sz w:val="18"/>
                <w:szCs w:val="18"/>
              </w:rPr>
              <w:t xml:space="preserve">White </w:t>
            </w:r>
            <w:proofErr w:type="spellStart"/>
            <w:r>
              <w:rPr>
                <w:sz w:val="18"/>
                <w:szCs w:val="18"/>
              </w:rPr>
              <w:t>Dex</w:t>
            </w:r>
            <w:proofErr w:type="spellEnd"/>
          </w:p>
        </w:tc>
        <w:tc>
          <w:tcPr>
            <w:tcW w:w="12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rsidR="0078054E" w:rsidRDefault="000359A1">
            <w:pPr>
              <w:jc w:val="center"/>
            </w:pPr>
            <w:r>
              <w:rPr>
                <w:sz w:val="18"/>
                <w:szCs w:val="18"/>
              </w:rPr>
              <w:t>38.09</w:t>
            </w:r>
          </w:p>
        </w:tc>
        <w:tc>
          <w:tcPr>
            <w:tcW w:w="12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rsidR="0078054E" w:rsidRDefault="000359A1">
            <w:pPr>
              <w:jc w:val="center"/>
            </w:pPr>
            <w:r>
              <w:rPr>
                <w:sz w:val="18"/>
                <w:szCs w:val="18"/>
              </w:rPr>
              <w:t>372.70</w:t>
            </w:r>
          </w:p>
        </w:tc>
        <w:tc>
          <w:tcPr>
            <w:tcW w:w="12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rsidR="0078054E" w:rsidRDefault="000359A1">
            <w:pPr>
              <w:jc w:val="center"/>
            </w:pPr>
            <w:r>
              <w:rPr>
                <w:sz w:val="18"/>
                <w:szCs w:val="18"/>
              </w:rPr>
              <w:t>21.63</w:t>
            </w:r>
          </w:p>
        </w:tc>
        <w:tc>
          <w:tcPr>
            <w:tcW w:w="15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rsidR="0078054E" w:rsidRDefault="000359A1">
            <w:pPr>
              <w:jc w:val="center"/>
            </w:pPr>
            <w:r>
              <w:rPr>
                <w:sz w:val="18"/>
                <w:szCs w:val="18"/>
              </w:rPr>
              <w:t>50.82</w:t>
            </w:r>
          </w:p>
        </w:tc>
        <w:tc>
          <w:tcPr>
            <w:tcW w:w="120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rsidR="0078054E" w:rsidRDefault="000359A1">
            <w:pPr>
              <w:jc w:val="center"/>
            </w:pPr>
            <w:r>
              <w:rPr>
                <w:sz w:val="18"/>
                <w:szCs w:val="18"/>
              </w:rPr>
              <w:t>3.87</w:t>
            </w:r>
          </w:p>
        </w:tc>
        <w:tc>
          <w:tcPr>
            <w:tcW w:w="12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rsidR="0078054E" w:rsidRDefault="000359A1">
            <w:pPr>
              <w:jc w:val="center"/>
            </w:pPr>
            <w:r>
              <w:rPr>
                <w:sz w:val="18"/>
                <w:szCs w:val="18"/>
              </w:rPr>
              <w:t>654.40</w:t>
            </w:r>
          </w:p>
        </w:tc>
      </w:tr>
      <w:tr w:rsidR="0078054E">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rsidR="0078054E" w:rsidRDefault="000359A1">
            <w:pPr>
              <w:jc w:val="center"/>
            </w:pPr>
            <w:proofErr w:type="spellStart"/>
            <w:r>
              <w:rPr>
                <w:sz w:val="18"/>
                <w:szCs w:val="18"/>
              </w:rPr>
              <w:t>Carotena</w:t>
            </w:r>
            <w:proofErr w:type="spellEnd"/>
          </w:p>
        </w:tc>
        <w:tc>
          <w:tcPr>
            <w:tcW w:w="12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rsidR="0078054E" w:rsidRDefault="000359A1">
            <w:pPr>
              <w:jc w:val="center"/>
            </w:pPr>
            <w:r>
              <w:rPr>
                <w:sz w:val="18"/>
                <w:szCs w:val="18"/>
              </w:rPr>
              <w:t>36.84</w:t>
            </w:r>
          </w:p>
        </w:tc>
        <w:tc>
          <w:tcPr>
            <w:tcW w:w="12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rsidR="0078054E" w:rsidRDefault="000359A1">
            <w:pPr>
              <w:jc w:val="center"/>
            </w:pPr>
            <w:r>
              <w:rPr>
                <w:sz w:val="18"/>
                <w:szCs w:val="18"/>
              </w:rPr>
              <w:t>373.70</w:t>
            </w:r>
          </w:p>
        </w:tc>
        <w:tc>
          <w:tcPr>
            <w:tcW w:w="12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rsidR="0078054E" w:rsidRDefault="000359A1">
            <w:pPr>
              <w:jc w:val="center"/>
            </w:pPr>
            <w:r>
              <w:rPr>
                <w:sz w:val="18"/>
                <w:szCs w:val="18"/>
              </w:rPr>
              <w:t>21.17</w:t>
            </w:r>
          </w:p>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rsidR="0078054E" w:rsidRDefault="000359A1">
            <w:pPr>
              <w:jc w:val="center"/>
            </w:pPr>
            <w:r>
              <w:rPr>
                <w:sz w:val="18"/>
                <w:szCs w:val="18"/>
              </w:rPr>
              <w:t>52.90</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rsidR="0078054E" w:rsidRDefault="000359A1">
            <w:pPr>
              <w:jc w:val="center"/>
            </w:pPr>
            <w:r>
              <w:rPr>
                <w:sz w:val="18"/>
                <w:szCs w:val="18"/>
              </w:rPr>
              <w:t>4.19</w:t>
            </w:r>
          </w:p>
        </w:tc>
        <w:tc>
          <w:tcPr>
            <w:tcW w:w="12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rsidR="0078054E" w:rsidRDefault="000359A1">
            <w:pPr>
              <w:jc w:val="center"/>
            </w:pPr>
            <w:r>
              <w:rPr>
                <w:sz w:val="18"/>
                <w:szCs w:val="18"/>
              </w:rPr>
              <w:t>620.13</w:t>
            </w:r>
          </w:p>
        </w:tc>
      </w:tr>
      <w:tr w:rsidR="0078054E">
        <w:tc>
          <w:tcPr>
            <w:tcW w:w="15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rsidR="0078054E" w:rsidRDefault="000359A1">
            <w:pPr>
              <w:jc w:val="center"/>
            </w:pPr>
            <w:r>
              <w:rPr>
                <w:sz w:val="18"/>
                <w:szCs w:val="18"/>
              </w:rPr>
              <w:t>F1 Hybrid Yellow</w:t>
            </w:r>
          </w:p>
        </w:tc>
        <w:tc>
          <w:tcPr>
            <w:tcW w:w="12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rsidR="0078054E" w:rsidRDefault="000359A1">
            <w:pPr>
              <w:jc w:val="center"/>
            </w:pPr>
            <w:r>
              <w:rPr>
                <w:sz w:val="18"/>
                <w:szCs w:val="18"/>
              </w:rPr>
              <w:t>38.80</w:t>
            </w:r>
          </w:p>
        </w:tc>
        <w:tc>
          <w:tcPr>
            <w:tcW w:w="12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rsidR="0078054E" w:rsidRDefault="000359A1">
            <w:pPr>
              <w:jc w:val="center"/>
            </w:pPr>
            <w:r>
              <w:rPr>
                <w:sz w:val="18"/>
                <w:szCs w:val="18"/>
              </w:rPr>
              <w:t>377.36</w:t>
            </w:r>
          </w:p>
        </w:tc>
        <w:tc>
          <w:tcPr>
            <w:tcW w:w="12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rsidR="0078054E" w:rsidRDefault="000359A1">
            <w:pPr>
              <w:jc w:val="center"/>
            </w:pPr>
            <w:r>
              <w:rPr>
                <w:sz w:val="18"/>
                <w:szCs w:val="18"/>
              </w:rPr>
              <w:t>21.88</w:t>
            </w:r>
          </w:p>
        </w:tc>
        <w:tc>
          <w:tcPr>
            <w:tcW w:w="15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rsidR="0078054E" w:rsidRDefault="000359A1">
            <w:pPr>
              <w:jc w:val="center"/>
            </w:pPr>
            <w:r>
              <w:rPr>
                <w:sz w:val="18"/>
                <w:szCs w:val="18"/>
              </w:rPr>
              <w:t>48.59</w:t>
            </w:r>
          </w:p>
        </w:tc>
        <w:tc>
          <w:tcPr>
            <w:tcW w:w="120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rsidR="0078054E" w:rsidRDefault="000359A1">
            <w:pPr>
              <w:jc w:val="center"/>
            </w:pPr>
            <w:r>
              <w:rPr>
                <w:sz w:val="18"/>
                <w:szCs w:val="18"/>
              </w:rPr>
              <w:t>3.98</w:t>
            </w:r>
          </w:p>
        </w:tc>
        <w:tc>
          <w:tcPr>
            <w:tcW w:w="12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rsidR="0078054E" w:rsidRDefault="000359A1">
            <w:pPr>
              <w:jc w:val="center"/>
            </w:pPr>
            <w:r>
              <w:rPr>
                <w:sz w:val="18"/>
                <w:szCs w:val="18"/>
              </w:rPr>
              <w:t>444.67</w:t>
            </w:r>
          </w:p>
        </w:tc>
      </w:tr>
      <w:tr w:rsidR="0078054E">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rsidR="0078054E" w:rsidRDefault="000359A1">
            <w:pPr>
              <w:jc w:val="center"/>
            </w:pPr>
            <w:r>
              <w:rPr>
                <w:sz w:val="18"/>
                <w:szCs w:val="18"/>
              </w:rPr>
              <w:t xml:space="preserve">Pili </w:t>
            </w:r>
            <w:proofErr w:type="spellStart"/>
            <w:r>
              <w:rPr>
                <w:sz w:val="18"/>
                <w:szCs w:val="18"/>
              </w:rPr>
              <w:t>Phool</w:t>
            </w:r>
            <w:proofErr w:type="spellEnd"/>
            <w:r>
              <w:rPr>
                <w:sz w:val="18"/>
                <w:szCs w:val="18"/>
              </w:rPr>
              <w:t xml:space="preserve"> </w:t>
            </w:r>
            <w:proofErr w:type="spellStart"/>
            <w:r>
              <w:rPr>
                <w:sz w:val="18"/>
                <w:szCs w:val="18"/>
              </w:rPr>
              <w:t>Gobhi</w:t>
            </w:r>
            <w:proofErr w:type="spellEnd"/>
          </w:p>
        </w:tc>
        <w:tc>
          <w:tcPr>
            <w:tcW w:w="12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rsidR="0078054E" w:rsidRDefault="000359A1">
            <w:pPr>
              <w:jc w:val="center"/>
            </w:pPr>
            <w:r>
              <w:rPr>
                <w:sz w:val="18"/>
                <w:szCs w:val="18"/>
              </w:rPr>
              <w:t>35.79</w:t>
            </w:r>
          </w:p>
        </w:tc>
        <w:tc>
          <w:tcPr>
            <w:tcW w:w="12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rsidR="0078054E" w:rsidRDefault="000359A1">
            <w:pPr>
              <w:jc w:val="center"/>
            </w:pPr>
            <w:r>
              <w:rPr>
                <w:sz w:val="18"/>
                <w:szCs w:val="18"/>
              </w:rPr>
              <w:t>356.82</w:t>
            </w:r>
          </w:p>
        </w:tc>
        <w:tc>
          <w:tcPr>
            <w:tcW w:w="12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rsidR="0078054E" w:rsidRDefault="000359A1">
            <w:pPr>
              <w:jc w:val="center"/>
            </w:pPr>
            <w:r>
              <w:rPr>
                <w:sz w:val="18"/>
                <w:szCs w:val="18"/>
              </w:rPr>
              <w:t>23.14</w:t>
            </w:r>
          </w:p>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rsidR="0078054E" w:rsidRDefault="000359A1">
            <w:pPr>
              <w:jc w:val="center"/>
            </w:pPr>
            <w:r>
              <w:rPr>
                <w:sz w:val="18"/>
                <w:szCs w:val="18"/>
              </w:rPr>
              <w:t>57.06</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rsidR="0078054E" w:rsidRDefault="000359A1">
            <w:pPr>
              <w:jc w:val="center"/>
            </w:pPr>
            <w:r>
              <w:rPr>
                <w:sz w:val="18"/>
                <w:szCs w:val="18"/>
              </w:rPr>
              <w:t>4.03</w:t>
            </w:r>
          </w:p>
        </w:tc>
        <w:tc>
          <w:tcPr>
            <w:tcW w:w="12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rsidR="0078054E" w:rsidRDefault="000359A1">
            <w:pPr>
              <w:jc w:val="center"/>
            </w:pPr>
            <w:r>
              <w:rPr>
                <w:sz w:val="18"/>
                <w:szCs w:val="18"/>
              </w:rPr>
              <w:t>589.53</w:t>
            </w:r>
          </w:p>
        </w:tc>
      </w:tr>
      <w:tr w:rsidR="0078054E">
        <w:tc>
          <w:tcPr>
            <w:tcW w:w="15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rsidR="0078054E" w:rsidRDefault="000359A1">
            <w:pPr>
              <w:jc w:val="center"/>
            </w:pPr>
            <w:proofErr w:type="spellStart"/>
            <w:r>
              <w:rPr>
                <w:sz w:val="18"/>
                <w:szCs w:val="18"/>
              </w:rPr>
              <w:t>Valentena</w:t>
            </w:r>
            <w:proofErr w:type="spellEnd"/>
          </w:p>
        </w:tc>
        <w:tc>
          <w:tcPr>
            <w:tcW w:w="12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rsidR="0078054E" w:rsidRDefault="000359A1">
            <w:pPr>
              <w:jc w:val="center"/>
            </w:pPr>
            <w:r>
              <w:rPr>
                <w:sz w:val="18"/>
                <w:szCs w:val="18"/>
              </w:rPr>
              <w:t>37.41</w:t>
            </w:r>
          </w:p>
        </w:tc>
        <w:tc>
          <w:tcPr>
            <w:tcW w:w="12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rsidR="0078054E" w:rsidRDefault="000359A1">
            <w:pPr>
              <w:jc w:val="center"/>
            </w:pPr>
            <w:r>
              <w:rPr>
                <w:sz w:val="18"/>
                <w:szCs w:val="18"/>
              </w:rPr>
              <w:t>364.99</w:t>
            </w:r>
          </w:p>
        </w:tc>
        <w:tc>
          <w:tcPr>
            <w:tcW w:w="12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rsidR="0078054E" w:rsidRDefault="000359A1">
            <w:pPr>
              <w:jc w:val="center"/>
            </w:pPr>
            <w:r>
              <w:rPr>
                <w:sz w:val="18"/>
                <w:szCs w:val="18"/>
              </w:rPr>
              <w:t>22.23</w:t>
            </w:r>
          </w:p>
        </w:tc>
        <w:tc>
          <w:tcPr>
            <w:tcW w:w="15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rsidR="0078054E" w:rsidRDefault="000359A1">
            <w:pPr>
              <w:jc w:val="center"/>
            </w:pPr>
            <w:r>
              <w:rPr>
                <w:sz w:val="18"/>
                <w:szCs w:val="18"/>
              </w:rPr>
              <w:t>53.31</w:t>
            </w:r>
          </w:p>
        </w:tc>
        <w:tc>
          <w:tcPr>
            <w:tcW w:w="120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rsidR="0078054E" w:rsidRDefault="000359A1">
            <w:pPr>
              <w:jc w:val="center"/>
            </w:pPr>
            <w:r>
              <w:rPr>
                <w:sz w:val="18"/>
                <w:szCs w:val="18"/>
              </w:rPr>
              <w:t>4.87</w:t>
            </w:r>
          </w:p>
        </w:tc>
        <w:tc>
          <w:tcPr>
            <w:tcW w:w="12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rsidR="0078054E" w:rsidRDefault="000359A1">
            <w:pPr>
              <w:jc w:val="center"/>
            </w:pPr>
            <w:r>
              <w:rPr>
                <w:sz w:val="18"/>
                <w:szCs w:val="18"/>
              </w:rPr>
              <w:t>693.73</w:t>
            </w:r>
          </w:p>
        </w:tc>
      </w:tr>
      <w:tr w:rsidR="0078054E">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rsidR="0078054E" w:rsidRDefault="000359A1">
            <w:pPr>
              <w:jc w:val="center"/>
            </w:pPr>
            <w:r>
              <w:rPr>
                <w:sz w:val="18"/>
                <w:szCs w:val="18"/>
              </w:rPr>
              <w:t>F1 Hybrid Purple</w:t>
            </w:r>
          </w:p>
        </w:tc>
        <w:tc>
          <w:tcPr>
            <w:tcW w:w="12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rsidR="0078054E" w:rsidRDefault="000359A1">
            <w:pPr>
              <w:jc w:val="center"/>
            </w:pPr>
            <w:r>
              <w:rPr>
                <w:sz w:val="18"/>
                <w:szCs w:val="18"/>
              </w:rPr>
              <w:t>39.76</w:t>
            </w:r>
          </w:p>
        </w:tc>
        <w:tc>
          <w:tcPr>
            <w:tcW w:w="12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rsidR="0078054E" w:rsidRDefault="000359A1">
            <w:pPr>
              <w:jc w:val="center"/>
            </w:pPr>
            <w:r>
              <w:rPr>
                <w:sz w:val="18"/>
                <w:szCs w:val="18"/>
              </w:rPr>
              <w:t>369.23</w:t>
            </w:r>
          </w:p>
        </w:tc>
        <w:tc>
          <w:tcPr>
            <w:tcW w:w="12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rsidR="0078054E" w:rsidRDefault="000359A1">
            <w:pPr>
              <w:jc w:val="center"/>
            </w:pPr>
            <w:r>
              <w:rPr>
                <w:sz w:val="18"/>
                <w:szCs w:val="18"/>
              </w:rPr>
              <w:t>21.62</w:t>
            </w:r>
          </w:p>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rsidR="0078054E" w:rsidRDefault="000359A1">
            <w:pPr>
              <w:jc w:val="center"/>
            </w:pPr>
            <w:r>
              <w:rPr>
                <w:sz w:val="18"/>
                <w:szCs w:val="18"/>
              </w:rPr>
              <w:t>55.95</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rsidR="0078054E" w:rsidRDefault="000359A1">
            <w:pPr>
              <w:jc w:val="center"/>
            </w:pPr>
            <w:r>
              <w:rPr>
                <w:sz w:val="18"/>
                <w:szCs w:val="18"/>
              </w:rPr>
              <w:t>4.69</w:t>
            </w:r>
          </w:p>
        </w:tc>
        <w:tc>
          <w:tcPr>
            <w:tcW w:w="12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rsidR="0078054E" w:rsidRDefault="000359A1">
            <w:pPr>
              <w:jc w:val="center"/>
            </w:pPr>
            <w:r>
              <w:rPr>
                <w:sz w:val="18"/>
                <w:szCs w:val="18"/>
              </w:rPr>
              <w:t>575.00</w:t>
            </w:r>
          </w:p>
        </w:tc>
      </w:tr>
      <w:tr w:rsidR="0078054E">
        <w:tc>
          <w:tcPr>
            <w:tcW w:w="15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rsidR="0078054E" w:rsidRDefault="000359A1">
            <w:pPr>
              <w:jc w:val="center"/>
            </w:pPr>
            <w:proofErr w:type="spellStart"/>
            <w:r>
              <w:rPr>
                <w:sz w:val="18"/>
                <w:szCs w:val="18"/>
              </w:rPr>
              <w:t>Bainganee</w:t>
            </w:r>
            <w:proofErr w:type="spellEnd"/>
            <w:r>
              <w:rPr>
                <w:sz w:val="18"/>
                <w:szCs w:val="18"/>
              </w:rPr>
              <w:t xml:space="preserve"> </w:t>
            </w:r>
            <w:proofErr w:type="spellStart"/>
            <w:r>
              <w:rPr>
                <w:sz w:val="18"/>
                <w:szCs w:val="18"/>
              </w:rPr>
              <w:t>Phool</w:t>
            </w:r>
            <w:proofErr w:type="spellEnd"/>
            <w:r>
              <w:rPr>
                <w:sz w:val="18"/>
                <w:szCs w:val="18"/>
              </w:rPr>
              <w:t xml:space="preserve"> </w:t>
            </w:r>
            <w:proofErr w:type="spellStart"/>
            <w:r>
              <w:rPr>
                <w:sz w:val="18"/>
                <w:szCs w:val="18"/>
              </w:rPr>
              <w:t>Gobhi</w:t>
            </w:r>
            <w:proofErr w:type="spellEnd"/>
          </w:p>
        </w:tc>
        <w:tc>
          <w:tcPr>
            <w:tcW w:w="12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rsidR="0078054E" w:rsidRDefault="000359A1">
            <w:pPr>
              <w:jc w:val="center"/>
            </w:pPr>
            <w:r>
              <w:rPr>
                <w:sz w:val="18"/>
                <w:szCs w:val="18"/>
              </w:rPr>
              <w:t>41.72</w:t>
            </w:r>
          </w:p>
        </w:tc>
        <w:tc>
          <w:tcPr>
            <w:tcW w:w="12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rsidR="0078054E" w:rsidRDefault="000359A1">
            <w:pPr>
              <w:jc w:val="center"/>
            </w:pPr>
            <w:r>
              <w:rPr>
                <w:sz w:val="18"/>
                <w:szCs w:val="18"/>
              </w:rPr>
              <w:t>358.60</w:t>
            </w:r>
          </w:p>
        </w:tc>
        <w:tc>
          <w:tcPr>
            <w:tcW w:w="12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rsidR="0078054E" w:rsidRDefault="000359A1">
            <w:pPr>
              <w:jc w:val="center"/>
            </w:pPr>
            <w:r>
              <w:rPr>
                <w:sz w:val="18"/>
                <w:szCs w:val="18"/>
              </w:rPr>
              <w:t>21.73</w:t>
            </w:r>
          </w:p>
        </w:tc>
        <w:tc>
          <w:tcPr>
            <w:tcW w:w="15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rsidR="0078054E" w:rsidRDefault="000359A1">
            <w:pPr>
              <w:jc w:val="center"/>
            </w:pPr>
            <w:r>
              <w:rPr>
                <w:sz w:val="18"/>
                <w:szCs w:val="18"/>
              </w:rPr>
              <w:t>52.44</w:t>
            </w:r>
          </w:p>
        </w:tc>
        <w:tc>
          <w:tcPr>
            <w:tcW w:w="120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rsidR="0078054E" w:rsidRDefault="000359A1">
            <w:pPr>
              <w:jc w:val="center"/>
            </w:pPr>
            <w:r>
              <w:rPr>
                <w:sz w:val="18"/>
                <w:szCs w:val="18"/>
              </w:rPr>
              <w:t>4.45</w:t>
            </w:r>
          </w:p>
        </w:tc>
        <w:tc>
          <w:tcPr>
            <w:tcW w:w="12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rsidR="0078054E" w:rsidRDefault="000359A1">
            <w:pPr>
              <w:jc w:val="center"/>
            </w:pPr>
            <w:r>
              <w:rPr>
                <w:sz w:val="18"/>
                <w:szCs w:val="18"/>
              </w:rPr>
              <w:t>566.33</w:t>
            </w:r>
          </w:p>
        </w:tc>
      </w:tr>
      <w:tr w:rsidR="0078054E">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rsidR="0078054E" w:rsidRDefault="000359A1">
            <w:pPr>
              <w:jc w:val="center"/>
            </w:pPr>
            <w:proofErr w:type="spellStart"/>
            <w:r>
              <w:rPr>
                <w:sz w:val="18"/>
                <w:szCs w:val="18"/>
              </w:rPr>
              <w:t>Poosi</w:t>
            </w:r>
            <w:proofErr w:type="spellEnd"/>
          </w:p>
        </w:tc>
        <w:tc>
          <w:tcPr>
            <w:tcW w:w="12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rsidR="0078054E" w:rsidRDefault="000359A1">
            <w:pPr>
              <w:jc w:val="center"/>
            </w:pPr>
            <w:r>
              <w:rPr>
                <w:sz w:val="18"/>
                <w:szCs w:val="18"/>
              </w:rPr>
              <w:t>30.12</w:t>
            </w:r>
          </w:p>
        </w:tc>
        <w:tc>
          <w:tcPr>
            <w:tcW w:w="12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rsidR="0078054E" w:rsidRDefault="000359A1">
            <w:pPr>
              <w:jc w:val="center"/>
            </w:pPr>
            <w:r>
              <w:rPr>
                <w:sz w:val="18"/>
                <w:szCs w:val="18"/>
              </w:rPr>
              <w:t>342.55</w:t>
            </w:r>
          </w:p>
        </w:tc>
        <w:tc>
          <w:tcPr>
            <w:tcW w:w="12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rsidR="0078054E" w:rsidRDefault="000359A1">
            <w:pPr>
              <w:jc w:val="center"/>
            </w:pPr>
            <w:r>
              <w:rPr>
                <w:sz w:val="18"/>
                <w:szCs w:val="18"/>
              </w:rPr>
              <w:t>20.35</w:t>
            </w:r>
          </w:p>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rsidR="0078054E" w:rsidRDefault="000359A1">
            <w:pPr>
              <w:jc w:val="center"/>
            </w:pPr>
            <w:r>
              <w:rPr>
                <w:sz w:val="18"/>
                <w:szCs w:val="18"/>
              </w:rPr>
              <w:t>47.28</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rsidR="0078054E" w:rsidRDefault="000359A1">
            <w:pPr>
              <w:jc w:val="center"/>
            </w:pPr>
            <w:r>
              <w:rPr>
                <w:sz w:val="18"/>
                <w:szCs w:val="18"/>
              </w:rPr>
              <w:t>3.53</w:t>
            </w:r>
          </w:p>
        </w:tc>
        <w:tc>
          <w:tcPr>
            <w:tcW w:w="12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rsidR="0078054E" w:rsidRDefault="000359A1">
            <w:pPr>
              <w:jc w:val="center"/>
            </w:pPr>
            <w:r>
              <w:rPr>
                <w:sz w:val="18"/>
                <w:szCs w:val="18"/>
              </w:rPr>
              <w:t>510.93</w:t>
            </w:r>
          </w:p>
        </w:tc>
      </w:tr>
      <w:tr w:rsidR="0078054E">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rsidR="0078054E" w:rsidRDefault="000359A1">
            <w:pPr>
              <w:jc w:val="center"/>
            </w:pPr>
            <w:r>
              <w:rPr>
                <w:sz w:val="18"/>
                <w:szCs w:val="18"/>
              </w:rPr>
              <w:t>F-test</w:t>
            </w:r>
          </w:p>
        </w:tc>
        <w:tc>
          <w:tcPr>
            <w:tcW w:w="12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rsidR="0078054E" w:rsidRDefault="000359A1">
            <w:pPr>
              <w:jc w:val="center"/>
            </w:pPr>
            <w:r>
              <w:rPr>
                <w:sz w:val="18"/>
                <w:szCs w:val="18"/>
              </w:rPr>
              <w:t>S</w:t>
            </w:r>
          </w:p>
        </w:tc>
        <w:tc>
          <w:tcPr>
            <w:tcW w:w="12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rsidR="0078054E" w:rsidRDefault="000359A1">
            <w:pPr>
              <w:jc w:val="center"/>
            </w:pPr>
            <w:r>
              <w:rPr>
                <w:sz w:val="18"/>
                <w:szCs w:val="18"/>
              </w:rPr>
              <w:t>NS</w:t>
            </w:r>
          </w:p>
        </w:tc>
        <w:tc>
          <w:tcPr>
            <w:tcW w:w="12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rsidR="0078054E" w:rsidRDefault="000359A1">
            <w:pPr>
              <w:jc w:val="center"/>
            </w:pPr>
            <w:r>
              <w:rPr>
                <w:sz w:val="18"/>
                <w:szCs w:val="18"/>
              </w:rPr>
              <w:t>S</w:t>
            </w:r>
          </w:p>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rsidR="0078054E" w:rsidRDefault="000359A1">
            <w:pPr>
              <w:jc w:val="center"/>
            </w:pPr>
            <w:r>
              <w:rPr>
                <w:sz w:val="18"/>
                <w:szCs w:val="18"/>
              </w:rPr>
              <w:t>S</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rsidR="0078054E" w:rsidRDefault="000359A1">
            <w:pPr>
              <w:jc w:val="center"/>
            </w:pPr>
            <w:r>
              <w:rPr>
                <w:sz w:val="18"/>
                <w:szCs w:val="18"/>
              </w:rPr>
              <w:t>S</w:t>
            </w:r>
          </w:p>
        </w:tc>
        <w:tc>
          <w:tcPr>
            <w:tcW w:w="12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rsidR="0078054E" w:rsidRDefault="000359A1">
            <w:pPr>
              <w:jc w:val="center"/>
            </w:pPr>
            <w:r>
              <w:rPr>
                <w:sz w:val="18"/>
                <w:szCs w:val="18"/>
              </w:rPr>
              <w:t>S</w:t>
            </w:r>
          </w:p>
        </w:tc>
      </w:tr>
      <w:tr w:rsidR="0078054E">
        <w:tc>
          <w:tcPr>
            <w:tcW w:w="15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rsidR="0078054E" w:rsidRDefault="000359A1">
            <w:pPr>
              <w:jc w:val="center"/>
            </w:pPr>
            <w:r>
              <w:rPr>
                <w:sz w:val="18"/>
                <w:szCs w:val="18"/>
              </w:rPr>
              <w:t>CD (5%)</w:t>
            </w:r>
          </w:p>
        </w:tc>
        <w:tc>
          <w:tcPr>
            <w:tcW w:w="12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rsidR="0078054E" w:rsidRDefault="000359A1">
            <w:pPr>
              <w:jc w:val="center"/>
            </w:pPr>
            <w:r>
              <w:rPr>
                <w:sz w:val="18"/>
                <w:szCs w:val="18"/>
              </w:rPr>
              <w:t>3.75</w:t>
            </w:r>
          </w:p>
        </w:tc>
        <w:tc>
          <w:tcPr>
            <w:tcW w:w="12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rsidR="0078054E" w:rsidRDefault="000359A1">
            <w:pPr>
              <w:jc w:val="center"/>
            </w:pPr>
            <w:r>
              <w:rPr>
                <w:sz w:val="18"/>
                <w:szCs w:val="18"/>
              </w:rPr>
              <w:t>46.22</w:t>
            </w:r>
          </w:p>
        </w:tc>
        <w:tc>
          <w:tcPr>
            <w:tcW w:w="12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rsidR="0078054E" w:rsidRDefault="000359A1">
            <w:pPr>
              <w:jc w:val="center"/>
            </w:pPr>
            <w:r>
              <w:rPr>
                <w:sz w:val="18"/>
                <w:szCs w:val="18"/>
              </w:rPr>
              <w:t>1.69</w:t>
            </w:r>
          </w:p>
        </w:tc>
        <w:tc>
          <w:tcPr>
            <w:tcW w:w="15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rsidR="0078054E" w:rsidRDefault="000359A1">
            <w:pPr>
              <w:jc w:val="center"/>
            </w:pPr>
            <w:r>
              <w:rPr>
                <w:sz w:val="18"/>
                <w:szCs w:val="18"/>
              </w:rPr>
              <w:t>5.70</w:t>
            </w:r>
          </w:p>
        </w:tc>
        <w:tc>
          <w:tcPr>
            <w:tcW w:w="120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rsidR="0078054E" w:rsidRDefault="000359A1">
            <w:pPr>
              <w:jc w:val="center"/>
            </w:pPr>
            <w:r>
              <w:rPr>
                <w:sz w:val="18"/>
                <w:szCs w:val="18"/>
              </w:rPr>
              <w:t>0.53</w:t>
            </w:r>
          </w:p>
        </w:tc>
        <w:tc>
          <w:tcPr>
            <w:tcW w:w="12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rsidR="0078054E" w:rsidRDefault="000359A1">
            <w:pPr>
              <w:jc w:val="center"/>
            </w:pPr>
            <w:r>
              <w:rPr>
                <w:sz w:val="18"/>
                <w:szCs w:val="18"/>
              </w:rPr>
              <w:t>25.24</w:t>
            </w:r>
          </w:p>
        </w:tc>
      </w:tr>
      <w:tr w:rsidR="0078054E">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rsidR="0078054E" w:rsidRDefault="000359A1">
            <w:pPr>
              <w:jc w:val="center"/>
            </w:pPr>
            <w:proofErr w:type="spellStart"/>
            <w:r>
              <w:rPr>
                <w:sz w:val="18"/>
                <w:szCs w:val="18"/>
              </w:rPr>
              <w:t>SEd</w:t>
            </w:r>
            <w:proofErr w:type="spellEnd"/>
          </w:p>
        </w:tc>
        <w:tc>
          <w:tcPr>
            <w:tcW w:w="12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rsidR="0078054E" w:rsidRDefault="000359A1">
            <w:pPr>
              <w:jc w:val="center"/>
            </w:pPr>
            <w:r>
              <w:rPr>
                <w:sz w:val="18"/>
                <w:szCs w:val="18"/>
              </w:rPr>
              <w:t>1.79</w:t>
            </w:r>
          </w:p>
        </w:tc>
        <w:tc>
          <w:tcPr>
            <w:tcW w:w="12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rsidR="0078054E" w:rsidRDefault="000359A1">
            <w:pPr>
              <w:jc w:val="center"/>
            </w:pPr>
            <w:r>
              <w:rPr>
                <w:sz w:val="18"/>
                <w:szCs w:val="18"/>
              </w:rPr>
              <w:t>22.00</w:t>
            </w:r>
          </w:p>
        </w:tc>
        <w:tc>
          <w:tcPr>
            <w:tcW w:w="12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rsidR="0078054E" w:rsidRDefault="000359A1">
            <w:pPr>
              <w:jc w:val="center"/>
            </w:pPr>
            <w:r>
              <w:rPr>
                <w:sz w:val="18"/>
                <w:szCs w:val="18"/>
              </w:rPr>
              <w:t>0.81</w:t>
            </w:r>
          </w:p>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rsidR="0078054E" w:rsidRDefault="000359A1">
            <w:pPr>
              <w:jc w:val="center"/>
            </w:pPr>
            <w:r>
              <w:rPr>
                <w:sz w:val="18"/>
                <w:szCs w:val="18"/>
              </w:rPr>
              <w:t>2.71</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rsidR="0078054E" w:rsidRDefault="000359A1">
            <w:pPr>
              <w:jc w:val="center"/>
            </w:pPr>
            <w:r>
              <w:rPr>
                <w:sz w:val="18"/>
                <w:szCs w:val="18"/>
              </w:rPr>
              <w:t>0.25</w:t>
            </w:r>
          </w:p>
        </w:tc>
        <w:tc>
          <w:tcPr>
            <w:tcW w:w="12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rsidR="0078054E" w:rsidRDefault="000359A1">
            <w:pPr>
              <w:jc w:val="center"/>
            </w:pPr>
            <w:r>
              <w:rPr>
                <w:sz w:val="18"/>
                <w:szCs w:val="18"/>
              </w:rPr>
              <w:t>12.01</w:t>
            </w:r>
          </w:p>
        </w:tc>
      </w:tr>
      <w:tr w:rsidR="0078054E">
        <w:tc>
          <w:tcPr>
            <w:tcW w:w="15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rsidR="0078054E" w:rsidRDefault="000359A1">
            <w:pPr>
              <w:jc w:val="center"/>
            </w:pPr>
            <w:r>
              <w:rPr>
                <w:sz w:val="18"/>
                <w:szCs w:val="18"/>
              </w:rPr>
              <w:t>CV (%)</w:t>
            </w:r>
          </w:p>
        </w:tc>
        <w:tc>
          <w:tcPr>
            <w:tcW w:w="12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rsidR="0078054E" w:rsidRDefault="000359A1">
            <w:pPr>
              <w:jc w:val="center"/>
            </w:pPr>
            <w:r>
              <w:rPr>
                <w:sz w:val="18"/>
                <w:szCs w:val="18"/>
              </w:rPr>
              <w:t>5.74</w:t>
            </w:r>
          </w:p>
        </w:tc>
        <w:tc>
          <w:tcPr>
            <w:tcW w:w="12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rsidR="0078054E" w:rsidRDefault="000359A1">
            <w:pPr>
              <w:jc w:val="center"/>
            </w:pPr>
            <w:r>
              <w:rPr>
                <w:sz w:val="18"/>
                <w:szCs w:val="18"/>
              </w:rPr>
              <w:t>7.31</w:t>
            </w:r>
          </w:p>
        </w:tc>
        <w:tc>
          <w:tcPr>
            <w:tcW w:w="12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rsidR="0078054E" w:rsidRDefault="000359A1">
            <w:pPr>
              <w:jc w:val="center"/>
            </w:pPr>
            <w:r>
              <w:rPr>
                <w:sz w:val="18"/>
                <w:szCs w:val="18"/>
              </w:rPr>
              <w:t>4.50</w:t>
            </w:r>
          </w:p>
        </w:tc>
        <w:tc>
          <w:tcPr>
            <w:tcW w:w="15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rsidR="0078054E" w:rsidRDefault="000359A1">
            <w:pPr>
              <w:jc w:val="center"/>
            </w:pPr>
            <w:r>
              <w:rPr>
                <w:sz w:val="18"/>
                <w:szCs w:val="18"/>
              </w:rPr>
              <w:t>6.23</w:t>
            </w:r>
          </w:p>
        </w:tc>
        <w:tc>
          <w:tcPr>
            <w:tcW w:w="120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rsidR="0078054E" w:rsidRDefault="000359A1">
            <w:pPr>
              <w:jc w:val="center"/>
            </w:pPr>
            <w:r>
              <w:rPr>
                <w:sz w:val="18"/>
                <w:szCs w:val="18"/>
              </w:rPr>
              <w:t>7.22</w:t>
            </w:r>
          </w:p>
        </w:tc>
        <w:tc>
          <w:tcPr>
            <w:tcW w:w="12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rsidR="0078054E" w:rsidRDefault="000359A1">
            <w:pPr>
              <w:jc w:val="center"/>
            </w:pPr>
            <w:r>
              <w:rPr>
                <w:sz w:val="18"/>
                <w:szCs w:val="18"/>
              </w:rPr>
              <w:t>2.46</w:t>
            </w:r>
          </w:p>
        </w:tc>
      </w:tr>
    </w:tbl>
    <w:p w:rsidR="0078054E" w:rsidRDefault="000359A1">
      <w:pPr>
        <w:spacing w:before="80" w:after="200" w:line="360" w:lineRule="auto"/>
        <w:rPr>
          <w:sz w:val="18"/>
          <w:szCs w:val="18"/>
        </w:rPr>
      </w:pPr>
      <w:r>
        <w:rPr>
          <w:sz w:val="18"/>
          <w:szCs w:val="18"/>
        </w:rPr>
        <w:t xml:space="preserve">S = Significant (p &lt; 0.05); NS = Non-significant; CD = Critical Difference; </w:t>
      </w:r>
      <w:proofErr w:type="spellStart"/>
      <w:r>
        <w:rPr>
          <w:sz w:val="18"/>
          <w:szCs w:val="18"/>
        </w:rPr>
        <w:t>SEd</w:t>
      </w:r>
      <w:proofErr w:type="spellEnd"/>
      <w:r>
        <w:rPr>
          <w:sz w:val="18"/>
          <w:szCs w:val="18"/>
        </w:rPr>
        <w:t xml:space="preserve"> = Standard Error of Difference; CV = Coefficient of Variation.</w:t>
      </w:r>
    </w:p>
    <w:p w:rsidR="0078054E" w:rsidRDefault="0078054E">
      <w:pPr>
        <w:spacing w:before="80" w:after="200" w:line="360" w:lineRule="auto"/>
        <w:rPr>
          <w:sz w:val="18"/>
          <w:szCs w:val="18"/>
        </w:rPr>
      </w:pPr>
    </w:p>
    <w:p w:rsidR="0078054E" w:rsidRDefault="0078054E">
      <w:pPr>
        <w:spacing w:before="80" w:after="200" w:line="360" w:lineRule="auto"/>
        <w:rPr>
          <w:sz w:val="18"/>
          <w:szCs w:val="18"/>
        </w:rPr>
        <w:sectPr w:rsidR="0078054E">
          <w:pgSz w:w="12240" w:h="15840"/>
          <w:pgMar w:top="1440" w:right="1080" w:bottom="1440" w:left="1080" w:header="708" w:footer="708" w:gutter="0"/>
          <w:pgNumType w:start="1"/>
          <w:cols w:space="720"/>
        </w:sectPr>
      </w:pPr>
    </w:p>
    <w:p w:rsidR="0078054E" w:rsidRDefault="0078054E">
      <w:pPr>
        <w:spacing w:before="80" w:after="200" w:line="360" w:lineRule="auto"/>
        <w:rPr>
          <w:sz w:val="18"/>
          <w:szCs w:val="18"/>
        </w:rPr>
      </w:pPr>
    </w:p>
    <w:p w:rsidR="007D1A98" w:rsidRDefault="000E49FA" w:rsidP="007D1A98">
      <w:pPr>
        <w:widowControl w:val="0"/>
        <w:ind w:right="-182"/>
        <w:jc w:val="both"/>
        <w:rPr>
          <w:sz w:val="24"/>
          <w:szCs w:val="24"/>
        </w:rPr>
      </w:pPr>
      <w:r>
        <w:rPr>
          <w:noProof/>
        </w:rPr>
        <w:drawing>
          <wp:anchor distT="114300" distB="114300" distL="114300" distR="114300" simplePos="0" relativeHeight="251658240" behindDoc="0" locked="0" layoutInCell="1" hidden="0" allowOverlap="1">
            <wp:simplePos x="0" y="0"/>
            <wp:positionH relativeFrom="page">
              <wp:align>right</wp:align>
            </wp:positionH>
            <wp:positionV relativeFrom="paragraph">
              <wp:posOffset>762000</wp:posOffset>
            </wp:positionV>
            <wp:extent cx="7905247" cy="4244975"/>
            <wp:effectExtent l="0" t="0" r="635" b="3175"/>
            <wp:wrapNone/>
            <wp:docPr id="1" name="image1.png" descr="Chart"/>
            <wp:cNvGraphicFramePr/>
            <a:graphic xmlns:a="http://schemas.openxmlformats.org/drawingml/2006/main">
              <a:graphicData uri="http://schemas.openxmlformats.org/drawingml/2006/picture">
                <pic:pic xmlns:pic="http://schemas.openxmlformats.org/drawingml/2006/picture">
                  <pic:nvPicPr>
                    <pic:cNvPr id="0" name="image1.png" descr="Chart"/>
                    <pic:cNvPicPr preferRelativeResize="0"/>
                  </pic:nvPicPr>
                  <pic:blipFill>
                    <a:blip r:embed="rId6"/>
                    <a:srcRect r="15865" b="3788"/>
                    <a:stretch>
                      <a:fillRect/>
                    </a:stretch>
                  </pic:blipFill>
                  <pic:spPr>
                    <a:xfrm>
                      <a:off x="0" y="0"/>
                      <a:ext cx="7905247" cy="4244975"/>
                    </a:xfrm>
                    <a:prstGeom prst="rect">
                      <a:avLst/>
                    </a:prstGeom>
                    <a:ln/>
                  </pic:spPr>
                </pic:pic>
              </a:graphicData>
            </a:graphic>
            <wp14:sizeRelH relativeFrom="margin">
              <wp14:pctWidth>0</wp14:pctWidth>
            </wp14:sizeRelH>
            <wp14:sizeRelV relativeFrom="margin">
              <wp14:pctHeight>0</wp14:pctHeight>
            </wp14:sizeRelV>
          </wp:anchor>
        </w:drawing>
      </w:r>
      <w:r w:rsidR="007D1A98">
        <w:rPr>
          <w:sz w:val="24"/>
          <w:szCs w:val="24"/>
        </w:rPr>
        <w:t xml:space="preserve">Fig </w:t>
      </w:r>
      <w:proofErr w:type="gramStart"/>
      <w:r w:rsidR="007D1A98">
        <w:rPr>
          <w:sz w:val="24"/>
          <w:szCs w:val="24"/>
        </w:rPr>
        <w:t>1 :</w:t>
      </w:r>
      <w:proofErr w:type="gramEnd"/>
      <w:r w:rsidR="007D1A98">
        <w:rPr>
          <w:sz w:val="24"/>
          <w:szCs w:val="24"/>
        </w:rPr>
        <w:t xml:space="preserve">   The Yield parameters of different  cauliflower</w:t>
      </w:r>
      <w:r w:rsidR="007D1A98">
        <w:rPr>
          <w:b/>
          <w:bCs/>
          <w:sz w:val="24"/>
          <w:szCs w:val="24"/>
        </w:rPr>
        <w:t xml:space="preserve"> </w:t>
      </w:r>
      <w:r w:rsidR="007D1A98">
        <w:rPr>
          <w:sz w:val="24"/>
          <w:szCs w:val="24"/>
        </w:rPr>
        <w:t xml:space="preserve"> varieties </w:t>
      </w:r>
    </w:p>
    <w:p w:rsidR="007D1A98" w:rsidRDefault="007D1A98" w:rsidP="007D1A98">
      <w:pPr>
        <w:rPr>
          <w:sz w:val="24"/>
          <w:szCs w:val="24"/>
        </w:rPr>
        <w:sectPr w:rsidR="007D1A98">
          <w:pgSz w:w="12240" w:h="15840"/>
          <w:pgMar w:top="1440" w:right="1440" w:bottom="1440" w:left="1440" w:header="720" w:footer="720" w:gutter="0"/>
          <w:pgNumType w:start="1"/>
          <w:cols w:space="720"/>
        </w:sectPr>
      </w:pPr>
    </w:p>
    <w:p w:rsidR="0078054E" w:rsidRDefault="000359A1">
      <w:pPr>
        <w:spacing w:before="80" w:after="200" w:line="360" w:lineRule="auto"/>
      </w:pPr>
      <w:r>
        <w:lastRenderedPageBreak/>
        <w:t xml:space="preserve">The consistently superior performance of Snow Crown across key parameters canopy cover, SPAD chlorophyll content, stem girth, and biological yield suggests that this genotype possesses an optimal combination of strong photosynthetic capacity and structural </w:t>
      </w:r>
      <w:proofErr w:type="spellStart"/>
      <w:r>
        <w:t>vigour</w:t>
      </w:r>
      <w:proofErr w:type="spellEnd"/>
      <w:r>
        <w:t xml:space="preserve"> under subtropical conditions. The figures illustrating growth trends should be interpreted alongside Table 1. Specifically, Figure 1 presents the progression of canopy cover from 30 to 90 DAT, while Figure 2 shows the corresponding trends in SPAD values over the same stages, both clearly demonstrating the consistent superiority of Snow Crown throughout the evaluation period.</w:t>
      </w:r>
    </w:p>
    <w:p w:rsidR="0078054E" w:rsidRDefault="000359A1">
      <w:pPr>
        <w:pStyle w:val="Heading1"/>
      </w:pPr>
      <w:r>
        <w:rPr>
          <w:sz w:val="22"/>
          <w:szCs w:val="22"/>
        </w:rPr>
        <w:t>4. CONCLUSION</w:t>
      </w:r>
    </w:p>
    <w:p w:rsidR="0078054E" w:rsidRDefault="000359A1">
      <w:pPr>
        <w:spacing w:before="240" w:after="240" w:line="360" w:lineRule="auto"/>
        <w:jc w:val="both"/>
      </w:pPr>
      <w:r>
        <w:t xml:space="preserve">This study demonstrates significant morpho-physiological variation among ten </w:t>
      </w:r>
      <w:proofErr w:type="spellStart"/>
      <w:r>
        <w:t>coloured</w:t>
      </w:r>
      <w:proofErr w:type="spellEnd"/>
      <w:r>
        <w:t xml:space="preserve"> cauliflower varieties evaluated under subtropical </w:t>
      </w:r>
      <w:proofErr w:type="spellStart"/>
      <w:r>
        <w:t>agro</w:t>
      </w:r>
      <w:proofErr w:type="spellEnd"/>
      <w:r>
        <w:t xml:space="preserve">-climatic conditions at </w:t>
      </w:r>
      <w:proofErr w:type="spellStart"/>
      <w:r>
        <w:t>Prayagraj</w:t>
      </w:r>
      <w:proofErr w:type="spellEnd"/>
      <w:r>
        <w:t xml:space="preserve">, Uttar Pradesh. Snow Crown consistently performed the best across all major parameters, recording the highest canopy cover (43.57 cm), largest leaf area (427.98 cm²), highest SPAD chlorophyll content (63.77), greatest stem girth (5.19 cm), and maximum biological yield (744.93 g per plant). </w:t>
      </w:r>
      <w:proofErr w:type="spellStart"/>
      <w:r>
        <w:t>Valentena</w:t>
      </w:r>
      <w:proofErr w:type="spellEnd"/>
      <w:r>
        <w:t xml:space="preserve"> emerged as the second-best performing genotype (693.73 g per plant), while </w:t>
      </w:r>
      <w:proofErr w:type="spellStart"/>
      <w:r>
        <w:t>Poosi</w:t>
      </w:r>
      <w:proofErr w:type="spellEnd"/>
      <w:r>
        <w:t xml:space="preserve"> showed the lowest performance across most traits.</w:t>
      </w:r>
    </w:p>
    <w:p w:rsidR="0078054E" w:rsidRDefault="000359A1">
      <w:pPr>
        <w:spacing w:before="240" w:after="240" w:line="360" w:lineRule="auto"/>
        <w:jc w:val="both"/>
      </w:pPr>
      <w:r>
        <w:t xml:space="preserve">A strong association between canopy architecture, SPAD-based chlorophyll content, and biological yield was observed, supporting the hypothesis that varieties with greater source strength—indicated by wider canopy spread and higher chlorophyll content—achieve higher biomass accumulation. These morpho-physiological traits can thus be used as reliable early selection criteria in breeding </w:t>
      </w:r>
      <w:proofErr w:type="spellStart"/>
      <w:r>
        <w:t>programmes</w:t>
      </w:r>
      <w:proofErr w:type="spellEnd"/>
      <w:r>
        <w:t xml:space="preserve"> aimed at improving biological yield in </w:t>
      </w:r>
      <w:proofErr w:type="spellStart"/>
      <w:r>
        <w:t>coloured</w:t>
      </w:r>
      <w:proofErr w:type="spellEnd"/>
      <w:r>
        <w:t xml:space="preserve"> cauliflower under subtropical Indian conditions.</w:t>
      </w:r>
    </w:p>
    <w:p w:rsidR="0078054E" w:rsidRDefault="000359A1">
      <w:pPr>
        <w:spacing w:before="240" w:after="240" w:line="360" w:lineRule="auto"/>
        <w:jc w:val="both"/>
      </w:pPr>
      <w:r>
        <w:t xml:space="preserve">Future studies should build on these findings by conducting multi-location and multi-season trials across a wider range of </w:t>
      </w:r>
      <w:proofErr w:type="spellStart"/>
      <w:r>
        <w:t>coloured</w:t>
      </w:r>
      <w:proofErr w:type="spellEnd"/>
      <w:r>
        <w:t xml:space="preserve"> cauliflower varieties. This would help confirm the consistency of the observed performance differences and support more reliable recommendations for commercial cultivation.</w:t>
      </w:r>
    </w:p>
    <w:p w:rsidR="009A2F0F" w:rsidRDefault="009A2F0F">
      <w:pPr>
        <w:spacing w:before="240" w:after="240" w:line="360" w:lineRule="auto"/>
        <w:jc w:val="both"/>
      </w:pPr>
    </w:p>
    <w:p w:rsidR="009A2F0F" w:rsidRPr="009A2F0F" w:rsidRDefault="009A2F0F" w:rsidP="009A2F0F">
      <w:pPr>
        <w:spacing w:before="240" w:after="240" w:line="360" w:lineRule="auto"/>
        <w:jc w:val="both"/>
        <w:rPr>
          <w:b/>
        </w:rPr>
      </w:pPr>
      <w:r w:rsidRPr="009A2F0F">
        <w:rPr>
          <w:b/>
        </w:rPr>
        <w:t xml:space="preserve"> Limitations of the Study</w:t>
      </w:r>
    </w:p>
    <w:p w:rsidR="009A2F0F" w:rsidRDefault="009A2F0F" w:rsidP="009A2F0F">
      <w:pPr>
        <w:spacing w:before="240" w:after="240" w:line="360" w:lineRule="auto"/>
        <w:jc w:val="both"/>
      </w:pPr>
      <w:r>
        <w:t xml:space="preserve">This study was conducted in the research farm at SHUATS, </w:t>
      </w:r>
      <w:proofErr w:type="spellStart"/>
      <w:r>
        <w:t>Prayagraj</w:t>
      </w:r>
      <w:proofErr w:type="spellEnd"/>
      <w:r>
        <w:t xml:space="preserve"> — and only during the winter season of 2024–25. Naturally, this means the results reflect what happened under that particular set of climatic, soil, and seasonal conditions, and one should be careful about drawing sweeping conclusions for other subtropical regions or different times of year. The study also worked with ten genotypes, which, while reasonably representative, does not capture the full breadth of variation present across </w:t>
      </w:r>
      <w:proofErr w:type="spellStart"/>
      <w:r>
        <w:t>coloured</w:t>
      </w:r>
      <w:proofErr w:type="spellEnd"/>
      <w:r>
        <w:t xml:space="preserve"> cauliflower germplasm globally. To build a more complete picture, future work would benefit from running similar trials across multiple locations and seasons, and bringing in a wider range of genotypes — particularly those representing the orange, purple, and green </w:t>
      </w:r>
      <w:proofErr w:type="spellStart"/>
      <w:r>
        <w:t>colour</w:t>
      </w:r>
      <w:proofErr w:type="spellEnd"/>
      <w:r>
        <w:t xml:space="preserve"> groups </w:t>
      </w:r>
      <w:r>
        <w:lastRenderedPageBreak/>
        <w:t>more comprehensively — so that variety recommendations can be made with greater confidence and broader applicability.</w:t>
      </w:r>
    </w:p>
    <w:p w:rsidR="0078054E" w:rsidRDefault="000359A1">
      <w:pPr>
        <w:pStyle w:val="Heading1"/>
      </w:pPr>
      <w:r>
        <w:rPr>
          <w:sz w:val="22"/>
          <w:szCs w:val="22"/>
        </w:rPr>
        <w:t>ACKNOWLEDGEMENT</w:t>
      </w:r>
    </w:p>
    <w:p w:rsidR="0078054E" w:rsidRDefault="000359A1">
      <w:pPr>
        <w:spacing w:after="120" w:line="360" w:lineRule="auto"/>
        <w:jc w:val="both"/>
      </w:pPr>
      <w:r>
        <w:t xml:space="preserve">The author expresses sincere gratitude to the Advisor and the Department of Horticulture, </w:t>
      </w:r>
      <w:proofErr w:type="spellStart"/>
      <w:r>
        <w:t>Naini</w:t>
      </w:r>
      <w:proofErr w:type="spellEnd"/>
      <w:r>
        <w:t xml:space="preserve"> Agricultural Institute, Sam Higginbottom University of Agriculture, Technology and Sciences (SHUATS), </w:t>
      </w:r>
      <w:proofErr w:type="spellStart"/>
      <w:r>
        <w:t>Prayagraj</w:t>
      </w:r>
      <w:proofErr w:type="spellEnd"/>
      <w:r>
        <w:t>, Uttar Pradesh, India, for providing guidance, technical support, and research infrastructure throughout the course of this investigation.</w:t>
      </w:r>
    </w:p>
    <w:p w:rsidR="003A0B8B" w:rsidRDefault="003A0B8B" w:rsidP="003A0B8B">
      <w:pPr>
        <w:rPr>
          <w:highlight w:val="yellow"/>
        </w:rPr>
      </w:pPr>
      <w:r>
        <w:rPr>
          <w:highlight w:val="yellow"/>
        </w:rPr>
        <w:t>Disclaimer (Artificial intelligence)</w:t>
      </w:r>
    </w:p>
    <w:p w:rsidR="003A0B8B" w:rsidRDefault="003A0B8B" w:rsidP="003A0B8B">
      <w:pPr>
        <w:rPr>
          <w:highlight w:val="yellow"/>
        </w:rPr>
      </w:pPr>
      <w:r>
        <w:rPr>
          <w:highlight w:val="yellow"/>
        </w:rPr>
        <w:t>Author(s) hereby declare that NO generative AI technologies such as Large Language Models (</w:t>
      </w:r>
      <w:proofErr w:type="spellStart"/>
      <w:r>
        <w:rPr>
          <w:highlight w:val="yellow"/>
        </w:rPr>
        <w:t>ChatGPT</w:t>
      </w:r>
      <w:proofErr w:type="spellEnd"/>
      <w:r>
        <w:rPr>
          <w:highlight w:val="yellow"/>
        </w:rPr>
        <w:t xml:space="preserve">, COPILOT, etc.) and text-to-image generators have been used during the writing or editing of this manuscript. </w:t>
      </w:r>
    </w:p>
    <w:p w:rsidR="003A0B8B" w:rsidRDefault="003A0B8B" w:rsidP="003A0B8B"/>
    <w:p w:rsidR="003A0B8B" w:rsidRDefault="003A0B8B">
      <w:pPr>
        <w:spacing w:after="120" w:line="360" w:lineRule="auto"/>
        <w:jc w:val="both"/>
      </w:pPr>
    </w:p>
    <w:p w:rsidR="0078054E" w:rsidRDefault="000359A1">
      <w:pPr>
        <w:pStyle w:val="Heading1"/>
      </w:pPr>
      <w:r>
        <w:rPr>
          <w:sz w:val="22"/>
          <w:szCs w:val="22"/>
        </w:rPr>
        <w:t>REFERENCES</w:t>
      </w:r>
    </w:p>
    <w:p w:rsidR="0078054E" w:rsidRDefault="000359A1" w:rsidP="000359A1">
      <w:pPr>
        <w:pStyle w:val="ListParagraph"/>
        <w:numPr>
          <w:ilvl w:val="0"/>
          <w:numId w:val="2"/>
        </w:numPr>
        <w:spacing w:after="100" w:line="320" w:lineRule="auto"/>
        <w:jc w:val="both"/>
      </w:pPr>
      <w:r w:rsidRPr="000359A1">
        <w:rPr>
          <w:sz w:val="20"/>
          <w:szCs w:val="20"/>
        </w:rPr>
        <w:t xml:space="preserve">Alt, C., Lenz, F., &amp; </w:t>
      </w:r>
      <w:proofErr w:type="spellStart"/>
      <w:r w:rsidRPr="000359A1">
        <w:rPr>
          <w:sz w:val="20"/>
          <w:szCs w:val="20"/>
        </w:rPr>
        <w:t>Guse</w:t>
      </w:r>
      <w:proofErr w:type="spellEnd"/>
      <w:r w:rsidRPr="000359A1">
        <w:rPr>
          <w:sz w:val="20"/>
          <w:szCs w:val="20"/>
        </w:rPr>
        <w:t>, G. (2000). Optimum nitrogen content and photosynthesis in cauliflower (Brassica oleracea L. var. botrytis): Scaling up from a leaf to the whole plant. Annals of Botany, 86(6), 1243–1252. https://doi.org/10.1006/anbo.2000.1139</w:t>
      </w:r>
    </w:p>
    <w:p w:rsidR="0078054E" w:rsidRDefault="000359A1" w:rsidP="000359A1">
      <w:pPr>
        <w:pStyle w:val="ListParagraph"/>
        <w:numPr>
          <w:ilvl w:val="0"/>
          <w:numId w:val="2"/>
        </w:numPr>
        <w:spacing w:after="100" w:line="320" w:lineRule="auto"/>
        <w:jc w:val="both"/>
      </w:pPr>
      <w:r w:rsidRPr="000359A1">
        <w:rPr>
          <w:sz w:val="20"/>
          <w:szCs w:val="20"/>
        </w:rPr>
        <w:t xml:space="preserve">Al-Bakri, O. M., &amp; </w:t>
      </w:r>
      <w:proofErr w:type="spellStart"/>
      <w:r w:rsidRPr="000359A1">
        <w:rPr>
          <w:sz w:val="20"/>
          <w:szCs w:val="20"/>
        </w:rPr>
        <w:t>Ibraheem</w:t>
      </w:r>
      <w:proofErr w:type="spellEnd"/>
      <w:r w:rsidRPr="000359A1">
        <w:rPr>
          <w:sz w:val="20"/>
          <w:szCs w:val="20"/>
        </w:rPr>
        <w:t>, F. F. R. (2022). Role of organic nutrient (</w:t>
      </w:r>
      <w:proofErr w:type="spellStart"/>
      <w:r w:rsidRPr="000359A1">
        <w:rPr>
          <w:sz w:val="20"/>
          <w:szCs w:val="20"/>
        </w:rPr>
        <w:t>Tecnokel</w:t>
      </w:r>
      <w:proofErr w:type="spellEnd"/>
      <w:r w:rsidRPr="000359A1">
        <w:rPr>
          <w:sz w:val="20"/>
          <w:szCs w:val="20"/>
        </w:rPr>
        <w:t>) and application methods on some qualitative characteristics of two cauliflower hybrids (Brassica oleracea var. botrytis). International Journal of Health Sciences, 6(S9), 1046–1057.</w:t>
      </w:r>
    </w:p>
    <w:p w:rsidR="0078054E" w:rsidRDefault="000359A1" w:rsidP="000359A1">
      <w:pPr>
        <w:pStyle w:val="ListParagraph"/>
        <w:numPr>
          <w:ilvl w:val="0"/>
          <w:numId w:val="2"/>
        </w:numPr>
        <w:spacing w:after="100" w:line="320" w:lineRule="auto"/>
        <w:jc w:val="both"/>
      </w:pPr>
      <w:proofErr w:type="spellStart"/>
      <w:r w:rsidRPr="000359A1">
        <w:rPr>
          <w:sz w:val="20"/>
          <w:szCs w:val="20"/>
        </w:rPr>
        <w:t>Abou</w:t>
      </w:r>
      <w:proofErr w:type="spellEnd"/>
      <w:r w:rsidRPr="000359A1">
        <w:rPr>
          <w:sz w:val="20"/>
          <w:szCs w:val="20"/>
        </w:rPr>
        <w:t xml:space="preserve"> El-</w:t>
      </w:r>
      <w:proofErr w:type="spellStart"/>
      <w:r w:rsidRPr="000359A1">
        <w:rPr>
          <w:sz w:val="20"/>
          <w:szCs w:val="20"/>
        </w:rPr>
        <w:t>Magd</w:t>
      </w:r>
      <w:proofErr w:type="spellEnd"/>
      <w:r w:rsidRPr="000359A1">
        <w:rPr>
          <w:sz w:val="20"/>
          <w:szCs w:val="20"/>
        </w:rPr>
        <w:t xml:space="preserve">, M. M., </w:t>
      </w:r>
      <w:proofErr w:type="spellStart"/>
      <w:r w:rsidRPr="000359A1">
        <w:rPr>
          <w:sz w:val="20"/>
          <w:szCs w:val="20"/>
        </w:rPr>
        <w:t>Zaki</w:t>
      </w:r>
      <w:proofErr w:type="spellEnd"/>
      <w:r w:rsidRPr="000359A1">
        <w:rPr>
          <w:sz w:val="20"/>
          <w:szCs w:val="20"/>
        </w:rPr>
        <w:t xml:space="preserve">, M. F., &amp; </w:t>
      </w:r>
      <w:proofErr w:type="spellStart"/>
      <w:r w:rsidRPr="000359A1">
        <w:rPr>
          <w:sz w:val="20"/>
          <w:szCs w:val="20"/>
        </w:rPr>
        <w:t>Abou</w:t>
      </w:r>
      <w:proofErr w:type="spellEnd"/>
      <w:r w:rsidRPr="000359A1">
        <w:rPr>
          <w:sz w:val="20"/>
          <w:szCs w:val="20"/>
        </w:rPr>
        <w:t xml:space="preserve"> </w:t>
      </w:r>
      <w:proofErr w:type="spellStart"/>
      <w:r w:rsidRPr="000359A1">
        <w:rPr>
          <w:sz w:val="20"/>
          <w:szCs w:val="20"/>
        </w:rPr>
        <w:t>Sedera</w:t>
      </w:r>
      <w:proofErr w:type="spellEnd"/>
      <w:r w:rsidRPr="000359A1">
        <w:rPr>
          <w:sz w:val="20"/>
          <w:szCs w:val="20"/>
        </w:rPr>
        <w:t>, S. A. (2015). Growing two broccoli cultivars under different mineral and foliar fertilization treatments. Journal of Interdisciplinary Plant Biology and Soil Science, 2(4), 620–631.</w:t>
      </w:r>
    </w:p>
    <w:p w:rsidR="0078054E" w:rsidRDefault="000359A1" w:rsidP="000359A1">
      <w:pPr>
        <w:pStyle w:val="ListParagraph"/>
        <w:numPr>
          <w:ilvl w:val="0"/>
          <w:numId w:val="2"/>
        </w:numPr>
        <w:spacing w:after="100" w:line="320" w:lineRule="auto"/>
        <w:jc w:val="both"/>
      </w:pPr>
      <w:r w:rsidRPr="000359A1">
        <w:rPr>
          <w:sz w:val="20"/>
          <w:szCs w:val="20"/>
        </w:rPr>
        <w:t xml:space="preserve">Basnet, M., Srivastava, A., Mishra, A., &amp; </w:t>
      </w:r>
      <w:proofErr w:type="spellStart"/>
      <w:r w:rsidRPr="000359A1">
        <w:rPr>
          <w:sz w:val="20"/>
          <w:szCs w:val="20"/>
        </w:rPr>
        <w:t>Dahal</w:t>
      </w:r>
      <w:proofErr w:type="spellEnd"/>
      <w:r w:rsidRPr="000359A1">
        <w:rPr>
          <w:sz w:val="20"/>
          <w:szCs w:val="20"/>
        </w:rPr>
        <w:t xml:space="preserve">, K. (2024). Performance evaluation of cauliflower varieties under </w:t>
      </w:r>
      <w:proofErr w:type="spellStart"/>
      <w:r w:rsidRPr="000359A1">
        <w:rPr>
          <w:sz w:val="20"/>
          <w:szCs w:val="20"/>
        </w:rPr>
        <w:t>Prayagraj</w:t>
      </w:r>
      <w:proofErr w:type="spellEnd"/>
      <w:r w:rsidRPr="000359A1">
        <w:rPr>
          <w:sz w:val="20"/>
          <w:szCs w:val="20"/>
        </w:rPr>
        <w:t xml:space="preserve"> </w:t>
      </w:r>
      <w:proofErr w:type="spellStart"/>
      <w:r w:rsidRPr="000359A1">
        <w:rPr>
          <w:sz w:val="20"/>
          <w:szCs w:val="20"/>
        </w:rPr>
        <w:t>agro</w:t>
      </w:r>
      <w:proofErr w:type="spellEnd"/>
      <w:r w:rsidRPr="000359A1">
        <w:rPr>
          <w:sz w:val="20"/>
          <w:szCs w:val="20"/>
        </w:rPr>
        <w:t>-climatic conditions. Archives of Agriculture and Environmental Science, 9(3), 475–480.</w:t>
      </w:r>
    </w:p>
    <w:p w:rsidR="0078054E" w:rsidRPr="000359A1" w:rsidRDefault="000359A1" w:rsidP="000359A1">
      <w:pPr>
        <w:pStyle w:val="ListParagraph"/>
        <w:numPr>
          <w:ilvl w:val="0"/>
          <w:numId w:val="2"/>
        </w:numPr>
        <w:spacing w:after="100" w:line="320" w:lineRule="auto"/>
        <w:jc w:val="both"/>
        <w:rPr>
          <w:sz w:val="20"/>
          <w:szCs w:val="20"/>
        </w:rPr>
      </w:pPr>
      <w:proofErr w:type="spellStart"/>
      <w:r w:rsidRPr="000359A1">
        <w:rPr>
          <w:sz w:val="20"/>
          <w:szCs w:val="20"/>
        </w:rPr>
        <w:t>Bhowal</w:t>
      </w:r>
      <w:proofErr w:type="spellEnd"/>
      <w:r w:rsidRPr="000359A1">
        <w:rPr>
          <w:sz w:val="20"/>
          <w:szCs w:val="20"/>
        </w:rPr>
        <w:t>, S. K., Hossain, M. H., &amp; Bashir, M. M. (2020). Integrated nutrient management on the yield and profitability of cauliflower. Bangladesh Agronomy Journal, 23(2), 45–49.</w:t>
      </w:r>
    </w:p>
    <w:p w:rsidR="0078054E" w:rsidRPr="000359A1" w:rsidRDefault="000359A1" w:rsidP="000359A1">
      <w:pPr>
        <w:pStyle w:val="ListParagraph"/>
        <w:numPr>
          <w:ilvl w:val="0"/>
          <w:numId w:val="2"/>
        </w:numPr>
        <w:spacing w:after="100" w:line="320" w:lineRule="auto"/>
        <w:jc w:val="both"/>
        <w:rPr>
          <w:sz w:val="20"/>
          <w:szCs w:val="20"/>
        </w:rPr>
      </w:pPr>
      <w:r w:rsidRPr="000359A1">
        <w:rPr>
          <w:sz w:val="20"/>
          <w:szCs w:val="20"/>
        </w:rPr>
        <w:t xml:space="preserve">Chaudhary, A., Sharma, V., &amp; Rana, M. K. (2022). Nutritional and phytochemical profiling of </w:t>
      </w:r>
      <w:proofErr w:type="spellStart"/>
      <w:r w:rsidRPr="000359A1">
        <w:rPr>
          <w:sz w:val="20"/>
          <w:szCs w:val="20"/>
        </w:rPr>
        <w:t>coloured</w:t>
      </w:r>
      <w:proofErr w:type="spellEnd"/>
      <w:r w:rsidRPr="000359A1">
        <w:rPr>
          <w:sz w:val="20"/>
          <w:szCs w:val="20"/>
        </w:rPr>
        <w:t xml:space="preserve"> cauliflower genotypes under north Indian plains. </w:t>
      </w:r>
      <w:r w:rsidRPr="000359A1">
        <w:rPr>
          <w:i/>
          <w:iCs/>
          <w:sz w:val="20"/>
          <w:szCs w:val="20"/>
        </w:rPr>
        <w:t>Indian Journal of Horticulture, 79</w:t>
      </w:r>
      <w:r w:rsidRPr="000359A1">
        <w:rPr>
          <w:sz w:val="20"/>
          <w:szCs w:val="20"/>
        </w:rPr>
        <w:t>(2), 145–152.</w:t>
      </w:r>
    </w:p>
    <w:p w:rsidR="0078054E" w:rsidRPr="000359A1" w:rsidRDefault="000359A1" w:rsidP="000359A1">
      <w:pPr>
        <w:pStyle w:val="ListParagraph"/>
        <w:numPr>
          <w:ilvl w:val="0"/>
          <w:numId w:val="2"/>
        </w:numPr>
        <w:spacing w:after="100" w:line="320" w:lineRule="auto"/>
        <w:jc w:val="both"/>
        <w:rPr>
          <w:sz w:val="20"/>
          <w:szCs w:val="20"/>
        </w:rPr>
      </w:pPr>
      <w:r w:rsidRPr="000359A1">
        <w:rPr>
          <w:sz w:val="20"/>
          <w:szCs w:val="20"/>
        </w:rPr>
        <w:t xml:space="preserve">Chun, J. H., Kim, S., </w:t>
      </w:r>
      <w:proofErr w:type="spellStart"/>
      <w:r w:rsidRPr="000359A1">
        <w:rPr>
          <w:sz w:val="20"/>
          <w:szCs w:val="20"/>
        </w:rPr>
        <w:t>Arasu</w:t>
      </w:r>
      <w:proofErr w:type="spellEnd"/>
      <w:r w:rsidRPr="000359A1">
        <w:rPr>
          <w:sz w:val="20"/>
          <w:szCs w:val="20"/>
        </w:rPr>
        <w:t xml:space="preserve">, M. V., Al-Dhabi, N. A., Chung, D. Y., &amp; Kim, S. J. (2015). Combined effect of quality, quantity and spectral distribution of light on the content of </w:t>
      </w:r>
      <w:proofErr w:type="spellStart"/>
      <w:r w:rsidRPr="000359A1">
        <w:rPr>
          <w:sz w:val="20"/>
          <w:szCs w:val="20"/>
        </w:rPr>
        <w:t>glucosinolates</w:t>
      </w:r>
      <w:proofErr w:type="spellEnd"/>
      <w:r w:rsidRPr="000359A1">
        <w:rPr>
          <w:sz w:val="20"/>
          <w:szCs w:val="20"/>
        </w:rPr>
        <w:t xml:space="preserve">, anthocyanins and carotenoids in different developmental stages of red and green cabbage. </w:t>
      </w:r>
      <w:r w:rsidRPr="000359A1">
        <w:rPr>
          <w:i/>
          <w:iCs/>
          <w:sz w:val="20"/>
          <w:szCs w:val="20"/>
        </w:rPr>
        <w:t>Horticulture, Environment, and Biotechnology, 56</w:t>
      </w:r>
      <w:r w:rsidRPr="000359A1">
        <w:rPr>
          <w:sz w:val="20"/>
          <w:szCs w:val="20"/>
        </w:rPr>
        <w:t>(1), 1–11.</w:t>
      </w:r>
      <w:hyperlink r:id="rId7">
        <w:r w:rsidRPr="000359A1">
          <w:rPr>
            <w:sz w:val="20"/>
            <w:szCs w:val="20"/>
          </w:rPr>
          <w:t xml:space="preserve"> </w:t>
        </w:r>
      </w:hyperlink>
      <w:hyperlink r:id="rId8">
        <w:r w:rsidRPr="000359A1">
          <w:rPr>
            <w:color w:val="1155CC"/>
            <w:sz w:val="20"/>
            <w:szCs w:val="20"/>
            <w:u w:val="single"/>
          </w:rPr>
          <w:t>https://doi.org/10.1007/s13580-015-0110-x</w:t>
        </w:r>
      </w:hyperlink>
    </w:p>
    <w:p w:rsidR="0078054E" w:rsidRPr="000359A1" w:rsidRDefault="000359A1" w:rsidP="000359A1">
      <w:pPr>
        <w:pStyle w:val="ListParagraph"/>
        <w:numPr>
          <w:ilvl w:val="0"/>
          <w:numId w:val="2"/>
        </w:numPr>
        <w:spacing w:after="100" w:line="320" w:lineRule="auto"/>
        <w:jc w:val="both"/>
        <w:rPr>
          <w:sz w:val="20"/>
          <w:szCs w:val="20"/>
        </w:rPr>
      </w:pPr>
      <w:r w:rsidRPr="000359A1">
        <w:rPr>
          <w:sz w:val="20"/>
          <w:szCs w:val="20"/>
        </w:rPr>
        <w:t xml:space="preserve">Croft, H., &amp; Chen, J. M. (2018). Leaf pigment content. In J. M. Chen (Ed.), Comprehensive remote sensing (pp. 117–142). Elsevier. </w:t>
      </w:r>
      <w:hyperlink r:id="rId9">
        <w:r w:rsidRPr="000359A1">
          <w:rPr>
            <w:color w:val="1155CC"/>
            <w:sz w:val="20"/>
            <w:szCs w:val="20"/>
            <w:u w:val="single"/>
          </w:rPr>
          <w:t>https://doi.org/10.1016/B978-0-12-409548-9.10547-0</w:t>
        </w:r>
      </w:hyperlink>
    </w:p>
    <w:p w:rsidR="0078054E" w:rsidRPr="000359A1" w:rsidRDefault="000359A1" w:rsidP="000359A1">
      <w:pPr>
        <w:pStyle w:val="ListParagraph"/>
        <w:numPr>
          <w:ilvl w:val="0"/>
          <w:numId w:val="2"/>
        </w:numPr>
        <w:spacing w:after="100" w:line="320" w:lineRule="auto"/>
        <w:jc w:val="both"/>
        <w:rPr>
          <w:sz w:val="20"/>
          <w:szCs w:val="20"/>
        </w:rPr>
      </w:pPr>
      <w:r w:rsidRPr="000359A1">
        <w:rPr>
          <w:sz w:val="20"/>
          <w:szCs w:val="20"/>
        </w:rPr>
        <w:t xml:space="preserve">Cochran, W. G., &amp; Cox, G. M. (1957). </w:t>
      </w:r>
      <w:r w:rsidRPr="000359A1">
        <w:rPr>
          <w:i/>
          <w:iCs/>
          <w:sz w:val="20"/>
          <w:szCs w:val="20"/>
        </w:rPr>
        <w:t>Experimental designs</w:t>
      </w:r>
      <w:r w:rsidRPr="000359A1">
        <w:rPr>
          <w:sz w:val="20"/>
          <w:szCs w:val="20"/>
        </w:rPr>
        <w:t xml:space="preserve"> (2nd ed.). John Wiley &amp; Sons.</w:t>
      </w:r>
    </w:p>
    <w:p w:rsidR="0078054E" w:rsidRDefault="000359A1" w:rsidP="000359A1">
      <w:pPr>
        <w:pStyle w:val="ListParagraph"/>
        <w:numPr>
          <w:ilvl w:val="0"/>
          <w:numId w:val="2"/>
        </w:numPr>
        <w:spacing w:after="100" w:line="320" w:lineRule="auto"/>
        <w:jc w:val="both"/>
      </w:pPr>
      <w:r w:rsidRPr="000359A1">
        <w:rPr>
          <w:sz w:val="20"/>
          <w:szCs w:val="20"/>
        </w:rPr>
        <w:t xml:space="preserve">Dey, S. S., Bhatia, R., Sharma, K., Bhardwaj, I., Pandey, C. D., &amp; Parkash, C. (2019). Frequent introgression of European cauliflowers in present-day cultivated Indian cauliflowers and the role of Indian genotypes in the evolution of tropical cauliflower. </w:t>
      </w:r>
      <w:proofErr w:type="spellStart"/>
      <w:r w:rsidRPr="000359A1">
        <w:rPr>
          <w:sz w:val="20"/>
          <w:szCs w:val="20"/>
        </w:rPr>
        <w:t>Euphytica</w:t>
      </w:r>
      <w:proofErr w:type="spellEnd"/>
      <w:r w:rsidRPr="000359A1">
        <w:rPr>
          <w:sz w:val="20"/>
          <w:szCs w:val="20"/>
        </w:rPr>
        <w:t>, 215, 23. https://doi.org/10.1007/s10681-019-2346-0</w:t>
      </w:r>
    </w:p>
    <w:p w:rsidR="0078054E" w:rsidRDefault="000359A1" w:rsidP="000359A1">
      <w:pPr>
        <w:pStyle w:val="ListParagraph"/>
        <w:numPr>
          <w:ilvl w:val="0"/>
          <w:numId w:val="2"/>
        </w:numPr>
        <w:spacing w:after="100" w:line="320" w:lineRule="auto"/>
        <w:jc w:val="both"/>
      </w:pPr>
      <w:r w:rsidRPr="000359A1">
        <w:rPr>
          <w:sz w:val="20"/>
          <w:szCs w:val="20"/>
        </w:rPr>
        <w:lastRenderedPageBreak/>
        <w:t xml:space="preserve">Dubos, C., Le </w:t>
      </w:r>
      <w:proofErr w:type="spellStart"/>
      <w:r w:rsidRPr="000359A1">
        <w:rPr>
          <w:sz w:val="20"/>
          <w:szCs w:val="20"/>
        </w:rPr>
        <w:t>Gourrierec</w:t>
      </w:r>
      <w:proofErr w:type="spellEnd"/>
      <w:r w:rsidRPr="000359A1">
        <w:rPr>
          <w:sz w:val="20"/>
          <w:szCs w:val="20"/>
        </w:rPr>
        <w:t xml:space="preserve">, J., </w:t>
      </w:r>
      <w:proofErr w:type="spellStart"/>
      <w:r w:rsidRPr="000359A1">
        <w:rPr>
          <w:sz w:val="20"/>
          <w:szCs w:val="20"/>
        </w:rPr>
        <w:t>Baudry</w:t>
      </w:r>
      <w:proofErr w:type="spellEnd"/>
      <w:r w:rsidRPr="000359A1">
        <w:rPr>
          <w:sz w:val="20"/>
          <w:szCs w:val="20"/>
        </w:rPr>
        <w:t xml:space="preserve">, A., </w:t>
      </w:r>
      <w:proofErr w:type="spellStart"/>
      <w:r w:rsidRPr="000359A1">
        <w:rPr>
          <w:sz w:val="20"/>
          <w:szCs w:val="20"/>
        </w:rPr>
        <w:t>Huep</w:t>
      </w:r>
      <w:proofErr w:type="spellEnd"/>
      <w:r w:rsidRPr="000359A1">
        <w:rPr>
          <w:sz w:val="20"/>
          <w:szCs w:val="20"/>
        </w:rPr>
        <w:t xml:space="preserve">, G., </w:t>
      </w:r>
      <w:proofErr w:type="spellStart"/>
      <w:r w:rsidRPr="000359A1">
        <w:rPr>
          <w:sz w:val="20"/>
          <w:szCs w:val="20"/>
        </w:rPr>
        <w:t>Lanet</w:t>
      </w:r>
      <w:proofErr w:type="spellEnd"/>
      <w:r w:rsidRPr="000359A1">
        <w:rPr>
          <w:sz w:val="20"/>
          <w:szCs w:val="20"/>
        </w:rPr>
        <w:t xml:space="preserve">, E., </w:t>
      </w:r>
      <w:proofErr w:type="spellStart"/>
      <w:r w:rsidRPr="000359A1">
        <w:rPr>
          <w:sz w:val="20"/>
          <w:szCs w:val="20"/>
        </w:rPr>
        <w:t>Debeaujon</w:t>
      </w:r>
      <w:proofErr w:type="spellEnd"/>
      <w:r w:rsidRPr="000359A1">
        <w:rPr>
          <w:sz w:val="20"/>
          <w:szCs w:val="20"/>
        </w:rPr>
        <w:t xml:space="preserve">, I., ... &amp; </w:t>
      </w:r>
      <w:proofErr w:type="spellStart"/>
      <w:r w:rsidRPr="000359A1">
        <w:rPr>
          <w:sz w:val="20"/>
          <w:szCs w:val="20"/>
        </w:rPr>
        <w:t>Lepiniec</w:t>
      </w:r>
      <w:proofErr w:type="spellEnd"/>
      <w:r w:rsidRPr="000359A1">
        <w:rPr>
          <w:sz w:val="20"/>
          <w:szCs w:val="20"/>
        </w:rPr>
        <w:t>, L. (2008). MYBL2 is a new regulator of flavonoid biosynthesis in Arabidopsis thaliana. The Plant Journal, 55(5), 940–953.</w:t>
      </w:r>
    </w:p>
    <w:p w:rsidR="0078054E" w:rsidRDefault="000359A1" w:rsidP="000359A1">
      <w:pPr>
        <w:pStyle w:val="ListParagraph"/>
        <w:numPr>
          <w:ilvl w:val="0"/>
          <w:numId w:val="2"/>
        </w:numPr>
        <w:spacing w:after="100" w:line="320" w:lineRule="auto"/>
        <w:jc w:val="both"/>
      </w:pPr>
      <w:proofErr w:type="spellStart"/>
      <w:r w:rsidRPr="000359A1">
        <w:rPr>
          <w:sz w:val="20"/>
          <w:szCs w:val="20"/>
        </w:rPr>
        <w:t>Eggersdorfer</w:t>
      </w:r>
      <w:proofErr w:type="spellEnd"/>
      <w:r w:rsidRPr="000359A1">
        <w:rPr>
          <w:sz w:val="20"/>
          <w:szCs w:val="20"/>
        </w:rPr>
        <w:t>, M., &amp; Wyss, A. (2018). Carotenoids in human nutrition and health. Archives of Biochemistry and Biophysics, 652, 18–26. https://doi.org/10.1016/j.abb.2018.06.001</w:t>
      </w:r>
    </w:p>
    <w:p w:rsidR="0078054E" w:rsidRDefault="000359A1" w:rsidP="000359A1">
      <w:pPr>
        <w:pStyle w:val="ListParagraph"/>
        <w:numPr>
          <w:ilvl w:val="0"/>
          <w:numId w:val="2"/>
        </w:numPr>
        <w:spacing w:after="100" w:line="320" w:lineRule="auto"/>
        <w:jc w:val="both"/>
      </w:pPr>
      <w:proofErr w:type="spellStart"/>
      <w:r w:rsidRPr="000359A1">
        <w:rPr>
          <w:sz w:val="20"/>
          <w:szCs w:val="20"/>
        </w:rPr>
        <w:t>Eimon</w:t>
      </w:r>
      <w:proofErr w:type="spellEnd"/>
      <w:r w:rsidRPr="000359A1">
        <w:rPr>
          <w:sz w:val="20"/>
          <w:szCs w:val="20"/>
        </w:rPr>
        <w:t xml:space="preserve">, M. M. I., </w:t>
      </w:r>
      <w:proofErr w:type="spellStart"/>
      <w:r w:rsidRPr="000359A1">
        <w:rPr>
          <w:sz w:val="20"/>
          <w:szCs w:val="20"/>
        </w:rPr>
        <w:t>Rasal</w:t>
      </w:r>
      <w:proofErr w:type="spellEnd"/>
      <w:r w:rsidRPr="000359A1">
        <w:rPr>
          <w:sz w:val="20"/>
          <w:szCs w:val="20"/>
        </w:rPr>
        <w:t xml:space="preserve">-Monir, M., </w:t>
      </w:r>
      <w:proofErr w:type="spellStart"/>
      <w:r w:rsidRPr="000359A1">
        <w:rPr>
          <w:sz w:val="20"/>
          <w:szCs w:val="20"/>
        </w:rPr>
        <w:t>Modak</w:t>
      </w:r>
      <w:proofErr w:type="spellEnd"/>
      <w:r w:rsidRPr="000359A1">
        <w:rPr>
          <w:sz w:val="20"/>
          <w:szCs w:val="20"/>
        </w:rPr>
        <w:t>, S., Fatima, S., Ali, M., &amp; Malek, M. A. (2019). Growth and yield of cauliflower as influenced by NPK, Zn, B fertilizers. International Journal of Natural and Social Sciences, 6(3), 17–31.</w:t>
      </w:r>
    </w:p>
    <w:p w:rsidR="0078054E" w:rsidRDefault="000359A1" w:rsidP="000359A1">
      <w:pPr>
        <w:pStyle w:val="ListParagraph"/>
        <w:numPr>
          <w:ilvl w:val="0"/>
          <w:numId w:val="2"/>
        </w:numPr>
        <w:spacing w:after="100" w:line="320" w:lineRule="auto"/>
        <w:jc w:val="both"/>
      </w:pPr>
      <w:proofErr w:type="spellStart"/>
      <w:r w:rsidRPr="000359A1">
        <w:rPr>
          <w:sz w:val="20"/>
          <w:szCs w:val="20"/>
        </w:rPr>
        <w:t>Giri</w:t>
      </w:r>
      <w:proofErr w:type="spellEnd"/>
      <w:r w:rsidRPr="000359A1">
        <w:rPr>
          <w:sz w:val="20"/>
          <w:szCs w:val="20"/>
        </w:rPr>
        <w:t xml:space="preserve">, H. N., Sharma, M. D., Thapa, R. B., </w:t>
      </w:r>
      <w:proofErr w:type="spellStart"/>
      <w:r w:rsidRPr="000359A1">
        <w:rPr>
          <w:sz w:val="20"/>
          <w:szCs w:val="20"/>
        </w:rPr>
        <w:t>Pande</w:t>
      </w:r>
      <w:proofErr w:type="spellEnd"/>
      <w:r w:rsidRPr="000359A1">
        <w:rPr>
          <w:sz w:val="20"/>
          <w:szCs w:val="20"/>
        </w:rPr>
        <w:t xml:space="preserve">, K. R., &amp; Khatri, B. B. (2020). Performance on postharvest quality of late season cauliflower (Brassica oleracea var. botrytis) varieties in </w:t>
      </w:r>
      <w:proofErr w:type="spellStart"/>
      <w:r w:rsidRPr="000359A1">
        <w:rPr>
          <w:sz w:val="20"/>
          <w:szCs w:val="20"/>
        </w:rPr>
        <w:t>Terai</w:t>
      </w:r>
      <w:proofErr w:type="spellEnd"/>
      <w:r w:rsidRPr="000359A1">
        <w:rPr>
          <w:sz w:val="20"/>
          <w:szCs w:val="20"/>
        </w:rPr>
        <w:t xml:space="preserve"> region of Nepal. Archives of Agriculture and Environmental Science, 5(4), 543–547. https://doi.org/10.26832/24566632.2020.0504017</w:t>
      </w:r>
    </w:p>
    <w:p w:rsidR="0078054E" w:rsidRPr="000359A1" w:rsidRDefault="000359A1" w:rsidP="000359A1">
      <w:pPr>
        <w:pStyle w:val="ListParagraph"/>
        <w:numPr>
          <w:ilvl w:val="0"/>
          <w:numId w:val="2"/>
        </w:numPr>
        <w:spacing w:after="100" w:line="320" w:lineRule="auto"/>
        <w:jc w:val="both"/>
        <w:rPr>
          <w:sz w:val="20"/>
          <w:szCs w:val="20"/>
        </w:rPr>
      </w:pPr>
      <w:r w:rsidRPr="000359A1">
        <w:rPr>
          <w:sz w:val="20"/>
          <w:szCs w:val="20"/>
        </w:rPr>
        <w:t>Gomez, K. A., &amp; Gomez, A. A. (1984). Statistical procedures for agricultural research (2nd ed.). John Wiley &amp; Sons.</w:t>
      </w:r>
    </w:p>
    <w:p w:rsidR="0078054E" w:rsidRPr="000359A1" w:rsidRDefault="000359A1" w:rsidP="000359A1">
      <w:pPr>
        <w:pStyle w:val="ListParagraph"/>
        <w:numPr>
          <w:ilvl w:val="0"/>
          <w:numId w:val="2"/>
        </w:numPr>
        <w:spacing w:after="100" w:line="320" w:lineRule="auto"/>
        <w:jc w:val="both"/>
        <w:rPr>
          <w:sz w:val="20"/>
          <w:szCs w:val="20"/>
        </w:rPr>
      </w:pPr>
      <w:proofErr w:type="spellStart"/>
      <w:r w:rsidRPr="000359A1">
        <w:rPr>
          <w:sz w:val="20"/>
          <w:szCs w:val="20"/>
        </w:rPr>
        <w:t>Hikosaka</w:t>
      </w:r>
      <w:proofErr w:type="spellEnd"/>
      <w:r w:rsidRPr="000359A1">
        <w:rPr>
          <w:sz w:val="20"/>
          <w:szCs w:val="20"/>
        </w:rPr>
        <w:t xml:space="preserve">, K., </w:t>
      </w:r>
      <w:proofErr w:type="spellStart"/>
      <w:r w:rsidRPr="000359A1">
        <w:rPr>
          <w:sz w:val="20"/>
          <w:szCs w:val="20"/>
        </w:rPr>
        <w:t>Sudoh</w:t>
      </w:r>
      <w:proofErr w:type="spellEnd"/>
      <w:r w:rsidRPr="000359A1">
        <w:rPr>
          <w:sz w:val="20"/>
          <w:szCs w:val="20"/>
        </w:rPr>
        <w:t xml:space="preserve">, S., &amp; Hirose, T. (1999). Light acquisition and use of individuals competing in a dense stand of an annual herb, Xanthium </w:t>
      </w:r>
      <w:proofErr w:type="spellStart"/>
      <w:r w:rsidRPr="000359A1">
        <w:rPr>
          <w:sz w:val="20"/>
          <w:szCs w:val="20"/>
        </w:rPr>
        <w:t>canadense</w:t>
      </w:r>
      <w:proofErr w:type="spellEnd"/>
      <w:r w:rsidRPr="000359A1">
        <w:rPr>
          <w:sz w:val="20"/>
          <w:szCs w:val="20"/>
        </w:rPr>
        <w:t xml:space="preserve">. </w:t>
      </w:r>
      <w:proofErr w:type="spellStart"/>
      <w:r w:rsidRPr="000359A1">
        <w:rPr>
          <w:i/>
          <w:iCs/>
          <w:sz w:val="20"/>
          <w:szCs w:val="20"/>
        </w:rPr>
        <w:t>Oecologia</w:t>
      </w:r>
      <w:proofErr w:type="spellEnd"/>
      <w:r w:rsidRPr="000359A1">
        <w:rPr>
          <w:i/>
          <w:iCs/>
          <w:sz w:val="20"/>
          <w:szCs w:val="20"/>
        </w:rPr>
        <w:t>, 118</w:t>
      </w:r>
      <w:r w:rsidRPr="000359A1">
        <w:rPr>
          <w:sz w:val="20"/>
          <w:szCs w:val="20"/>
        </w:rPr>
        <w:t>(4), 388–396.</w:t>
      </w:r>
      <w:hyperlink r:id="rId10">
        <w:r w:rsidRPr="000359A1">
          <w:rPr>
            <w:sz w:val="20"/>
            <w:szCs w:val="20"/>
          </w:rPr>
          <w:t xml:space="preserve"> </w:t>
        </w:r>
      </w:hyperlink>
      <w:hyperlink r:id="rId11">
        <w:r w:rsidRPr="000359A1">
          <w:rPr>
            <w:color w:val="1155CC"/>
            <w:sz w:val="20"/>
            <w:szCs w:val="20"/>
            <w:u w:val="single"/>
          </w:rPr>
          <w:t>https://doi.org/10.1007/s004420050744</w:t>
        </w:r>
      </w:hyperlink>
    </w:p>
    <w:p w:rsidR="0078054E" w:rsidRPr="000359A1" w:rsidRDefault="000359A1" w:rsidP="000359A1">
      <w:pPr>
        <w:pStyle w:val="ListParagraph"/>
        <w:numPr>
          <w:ilvl w:val="0"/>
          <w:numId w:val="2"/>
        </w:numPr>
        <w:spacing w:after="100" w:line="320" w:lineRule="auto"/>
        <w:jc w:val="both"/>
        <w:rPr>
          <w:sz w:val="20"/>
          <w:szCs w:val="20"/>
        </w:rPr>
      </w:pPr>
      <w:proofErr w:type="spellStart"/>
      <w:r w:rsidRPr="000359A1">
        <w:rPr>
          <w:sz w:val="20"/>
          <w:szCs w:val="20"/>
        </w:rPr>
        <w:t>Kalaji</w:t>
      </w:r>
      <w:proofErr w:type="spellEnd"/>
      <w:r w:rsidRPr="000359A1">
        <w:rPr>
          <w:sz w:val="20"/>
          <w:szCs w:val="20"/>
        </w:rPr>
        <w:t xml:space="preserve">, H. M., </w:t>
      </w:r>
      <w:proofErr w:type="spellStart"/>
      <w:r w:rsidRPr="000359A1">
        <w:rPr>
          <w:sz w:val="20"/>
          <w:szCs w:val="20"/>
        </w:rPr>
        <w:t>Goltsev</w:t>
      </w:r>
      <w:proofErr w:type="spellEnd"/>
      <w:r w:rsidRPr="000359A1">
        <w:rPr>
          <w:sz w:val="20"/>
          <w:szCs w:val="20"/>
        </w:rPr>
        <w:t xml:space="preserve">, V., </w:t>
      </w:r>
      <w:proofErr w:type="spellStart"/>
      <w:r w:rsidRPr="000359A1">
        <w:rPr>
          <w:sz w:val="20"/>
          <w:szCs w:val="20"/>
        </w:rPr>
        <w:t>Bosa</w:t>
      </w:r>
      <w:proofErr w:type="spellEnd"/>
      <w:r w:rsidRPr="000359A1">
        <w:rPr>
          <w:sz w:val="20"/>
          <w:szCs w:val="20"/>
        </w:rPr>
        <w:t xml:space="preserve">, K., </w:t>
      </w:r>
      <w:proofErr w:type="spellStart"/>
      <w:r w:rsidRPr="000359A1">
        <w:rPr>
          <w:sz w:val="20"/>
          <w:szCs w:val="20"/>
        </w:rPr>
        <w:t>Allakhverdiev</w:t>
      </w:r>
      <w:proofErr w:type="spellEnd"/>
      <w:r w:rsidRPr="000359A1">
        <w:rPr>
          <w:sz w:val="20"/>
          <w:szCs w:val="20"/>
        </w:rPr>
        <w:t xml:space="preserve">, S. I., Strasser, R. J., &amp; </w:t>
      </w:r>
      <w:proofErr w:type="spellStart"/>
      <w:r w:rsidRPr="000359A1">
        <w:rPr>
          <w:sz w:val="20"/>
          <w:szCs w:val="20"/>
        </w:rPr>
        <w:t>Govindjee</w:t>
      </w:r>
      <w:proofErr w:type="spellEnd"/>
      <w:r w:rsidRPr="000359A1">
        <w:rPr>
          <w:sz w:val="20"/>
          <w:szCs w:val="20"/>
        </w:rPr>
        <w:t xml:space="preserve">. (2012). Experimental in vivo measurements of light emission in plants: A perspective dedicated to David Walker. </w:t>
      </w:r>
      <w:r w:rsidRPr="000359A1">
        <w:rPr>
          <w:i/>
          <w:iCs/>
          <w:sz w:val="20"/>
          <w:szCs w:val="20"/>
        </w:rPr>
        <w:t>Photosynthesis Research, 114</w:t>
      </w:r>
      <w:r w:rsidRPr="000359A1">
        <w:rPr>
          <w:sz w:val="20"/>
          <w:szCs w:val="20"/>
        </w:rPr>
        <w:t>(2), 69–96.</w:t>
      </w:r>
      <w:hyperlink r:id="rId12">
        <w:r w:rsidRPr="000359A1">
          <w:rPr>
            <w:sz w:val="20"/>
            <w:szCs w:val="20"/>
          </w:rPr>
          <w:t xml:space="preserve"> </w:t>
        </w:r>
      </w:hyperlink>
      <w:hyperlink r:id="rId13">
        <w:r w:rsidRPr="000359A1">
          <w:rPr>
            <w:color w:val="1155CC"/>
            <w:sz w:val="20"/>
            <w:szCs w:val="20"/>
            <w:u w:val="single"/>
          </w:rPr>
          <w:t>https://doi.org/10.1007/s11120-012-9780-3</w:t>
        </w:r>
      </w:hyperlink>
    </w:p>
    <w:p w:rsidR="0078054E" w:rsidRPr="000359A1" w:rsidRDefault="000359A1" w:rsidP="000359A1">
      <w:pPr>
        <w:pStyle w:val="ListParagraph"/>
        <w:numPr>
          <w:ilvl w:val="0"/>
          <w:numId w:val="2"/>
        </w:numPr>
        <w:spacing w:after="100" w:line="320" w:lineRule="auto"/>
        <w:jc w:val="both"/>
        <w:rPr>
          <w:sz w:val="20"/>
          <w:szCs w:val="20"/>
        </w:rPr>
      </w:pPr>
      <w:r w:rsidRPr="000359A1">
        <w:rPr>
          <w:sz w:val="20"/>
          <w:szCs w:val="20"/>
        </w:rPr>
        <w:t xml:space="preserve">Kumari, P., Singh, B., &amp; Pandey, A. K. (2022). Source-sink dynamics and biological yield optimization in </w:t>
      </w:r>
      <w:proofErr w:type="spellStart"/>
      <w:r w:rsidRPr="000359A1">
        <w:rPr>
          <w:sz w:val="20"/>
          <w:szCs w:val="20"/>
        </w:rPr>
        <w:t>coloured</w:t>
      </w:r>
      <w:proofErr w:type="spellEnd"/>
      <w:r w:rsidRPr="000359A1">
        <w:rPr>
          <w:sz w:val="20"/>
          <w:szCs w:val="20"/>
        </w:rPr>
        <w:t xml:space="preserve"> cauliflower under subtropical north Indian conditions. </w:t>
      </w:r>
      <w:r w:rsidRPr="000359A1">
        <w:rPr>
          <w:i/>
          <w:iCs/>
          <w:sz w:val="20"/>
          <w:szCs w:val="20"/>
        </w:rPr>
        <w:t>Horticultural Plant Journal, 8</w:t>
      </w:r>
      <w:r w:rsidRPr="000359A1">
        <w:rPr>
          <w:sz w:val="20"/>
          <w:szCs w:val="20"/>
        </w:rPr>
        <w:t>(4), 312–321.</w:t>
      </w:r>
    </w:p>
    <w:p w:rsidR="0078054E" w:rsidRPr="000359A1" w:rsidRDefault="000359A1" w:rsidP="000359A1">
      <w:pPr>
        <w:pStyle w:val="ListParagraph"/>
        <w:numPr>
          <w:ilvl w:val="0"/>
          <w:numId w:val="2"/>
        </w:numPr>
        <w:spacing w:after="100" w:line="320" w:lineRule="auto"/>
        <w:jc w:val="both"/>
        <w:rPr>
          <w:sz w:val="20"/>
          <w:szCs w:val="20"/>
        </w:rPr>
      </w:pPr>
      <w:proofErr w:type="spellStart"/>
      <w:r w:rsidRPr="000359A1">
        <w:rPr>
          <w:sz w:val="20"/>
          <w:szCs w:val="20"/>
        </w:rPr>
        <w:t>Marcelis</w:t>
      </w:r>
      <w:proofErr w:type="spellEnd"/>
      <w:r w:rsidRPr="000359A1">
        <w:rPr>
          <w:sz w:val="20"/>
          <w:szCs w:val="20"/>
        </w:rPr>
        <w:t xml:space="preserve">, L. F. M. (1996). Sink strength as a determinant of dry matter partitioning in the whole plant. </w:t>
      </w:r>
      <w:r w:rsidRPr="000359A1">
        <w:rPr>
          <w:i/>
          <w:iCs/>
          <w:sz w:val="20"/>
          <w:szCs w:val="20"/>
        </w:rPr>
        <w:t>Journal of Experimental Botany, 47</w:t>
      </w:r>
      <w:r w:rsidRPr="000359A1">
        <w:rPr>
          <w:sz w:val="20"/>
          <w:szCs w:val="20"/>
        </w:rPr>
        <w:t>(Special Issue), 1281–1291.</w:t>
      </w:r>
      <w:hyperlink r:id="rId14">
        <w:r w:rsidRPr="000359A1">
          <w:rPr>
            <w:sz w:val="20"/>
            <w:szCs w:val="20"/>
          </w:rPr>
          <w:t xml:space="preserve"> </w:t>
        </w:r>
      </w:hyperlink>
      <w:hyperlink r:id="rId15">
        <w:r w:rsidRPr="000359A1">
          <w:rPr>
            <w:color w:val="1155CC"/>
            <w:sz w:val="20"/>
            <w:szCs w:val="20"/>
            <w:u w:val="single"/>
          </w:rPr>
          <w:t>https://doi.org/10.1093/jxb/47.Special_Issue.1281</w:t>
        </w:r>
      </w:hyperlink>
    </w:p>
    <w:p w:rsidR="0078054E" w:rsidRPr="000359A1" w:rsidRDefault="000359A1" w:rsidP="000359A1">
      <w:pPr>
        <w:pStyle w:val="ListParagraph"/>
        <w:numPr>
          <w:ilvl w:val="0"/>
          <w:numId w:val="2"/>
        </w:numPr>
        <w:spacing w:after="100" w:line="320" w:lineRule="auto"/>
        <w:jc w:val="both"/>
        <w:rPr>
          <w:sz w:val="20"/>
          <w:szCs w:val="20"/>
        </w:rPr>
      </w:pPr>
      <w:r w:rsidRPr="000359A1">
        <w:rPr>
          <w:sz w:val="20"/>
          <w:szCs w:val="20"/>
        </w:rPr>
        <w:t xml:space="preserve">Maurya, R. P., Bailey, J. A., &amp; Chandler, J. A. (2020). Influence of transplanting date on growth, yield and quality of cauliflower cultivars under subtropical conditions. </w:t>
      </w:r>
      <w:r w:rsidRPr="000359A1">
        <w:rPr>
          <w:i/>
          <w:iCs/>
          <w:sz w:val="20"/>
          <w:szCs w:val="20"/>
        </w:rPr>
        <w:t>Asian Journal of Agriculture and Food Sciences, 8</w:t>
      </w:r>
      <w:r w:rsidRPr="000359A1">
        <w:rPr>
          <w:sz w:val="20"/>
          <w:szCs w:val="20"/>
        </w:rPr>
        <w:t>(3), 45–53.</w:t>
      </w:r>
    </w:p>
    <w:p w:rsidR="0078054E" w:rsidRPr="000359A1" w:rsidRDefault="000359A1" w:rsidP="000359A1">
      <w:pPr>
        <w:pStyle w:val="ListParagraph"/>
        <w:numPr>
          <w:ilvl w:val="0"/>
          <w:numId w:val="2"/>
        </w:numPr>
        <w:spacing w:after="100" w:line="320" w:lineRule="auto"/>
        <w:jc w:val="both"/>
        <w:rPr>
          <w:sz w:val="20"/>
          <w:szCs w:val="20"/>
        </w:rPr>
      </w:pPr>
      <w:r w:rsidRPr="000359A1">
        <w:rPr>
          <w:sz w:val="20"/>
          <w:szCs w:val="20"/>
        </w:rPr>
        <w:t xml:space="preserve">Meena, R. K., Singh, D. K., &amp; Yadav, G. S. (2023). Canopy architecture and light use efficiency in Brassica vegetables under subtropical </w:t>
      </w:r>
      <w:proofErr w:type="spellStart"/>
      <w:r w:rsidRPr="000359A1">
        <w:rPr>
          <w:sz w:val="20"/>
          <w:szCs w:val="20"/>
        </w:rPr>
        <w:t>agro</w:t>
      </w:r>
      <w:proofErr w:type="spellEnd"/>
      <w:r w:rsidRPr="000359A1">
        <w:rPr>
          <w:sz w:val="20"/>
          <w:szCs w:val="20"/>
        </w:rPr>
        <w:t xml:space="preserve">-climatic conditions of the Indo-Gangetic plains. </w:t>
      </w:r>
      <w:r w:rsidRPr="000359A1">
        <w:rPr>
          <w:i/>
          <w:iCs/>
          <w:sz w:val="20"/>
          <w:szCs w:val="20"/>
        </w:rPr>
        <w:t>Journal of Applied Horticulture, 25</w:t>
      </w:r>
      <w:r w:rsidRPr="000359A1">
        <w:rPr>
          <w:sz w:val="20"/>
          <w:szCs w:val="20"/>
        </w:rPr>
        <w:t>(1), 38–45.</w:t>
      </w:r>
    </w:p>
    <w:p w:rsidR="0078054E" w:rsidRPr="000359A1" w:rsidRDefault="000359A1" w:rsidP="000359A1">
      <w:pPr>
        <w:pStyle w:val="ListParagraph"/>
        <w:numPr>
          <w:ilvl w:val="0"/>
          <w:numId w:val="2"/>
        </w:numPr>
        <w:spacing w:after="100" w:line="320" w:lineRule="auto"/>
        <w:jc w:val="both"/>
        <w:rPr>
          <w:sz w:val="20"/>
          <w:szCs w:val="20"/>
        </w:rPr>
      </w:pPr>
      <w:proofErr w:type="spellStart"/>
      <w:r w:rsidRPr="000359A1">
        <w:rPr>
          <w:sz w:val="20"/>
          <w:szCs w:val="20"/>
        </w:rPr>
        <w:t>Murchie</w:t>
      </w:r>
      <w:proofErr w:type="spellEnd"/>
      <w:r w:rsidRPr="000359A1">
        <w:rPr>
          <w:sz w:val="20"/>
          <w:szCs w:val="20"/>
        </w:rPr>
        <w:t xml:space="preserve">, E. H., &amp; Lawson, T. (2013). Chlorophyll fluorescence analysis: A guide to good practice and understanding some new applications. </w:t>
      </w:r>
      <w:r w:rsidRPr="000359A1">
        <w:rPr>
          <w:i/>
          <w:iCs/>
          <w:sz w:val="20"/>
          <w:szCs w:val="20"/>
        </w:rPr>
        <w:t>Journal of Experimental Botany, 64</w:t>
      </w:r>
      <w:r w:rsidRPr="000359A1">
        <w:rPr>
          <w:sz w:val="20"/>
          <w:szCs w:val="20"/>
        </w:rPr>
        <w:t>(13), 3983–3998.</w:t>
      </w:r>
      <w:hyperlink r:id="rId16">
        <w:r w:rsidRPr="000359A1">
          <w:rPr>
            <w:sz w:val="20"/>
            <w:szCs w:val="20"/>
          </w:rPr>
          <w:t xml:space="preserve"> </w:t>
        </w:r>
      </w:hyperlink>
      <w:hyperlink r:id="rId17">
        <w:r w:rsidRPr="000359A1">
          <w:rPr>
            <w:color w:val="1155CC"/>
            <w:sz w:val="20"/>
            <w:szCs w:val="20"/>
            <w:u w:val="single"/>
          </w:rPr>
          <w:t>https://doi.org/10.1093/jxb/ert208</w:t>
        </w:r>
      </w:hyperlink>
    </w:p>
    <w:p w:rsidR="0078054E" w:rsidRPr="000359A1" w:rsidRDefault="000359A1" w:rsidP="000359A1">
      <w:pPr>
        <w:pStyle w:val="ListParagraph"/>
        <w:numPr>
          <w:ilvl w:val="0"/>
          <w:numId w:val="2"/>
        </w:numPr>
        <w:spacing w:after="100" w:line="320" w:lineRule="auto"/>
        <w:jc w:val="both"/>
        <w:rPr>
          <w:sz w:val="20"/>
          <w:szCs w:val="20"/>
        </w:rPr>
      </w:pPr>
      <w:r w:rsidRPr="000359A1">
        <w:rPr>
          <w:sz w:val="20"/>
          <w:szCs w:val="20"/>
        </w:rPr>
        <w:t xml:space="preserve">Nair, S. K., &amp; George, T. E. (2023). Relationship between SPAD chlorophyll index and photosynthetic rate in </w:t>
      </w:r>
      <w:proofErr w:type="spellStart"/>
      <w:r w:rsidRPr="000359A1">
        <w:rPr>
          <w:sz w:val="20"/>
          <w:szCs w:val="20"/>
        </w:rPr>
        <w:t>coloured</w:t>
      </w:r>
      <w:proofErr w:type="spellEnd"/>
      <w:r w:rsidRPr="000359A1">
        <w:rPr>
          <w:sz w:val="20"/>
          <w:szCs w:val="20"/>
        </w:rPr>
        <w:t xml:space="preserve"> cauliflower genotypes under varying temperature regimes. </w:t>
      </w:r>
      <w:proofErr w:type="spellStart"/>
      <w:r w:rsidRPr="000359A1">
        <w:rPr>
          <w:i/>
          <w:iCs/>
          <w:sz w:val="20"/>
          <w:szCs w:val="20"/>
        </w:rPr>
        <w:t>Photosynthetica</w:t>
      </w:r>
      <w:proofErr w:type="spellEnd"/>
      <w:r w:rsidRPr="000359A1">
        <w:rPr>
          <w:i/>
          <w:iCs/>
          <w:sz w:val="20"/>
          <w:szCs w:val="20"/>
        </w:rPr>
        <w:t>, 61</w:t>
      </w:r>
      <w:r w:rsidRPr="000359A1">
        <w:rPr>
          <w:sz w:val="20"/>
          <w:szCs w:val="20"/>
        </w:rPr>
        <w:t>(2), 189–197.</w:t>
      </w:r>
    </w:p>
    <w:p w:rsidR="0078054E" w:rsidRPr="000359A1" w:rsidRDefault="000359A1" w:rsidP="000359A1">
      <w:pPr>
        <w:pStyle w:val="ListParagraph"/>
        <w:numPr>
          <w:ilvl w:val="0"/>
          <w:numId w:val="2"/>
        </w:numPr>
        <w:spacing w:after="100" w:line="320" w:lineRule="auto"/>
        <w:jc w:val="both"/>
        <w:rPr>
          <w:sz w:val="20"/>
          <w:szCs w:val="20"/>
        </w:rPr>
      </w:pPr>
      <w:r w:rsidRPr="000359A1">
        <w:rPr>
          <w:sz w:val="20"/>
          <w:szCs w:val="20"/>
        </w:rPr>
        <w:t xml:space="preserve">Pandey, S. K., &amp; Prakash, V. (2020). Leaf area dynamics and dry matter accumulation in cauliflower cultivars as influenced by planting geometry under sub-humid conditions. </w:t>
      </w:r>
      <w:r w:rsidRPr="000359A1">
        <w:rPr>
          <w:i/>
          <w:iCs/>
          <w:sz w:val="20"/>
          <w:szCs w:val="20"/>
        </w:rPr>
        <w:t>Indian Journal of Horticulture, 77</w:t>
      </w:r>
      <w:r w:rsidRPr="000359A1">
        <w:rPr>
          <w:sz w:val="20"/>
          <w:szCs w:val="20"/>
        </w:rPr>
        <w:t>(3), 489–495.</w:t>
      </w:r>
    </w:p>
    <w:p w:rsidR="0078054E" w:rsidRPr="000359A1" w:rsidRDefault="000359A1" w:rsidP="000359A1">
      <w:pPr>
        <w:pStyle w:val="ListParagraph"/>
        <w:numPr>
          <w:ilvl w:val="0"/>
          <w:numId w:val="2"/>
        </w:numPr>
        <w:spacing w:after="100" w:line="320" w:lineRule="auto"/>
        <w:jc w:val="both"/>
        <w:rPr>
          <w:sz w:val="20"/>
          <w:szCs w:val="20"/>
        </w:rPr>
      </w:pPr>
      <w:r w:rsidRPr="000359A1">
        <w:rPr>
          <w:sz w:val="20"/>
          <w:szCs w:val="20"/>
        </w:rPr>
        <w:t xml:space="preserve">Padilla, G., </w:t>
      </w:r>
      <w:proofErr w:type="spellStart"/>
      <w:r w:rsidRPr="000359A1">
        <w:rPr>
          <w:sz w:val="20"/>
          <w:szCs w:val="20"/>
        </w:rPr>
        <w:t>Cartea</w:t>
      </w:r>
      <w:proofErr w:type="spellEnd"/>
      <w:r w:rsidRPr="000359A1">
        <w:rPr>
          <w:sz w:val="20"/>
          <w:szCs w:val="20"/>
        </w:rPr>
        <w:t xml:space="preserve">, M. E., Velasco, P., de </w:t>
      </w:r>
      <w:proofErr w:type="spellStart"/>
      <w:r w:rsidRPr="000359A1">
        <w:rPr>
          <w:sz w:val="20"/>
          <w:szCs w:val="20"/>
        </w:rPr>
        <w:t>Haro</w:t>
      </w:r>
      <w:proofErr w:type="spellEnd"/>
      <w:r w:rsidRPr="000359A1">
        <w:rPr>
          <w:sz w:val="20"/>
          <w:szCs w:val="20"/>
        </w:rPr>
        <w:t xml:space="preserve">, A., &amp; </w:t>
      </w:r>
      <w:proofErr w:type="spellStart"/>
      <w:r w:rsidRPr="000359A1">
        <w:rPr>
          <w:sz w:val="20"/>
          <w:szCs w:val="20"/>
        </w:rPr>
        <w:t>Ordás</w:t>
      </w:r>
      <w:proofErr w:type="spellEnd"/>
      <w:r w:rsidRPr="000359A1">
        <w:rPr>
          <w:sz w:val="20"/>
          <w:szCs w:val="20"/>
        </w:rPr>
        <w:t xml:space="preserve">, A. (2007). Variation of </w:t>
      </w:r>
      <w:proofErr w:type="spellStart"/>
      <w:r w:rsidRPr="000359A1">
        <w:rPr>
          <w:sz w:val="20"/>
          <w:szCs w:val="20"/>
        </w:rPr>
        <w:t>glucosinolates</w:t>
      </w:r>
      <w:proofErr w:type="spellEnd"/>
      <w:r w:rsidRPr="000359A1">
        <w:rPr>
          <w:sz w:val="20"/>
          <w:szCs w:val="20"/>
        </w:rPr>
        <w:t xml:space="preserve"> in vegetable crops of Brassica </w:t>
      </w:r>
      <w:proofErr w:type="spellStart"/>
      <w:r w:rsidRPr="000359A1">
        <w:rPr>
          <w:sz w:val="20"/>
          <w:szCs w:val="20"/>
        </w:rPr>
        <w:t>rapa</w:t>
      </w:r>
      <w:proofErr w:type="spellEnd"/>
      <w:r w:rsidRPr="000359A1">
        <w:rPr>
          <w:sz w:val="20"/>
          <w:szCs w:val="20"/>
        </w:rPr>
        <w:t xml:space="preserve">. </w:t>
      </w:r>
      <w:r w:rsidRPr="000359A1">
        <w:rPr>
          <w:i/>
          <w:iCs/>
          <w:sz w:val="20"/>
          <w:szCs w:val="20"/>
        </w:rPr>
        <w:t>Phytochemistry, 68</w:t>
      </w:r>
      <w:r w:rsidRPr="000359A1">
        <w:rPr>
          <w:sz w:val="20"/>
          <w:szCs w:val="20"/>
        </w:rPr>
        <w:t>(4), 536–545.</w:t>
      </w:r>
      <w:hyperlink r:id="rId18">
        <w:r w:rsidRPr="000359A1">
          <w:rPr>
            <w:sz w:val="20"/>
            <w:szCs w:val="20"/>
          </w:rPr>
          <w:t xml:space="preserve"> </w:t>
        </w:r>
      </w:hyperlink>
      <w:hyperlink r:id="rId19">
        <w:r w:rsidRPr="000359A1">
          <w:rPr>
            <w:color w:val="1155CC"/>
            <w:sz w:val="20"/>
            <w:szCs w:val="20"/>
            <w:u w:val="single"/>
          </w:rPr>
          <w:t>https://doi.org/10.1016/j.phytochem.2006.11.017</w:t>
        </w:r>
      </w:hyperlink>
    </w:p>
    <w:p w:rsidR="0078054E" w:rsidRPr="000359A1" w:rsidRDefault="000359A1" w:rsidP="000359A1">
      <w:pPr>
        <w:pStyle w:val="ListParagraph"/>
        <w:numPr>
          <w:ilvl w:val="0"/>
          <w:numId w:val="2"/>
        </w:numPr>
        <w:spacing w:after="100" w:line="320" w:lineRule="auto"/>
        <w:jc w:val="both"/>
        <w:rPr>
          <w:sz w:val="20"/>
          <w:szCs w:val="20"/>
        </w:rPr>
      </w:pPr>
      <w:r w:rsidRPr="000359A1">
        <w:rPr>
          <w:sz w:val="20"/>
          <w:szCs w:val="20"/>
        </w:rPr>
        <w:t xml:space="preserve">Poornima, G., &amp; Bhatt, R. M. (2021). Anthocyanin and carotenoid dynamics in pigmented Brassica vegetables under subtropical field conditions. </w:t>
      </w:r>
      <w:r w:rsidRPr="000359A1">
        <w:rPr>
          <w:i/>
          <w:iCs/>
          <w:sz w:val="20"/>
          <w:szCs w:val="20"/>
        </w:rPr>
        <w:t xml:space="preserve">Scientia </w:t>
      </w:r>
      <w:proofErr w:type="spellStart"/>
      <w:r w:rsidRPr="000359A1">
        <w:rPr>
          <w:i/>
          <w:iCs/>
          <w:sz w:val="20"/>
          <w:szCs w:val="20"/>
        </w:rPr>
        <w:t>Horticulturae</w:t>
      </w:r>
      <w:proofErr w:type="spellEnd"/>
      <w:r w:rsidRPr="000359A1">
        <w:rPr>
          <w:i/>
          <w:iCs/>
          <w:sz w:val="20"/>
          <w:szCs w:val="20"/>
        </w:rPr>
        <w:t>, 276</w:t>
      </w:r>
      <w:r w:rsidRPr="000359A1">
        <w:rPr>
          <w:sz w:val="20"/>
          <w:szCs w:val="20"/>
        </w:rPr>
        <w:t>, 109752.</w:t>
      </w:r>
    </w:p>
    <w:p w:rsidR="0078054E" w:rsidRPr="000359A1" w:rsidRDefault="000359A1" w:rsidP="000359A1">
      <w:pPr>
        <w:pStyle w:val="ListParagraph"/>
        <w:numPr>
          <w:ilvl w:val="0"/>
          <w:numId w:val="2"/>
        </w:numPr>
        <w:spacing w:after="100" w:line="320" w:lineRule="auto"/>
        <w:jc w:val="both"/>
        <w:rPr>
          <w:sz w:val="20"/>
          <w:szCs w:val="20"/>
        </w:rPr>
      </w:pPr>
      <w:r w:rsidRPr="000359A1">
        <w:rPr>
          <w:sz w:val="20"/>
          <w:szCs w:val="20"/>
        </w:rPr>
        <w:t xml:space="preserve">Poor, P., Nawaz, K., &amp; Tari, I. (2021). Leaf area index and its relationship with crop biomass accumulation in Brassica vegetables: A review of recent findings. </w:t>
      </w:r>
      <w:r w:rsidRPr="000359A1">
        <w:rPr>
          <w:i/>
          <w:iCs/>
          <w:sz w:val="20"/>
          <w:szCs w:val="20"/>
        </w:rPr>
        <w:t>Plant Growth Regulation, 93</w:t>
      </w:r>
      <w:r w:rsidRPr="000359A1">
        <w:rPr>
          <w:sz w:val="20"/>
          <w:szCs w:val="20"/>
        </w:rPr>
        <w:t>(2), 175–189.</w:t>
      </w:r>
      <w:hyperlink r:id="rId20">
        <w:r w:rsidRPr="000359A1">
          <w:rPr>
            <w:sz w:val="20"/>
            <w:szCs w:val="20"/>
          </w:rPr>
          <w:t xml:space="preserve"> </w:t>
        </w:r>
      </w:hyperlink>
      <w:hyperlink r:id="rId21">
        <w:r w:rsidRPr="000359A1">
          <w:rPr>
            <w:color w:val="1155CC"/>
            <w:sz w:val="20"/>
            <w:szCs w:val="20"/>
            <w:u w:val="single"/>
          </w:rPr>
          <w:t>https://doi.org/10.1007/s10725-020-00678-2</w:t>
        </w:r>
      </w:hyperlink>
    </w:p>
    <w:p w:rsidR="0078054E" w:rsidRPr="000359A1" w:rsidRDefault="000359A1" w:rsidP="000359A1">
      <w:pPr>
        <w:pStyle w:val="ListParagraph"/>
        <w:numPr>
          <w:ilvl w:val="0"/>
          <w:numId w:val="2"/>
        </w:numPr>
        <w:spacing w:after="100" w:line="320" w:lineRule="auto"/>
        <w:jc w:val="both"/>
        <w:rPr>
          <w:sz w:val="20"/>
          <w:szCs w:val="20"/>
        </w:rPr>
      </w:pPr>
      <w:proofErr w:type="spellStart"/>
      <w:r w:rsidRPr="000359A1">
        <w:rPr>
          <w:sz w:val="20"/>
          <w:szCs w:val="20"/>
        </w:rPr>
        <w:t>Sarlikioti</w:t>
      </w:r>
      <w:proofErr w:type="spellEnd"/>
      <w:r w:rsidRPr="000359A1">
        <w:rPr>
          <w:sz w:val="20"/>
          <w:szCs w:val="20"/>
        </w:rPr>
        <w:t>, V., de Visser, P. H. B., Buck-</w:t>
      </w:r>
      <w:proofErr w:type="spellStart"/>
      <w:r w:rsidRPr="000359A1">
        <w:rPr>
          <w:sz w:val="20"/>
          <w:szCs w:val="20"/>
        </w:rPr>
        <w:t>Sorlin</w:t>
      </w:r>
      <w:proofErr w:type="spellEnd"/>
      <w:r w:rsidRPr="000359A1">
        <w:rPr>
          <w:sz w:val="20"/>
          <w:szCs w:val="20"/>
        </w:rPr>
        <w:t xml:space="preserve">, G. H., &amp; </w:t>
      </w:r>
      <w:proofErr w:type="spellStart"/>
      <w:r w:rsidRPr="000359A1">
        <w:rPr>
          <w:sz w:val="20"/>
          <w:szCs w:val="20"/>
        </w:rPr>
        <w:t>Marcelis</w:t>
      </w:r>
      <w:proofErr w:type="spellEnd"/>
      <w:r w:rsidRPr="000359A1">
        <w:rPr>
          <w:sz w:val="20"/>
          <w:szCs w:val="20"/>
        </w:rPr>
        <w:t xml:space="preserve">, L. F. M. (2011). How plant architecture affects light absorption and photosynthesis in tomato: Towards an ideotype for plant architecture using a functional-structural plant model. </w:t>
      </w:r>
      <w:r w:rsidRPr="000359A1">
        <w:rPr>
          <w:i/>
          <w:iCs/>
          <w:sz w:val="20"/>
          <w:szCs w:val="20"/>
        </w:rPr>
        <w:t>Annals of Botany, 108</w:t>
      </w:r>
      <w:r w:rsidRPr="000359A1">
        <w:rPr>
          <w:sz w:val="20"/>
          <w:szCs w:val="20"/>
        </w:rPr>
        <w:t>(6), 1065–1073.</w:t>
      </w:r>
      <w:hyperlink r:id="rId22">
        <w:r w:rsidRPr="000359A1">
          <w:rPr>
            <w:sz w:val="20"/>
            <w:szCs w:val="20"/>
          </w:rPr>
          <w:t xml:space="preserve"> </w:t>
        </w:r>
      </w:hyperlink>
      <w:hyperlink r:id="rId23">
        <w:r w:rsidRPr="000359A1">
          <w:rPr>
            <w:color w:val="1155CC"/>
            <w:sz w:val="20"/>
            <w:szCs w:val="20"/>
            <w:u w:val="single"/>
          </w:rPr>
          <w:t>https://doi.org/10.1093/aob/mcr221</w:t>
        </w:r>
      </w:hyperlink>
    </w:p>
    <w:p w:rsidR="0078054E" w:rsidRPr="000359A1" w:rsidRDefault="000359A1" w:rsidP="000359A1">
      <w:pPr>
        <w:pStyle w:val="ListParagraph"/>
        <w:numPr>
          <w:ilvl w:val="0"/>
          <w:numId w:val="2"/>
        </w:numPr>
        <w:spacing w:after="100" w:line="320" w:lineRule="auto"/>
        <w:jc w:val="both"/>
        <w:rPr>
          <w:sz w:val="20"/>
          <w:szCs w:val="20"/>
        </w:rPr>
      </w:pPr>
      <w:r w:rsidRPr="000359A1">
        <w:rPr>
          <w:sz w:val="20"/>
          <w:szCs w:val="20"/>
        </w:rPr>
        <w:t xml:space="preserve">Tiwari, R. S., &amp; Agrawal, H. O. (2016). Evaluation of cauliflower genotypes for growth, yield and quality under Allahabad </w:t>
      </w:r>
      <w:proofErr w:type="spellStart"/>
      <w:r w:rsidRPr="000359A1">
        <w:rPr>
          <w:sz w:val="20"/>
          <w:szCs w:val="20"/>
        </w:rPr>
        <w:t>agro</w:t>
      </w:r>
      <w:proofErr w:type="spellEnd"/>
      <w:r w:rsidRPr="000359A1">
        <w:rPr>
          <w:sz w:val="20"/>
          <w:szCs w:val="20"/>
        </w:rPr>
        <w:t xml:space="preserve">-climatic conditions. </w:t>
      </w:r>
      <w:r w:rsidRPr="000359A1">
        <w:rPr>
          <w:i/>
          <w:iCs/>
          <w:sz w:val="20"/>
          <w:szCs w:val="20"/>
        </w:rPr>
        <w:t>Progressive Horticulture, 48</w:t>
      </w:r>
      <w:r w:rsidRPr="000359A1">
        <w:rPr>
          <w:sz w:val="20"/>
          <w:szCs w:val="20"/>
        </w:rPr>
        <w:t>(1), 56–61.</w:t>
      </w:r>
    </w:p>
    <w:p w:rsidR="0078054E" w:rsidRPr="000359A1" w:rsidRDefault="000359A1" w:rsidP="000359A1">
      <w:pPr>
        <w:pStyle w:val="ListParagraph"/>
        <w:numPr>
          <w:ilvl w:val="0"/>
          <w:numId w:val="2"/>
        </w:numPr>
        <w:spacing w:after="100" w:line="320" w:lineRule="auto"/>
        <w:jc w:val="both"/>
        <w:rPr>
          <w:sz w:val="20"/>
          <w:szCs w:val="20"/>
        </w:rPr>
      </w:pPr>
      <w:r w:rsidRPr="000359A1">
        <w:rPr>
          <w:sz w:val="20"/>
          <w:szCs w:val="20"/>
        </w:rPr>
        <w:lastRenderedPageBreak/>
        <w:t xml:space="preserve">Tripathi, S., Verma, A., &amp; Singh, R. P. (2022). Genotypic variation in canopy architecture and its relationship with biological yield in Brassica oleracea cultivars. </w:t>
      </w:r>
      <w:r w:rsidRPr="000359A1">
        <w:rPr>
          <w:i/>
          <w:iCs/>
          <w:sz w:val="20"/>
          <w:szCs w:val="20"/>
        </w:rPr>
        <w:t>Vegetable Science, 49</w:t>
      </w:r>
      <w:r w:rsidRPr="000359A1">
        <w:rPr>
          <w:sz w:val="20"/>
          <w:szCs w:val="20"/>
        </w:rPr>
        <w:t>(1), 22–29.</w:t>
      </w:r>
    </w:p>
    <w:p w:rsidR="0078054E" w:rsidRPr="000359A1" w:rsidRDefault="000359A1" w:rsidP="000359A1">
      <w:pPr>
        <w:pStyle w:val="ListParagraph"/>
        <w:numPr>
          <w:ilvl w:val="0"/>
          <w:numId w:val="2"/>
        </w:numPr>
        <w:spacing w:after="100" w:line="320" w:lineRule="auto"/>
        <w:jc w:val="both"/>
        <w:rPr>
          <w:sz w:val="20"/>
          <w:szCs w:val="20"/>
        </w:rPr>
      </w:pPr>
      <w:proofErr w:type="spellStart"/>
      <w:r w:rsidRPr="000359A1">
        <w:rPr>
          <w:sz w:val="20"/>
          <w:szCs w:val="20"/>
        </w:rPr>
        <w:t>Uddling</w:t>
      </w:r>
      <w:proofErr w:type="spellEnd"/>
      <w:r w:rsidRPr="000359A1">
        <w:rPr>
          <w:sz w:val="20"/>
          <w:szCs w:val="20"/>
        </w:rPr>
        <w:t xml:space="preserve">, J., </w:t>
      </w:r>
      <w:proofErr w:type="spellStart"/>
      <w:r w:rsidRPr="000359A1">
        <w:rPr>
          <w:sz w:val="20"/>
          <w:szCs w:val="20"/>
        </w:rPr>
        <w:t>Gelang</w:t>
      </w:r>
      <w:proofErr w:type="spellEnd"/>
      <w:r w:rsidRPr="000359A1">
        <w:rPr>
          <w:sz w:val="20"/>
          <w:szCs w:val="20"/>
        </w:rPr>
        <w:t xml:space="preserve">-Alfredsson, J., </w:t>
      </w:r>
      <w:proofErr w:type="spellStart"/>
      <w:r w:rsidRPr="000359A1">
        <w:rPr>
          <w:sz w:val="20"/>
          <w:szCs w:val="20"/>
        </w:rPr>
        <w:t>Piikki</w:t>
      </w:r>
      <w:proofErr w:type="spellEnd"/>
      <w:r w:rsidRPr="000359A1">
        <w:rPr>
          <w:sz w:val="20"/>
          <w:szCs w:val="20"/>
        </w:rPr>
        <w:t xml:space="preserve">, K., &amp; </w:t>
      </w:r>
      <w:proofErr w:type="spellStart"/>
      <w:r w:rsidRPr="000359A1">
        <w:rPr>
          <w:sz w:val="20"/>
          <w:szCs w:val="20"/>
        </w:rPr>
        <w:t>Pleijel</w:t>
      </w:r>
      <w:proofErr w:type="spellEnd"/>
      <w:r w:rsidRPr="000359A1">
        <w:rPr>
          <w:sz w:val="20"/>
          <w:szCs w:val="20"/>
        </w:rPr>
        <w:t xml:space="preserve">, H. (2007). Evaluating the relationship between leaf chlorophyll concentration and SPAD-502 chlorophyll meter readings. </w:t>
      </w:r>
      <w:r w:rsidRPr="000359A1">
        <w:rPr>
          <w:i/>
          <w:iCs/>
          <w:sz w:val="20"/>
          <w:szCs w:val="20"/>
        </w:rPr>
        <w:t>Photosynthesis Research, 91</w:t>
      </w:r>
      <w:r w:rsidRPr="000359A1">
        <w:rPr>
          <w:sz w:val="20"/>
          <w:szCs w:val="20"/>
        </w:rPr>
        <w:t>(1), 37–46.</w:t>
      </w:r>
      <w:hyperlink r:id="rId24">
        <w:r w:rsidRPr="000359A1">
          <w:rPr>
            <w:sz w:val="20"/>
            <w:szCs w:val="20"/>
          </w:rPr>
          <w:t xml:space="preserve"> </w:t>
        </w:r>
      </w:hyperlink>
      <w:hyperlink r:id="rId25">
        <w:r w:rsidRPr="000359A1">
          <w:rPr>
            <w:color w:val="1155CC"/>
            <w:sz w:val="20"/>
            <w:szCs w:val="20"/>
            <w:u w:val="single"/>
          </w:rPr>
          <w:t>https://doi.org/10.1007/s11120-006-9077-5</w:t>
        </w:r>
      </w:hyperlink>
    </w:p>
    <w:p w:rsidR="0078054E" w:rsidRDefault="000359A1" w:rsidP="000359A1">
      <w:pPr>
        <w:pStyle w:val="ListParagraph"/>
        <w:numPr>
          <w:ilvl w:val="0"/>
          <w:numId w:val="2"/>
        </w:numPr>
        <w:spacing w:after="100" w:line="320" w:lineRule="auto"/>
        <w:jc w:val="both"/>
      </w:pPr>
      <w:r w:rsidRPr="000359A1">
        <w:rPr>
          <w:sz w:val="20"/>
          <w:szCs w:val="20"/>
        </w:rPr>
        <w:t xml:space="preserve">Ram, H., </w:t>
      </w:r>
      <w:proofErr w:type="spellStart"/>
      <w:r w:rsidRPr="000359A1">
        <w:rPr>
          <w:sz w:val="20"/>
          <w:szCs w:val="20"/>
        </w:rPr>
        <w:t>Sureja</w:t>
      </w:r>
      <w:proofErr w:type="spellEnd"/>
      <w:r w:rsidRPr="000359A1">
        <w:rPr>
          <w:sz w:val="20"/>
          <w:szCs w:val="20"/>
        </w:rPr>
        <w:t xml:space="preserve">, A. K., Krishnan, S. G., Dey, S. S., &amp; </w:t>
      </w:r>
      <w:proofErr w:type="spellStart"/>
      <w:r w:rsidRPr="000359A1">
        <w:rPr>
          <w:sz w:val="20"/>
          <w:szCs w:val="20"/>
        </w:rPr>
        <w:t>Tomar</w:t>
      </w:r>
      <w:proofErr w:type="spellEnd"/>
      <w:r w:rsidRPr="000359A1">
        <w:rPr>
          <w:sz w:val="20"/>
          <w:szCs w:val="20"/>
        </w:rPr>
        <w:t>, B. S. (2016). Diversity analysis in snowball cauliflower (Brassica oleracea var. botrytis) using microsatellite markers. Indian Journal of Agricultural Sciences, 86, 1299–1304.</w:t>
      </w:r>
    </w:p>
    <w:p w:rsidR="0078054E" w:rsidRDefault="000359A1" w:rsidP="000359A1">
      <w:pPr>
        <w:pStyle w:val="ListParagraph"/>
        <w:numPr>
          <w:ilvl w:val="0"/>
          <w:numId w:val="2"/>
        </w:numPr>
        <w:spacing w:after="100" w:line="320" w:lineRule="auto"/>
        <w:jc w:val="both"/>
      </w:pPr>
      <w:r w:rsidRPr="000359A1">
        <w:rPr>
          <w:sz w:val="20"/>
          <w:szCs w:val="20"/>
        </w:rPr>
        <w:t>Sharma, S., Singh, Y., &amp; Sharma, S. (2018). Studies on mean performance for yield and its contributing traits in cauliflower (Brassica oleracea var. botrytis L.) under mid-hill conditions of north-western Himalayas. International Journal of Current Microbiology and Applied Sciences, 7, 3288–3296.</w:t>
      </w:r>
    </w:p>
    <w:p w:rsidR="0078054E" w:rsidRDefault="000359A1" w:rsidP="000359A1">
      <w:pPr>
        <w:pStyle w:val="ListParagraph"/>
        <w:numPr>
          <w:ilvl w:val="0"/>
          <w:numId w:val="2"/>
        </w:numPr>
        <w:spacing w:after="100" w:line="320" w:lineRule="auto"/>
        <w:jc w:val="both"/>
      </w:pPr>
      <w:r w:rsidRPr="000359A1">
        <w:rPr>
          <w:sz w:val="20"/>
          <w:szCs w:val="20"/>
        </w:rPr>
        <w:t xml:space="preserve">Sharma, S. R., Singh, P. K., </w:t>
      </w:r>
      <w:proofErr w:type="spellStart"/>
      <w:r w:rsidRPr="000359A1">
        <w:rPr>
          <w:sz w:val="20"/>
          <w:szCs w:val="20"/>
        </w:rPr>
        <w:t>Chable</w:t>
      </w:r>
      <w:proofErr w:type="spellEnd"/>
      <w:r w:rsidRPr="000359A1">
        <w:rPr>
          <w:sz w:val="20"/>
          <w:szCs w:val="20"/>
        </w:rPr>
        <w:t>, V., &amp; Tripathi, S. K. (2005). A review of hybrid cauliflower development. Journal of New Seeds, 6, 151–193.</w:t>
      </w:r>
    </w:p>
    <w:p w:rsidR="0078054E" w:rsidRDefault="000359A1" w:rsidP="000359A1">
      <w:pPr>
        <w:pStyle w:val="ListParagraph"/>
        <w:numPr>
          <w:ilvl w:val="0"/>
          <w:numId w:val="2"/>
        </w:numPr>
        <w:spacing w:after="100" w:line="320" w:lineRule="auto"/>
        <w:jc w:val="both"/>
      </w:pPr>
      <w:r w:rsidRPr="000359A1">
        <w:rPr>
          <w:sz w:val="20"/>
          <w:szCs w:val="20"/>
        </w:rPr>
        <w:t xml:space="preserve">Singh, B., </w:t>
      </w:r>
      <w:proofErr w:type="spellStart"/>
      <w:r w:rsidRPr="000359A1">
        <w:rPr>
          <w:sz w:val="20"/>
          <w:szCs w:val="20"/>
        </w:rPr>
        <w:t>Chaubey</w:t>
      </w:r>
      <w:proofErr w:type="spellEnd"/>
      <w:r w:rsidRPr="000359A1">
        <w:rPr>
          <w:sz w:val="20"/>
          <w:szCs w:val="20"/>
        </w:rPr>
        <w:t>, T., Jha, A., Upadhyay, D. K., &amp; Pandey, S. D. (2013). Morphological characterization of cauliflower varieties/cultivars using DUS characters. SAARC Journal of Agriculture, 11(2), 183–191. https://doi.org/10.3329/sja.v11i2.18413</w:t>
      </w:r>
    </w:p>
    <w:p w:rsidR="0078054E" w:rsidRDefault="000359A1" w:rsidP="000359A1">
      <w:pPr>
        <w:pStyle w:val="ListParagraph"/>
        <w:numPr>
          <w:ilvl w:val="0"/>
          <w:numId w:val="2"/>
        </w:numPr>
        <w:spacing w:after="100" w:line="320" w:lineRule="auto"/>
        <w:jc w:val="both"/>
      </w:pPr>
      <w:r w:rsidRPr="000359A1">
        <w:rPr>
          <w:sz w:val="20"/>
          <w:szCs w:val="20"/>
        </w:rPr>
        <w:t>Singh, N. (1998). Nutritional value of cauliflower curd. In Vegetable crops production guide (pp. 112–115). ICAR Press.</w:t>
      </w:r>
    </w:p>
    <w:p w:rsidR="0078054E" w:rsidRPr="000359A1" w:rsidRDefault="000359A1" w:rsidP="000359A1">
      <w:pPr>
        <w:pStyle w:val="ListParagraph"/>
        <w:numPr>
          <w:ilvl w:val="0"/>
          <w:numId w:val="2"/>
        </w:numPr>
        <w:spacing w:after="100" w:line="320" w:lineRule="auto"/>
        <w:jc w:val="both"/>
        <w:rPr>
          <w:sz w:val="20"/>
          <w:szCs w:val="20"/>
        </w:rPr>
      </w:pPr>
      <w:r w:rsidRPr="000359A1">
        <w:rPr>
          <w:sz w:val="20"/>
          <w:szCs w:val="20"/>
        </w:rPr>
        <w:t xml:space="preserve">Singh, R., &amp; Sharma, S. R. (2001). Cole crops. In S. </w:t>
      </w:r>
      <w:proofErr w:type="spellStart"/>
      <w:r w:rsidRPr="000359A1">
        <w:rPr>
          <w:sz w:val="20"/>
          <w:szCs w:val="20"/>
        </w:rPr>
        <w:t>Thamburaj</w:t>
      </w:r>
      <w:proofErr w:type="spellEnd"/>
      <w:r w:rsidRPr="000359A1">
        <w:rPr>
          <w:sz w:val="20"/>
          <w:szCs w:val="20"/>
        </w:rPr>
        <w:t xml:space="preserve"> &amp; N. Singh (Eds.), Textbook of vegetables, tuber crops and spices (pp. 76–146). ICAR.</w:t>
      </w:r>
    </w:p>
    <w:p w:rsidR="0078054E" w:rsidRPr="000359A1" w:rsidRDefault="000359A1" w:rsidP="000359A1">
      <w:pPr>
        <w:pStyle w:val="ListParagraph"/>
        <w:numPr>
          <w:ilvl w:val="0"/>
          <w:numId w:val="2"/>
        </w:numPr>
        <w:spacing w:after="100" w:line="320" w:lineRule="auto"/>
        <w:jc w:val="both"/>
        <w:rPr>
          <w:sz w:val="20"/>
          <w:szCs w:val="20"/>
        </w:rPr>
      </w:pPr>
      <w:r w:rsidRPr="000359A1">
        <w:rPr>
          <w:sz w:val="20"/>
          <w:szCs w:val="20"/>
        </w:rPr>
        <w:t xml:space="preserve">Yadav, P., Tiwari, J. K., &amp; Kumar, R. (2021). SPAD-based chlorophyll estimation as a non-destructive tool for predicting biomass and yield potential in </w:t>
      </w:r>
      <w:proofErr w:type="spellStart"/>
      <w:r w:rsidRPr="000359A1">
        <w:rPr>
          <w:sz w:val="20"/>
          <w:szCs w:val="20"/>
        </w:rPr>
        <w:t>cole</w:t>
      </w:r>
      <w:proofErr w:type="spellEnd"/>
      <w:r w:rsidRPr="000359A1">
        <w:rPr>
          <w:sz w:val="20"/>
          <w:szCs w:val="20"/>
        </w:rPr>
        <w:t xml:space="preserve"> crops. </w:t>
      </w:r>
      <w:r w:rsidRPr="000359A1">
        <w:rPr>
          <w:i/>
          <w:iCs/>
          <w:sz w:val="20"/>
          <w:szCs w:val="20"/>
        </w:rPr>
        <w:t>Indian Journal of Plant Physiology, 26</w:t>
      </w:r>
      <w:r w:rsidRPr="000359A1">
        <w:rPr>
          <w:sz w:val="20"/>
          <w:szCs w:val="20"/>
        </w:rPr>
        <w:t>(3), 410–418.</w:t>
      </w:r>
    </w:p>
    <w:p w:rsidR="0078054E" w:rsidRPr="000359A1" w:rsidRDefault="000359A1" w:rsidP="000359A1">
      <w:pPr>
        <w:pStyle w:val="ListParagraph"/>
        <w:numPr>
          <w:ilvl w:val="0"/>
          <w:numId w:val="2"/>
        </w:numPr>
        <w:spacing w:after="100" w:line="320" w:lineRule="auto"/>
        <w:jc w:val="both"/>
        <w:rPr>
          <w:sz w:val="20"/>
          <w:szCs w:val="20"/>
        </w:rPr>
      </w:pPr>
      <w:r w:rsidRPr="000359A1">
        <w:rPr>
          <w:sz w:val="20"/>
          <w:szCs w:val="20"/>
        </w:rPr>
        <w:t xml:space="preserve">Zhu, S., Zhang, X., Liu, Q., Luo, T., Tang, Z., &amp; Zhou, Y. (2018). The genetic diversity and relationships of cauliflower (Brassica oleracea var. botrytis) inbred lines assessed by using SSR markers. PLOS ONE, 13, e0208551. </w:t>
      </w:r>
      <w:hyperlink r:id="rId26">
        <w:r w:rsidRPr="000359A1">
          <w:rPr>
            <w:color w:val="1155CC"/>
            <w:sz w:val="20"/>
            <w:szCs w:val="20"/>
            <w:u w:val="single"/>
          </w:rPr>
          <w:t>https://doi.org/10.1371/journal.pone.0208551</w:t>
        </w:r>
      </w:hyperlink>
    </w:p>
    <w:p w:rsidR="0078054E" w:rsidRDefault="0078054E">
      <w:pPr>
        <w:spacing w:after="100" w:line="320" w:lineRule="auto"/>
        <w:ind w:left="720" w:hanging="720"/>
        <w:jc w:val="both"/>
        <w:rPr>
          <w:sz w:val="20"/>
          <w:szCs w:val="20"/>
        </w:rPr>
      </w:pPr>
    </w:p>
    <w:p w:rsidR="0078054E" w:rsidRDefault="0078054E">
      <w:pPr>
        <w:spacing w:after="100" w:line="320" w:lineRule="auto"/>
        <w:ind w:left="720" w:hanging="720"/>
        <w:jc w:val="both"/>
        <w:rPr>
          <w:sz w:val="20"/>
          <w:szCs w:val="20"/>
        </w:rPr>
      </w:pPr>
    </w:p>
    <w:p w:rsidR="0078054E" w:rsidRDefault="0078054E">
      <w:pPr>
        <w:spacing w:after="100" w:line="320" w:lineRule="auto"/>
        <w:ind w:left="720" w:hanging="720"/>
        <w:jc w:val="both"/>
        <w:rPr>
          <w:sz w:val="20"/>
          <w:szCs w:val="20"/>
        </w:rPr>
      </w:pPr>
    </w:p>
    <w:p w:rsidR="0078054E" w:rsidRDefault="0078054E">
      <w:pPr>
        <w:spacing w:after="100" w:line="320" w:lineRule="auto"/>
        <w:jc w:val="both"/>
        <w:rPr>
          <w:sz w:val="20"/>
          <w:szCs w:val="20"/>
        </w:rPr>
      </w:pPr>
    </w:p>
    <w:sectPr w:rsidR="0078054E">
      <w:pgSz w:w="12240" w:h="15840"/>
      <w:pgMar w:top="1440" w:right="1080" w:bottom="1440" w:left="1080"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25FC087C-60CA-46C2-88F8-C0DC072865A3}"/>
  </w:font>
  <w:font w:name="Calibri">
    <w:panose1 w:val="020F0502020204030204"/>
    <w:charset w:val="00"/>
    <w:family w:val="swiss"/>
    <w:pitch w:val="variable"/>
    <w:sig w:usb0="E4002EFF" w:usb1="C200247B" w:usb2="00000009" w:usb3="00000000" w:csb0="000001FF" w:csb1="00000000"/>
    <w:embedRegular r:id="rId2" w:fontKey="{4E693AA8-F37A-4591-859D-07B9284E44A5}"/>
  </w:font>
  <w:font w:name="Cambria">
    <w:panose1 w:val="02040503050406030204"/>
    <w:charset w:val="00"/>
    <w:family w:val="roman"/>
    <w:pitch w:val="variable"/>
    <w:sig w:usb0="E00006FF" w:usb1="420024FF" w:usb2="02000000" w:usb3="00000000" w:csb0="0000019F" w:csb1="00000000"/>
    <w:embedRegular r:id="rId3" w:fontKey="{E57B65E1-D0F6-42E9-A03B-C05180873C3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4875CE"/>
    <w:multiLevelType w:val="multilevel"/>
    <w:tmpl w:val="78AA75E0"/>
    <w:lvl w:ilvl="0">
      <w:start w:val="1"/>
      <w:numFmt w:val="bullet"/>
      <w:lvlText w:val="•"/>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381530B0"/>
    <w:multiLevelType w:val="hybridMultilevel"/>
    <w:tmpl w:val="08621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jIwMDQ3NjY2N7Q0NLNU0lEKTi0uzszPAykwrgUAevX6wiwAAAA="/>
  </w:docVars>
  <w:rsids>
    <w:rsidRoot w:val="0078054E"/>
    <w:rsid w:val="000359A1"/>
    <w:rsid w:val="00085425"/>
    <w:rsid w:val="000E49FA"/>
    <w:rsid w:val="00142782"/>
    <w:rsid w:val="00161E1A"/>
    <w:rsid w:val="002064A1"/>
    <w:rsid w:val="003456A1"/>
    <w:rsid w:val="003602CE"/>
    <w:rsid w:val="003A0B8B"/>
    <w:rsid w:val="00587E05"/>
    <w:rsid w:val="005A5709"/>
    <w:rsid w:val="006D0FDD"/>
    <w:rsid w:val="006D2043"/>
    <w:rsid w:val="0078054E"/>
    <w:rsid w:val="007D1A98"/>
    <w:rsid w:val="009A2F0F"/>
    <w:rsid w:val="00C41B0B"/>
    <w:rsid w:val="00DC7FED"/>
    <w:rsid w:val="00E32F5B"/>
    <w:rsid w:val="00E46EF4"/>
    <w:rsid w:val="00F94D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456814"/>
  <w15:docId w15:val="{988CEE86-692D-466E-BB4D-D4B61DFB7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120"/>
      <w:outlineLvl w:val="0"/>
    </w:pPr>
    <w:rPr>
      <w:b/>
      <w:bCs/>
      <w:color w:val="000000"/>
      <w:sz w:val="24"/>
      <w:szCs w:val="24"/>
    </w:rPr>
  </w:style>
  <w:style w:type="paragraph" w:styleId="Heading2">
    <w:name w:val="heading 2"/>
    <w:basedOn w:val="Normal"/>
    <w:next w:val="Normal"/>
    <w:uiPriority w:val="9"/>
    <w:unhideWhenUsed/>
    <w:qFormat/>
    <w:pPr>
      <w:pBdr>
        <w:top w:val="nil"/>
        <w:left w:val="nil"/>
        <w:bottom w:val="nil"/>
        <w:right w:val="nil"/>
        <w:between w:val="nil"/>
      </w:pBdr>
      <w:spacing w:before="180" w:after="80"/>
      <w:outlineLvl w:val="1"/>
    </w:pPr>
    <w:rPr>
      <w:b/>
      <w:bCs/>
      <w:color w:val="000000"/>
    </w:rPr>
  </w:style>
  <w:style w:type="paragraph" w:styleId="Heading3">
    <w:name w:val="heading 3"/>
    <w:basedOn w:val="Normal"/>
    <w:next w:val="Normal"/>
    <w:uiPriority w:val="9"/>
    <w:unhideWhenUsed/>
    <w:qFormat/>
    <w:pPr>
      <w:pBdr>
        <w:top w:val="nil"/>
        <w:left w:val="nil"/>
        <w:bottom w:val="nil"/>
        <w:right w:val="nil"/>
        <w:between w:val="nil"/>
      </w:pBdr>
      <w:spacing w:before="120" w:after="60"/>
      <w:outlineLvl w:val="2"/>
    </w:pPr>
    <w:rPr>
      <w:b/>
      <w:bCs/>
      <w:i/>
      <w:iCs/>
      <w:color w:val="000000"/>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paragraph" w:styleId="ListParagraph">
    <w:name w:val="List Paragraph"/>
    <w:basedOn w:val="Normal"/>
    <w:uiPriority w:val="34"/>
    <w:qFormat/>
    <w:rsid w:val="000359A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241465">
      <w:bodyDiv w:val="1"/>
      <w:marLeft w:val="0"/>
      <w:marRight w:val="0"/>
      <w:marTop w:val="0"/>
      <w:marBottom w:val="0"/>
      <w:divBdr>
        <w:top w:val="none" w:sz="0" w:space="0" w:color="auto"/>
        <w:left w:val="none" w:sz="0" w:space="0" w:color="auto"/>
        <w:bottom w:val="none" w:sz="0" w:space="0" w:color="auto"/>
        <w:right w:val="none" w:sz="0" w:space="0" w:color="auto"/>
      </w:divBdr>
    </w:div>
    <w:div w:id="887643347">
      <w:bodyDiv w:val="1"/>
      <w:marLeft w:val="0"/>
      <w:marRight w:val="0"/>
      <w:marTop w:val="0"/>
      <w:marBottom w:val="0"/>
      <w:divBdr>
        <w:top w:val="none" w:sz="0" w:space="0" w:color="auto"/>
        <w:left w:val="none" w:sz="0" w:space="0" w:color="auto"/>
        <w:bottom w:val="none" w:sz="0" w:space="0" w:color="auto"/>
        <w:right w:val="none" w:sz="0" w:space="0" w:color="auto"/>
      </w:divBdr>
    </w:div>
    <w:div w:id="1110005139">
      <w:bodyDiv w:val="1"/>
      <w:marLeft w:val="0"/>
      <w:marRight w:val="0"/>
      <w:marTop w:val="0"/>
      <w:marBottom w:val="0"/>
      <w:divBdr>
        <w:top w:val="none" w:sz="0" w:space="0" w:color="auto"/>
        <w:left w:val="none" w:sz="0" w:space="0" w:color="auto"/>
        <w:bottom w:val="none" w:sz="0" w:space="0" w:color="auto"/>
        <w:right w:val="none" w:sz="0" w:space="0" w:color="auto"/>
      </w:divBdr>
    </w:div>
    <w:div w:id="1441994063">
      <w:bodyDiv w:val="1"/>
      <w:marLeft w:val="0"/>
      <w:marRight w:val="0"/>
      <w:marTop w:val="0"/>
      <w:marBottom w:val="0"/>
      <w:divBdr>
        <w:top w:val="none" w:sz="0" w:space="0" w:color="auto"/>
        <w:left w:val="none" w:sz="0" w:space="0" w:color="auto"/>
        <w:bottom w:val="none" w:sz="0" w:space="0" w:color="auto"/>
        <w:right w:val="none" w:sz="0" w:space="0" w:color="auto"/>
      </w:divBdr>
    </w:div>
    <w:div w:id="1490250094">
      <w:bodyDiv w:val="1"/>
      <w:marLeft w:val="0"/>
      <w:marRight w:val="0"/>
      <w:marTop w:val="0"/>
      <w:marBottom w:val="0"/>
      <w:divBdr>
        <w:top w:val="none" w:sz="0" w:space="0" w:color="auto"/>
        <w:left w:val="none" w:sz="0" w:space="0" w:color="auto"/>
        <w:bottom w:val="none" w:sz="0" w:space="0" w:color="auto"/>
        <w:right w:val="none" w:sz="0" w:space="0" w:color="auto"/>
      </w:divBdr>
    </w:div>
    <w:div w:id="1536770722">
      <w:bodyDiv w:val="1"/>
      <w:marLeft w:val="0"/>
      <w:marRight w:val="0"/>
      <w:marTop w:val="0"/>
      <w:marBottom w:val="0"/>
      <w:divBdr>
        <w:top w:val="none" w:sz="0" w:space="0" w:color="auto"/>
        <w:left w:val="none" w:sz="0" w:space="0" w:color="auto"/>
        <w:bottom w:val="none" w:sz="0" w:space="0" w:color="auto"/>
        <w:right w:val="none" w:sz="0" w:space="0" w:color="auto"/>
      </w:divBdr>
    </w:div>
    <w:div w:id="1592158565">
      <w:bodyDiv w:val="1"/>
      <w:marLeft w:val="0"/>
      <w:marRight w:val="0"/>
      <w:marTop w:val="0"/>
      <w:marBottom w:val="0"/>
      <w:divBdr>
        <w:top w:val="none" w:sz="0" w:space="0" w:color="auto"/>
        <w:left w:val="none" w:sz="0" w:space="0" w:color="auto"/>
        <w:bottom w:val="none" w:sz="0" w:space="0" w:color="auto"/>
        <w:right w:val="none" w:sz="0" w:space="0" w:color="auto"/>
      </w:divBdr>
    </w:div>
    <w:div w:id="1778788489">
      <w:bodyDiv w:val="1"/>
      <w:marLeft w:val="0"/>
      <w:marRight w:val="0"/>
      <w:marTop w:val="0"/>
      <w:marBottom w:val="0"/>
      <w:divBdr>
        <w:top w:val="none" w:sz="0" w:space="0" w:color="auto"/>
        <w:left w:val="none" w:sz="0" w:space="0" w:color="auto"/>
        <w:bottom w:val="none" w:sz="0" w:space="0" w:color="auto"/>
        <w:right w:val="none" w:sz="0" w:space="0" w:color="auto"/>
      </w:divBdr>
    </w:div>
    <w:div w:id="19402159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oi.org/10.1007/s13580-015-0110-x" TargetMode="External"/><Relationship Id="rId13" Type="http://schemas.openxmlformats.org/officeDocument/2006/relationships/hyperlink" Target="https://doi.org/10.1007/s11120-012-9780-3" TargetMode="External"/><Relationship Id="rId18" Type="http://schemas.openxmlformats.org/officeDocument/2006/relationships/hyperlink" Target="https://doi.org/10.1016/j.phytochem.2006.11.017" TargetMode="External"/><Relationship Id="rId26" Type="http://schemas.openxmlformats.org/officeDocument/2006/relationships/hyperlink" Target="https://doi.org/10.1371/journal.pone.0208551" TargetMode="External"/><Relationship Id="rId3" Type="http://schemas.openxmlformats.org/officeDocument/2006/relationships/styles" Target="styles.xml"/><Relationship Id="rId21" Type="http://schemas.openxmlformats.org/officeDocument/2006/relationships/hyperlink" Target="https://doi.org/10.1007/s10725-020-00678-2" TargetMode="External"/><Relationship Id="rId7" Type="http://schemas.openxmlformats.org/officeDocument/2006/relationships/hyperlink" Target="https://doi.org/10.1007/s13580-015-0110-x" TargetMode="External"/><Relationship Id="rId12" Type="http://schemas.openxmlformats.org/officeDocument/2006/relationships/hyperlink" Target="https://doi.org/10.1007/s11120-012-9780-3" TargetMode="External"/><Relationship Id="rId17" Type="http://schemas.openxmlformats.org/officeDocument/2006/relationships/hyperlink" Target="https://doi.org/10.1093/jxb/ert208" TargetMode="External"/><Relationship Id="rId25" Type="http://schemas.openxmlformats.org/officeDocument/2006/relationships/hyperlink" Target="https://doi.org/10.1007/s11120-006-9077-5" TargetMode="External"/><Relationship Id="rId2" Type="http://schemas.openxmlformats.org/officeDocument/2006/relationships/numbering" Target="numbering.xml"/><Relationship Id="rId16" Type="http://schemas.openxmlformats.org/officeDocument/2006/relationships/hyperlink" Target="https://doi.org/10.1093/jxb/ert208" TargetMode="External"/><Relationship Id="rId20" Type="http://schemas.openxmlformats.org/officeDocument/2006/relationships/hyperlink" Target="https://doi.org/10.1007/s10725-020-00678-2"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doi.org/10.1007/s004420050744" TargetMode="External"/><Relationship Id="rId24" Type="http://schemas.openxmlformats.org/officeDocument/2006/relationships/hyperlink" Target="https://doi.org/10.1007/s11120-006-9077-5" TargetMode="External"/><Relationship Id="rId5" Type="http://schemas.openxmlformats.org/officeDocument/2006/relationships/webSettings" Target="webSettings.xml"/><Relationship Id="rId15" Type="http://schemas.openxmlformats.org/officeDocument/2006/relationships/hyperlink" Target="https://doi.org/10.1093/jxb/47.Special_Issue.1281" TargetMode="External"/><Relationship Id="rId23" Type="http://schemas.openxmlformats.org/officeDocument/2006/relationships/hyperlink" Target="https://doi.org/10.1093/aob/mcr221" TargetMode="External"/><Relationship Id="rId28" Type="http://schemas.openxmlformats.org/officeDocument/2006/relationships/theme" Target="theme/theme1.xml"/><Relationship Id="rId10" Type="http://schemas.openxmlformats.org/officeDocument/2006/relationships/hyperlink" Target="https://doi.org/10.1007/s004420050744" TargetMode="External"/><Relationship Id="rId19" Type="http://schemas.openxmlformats.org/officeDocument/2006/relationships/hyperlink" Target="https://doi.org/10.1016/j.phytochem.2006.11.017" TargetMode="External"/><Relationship Id="rId4" Type="http://schemas.openxmlformats.org/officeDocument/2006/relationships/settings" Target="settings.xml"/><Relationship Id="rId9" Type="http://schemas.openxmlformats.org/officeDocument/2006/relationships/hyperlink" Target="https://doi.org/10.1016/B978-0-12-409548-9.10547-0" TargetMode="External"/><Relationship Id="rId14" Type="http://schemas.openxmlformats.org/officeDocument/2006/relationships/hyperlink" Target="https://doi.org/10.1093/jxb/47.Special_Issue.1281" TargetMode="External"/><Relationship Id="rId22" Type="http://schemas.openxmlformats.org/officeDocument/2006/relationships/hyperlink" Target="https://doi.org/10.1093/aob/mcr221"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vxd5O1hkRI9rnmZAvNBEhgyU1A==">CgMxLjA4AHIhMURZTE9vQnVuLXRrLXliWGZUaWhzOXEzSWVuNzZQX1B6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4549</Words>
  <Characters>25935</Characters>
  <Application>Microsoft Office Word</Application>
  <DocSecurity>0</DocSecurity>
  <Lines>216</Lines>
  <Paragraphs>60</Paragraphs>
  <ScaleCrop>false</ScaleCrop>
  <Company/>
  <LinksUpToDate>false</LinksUpToDate>
  <CharactersWithSpaces>30424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1020</cp:lastModifiedBy>
  <cp:revision>41</cp:revision>
  <dcterms:created xsi:type="dcterms:W3CDTF">2026-04-25T08:13:00Z</dcterms:created>
  <dcterms:modified xsi:type="dcterms:W3CDTF">2026-04-30T10:44:00Z</dcterms:modified>
</cp:coreProperties>
</file>