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B00A6" w14:textId="2BB99B3F" w:rsidR="00231EDD" w:rsidRDefault="00231EDD" w:rsidP="00231EDD">
      <w:pPr>
        <w:tabs>
          <w:tab w:val="left" w:pos="592"/>
        </w:tabs>
        <w:spacing w:after="0" w:line="240" w:lineRule="auto"/>
        <w:rPr>
          <w:rFonts w:ascii="Arial" w:eastAsia="Times New Roman" w:hAnsi="Arial" w:cs="Arial"/>
          <w:b/>
          <w:bCs/>
          <w:sz w:val="36"/>
          <w:szCs w:val="36"/>
          <w:lang w:eastAsia="en-GB"/>
        </w:rPr>
      </w:pPr>
      <w:r>
        <w:rPr>
          <w:rFonts w:ascii="Arial" w:eastAsia="Times New Roman" w:hAnsi="Arial" w:cs="Arial"/>
          <w:b/>
          <w:bCs/>
          <w:sz w:val="36"/>
          <w:szCs w:val="36"/>
          <w:lang w:eastAsia="en-GB"/>
        </w:rPr>
        <w:tab/>
      </w:r>
    </w:p>
    <w:p w14:paraId="7A829C48" w14:textId="346EF648" w:rsidR="00602657" w:rsidRPr="00681614" w:rsidRDefault="00602657" w:rsidP="00231EDD">
      <w:pPr>
        <w:spacing w:after="0" w:line="240" w:lineRule="auto"/>
        <w:jc w:val="right"/>
        <w:rPr>
          <w:rFonts w:ascii="Arial" w:eastAsia="Times New Roman" w:hAnsi="Arial" w:cs="Arial"/>
          <w:sz w:val="36"/>
          <w:szCs w:val="36"/>
          <w:lang w:eastAsia="en-GB"/>
        </w:rPr>
      </w:pPr>
      <w:r w:rsidRPr="00681614">
        <w:rPr>
          <w:rFonts w:ascii="Arial" w:eastAsia="Times New Roman" w:hAnsi="Arial" w:cs="Arial"/>
          <w:b/>
          <w:bCs/>
          <w:sz w:val="36"/>
          <w:szCs w:val="36"/>
          <w:lang w:eastAsia="en-GB"/>
        </w:rPr>
        <w:t xml:space="preserve">Evaluation of Intra- and Inter-Line Genetic Diversity among Eight Drought-Tolerant Maize Lines Using </w:t>
      </w:r>
      <w:proofErr w:type="spellStart"/>
      <w:r w:rsidRPr="00681614">
        <w:rPr>
          <w:rFonts w:ascii="Arial" w:eastAsia="Times New Roman" w:hAnsi="Arial" w:cs="Arial"/>
          <w:b/>
          <w:bCs/>
          <w:sz w:val="36"/>
          <w:szCs w:val="36"/>
          <w:lang w:eastAsia="en-GB"/>
        </w:rPr>
        <w:t>Agromorphological</w:t>
      </w:r>
      <w:proofErr w:type="spellEnd"/>
      <w:r w:rsidRPr="00681614">
        <w:rPr>
          <w:rFonts w:ascii="Arial" w:eastAsia="Times New Roman" w:hAnsi="Arial" w:cs="Arial"/>
          <w:b/>
          <w:bCs/>
          <w:sz w:val="36"/>
          <w:szCs w:val="36"/>
          <w:lang w:eastAsia="en-GB"/>
        </w:rPr>
        <w:t xml:space="preserve"> Descriptors in Côte d’Ivoire for Their Use in Breeding Programs</w:t>
      </w:r>
    </w:p>
    <w:p w14:paraId="36BCA461" w14:textId="77777777" w:rsidR="00231EDD" w:rsidRDefault="00231EDD" w:rsidP="009D0C4D">
      <w:pPr>
        <w:spacing w:after="0" w:line="240" w:lineRule="auto"/>
        <w:jc w:val="right"/>
        <w:rPr>
          <w:rFonts w:ascii="Arial" w:eastAsia="Times New Roman" w:hAnsi="Arial" w:cs="Arial"/>
          <w:b/>
          <w:bCs/>
          <w:szCs w:val="24"/>
          <w:lang w:eastAsia="en-GB"/>
        </w:rPr>
      </w:pPr>
    </w:p>
    <w:p w14:paraId="5F0B90B3" w14:textId="77777777" w:rsidR="009D0C4D" w:rsidRDefault="009D0C4D" w:rsidP="009D0C4D">
      <w:pPr>
        <w:spacing w:after="0" w:line="240" w:lineRule="auto"/>
        <w:jc w:val="right"/>
        <w:rPr>
          <w:rFonts w:ascii="Arial" w:eastAsia="Times New Roman" w:hAnsi="Arial" w:cs="Arial"/>
          <w:b/>
          <w:bCs/>
          <w:szCs w:val="24"/>
          <w:vertAlign w:val="superscript"/>
          <w:lang w:eastAsia="en-GB"/>
        </w:rPr>
      </w:pPr>
    </w:p>
    <w:p w14:paraId="3C17BDB5" w14:textId="77777777" w:rsidR="009D0C4D" w:rsidRPr="00017DED" w:rsidRDefault="009D0C4D" w:rsidP="009D0C4D">
      <w:pPr>
        <w:spacing w:after="0" w:line="240" w:lineRule="auto"/>
        <w:jc w:val="right"/>
        <w:rPr>
          <w:rFonts w:ascii="Arial" w:eastAsia="Times New Roman" w:hAnsi="Arial" w:cs="Arial"/>
          <w:b/>
          <w:bCs/>
          <w:szCs w:val="24"/>
          <w:lang w:eastAsia="en-GB"/>
        </w:rPr>
      </w:pPr>
    </w:p>
    <w:p w14:paraId="2770640E" w14:textId="35A78E7B" w:rsidR="00807A83" w:rsidRDefault="00A575D8" w:rsidP="00807A83">
      <w:pPr>
        <w:spacing w:after="0" w:line="240" w:lineRule="auto"/>
        <w:jc w:val="right"/>
        <w:rPr>
          <w:rFonts w:ascii="Arial" w:eastAsia="Times New Roman" w:hAnsi="Arial" w:cs="Arial"/>
          <w:sz w:val="16"/>
          <w:szCs w:val="16"/>
          <w:lang w:eastAsia="en-GB"/>
        </w:rPr>
      </w:pPr>
      <w:r>
        <w:rPr>
          <w:rFonts w:ascii="Arial" w:eastAsia="Times New Roman" w:hAnsi="Arial" w:cs="Arial"/>
          <w:noProof/>
          <w:sz w:val="20"/>
          <w:szCs w:val="20"/>
          <w:lang w:eastAsia="en-GB"/>
        </w:rPr>
        <mc:AlternateContent>
          <mc:Choice Requires="wps">
            <w:drawing>
              <wp:anchor distT="0" distB="0" distL="114300" distR="114300" simplePos="0" relativeHeight="251674624" behindDoc="0" locked="0" layoutInCell="1" allowOverlap="1" wp14:anchorId="0CBBD6C1" wp14:editId="7E8989E9">
                <wp:simplePos x="0" y="0"/>
                <wp:positionH relativeFrom="column">
                  <wp:posOffset>-22860</wp:posOffset>
                </wp:positionH>
                <wp:positionV relativeFrom="paragraph">
                  <wp:posOffset>329565</wp:posOffset>
                </wp:positionV>
                <wp:extent cx="5760000" cy="0"/>
                <wp:effectExtent l="0" t="0" r="0" b="0"/>
                <wp:wrapNone/>
                <wp:docPr id="1929560364" name="Connecteur droit 7"/>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E50DD04" id="Connecteur droit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95pt" to="451.7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" strokecolor="black [3213]" strokeweight="1.5pt">
                <v:stroke joinstyle="miter"/>
              </v:line>
            </w:pict>
          </mc:Fallback>
        </mc:AlternateContent>
      </w:r>
    </w:p>
    <w:p w14:paraId="045A1D6A" w14:textId="476276B2" w:rsidR="00602657" w:rsidRDefault="00602657" w:rsidP="009D0C4D">
      <w:pPr>
        <w:spacing w:after="0" w:line="240" w:lineRule="auto"/>
        <w:jc w:val="right"/>
        <w:rPr>
          <w:rFonts w:eastAsia="Times New Roman"/>
        </w:rPr>
      </w:pPr>
      <w:r w:rsidRPr="00253F16">
        <w:rPr>
          <w:rFonts w:ascii="Arial" w:eastAsia="Times New Roman" w:hAnsi="Arial" w:cs="Arial"/>
          <w:sz w:val="20"/>
          <w:szCs w:val="20"/>
          <w:lang w:eastAsia="en-GB"/>
        </w:rPr>
        <w:br/>
      </w:r>
    </w:p>
    <w:p w14:paraId="59B31CBD" w14:textId="77777777" w:rsidR="00807A83" w:rsidRPr="003A0287" w:rsidRDefault="00807A83" w:rsidP="009D0C4D">
      <w:pPr>
        <w:spacing w:after="0" w:line="240" w:lineRule="auto"/>
        <w:jc w:val="right"/>
        <w:rPr>
          <w:rFonts w:eastAsia="Times New Roman"/>
        </w:rPr>
      </w:pPr>
    </w:p>
    <w:p w14:paraId="465B4C8C" w14:textId="77777777" w:rsidR="00602657" w:rsidRDefault="00602657" w:rsidP="00462FD7">
      <w:pPr>
        <w:spacing w:after="0"/>
        <w:rPr>
          <w:rFonts w:ascii="Arial" w:hAnsi="Arial" w:cs="Arial"/>
          <w:b/>
          <w:sz w:val="22"/>
          <w:lang w:eastAsia="en-GB"/>
        </w:rPr>
      </w:pPr>
      <w:r w:rsidRPr="00E041AA">
        <w:rPr>
          <w:rFonts w:ascii="Arial" w:hAnsi="Arial" w:cs="Arial"/>
          <w:b/>
          <w:sz w:val="22"/>
          <w:lang w:eastAsia="en-GB"/>
        </w:rPr>
        <w:t>ABSTRACT</w:t>
      </w:r>
    </w:p>
    <w:p w14:paraId="538838CC" w14:textId="30C33039" w:rsidR="00A575D8" w:rsidRDefault="00A575D8" w:rsidP="00462FD7">
      <w:pPr>
        <w:spacing w:after="0"/>
        <w:rPr>
          <w:rFonts w:ascii="Arial" w:hAnsi="Arial" w:cs="Arial"/>
          <w:b/>
          <w:sz w:val="20"/>
          <w:szCs w:val="20"/>
          <w:lang w:eastAsia="en-GB"/>
        </w:rPr>
      </w:pPr>
    </w:p>
    <w:p w14:paraId="10605F41" w14:textId="73EE5DA4" w:rsidR="00B24AC7" w:rsidRDefault="00B24AC7" w:rsidP="00462FD7">
      <w:pPr>
        <w:spacing w:after="0"/>
        <w:rPr>
          <w:rFonts w:ascii="Arial" w:hAnsi="Arial" w:cs="Arial"/>
          <w:b/>
          <w:sz w:val="20"/>
          <w:szCs w:val="20"/>
          <w:lang w:eastAsia="en-GB"/>
        </w:rPr>
      </w:pPr>
      <w:r>
        <w:rPr>
          <w:rFonts w:ascii="Arial" w:hAnsi="Arial" w:cs="Arial"/>
          <w:b/>
          <w:sz w:val="20"/>
          <w:szCs w:val="20"/>
          <w:lang w:eastAsia="en-GB"/>
        </w:rPr>
        <w:t xml:space="preserve">Background: </w:t>
      </w:r>
      <w:r w:rsidRPr="00B24AC7">
        <w:rPr>
          <w:rFonts w:ascii="Arial" w:hAnsi="Arial" w:cs="Arial"/>
          <w:sz w:val="20"/>
          <w:szCs w:val="20"/>
          <w:lang w:eastAsia="en-GB"/>
        </w:rPr>
        <w:t>Maize is a major cereal crop in Côte d’Ivoire, but despite increasing production, yields remain below potential due to constraints such as low adoption of improved varieties, poor soil fertility management, and climate-induced drought stress. Therefore, developing and evaluating drought-tolerant maize lines is essential to improve productivity and ensure climate resilience.</w:t>
      </w:r>
    </w:p>
    <w:p w14:paraId="2B9C9314" w14:textId="77777777" w:rsidR="00B24AC7" w:rsidRPr="00A575D8" w:rsidRDefault="00B24AC7" w:rsidP="00462FD7">
      <w:pPr>
        <w:spacing w:after="0"/>
        <w:rPr>
          <w:rFonts w:ascii="Arial" w:hAnsi="Arial" w:cs="Arial"/>
          <w:b/>
          <w:sz w:val="20"/>
          <w:szCs w:val="20"/>
          <w:lang w:eastAsia="en-GB"/>
        </w:rPr>
      </w:pPr>
    </w:p>
    <w:p w14:paraId="577A8979" w14:textId="7353B6C1" w:rsidR="00FE6A68" w:rsidRDefault="00A575D8" w:rsidP="00462FD7">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Aims</w:t>
      </w:r>
      <w:r w:rsidR="00602657" w:rsidRPr="00A575D8">
        <w:rPr>
          <w:rFonts w:ascii="Arial" w:eastAsia="Times New Roman" w:hAnsi="Arial" w:cs="Arial"/>
          <w:b/>
          <w:sz w:val="20"/>
          <w:szCs w:val="20"/>
          <w:lang w:eastAsia="en-GB"/>
        </w:rPr>
        <w:t>:</w:t>
      </w:r>
      <w:r w:rsidR="00E041AA" w:rsidRPr="00E041AA">
        <w:rPr>
          <w:rFonts w:ascii="Arial" w:eastAsia="Times New Roman" w:hAnsi="Arial" w:cs="Arial"/>
          <w:sz w:val="20"/>
          <w:szCs w:val="20"/>
          <w:lang w:eastAsia="en-GB"/>
        </w:rPr>
        <w:t xml:space="preserve"> </w:t>
      </w:r>
      <w:r w:rsidR="00602657" w:rsidRPr="00E041AA">
        <w:rPr>
          <w:rFonts w:ascii="Arial" w:eastAsia="Times New Roman" w:hAnsi="Arial" w:cs="Arial"/>
          <w:sz w:val="20"/>
          <w:szCs w:val="20"/>
          <w:lang w:eastAsia="en-GB"/>
        </w:rPr>
        <w:t>This study aimed to evaluate the intra- and inter-line genetic diversity of eight drought-tolerant maize lines derived from gamma-irradiated seeds.</w:t>
      </w:r>
    </w:p>
    <w:p w14:paraId="3D8F3B1F" w14:textId="77777777" w:rsidR="00A0618D" w:rsidRDefault="00602657" w:rsidP="00A0618D">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Study Design:</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A randomized complete block design (RCBD, Fisher design) wi</w:t>
      </w:r>
      <w:r w:rsidR="00FE6A68">
        <w:rPr>
          <w:rFonts w:ascii="Arial" w:eastAsia="Times New Roman" w:hAnsi="Arial" w:cs="Arial"/>
          <w:sz w:val="20"/>
          <w:szCs w:val="20"/>
          <w:lang w:eastAsia="en-GB"/>
        </w:rPr>
        <w:t>th three replications was used.</w:t>
      </w:r>
    </w:p>
    <w:p w14:paraId="130B42FD" w14:textId="575EB50C" w:rsidR="00602657" w:rsidRPr="00A0618D" w:rsidRDefault="00602657" w:rsidP="00A0618D">
      <w:pPr>
        <w:spacing w:after="0" w:line="240" w:lineRule="auto"/>
        <w:jc w:val="both"/>
        <w:rPr>
          <w:rFonts w:ascii="Arial" w:eastAsia="Times New Roman" w:hAnsi="Arial" w:cs="Arial"/>
          <w:sz w:val="20"/>
          <w:szCs w:val="20"/>
          <w:lang w:val="fr-FR" w:eastAsia="en-GB"/>
        </w:rPr>
      </w:pPr>
      <w:r w:rsidRPr="00A575D8">
        <w:rPr>
          <w:rFonts w:ascii="Arial" w:eastAsia="Times New Roman" w:hAnsi="Arial" w:cs="Arial"/>
          <w:b/>
          <w:sz w:val="20"/>
          <w:szCs w:val="20"/>
          <w:lang w:val="fr-FR" w:eastAsia="en-GB"/>
        </w:rPr>
        <w:t xml:space="preserve">Place and Duration of </w:t>
      </w:r>
      <w:r w:rsidR="0095155D" w:rsidRPr="00A575D8">
        <w:rPr>
          <w:rFonts w:ascii="Arial" w:eastAsia="Times New Roman" w:hAnsi="Arial" w:cs="Arial"/>
          <w:b/>
          <w:sz w:val="20"/>
          <w:szCs w:val="20"/>
          <w:lang w:val="fr-FR" w:eastAsia="en-GB"/>
        </w:rPr>
        <w:t>Study:</w:t>
      </w:r>
      <w:r w:rsidR="00E041AA" w:rsidRPr="00A0618D">
        <w:rPr>
          <w:rFonts w:ascii="Arial" w:eastAsia="Times New Roman" w:hAnsi="Arial" w:cs="Arial"/>
          <w:sz w:val="20"/>
          <w:szCs w:val="20"/>
          <w:lang w:val="fr-FR" w:eastAsia="en-GB"/>
        </w:rPr>
        <w:t xml:space="preserve"> </w:t>
      </w:r>
      <w:r w:rsidRPr="00A0618D">
        <w:rPr>
          <w:rFonts w:ascii="Arial" w:eastAsia="Times New Roman" w:hAnsi="Arial" w:cs="Arial"/>
          <w:sz w:val="20"/>
          <w:szCs w:val="20"/>
          <w:lang w:val="fr-FR" w:eastAsia="en-GB"/>
        </w:rPr>
        <w:t xml:space="preserve">Université Jean Lorougnon Guédé, Daloa (Haut-Sassandra </w:t>
      </w:r>
      <w:proofErr w:type="spellStart"/>
      <w:r w:rsidRPr="00A0618D">
        <w:rPr>
          <w:rFonts w:ascii="Arial" w:eastAsia="Times New Roman" w:hAnsi="Arial" w:cs="Arial"/>
          <w:sz w:val="20"/>
          <w:szCs w:val="20"/>
          <w:lang w:val="fr-FR" w:eastAsia="en-GB"/>
        </w:rPr>
        <w:t>region</w:t>
      </w:r>
      <w:proofErr w:type="spellEnd"/>
      <w:r w:rsidRPr="00A0618D">
        <w:rPr>
          <w:rFonts w:ascii="Arial" w:eastAsia="Times New Roman" w:hAnsi="Arial" w:cs="Arial"/>
          <w:sz w:val="20"/>
          <w:szCs w:val="20"/>
          <w:lang w:val="fr-FR" w:eastAsia="en-GB"/>
        </w:rPr>
        <w:t>, Côte d’Ivoire).</w:t>
      </w:r>
    </w:p>
    <w:p w14:paraId="3215AED7" w14:textId="4B2C4743" w:rsidR="00602657" w:rsidRPr="00E041AA" w:rsidRDefault="00602657" w:rsidP="00E97436">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Methodology:</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 xml:space="preserve">Eight lines, including two controls, were characterized using </w:t>
      </w:r>
      <w:proofErr w:type="spellStart"/>
      <w:r w:rsidRPr="00E041AA">
        <w:rPr>
          <w:rFonts w:ascii="Arial" w:eastAsia="Times New Roman" w:hAnsi="Arial" w:cs="Arial"/>
          <w:sz w:val="20"/>
          <w:szCs w:val="20"/>
          <w:lang w:eastAsia="en-GB"/>
        </w:rPr>
        <w:t>agromorphological</w:t>
      </w:r>
      <w:proofErr w:type="spellEnd"/>
      <w:r w:rsidRPr="00E041AA">
        <w:rPr>
          <w:rFonts w:ascii="Arial" w:eastAsia="Times New Roman" w:hAnsi="Arial" w:cs="Arial"/>
          <w:sz w:val="20"/>
          <w:szCs w:val="20"/>
          <w:lang w:eastAsia="en-GB"/>
        </w:rPr>
        <w:t xml:space="preserve"> descriptors related to phenology, growth, and yield. Data were </w:t>
      </w:r>
      <w:proofErr w:type="spellStart"/>
      <w:r w:rsidRPr="00E041AA">
        <w:rPr>
          <w:rFonts w:ascii="Arial" w:eastAsia="Times New Roman" w:hAnsi="Arial" w:cs="Arial"/>
          <w:sz w:val="20"/>
          <w:szCs w:val="20"/>
          <w:lang w:eastAsia="en-GB"/>
        </w:rPr>
        <w:t>analyzed</w:t>
      </w:r>
      <w:proofErr w:type="spellEnd"/>
      <w:r w:rsidRPr="00E041AA">
        <w:rPr>
          <w:rFonts w:ascii="Arial" w:eastAsia="Times New Roman" w:hAnsi="Arial" w:cs="Arial"/>
          <w:sz w:val="20"/>
          <w:szCs w:val="20"/>
          <w:lang w:eastAsia="en-GB"/>
        </w:rPr>
        <w:t xml:space="preserve"> using analysis of variance (ANOVA), principal component analysis (PCA), and hierarchical cluster analysis (HCA) based on Ward’s method.</w:t>
      </w:r>
    </w:p>
    <w:p w14:paraId="04E13A29" w14:textId="7D7C9B17" w:rsidR="00602657" w:rsidRPr="00E041AA" w:rsidRDefault="00602657" w:rsidP="00E97436">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Results:</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Significant differences (P &lt; 0.05) were observed among lines for several traits, particularly those related to growth and yield. Intra-line analysis revealed relative homogeneity, whereas inter-line variability enabled effective discrimination among genotypes. PCA, performed on eleven quantitative traits, identified two principal axes explaining 80.76</w:t>
      </w:r>
      <w:r w:rsidR="00A575D8">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 of the total variance. Variables associated with growth and productivity contributed strongly to the structuring of the lines. HCA grouped the lines into four distinct clusters, highlighting genotypes with high agronomic potential and tolerance to water stress.</w:t>
      </w:r>
    </w:p>
    <w:p w14:paraId="0B86731B" w14:textId="77777777" w:rsidR="0095155D" w:rsidRDefault="00602657" w:rsidP="0095155D">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Conclusion:</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The results indicate phenotypic homogeneity associated with exploitable genetic variability, likely induced by irradiation. This study confirms the relevance of mutagenesis as a tool for generating genetic variability and identifies promising lines for breeding programs under water-limited conditions.</w:t>
      </w:r>
    </w:p>
    <w:p w14:paraId="475B1566" w14:textId="77777777" w:rsidR="0095155D" w:rsidRDefault="0095155D" w:rsidP="0095155D">
      <w:pPr>
        <w:spacing w:after="0" w:line="240" w:lineRule="auto"/>
        <w:jc w:val="both"/>
        <w:rPr>
          <w:rFonts w:ascii="Arial" w:eastAsia="Times New Roman" w:hAnsi="Arial" w:cs="Arial"/>
          <w:sz w:val="20"/>
          <w:szCs w:val="20"/>
          <w:lang w:eastAsia="en-GB"/>
        </w:rPr>
      </w:pPr>
    </w:p>
    <w:p w14:paraId="73F1BD12" w14:textId="77777777" w:rsidR="006A3248" w:rsidRDefault="006A3248" w:rsidP="006A3248">
      <w:pPr>
        <w:spacing w:after="0" w:line="240" w:lineRule="auto"/>
        <w:jc w:val="both"/>
        <w:rPr>
          <w:rFonts w:ascii="Arial" w:eastAsia="Times New Roman" w:hAnsi="Arial" w:cs="Arial"/>
          <w:i/>
          <w:sz w:val="20"/>
          <w:szCs w:val="20"/>
          <w:lang w:eastAsia="en-GB"/>
        </w:rPr>
      </w:pPr>
      <w:r w:rsidRPr="0095155D">
        <w:rPr>
          <w:rFonts w:ascii="Arial" w:hAnsi="Arial" w:cs="Arial"/>
          <w:bCs/>
          <w:sz w:val="20"/>
          <w:szCs w:val="20"/>
        </w:rPr>
        <w:t>Keywords:</w:t>
      </w:r>
      <w:r>
        <w:rPr>
          <w:rFonts w:ascii="Arial" w:hAnsi="Arial" w:cs="Arial"/>
          <w:b/>
          <w:sz w:val="20"/>
          <w:szCs w:val="20"/>
        </w:rPr>
        <w:t xml:space="preserve"> </w:t>
      </w:r>
      <w:r>
        <w:rPr>
          <w:rFonts w:ascii="Arial" w:eastAsia="Times New Roman" w:hAnsi="Arial" w:cs="Arial"/>
          <w:i/>
          <w:sz w:val="20"/>
          <w:szCs w:val="20"/>
          <w:lang w:eastAsia="en-GB"/>
        </w:rPr>
        <w:t>[Maize,</w:t>
      </w:r>
      <w:r w:rsidRPr="00C76862">
        <w:rPr>
          <w:rFonts w:ascii="Arial" w:eastAsia="Times New Roman" w:hAnsi="Arial" w:cs="Arial"/>
          <w:i/>
          <w:sz w:val="20"/>
          <w:szCs w:val="20"/>
          <w:lang w:eastAsia="en-GB"/>
        </w:rPr>
        <w:t xml:space="preserve"> genetic diversity</w:t>
      </w:r>
      <w:r>
        <w:rPr>
          <w:rFonts w:ascii="Arial" w:eastAsia="Times New Roman" w:hAnsi="Arial" w:cs="Arial"/>
          <w:i/>
          <w:sz w:val="20"/>
          <w:szCs w:val="20"/>
          <w:lang w:eastAsia="en-GB"/>
        </w:rPr>
        <w:t>,</w:t>
      </w:r>
      <w:r w:rsidRPr="00C76862">
        <w:rPr>
          <w:rFonts w:ascii="Arial" w:eastAsia="Times New Roman" w:hAnsi="Arial" w:cs="Arial"/>
          <w:i/>
          <w:sz w:val="20"/>
          <w:szCs w:val="20"/>
          <w:lang w:eastAsia="en-GB"/>
        </w:rPr>
        <w:t xml:space="preserve"> mutagenesis</w:t>
      </w:r>
      <w:r>
        <w:rPr>
          <w:rFonts w:ascii="Arial" w:eastAsia="Times New Roman" w:hAnsi="Arial" w:cs="Arial"/>
          <w:i/>
          <w:sz w:val="20"/>
          <w:szCs w:val="20"/>
          <w:lang w:eastAsia="en-GB"/>
        </w:rPr>
        <w:t>,</w:t>
      </w:r>
      <w:r w:rsidRPr="00C76862">
        <w:rPr>
          <w:rFonts w:ascii="Arial" w:eastAsia="Times New Roman" w:hAnsi="Arial" w:cs="Arial"/>
          <w:i/>
          <w:sz w:val="20"/>
          <w:szCs w:val="20"/>
          <w:lang w:eastAsia="en-GB"/>
        </w:rPr>
        <w:t xml:space="preserve"> </w:t>
      </w:r>
      <w:r>
        <w:rPr>
          <w:rFonts w:ascii="Arial" w:eastAsia="Times New Roman" w:hAnsi="Arial" w:cs="Arial"/>
          <w:i/>
          <w:sz w:val="20"/>
          <w:szCs w:val="20"/>
          <w:lang w:eastAsia="en-GB"/>
        </w:rPr>
        <w:t>mutant lines, homogeneity]</w:t>
      </w:r>
    </w:p>
    <w:p w14:paraId="2BE70622" w14:textId="77777777" w:rsidR="0095155D" w:rsidRDefault="0095155D" w:rsidP="0095155D">
      <w:pPr>
        <w:spacing w:after="0" w:line="240" w:lineRule="auto"/>
        <w:jc w:val="both"/>
        <w:rPr>
          <w:rFonts w:ascii="Arial" w:eastAsia="Times New Roman" w:hAnsi="Arial" w:cs="Arial"/>
          <w:i/>
          <w:sz w:val="20"/>
          <w:szCs w:val="20"/>
          <w:lang w:eastAsia="en-GB"/>
        </w:rPr>
      </w:pPr>
    </w:p>
    <w:p w14:paraId="23D79D60" w14:textId="7718A5E4" w:rsidR="00602657" w:rsidRDefault="0095155D" w:rsidP="0095155D">
      <w:pPr>
        <w:pStyle w:val="Heading1"/>
        <w:rPr>
          <w:rStyle w:val="Strong"/>
          <w:b/>
          <w:bCs w:val="0"/>
          <w:lang w:val="en-GB"/>
        </w:rPr>
      </w:pPr>
      <w:r w:rsidRPr="00253F16">
        <w:rPr>
          <w:rStyle w:val="Strong"/>
          <w:b/>
          <w:lang w:val="en-GB"/>
        </w:rPr>
        <w:t>1.</w:t>
      </w:r>
      <w:r>
        <w:rPr>
          <w:rStyle w:val="Strong"/>
          <w:b/>
          <w:bCs w:val="0"/>
          <w:lang w:val="en-GB"/>
        </w:rPr>
        <w:t xml:space="preserve"> </w:t>
      </w:r>
      <w:r w:rsidR="00602657" w:rsidRPr="00E24271">
        <w:rPr>
          <w:rStyle w:val="Strong"/>
          <w:b/>
          <w:bCs w:val="0"/>
          <w:lang w:val="en-GB"/>
        </w:rPr>
        <w:t>INTRODUCTION</w:t>
      </w:r>
    </w:p>
    <w:p w14:paraId="17B494E5" w14:textId="77777777" w:rsidR="0095155D" w:rsidRDefault="0095155D" w:rsidP="0095155D">
      <w:pPr>
        <w:spacing w:after="0"/>
        <w:jc w:val="both"/>
        <w:rPr>
          <w:rFonts w:ascii="Arial" w:hAnsi="Arial" w:cs="Arial"/>
          <w:sz w:val="20"/>
          <w:szCs w:val="20"/>
        </w:rPr>
      </w:pPr>
    </w:p>
    <w:p w14:paraId="238AF43F" w14:textId="77777777" w:rsidR="003E6BF5" w:rsidRPr="00184262" w:rsidRDefault="003E6BF5" w:rsidP="003E6BF5">
      <w:pPr>
        <w:spacing w:after="0"/>
        <w:jc w:val="both"/>
        <w:rPr>
          <w:rFonts w:ascii="Arial" w:hAnsi="Arial" w:cs="Arial"/>
          <w:sz w:val="20"/>
          <w:szCs w:val="20"/>
        </w:rPr>
      </w:pPr>
      <w:r w:rsidRPr="00184262">
        <w:rPr>
          <w:rFonts w:ascii="Arial" w:hAnsi="Arial" w:cs="Arial"/>
          <w:sz w:val="20"/>
          <w:szCs w:val="20"/>
        </w:rPr>
        <w:t>In Côte d’Ivoire, maize is the second most widely cultivated cereal crop after rice and is grown across all agro-ecological zones of the country. According to the USDA Foreign Agricultural Service report (USDA FAS, 2024), the cultivated area has remained relatively stable at approximately 540,000 hectares between 2020 and 2024. National production increased from 1.1 to 1.7 million tons between 2020 and 2025, reflecting a notable improvement in this crop. Despite this progress, average national yields remain below the agronomic potential observed under optimal conditions (≥ 5 t·ha</w:t>
      </w:r>
      <w:r w:rsidRPr="00184262">
        <w:rPr>
          <w:rFonts w:ascii="Cambria Math" w:hAnsi="Cambria Math" w:cs="Cambria Math"/>
          <w:sz w:val="20"/>
          <w:szCs w:val="20"/>
        </w:rPr>
        <w:t>⁻</w:t>
      </w:r>
      <w:r w:rsidRPr="00184262">
        <w:rPr>
          <w:rFonts w:ascii="Arial" w:hAnsi="Arial" w:cs="Arial"/>
          <w:sz w:val="20"/>
          <w:szCs w:val="20"/>
        </w:rPr>
        <w:t>¹), as highlighted in recent syntheses on advances in maize breeding and management in sub-Saharan Africa (</w:t>
      </w:r>
      <w:proofErr w:type="spellStart"/>
      <w:r w:rsidRPr="00184262">
        <w:rPr>
          <w:rFonts w:ascii="Arial" w:hAnsi="Arial" w:cs="Arial"/>
          <w:sz w:val="20"/>
          <w:szCs w:val="20"/>
        </w:rPr>
        <w:t>Aramburu-Merlos</w:t>
      </w:r>
      <w:proofErr w:type="spellEnd"/>
      <w:r w:rsidRPr="00184262">
        <w:rPr>
          <w:rFonts w:ascii="Arial" w:hAnsi="Arial" w:cs="Arial"/>
          <w:sz w:val="20"/>
          <w:szCs w:val="20"/>
        </w:rPr>
        <w:t xml:space="preserve"> et al., 2024). This persistent gap between potential and actual yields reflects structural and technical constraints affecting production systems. Among these constraints is the low</w:t>
      </w:r>
      <w:r>
        <w:rPr>
          <w:rFonts w:ascii="Arial" w:hAnsi="Arial" w:cs="Arial"/>
          <w:sz w:val="20"/>
          <w:szCs w:val="20"/>
        </w:rPr>
        <w:t xml:space="preserve"> </w:t>
      </w:r>
      <w:r w:rsidRPr="00184262">
        <w:rPr>
          <w:rFonts w:ascii="Arial" w:hAnsi="Arial" w:cs="Arial"/>
          <w:sz w:val="20"/>
          <w:szCs w:val="20"/>
        </w:rPr>
        <w:t xml:space="preserve">adoption of improved varieties, which limits the dissemination of genetic gains achieved through </w:t>
      </w:r>
      <w:r w:rsidRPr="00184262">
        <w:rPr>
          <w:rFonts w:ascii="Arial" w:hAnsi="Arial" w:cs="Arial"/>
          <w:sz w:val="20"/>
          <w:szCs w:val="20"/>
        </w:rPr>
        <w:lastRenderedPageBreak/>
        <w:t>breeding programs (</w:t>
      </w:r>
      <w:proofErr w:type="spellStart"/>
      <w:r w:rsidRPr="00184262">
        <w:rPr>
          <w:rFonts w:ascii="Arial" w:hAnsi="Arial" w:cs="Arial"/>
          <w:sz w:val="20"/>
          <w:szCs w:val="20"/>
        </w:rPr>
        <w:t>Adechian</w:t>
      </w:r>
      <w:proofErr w:type="spellEnd"/>
      <w:r w:rsidRPr="00184262">
        <w:rPr>
          <w:rFonts w:ascii="Arial" w:hAnsi="Arial" w:cs="Arial"/>
          <w:sz w:val="20"/>
          <w:szCs w:val="20"/>
        </w:rPr>
        <w:t xml:space="preserve"> et al., 2025). In addition, inadequate fertilizer management and the progressive degradation of soil fertility reduce input-use efficiency and compromise the sustainability of agricultural systems (</w:t>
      </w:r>
      <w:proofErr w:type="spellStart"/>
      <w:r w:rsidRPr="00184262">
        <w:rPr>
          <w:rFonts w:ascii="Arial" w:hAnsi="Arial" w:cs="Arial"/>
          <w:sz w:val="20"/>
          <w:szCs w:val="20"/>
        </w:rPr>
        <w:t>Vanlauwe</w:t>
      </w:r>
      <w:proofErr w:type="spellEnd"/>
      <w:r w:rsidRPr="00184262">
        <w:rPr>
          <w:rFonts w:ascii="Arial" w:hAnsi="Arial" w:cs="Arial"/>
          <w:sz w:val="20"/>
          <w:szCs w:val="20"/>
        </w:rPr>
        <w:t xml:space="preserve"> et al., 2023). Furthermore, the increasing frequency of drought episodes and heightened climate variability represent major factors contributing to declining maize productivity in West Africa (Tang et al., 2025). In this context</w:t>
      </w:r>
      <w:r>
        <w:rPr>
          <w:rFonts w:ascii="Arial" w:hAnsi="Arial" w:cs="Arial"/>
          <w:sz w:val="20"/>
          <w:szCs w:val="20"/>
        </w:rPr>
        <w:t>,</w:t>
      </w:r>
      <w:r w:rsidRPr="00184262">
        <w:rPr>
          <w:rFonts w:ascii="Arial" w:hAnsi="Arial" w:cs="Arial"/>
          <w:sz w:val="20"/>
          <w:szCs w:val="20"/>
        </w:rPr>
        <w:t xml:space="preserve"> previous studies have emphasized the importance of evaluating maize genotypes for drought tolerance under different environmental conditions (Chen et al., 2012). Recent studies have shown that targeted genetic improvement can simultaneously enhance resilience and yield stability under water stress conditions (Du et al., 2025). In a context of increasing aridity, particularly in the northern regions of Côte d’Ivoire, the development and evaluation of drought-tolerant lines constitute a strategic priority. In this regard, maize lines tolerant to low soil water availability were developed through gamma irradiation of seeds from the EV 8728 variety. The present study aims to assess the genetic variability of eight promising drought-tolerant maize lines in order to identify genotypes best adapted to the agro-ecological conditions of Côte d’Ivoire and to provide a solid scientific basis for targeted breeding programs contributing to national food sovereignty.</w:t>
      </w:r>
    </w:p>
    <w:p w14:paraId="24DA9647" w14:textId="77777777" w:rsidR="0095155D" w:rsidRPr="0095155D" w:rsidRDefault="0095155D" w:rsidP="0095155D">
      <w:pPr>
        <w:spacing w:after="0"/>
        <w:jc w:val="both"/>
        <w:rPr>
          <w:rFonts w:ascii="Arial" w:hAnsi="Arial" w:cs="Arial"/>
          <w:sz w:val="20"/>
          <w:szCs w:val="20"/>
        </w:rPr>
      </w:pPr>
    </w:p>
    <w:p w14:paraId="72179275" w14:textId="1A37BC16" w:rsidR="00602657" w:rsidRPr="00253F16" w:rsidRDefault="00A339F9" w:rsidP="0095155D">
      <w:pPr>
        <w:pStyle w:val="Heading1"/>
        <w:rPr>
          <w:lang w:val="en-GB"/>
        </w:rPr>
      </w:pPr>
      <w:r w:rsidRPr="00253F16">
        <w:rPr>
          <w:lang w:val="en-GB"/>
        </w:rPr>
        <w:t xml:space="preserve">2. </w:t>
      </w:r>
      <w:r w:rsidR="00602657" w:rsidRPr="00253F16">
        <w:rPr>
          <w:lang w:val="en-GB"/>
        </w:rPr>
        <w:t>MATERIAL AND METHODS</w:t>
      </w:r>
    </w:p>
    <w:p w14:paraId="6B90F29D" w14:textId="77777777" w:rsidR="00024043" w:rsidRPr="00253F16" w:rsidRDefault="00024043" w:rsidP="00024043">
      <w:pPr>
        <w:spacing w:after="0" w:line="240" w:lineRule="auto"/>
        <w:rPr>
          <w:rFonts w:ascii="Arial" w:hAnsi="Arial" w:cs="Arial"/>
          <w:sz w:val="20"/>
          <w:szCs w:val="18"/>
          <w:lang w:eastAsia="en-GB"/>
        </w:rPr>
      </w:pPr>
    </w:p>
    <w:p w14:paraId="0D5A7869" w14:textId="77777777" w:rsidR="00602657" w:rsidRDefault="00602657" w:rsidP="00024043">
      <w:pPr>
        <w:pStyle w:val="Heading2"/>
        <w:rPr>
          <w:rStyle w:val="Strong"/>
          <w:b/>
          <w:bCs w:val="0"/>
        </w:rPr>
      </w:pPr>
      <w:r w:rsidRPr="00A339F9">
        <w:rPr>
          <w:rStyle w:val="Strong"/>
          <w:b/>
          <w:bCs w:val="0"/>
        </w:rPr>
        <w:t>2.1 Study Area</w:t>
      </w:r>
    </w:p>
    <w:p w14:paraId="14116D04" w14:textId="77777777" w:rsidR="00024043" w:rsidRPr="00024043" w:rsidRDefault="00024043" w:rsidP="00024043">
      <w:pPr>
        <w:spacing w:after="0" w:line="240" w:lineRule="auto"/>
        <w:rPr>
          <w:rFonts w:ascii="Arial" w:hAnsi="Arial" w:cs="Arial"/>
          <w:sz w:val="20"/>
          <w:szCs w:val="18"/>
        </w:rPr>
      </w:pPr>
    </w:p>
    <w:p w14:paraId="0421A5D1" w14:textId="77777777" w:rsidR="004964F1" w:rsidRDefault="004964F1" w:rsidP="004964F1">
      <w:pPr>
        <w:spacing w:after="0"/>
        <w:jc w:val="both"/>
        <w:rPr>
          <w:rFonts w:ascii="Arial" w:hAnsi="Arial" w:cs="Arial"/>
          <w:sz w:val="20"/>
          <w:szCs w:val="20"/>
        </w:rPr>
      </w:pPr>
      <w:r w:rsidRPr="00075E3E">
        <w:rPr>
          <w:rFonts w:ascii="Arial" w:hAnsi="Arial" w:cs="Arial"/>
          <w:sz w:val="20"/>
          <w:szCs w:val="20"/>
        </w:rPr>
        <w:t xml:space="preserve">The study was conducted on an experimental plot of </w:t>
      </w:r>
      <w:proofErr w:type="spellStart"/>
      <w:r w:rsidRPr="00075E3E">
        <w:rPr>
          <w:rStyle w:val="whitespace-normal"/>
          <w:rFonts w:ascii="Arial" w:eastAsiaTheme="majorEastAsia" w:hAnsi="Arial" w:cs="Arial"/>
          <w:sz w:val="20"/>
          <w:szCs w:val="20"/>
        </w:rPr>
        <w:t>Université</w:t>
      </w:r>
      <w:proofErr w:type="spellEnd"/>
      <w:r w:rsidRPr="00075E3E">
        <w:rPr>
          <w:rStyle w:val="whitespace-normal"/>
          <w:rFonts w:ascii="Arial" w:eastAsiaTheme="majorEastAsia" w:hAnsi="Arial" w:cs="Arial"/>
          <w:sz w:val="20"/>
          <w:szCs w:val="20"/>
        </w:rPr>
        <w:t xml:space="preserve"> Jean </w:t>
      </w:r>
      <w:proofErr w:type="spellStart"/>
      <w:r w:rsidRPr="00075E3E">
        <w:rPr>
          <w:rStyle w:val="whitespace-normal"/>
          <w:rFonts w:ascii="Arial" w:eastAsiaTheme="majorEastAsia" w:hAnsi="Arial" w:cs="Arial"/>
          <w:sz w:val="20"/>
          <w:szCs w:val="20"/>
        </w:rPr>
        <w:t>Lorougnon</w:t>
      </w:r>
      <w:proofErr w:type="spellEnd"/>
      <w:r w:rsidRPr="00075E3E">
        <w:rPr>
          <w:rStyle w:val="whitespace-normal"/>
          <w:rFonts w:ascii="Arial" w:eastAsiaTheme="majorEastAsia" w:hAnsi="Arial" w:cs="Arial"/>
          <w:sz w:val="20"/>
          <w:szCs w:val="20"/>
        </w:rPr>
        <w:t xml:space="preserve"> </w:t>
      </w:r>
      <w:proofErr w:type="spellStart"/>
      <w:r w:rsidRPr="00075E3E">
        <w:rPr>
          <w:rStyle w:val="whitespace-normal"/>
          <w:rFonts w:ascii="Arial" w:eastAsiaTheme="majorEastAsia" w:hAnsi="Arial" w:cs="Arial"/>
          <w:sz w:val="20"/>
          <w:szCs w:val="20"/>
        </w:rPr>
        <w:t>Guédé</w:t>
      </w:r>
      <w:proofErr w:type="spellEnd"/>
      <w:r w:rsidRPr="00075E3E">
        <w:rPr>
          <w:rFonts w:ascii="Arial" w:hAnsi="Arial" w:cs="Arial"/>
          <w:sz w:val="20"/>
          <w:szCs w:val="20"/>
        </w:rPr>
        <w:t xml:space="preserve"> (</w:t>
      </w:r>
      <w:proofErr w:type="spellStart"/>
      <w:r w:rsidRPr="00075E3E">
        <w:rPr>
          <w:rFonts w:ascii="Arial" w:hAnsi="Arial" w:cs="Arial"/>
          <w:sz w:val="20"/>
          <w:szCs w:val="20"/>
        </w:rPr>
        <w:t>UJLoG</w:t>
      </w:r>
      <w:proofErr w:type="spellEnd"/>
      <w:r w:rsidRPr="00075E3E">
        <w:rPr>
          <w:rFonts w:ascii="Arial" w:hAnsi="Arial" w:cs="Arial"/>
          <w:sz w:val="20"/>
          <w:szCs w:val="20"/>
        </w:rPr>
        <w:t xml:space="preserve">), located in the city of </w:t>
      </w:r>
      <w:proofErr w:type="spellStart"/>
      <w:r w:rsidRPr="00075E3E">
        <w:rPr>
          <w:rStyle w:val="whitespace-normal"/>
          <w:rFonts w:ascii="Arial" w:eastAsiaTheme="majorEastAsia" w:hAnsi="Arial" w:cs="Arial"/>
          <w:sz w:val="20"/>
          <w:szCs w:val="20"/>
        </w:rPr>
        <w:t>Daloa</w:t>
      </w:r>
      <w:proofErr w:type="spellEnd"/>
      <w:r w:rsidRPr="00075E3E">
        <w:rPr>
          <w:rFonts w:ascii="Arial" w:hAnsi="Arial" w:cs="Arial"/>
          <w:sz w:val="20"/>
          <w:szCs w:val="20"/>
        </w:rPr>
        <w:t xml:space="preserve">, the administrative </w:t>
      </w:r>
      <w:proofErr w:type="spellStart"/>
      <w:r w:rsidRPr="00075E3E">
        <w:rPr>
          <w:rFonts w:ascii="Arial" w:hAnsi="Arial" w:cs="Arial"/>
          <w:sz w:val="20"/>
          <w:szCs w:val="20"/>
        </w:rPr>
        <w:t>center</w:t>
      </w:r>
      <w:proofErr w:type="spellEnd"/>
      <w:r w:rsidRPr="00075E3E">
        <w:rPr>
          <w:rFonts w:ascii="Arial" w:hAnsi="Arial" w:cs="Arial"/>
          <w:sz w:val="20"/>
          <w:szCs w:val="20"/>
        </w:rPr>
        <w:t xml:space="preserve"> of the </w:t>
      </w:r>
      <w:proofErr w:type="spellStart"/>
      <w:r w:rsidRPr="00075E3E">
        <w:rPr>
          <w:rFonts w:ascii="Arial" w:hAnsi="Arial" w:cs="Arial"/>
          <w:sz w:val="20"/>
          <w:szCs w:val="20"/>
        </w:rPr>
        <w:t>Haut-Sassandra</w:t>
      </w:r>
      <w:proofErr w:type="spellEnd"/>
      <w:r w:rsidRPr="00075E3E">
        <w:rPr>
          <w:rFonts w:ascii="Arial" w:hAnsi="Arial" w:cs="Arial"/>
          <w:sz w:val="20"/>
          <w:szCs w:val="20"/>
        </w:rPr>
        <w:t xml:space="preserve"> region in Côte d’Ivoire. </w:t>
      </w:r>
      <w:r w:rsidRPr="003415D3">
        <w:rPr>
          <w:rFonts w:ascii="Arial" w:hAnsi="Arial" w:cs="Arial"/>
          <w:sz w:val="20"/>
          <w:szCs w:val="20"/>
        </w:rPr>
        <w:t xml:space="preserve">The </w:t>
      </w:r>
      <w:proofErr w:type="spellStart"/>
      <w:r w:rsidRPr="003415D3">
        <w:rPr>
          <w:rFonts w:ascii="Arial" w:hAnsi="Arial" w:cs="Arial"/>
          <w:sz w:val="20"/>
          <w:szCs w:val="20"/>
        </w:rPr>
        <w:t>Daloa</w:t>
      </w:r>
      <w:proofErr w:type="spellEnd"/>
      <w:r w:rsidRPr="003415D3">
        <w:rPr>
          <w:rFonts w:ascii="Arial" w:hAnsi="Arial" w:cs="Arial"/>
          <w:sz w:val="20"/>
          <w:szCs w:val="20"/>
        </w:rPr>
        <w:t xml:space="preserve"> department is located at 6°53′38″ N and 6°27′00″ W.</w:t>
      </w:r>
      <w:r>
        <w:rPr>
          <w:rFonts w:ascii="Arial" w:hAnsi="Arial" w:cs="Arial"/>
          <w:sz w:val="20"/>
          <w:szCs w:val="20"/>
        </w:rPr>
        <w:t xml:space="preserve"> It covers an area of 5.</w:t>
      </w:r>
      <w:r w:rsidRPr="00075E3E">
        <w:rPr>
          <w:rFonts w:ascii="Arial" w:hAnsi="Arial" w:cs="Arial"/>
          <w:sz w:val="20"/>
          <w:szCs w:val="20"/>
        </w:rPr>
        <w:t xml:space="preserve">423 km² and comprises 137 localities distributed across six sub-prefectures. The city of </w:t>
      </w:r>
      <w:proofErr w:type="spellStart"/>
      <w:r w:rsidRPr="00075E3E">
        <w:rPr>
          <w:rFonts w:ascii="Arial" w:hAnsi="Arial" w:cs="Arial"/>
          <w:sz w:val="20"/>
          <w:szCs w:val="20"/>
        </w:rPr>
        <w:t>Daloa</w:t>
      </w:r>
      <w:proofErr w:type="spellEnd"/>
      <w:r w:rsidRPr="00075E3E">
        <w:rPr>
          <w:rFonts w:ascii="Arial" w:hAnsi="Arial" w:cs="Arial"/>
          <w:sz w:val="20"/>
          <w:szCs w:val="20"/>
        </w:rPr>
        <w:t xml:space="preserve"> is bordered to the north by the departments of </w:t>
      </w:r>
      <w:proofErr w:type="spellStart"/>
      <w:r w:rsidRPr="00075E3E">
        <w:rPr>
          <w:rFonts w:ascii="Arial" w:hAnsi="Arial" w:cs="Arial"/>
          <w:sz w:val="20"/>
          <w:szCs w:val="20"/>
        </w:rPr>
        <w:t>Vavoua</w:t>
      </w:r>
      <w:proofErr w:type="spellEnd"/>
      <w:r w:rsidRPr="00075E3E">
        <w:rPr>
          <w:rFonts w:ascii="Arial" w:hAnsi="Arial" w:cs="Arial"/>
          <w:sz w:val="20"/>
          <w:szCs w:val="20"/>
        </w:rPr>
        <w:t xml:space="preserve"> and </w:t>
      </w:r>
      <w:proofErr w:type="spellStart"/>
      <w:r w:rsidRPr="00075E3E">
        <w:rPr>
          <w:rFonts w:ascii="Arial" w:hAnsi="Arial" w:cs="Arial"/>
          <w:sz w:val="20"/>
          <w:szCs w:val="20"/>
        </w:rPr>
        <w:t>Zuénoula</w:t>
      </w:r>
      <w:proofErr w:type="spellEnd"/>
      <w:r w:rsidRPr="00075E3E">
        <w:rPr>
          <w:rFonts w:ascii="Arial" w:hAnsi="Arial" w:cs="Arial"/>
          <w:sz w:val="20"/>
          <w:szCs w:val="20"/>
        </w:rPr>
        <w:t xml:space="preserve">, to the south by </w:t>
      </w:r>
      <w:proofErr w:type="spellStart"/>
      <w:r w:rsidRPr="00075E3E">
        <w:rPr>
          <w:rFonts w:ascii="Arial" w:hAnsi="Arial" w:cs="Arial"/>
          <w:sz w:val="20"/>
          <w:szCs w:val="20"/>
        </w:rPr>
        <w:t>Issia</w:t>
      </w:r>
      <w:proofErr w:type="spellEnd"/>
      <w:r w:rsidRPr="00075E3E">
        <w:rPr>
          <w:rFonts w:ascii="Arial" w:hAnsi="Arial" w:cs="Arial"/>
          <w:sz w:val="20"/>
          <w:szCs w:val="20"/>
        </w:rPr>
        <w:t xml:space="preserve"> and </w:t>
      </w:r>
      <w:proofErr w:type="spellStart"/>
      <w:r w:rsidRPr="00075E3E">
        <w:rPr>
          <w:rFonts w:ascii="Arial" w:hAnsi="Arial" w:cs="Arial"/>
          <w:sz w:val="20"/>
          <w:szCs w:val="20"/>
        </w:rPr>
        <w:t>Sinfra</w:t>
      </w:r>
      <w:proofErr w:type="spellEnd"/>
      <w:r w:rsidRPr="00075E3E">
        <w:rPr>
          <w:rFonts w:ascii="Arial" w:hAnsi="Arial" w:cs="Arial"/>
          <w:sz w:val="20"/>
          <w:szCs w:val="20"/>
        </w:rPr>
        <w:t xml:space="preserve">, to the west by </w:t>
      </w:r>
      <w:proofErr w:type="spellStart"/>
      <w:r w:rsidRPr="00075E3E">
        <w:rPr>
          <w:rFonts w:ascii="Arial" w:hAnsi="Arial" w:cs="Arial"/>
          <w:sz w:val="20"/>
          <w:szCs w:val="20"/>
        </w:rPr>
        <w:t>Duékoué</w:t>
      </w:r>
      <w:proofErr w:type="spellEnd"/>
      <w:r w:rsidRPr="00075E3E">
        <w:rPr>
          <w:rFonts w:ascii="Arial" w:hAnsi="Arial" w:cs="Arial"/>
          <w:sz w:val="20"/>
          <w:szCs w:val="20"/>
        </w:rPr>
        <w:t xml:space="preserve"> and </w:t>
      </w:r>
      <w:proofErr w:type="spellStart"/>
      <w:r w:rsidRPr="00075E3E">
        <w:rPr>
          <w:rFonts w:ascii="Arial" w:hAnsi="Arial" w:cs="Arial"/>
          <w:sz w:val="20"/>
          <w:szCs w:val="20"/>
        </w:rPr>
        <w:t>Bangolo</w:t>
      </w:r>
      <w:proofErr w:type="spellEnd"/>
      <w:r w:rsidRPr="00075E3E">
        <w:rPr>
          <w:rFonts w:ascii="Arial" w:hAnsi="Arial" w:cs="Arial"/>
          <w:sz w:val="20"/>
          <w:szCs w:val="20"/>
        </w:rPr>
        <w:t xml:space="preserve">, and to the east by </w:t>
      </w:r>
      <w:proofErr w:type="spellStart"/>
      <w:r w:rsidRPr="00075E3E">
        <w:rPr>
          <w:rFonts w:ascii="Arial" w:hAnsi="Arial" w:cs="Arial"/>
          <w:sz w:val="20"/>
          <w:szCs w:val="20"/>
        </w:rPr>
        <w:t>Bouaflé</w:t>
      </w:r>
      <w:proofErr w:type="spellEnd"/>
      <w:r w:rsidRPr="00075E3E">
        <w:rPr>
          <w:rFonts w:ascii="Arial" w:hAnsi="Arial" w:cs="Arial"/>
          <w:sz w:val="20"/>
          <w:szCs w:val="20"/>
        </w:rPr>
        <w:t>. The natural vegetation, originally dense forest, has been progressively replaced by cash crops (</w:t>
      </w:r>
      <w:proofErr w:type="spellStart"/>
      <w:r w:rsidRPr="00075E3E">
        <w:rPr>
          <w:rFonts w:ascii="Arial" w:hAnsi="Arial" w:cs="Arial"/>
          <w:sz w:val="20"/>
          <w:szCs w:val="20"/>
        </w:rPr>
        <w:t>Sangaré</w:t>
      </w:r>
      <w:proofErr w:type="spellEnd"/>
      <w:r w:rsidRPr="00075E3E">
        <w:rPr>
          <w:rFonts w:ascii="Arial" w:hAnsi="Arial" w:cs="Arial"/>
          <w:sz w:val="20"/>
          <w:szCs w:val="20"/>
        </w:rPr>
        <w:t xml:space="preserve"> et al., 2009). The climate of the area is tropical, with an average annual temperature of 27.5°C and annual rainfall ranging between 1000 and 1500 mm. The soils are predominantly </w:t>
      </w:r>
      <w:proofErr w:type="spellStart"/>
      <w:r w:rsidRPr="00075E3E">
        <w:rPr>
          <w:rFonts w:ascii="Arial" w:hAnsi="Arial" w:cs="Arial"/>
          <w:sz w:val="20"/>
          <w:szCs w:val="20"/>
        </w:rPr>
        <w:t>ferralitic</w:t>
      </w:r>
      <w:proofErr w:type="spellEnd"/>
      <w:r w:rsidRPr="00075E3E">
        <w:rPr>
          <w:rFonts w:ascii="Arial" w:hAnsi="Arial" w:cs="Arial"/>
          <w:sz w:val="20"/>
          <w:szCs w:val="20"/>
        </w:rPr>
        <w:t xml:space="preserve"> (</w:t>
      </w:r>
      <w:proofErr w:type="spellStart"/>
      <w:r w:rsidRPr="00075E3E">
        <w:rPr>
          <w:rFonts w:ascii="Arial" w:hAnsi="Arial" w:cs="Arial"/>
          <w:sz w:val="20"/>
          <w:szCs w:val="20"/>
        </w:rPr>
        <w:t>Soro</w:t>
      </w:r>
      <w:proofErr w:type="spellEnd"/>
      <w:r w:rsidRPr="00075E3E">
        <w:rPr>
          <w:rFonts w:ascii="Arial" w:hAnsi="Arial" w:cs="Arial"/>
          <w:sz w:val="20"/>
          <w:szCs w:val="20"/>
        </w:rPr>
        <w:t xml:space="preserve"> et al., 2015).</w:t>
      </w:r>
    </w:p>
    <w:p w14:paraId="0332B484" w14:textId="77777777" w:rsidR="002B450F" w:rsidRPr="00075E3E" w:rsidRDefault="002B450F" w:rsidP="002B450F">
      <w:pPr>
        <w:spacing w:after="0"/>
        <w:jc w:val="both"/>
        <w:rPr>
          <w:rFonts w:ascii="Arial" w:hAnsi="Arial" w:cs="Arial"/>
          <w:sz w:val="20"/>
          <w:szCs w:val="20"/>
        </w:rPr>
      </w:pPr>
    </w:p>
    <w:p w14:paraId="7BC12E5C" w14:textId="77777777" w:rsidR="00602657" w:rsidRDefault="00602657" w:rsidP="00024043">
      <w:pPr>
        <w:pStyle w:val="Heading2"/>
        <w:rPr>
          <w:rStyle w:val="Strong"/>
          <w:b/>
          <w:bCs w:val="0"/>
        </w:rPr>
      </w:pPr>
      <w:r w:rsidRPr="00A261C6">
        <w:rPr>
          <w:rStyle w:val="Strong"/>
          <w:b/>
          <w:bCs w:val="0"/>
        </w:rPr>
        <w:t>2.2 Plant Material</w:t>
      </w:r>
    </w:p>
    <w:p w14:paraId="56A998E9" w14:textId="77777777" w:rsidR="00024043" w:rsidRPr="00024043" w:rsidRDefault="00024043" w:rsidP="00024043">
      <w:pPr>
        <w:spacing w:after="0"/>
        <w:rPr>
          <w:rFonts w:ascii="Arial" w:hAnsi="Arial" w:cs="Arial"/>
          <w:sz w:val="20"/>
          <w:szCs w:val="18"/>
        </w:rPr>
      </w:pPr>
    </w:p>
    <w:p w14:paraId="3D1C89F7" w14:textId="77777777" w:rsidR="00602657" w:rsidRDefault="00602657" w:rsidP="002B450F">
      <w:pPr>
        <w:spacing w:after="0"/>
        <w:jc w:val="both"/>
        <w:rPr>
          <w:rFonts w:ascii="Arial" w:hAnsi="Arial" w:cs="Arial"/>
          <w:sz w:val="20"/>
          <w:szCs w:val="20"/>
        </w:rPr>
      </w:pPr>
      <w:r w:rsidRPr="00E81282">
        <w:rPr>
          <w:rFonts w:ascii="Arial" w:hAnsi="Arial" w:cs="Arial"/>
          <w:sz w:val="20"/>
          <w:szCs w:val="20"/>
        </w:rPr>
        <w:t xml:space="preserve">The plant material used in this study consisted of maize plants derived from seeds of eight drought-tolerant lines obtained through gamma-induced mutagenesis from the EV8728 variety. The commercial varieties EV8728 and </w:t>
      </w:r>
      <w:proofErr w:type="spellStart"/>
      <w:r w:rsidRPr="00E81282">
        <w:rPr>
          <w:rFonts w:ascii="Arial" w:hAnsi="Arial" w:cs="Arial"/>
          <w:sz w:val="20"/>
          <w:szCs w:val="20"/>
        </w:rPr>
        <w:t>Kabamanoj</w:t>
      </w:r>
      <w:proofErr w:type="spellEnd"/>
      <w:r w:rsidRPr="00E81282">
        <w:rPr>
          <w:rFonts w:ascii="Arial" w:hAnsi="Arial" w:cs="Arial"/>
          <w:sz w:val="20"/>
          <w:szCs w:val="20"/>
        </w:rPr>
        <w:t>, which were not irradiated, were used as control treatments.</w:t>
      </w:r>
    </w:p>
    <w:p w14:paraId="6499F8E5" w14:textId="77777777" w:rsidR="002B450F" w:rsidRPr="00E81282" w:rsidRDefault="002B450F" w:rsidP="002B450F">
      <w:pPr>
        <w:spacing w:after="0"/>
        <w:jc w:val="both"/>
        <w:rPr>
          <w:rFonts w:ascii="Arial" w:hAnsi="Arial" w:cs="Arial"/>
          <w:sz w:val="20"/>
          <w:szCs w:val="20"/>
        </w:rPr>
      </w:pPr>
    </w:p>
    <w:p w14:paraId="0AE59D07" w14:textId="77777777" w:rsidR="00602657" w:rsidRDefault="00602657" w:rsidP="00024043">
      <w:pPr>
        <w:pStyle w:val="Heading2"/>
      </w:pPr>
      <w:r>
        <w:t xml:space="preserve"> </w:t>
      </w:r>
      <w:r w:rsidRPr="00F41EDB">
        <w:rPr>
          <w:rStyle w:val="Strong"/>
          <w:b/>
          <w:bCs w:val="0"/>
        </w:rPr>
        <w:t xml:space="preserve">2.3 </w:t>
      </w:r>
      <w:r w:rsidRPr="00F41EDB">
        <w:t>Experimental Design</w:t>
      </w:r>
    </w:p>
    <w:p w14:paraId="170A6BCF" w14:textId="77777777" w:rsidR="00024043" w:rsidRPr="00024043" w:rsidRDefault="00024043" w:rsidP="00024043">
      <w:pPr>
        <w:spacing w:after="0"/>
        <w:rPr>
          <w:rFonts w:ascii="Arial" w:hAnsi="Arial" w:cs="Arial"/>
          <w:sz w:val="20"/>
          <w:szCs w:val="18"/>
        </w:rPr>
      </w:pPr>
    </w:p>
    <w:p w14:paraId="25C5D648" w14:textId="77777777" w:rsidR="00602657" w:rsidRPr="00E81282" w:rsidRDefault="00602657" w:rsidP="00E81282">
      <w:pPr>
        <w:jc w:val="both"/>
        <w:rPr>
          <w:rFonts w:ascii="Arial" w:hAnsi="Arial" w:cs="Arial"/>
          <w:sz w:val="20"/>
          <w:szCs w:val="20"/>
        </w:rPr>
      </w:pPr>
      <w:r w:rsidRPr="00E81282">
        <w:rPr>
          <w:rFonts w:ascii="Arial" w:hAnsi="Arial" w:cs="Arial"/>
          <w:sz w:val="20"/>
          <w:szCs w:val="20"/>
        </w:rPr>
        <w:t>The experimental design (Figure 1) adopted was a randomized complete block design (Fisher design). Three blocks, spaced 2 m apart, were used to establish the trial. Each block consisted of 30 rows, each 9.2 m in length and spaced 0.8 m apart. Three rows within each block were assigned to each line. Each row contained 24 planting hills spaced 0.4 m apart.</w:t>
      </w:r>
    </w:p>
    <w:p w14:paraId="0BEA9E04" w14:textId="77777777" w:rsidR="007D12EC" w:rsidRDefault="00EA1B01" w:rsidP="007D12EC">
      <w:pPr>
        <w:keepNext/>
        <w:spacing w:line="360" w:lineRule="auto"/>
        <w:jc w:val="both"/>
      </w:pPr>
      <w:r w:rsidRPr="00EA1B01">
        <w:rPr>
          <w:noProof/>
          <w:lang w:eastAsia="en-GB"/>
        </w:rPr>
        <w:lastRenderedPageBreak/>
        <w:drawing>
          <wp:inline distT="0" distB="0" distL="0" distR="0" wp14:anchorId="48D66C13" wp14:editId="125B8E63">
            <wp:extent cx="5581650" cy="2512060"/>
            <wp:effectExtent l="0" t="0" r="0" b="2540"/>
            <wp:docPr id="17243988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512060"/>
                    </a:xfrm>
                    <a:prstGeom prst="rect">
                      <a:avLst/>
                    </a:prstGeom>
                    <a:noFill/>
                    <a:ln>
                      <a:noFill/>
                    </a:ln>
                  </pic:spPr>
                </pic:pic>
              </a:graphicData>
            </a:graphic>
          </wp:inline>
        </w:drawing>
      </w:r>
    </w:p>
    <w:p w14:paraId="4AF88496" w14:textId="58EFFB39" w:rsidR="00602657" w:rsidRDefault="007D12EC" w:rsidP="002B450F">
      <w:pPr>
        <w:pStyle w:val="Caption"/>
        <w:spacing w:after="0"/>
        <w:jc w:val="both"/>
        <w:rPr>
          <w:rFonts w:ascii="Arial" w:hAnsi="Arial" w:cs="Arial"/>
          <w:b/>
          <w:bCs/>
          <w:i w:val="0"/>
          <w:color w:val="auto"/>
          <w:sz w:val="20"/>
          <w:szCs w:val="20"/>
        </w:rPr>
      </w:pPr>
      <w:r w:rsidRPr="002B450F">
        <w:rPr>
          <w:rFonts w:ascii="Arial" w:hAnsi="Arial" w:cs="Arial"/>
          <w:b/>
          <w:bCs/>
          <w:i w:val="0"/>
          <w:color w:val="auto"/>
          <w:sz w:val="20"/>
          <w:szCs w:val="20"/>
        </w:rPr>
        <w:t xml:space="preserve">Figure </w:t>
      </w:r>
      <w:r w:rsidRPr="002B450F">
        <w:rPr>
          <w:rFonts w:ascii="Arial" w:hAnsi="Arial" w:cs="Arial"/>
          <w:b/>
          <w:bCs/>
          <w:i w:val="0"/>
          <w:color w:val="auto"/>
          <w:sz w:val="20"/>
          <w:szCs w:val="20"/>
        </w:rPr>
        <w:fldChar w:fldCharType="begin"/>
      </w:r>
      <w:r w:rsidRPr="002B450F">
        <w:rPr>
          <w:rFonts w:ascii="Arial" w:hAnsi="Arial" w:cs="Arial"/>
          <w:b/>
          <w:bCs/>
          <w:i w:val="0"/>
          <w:color w:val="auto"/>
          <w:sz w:val="20"/>
          <w:szCs w:val="20"/>
        </w:rPr>
        <w:instrText xml:space="preserve"> SEQ Figure \* ARABIC </w:instrText>
      </w:r>
      <w:r w:rsidRPr="002B450F">
        <w:rPr>
          <w:rFonts w:ascii="Arial" w:hAnsi="Arial" w:cs="Arial"/>
          <w:b/>
          <w:bCs/>
          <w:i w:val="0"/>
          <w:color w:val="auto"/>
          <w:sz w:val="20"/>
          <w:szCs w:val="20"/>
        </w:rPr>
        <w:fldChar w:fldCharType="separate"/>
      </w:r>
      <w:r w:rsidR="009E787D">
        <w:rPr>
          <w:rFonts w:ascii="Arial" w:hAnsi="Arial" w:cs="Arial"/>
          <w:b/>
          <w:bCs/>
          <w:i w:val="0"/>
          <w:noProof/>
          <w:color w:val="auto"/>
          <w:sz w:val="20"/>
          <w:szCs w:val="20"/>
        </w:rPr>
        <w:t>1</w:t>
      </w:r>
      <w:r w:rsidRPr="002B450F">
        <w:rPr>
          <w:rFonts w:ascii="Arial" w:hAnsi="Arial" w:cs="Arial"/>
          <w:b/>
          <w:bCs/>
          <w:i w:val="0"/>
          <w:color w:val="auto"/>
          <w:sz w:val="20"/>
          <w:szCs w:val="20"/>
        </w:rPr>
        <w:fldChar w:fldCharType="end"/>
      </w:r>
      <w:r w:rsidR="00717E9E" w:rsidRPr="002B450F">
        <w:rPr>
          <w:rFonts w:ascii="Arial" w:hAnsi="Arial" w:cs="Arial"/>
          <w:b/>
          <w:bCs/>
          <w:i w:val="0"/>
          <w:color w:val="auto"/>
          <w:sz w:val="20"/>
          <w:szCs w:val="20"/>
        </w:rPr>
        <w:t xml:space="preserve">. </w:t>
      </w:r>
      <w:r w:rsidRPr="002B450F">
        <w:rPr>
          <w:rFonts w:ascii="Arial" w:hAnsi="Arial" w:cs="Arial"/>
          <w:b/>
          <w:bCs/>
          <w:i w:val="0"/>
          <w:color w:val="auto"/>
          <w:sz w:val="20"/>
          <w:szCs w:val="20"/>
        </w:rPr>
        <w:t>Experimental Design</w:t>
      </w:r>
    </w:p>
    <w:p w14:paraId="1479241C" w14:textId="77777777" w:rsidR="00024043" w:rsidRPr="00024043" w:rsidRDefault="00024043" w:rsidP="00024043"/>
    <w:p w14:paraId="177A27EF" w14:textId="77777777" w:rsidR="002B450F" w:rsidRPr="002B450F" w:rsidRDefault="002B450F" w:rsidP="002B450F">
      <w:pPr>
        <w:spacing w:after="0" w:line="240" w:lineRule="auto"/>
        <w:rPr>
          <w:sz w:val="20"/>
          <w:szCs w:val="18"/>
        </w:rPr>
      </w:pPr>
    </w:p>
    <w:p w14:paraId="26E77B64" w14:textId="77777777" w:rsidR="00602657" w:rsidRDefault="00602657" w:rsidP="00024043">
      <w:pPr>
        <w:pStyle w:val="Heading2"/>
        <w:rPr>
          <w:rStyle w:val="Strong"/>
          <w:b/>
          <w:bCs w:val="0"/>
        </w:rPr>
      </w:pPr>
      <w:r w:rsidRPr="00F41EDB">
        <w:rPr>
          <w:rStyle w:val="Strong"/>
          <w:b/>
          <w:bCs w:val="0"/>
        </w:rPr>
        <w:t>2.4 Sowing and Management of the Experimental Plot</w:t>
      </w:r>
    </w:p>
    <w:p w14:paraId="520EFA6E" w14:textId="77777777" w:rsidR="00024043" w:rsidRPr="00024043" w:rsidRDefault="00024043" w:rsidP="00024043">
      <w:pPr>
        <w:spacing w:after="0"/>
        <w:rPr>
          <w:rFonts w:ascii="Arial" w:hAnsi="Arial" w:cs="Arial"/>
          <w:sz w:val="20"/>
          <w:szCs w:val="18"/>
        </w:rPr>
      </w:pPr>
    </w:p>
    <w:p w14:paraId="19757596" w14:textId="77777777" w:rsidR="00602657" w:rsidRDefault="00602657" w:rsidP="002B450F">
      <w:pPr>
        <w:spacing w:after="0"/>
        <w:jc w:val="both"/>
        <w:rPr>
          <w:rFonts w:ascii="Arial" w:hAnsi="Arial" w:cs="Arial"/>
          <w:sz w:val="20"/>
          <w:szCs w:val="20"/>
        </w:rPr>
      </w:pPr>
      <w:r w:rsidRPr="00E81282">
        <w:rPr>
          <w:rFonts w:ascii="Arial" w:hAnsi="Arial" w:cs="Arial"/>
          <w:sz w:val="20"/>
          <w:szCs w:val="20"/>
        </w:rPr>
        <w:t>Sowing was carried out by placing three seeds per planting hill. Two weeks after sowing, thinning was performed to retain only two plants per hill. Water supply was ensured through a drip irrigation system at a frequency of every 48 hours, except in the event of rainfall. Manual weeding was conducted at regular intervals to maintain the plot and its surroundings free of weeds, thereby reducing competition between weeds and maize plants.</w:t>
      </w:r>
    </w:p>
    <w:p w14:paraId="0C6EB197" w14:textId="77777777" w:rsidR="002B450F" w:rsidRPr="00E81282" w:rsidRDefault="002B450F" w:rsidP="002B450F">
      <w:pPr>
        <w:spacing w:after="0" w:line="240" w:lineRule="auto"/>
        <w:jc w:val="both"/>
        <w:rPr>
          <w:rFonts w:ascii="Arial" w:hAnsi="Arial" w:cs="Arial"/>
          <w:sz w:val="20"/>
          <w:szCs w:val="20"/>
        </w:rPr>
      </w:pPr>
    </w:p>
    <w:p w14:paraId="4A2CAF31" w14:textId="77777777" w:rsidR="00602657" w:rsidRDefault="00602657" w:rsidP="00024043">
      <w:pPr>
        <w:pStyle w:val="Heading2"/>
        <w:rPr>
          <w:rStyle w:val="Strong"/>
          <w:b/>
          <w:bCs w:val="0"/>
        </w:rPr>
      </w:pPr>
      <w:r w:rsidRPr="00B824B0">
        <w:rPr>
          <w:rStyle w:val="Strong"/>
          <w:b/>
          <w:bCs w:val="0"/>
        </w:rPr>
        <w:t xml:space="preserve">2.5 Collection of </w:t>
      </w:r>
      <w:proofErr w:type="spellStart"/>
      <w:r w:rsidRPr="00B824B0">
        <w:rPr>
          <w:rStyle w:val="Strong"/>
          <w:b/>
          <w:bCs w:val="0"/>
        </w:rPr>
        <w:t>Agromorphological</w:t>
      </w:r>
      <w:proofErr w:type="spellEnd"/>
      <w:r w:rsidRPr="00B824B0">
        <w:rPr>
          <w:rStyle w:val="Strong"/>
          <w:b/>
          <w:bCs w:val="0"/>
        </w:rPr>
        <w:t xml:space="preserve"> Data</w:t>
      </w:r>
    </w:p>
    <w:p w14:paraId="5A269CFB" w14:textId="77777777" w:rsidR="00024043" w:rsidRPr="00024043" w:rsidRDefault="00024043" w:rsidP="00024043">
      <w:pPr>
        <w:spacing w:after="0" w:line="240" w:lineRule="auto"/>
        <w:rPr>
          <w:rFonts w:ascii="Arial" w:hAnsi="Arial" w:cs="Arial"/>
          <w:sz w:val="20"/>
          <w:szCs w:val="18"/>
        </w:rPr>
      </w:pPr>
    </w:p>
    <w:p w14:paraId="2F49D161" w14:textId="77777777" w:rsidR="00602657" w:rsidRDefault="00602657" w:rsidP="002B450F">
      <w:pPr>
        <w:spacing w:after="0"/>
        <w:jc w:val="both"/>
        <w:rPr>
          <w:rFonts w:ascii="Arial" w:hAnsi="Arial" w:cs="Arial"/>
          <w:sz w:val="20"/>
          <w:szCs w:val="20"/>
        </w:rPr>
      </w:pPr>
      <w:r w:rsidRPr="00E81282">
        <w:rPr>
          <w:rFonts w:ascii="Arial" w:hAnsi="Arial" w:cs="Arial"/>
          <w:sz w:val="20"/>
          <w:szCs w:val="20"/>
        </w:rPr>
        <w:t>Data were collected from 15 plants per row, corresponding to 45 plants per line and per block. In total, 135 plants per line were considered for data collection. Twelve phenotypic descriptors were measured according to plant developmental stages. Phenological parameters included days to anthesis (DA) and days to silking (DS). Growth and development descriptors included stem base diameter (SBD), ear height (EH), plant height (PH), and number of leaves per plant (NL). Yield-related parameters included ear length (EL), ear weight (EW), ear diameter (ED), 100-grain weight (GW100), number of grains per ear (NGE), and grain yield (GY).</w:t>
      </w:r>
    </w:p>
    <w:p w14:paraId="7704E77F" w14:textId="77777777" w:rsidR="002B450F" w:rsidRPr="00E81282" w:rsidRDefault="002B450F" w:rsidP="002B450F">
      <w:pPr>
        <w:spacing w:after="0" w:line="240" w:lineRule="auto"/>
        <w:jc w:val="both"/>
        <w:rPr>
          <w:rFonts w:ascii="Arial" w:hAnsi="Arial" w:cs="Arial"/>
          <w:sz w:val="20"/>
          <w:szCs w:val="20"/>
        </w:rPr>
      </w:pPr>
    </w:p>
    <w:p w14:paraId="3DF24344" w14:textId="77777777" w:rsidR="00602657" w:rsidRPr="00803CBB" w:rsidRDefault="00602657" w:rsidP="00024043">
      <w:pPr>
        <w:pStyle w:val="Heading2"/>
      </w:pPr>
      <w:r w:rsidRPr="00B824B0">
        <w:rPr>
          <w:rStyle w:val="Strong"/>
          <w:b/>
          <w:bCs w:val="0"/>
        </w:rPr>
        <w:t>2.6</w:t>
      </w:r>
      <w:r w:rsidRPr="00803CBB">
        <w:rPr>
          <w:rStyle w:val="Strong"/>
          <w:b/>
          <w:bCs w:val="0"/>
          <w:sz w:val="20"/>
          <w:szCs w:val="20"/>
        </w:rPr>
        <w:t xml:space="preserve"> </w:t>
      </w:r>
      <w:r w:rsidRPr="00803CBB">
        <w:rPr>
          <w:rStyle w:val="Strong"/>
          <w:b/>
          <w:bCs w:val="0"/>
        </w:rPr>
        <w:t>Statistical Analysis</w:t>
      </w:r>
    </w:p>
    <w:p w14:paraId="39183D58" w14:textId="77777777" w:rsidR="00024043" w:rsidRDefault="00024043" w:rsidP="002B450F">
      <w:pPr>
        <w:spacing w:after="0"/>
        <w:jc w:val="both"/>
        <w:rPr>
          <w:rFonts w:ascii="Arial" w:hAnsi="Arial" w:cs="Arial"/>
          <w:sz w:val="20"/>
          <w:szCs w:val="20"/>
        </w:rPr>
      </w:pPr>
    </w:p>
    <w:p w14:paraId="120B570E" w14:textId="0A60A7F6" w:rsidR="00602657" w:rsidRDefault="00602657" w:rsidP="002B450F">
      <w:pPr>
        <w:spacing w:after="0"/>
        <w:jc w:val="both"/>
        <w:rPr>
          <w:rFonts w:ascii="Arial" w:hAnsi="Arial" w:cs="Arial"/>
          <w:sz w:val="20"/>
          <w:szCs w:val="20"/>
        </w:rPr>
      </w:pPr>
      <w:r w:rsidRPr="00E81282">
        <w:rPr>
          <w:rFonts w:ascii="Arial" w:hAnsi="Arial" w:cs="Arial"/>
          <w:sz w:val="20"/>
          <w:szCs w:val="20"/>
        </w:rPr>
        <w:t>The degree of variability among the lines was assessed using Microsoft Excel 2016, following the method described by Kouadio et al. (2025). According to these authors, lines with an average coefficient of variation lower than 20 exhibit low dispersion for the traits considered and are therefore regarded as homogeneous. R software (version 3.5.0) was used to perform, on the one hand, an analysis of variance (ANOVA), followed by the Student–Newman–Keuls (SNK) test at the 5% significance level to classify the means of the studied parameters. On the other hand, a principal component analysis (PCA) was conducted to explore the structure of variability, and a hierarchical cluster analysis (HCA) based on Euclidean distance was performed to group the lines according to their phenotypic similarities.</w:t>
      </w:r>
    </w:p>
    <w:p w14:paraId="59945A86" w14:textId="77777777" w:rsidR="002B450F" w:rsidRPr="00E81282" w:rsidRDefault="002B450F" w:rsidP="002B450F">
      <w:pPr>
        <w:spacing w:after="0" w:line="240" w:lineRule="auto"/>
        <w:jc w:val="both"/>
        <w:rPr>
          <w:rFonts w:ascii="Arial" w:hAnsi="Arial" w:cs="Arial"/>
          <w:sz w:val="20"/>
          <w:szCs w:val="20"/>
        </w:rPr>
      </w:pPr>
    </w:p>
    <w:p w14:paraId="11D58057" w14:textId="0344ACAF" w:rsidR="00FB2A2F" w:rsidRPr="00253F16" w:rsidRDefault="00602657" w:rsidP="0095155D">
      <w:pPr>
        <w:pStyle w:val="Heading1"/>
        <w:rPr>
          <w:lang w:val="en-GB"/>
        </w:rPr>
      </w:pPr>
      <w:r w:rsidRPr="00253F16">
        <w:rPr>
          <w:rStyle w:val="Strong"/>
          <w:b/>
          <w:bCs w:val="0"/>
          <w:lang w:val="en-GB"/>
        </w:rPr>
        <w:t>3. RESULTS AND DISCUSSION</w:t>
      </w:r>
    </w:p>
    <w:p w14:paraId="09B24749" w14:textId="77777777" w:rsidR="00024043" w:rsidRPr="00024043" w:rsidRDefault="00024043" w:rsidP="00024043">
      <w:pPr>
        <w:pStyle w:val="Heading2"/>
        <w:rPr>
          <w:rStyle w:val="Strong"/>
          <w:b/>
          <w:bCs w:val="0"/>
          <w:sz w:val="20"/>
          <w:szCs w:val="20"/>
        </w:rPr>
      </w:pPr>
    </w:p>
    <w:p w14:paraId="16FAD952" w14:textId="71F61C8D" w:rsidR="00602657" w:rsidRPr="00803CBB" w:rsidRDefault="00602657" w:rsidP="00024043">
      <w:pPr>
        <w:pStyle w:val="Heading2"/>
      </w:pPr>
      <w:r w:rsidRPr="00803CBB">
        <w:rPr>
          <w:rStyle w:val="Strong"/>
          <w:b/>
          <w:bCs w:val="0"/>
        </w:rPr>
        <w:t>3.1 Assessment of Variability Within Lines</w:t>
      </w:r>
    </w:p>
    <w:p w14:paraId="28C4C54B" w14:textId="77777777" w:rsidR="00024043" w:rsidRDefault="00024043" w:rsidP="00024043">
      <w:pPr>
        <w:pStyle w:val="NormalWeb"/>
        <w:spacing w:before="0" w:beforeAutospacing="0" w:after="0" w:afterAutospacing="0"/>
        <w:jc w:val="both"/>
        <w:rPr>
          <w:rFonts w:ascii="Arial" w:eastAsiaTheme="minorHAnsi" w:hAnsi="Arial" w:cs="Arial"/>
          <w:sz w:val="20"/>
          <w:szCs w:val="20"/>
          <w:lang w:eastAsia="en-US"/>
        </w:rPr>
      </w:pPr>
    </w:p>
    <w:p w14:paraId="4EC81685" w14:textId="680C3F12" w:rsidR="00602657" w:rsidRPr="002B450F" w:rsidRDefault="00602657" w:rsidP="002B450F">
      <w:pPr>
        <w:pStyle w:val="NormalWeb"/>
        <w:spacing w:before="0" w:beforeAutospacing="0"/>
        <w:jc w:val="both"/>
        <w:rPr>
          <w:rFonts w:ascii="Arial" w:eastAsiaTheme="minorHAnsi" w:hAnsi="Arial" w:cs="Arial"/>
          <w:sz w:val="20"/>
          <w:szCs w:val="20"/>
          <w:lang w:eastAsia="en-US"/>
        </w:rPr>
      </w:pPr>
      <w:r w:rsidRPr="002B450F">
        <w:rPr>
          <w:rFonts w:ascii="Arial" w:eastAsiaTheme="minorHAnsi" w:hAnsi="Arial" w:cs="Arial"/>
          <w:sz w:val="20"/>
          <w:szCs w:val="20"/>
          <w:lang w:eastAsia="en-US"/>
        </w:rPr>
        <w:t xml:space="preserve">The average coefficients of variation for all studied parameters are presented in Table 1. The analysis of this table shows that all values were below 15%, ranging from 5.22 to 14.78%. An overview of the </w:t>
      </w:r>
      <w:r w:rsidRPr="002B450F">
        <w:rPr>
          <w:rFonts w:ascii="Arial" w:eastAsiaTheme="minorHAnsi" w:hAnsi="Arial" w:cs="Arial"/>
          <w:sz w:val="20"/>
          <w:szCs w:val="20"/>
          <w:lang w:eastAsia="en-US"/>
        </w:rPr>
        <w:lastRenderedPageBreak/>
        <w:t xml:space="preserve">phenotypic homogeneity observed among the studied lines is illustrated in Figure 2. These results indicate a high level of phenotypic uniformity across all lines. The lines derived from gamma-irradiated seeds and subjected to six successive generations of </w:t>
      </w:r>
      <w:proofErr w:type="spellStart"/>
      <w:r w:rsidRPr="002B450F">
        <w:rPr>
          <w:rFonts w:ascii="Arial" w:eastAsiaTheme="minorHAnsi" w:hAnsi="Arial" w:cs="Arial"/>
          <w:sz w:val="20"/>
          <w:szCs w:val="20"/>
          <w:lang w:eastAsia="en-US"/>
        </w:rPr>
        <w:t>selfing</w:t>
      </w:r>
      <w:proofErr w:type="spellEnd"/>
      <w:r w:rsidRPr="002B450F">
        <w:rPr>
          <w:rFonts w:ascii="Arial" w:eastAsiaTheme="minorHAnsi" w:hAnsi="Arial" w:cs="Arial"/>
          <w:sz w:val="20"/>
          <w:szCs w:val="20"/>
          <w:lang w:eastAsia="en-US"/>
        </w:rPr>
        <w:t xml:space="preserve"> exhibited the expected level of homogeneity, which can be explained by genetic principles. According to Alam et al. (2024), each cycle of self-fertilization reduces the residual level of heterozygosity by half, such that after six generations (F6), nearly all loci are fixed in a homozygous state. Although irradiation may have induced random mutations in the genome, these mutations whether dominant or recessive were progressively fixed or eliminated through successive </w:t>
      </w:r>
      <w:proofErr w:type="spellStart"/>
      <w:r w:rsidRPr="002B450F">
        <w:rPr>
          <w:rFonts w:ascii="Arial" w:eastAsiaTheme="minorHAnsi" w:hAnsi="Arial" w:cs="Arial"/>
          <w:sz w:val="20"/>
          <w:szCs w:val="20"/>
          <w:lang w:eastAsia="en-US"/>
        </w:rPr>
        <w:t>selfing</w:t>
      </w:r>
      <w:proofErr w:type="spellEnd"/>
      <w:r w:rsidRPr="002B450F">
        <w:rPr>
          <w:rFonts w:ascii="Arial" w:eastAsiaTheme="minorHAnsi" w:hAnsi="Arial" w:cs="Arial"/>
          <w:sz w:val="20"/>
          <w:szCs w:val="20"/>
          <w:lang w:eastAsia="en-US"/>
        </w:rPr>
        <w:t xml:space="preserve"> generations. Consequently, plants selected at each generation transmit a largely stabilized genome to their progeny, explaining the phenotypic uniformity observed within the lines. These findings are consistent with studies conducted on other cereal species. In rice, Andrew-Peter-Leon et al. (2021) demonstrated that gamma-irradiated lines reach a stage of homogeneity from the sixth mutation generation (M6). Similarly, Srikanth et al. (2026) reported that gamma-induced mutagenesis in wheat allows the fixation of agronomically important mutations after several generations of </w:t>
      </w:r>
      <w:proofErr w:type="spellStart"/>
      <w:r w:rsidRPr="002B450F">
        <w:rPr>
          <w:rFonts w:ascii="Arial" w:eastAsiaTheme="minorHAnsi" w:hAnsi="Arial" w:cs="Arial"/>
          <w:sz w:val="20"/>
          <w:szCs w:val="20"/>
          <w:lang w:eastAsia="en-US"/>
        </w:rPr>
        <w:t>selfing</w:t>
      </w:r>
      <w:proofErr w:type="spellEnd"/>
      <w:r w:rsidRPr="002B450F">
        <w:rPr>
          <w:rFonts w:ascii="Arial" w:eastAsiaTheme="minorHAnsi" w:hAnsi="Arial" w:cs="Arial"/>
          <w:sz w:val="20"/>
          <w:szCs w:val="20"/>
          <w:lang w:eastAsia="en-US"/>
        </w:rPr>
        <w:t>, leading to stable lines suitable for breeding programs.</w:t>
      </w:r>
    </w:p>
    <w:p w14:paraId="0563D309" w14:textId="77777777" w:rsidR="005B069A" w:rsidRDefault="005B069A" w:rsidP="00834FFE">
      <w:pPr>
        <w:pStyle w:val="NormalWeb"/>
        <w:spacing w:before="0" w:beforeAutospacing="0" w:line="360" w:lineRule="auto"/>
        <w:jc w:val="both"/>
        <w:rPr>
          <w:rFonts w:ascii="Arial" w:hAnsi="Arial" w:cs="Arial"/>
          <w:sz w:val="20"/>
          <w:szCs w:val="20"/>
        </w:rPr>
      </w:pPr>
    </w:p>
    <w:p w14:paraId="61A3AECC" w14:textId="77777777" w:rsidR="005B069A" w:rsidRDefault="005B069A" w:rsidP="00834FFE">
      <w:pPr>
        <w:pStyle w:val="NormalWeb"/>
        <w:spacing w:before="0" w:beforeAutospacing="0" w:line="360" w:lineRule="auto"/>
        <w:jc w:val="both"/>
        <w:rPr>
          <w:rFonts w:ascii="Arial" w:hAnsi="Arial" w:cs="Arial"/>
          <w:sz w:val="20"/>
          <w:szCs w:val="20"/>
        </w:rPr>
      </w:pPr>
    </w:p>
    <w:p w14:paraId="5F75C098" w14:textId="77777777" w:rsidR="005B069A" w:rsidRPr="008E3F4A" w:rsidRDefault="005B069A" w:rsidP="00834FFE">
      <w:pPr>
        <w:pStyle w:val="NormalWeb"/>
        <w:spacing w:before="0" w:beforeAutospacing="0" w:line="360" w:lineRule="auto"/>
        <w:jc w:val="both"/>
        <w:rPr>
          <w:rFonts w:ascii="Arial" w:hAnsi="Arial" w:cs="Arial"/>
          <w:sz w:val="20"/>
          <w:szCs w:val="20"/>
        </w:rPr>
      </w:pPr>
    </w:p>
    <w:p w14:paraId="57F8461F" w14:textId="5CE4B11F" w:rsidR="0001258C" w:rsidRPr="00024043" w:rsidRDefault="0001258C" w:rsidP="00024043">
      <w:pPr>
        <w:pStyle w:val="Caption"/>
        <w:keepNext/>
        <w:jc w:val="both"/>
        <w:rPr>
          <w:rFonts w:ascii="Arial" w:hAnsi="Arial" w:cs="Arial"/>
          <w:b/>
          <w:bCs/>
          <w:i w:val="0"/>
          <w:color w:val="auto"/>
          <w:sz w:val="20"/>
          <w:szCs w:val="20"/>
        </w:rPr>
      </w:pPr>
      <w:r w:rsidRPr="00024043">
        <w:rPr>
          <w:rFonts w:ascii="Arial" w:hAnsi="Arial" w:cs="Arial"/>
          <w:b/>
          <w:bCs/>
          <w:i w:val="0"/>
          <w:color w:val="auto"/>
          <w:sz w:val="20"/>
          <w:szCs w:val="20"/>
        </w:rPr>
        <w:t xml:space="preserve">Table </w:t>
      </w:r>
      <w:r w:rsidRPr="00024043">
        <w:rPr>
          <w:rFonts w:ascii="Arial" w:hAnsi="Arial" w:cs="Arial"/>
          <w:b/>
          <w:bCs/>
          <w:i w:val="0"/>
          <w:color w:val="auto"/>
          <w:sz w:val="20"/>
          <w:szCs w:val="20"/>
        </w:rPr>
        <w:fldChar w:fldCharType="begin"/>
      </w:r>
      <w:r w:rsidRPr="00024043">
        <w:rPr>
          <w:rFonts w:ascii="Arial" w:hAnsi="Arial" w:cs="Arial"/>
          <w:b/>
          <w:bCs/>
          <w:i w:val="0"/>
          <w:color w:val="auto"/>
          <w:sz w:val="20"/>
          <w:szCs w:val="20"/>
        </w:rPr>
        <w:instrText xml:space="preserve"> SEQ Table \* ARABIC </w:instrText>
      </w:r>
      <w:r w:rsidRPr="00024043">
        <w:rPr>
          <w:rFonts w:ascii="Arial" w:hAnsi="Arial" w:cs="Arial"/>
          <w:b/>
          <w:bCs/>
          <w:i w:val="0"/>
          <w:color w:val="auto"/>
          <w:sz w:val="20"/>
          <w:szCs w:val="20"/>
        </w:rPr>
        <w:fldChar w:fldCharType="separate"/>
      </w:r>
      <w:r w:rsidRPr="00024043">
        <w:rPr>
          <w:rFonts w:ascii="Arial" w:hAnsi="Arial" w:cs="Arial"/>
          <w:b/>
          <w:bCs/>
          <w:i w:val="0"/>
          <w:noProof/>
          <w:color w:val="auto"/>
          <w:sz w:val="20"/>
          <w:szCs w:val="20"/>
        </w:rPr>
        <w:t>1</w:t>
      </w:r>
      <w:r w:rsidRPr="00024043">
        <w:rPr>
          <w:rFonts w:ascii="Arial" w:hAnsi="Arial" w:cs="Arial"/>
          <w:b/>
          <w:bCs/>
          <w:i w:val="0"/>
          <w:color w:val="auto"/>
          <w:sz w:val="20"/>
          <w:szCs w:val="20"/>
        </w:rPr>
        <w:fldChar w:fldCharType="end"/>
      </w:r>
      <w:r w:rsidRPr="00024043">
        <w:rPr>
          <w:rFonts w:ascii="Arial" w:hAnsi="Arial" w:cs="Arial"/>
          <w:b/>
          <w:bCs/>
          <w:i w:val="0"/>
          <w:color w:val="auto"/>
          <w:sz w:val="20"/>
          <w:szCs w:val="20"/>
        </w:rPr>
        <w:t>. Mean Values of the Coefficient of Variation in the Studied Lines</w:t>
      </w:r>
    </w:p>
    <w:tbl>
      <w:tblPr>
        <w:tblW w:w="9550" w:type="dxa"/>
        <w:jc w:val="center"/>
        <w:tblLook w:val="04A0" w:firstRow="1" w:lastRow="0" w:firstColumn="1" w:lastColumn="0" w:noHBand="0" w:noVBand="1"/>
      </w:tblPr>
      <w:tblGrid>
        <w:gridCol w:w="836"/>
        <w:gridCol w:w="730"/>
        <w:gridCol w:w="730"/>
        <w:gridCol w:w="730"/>
        <w:gridCol w:w="730"/>
        <w:gridCol w:w="730"/>
        <w:gridCol w:w="730"/>
        <w:gridCol w:w="995"/>
        <w:gridCol w:w="730"/>
        <w:gridCol w:w="619"/>
        <w:gridCol w:w="619"/>
        <w:gridCol w:w="619"/>
        <w:gridCol w:w="752"/>
      </w:tblGrid>
      <w:tr w:rsidR="00C430EE" w:rsidRPr="00024043" w14:paraId="41B33660" w14:textId="77777777" w:rsidTr="00F55B15">
        <w:trPr>
          <w:trHeight w:val="268"/>
          <w:jc w:val="center"/>
        </w:trPr>
        <w:tc>
          <w:tcPr>
            <w:tcW w:w="836" w:type="dxa"/>
            <w:tcBorders>
              <w:top w:val="single" w:sz="4" w:space="0" w:color="auto"/>
              <w:left w:val="nil"/>
              <w:bottom w:val="single" w:sz="4" w:space="0" w:color="auto"/>
              <w:right w:val="nil"/>
            </w:tcBorders>
            <w:noWrap/>
            <w:vAlign w:val="bottom"/>
            <w:hideMark/>
          </w:tcPr>
          <w:p w14:paraId="5931CCB4" w14:textId="77777777" w:rsidR="00C430EE" w:rsidRPr="00024043" w:rsidRDefault="00C430EE" w:rsidP="00F55B15">
            <w:pPr>
              <w:spacing w:after="0" w:line="240" w:lineRule="auto"/>
              <w:jc w:val="both"/>
              <w:rPr>
                <w:rFonts w:ascii="Arial" w:eastAsia="Times New Roman" w:hAnsi="Arial" w:cs="Arial"/>
                <w:b/>
                <w:bCs/>
                <w:sz w:val="20"/>
                <w:szCs w:val="20"/>
                <w:lang w:val="fr-FR" w:eastAsia="en-GB"/>
              </w:rPr>
            </w:pPr>
            <w:r w:rsidRPr="00024043">
              <w:rPr>
                <w:rFonts w:ascii="Arial" w:eastAsia="Times New Roman" w:hAnsi="Arial" w:cs="Arial"/>
                <w:b/>
                <w:bCs/>
                <w:sz w:val="20"/>
                <w:szCs w:val="20"/>
                <w:lang w:val="fr-FR" w:eastAsia="en-GB"/>
              </w:rPr>
              <w:t>LINES</w:t>
            </w:r>
          </w:p>
        </w:tc>
        <w:tc>
          <w:tcPr>
            <w:tcW w:w="730" w:type="dxa"/>
            <w:tcBorders>
              <w:top w:val="single" w:sz="4" w:space="0" w:color="auto"/>
              <w:left w:val="nil"/>
              <w:bottom w:val="single" w:sz="4" w:space="0" w:color="auto"/>
              <w:right w:val="nil"/>
            </w:tcBorders>
            <w:noWrap/>
            <w:vAlign w:val="bottom"/>
            <w:hideMark/>
          </w:tcPr>
          <w:p w14:paraId="6686F85E"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SDB</w:t>
            </w:r>
          </w:p>
        </w:tc>
        <w:tc>
          <w:tcPr>
            <w:tcW w:w="730" w:type="dxa"/>
            <w:tcBorders>
              <w:top w:val="single" w:sz="4" w:space="0" w:color="auto"/>
              <w:left w:val="nil"/>
              <w:bottom w:val="single" w:sz="4" w:space="0" w:color="auto"/>
              <w:right w:val="nil"/>
            </w:tcBorders>
            <w:noWrap/>
            <w:vAlign w:val="bottom"/>
            <w:hideMark/>
          </w:tcPr>
          <w:p w14:paraId="62F32C53"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EH</w:t>
            </w:r>
          </w:p>
        </w:tc>
        <w:tc>
          <w:tcPr>
            <w:tcW w:w="730" w:type="dxa"/>
            <w:tcBorders>
              <w:top w:val="single" w:sz="4" w:space="0" w:color="auto"/>
              <w:left w:val="nil"/>
              <w:bottom w:val="single" w:sz="4" w:space="0" w:color="auto"/>
              <w:right w:val="nil"/>
            </w:tcBorders>
            <w:noWrap/>
            <w:vAlign w:val="bottom"/>
            <w:hideMark/>
          </w:tcPr>
          <w:p w14:paraId="25F867DC"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PH</w:t>
            </w:r>
          </w:p>
        </w:tc>
        <w:tc>
          <w:tcPr>
            <w:tcW w:w="730" w:type="dxa"/>
            <w:tcBorders>
              <w:top w:val="single" w:sz="4" w:space="0" w:color="auto"/>
              <w:left w:val="nil"/>
              <w:bottom w:val="single" w:sz="4" w:space="0" w:color="auto"/>
              <w:right w:val="nil"/>
            </w:tcBorders>
            <w:noWrap/>
            <w:vAlign w:val="bottom"/>
            <w:hideMark/>
          </w:tcPr>
          <w:p w14:paraId="45B5387D"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EW</w:t>
            </w:r>
          </w:p>
        </w:tc>
        <w:tc>
          <w:tcPr>
            <w:tcW w:w="730" w:type="dxa"/>
            <w:tcBorders>
              <w:top w:val="single" w:sz="4" w:space="0" w:color="auto"/>
              <w:left w:val="nil"/>
              <w:bottom w:val="single" w:sz="4" w:space="0" w:color="auto"/>
              <w:right w:val="nil"/>
            </w:tcBorders>
            <w:noWrap/>
            <w:vAlign w:val="bottom"/>
            <w:hideMark/>
          </w:tcPr>
          <w:p w14:paraId="5444FDE2"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EL</w:t>
            </w:r>
          </w:p>
        </w:tc>
        <w:tc>
          <w:tcPr>
            <w:tcW w:w="730" w:type="dxa"/>
            <w:tcBorders>
              <w:top w:val="single" w:sz="4" w:space="0" w:color="auto"/>
              <w:left w:val="nil"/>
              <w:bottom w:val="single" w:sz="4" w:space="0" w:color="auto"/>
              <w:right w:val="nil"/>
            </w:tcBorders>
            <w:noWrap/>
            <w:vAlign w:val="bottom"/>
            <w:hideMark/>
          </w:tcPr>
          <w:p w14:paraId="46EAE7DA"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ED</w:t>
            </w:r>
          </w:p>
        </w:tc>
        <w:tc>
          <w:tcPr>
            <w:tcW w:w="995" w:type="dxa"/>
            <w:tcBorders>
              <w:top w:val="single" w:sz="4" w:space="0" w:color="auto"/>
              <w:left w:val="nil"/>
              <w:bottom w:val="single" w:sz="4" w:space="0" w:color="auto"/>
              <w:right w:val="nil"/>
            </w:tcBorders>
            <w:noWrap/>
            <w:vAlign w:val="bottom"/>
            <w:hideMark/>
          </w:tcPr>
          <w:p w14:paraId="3CCD6AF1"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GW100</w:t>
            </w:r>
          </w:p>
        </w:tc>
        <w:tc>
          <w:tcPr>
            <w:tcW w:w="730" w:type="dxa"/>
            <w:tcBorders>
              <w:top w:val="single" w:sz="4" w:space="0" w:color="auto"/>
              <w:left w:val="nil"/>
              <w:bottom w:val="single" w:sz="4" w:space="0" w:color="auto"/>
              <w:right w:val="nil"/>
            </w:tcBorders>
            <w:noWrap/>
            <w:vAlign w:val="bottom"/>
            <w:hideMark/>
          </w:tcPr>
          <w:p w14:paraId="2F8C63BD"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Yd</w:t>
            </w:r>
          </w:p>
        </w:tc>
        <w:tc>
          <w:tcPr>
            <w:tcW w:w="619" w:type="dxa"/>
            <w:tcBorders>
              <w:top w:val="single" w:sz="4" w:space="0" w:color="auto"/>
              <w:left w:val="nil"/>
              <w:bottom w:val="single" w:sz="4" w:space="0" w:color="auto"/>
              <w:right w:val="nil"/>
            </w:tcBorders>
            <w:noWrap/>
            <w:vAlign w:val="bottom"/>
            <w:hideMark/>
          </w:tcPr>
          <w:p w14:paraId="68DD25FC"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DA</w:t>
            </w:r>
          </w:p>
        </w:tc>
        <w:tc>
          <w:tcPr>
            <w:tcW w:w="619" w:type="dxa"/>
            <w:tcBorders>
              <w:top w:val="single" w:sz="4" w:space="0" w:color="auto"/>
              <w:left w:val="nil"/>
              <w:bottom w:val="single" w:sz="4" w:space="0" w:color="auto"/>
              <w:right w:val="nil"/>
            </w:tcBorders>
            <w:noWrap/>
            <w:vAlign w:val="bottom"/>
            <w:hideMark/>
          </w:tcPr>
          <w:p w14:paraId="07072FF5"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DS</w:t>
            </w:r>
          </w:p>
        </w:tc>
        <w:tc>
          <w:tcPr>
            <w:tcW w:w="619" w:type="dxa"/>
            <w:tcBorders>
              <w:top w:val="single" w:sz="4" w:space="0" w:color="auto"/>
              <w:left w:val="nil"/>
              <w:bottom w:val="single" w:sz="4" w:space="0" w:color="auto"/>
              <w:right w:val="nil"/>
            </w:tcBorders>
            <w:noWrap/>
            <w:vAlign w:val="bottom"/>
            <w:hideMark/>
          </w:tcPr>
          <w:p w14:paraId="39C783B3"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NL</w:t>
            </w:r>
          </w:p>
        </w:tc>
        <w:tc>
          <w:tcPr>
            <w:tcW w:w="752" w:type="dxa"/>
            <w:tcBorders>
              <w:top w:val="single" w:sz="4" w:space="0" w:color="auto"/>
              <w:left w:val="nil"/>
              <w:bottom w:val="single" w:sz="4" w:space="0" w:color="auto"/>
              <w:right w:val="nil"/>
            </w:tcBorders>
            <w:noWrap/>
            <w:vAlign w:val="bottom"/>
            <w:hideMark/>
          </w:tcPr>
          <w:p w14:paraId="36143E9F"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MCV</w:t>
            </w:r>
          </w:p>
        </w:tc>
      </w:tr>
      <w:tr w:rsidR="00C430EE" w:rsidRPr="00024043" w14:paraId="76CDEE9C" w14:textId="77777777" w:rsidTr="00F55B15">
        <w:trPr>
          <w:trHeight w:val="268"/>
          <w:jc w:val="center"/>
        </w:trPr>
        <w:tc>
          <w:tcPr>
            <w:tcW w:w="836" w:type="dxa"/>
            <w:tcBorders>
              <w:top w:val="single" w:sz="4" w:space="0" w:color="auto"/>
              <w:left w:val="nil"/>
              <w:bottom w:val="nil"/>
              <w:right w:val="nil"/>
            </w:tcBorders>
            <w:noWrap/>
            <w:vAlign w:val="bottom"/>
            <w:hideMark/>
          </w:tcPr>
          <w:p w14:paraId="1339C7D6"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T02</w:t>
            </w:r>
          </w:p>
        </w:tc>
        <w:tc>
          <w:tcPr>
            <w:tcW w:w="730" w:type="dxa"/>
            <w:tcBorders>
              <w:top w:val="single" w:sz="4" w:space="0" w:color="auto"/>
              <w:left w:val="nil"/>
              <w:bottom w:val="nil"/>
              <w:right w:val="nil"/>
            </w:tcBorders>
            <w:noWrap/>
            <w:vAlign w:val="bottom"/>
            <w:hideMark/>
          </w:tcPr>
          <w:p w14:paraId="2AB410BE"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10.66</w:t>
            </w:r>
          </w:p>
        </w:tc>
        <w:tc>
          <w:tcPr>
            <w:tcW w:w="730" w:type="dxa"/>
            <w:tcBorders>
              <w:top w:val="single" w:sz="4" w:space="0" w:color="auto"/>
              <w:left w:val="nil"/>
              <w:bottom w:val="nil"/>
              <w:right w:val="nil"/>
            </w:tcBorders>
            <w:noWrap/>
            <w:vAlign w:val="bottom"/>
            <w:hideMark/>
          </w:tcPr>
          <w:p w14:paraId="58F3251C"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6.97</w:t>
            </w:r>
          </w:p>
        </w:tc>
        <w:tc>
          <w:tcPr>
            <w:tcW w:w="730" w:type="dxa"/>
            <w:tcBorders>
              <w:top w:val="single" w:sz="4" w:space="0" w:color="auto"/>
              <w:left w:val="nil"/>
              <w:bottom w:val="nil"/>
              <w:right w:val="nil"/>
            </w:tcBorders>
            <w:noWrap/>
            <w:vAlign w:val="bottom"/>
            <w:hideMark/>
          </w:tcPr>
          <w:p w14:paraId="02E38615"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3.25</w:t>
            </w:r>
          </w:p>
        </w:tc>
        <w:tc>
          <w:tcPr>
            <w:tcW w:w="730" w:type="dxa"/>
            <w:tcBorders>
              <w:top w:val="single" w:sz="4" w:space="0" w:color="auto"/>
              <w:left w:val="nil"/>
              <w:bottom w:val="nil"/>
              <w:right w:val="nil"/>
            </w:tcBorders>
            <w:noWrap/>
            <w:vAlign w:val="bottom"/>
            <w:hideMark/>
          </w:tcPr>
          <w:p w14:paraId="6D9B7E1C"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8.90</w:t>
            </w:r>
          </w:p>
        </w:tc>
        <w:tc>
          <w:tcPr>
            <w:tcW w:w="730" w:type="dxa"/>
            <w:tcBorders>
              <w:top w:val="single" w:sz="4" w:space="0" w:color="auto"/>
              <w:left w:val="nil"/>
              <w:bottom w:val="nil"/>
              <w:right w:val="nil"/>
            </w:tcBorders>
            <w:noWrap/>
            <w:vAlign w:val="bottom"/>
            <w:hideMark/>
          </w:tcPr>
          <w:p w14:paraId="0141F802"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7.27</w:t>
            </w:r>
          </w:p>
        </w:tc>
        <w:tc>
          <w:tcPr>
            <w:tcW w:w="730" w:type="dxa"/>
            <w:tcBorders>
              <w:top w:val="single" w:sz="4" w:space="0" w:color="auto"/>
              <w:left w:val="nil"/>
              <w:bottom w:val="nil"/>
              <w:right w:val="nil"/>
            </w:tcBorders>
            <w:noWrap/>
            <w:vAlign w:val="bottom"/>
            <w:hideMark/>
          </w:tcPr>
          <w:p w14:paraId="5AD40445"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3.42</w:t>
            </w:r>
          </w:p>
        </w:tc>
        <w:tc>
          <w:tcPr>
            <w:tcW w:w="995" w:type="dxa"/>
            <w:tcBorders>
              <w:top w:val="single" w:sz="4" w:space="0" w:color="auto"/>
              <w:left w:val="nil"/>
              <w:bottom w:val="nil"/>
              <w:right w:val="nil"/>
            </w:tcBorders>
            <w:noWrap/>
            <w:vAlign w:val="bottom"/>
            <w:hideMark/>
          </w:tcPr>
          <w:p w14:paraId="12B4B6F8"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1.75</w:t>
            </w:r>
          </w:p>
        </w:tc>
        <w:tc>
          <w:tcPr>
            <w:tcW w:w="730" w:type="dxa"/>
            <w:tcBorders>
              <w:top w:val="single" w:sz="4" w:space="0" w:color="auto"/>
              <w:left w:val="nil"/>
              <w:bottom w:val="nil"/>
              <w:right w:val="nil"/>
            </w:tcBorders>
            <w:noWrap/>
            <w:vAlign w:val="bottom"/>
            <w:hideMark/>
          </w:tcPr>
          <w:p w14:paraId="39DBF640"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4.12</w:t>
            </w:r>
          </w:p>
        </w:tc>
        <w:tc>
          <w:tcPr>
            <w:tcW w:w="619" w:type="dxa"/>
            <w:tcBorders>
              <w:top w:val="single" w:sz="4" w:space="0" w:color="auto"/>
              <w:left w:val="nil"/>
              <w:bottom w:val="nil"/>
              <w:right w:val="nil"/>
            </w:tcBorders>
            <w:noWrap/>
            <w:vAlign w:val="bottom"/>
            <w:hideMark/>
          </w:tcPr>
          <w:p w14:paraId="22AE7E46"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0.91</w:t>
            </w:r>
          </w:p>
        </w:tc>
        <w:tc>
          <w:tcPr>
            <w:tcW w:w="619" w:type="dxa"/>
            <w:tcBorders>
              <w:top w:val="single" w:sz="4" w:space="0" w:color="auto"/>
              <w:left w:val="nil"/>
              <w:bottom w:val="nil"/>
              <w:right w:val="nil"/>
            </w:tcBorders>
            <w:noWrap/>
            <w:vAlign w:val="bottom"/>
            <w:hideMark/>
          </w:tcPr>
          <w:p w14:paraId="1B2EF70F"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1.48</w:t>
            </w:r>
          </w:p>
        </w:tc>
        <w:tc>
          <w:tcPr>
            <w:tcW w:w="619" w:type="dxa"/>
            <w:tcBorders>
              <w:top w:val="single" w:sz="4" w:space="0" w:color="auto"/>
              <w:left w:val="nil"/>
              <w:bottom w:val="nil"/>
              <w:right w:val="nil"/>
            </w:tcBorders>
            <w:noWrap/>
            <w:vAlign w:val="bottom"/>
            <w:hideMark/>
          </w:tcPr>
          <w:p w14:paraId="73C8B3B1"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6.41</w:t>
            </w:r>
          </w:p>
        </w:tc>
        <w:tc>
          <w:tcPr>
            <w:tcW w:w="752" w:type="dxa"/>
            <w:tcBorders>
              <w:top w:val="single" w:sz="4" w:space="0" w:color="auto"/>
              <w:left w:val="nil"/>
              <w:bottom w:val="nil"/>
              <w:right w:val="nil"/>
            </w:tcBorders>
            <w:noWrap/>
            <w:vAlign w:val="bottom"/>
            <w:hideMark/>
          </w:tcPr>
          <w:p w14:paraId="75A284CF"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5.22</w:t>
            </w:r>
          </w:p>
        </w:tc>
      </w:tr>
      <w:tr w:rsidR="00C430EE" w:rsidRPr="00024043" w14:paraId="7467B3D0" w14:textId="77777777" w:rsidTr="00F55B15">
        <w:trPr>
          <w:trHeight w:val="268"/>
          <w:jc w:val="center"/>
        </w:trPr>
        <w:tc>
          <w:tcPr>
            <w:tcW w:w="836" w:type="dxa"/>
            <w:tcBorders>
              <w:top w:val="nil"/>
              <w:left w:val="nil"/>
              <w:bottom w:val="nil"/>
              <w:right w:val="nil"/>
            </w:tcBorders>
            <w:noWrap/>
            <w:vAlign w:val="bottom"/>
            <w:hideMark/>
          </w:tcPr>
          <w:p w14:paraId="5547C8C9"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L22</w:t>
            </w:r>
          </w:p>
        </w:tc>
        <w:tc>
          <w:tcPr>
            <w:tcW w:w="730" w:type="dxa"/>
            <w:tcBorders>
              <w:top w:val="nil"/>
              <w:left w:val="nil"/>
              <w:bottom w:val="nil"/>
              <w:right w:val="nil"/>
            </w:tcBorders>
            <w:noWrap/>
            <w:vAlign w:val="bottom"/>
            <w:hideMark/>
          </w:tcPr>
          <w:p w14:paraId="3DEEB96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val="fr-FR" w:eastAsia="en-GB"/>
              </w:rPr>
              <w:t>12</w:t>
            </w:r>
            <w:r w:rsidRPr="00024043">
              <w:rPr>
                <w:rFonts w:ascii="Arial" w:eastAsia="Times New Roman" w:hAnsi="Arial" w:cs="Arial"/>
                <w:color w:val="000000"/>
                <w:sz w:val="20"/>
                <w:szCs w:val="20"/>
                <w:lang w:eastAsia="en-GB"/>
              </w:rPr>
              <w:t>.11</w:t>
            </w:r>
          </w:p>
        </w:tc>
        <w:tc>
          <w:tcPr>
            <w:tcW w:w="730" w:type="dxa"/>
            <w:tcBorders>
              <w:top w:val="nil"/>
              <w:left w:val="nil"/>
              <w:bottom w:val="nil"/>
              <w:right w:val="nil"/>
            </w:tcBorders>
            <w:noWrap/>
            <w:vAlign w:val="bottom"/>
            <w:hideMark/>
          </w:tcPr>
          <w:p w14:paraId="0A4CBF2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9.41</w:t>
            </w:r>
          </w:p>
        </w:tc>
        <w:tc>
          <w:tcPr>
            <w:tcW w:w="730" w:type="dxa"/>
            <w:tcBorders>
              <w:top w:val="nil"/>
              <w:left w:val="nil"/>
              <w:bottom w:val="nil"/>
              <w:right w:val="nil"/>
            </w:tcBorders>
            <w:noWrap/>
            <w:vAlign w:val="bottom"/>
            <w:hideMark/>
          </w:tcPr>
          <w:p w14:paraId="3D4EF1B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6.19</w:t>
            </w:r>
          </w:p>
        </w:tc>
        <w:tc>
          <w:tcPr>
            <w:tcW w:w="730" w:type="dxa"/>
            <w:tcBorders>
              <w:top w:val="nil"/>
              <w:left w:val="nil"/>
              <w:bottom w:val="nil"/>
              <w:right w:val="nil"/>
            </w:tcBorders>
            <w:noWrap/>
            <w:vAlign w:val="bottom"/>
            <w:hideMark/>
          </w:tcPr>
          <w:p w14:paraId="189D026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7.64</w:t>
            </w:r>
          </w:p>
        </w:tc>
        <w:tc>
          <w:tcPr>
            <w:tcW w:w="730" w:type="dxa"/>
            <w:tcBorders>
              <w:top w:val="nil"/>
              <w:left w:val="nil"/>
              <w:bottom w:val="nil"/>
              <w:right w:val="nil"/>
            </w:tcBorders>
            <w:noWrap/>
            <w:vAlign w:val="bottom"/>
            <w:hideMark/>
          </w:tcPr>
          <w:p w14:paraId="5A72175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3.77</w:t>
            </w:r>
          </w:p>
        </w:tc>
        <w:tc>
          <w:tcPr>
            <w:tcW w:w="730" w:type="dxa"/>
            <w:tcBorders>
              <w:top w:val="nil"/>
              <w:left w:val="nil"/>
              <w:bottom w:val="nil"/>
              <w:right w:val="nil"/>
            </w:tcBorders>
            <w:noWrap/>
            <w:vAlign w:val="bottom"/>
            <w:hideMark/>
          </w:tcPr>
          <w:p w14:paraId="65F629F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6.93</w:t>
            </w:r>
          </w:p>
        </w:tc>
        <w:tc>
          <w:tcPr>
            <w:tcW w:w="995" w:type="dxa"/>
            <w:tcBorders>
              <w:top w:val="nil"/>
              <w:left w:val="nil"/>
              <w:bottom w:val="nil"/>
              <w:right w:val="nil"/>
            </w:tcBorders>
            <w:noWrap/>
            <w:vAlign w:val="bottom"/>
            <w:hideMark/>
          </w:tcPr>
          <w:p w14:paraId="2FB5B06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9.93</w:t>
            </w:r>
          </w:p>
        </w:tc>
        <w:tc>
          <w:tcPr>
            <w:tcW w:w="730" w:type="dxa"/>
            <w:tcBorders>
              <w:top w:val="nil"/>
              <w:left w:val="nil"/>
              <w:bottom w:val="nil"/>
              <w:right w:val="nil"/>
            </w:tcBorders>
            <w:noWrap/>
            <w:vAlign w:val="bottom"/>
            <w:hideMark/>
          </w:tcPr>
          <w:p w14:paraId="683CD23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14.28</w:t>
            </w:r>
          </w:p>
        </w:tc>
        <w:tc>
          <w:tcPr>
            <w:tcW w:w="619" w:type="dxa"/>
            <w:tcBorders>
              <w:top w:val="nil"/>
              <w:left w:val="nil"/>
              <w:bottom w:val="nil"/>
              <w:right w:val="nil"/>
            </w:tcBorders>
            <w:noWrap/>
            <w:vAlign w:val="bottom"/>
            <w:hideMark/>
          </w:tcPr>
          <w:p w14:paraId="17377C0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2.70</w:t>
            </w:r>
          </w:p>
        </w:tc>
        <w:tc>
          <w:tcPr>
            <w:tcW w:w="619" w:type="dxa"/>
            <w:tcBorders>
              <w:top w:val="nil"/>
              <w:left w:val="nil"/>
              <w:bottom w:val="nil"/>
              <w:right w:val="nil"/>
            </w:tcBorders>
            <w:noWrap/>
            <w:vAlign w:val="bottom"/>
            <w:hideMark/>
          </w:tcPr>
          <w:p w14:paraId="469E231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3.52</w:t>
            </w:r>
          </w:p>
        </w:tc>
        <w:tc>
          <w:tcPr>
            <w:tcW w:w="619" w:type="dxa"/>
            <w:tcBorders>
              <w:top w:val="nil"/>
              <w:left w:val="nil"/>
              <w:bottom w:val="nil"/>
              <w:right w:val="nil"/>
            </w:tcBorders>
            <w:noWrap/>
            <w:vAlign w:val="bottom"/>
            <w:hideMark/>
          </w:tcPr>
          <w:p w14:paraId="3BB4E59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4.69</w:t>
            </w:r>
          </w:p>
        </w:tc>
        <w:tc>
          <w:tcPr>
            <w:tcW w:w="752" w:type="dxa"/>
            <w:tcBorders>
              <w:top w:val="nil"/>
              <w:left w:val="nil"/>
              <w:bottom w:val="nil"/>
              <w:right w:val="nil"/>
            </w:tcBorders>
            <w:noWrap/>
            <w:vAlign w:val="bottom"/>
            <w:hideMark/>
          </w:tcPr>
          <w:p w14:paraId="25D841F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7.12</w:t>
            </w:r>
          </w:p>
        </w:tc>
      </w:tr>
      <w:tr w:rsidR="00C430EE" w:rsidRPr="00024043" w14:paraId="02B6E116" w14:textId="77777777" w:rsidTr="00F55B15">
        <w:trPr>
          <w:trHeight w:val="268"/>
          <w:jc w:val="center"/>
        </w:trPr>
        <w:tc>
          <w:tcPr>
            <w:tcW w:w="836" w:type="dxa"/>
            <w:tcBorders>
              <w:top w:val="nil"/>
              <w:left w:val="nil"/>
              <w:bottom w:val="nil"/>
              <w:right w:val="nil"/>
            </w:tcBorders>
            <w:noWrap/>
            <w:vAlign w:val="bottom"/>
            <w:hideMark/>
          </w:tcPr>
          <w:p w14:paraId="496A21E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L29</w:t>
            </w:r>
          </w:p>
        </w:tc>
        <w:tc>
          <w:tcPr>
            <w:tcW w:w="730" w:type="dxa"/>
            <w:tcBorders>
              <w:top w:val="nil"/>
              <w:left w:val="nil"/>
              <w:bottom w:val="nil"/>
              <w:right w:val="nil"/>
            </w:tcBorders>
            <w:noWrap/>
            <w:vAlign w:val="bottom"/>
            <w:hideMark/>
          </w:tcPr>
          <w:p w14:paraId="07A3982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10.21</w:t>
            </w:r>
          </w:p>
        </w:tc>
        <w:tc>
          <w:tcPr>
            <w:tcW w:w="730" w:type="dxa"/>
            <w:tcBorders>
              <w:top w:val="nil"/>
              <w:left w:val="nil"/>
              <w:bottom w:val="nil"/>
              <w:right w:val="nil"/>
            </w:tcBorders>
            <w:noWrap/>
            <w:vAlign w:val="bottom"/>
            <w:hideMark/>
          </w:tcPr>
          <w:p w14:paraId="2A0FCB1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7.27</w:t>
            </w:r>
          </w:p>
        </w:tc>
        <w:tc>
          <w:tcPr>
            <w:tcW w:w="730" w:type="dxa"/>
            <w:tcBorders>
              <w:top w:val="nil"/>
              <w:left w:val="nil"/>
              <w:bottom w:val="nil"/>
              <w:right w:val="nil"/>
            </w:tcBorders>
            <w:noWrap/>
            <w:vAlign w:val="bottom"/>
            <w:hideMark/>
          </w:tcPr>
          <w:p w14:paraId="3AEFAF9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8.31</w:t>
            </w:r>
          </w:p>
        </w:tc>
        <w:tc>
          <w:tcPr>
            <w:tcW w:w="730" w:type="dxa"/>
            <w:tcBorders>
              <w:top w:val="nil"/>
              <w:left w:val="nil"/>
              <w:bottom w:val="nil"/>
              <w:right w:val="nil"/>
            </w:tcBorders>
            <w:noWrap/>
            <w:vAlign w:val="bottom"/>
            <w:hideMark/>
          </w:tcPr>
          <w:p w14:paraId="182FF31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11.11</w:t>
            </w:r>
          </w:p>
        </w:tc>
        <w:tc>
          <w:tcPr>
            <w:tcW w:w="730" w:type="dxa"/>
            <w:tcBorders>
              <w:top w:val="nil"/>
              <w:left w:val="nil"/>
              <w:bottom w:val="nil"/>
              <w:right w:val="nil"/>
            </w:tcBorders>
            <w:noWrap/>
            <w:vAlign w:val="bottom"/>
            <w:hideMark/>
          </w:tcPr>
          <w:p w14:paraId="028DC54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2.20</w:t>
            </w:r>
          </w:p>
        </w:tc>
        <w:tc>
          <w:tcPr>
            <w:tcW w:w="730" w:type="dxa"/>
            <w:tcBorders>
              <w:top w:val="nil"/>
              <w:left w:val="nil"/>
              <w:bottom w:val="nil"/>
              <w:right w:val="nil"/>
            </w:tcBorders>
            <w:noWrap/>
            <w:vAlign w:val="bottom"/>
            <w:hideMark/>
          </w:tcPr>
          <w:p w14:paraId="13D4E07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5.27</w:t>
            </w:r>
          </w:p>
        </w:tc>
        <w:tc>
          <w:tcPr>
            <w:tcW w:w="995" w:type="dxa"/>
            <w:tcBorders>
              <w:top w:val="nil"/>
              <w:left w:val="nil"/>
              <w:bottom w:val="nil"/>
              <w:right w:val="nil"/>
            </w:tcBorders>
            <w:noWrap/>
            <w:vAlign w:val="bottom"/>
            <w:hideMark/>
          </w:tcPr>
          <w:p w14:paraId="68B3581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5.82</w:t>
            </w:r>
          </w:p>
        </w:tc>
        <w:tc>
          <w:tcPr>
            <w:tcW w:w="730" w:type="dxa"/>
            <w:tcBorders>
              <w:top w:val="nil"/>
              <w:left w:val="nil"/>
              <w:bottom w:val="nil"/>
              <w:right w:val="nil"/>
            </w:tcBorders>
            <w:noWrap/>
            <w:vAlign w:val="bottom"/>
            <w:hideMark/>
          </w:tcPr>
          <w:p w14:paraId="43478A0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17.14</w:t>
            </w:r>
          </w:p>
        </w:tc>
        <w:tc>
          <w:tcPr>
            <w:tcW w:w="619" w:type="dxa"/>
            <w:tcBorders>
              <w:top w:val="nil"/>
              <w:left w:val="nil"/>
              <w:bottom w:val="nil"/>
              <w:right w:val="nil"/>
            </w:tcBorders>
            <w:noWrap/>
            <w:vAlign w:val="bottom"/>
            <w:hideMark/>
          </w:tcPr>
          <w:p w14:paraId="19C9843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4.47</w:t>
            </w:r>
          </w:p>
        </w:tc>
        <w:tc>
          <w:tcPr>
            <w:tcW w:w="619" w:type="dxa"/>
            <w:tcBorders>
              <w:top w:val="nil"/>
              <w:left w:val="nil"/>
              <w:bottom w:val="nil"/>
              <w:right w:val="nil"/>
            </w:tcBorders>
            <w:noWrap/>
            <w:vAlign w:val="bottom"/>
            <w:hideMark/>
          </w:tcPr>
          <w:p w14:paraId="62E29D8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3.39</w:t>
            </w:r>
          </w:p>
        </w:tc>
        <w:tc>
          <w:tcPr>
            <w:tcW w:w="619" w:type="dxa"/>
            <w:tcBorders>
              <w:top w:val="nil"/>
              <w:left w:val="nil"/>
              <w:bottom w:val="nil"/>
              <w:right w:val="nil"/>
            </w:tcBorders>
            <w:noWrap/>
            <w:vAlign w:val="bottom"/>
            <w:hideMark/>
          </w:tcPr>
          <w:p w14:paraId="2AC32D6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4.99</w:t>
            </w:r>
          </w:p>
        </w:tc>
        <w:tc>
          <w:tcPr>
            <w:tcW w:w="752" w:type="dxa"/>
            <w:tcBorders>
              <w:top w:val="nil"/>
              <w:left w:val="nil"/>
              <w:bottom w:val="nil"/>
              <w:right w:val="nil"/>
            </w:tcBorders>
            <w:noWrap/>
            <w:vAlign w:val="bottom"/>
            <w:hideMark/>
          </w:tcPr>
          <w:p w14:paraId="1CB2641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7.61</w:t>
            </w:r>
          </w:p>
        </w:tc>
      </w:tr>
      <w:tr w:rsidR="00C430EE" w:rsidRPr="00024043" w14:paraId="74F58121" w14:textId="77777777" w:rsidTr="00F55B15">
        <w:trPr>
          <w:trHeight w:val="268"/>
          <w:jc w:val="center"/>
        </w:trPr>
        <w:tc>
          <w:tcPr>
            <w:tcW w:w="836" w:type="dxa"/>
            <w:tcBorders>
              <w:top w:val="nil"/>
              <w:left w:val="nil"/>
              <w:bottom w:val="nil"/>
              <w:right w:val="nil"/>
            </w:tcBorders>
            <w:noWrap/>
            <w:vAlign w:val="bottom"/>
            <w:hideMark/>
          </w:tcPr>
          <w:p w14:paraId="3CE5BFD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L25</w:t>
            </w:r>
          </w:p>
        </w:tc>
        <w:tc>
          <w:tcPr>
            <w:tcW w:w="730" w:type="dxa"/>
            <w:tcBorders>
              <w:top w:val="nil"/>
              <w:left w:val="nil"/>
              <w:bottom w:val="nil"/>
              <w:right w:val="nil"/>
            </w:tcBorders>
            <w:noWrap/>
            <w:vAlign w:val="bottom"/>
            <w:hideMark/>
          </w:tcPr>
          <w:p w14:paraId="54FD737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12.76</w:t>
            </w:r>
          </w:p>
        </w:tc>
        <w:tc>
          <w:tcPr>
            <w:tcW w:w="730" w:type="dxa"/>
            <w:tcBorders>
              <w:top w:val="nil"/>
              <w:left w:val="nil"/>
              <w:bottom w:val="nil"/>
              <w:right w:val="nil"/>
            </w:tcBorders>
            <w:noWrap/>
            <w:vAlign w:val="bottom"/>
            <w:hideMark/>
          </w:tcPr>
          <w:p w14:paraId="1A42D32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14.93</w:t>
            </w:r>
          </w:p>
        </w:tc>
        <w:tc>
          <w:tcPr>
            <w:tcW w:w="730" w:type="dxa"/>
            <w:tcBorders>
              <w:top w:val="nil"/>
              <w:left w:val="nil"/>
              <w:bottom w:val="nil"/>
              <w:right w:val="nil"/>
            </w:tcBorders>
            <w:noWrap/>
            <w:vAlign w:val="bottom"/>
            <w:hideMark/>
          </w:tcPr>
          <w:p w14:paraId="10AC3B5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8.38</w:t>
            </w:r>
          </w:p>
        </w:tc>
        <w:tc>
          <w:tcPr>
            <w:tcW w:w="730" w:type="dxa"/>
            <w:tcBorders>
              <w:top w:val="nil"/>
              <w:left w:val="nil"/>
              <w:bottom w:val="nil"/>
              <w:right w:val="nil"/>
            </w:tcBorders>
            <w:noWrap/>
            <w:vAlign w:val="bottom"/>
            <w:hideMark/>
          </w:tcPr>
          <w:p w14:paraId="3A6E4CB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18.61</w:t>
            </w:r>
          </w:p>
        </w:tc>
        <w:tc>
          <w:tcPr>
            <w:tcW w:w="730" w:type="dxa"/>
            <w:tcBorders>
              <w:top w:val="nil"/>
              <w:left w:val="nil"/>
              <w:bottom w:val="nil"/>
              <w:right w:val="nil"/>
            </w:tcBorders>
            <w:noWrap/>
            <w:vAlign w:val="bottom"/>
            <w:hideMark/>
          </w:tcPr>
          <w:p w14:paraId="3481812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2.58</w:t>
            </w:r>
          </w:p>
        </w:tc>
        <w:tc>
          <w:tcPr>
            <w:tcW w:w="730" w:type="dxa"/>
            <w:tcBorders>
              <w:top w:val="nil"/>
              <w:left w:val="nil"/>
              <w:bottom w:val="nil"/>
              <w:right w:val="nil"/>
            </w:tcBorders>
            <w:noWrap/>
            <w:vAlign w:val="bottom"/>
            <w:hideMark/>
          </w:tcPr>
          <w:p w14:paraId="6743FD3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3.96</w:t>
            </w:r>
          </w:p>
        </w:tc>
        <w:tc>
          <w:tcPr>
            <w:tcW w:w="995" w:type="dxa"/>
            <w:tcBorders>
              <w:top w:val="nil"/>
              <w:left w:val="nil"/>
              <w:bottom w:val="nil"/>
              <w:right w:val="nil"/>
            </w:tcBorders>
            <w:noWrap/>
            <w:vAlign w:val="bottom"/>
            <w:hideMark/>
          </w:tcPr>
          <w:p w14:paraId="36554D11"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2.52</w:t>
            </w:r>
          </w:p>
        </w:tc>
        <w:tc>
          <w:tcPr>
            <w:tcW w:w="730" w:type="dxa"/>
            <w:tcBorders>
              <w:top w:val="nil"/>
              <w:left w:val="nil"/>
              <w:bottom w:val="nil"/>
              <w:right w:val="nil"/>
            </w:tcBorders>
            <w:noWrap/>
            <w:vAlign w:val="bottom"/>
            <w:hideMark/>
          </w:tcPr>
          <w:p w14:paraId="017A603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13.80</w:t>
            </w:r>
          </w:p>
        </w:tc>
        <w:tc>
          <w:tcPr>
            <w:tcW w:w="619" w:type="dxa"/>
            <w:tcBorders>
              <w:top w:val="nil"/>
              <w:left w:val="nil"/>
              <w:bottom w:val="nil"/>
              <w:right w:val="nil"/>
            </w:tcBorders>
            <w:noWrap/>
            <w:vAlign w:val="bottom"/>
            <w:hideMark/>
          </w:tcPr>
          <w:p w14:paraId="3371B94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3.68</w:t>
            </w:r>
          </w:p>
        </w:tc>
        <w:tc>
          <w:tcPr>
            <w:tcW w:w="619" w:type="dxa"/>
            <w:tcBorders>
              <w:top w:val="nil"/>
              <w:left w:val="nil"/>
              <w:bottom w:val="nil"/>
              <w:right w:val="nil"/>
            </w:tcBorders>
            <w:noWrap/>
            <w:vAlign w:val="bottom"/>
            <w:hideMark/>
          </w:tcPr>
          <w:p w14:paraId="2CDD456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4.29</w:t>
            </w:r>
          </w:p>
        </w:tc>
        <w:tc>
          <w:tcPr>
            <w:tcW w:w="619" w:type="dxa"/>
            <w:tcBorders>
              <w:top w:val="nil"/>
              <w:left w:val="nil"/>
              <w:bottom w:val="nil"/>
              <w:right w:val="nil"/>
            </w:tcBorders>
            <w:noWrap/>
            <w:vAlign w:val="bottom"/>
            <w:hideMark/>
          </w:tcPr>
          <w:p w14:paraId="3FBBBF1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5.24</w:t>
            </w:r>
          </w:p>
        </w:tc>
        <w:tc>
          <w:tcPr>
            <w:tcW w:w="752" w:type="dxa"/>
            <w:tcBorders>
              <w:top w:val="nil"/>
              <w:left w:val="nil"/>
              <w:bottom w:val="nil"/>
              <w:right w:val="nil"/>
            </w:tcBorders>
            <w:noWrap/>
            <w:vAlign w:val="bottom"/>
            <w:hideMark/>
          </w:tcPr>
          <w:p w14:paraId="209E537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8.53</w:t>
            </w:r>
          </w:p>
        </w:tc>
      </w:tr>
      <w:tr w:rsidR="00C430EE" w:rsidRPr="00024043" w14:paraId="2DAD119B" w14:textId="77777777" w:rsidTr="00F55B15">
        <w:trPr>
          <w:trHeight w:val="268"/>
          <w:jc w:val="center"/>
        </w:trPr>
        <w:tc>
          <w:tcPr>
            <w:tcW w:w="836" w:type="dxa"/>
            <w:tcBorders>
              <w:top w:val="nil"/>
              <w:left w:val="nil"/>
              <w:bottom w:val="nil"/>
              <w:right w:val="nil"/>
            </w:tcBorders>
            <w:noWrap/>
            <w:vAlign w:val="bottom"/>
            <w:hideMark/>
          </w:tcPr>
          <w:p w14:paraId="0967BAF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L33</w:t>
            </w:r>
          </w:p>
        </w:tc>
        <w:tc>
          <w:tcPr>
            <w:tcW w:w="730" w:type="dxa"/>
            <w:tcBorders>
              <w:top w:val="nil"/>
              <w:left w:val="nil"/>
              <w:bottom w:val="nil"/>
              <w:right w:val="nil"/>
            </w:tcBorders>
            <w:noWrap/>
            <w:vAlign w:val="bottom"/>
            <w:hideMark/>
          </w:tcPr>
          <w:p w14:paraId="6B7C3F7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10.82</w:t>
            </w:r>
          </w:p>
        </w:tc>
        <w:tc>
          <w:tcPr>
            <w:tcW w:w="730" w:type="dxa"/>
            <w:tcBorders>
              <w:top w:val="nil"/>
              <w:left w:val="nil"/>
              <w:bottom w:val="nil"/>
              <w:right w:val="nil"/>
            </w:tcBorders>
            <w:noWrap/>
            <w:vAlign w:val="bottom"/>
            <w:hideMark/>
          </w:tcPr>
          <w:p w14:paraId="189B98B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16.40</w:t>
            </w:r>
          </w:p>
        </w:tc>
        <w:tc>
          <w:tcPr>
            <w:tcW w:w="730" w:type="dxa"/>
            <w:tcBorders>
              <w:top w:val="nil"/>
              <w:left w:val="nil"/>
              <w:bottom w:val="nil"/>
              <w:right w:val="nil"/>
            </w:tcBorders>
            <w:noWrap/>
            <w:vAlign w:val="bottom"/>
            <w:hideMark/>
          </w:tcPr>
          <w:p w14:paraId="243F62B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7.87</w:t>
            </w:r>
          </w:p>
        </w:tc>
        <w:tc>
          <w:tcPr>
            <w:tcW w:w="730" w:type="dxa"/>
            <w:tcBorders>
              <w:top w:val="nil"/>
              <w:left w:val="nil"/>
              <w:bottom w:val="nil"/>
              <w:right w:val="nil"/>
            </w:tcBorders>
            <w:noWrap/>
            <w:vAlign w:val="bottom"/>
            <w:hideMark/>
          </w:tcPr>
          <w:p w14:paraId="2EBA574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5.80</w:t>
            </w:r>
          </w:p>
        </w:tc>
        <w:tc>
          <w:tcPr>
            <w:tcW w:w="730" w:type="dxa"/>
            <w:tcBorders>
              <w:top w:val="nil"/>
              <w:left w:val="nil"/>
              <w:bottom w:val="nil"/>
              <w:right w:val="nil"/>
            </w:tcBorders>
            <w:noWrap/>
            <w:vAlign w:val="bottom"/>
            <w:hideMark/>
          </w:tcPr>
          <w:p w14:paraId="3DB3080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5.83</w:t>
            </w:r>
          </w:p>
        </w:tc>
        <w:tc>
          <w:tcPr>
            <w:tcW w:w="730" w:type="dxa"/>
            <w:tcBorders>
              <w:top w:val="nil"/>
              <w:left w:val="nil"/>
              <w:bottom w:val="nil"/>
              <w:right w:val="nil"/>
            </w:tcBorders>
            <w:noWrap/>
            <w:vAlign w:val="bottom"/>
            <w:hideMark/>
          </w:tcPr>
          <w:p w14:paraId="1846AD3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3.44</w:t>
            </w:r>
          </w:p>
        </w:tc>
        <w:tc>
          <w:tcPr>
            <w:tcW w:w="995" w:type="dxa"/>
            <w:tcBorders>
              <w:top w:val="nil"/>
              <w:left w:val="nil"/>
              <w:bottom w:val="nil"/>
              <w:right w:val="nil"/>
            </w:tcBorders>
            <w:noWrap/>
            <w:vAlign w:val="bottom"/>
            <w:hideMark/>
          </w:tcPr>
          <w:p w14:paraId="6A70AA5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19.04</w:t>
            </w:r>
          </w:p>
        </w:tc>
        <w:tc>
          <w:tcPr>
            <w:tcW w:w="730" w:type="dxa"/>
            <w:tcBorders>
              <w:top w:val="nil"/>
              <w:left w:val="nil"/>
              <w:bottom w:val="nil"/>
              <w:right w:val="nil"/>
            </w:tcBorders>
            <w:noWrap/>
            <w:vAlign w:val="bottom"/>
            <w:hideMark/>
          </w:tcPr>
          <w:p w14:paraId="7F43B9B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14.44</w:t>
            </w:r>
          </w:p>
        </w:tc>
        <w:tc>
          <w:tcPr>
            <w:tcW w:w="619" w:type="dxa"/>
            <w:tcBorders>
              <w:top w:val="nil"/>
              <w:left w:val="nil"/>
              <w:bottom w:val="nil"/>
              <w:right w:val="nil"/>
            </w:tcBorders>
            <w:noWrap/>
            <w:vAlign w:val="bottom"/>
            <w:hideMark/>
          </w:tcPr>
          <w:p w14:paraId="19AEB5D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4.13</w:t>
            </w:r>
          </w:p>
        </w:tc>
        <w:tc>
          <w:tcPr>
            <w:tcW w:w="619" w:type="dxa"/>
            <w:tcBorders>
              <w:top w:val="nil"/>
              <w:left w:val="nil"/>
              <w:bottom w:val="nil"/>
              <w:right w:val="nil"/>
            </w:tcBorders>
            <w:noWrap/>
            <w:vAlign w:val="bottom"/>
            <w:hideMark/>
          </w:tcPr>
          <w:p w14:paraId="5E824DA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5.75</w:t>
            </w:r>
          </w:p>
        </w:tc>
        <w:tc>
          <w:tcPr>
            <w:tcW w:w="619" w:type="dxa"/>
            <w:tcBorders>
              <w:top w:val="nil"/>
              <w:left w:val="nil"/>
              <w:bottom w:val="nil"/>
              <w:right w:val="nil"/>
            </w:tcBorders>
            <w:noWrap/>
            <w:vAlign w:val="bottom"/>
            <w:hideMark/>
          </w:tcPr>
          <w:p w14:paraId="47E9A5A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7.14</w:t>
            </w:r>
          </w:p>
        </w:tc>
        <w:tc>
          <w:tcPr>
            <w:tcW w:w="752" w:type="dxa"/>
            <w:tcBorders>
              <w:top w:val="nil"/>
              <w:left w:val="nil"/>
              <w:bottom w:val="nil"/>
              <w:right w:val="nil"/>
            </w:tcBorders>
            <w:noWrap/>
            <w:vAlign w:val="bottom"/>
            <w:hideMark/>
          </w:tcPr>
          <w:p w14:paraId="6984FB6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9.28</w:t>
            </w:r>
          </w:p>
        </w:tc>
      </w:tr>
      <w:tr w:rsidR="00C430EE" w:rsidRPr="00024043" w14:paraId="53085A9D" w14:textId="77777777" w:rsidTr="00F55B15">
        <w:trPr>
          <w:trHeight w:val="268"/>
          <w:jc w:val="center"/>
        </w:trPr>
        <w:tc>
          <w:tcPr>
            <w:tcW w:w="836" w:type="dxa"/>
            <w:tcBorders>
              <w:top w:val="nil"/>
              <w:left w:val="nil"/>
              <w:bottom w:val="nil"/>
              <w:right w:val="nil"/>
            </w:tcBorders>
            <w:noWrap/>
            <w:vAlign w:val="bottom"/>
            <w:hideMark/>
          </w:tcPr>
          <w:p w14:paraId="63893ED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L26</w:t>
            </w:r>
          </w:p>
        </w:tc>
        <w:tc>
          <w:tcPr>
            <w:tcW w:w="730" w:type="dxa"/>
            <w:tcBorders>
              <w:top w:val="nil"/>
              <w:left w:val="nil"/>
              <w:bottom w:val="nil"/>
              <w:right w:val="nil"/>
            </w:tcBorders>
            <w:noWrap/>
            <w:vAlign w:val="bottom"/>
            <w:hideMark/>
          </w:tcPr>
          <w:p w14:paraId="233C047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10.63</w:t>
            </w:r>
          </w:p>
        </w:tc>
        <w:tc>
          <w:tcPr>
            <w:tcW w:w="730" w:type="dxa"/>
            <w:tcBorders>
              <w:top w:val="nil"/>
              <w:left w:val="nil"/>
              <w:bottom w:val="nil"/>
              <w:right w:val="nil"/>
            </w:tcBorders>
            <w:noWrap/>
            <w:vAlign w:val="bottom"/>
            <w:hideMark/>
          </w:tcPr>
          <w:p w14:paraId="5084EF1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19.05</w:t>
            </w:r>
          </w:p>
        </w:tc>
        <w:tc>
          <w:tcPr>
            <w:tcW w:w="730" w:type="dxa"/>
            <w:tcBorders>
              <w:top w:val="nil"/>
              <w:left w:val="nil"/>
              <w:bottom w:val="nil"/>
              <w:right w:val="nil"/>
            </w:tcBorders>
            <w:noWrap/>
            <w:vAlign w:val="bottom"/>
            <w:hideMark/>
          </w:tcPr>
          <w:p w14:paraId="16D57B0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9.07</w:t>
            </w:r>
          </w:p>
        </w:tc>
        <w:tc>
          <w:tcPr>
            <w:tcW w:w="730" w:type="dxa"/>
            <w:tcBorders>
              <w:top w:val="nil"/>
              <w:left w:val="nil"/>
              <w:bottom w:val="nil"/>
              <w:right w:val="nil"/>
            </w:tcBorders>
            <w:noWrap/>
            <w:vAlign w:val="bottom"/>
            <w:hideMark/>
          </w:tcPr>
          <w:p w14:paraId="16DEB44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5.46</w:t>
            </w:r>
          </w:p>
        </w:tc>
        <w:tc>
          <w:tcPr>
            <w:tcW w:w="730" w:type="dxa"/>
            <w:tcBorders>
              <w:top w:val="nil"/>
              <w:left w:val="nil"/>
              <w:bottom w:val="nil"/>
              <w:right w:val="nil"/>
            </w:tcBorders>
            <w:noWrap/>
            <w:vAlign w:val="bottom"/>
            <w:hideMark/>
          </w:tcPr>
          <w:p w14:paraId="78B7131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9.35</w:t>
            </w:r>
          </w:p>
        </w:tc>
        <w:tc>
          <w:tcPr>
            <w:tcW w:w="730" w:type="dxa"/>
            <w:tcBorders>
              <w:top w:val="nil"/>
              <w:left w:val="nil"/>
              <w:bottom w:val="nil"/>
              <w:right w:val="nil"/>
            </w:tcBorders>
            <w:noWrap/>
            <w:vAlign w:val="bottom"/>
            <w:hideMark/>
          </w:tcPr>
          <w:p w14:paraId="2264002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6.76</w:t>
            </w:r>
          </w:p>
        </w:tc>
        <w:tc>
          <w:tcPr>
            <w:tcW w:w="995" w:type="dxa"/>
            <w:tcBorders>
              <w:top w:val="nil"/>
              <w:left w:val="nil"/>
              <w:bottom w:val="nil"/>
              <w:right w:val="nil"/>
            </w:tcBorders>
            <w:noWrap/>
            <w:vAlign w:val="bottom"/>
            <w:hideMark/>
          </w:tcPr>
          <w:p w14:paraId="71674F0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5.18</w:t>
            </w:r>
          </w:p>
        </w:tc>
        <w:tc>
          <w:tcPr>
            <w:tcW w:w="730" w:type="dxa"/>
            <w:tcBorders>
              <w:top w:val="nil"/>
              <w:left w:val="nil"/>
              <w:bottom w:val="nil"/>
              <w:right w:val="nil"/>
            </w:tcBorders>
            <w:noWrap/>
            <w:vAlign w:val="bottom"/>
            <w:hideMark/>
          </w:tcPr>
          <w:p w14:paraId="2350B95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13.46</w:t>
            </w:r>
          </w:p>
        </w:tc>
        <w:tc>
          <w:tcPr>
            <w:tcW w:w="619" w:type="dxa"/>
            <w:tcBorders>
              <w:top w:val="nil"/>
              <w:left w:val="nil"/>
              <w:bottom w:val="nil"/>
              <w:right w:val="nil"/>
            </w:tcBorders>
            <w:noWrap/>
            <w:vAlign w:val="bottom"/>
            <w:hideMark/>
          </w:tcPr>
          <w:p w14:paraId="18BCAE6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5.72</w:t>
            </w:r>
          </w:p>
        </w:tc>
        <w:tc>
          <w:tcPr>
            <w:tcW w:w="619" w:type="dxa"/>
            <w:tcBorders>
              <w:top w:val="nil"/>
              <w:left w:val="nil"/>
              <w:bottom w:val="nil"/>
              <w:right w:val="nil"/>
            </w:tcBorders>
            <w:noWrap/>
            <w:vAlign w:val="bottom"/>
            <w:hideMark/>
          </w:tcPr>
          <w:p w14:paraId="197A99A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6.08</w:t>
            </w:r>
          </w:p>
        </w:tc>
        <w:tc>
          <w:tcPr>
            <w:tcW w:w="619" w:type="dxa"/>
            <w:tcBorders>
              <w:top w:val="nil"/>
              <w:left w:val="nil"/>
              <w:bottom w:val="nil"/>
              <w:right w:val="nil"/>
            </w:tcBorders>
            <w:noWrap/>
            <w:vAlign w:val="bottom"/>
            <w:hideMark/>
          </w:tcPr>
          <w:p w14:paraId="0F6664E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5.91</w:t>
            </w:r>
          </w:p>
        </w:tc>
        <w:tc>
          <w:tcPr>
            <w:tcW w:w="752" w:type="dxa"/>
            <w:tcBorders>
              <w:top w:val="nil"/>
              <w:left w:val="nil"/>
              <w:bottom w:val="nil"/>
              <w:right w:val="nil"/>
            </w:tcBorders>
            <w:noWrap/>
            <w:vAlign w:val="bottom"/>
            <w:hideMark/>
          </w:tcPr>
          <w:p w14:paraId="6639D0B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9.49</w:t>
            </w:r>
          </w:p>
        </w:tc>
      </w:tr>
      <w:tr w:rsidR="00C430EE" w:rsidRPr="00024043" w14:paraId="08F8139A" w14:textId="77777777" w:rsidTr="00F55B15">
        <w:trPr>
          <w:trHeight w:val="268"/>
          <w:jc w:val="center"/>
        </w:trPr>
        <w:tc>
          <w:tcPr>
            <w:tcW w:w="836" w:type="dxa"/>
            <w:tcBorders>
              <w:top w:val="nil"/>
              <w:left w:val="nil"/>
              <w:bottom w:val="nil"/>
              <w:right w:val="nil"/>
            </w:tcBorders>
            <w:noWrap/>
            <w:vAlign w:val="bottom"/>
            <w:hideMark/>
          </w:tcPr>
          <w:p w14:paraId="02890EF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T01</w:t>
            </w:r>
          </w:p>
        </w:tc>
        <w:tc>
          <w:tcPr>
            <w:tcW w:w="730" w:type="dxa"/>
            <w:tcBorders>
              <w:top w:val="nil"/>
              <w:left w:val="nil"/>
              <w:bottom w:val="nil"/>
              <w:right w:val="nil"/>
            </w:tcBorders>
            <w:noWrap/>
            <w:vAlign w:val="bottom"/>
            <w:hideMark/>
          </w:tcPr>
          <w:p w14:paraId="5F1073C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13.09</w:t>
            </w:r>
          </w:p>
        </w:tc>
        <w:tc>
          <w:tcPr>
            <w:tcW w:w="730" w:type="dxa"/>
            <w:tcBorders>
              <w:top w:val="nil"/>
              <w:left w:val="nil"/>
              <w:bottom w:val="nil"/>
              <w:right w:val="nil"/>
            </w:tcBorders>
            <w:noWrap/>
            <w:vAlign w:val="bottom"/>
            <w:hideMark/>
          </w:tcPr>
          <w:p w14:paraId="15363C71"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15.45</w:t>
            </w:r>
          </w:p>
        </w:tc>
        <w:tc>
          <w:tcPr>
            <w:tcW w:w="730" w:type="dxa"/>
            <w:tcBorders>
              <w:top w:val="nil"/>
              <w:left w:val="nil"/>
              <w:bottom w:val="nil"/>
              <w:right w:val="nil"/>
            </w:tcBorders>
            <w:noWrap/>
            <w:vAlign w:val="bottom"/>
            <w:hideMark/>
          </w:tcPr>
          <w:p w14:paraId="5CB9666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22.68</w:t>
            </w:r>
          </w:p>
        </w:tc>
        <w:tc>
          <w:tcPr>
            <w:tcW w:w="730" w:type="dxa"/>
            <w:tcBorders>
              <w:top w:val="nil"/>
              <w:left w:val="nil"/>
              <w:bottom w:val="nil"/>
              <w:right w:val="nil"/>
            </w:tcBorders>
            <w:noWrap/>
            <w:vAlign w:val="bottom"/>
            <w:hideMark/>
          </w:tcPr>
          <w:p w14:paraId="4F9B90A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5.83</w:t>
            </w:r>
          </w:p>
        </w:tc>
        <w:tc>
          <w:tcPr>
            <w:tcW w:w="730" w:type="dxa"/>
            <w:tcBorders>
              <w:top w:val="nil"/>
              <w:left w:val="nil"/>
              <w:bottom w:val="nil"/>
              <w:right w:val="nil"/>
            </w:tcBorders>
            <w:noWrap/>
            <w:vAlign w:val="bottom"/>
            <w:hideMark/>
          </w:tcPr>
          <w:p w14:paraId="1E0A53A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17.91</w:t>
            </w:r>
          </w:p>
        </w:tc>
        <w:tc>
          <w:tcPr>
            <w:tcW w:w="730" w:type="dxa"/>
            <w:tcBorders>
              <w:top w:val="nil"/>
              <w:left w:val="nil"/>
              <w:bottom w:val="nil"/>
              <w:right w:val="nil"/>
            </w:tcBorders>
            <w:noWrap/>
            <w:vAlign w:val="bottom"/>
            <w:hideMark/>
          </w:tcPr>
          <w:p w14:paraId="0D39065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6.39</w:t>
            </w:r>
          </w:p>
        </w:tc>
        <w:tc>
          <w:tcPr>
            <w:tcW w:w="995" w:type="dxa"/>
            <w:tcBorders>
              <w:top w:val="nil"/>
              <w:left w:val="nil"/>
              <w:bottom w:val="nil"/>
              <w:right w:val="nil"/>
            </w:tcBorders>
            <w:noWrap/>
            <w:vAlign w:val="bottom"/>
            <w:hideMark/>
          </w:tcPr>
          <w:p w14:paraId="5FB5000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18.37</w:t>
            </w:r>
          </w:p>
        </w:tc>
        <w:tc>
          <w:tcPr>
            <w:tcW w:w="730" w:type="dxa"/>
            <w:tcBorders>
              <w:top w:val="nil"/>
              <w:left w:val="nil"/>
              <w:bottom w:val="nil"/>
              <w:right w:val="nil"/>
            </w:tcBorders>
            <w:noWrap/>
            <w:vAlign w:val="bottom"/>
            <w:hideMark/>
          </w:tcPr>
          <w:p w14:paraId="3DD0321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13.16</w:t>
            </w:r>
          </w:p>
        </w:tc>
        <w:tc>
          <w:tcPr>
            <w:tcW w:w="619" w:type="dxa"/>
            <w:tcBorders>
              <w:top w:val="nil"/>
              <w:left w:val="nil"/>
              <w:bottom w:val="nil"/>
              <w:right w:val="nil"/>
            </w:tcBorders>
            <w:noWrap/>
            <w:vAlign w:val="bottom"/>
            <w:hideMark/>
          </w:tcPr>
          <w:p w14:paraId="6624F3C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2.26</w:t>
            </w:r>
          </w:p>
        </w:tc>
        <w:tc>
          <w:tcPr>
            <w:tcW w:w="619" w:type="dxa"/>
            <w:tcBorders>
              <w:top w:val="nil"/>
              <w:left w:val="nil"/>
              <w:bottom w:val="nil"/>
              <w:right w:val="nil"/>
            </w:tcBorders>
            <w:noWrap/>
            <w:vAlign w:val="bottom"/>
            <w:hideMark/>
          </w:tcPr>
          <w:p w14:paraId="32A93D2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2.14</w:t>
            </w:r>
          </w:p>
        </w:tc>
        <w:tc>
          <w:tcPr>
            <w:tcW w:w="619" w:type="dxa"/>
            <w:tcBorders>
              <w:top w:val="nil"/>
              <w:left w:val="nil"/>
              <w:bottom w:val="nil"/>
              <w:right w:val="nil"/>
            </w:tcBorders>
            <w:noWrap/>
            <w:vAlign w:val="bottom"/>
            <w:hideMark/>
          </w:tcPr>
          <w:p w14:paraId="219C314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4.84</w:t>
            </w:r>
          </w:p>
        </w:tc>
        <w:tc>
          <w:tcPr>
            <w:tcW w:w="752" w:type="dxa"/>
            <w:tcBorders>
              <w:top w:val="nil"/>
              <w:left w:val="nil"/>
              <w:bottom w:val="nil"/>
              <w:right w:val="nil"/>
            </w:tcBorders>
            <w:noWrap/>
            <w:vAlign w:val="bottom"/>
            <w:hideMark/>
          </w:tcPr>
          <w:p w14:paraId="001A388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11.38</w:t>
            </w:r>
          </w:p>
        </w:tc>
      </w:tr>
      <w:tr w:rsidR="00C430EE" w:rsidRPr="00024043" w14:paraId="59D9A4C9" w14:textId="77777777" w:rsidTr="00F55B15">
        <w:trPr>
          <w:trHeight w:val="268"/>
          <w:jc w:val="center"/>
        </w:trPr>
        <w:tc>
          <w:tcPr>
            <w:tcW w:w="836" w:type="dxa"/>
            <w:tcBorders>
              <w:top w:val="nil"/>
              <w:left w:val="nil"/>
              <w:bottom w:val="nil"/>
              <w:right w:val="nil"/>
            </w:tcBorders>
            <w:noWrap/>
            <w:vAlign w:val="bottom"/>
            <w:hideMark/>
          </w:tcPr>
          <w:p w14:paraId="3014AC0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L30</w:t>
            </w:r>
          </w:p>
        </w:tc>
        <w:tc>
          <w:tcPr>
            <w:tcW w:w="730" w:type="dxa"/>
            <w:tcBorders>
              <w:top w:val="nil"/>
              <w:left w:val="nil"/>
              <w:bottom w:val="nil"/>
              <w:right w:val="nil"/>
            </w:tcBorders>
            <w:noWrap/>
            <w:vAlign w:val="bottom"/>
            <w:hideMark/>
          </w:tcPr>
          <w:p w14:paraId="2418496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23.93</w:t>
            </w:r>
          </w:p>
        </w:tc>
        <w:tc>
          <w:tcPr>
            <w:tcW w:w="730" w:type="dxa"/>
            <w:tcBorders>
              <w:top w:val="nil"/>
              <w:left w:val="nil"/>
              <w:bottom w:val="nil"/>
              <w:right w:val="nil"/>
            </w:tcBorders>
            <w:noWrap/>
            <w:vAlign w:val="bottom"/>
            <w:hideMark/>
          </w:tcPr>
          <w:p w14:paraId="52C58A5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26.13</w:t>
            </w:r>
          </w:p>
        </w:tc>
        <w:tc>
          <w:tcPr>
            <w:tcW w:w="730" w:type="dxa"/>
            <w:tcBorders>
              <w:top w:val="nil"/>
              <w:left w:val="nil"/>
              <w:bottom w:val="nil"/>
              <w:right w:val="nil"/>
            </w:tcBorders>
            <w:noWrap/>
            <w:vAlign w:val="bottom"/>
            <w:hideMark/>
          </w:tcPr>
          <w:p w14:paraId="7F59F6F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18.58</w:t>
            </w:r>
          </w:p>
        </w:tc>
        <w:tc>
          <w:tcPr>
            <w:tcW w:w="730" w:type="dxa"/>
            <w:tcBorders>
              <w:top w:val="nil"/>
              <w:left w:val="nil"/>
              <w:bottom w:val="nil"/>
              <w:right w:val="nil"/>
            </w:tcBorders>
            <w:noWrap/>
            <w:vAlign w:val="bottom"/>
            <w:hideMark/>
          </w:tcPr>
          <w:p w14:paraId="3964A73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10.56</w:t>
            </w:r>
          </w:p>
        </w:tc>
        <w:tc>
          <w:tcPr>
            <w:tcW w:w="730" w:type="dxa"/>
            <w:tcBorders>
              <w:top w:val="nil"/>
              <w:left w:val="nil"/>
              <w:bottom w:val="nil"/>
              <w:right w:val="nil"/>
            </w:tcBorders>
            <w:noWrap/>
            <w:vAlign w:val="bottom"/>
            <w:hideMark/>
          </w:tcPr>
          <w:p w14:paraId="6570C7D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6.80</w:t>
            </w:r>
          </w:p>
        </w:tc>
        <w:tc>
          <w:tcPr>
            <w:tcW w:w="730" w:type="dxa"/>
            <w:tcBorders>
              <w:top w:val="nil"/>
              <w:left w:val="nil"/>
              <w:bottom w:val="nil"/>
              <w:right w:val="nil"/>
            </w:tcBorders>
            <w:noWrap/>
            <w:vAlign w:val="bottom"/>
            <w:hideMark/>
          </w:tcPr>
          <w:p w14:paraId="32B0816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29.30</w:t>
            </w:r>
          </w:p>
        </w:tc>
        <w:tc>
          <w:tcPr>
            <w:tcW w:w="995" w:type="dxa"/>
            <w:tcBorders>
              <w:top w:val="nil"/>
              <w:left w:val="nil"/>
              <w:bottom w:val="nil"/>
              <w:right w:val="nil"/>
            </w:tcBorders>
            <w:noWrap/>
            <w:vAlign w:val="bottom"/>
            <w:hideMark/>
          </w:tcPr>
          <w:p w14:paraId="3860A8D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7.65</w:t>
            </w:r>
          </w:p>
        </w:tc>
        <w:tc>
          <w:tcPr>
            <w:tcW w:w="730" w:type="dxa"/>
            <w:tcBorders>
              <w:top w:val="nil"/>
              <w:left w:val="nil"/>
              <w:bottom w:val="nil"/>
              <w:right w:val="nil"/>
            </w:tcBorders>
            <w:noWrap/>
            <w:vAlign w:val="bottom"/>
            <w:hideMark/>
          </w:tcPr>
          <w:p w14:paraId="6F399C2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3.16</w:t>
            </w:r>
          </w:p>
        </w:tc>
        <w:tc>
          <w:tcPr>
            <w:tcW w:w="619" w:type="dxa"/>
            <w:tcBorders>
              <w:top w:val="nil"/>
              <w:left w:val="nil"/>
              <w:bottom w:val="nil"/>
              <w:right w:val="nil"/>
            </w:tcBorders>
            <w:noWrap/>
            <w:vAlign w:val="bottom"/>
            <w:hideMark/>
          </w:tcPr>
          <w:p w14:paraId="6558178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2.99</w:t>
            </w:r>
          </w:p>
        </w:tc>
        <w:tc>
          <w:tcPr>
            <w:tcW w:w="619" w:type="dxa"/>
            <w:tcBorders>
              <w:top w:val="nil"/>
              <w:left w:val="nil"/>
              <w:bottom w:val="nil"/>
              <w:right w:val="nil"/>
            </w:tcBorders>
            <w:noWrap/>
            <w:vAlign w:val="bottom"/>
            <w:hideMark/>
          </w:tcPr>
          <w:p w14:paraId="7F8BA8C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2.05</w:t>
            </w:r>
          </w:p>
        </w:tc>
        <w:tc>
          <w:tcPr>
            <w:tcW w:w="619" w:type="dxa"/>
            <w:tcBorders>
              <w:top w:val="nil"/>
              <w:left w:val="nil"/>
              <w:bottom w:val="nil"/>
              <w:right w:val="nil"/>
            </w:tcBorders>
            <w:noWrap/>
            <w:vAlign w:val="bottom"/>
            <w:hideMark/>
          </w:tcPr>
          <w:p w14:paraId="2BD5C09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3.72</w:t>
            </w:r>
          </w:p>
        </w:tc>
        <w:tc>
          <w:tcPr>
            <w:tcW w:w="752" w:type="dxa"/>
            <w:tcBorders>
              <w:top w:val="nil"/>
              <w:left w:val="nil"/>
              <w:bottom w:val="nil"/>
              <w:right w:val="nil"/>
            </w:tcBorders>
            <w:noWrap/>
            <w:vAlign w:val="bottom"/>
            <w:hideMark/>
          </w:tcPr>
          <w:p w14:paraId="424B326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11.74</w:t>
            </w:r>
          </w:p>
        </w:tc>
      </w:tr>
      <w:tr w:rsidR="00C430EE" w:rsidRPr="00024043" w14:paraId="2884A695" w14:textId="77777777" w:rsidTr="00F55B15">
        <w:trPr>
          <w:trHeight w:val="268"/>
          <w:jc w:val="center"/>
        </w:trPr>
        <w:tc>
          <w:tcPr>
            <w:tcW w:w="836" w:type="dxa"/>
            <w:tcBorders>
              <w:top w:val="nil"/>
              <w:left w:val="nil"/>
              <w:bottom w:val="nil"/>
              <w:right w:val="nil"/>
            </w:tcBorders>
            <w:noWrap/>
            <w:vAlign w:val="bottom"/>
            <w:hideMark/>
          </w:tcPr>
          <w:p w14:paraId="0D93872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L27</w:t>
            </w:r>
          </w:p>
        </w:tc>
        <w:tc>
          <w:tcPr>
            <w:tcW w:w="730" w:type="dxa"/>
            <w:tcBorders>
              <w:top w:val="nil"/>
              <w:left w:val="nil"/>
              <w:bottom w:val="nil"/>
              <w:right w:val="nil"/>
            </w:tcBorders>
            <w:noWrap/>
            <w:vAlign w:val="bottom"/>
            <w:hideMark/>
          </w:tcPr>
          <w:p w14:paraId="6FB52F6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13.47</w:t>
            </w:r>
          </w:p>
        </w:tc>
        <w:tc>
          <w:tcPr>
            <w:tcW w:w="730" w:type="dxa"/>
            <w:tcBorders>
              <w:top w:val="nil"/>
              <w:left w:val="nil"/>
              <w:bottom w:val="nil"/>
              <w:right w:val="nil"/>
            </w:tcBorders>
            <w:noWrap/>
            <w:vAlign w:val="bottom"/>
            <w:hideMark/>
          </w:tcPr>
          <w:p w14:paraId="14E921E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20.70</w:t>
            </w:r>
          </w:p>
        </w:tc>
        <w:tc>
          <w:tcPr>
            <w:tcW w:w="730" w:type="dxa"/>
            <w:tcBorders>
              <w:top w:val="nil"/>
              <w:left w:val="nil"/>
              <w:bottom w:val="nil"/>
              <w:right w:val="nil"/>
            </w:tcBorders>
            <w:noWrap/>
            <w:vAlign w:val="bottom"/>
            <w:hideMark/>
          </w:tcPr>
          <w:p w14:paraId="4EC70C9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10.74</w:t>
            </w:r>
          </w:p>
        </w:tc>
        <w:tc>
          <w:tcPr>
            <w:tcW w:w="730" w:type="dxa"/>
            <w:tcBorders>
              <w:top w:val="nil"/>
              <w:left w:val="nil"/>
              <w:bottom w:val="nil"/>
              <w:right w:val="nil"/>
            </w:tcBorders>
            <w:noWrap/>
            <w:vAlign w:val="bottom"/>
            <w:hideMark/>
          </w:tcPr>
          <w:p w14:paraId="4539C22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19.90</w:t>
            </w:r>
          </w:p>
        </w:tc>
        <w:tc>
          <w:tcPr>
            <w:tcW w:w="730" w:type="dxa"/>
            <w:tcBorders>
              <w:top w:val="nil"/>
              <w:left w:val="nil"/>
              <w:bottom w:val="nil"/>
              <w:right w:val="nil"/>
            </w:tcBorders>
            <w:noWrap/>
            <w:vAlign w:val="bottom"/>
            <w:hideMark/>
          </w:tcPr>
          <w:p w14:paraId="53D979A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3.85</w:t>
            </w:r>
          </w:p>
        </w:tc>
        <w:tc>
          <w:tcPr>
            <w:tcW w:w="730" w:type="dxa"/>
            <w:tcBorders>
              <w:top w:val="nil"/>
              <w:left w:val="nil"/>
              <w:bottom w:val="nil"/>
              <w:right w:val="nil"/>
            </w:tcBorders>
            <w:noWrap/>
            <w:vAlign w:val="bottom"/>
            <w:hideMark/>
          </w:tcPr>
          <w:p w14:paraId="591DCE31"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8.79</w:t>
            </w:r>
          </w:p>
        </w:tc>
        <w:tc>
          <w:tcPr>
            <w:tcW w:w="995" w:type="dxa"/>
            <w:tcBorders>
              <w:top w:val="nil"/>
              <w:left w:val="nil"/>
              <w:bottom w:val="nil"/>
              <w:right w:val="nil"/>
            </w:tcBorders>
            <w:noWrap/>
            <w:vAlign w:val="bottom"/>
            <w:hideMark/>
          </w:tcPr>
          <w:p w14:paraId="677C20A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3.74</w:t>
            </w:r>
          </w:p>
        </w:tc>
        <w:tc>
          <w:tcPr>
            <w:tcW w:w="730" w:type="dxa"/>
            <w:tcBorders>
              <w:top w:val="nil"/>
              <w:left w:val="nil"/>
              <w:bottom w:val="nil"/>
              <w:right w:val="nil"/>
            </w:tcBorders>
            <w:noWrap/>
            <w:vAlign w:val="bottom"/>
            <w:hideMark/>
          </w:tcPr>
          <w:p w14:paraId="1FFE050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26.89</w:t>
            </w:r>
          </w:p>
        </w:tc>
        <w:tc>
          <w:tcPr>
            <w:tcW w:w="619" w:type="dxa"/>
            <w:tcBorders>
              <w:top w:val="nil"/>
              <w:left w:val="nil"/>
              <w:bottom w:val="nil"/>
              <w:right w:val="nil"/>
            </w:tcBorders>
            <w:noWrap/>
            <w:vAlign w:val="bottom"/>
            <w:hideMark/>
          </w:tcPr>
          <w:p w14:paraId="0B4E258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4.65</w:t>
            </w:r>
          </w:p>
        </w:tc>
        <w:tc>
          <w:tcPr>
            <w:tcW w:w="619" w:type="dxa"/>
            <w:tcBorders>
              <w:top w:val="nil"/>
              <w:left w:val="nil"/>
              <w:bottom w:val="nil"/>
              <w:right w:val="nil"/>
            </w:tcBorders>
            <w:noWrap/>
            <w:vAlign w:val="bottom"/>
            <w:hideMark/>
          </w:tcPr>
          <w:p w14:paraId="500284F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4.05</w:t>
            </w:r>
          </w:p>
        </w:tc>
        <w:tc>
          <w:tcPr>
            <w:tcW w:w="619" w:type="dxa"/>
            <w:tcBorders>
              <w:top w:val="nil"/>
              <w:left w:val="nil"/>
              <w:bottom w:val="nil"/>
              <w:right w:val="nil"/>
            </w:tcBorders>
            <w:noWrap/>
            <w:vAlign w:val="bottom"/>
            <w:hideMark/>
          </w:tcPr>
          <w:p w14:paraId="0BB4825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5.75</w:t>
            </w:r>
          </w:p>
        </w:tc>
        <w:tc>
          <w:tcPr>
            <w:tcW w:w="752" w:type="dxa"/>
            <w:tcBorders>
              <w:top w:val="nil"/>
              <w:left w:val="nil"/>
              <w:bottom w:val="nil"/>
              <w:right w:val="nil"/>
            </w:tcBorders>
            <w:noWrap/>
            <w:vAlign w:val="bottom"/>
            <w:hideMark/>
          </w:tcPr>
          <w:p w14:paraId="26F88EA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12.15</w:t>
            </w:r>
          </w:p>
        </w:tc>
      </w:tr>
      <w:tr w:rsidR="00C430EE" w:rsidRPr="00024043" w14:paraId="31C92925" w14:textId="77777777" w:rsidTr="00F55B15">
        <w:trPr>
          <w:trHeight w:val="268"/>
          <w:jc w:val="center"/>
        </w:trPr>
        <w:tc>
          <w:tcPr>
            <w:tcW w:w="836" w:type="dxa"/>
            <w:tcBorders>
              <w:top w:val="nil"/>
              <w:left w:val="nil"/>
              <w:bottom w:val="single" w:sz="4" w:space="0" w:color="auto"/>
              <w:right w:val="nil"/>
            </w:tcBorders>
            <w:noWrap/>
            <w:vAlign w:val="bottom"/>
            <w:hideMark/>
          </w:tcPr>
          <w:p w14:paraId="03F771C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L37</w:t>
            </w:r>
          </w:p>
        </w:tc>
        <w:tc>
          <w:tcPr>
            <w:tcW w:w="730" w:type="dxa"/>
            <w:tcBorders>
              <w:top w:val="nil"/>
              <w:left w:val="nil"/>
              <w:bottom w:val="single" w:sz="4" w:space="0" w:color="auto"/>
              <w:right w:val="nil"/>
            </w:tcBorders>
            <w:noWrap/>
            <w:vAlign w:val="bottom"/>
            <w:hideMark/>
          </w:tcPr>
          <w:p w14:paraId="46D4BC5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14.14</w:t>
            </w:r>
          </w:p>
        </w:tc>
        <w:tc>
          <w:tcPr>
            <w:tcW w:w="730" w:type="dxa"/>
            <w:tcBorders>
              <w:top w:val="nil"/>
              <w:left w:val="nil"/>
              <w:bottom w:val="single" w:sz="4" w:space="0" w:color="auto"/>
              <w:right w:val="nil"/>
            </w:tcBorders>
            <w:noWrap/>
            <w:vAlign w:val="bottom"/>
            <w:hideMark/>
          </w:tcPr>
          <w:p w14:paraId="6A4AB97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33.56</w:t>
            </w:r>
          </w:p>
        </w:tc>
        <w:tc>
          <w:tcPr>
            <w:tcW w:w="730" w:type="dxa"/>
            <w:tcBorders>
              <w:top w:val="nil"/>
              <w:left w:val="nil"/>
              <w:bottom w:val="single" w:sz="4" w:space="0" w:color="auto"/>
              <w:right w:val="nil"/>
            </w:tcBorders>
            <w:noWrap/>
            <w:vAlign w:val="bottom"/>
            <w:hideMark/>
          </w:tcPr>
          <w:p w14:paraId="4FB9CBD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8.98</w:t>
            </w:r>
          </w:p>
        </w:tc>
        <w:tc>
          <w:tcPr>
            <w:tcW w:w="730" w:type="dxa"/>
            <w:tcBorders>
              <w:top w:val="nil"/>
              <w:left w:val="nil"/>
              <w:bottom w:val="single" w:sz="4" w:space="0" w:color="auto"/>
              <w:right w:val="nil"/>
            </w:tcBorders>
            <w:noWrap/>
            <w:vAlign w:val="bottom"/>
            <w:hideMark/>
          </w:tcPr>
          <w:p w14:paraId="25CEE1F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38.20</w:t>
            </w:r>
          </w:p>
        </w:tc>
        <w:tc>
          <w:tcPr>
            <w:tcW w:w="730" w:type="dxa"/>
            <w:tcBorders>
              <w:top w:val="nil"/>
              <w:left w:val="nil"/>
              <w:bottom w:val="single" w:sz="4" w:space="0" w:color="auto"/>
              <w:right w:val="nil"/>
            </w:tcBorders>
            <w:noWrap/>
            <w:vAlign w:val="bottom"/>
            <w:hideMark/>
          </w:tcPr>
          <w:p w14:paraId="0CC04E5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12.38</w:t>
            </w:r>
          </w:p>
        </w:tc>
        <w:tc>
          <w:tcPr>
            <w:tcW w:w="730" w:type="dxa"/>
            <w:tcBorders>
              <w:top w:val="nil"/>
              <w:left w:val="nil"/>
              <w:bottom w:val="single" w:sz="4" w:space="0" w:color="auto"/>
              <w:right w:val="nil"/>
            </w:tcBorders>
            <w:noWrap/>
            <w:vAlign w:val="bottom"/>
            <w:hideMark/>
          </w:tcPr>
          <w:p w14:paraId="48898E7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5.99</w:t>
            </w:r>
          </w:p>
        </w:tc>
        <w:tc>
          <w:tcPr>
            <w:tcW w:w="995" w:type="dxa"/>
            <w:tcBorders>
              <w:top w:val="nil"/>
              <w:left w:val="nil"/>
              <w:bottom w:val="single" w:sz="4" w:space="0" w:color="auto"/>
              <w:right w:val="nil"/>
            </w:tcBorders>
            <w:noWrap/>
            <w:vAlign w:val="bottom"/>
            <w:hideMark/>
          </w:tcPr>
          <w:p w14:paraId="602B033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5.14</w:t>
            </w:r>
          </w:p>
        </w:tc>
        <w:tc>
          <w:tcPr>
            <w:tcW w:w="730" w:type="dxa"/>
            <w:tcBorders>
              <w:top w:val="nil"/>
              <w:left w:val="nil"/>
              <w:bottom w:val="single" w:sz="4" w:space="0" w:color="auto"/>
              <w:right w:val="nil"/>
            </w:tcBorders>
            <w:noWrap/>
            <w:vAlign w:val="bottom"/>
            <w:hideMark/>
          </w:tcPr>
          <w:p w14:paraId="6D26E6E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23.15</w:t>
            </w:r>
          </w:p>
        </w:tc>
        <w:tc>
          <w:tcPr>
            <w:tcW w:w="619" w:type="dxa"/>
            <w:tcBorders>
              <w:top w:val="nil"/>
              <w:left w:val="nil"/>
              <w:bottom w:val="single" w:sz="4" w:space="0" w:color="auto"/>
              <w:right w:val="nil"/>
            </w:tcBorders>
            <w:noWrap/>
            <w:vAlign w:val="bottom"/>
            <w:hideMark/>
          </w:tcPr>
          <w:p w14:paraId="77CA42D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3.18</w:t>
            </w:r>
          </w:p>
        </w:tc>
        <w:tc>
          <w:tcPr>
            <w:tcW w:w="619" w:type="dxa"/>
            <w:tcBorders>
              <w:top w:val="nil"/>
              <w:left w:val="nil"/>
              <w:bottom w:val="single" w:sz="4" w:space="0" w:color="auto"/>
              <w:right w:val="nil"/>
            </w:tcBorders>
            <w:noWrap/>
            <w:vAlign w:val="bottom"/>
            <w:hideMark/>
          </w:tcPr>
          <w:p w14:paraId="257432C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3.03</w:t>
            </w:r>
          </w:p>
        </w:tc>
        <w:tc>
          <w:tcPr>
            <w:tcW w:w="619" w:type="dxa"/>
            <w:tcBorders>
              <w:top w:val="nil"/>
              <w:left w:val="nil"/>
              <w:bottom w:val="single" w:sz="4" w:space="0" w:color="auto"/>
              <w:right w:val="nil"/>
            </w:tcBorders>
            <w:noWrap/>
            <w:vAlign w:val="bottom"/>
            <w:hideMark/>
          </w:tcPr>
          <w:p w14:paraId="75CD37D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4.69</w:t>
            </w:r>
          </w:p>
        </w:tc>
        <w:tc>
          <w:tcPr>
            <w:tcW w:w="752" w:type="dxa"/>
            <w:tcBorders>
              <w:top w:val="nil"/>
              <w:left w:val="nil"/>
              <w:bottom w:val="single" w:sz="4" w:space="0" w:color="auto"/>
              <w:right w:val="nil"/>
            </w:tcBorders>
            <w:noWrap/>
            <w:vAlign w:val="bottom"/>
            <w:hideMark/>
          </w:tcPr>
          <w:p w14:paraId="5CE3FF6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14.78</w:t>
            </w:r>
          </w:p>
        </w:tc>
      </w:tr>
    </w:tbl>
    <w:p w14:paraId="3DEDF9D2" w14:textId="5E535302" w:rsidR="008F2E16" w:rsidRPr="00F55B15" w:rsidRDefault="00BA37C2" w:rsidP="00F55B15">
      <w:pPr>
        <w:jc w:val="both"/>
        <w:rPr>
          <w:rFonts w:ascii="Arial" w:hAnsi="Arial" w:cs="Arial"/>
          <w:i/>
          <w:iCs/>
          <w:sz w:val="18"/>
          <w:szCs w:val="18"/>
        </w:rPr>
      </w:pPr>
      <w:r w:rsidRPr="00F55B15">
        <w:rPr>
          <w:rStyle w:val="Strong"/>
          <w:rFonts w:ascii="Arial" w:eastAsiaTheme="majorEastAsia" w:hAnsi="Arial" w:cs="Arial"/>
          <w:b w:val="0"/>
          <w:bCs w:val="0"/>
          <w:i/>
          <w:iCs/>
          <w:sz w:val="18"/>
          <w:szCs w:val="18"/>
        </w:rPr>
        <w:t>SDB</w:t>
      </w:r>
      <w:r w:rsidRPr="00F55B15">
        <w:rPr>
          <w:rStyle w:val="Strong"/>
          <w:rFonts w:ascii="Arial" w:eastAsiaTheme="majorEastAsia" w:hAnsi="Arial" w:cs="Arial"/>
          <w:i/>
          <w:iCs/>
          <w:sz w:val="18"/>
          <w:szCs w:val="18"/>
        </w:rPr>
        <w:t>:</w:t>
      </w:r>
      <w:r w:rsidRPr="00F55B15">
        <w:rPr>
          <w:rFonts w:ascii="Arial" w:hAnsi="Arial" w:cs="Arial"/>
          <w:i/>
          <w:iCs/>
          <w:sz w:val="18"/>
          <w:szCs w:val="18"/>
        </w:rPr>
        <w:t xml:space="preserve"> Stem diameter at base; </w:t>
      </w:r>
      <w:r w:rsidRPr="00F55B15">
        <w:rPr>
          <w:rStyle w:val="Strong"/>
          <w:rFonts w:ascii="Arial" w:eastAsiaTheme="majorEastAsia" w:hAnsi="Arial" w:cs="Arial"/>
          <w:b w:val="0"/>
          <w:bCs w:val="0"/>
          <w:i/>
          <w:iCs/>
          <w:sz w:val="18"/>
          <w:szCs w:val="18"/>
        </w:rPr>
        <w:t>EH</w:t>
      </w:r>
      <w:r w:rsidRPr="00F55B15">
        <w:rPr>
          <w:rStyle w:val="Strong"/>
          <w:rFonts w:ascii="Arial" w:eastAsiaTheme="majorEastAsia" w:hAnsi="Arial" w:cs="Arial"/>
          <w:i/>
          <w:iCs/>
          <w:sz w:val="18"/>
          <w:szCs w:val="18"/>
        </w:rPr>
        <w:t>:</w:t>
      </w:r>
      <w:r w:rsidRPr="00F55B15">
        <w:rPr>
          <w:rFonts w:ascii="Arial" w:hAnsi="Arial" w:cs="Arial"/>
          <w:i/>
          <w:iCs/>
          <w:sz w:val="18"/>
          <w:szCs w:val="18"/>
        </w:rPr>
        <w:t xml:space="preserve"> Ear height; </w:t>
      </w:r>
      <w:r w:rsidRPr="00F55B15">
        <w:rPr>
          <w:rStyle w:val="Strong"/>
          <w:rFonts w:ascii="Arial" w:eastAsiaTheme="majorEastAsia" w:hAnsi="Arial" w:cs="Arial"/>
          <w:b w:val="0"/>
          <w:bCs w:val="0"/>
          <w:i/>
          <w:iCs/>
          <w:sz w:val="18"/>
          <w:szCs w:val="18"/>
        </w:rPr>
        <w:t>PH:</w:t>
      </w:r>
      <w:r w:rsidRPr="00F55B15">
        <w:rPr>
          <w:rFonts w:ascii="Arial" w:hAnsi="Arial" w:cs="Arial"/>
          <w:i/>
          <w:iCs/>
          <w:sz w:val="18"/>
          <w:szCs w:val="18"/>
        </w:rPr>
        <w:t xml:space="preserve"> Plant height; </w:t>
      </w:r>
      <w:r w:rsidRPr="00F55B15">
        <w:rPr>
          <w:rStyle w:val="Strong"/>
          <w:rFonts w:ascii="Arial" w:eastAsiaTheme="majorEastAsia" w:hAnsi="Arial" w:cs="Arial"/>
          <w:b w:val="0"/>
          <w:bCs w:val="0"/>
          <w:i/>
          <w:iCs/>
          <w:sz w:val="18"/>
          <w:szCs w:val="18"/>
        </w:rPr>
        <w:t>EW:</w:t>
      </w:r>
      <w:r w:rsidRPr="00F55B15">
        <w:rPr>
          <w:rFonts w:ascii="Arial" w:hAnsi="Arial" w:cs="Arial"/>
          <w:i/>
          <w:iCs/>
          <w:sz w:val="18"/>
          <w:szCs w:val="18"/>
        </w:rPr>
        <w:t xml:space="preserve"> Ear weight; </w:t>
      </w:r>
      <w:r w:rsidRPr="00F55B15">
        <w:rPr>
          <w:rStyle w:val="Strong"/>
          <w:rFonts w:ascii="Arial" w:eastAsiaTheme="majorEastAsia" w:hAnsi="Arial" w:cs="Arial"/>
          <w:b w:val="0"/>
          <w:bCs w:val="0"/>
          <w:i/>
          <w:iCs/>
          <w:sz w:val="18"/>
          <w:szCs w:val="18"/>
        </w:rPr>
        <w:t>EL:</w:t>
      </w:r>
      <w:r w:rsidRPr="00F55B15">
        <w:rPr>
          <w:rFonts w:ascii="Arial" w:hAnsi="Arial" w:cs="Arial"/>
          <w:i/>
          <w:iCs/>
          <w:sz w:val="18"/>
          <w:szCs w:val="18"/>
        </w:rPr>
        <w:t xml:space="preserve"> Ear length; </w:t>
      </w:r>
      <w:r w:rsidRPr="00F55B15">
        <w:rPr>
          <w:rStyle w:val="Strong"/>
          <w:rFonts w:ascii="Arial" w:eastAsiaTheme="majorEastAsia" w:hAnsi="Arial" w:cs="Arial"/>
          <w:b w:val="0"/>
          <w:bCs w:val="0"/>
          <w:i/>
          <w:iCs/>
          <w:sz w:val="18"/>
          <w:szCs w:val="18"/>
        </w:rPr>
        <w:t>ED:</w:t>
      </w:r>
      <w:r w:rsidRPr="00F55B15">
        <w:rPr>
          <w:rFonts w:ascii="Arial" w:hAnsi="Arial" w:cs="Arial"/>
          <w:i/>
          <w:iCs/>
          <w:sz w:val="18"/>
          <w:szCs w:val="18"/>
        </w:rPr>
        <w:t xml:space="preserve"> Ear diameter; </w:t>
      </w:r>
      <w:r w:rsidRPr="00F55B15">
        <w:rPr>
          <w:rStyle w:val="Strong"/>
          <w:rFonts w:ascii="Arial" w:eastAsiaTheme="majorEastAsia" w:hAnsi="Arial" w:cs="Arial"/>
          <w:b w:val="0"/>
          <w:bCs w:val="0"/>
          <w:i/>
          <w:iCs/>
          <w:sz w:val="18"/>
          <w:szCs w:val="18"/>
        </w:rPr>
        <w:t>GW100</w:t>
      </w:r>
      <w:r w:rsidRPr="00F55B15">
        <w:rPr>
          <w:rStyle w:val="Strong"/>
          <w:rFonts w:ascii="Arial" w:eastAsiaTheme="majorEastAsia" w:hAnsi="Arial" w:cs="Arial"/>
          <w:i/>
          <w:iCs/>
          <w:sz w:val="18"/>
          <w:szCs w:val="18"/>
        </w:rPr>
        <w:t>:</w:t>
      </w:r>
      <w:r w:rsidRPr="00F55B15">
        <w:rPr>
          <w:rFonts w:ascii="Arial" w:hAnsi="Arial" w:cs="Arial"/>
          <w:i/>
          <w:iCs/>
          <w:sz w:val="18"/>
          <w:szCs w:val="18"/>
        </w:rPr>
        <w:t xml:space="preserve"> 100-grain weight; </w:t>
      </w:r>
      <w:r w:rsidRPr="00F55B15">
        <w:rPr>
          <w:rStyle w:val="Strong"/>
          <w:rFonts w:ascii="Arial" w:eastAsiaTheme="majorEastAsia" w:hAnsi="Arial" w:cs="Arial"/>
          <w:b w:val="0"/>
          <w:bCs w:val="0"/>
          <w:i/>
          <w:iCs/>
          <w:sz w:val="18"/>
          <w:szCs w:val="18"/>
        </w:rPr>
        <w:t>Yd:</w:t>
      </w:r>
      <w:r w:rsidR="00935F63" w:rsidRPr="00F55B15">
        <w:rPr>
          <w:rFonts w:ascii="Arial" w:hAnsi="Arial" w:cs="Arial"/>
          <w:i/>
          <w:iCs/>
          <w:sz w:val="18"/>
          <w:szCs w:val="18"/>
        </w:rPr>
        <w:t xml:space="preserve"> Yield</w:t>
      </w:r>
      <w:r w:rsidRPr="00F55B15">
        <w:rPr>
          <w:rFonts w:ascii="Arial" w:hAnsi="Arial" w:cs="Arial"/>
          <w:i/>
          <w:iCs/>
          <w:sz w:val="18"/>
          <w:szCs w:val="18"/>
        </w:rPr>
        <w:t xml:space="preserve">; </w:t>
      </w:r>
      <w:r w:rsidRPr="00F55B15">
        <w:rPr>
          <w:rStyle w:val="Strong"/>
          <w:rFonts w:ascii="Arial" w:eastAsiaTheme="majorEastAsia" w:hAnsi="Arial" w:cs="Arial"/>
          <w:b w:val="0"/>
          <w:bCs w:val="0"/>
          <w:i/>
          <w:iCs/>
          <w:sz w:val="18"/>
          <w:szCs w:val="18"/>
        </w:rPr>
        <w:t>DA:</w:t>
      </w:r>
      <w:r w:rsidRPr="00F55B15">
        <w:rPr>
          <w:rFonts w:ascii="Arial" w:hAnsi="Arial" w:cs="Arial"/>
          <w:b/>
          <w:bCs/>
          <w:i/>
          <w:iCs/>
          <w:sz w:val="18"/>
          <w:szCs w:val="18"/>
        </w:rPr>
        <w:t xml:space="preserve"> </w:t>
      </w:r>
      <w:r w:rsidRPr="00F55B15">
        <w:rPr>
          <w:rFonts w:ascii="Arial" w:hAnsi="Arial" w:cs="Arial"/>
          <w:i/>
          <w:iCs/>
          <w:sz w:val="18"/>
          <w:szCs w:val="18"/>
        </w:rPr>
        <w:t xml:space="preserve">Days to anthesis; </w:t>
      </w:r>
      <w:r w:rsidRPr="00F55B15">
        <w:rPr>
          <w:rStyle w:val="Strong"/>
          <w:rFonts w:ascii="Arial" w:eastAsiaTheme="majorEastAsia" w:hAnsi="Arial" w:cs="Arial"/>
          <w:b w:val="0"/>
          <w:bCs w:val="0"/>
          <w:i/>
          <w:iCs/>
          <w:sz w:val="18"/>
          <w:szCs w:val="18"/>
        </w:rPr>
        <w:t>DS:</w:t>
      </w:r>
      <w:r w:rsidRPr="00F55B15">
        <w:rPr>
          <w:rFonts w:ascii="Arial" w:hAnsi="Arial" w:cs="Arial"/>
          <w:b/>
          <w:bCs/>
          <w:i/>
          <w:iCs/>
          <w:sz w:val="18"/>
          <w:szCs w:val="18"/>
        </w:rPr>
        <w:t xml:space="preserve"> </w:t>
      </w:r>
      <w:r w:rsidRPr="00F55B15">
        <w:rPr>
          <w:rFonts w:ascii="Arial" w:hAnsi="Arial" w:cs="Arial"/>
          <w:i/>
          <w:iCs/>
          <w:sz w:val="18"/>
          <w:szCs w:val="18"/>
        </w:rPr>
        <w:t xml:space="preserve">Days to silking; </w:t>
      </w:r>
      <w:r w:rsidRPr="00F55B15">
        <w:rPr>
          <w:rStyle w:val="Strong"/>
          <w:rFonts w:ascii="Arial" w:eastAsiaTheme="majorEastAsia" w:hAnsi="Arial" w:cs="Arial"/>
          <w:b w:val="0"/>
          <w:bCs w:val="0"/>
          <w:i/>
          <w:iCs/>
          <w:sz w:val="18"/>
          <w:szCs w:val="18"/>
        </w:rPr>
        <w:t>NL:</w:t>
      </w:r>
      <w:r w:rsidRPr="00F55B15">
        <w:rPr>
          <w:rFonts w:ascii="Arial" w:hAnsi="Arial" w:cs="Arial"/>
          <w:i/>
          <w:iCs/>
          <w:sz w:val="18"/>
          <w:szCs w:val="18"/>
        </w:rPr>
        <w:t xml:space="preserve"> Number of leaves; </w:t>
      </w:r>
      <w:r w:rsidRPr="00F55B15">
        <w:rPr>
          <w:rStyle w:val="Strong"/>
          <w:rFonts w:ascii="Arial" w:eastAsiaTheme="majorEastAsia" w:hAnsi="Arial" w:cs="Arial"/>
          <w:b w:val="0"/>
          <w:bCs w:val="0"/>
          <w:i/>
          <w:iCs/>
          <w:sz w:val="18"/>
          <w:szCs w:val="18"/>
        </w:rPr>
        <w:t>MCV:</w:t>
      </w:r>
      <w:r w:rsidRPr="00F55B15">
        <w:rPr>
          <w:rFonts w:ascii="Arial" w:hAnsi="Arial" w:cs="Arial"/>
          <w:b/>
          <w:bCs/>
          <w:i/>
          <w:iCs/>
          <w:sz w:val="18"/>
          <w:szCs w:val="18"/>
        </w:rPr>
        <w:t xml:space="preserve"> </w:t>
      </w:r>
      <w:r w:rsidRPr="00F55B15">
        <w:rPr>
          <w:rFonts w:ascii="Arial" w:hAnsi="Arial" w:cs="Arial"/>
          <w:i/>
          <w:iCs/>
          <w:sz w:val="18"/>
          <w:szCs w:val="18"/>
        </w:rPr>
        <w:t>Mean coefficient of variation.</w:t>
      </w:r>
    </w:p>
    <w:p w14:paraId="149899D9" w14:textId="79DBAD39" w:rsidR="008F2E16" w:rsidRDefault="00F55B15" w:rsidP="008472F9">
      <w:pPr>
        <w:spacing w:after="0" w:line="240" w:lineRule="auto"/>
        <w:rPr>
          <w:rFonts w:eastAsia="Times New Roman" w:cs="Times New Roman"/>
          <w:color w:val="000000"/>
          <w:sz w:val="20"/>
          <w:szCs w:val="20"/>
          <w:lang w:eastAsia="en-GB"/>
        </w:rPr>
      </w:pPr>
      <w:r>
        <w:rPr>
          <w:rFonts w:eastAsia="Times New Roman" w:cs="Times New Roman"/>
          <w:noProof/>
          <w:color w:val="000000"/>
          <w:sz w:val="20"/>
          <w:szCs w:val="20"/>
          <w:lang w:eastAsia="en-GB"/>
        </w:rPr>
        <mc:AlternateContent>
          <mc:Choice Requires="wps">
            <w:drawing>
              <wp:anchor distT="0" distB="0" distL="114300" distR="114300" simplePos="0" relativeHeight="251667456" behindDoc="0" locked="0" layoutInCell="1" allowOverlap="1" wp14:anchorId="1F670A09" wp14:editId="568B925C">
                <wp:simplePos x="0" y="0"/>
                <wp:positionH relativeFrom="column">
                  <wp:posOffset>247578</wp:posOffset>
                </wp:positionH>
                <wp:positionV relativeFrom="paragraph">
                  <wp:posOffset>2520950</wp:posOffset>
                </wp:positionV>
                <wp:extent cx="352425" cy="2571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167E4" w14:textId="7C5569C1" w:rsidR="00253F16" w:rsidRPr="00F55B15" w:rsidRDefault="00253F16">
                            <w:pPr>
                              <w:rPr>
                                <w:rFonts w:ascii="Arial" w:hAnsi="Arial" w:cs="Arial"/>
                                <w:b/>
                                <w:sz w:val="20"/>
                                <w:szCs w:val="18"/>
                                <w:lang w:val="fr-FR"/>
                              </w:rPr>
                            </w:pPr>
                            <w:r w:rsidRPr="00F55B15">
                              <w:rPr>
                                <w:rFonts w:ascii="Arial" w:hAnsi="Arial" w:cs="Arial"/>
                                <w:b/>
                                <w:sz w:val="20"/>
                                <w:szCs w:val="18"/>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670A09" id="_x0000_t202" coordsize="21600,21600" o:spt="202" path="m,l,21600r21600,l21600,xe">
                <v:stroke joinstyle="miter"/>
                <v:path gradientshapeok="t" o:connecttype="rect"/>
              </v:shapetype>
              <v:shape id="Zone de texte 1" o:spid="_x0000_s1026" type="#_x0000_t202" style="position:absolute;margin-left:19.5pt;margin-top:198.5pt;width:27.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" fillcolor="white [3212]" stroked="f" strokeweight=".5pt">
                <v:textbox>
                  <w:txbxContent>
                    <w:p w14:paraId="3EA167E4" w14:textId="7C5569C1" w:rsidR="00253F16" w:rsidRPr="00F55B15" w:rsidRDefault="00253F16">
                      <w:pPr>
                        <w:rPr>
                          <w:rFonts w:ascii="Arial" w:hAnsi="Arial" w:cs="Arial"/>
                          <w:b/>
                          <w:sz w:val="20"/>
                          <w:szCs w:val="18"/>
                          <w:lang w:val="fr-FR"/>
                        </w:rPr>
                      </w:pPr>
                      <w:r w:rsidRPr="00F55B15">
                        <w:rPr>
                          <w:rFonts w:ascii="Arial" w:hAnsi="Arial" w:cs="Arial"/>
                          <w:b/>
                          <w:sz w:val="20"/>
                          <w:szCs w:val="18"/>
                          <w:lang w:val="fr-FR"/>
                        </w:rPr>
                        <w:t>A</w:t>
                      </w:r>
                    </w:p>
                  </w:txbxContent>
                </v:textbox>
              </v:shape>
            </w:pict>
          </mc:Fallback>
        </mc:AlternateContent>
      </w:r>
      <w:r w:rsidR="008F2E16" w:rsidRPr="008F2E16">
        <w:rPr>
          <w:noProof/>
          <w:lang w:eastAsia="en-GB"/>
        </w:rPr>
        <w:drawing>
          <wp:anchor distT="0" distB="0" distL="114300" distR="114300" simplePos="0" relativeHeight="251665408" behindDoc="0" locked="0" layoutInCell="1" allowOverlap="1" wp14:anchorId="2888E8AB" wp14:editId="5AF7C5B3">
            <wp:simplePos x="0" y="0"/>
            <wp:positionH relativeFrom="column">
              <wp:posOffset>234824</wp:posOffset>
            </wp:positionH>
            <wp:positionV relativeFrom="paragraph">
              <wp:posOffset>282337</wp:posOffset>
            </wp:positionV>
            <wp:extent cx="5572125" cy="2512060"/>
            <wp:effectExtent l="0" t="0" r="9525" b="2540"/>
            <wp:wrapSquare wrapText="bothSides"/>
            <wp:docPr id="1381854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512060"/>
                    </a:xfrm>
                    <a:prstGeom prst="rect">
                      <a:avLst/>
                    </a:prstGeom>
                    <a:noFill/>
                    <a:ln>
                      <a:noFill/>
                    </a:ln>
                  </pic:spPr>
                </pic:pic>
              </a:graphicData>
            </a:graphic>
          </wp:anchor>
        </w:drawing>
      </w:r>
    </w:p>
    <w:p w14:paraId="2EF6C637" w14:textId="1E48DD7F" w:rsidR="008F2E16" w:rsidRDefault="008F2E16" w:rsidP="004D7795">
      <w:pPr>
        <w:spacing w:after="0" w:line="240" w:lineRule="auto"/>
        <w:ind w:left="-1134"/>
        <w:rPr>
          <w:rFonts w:eastAsia="Times New Roman" w:cs="Times New Roman"/>
          <w:color w:val="000000"/>
          <w:sz w:val="20"/>
          <w:szCs w:val="20"/>
          <w:lang w:eastAsia="en-GB"/>
        </w:rPr>
      </w:pPr>
    </w:p>
    <w:p w14:paraId="59E7C0B9" w14:textId="799BB094" w:rsidR="008F2E16" w:rsidRDefault="00F55B15" w:rsidP="004D7795">
      <w:pPr>
        <w:spacing w:after="0" w:line="240" w:lineRule="auto"/>
        <w:ind w:left="-1134"/>
        <w:rPr>
          <w:rFonts w:eastAsia="Times New Roman" w:cs="Times New Roman"/>
          <w:color w:val="000000"/>
          <w:sz w:val="20"/>
          <w:szCs w:val="20"/>
          <w:lang w:eastAsia="en-GB"/>
        </w:rPr>
      </w:pPr>
      <w:r w:rsidRPr="00CE2488">
        <w:rPr>
          <w:noProof/>
          <w:lang w:eastAsia="en-GB"/>
        </w:rPr>
        <w:drawing>
          <wp:anchor distT="0" distB="0" distL="114300" distR="114300" simplePos="0" relativeHeight="251666432" behindDoc="0" locked="0" layoutInCell="1" allowOverlap="1" wp14:anchorId="09BD655F" wp14:editId="21ECBD88">
            <wp:simplePos x="0" y="0"/>
            <wp:positionH relativeFrom="column">
              <wp:posOffset>1906407</wp:posOffset>
            </wp:positionH>
            <wp:positionV relativeFrom="paragraph">
              <wp:posOffset>65027</wp:posOffset>
            </wp:positionV>
            <wp:extent cx="2295525" cy="2567305"/>
            <wp:effectExtent l="0" t="0" r="9525" b="4445"/>
            <wp:wrapSquare wrapText="bothSides"/>
            <wp:docPr id="3345194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2567305"/>
                    </a:xfrm>
                    <a:prstGeom prst="rect">
                      <a:avLst/>
                    </a:prstGeom>
                    <a:noFill/>
                    <a:ln>
                      <a:noFill/>
                    </a:ln>
                  </pic:spPr>
                </pic:pic>
              </a:graphicData>
            </a:graphic>
          </wp:anchor>
        </w:drawing>
      </w:r>
    </w:p>
    <w:p w14:paraId="23672037" w14:textId="33450348" w:rsidR="008F2E16" w:rsidRDefault="008F2E16" w:rsidP="004D7795">
      <w:pPr>
        <w:spacing w:after="0" w:line="240" w:lineRule="auto"/>
        <w:ind w:left="-1134"/>
        <w:rPr>
          <w:rFonts w:eastAsia="Times New Roman" w:cs="Times New Roman"/>
          <w:color w:val="000000"/>
          <w:sz w:val="20"/>
          <w:szCs w:val="20"/>
          <w:lang w:eastAsia="en-GB"/>
        </w:rPr>
      </w:pPr>
    </w:p>
    <w:p w14:paraId="61172DA0" w14:textId="77777777" w:rsidR="008F2E16" w:rsidRDefault="008F2E16" w:rsidP="004D7795">
      <w:pPr>
        <w:spacing w:after="0" w:line="240" w:lineRule="auto"/>
        <w:ind w:left="-1134"/>
        <w:rPr>
          <w:rFonts w:eastAsia="Times New Roman" w:cs="Times New Roman"/>
          <w:color w:val="000000"/>
          <w:sz w:val="20"/>
          <w:szCs w:val="20"/>
          <w:lang w:eastAsia="en-GB"/>
        </w:rPr>
      </w:pPr>
    </w:p>
    <w:p w14:paraId="5A60E51D" w14:textId="77777777" w:rsidR="008F2E16" w:rsidRDefault="008F2E16" w:rsidP="004D7795">
      <w:pPr>
        <w:spacing w:after="0" w:line="240" w:lineRule="auto"/>
        <w:ind w:left="-1134"/>
        <w:rPr>
          <w:rFonts w:eastAsia="Times New Roman" w:cs="Times New Roman"/>
          <w:color w:val="000000"/>
          <w:sz w:val="20"/>
          <w:szCs w:val="20"/>
          <w:lang w:eastAsia="en-GB"/>
        </w:rPr>
      </w:pPr>
    </w:p>
    <w:p w14:paraId="716E09B7" w14:textId="77777777" w:rsidR="004D7795" w:rsidRDefault="004D7795" w:rsidP="008F2E16">
      <w:pPr>
        <w:spacing w:after="0" w:line="240" w:lineRule="auto"/>
        <w:rPr>
          <w:rFonts w:eastAsia="Times New Roman" w:cs="Times New Roman"/>
          <w:color w:val="000000"/>
          <w:sz w:val="20"/>
          <w:szCs w:val="20"/>
          <w:lang w:eastAsia="en-GB"/>
        </w:rPr>
      </w:pPr>
    </w:p>
    <w:p w14:paraId="07159E82" w14:textId="77777777" w:rsidR="009612CB" w:rsidRDefault="009612CB" w:rsidP="008F2E16">
      <w:pPr>
        <w:spacing w:after="0" w:line="240" w:lineRule="auto"/>
        <w:rPr>
          <w:rFonts w:eastAsia="Times New Roman" w:cs="Times New Roman"/>
          <w:color w:val="000000"/>
          <w:sz w:val="20"/>
          <w:szCs w:val="20"/>
          <w:lang w:eastAsia="en-GB"/>
        </w:rPr>
      </w:pPr>
    </w:p>
    <w:p w14:paraId="21EFEA39" w14:textId="77777777" w:rsidR="009612CB" w:rsidRDefault="009612CB" w:rsidP="008F2E16">
      <w:pPr>
        <w:spacing w:after="0" w:line="240" w:lineRule="auto"/>
        <w:rPr>
          <w:rFonts w:eastAsia="Times New Roman" w:cs="Times New Roman"/>
          <w:color w:val="000000"/>
          <w:sz w:val="20"/>
          <w:szCs w:val="20"/>
          <w:lang w:eastAsia="en-GB"/>
        </w:rPr>
      </w:pPr>
    </w:p>
    <w:p w14:paraId="7744F888" w14:textId="77777777" w:rsidR="009612CB" w:rsidRDefault="009612CB" w:rsidP="008F2E16">
      <w:pPr>
        <w:spacing w:after="0" w:line="240" w:lineRule="auto"/>
        <w:rPr>
          <w:rFonts w:eastAsia="Times New Roman" w:cs="Times New Roman"/>
          <w:color w:val="000000"/>
          <w:sz w:val="20"/>
          <w:szCs w:val="20"/>
          <w:lang w:eastAsia="en-GB"/>
        </w:rPr>
      </w:pPr>
    </w:p>
    <w:p w14:paraId="0264ED5F" w14:textId="77777777" w:rsidR="009612CB" w:rsidRDefault="009612CB" w:rsidP="008F2E16">
      <w:pPr>
        <w:spacing w:after="0" w:line="240" w:lineRule="auto"/>
        <w:rPr>
          <w:rFonts w:eastAsia="Times New Roman" w:cs="Times New Roman"/>
          <w:color w:val="000000"/>
          <w:sz w:val="20"/>
          <w:szCs w:val="20"/>
          <w:lang w:eastAsia="en-GB"/>
        </w:rPr>
      </w:pPr>
    </w:p>
    <w:p w14:paraId="2B507C37" w14:textId="77777777" w:rsidR="009612CB" w:rsidRDefault="009612CB" w:rsidP="008F2E16">
      <w:pPr>
        <w:spacing w:after="0" w:line="240" w:lineRule="auto"/>
        <w:rPr>
          <w:rFonts w:eastAsia="Times New Roman" w:cs="Times New Roman"/>
          <w:color w:val="000000"/>
          <w:sz w:val="20"/>
          <w:szCs w:val="20"/>
          <w:lang w:eastAsia="en-GB"/>
        </w:rPr>
      </w:pPr>
    </w:p>
    <w:p w14:paraId="01E96466" w14:textId="77777777" w:rsidR="009612CB" w:rsidRDefault="009612CB" w:rsidP="008F2E16">
      <w:pPr>
        <w:spacing w:after="0" w:line="240" w:lineRule="auto"/>
        <w:rPr>
          <w:rFonts w:eastAsia="Times New Roman" w:cs="Times New Roman"/>
          <w:color w:val="000000"/>
          <w:sz w:val="20"/>
          <w:szCs w:val="20"/>
          <w:lang w:eastAsia="en-GB"/>
        </w:rPr>
      </w:pPr>
    </w:p>
    <w:p w14:paraId="09342726" w14:textId="77777777" w:rsidR="009612CB" w:rsidRDefault="009612CB" w:rsidP="008F2E16">
      <w:pPr>
        <w:spacing w:after="0" w:line="240" w:lineRule="auto"/>
        <w:rPr>
          <w:rFonts w:eastAsia="Times New Roman" w:cs="Times New Roman"/>
          <w:color w:val="000000"/>
          <w:sz w:val="20"/>
          <w:szCs w:val="20"/>
          <w:lang w:eastAsia="en-GB"/>
        </w:rPr>
      </w:pPr>
    </w:p>
    <w:p w14:paraId="01BB123A" w14:textId="77777777" w:rsidR="009612CB" w:rsidRDefault="009612CB" w:rsidP="008F2E16">
      <w:pPr>
        <w:spacing w:after="0" w:line="240" w:lineRule="auto"/>
        <w:rPr>
          <w:rFonts w:eastAsia="Times New Roman" w:cs="Times New Roman"/>
          <w:color w:val="000000"/>
          <w:sz w:val="20"/>
          <w:szCs w:val="20"/>
          <w:lang w:eastAsia="en-GB"/>
        </w:rPr>
      </w:pPr>
    </w:p>
    <w:p w14:paraId="034C5529" w14:textId="77777777" w:rsidR="009612CB" w:rsidRDefault="009612CB" w:rsidP="008F2E16">
      <w:pPr>
        <w:spacing w:after="0" w:line="240" w:lineRule="auto"/>
        <w:rPr>
          <w:rFonts w:eastAsia="Times New Roman" w:cs="Times New Roman"/>
          <w:color w:val="000000"/>
          <w:sz w:val="20"/>
          <w:szCs w:val="20"/>
          <w:lang w:eastAsia="en-GB"/>
        </w:rPr>
      </w:pPr>
    </w:p>
    <w:p w14:paraId="1A0665F3" w14:textId="77777777" w:rsidR="009612CB" w:rsidRDefault="009612CB" w:rsidP="008F2E16">
      <w:pPr>
        <w:spacing w:after="0" w:line="240" w:lineRule="auto"/>
        <w:rPr>
          <w:rFonts w:eastAsia="Times New Roman" w:cs="Times New Roman"/>
          <w:color w:val="000000"/>
          <w:sz w:val="20"/>
          <w:szCs w:val="20"/>
          <w:lang w:eastAsia="en-GB"/>
        </w:rPr>
      </w:pPr>
    </w:p>
    <w:p w14:paraId="4AF50C0E" w14:textId="05EA8DAF" w:rsidR="009612CB" w:rsidRDefault="009612CB" w:rsidP="008F2E16">
      <w:pPr>
        <w:spacing w:after="0" w:line="240" w:lineRule="auto"/>
        <w:rPr>
          <w:rFonts w:eastAsia="Times New Roman" w:cs="Times New Roman"/>
          <w:color w:val="000000"/>
          <w:sz w:val="20"/>
          <w:szCs w:val="20"/>
          <w:lang w:eastAsia="en-GB"/>
        </w:rPr>
      </w:pPr>
    </w:p>
    <w:p w14:paraId="5E83A18B" w14:textId="124A2DD8" w:rsidR="009612CB" w:rsidRDefault="00F55B15" w:rsidP="008F2E16">
      <w:pPr>
        <w:spacing w:after="0" w:line="240" w:lineRule="auto"/>
        <w:rPr>
          <w:rFonts w:eastAsia="Times New Roman" w:cs="Times New Roman"/>
          <w:color w:val="000000"/>
          <w:sz w:val="20"/>
          <w:szCs w:val="20"/>
          <w:lang w:eastAsia="en-GB"/>
        </w:rPr>
      </w:pPr>
      <w:r>
        <w:rPr>
          <w:rFonts w:eastAsia="Times New Roman" w:cs="Times New Roman"/>
          <w:noProof/>
          <w:color w:val="000000"/>
          <w:sz w:val="20"/>
          <w:szCs w:val="20"/>
          <w:lang w:eastAsia="en-GB"/>
        </w:rPr>
        <mc:AlternateContent>
          <mc:Choice Requires="wps">
            <w:drawing>
              <wp:anchor distT="0" distB="0" distL="114300" distR="114300" simplePos="0" relativeHeight="251669504" behindDoc="0" locked="0" layoutInCell="1" allowOverlap="1" wp14:anchorId="1E73FEBA" wp14:editId="3D811805">
                <wp:simplePos x="0" y="0"/>
                <wp:positionH relativeFrom="column">
                  <wp:posOffset>1918407</wp:posOffset>
                </wp:positionH>
                <wp:positionV relativeFrom="paragraph">
                  <wp:posOffset>31115</wp:posOffset>
                </wp:positionV>
                <wp:extent cx="352425" cy="257175"/>
                <wp:effectExtent l="0" t="0" r="9525" b="9525"/>
                <wp:wrapNone/>
                <wp:docPr id="4" name="Zone de texte 4"/>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F5681" w14:textId="42EA5E75" w:rsidR="00253F16" w:rsidRPr="00F55B15" w:rsidRDefault="00253F16" w:rsidP="00CA0F57">
                            <w:pPr>
                              <w:rPr>
                                <w:rFonts w:ascii="Arial" w:hAnsi="Arial" w:cs="Arial"/>
                                <w:b/>
                                <w:sz w:val="20"/>
                                <w:szCs w:val="18"/>
                                <w:lang w:val="fr-FR"/>
                              </w:rPr>
                            </w:pPr>
                            <w:r w:rsidRPr="00F55B15">
                              <w:rPr>
                                <w:rFonts w:ascii="Arial" w:hAnsi="Arial" w:cs="Arial"/>
                                <w:b/>
                                <w:sz w:val="20"/>
                                <w:szCs w:val="1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3FEBA" id="Zone de texte 4" o:spid="_x0000_s1027" type="#_x0000_t202" style="position:absolute;margin-left:151.05pt;margin-top:2.45pt;width:27.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" fillcolor="white [3212]" stroked="f" strokeweight=".5pt">
                <v:textbox>
                  <w:txbxContent>
                    <w:p w14:paraId="118F5681" w14:textId="42EA5E75" w:rsidR="00253F16" w:rsidRPr="00F55B15" w:rsidRDefault="00253F16" w:rsidP="00CA0F57">
                      <w:pPr>
                        <w:rPr>
                          <w:rFonts w:ascii="Arial" w:hAnsi="Arial" w:cs="Arial"/>
                          <w:b/>
                          <w:sz w:val="20"/>
                          <w:szCs w:val="18"/>
                          <w:lang w:val="fr-FR"/>
                        </w:rPr>
                      </w:pPr>
                      <w:r w:rsidRPr="00F55B15">
                        <w:rPr>
                          <w:rFonts w:ascii="Arial" w:hAnsi="Arial" w:cs="Arial"/>
                          <w:b/>
                          <w:sz w:val="20"/>
                          <w:szCs w:val="18"/>
                          <w:lang w:val="fr-FR"/>
                        </w:rPr>
                        <w:t>B</w:t>
                      </w:r>
                    </w:p>
                  </w:txbxContent>
                </v:textbox>
              </v:shape>
            </w:pict>
          </mc:Fallback>
        </mc:AlternateContent>
      </w:r>
    </w:p>
    <w:p w14:paraId="7826D67F" w14:textId="44367313" w:rsidR="009612CB" w:rsidRDefault="009612CB" w:rsidP="008F2E16">
      <w:pPr>
        <w:spacing w:after="0" w:line="240" w:lineRule="auto"/>
        <w:rPr>
          <w:rFonts w:eastAsia="Times New Roman" w:cs="Times New Roman"/>
          <w:color w:val="000000"/>
          <w:sz w:val="20"/>
          <w:szCs w:val="20"/>
          <w:lang w:eastAsia="en-GB"/>
        </w:rPr>
      </w:pPr>
    </w:p>
    <w:p w14:paraId="2B920BCA" w14:textId="7F1A42ED" w:rsidR="009612CB" w:rsidRDefault="009612CB" w:rsidP="008472F9">
      <w:pPr>
        <w:spacing w:after="0" w:line="240" w:lineRule="auto"/>
        <w:jc w:val="both"/>
        <w:rPr>
          <w:rFonts w:eastAsia="Times New Roman" w:cs="Times New Roman"/>
          <w:color w:val="000000"/>
          <w:sz w:val="20"/>
          <w:szCs w:val="20"/>
          <w:lang w:eastAsia="en-GB"/>
        </w:rPr>
      </w:pPr>
    </w:p>
    <w:p w14:paraId="05F6849A" w14:textId="77777777" w:rsidR="008472F9" w:rsidRDefault="00F55B15" w:rsidP="008472F9">
      <w:pPr>
        <w:pStyle w:val="Caption"/>
        <w:spacing w:after="0"/>
        <w:jc w:val="both"/>
        <w:rPr>
          <w:rFonts w:ascii="Arial" w:hAnsi="Arial" w:cs="Arial"/>
          <w:b/>
          <w:bCs/>
          <w:i w:val="0"/>
          <w:color w:val="auto"/>
          <w:sz w:val="20"/>
          <w:szCs w:val="20"/>
        </w:rPr>
      </w:pPr>
      <w:r w:rsidRPr="008472F9">
        <w:rPr>
          <w:rFonts w:ascii="Arial" w:hAnsi="Arial" w:cs="Arial"/>
          <w:b/>
          <w:bCs/>
          <w:i w:val="0"/>
          <w:color w:val="auto"/>
          <w:sz w:val="20"/>
          <w:szCs w:val="20"/>
        </w:rPr>
        <w:t xml:space="preserve">Figure </w:t>
      </w:r>
      <w:r w:rsidRPr="008472F9">
        <w:rPr>
          <w:rFonts w:ascii="Arial" w:hAnsi="Arial" w:cs="Arial"/>
          <w:b/>
          <w:bCs/>
          <w:i w:val="0"/>
          <w:color w:val="auto"/>
          <w:sz w:val="20"/>
          <w:szCs w:val="20"/>
        </w:rPr>
        <w:fldChar w:fldCharType="begin"/>
      </w:r>
      <w:r w:rsidRPr="008472F9">
        <w:rPr>
          <w:rFonts w:ascii="Arial" w:hAnsi="Arial" w:cs="Arial"/>
          <w:b/>
          <w:bCs/>
          <w:i w:val="0"/>
          <w:color w:val="auto"/>
          <w:sz w:val="20"/>
          <w:szCs w:val="20"/>
        </w:rPr>
        <w:instrText xml:space="preserve"> SEQ Figure \* ARABIC </w:instrText>
      </w:r>
      <w:r w:rsidRPr="008472F9">
        <w:rPr>
          <w:rFonts w:ascii="Arial" w:hAnsi="Arial" w:cs="Arial"/>
          <w:b/>
          <w:bCs/>
          <w:i w:val="0"/>
          <w:color w:val="auto"/>
          <w:sz w:val="20"/>
          <w:szCs w:val="20"/>
        </w:rPr>
        <w:fldChar w:fldCharType="separate"/>
      </w:r>
      <w:r w:rsidR="009E787D">
        <w:rPr>
          <w:rFonts w:ascii="Arial" w:hAnsi="Arial" w:cs="Arial"/>
          <w:b/>
          <w:bCs/>
          <w:i w:val="0"/>
          <w:noProof/>
          <w:color w:val="auto"/>
          <w:sz w:val="20"/>
          <w:szCs w:val="20"/>
        </w:rPr>
        <w:t>2</w:t>
      </w:r>
      <w:r w:rsidRPr="008472F9">
        <w:rPr>
          <w:rFonts w:ascii="Arial" w:hAnsi="Arial" w:cs="Arial"/>
          <w:b/>
          <w:bCs/>
          <w:i w:val="0"/>
          <w:color w:val="auto"/>
          <w:sz w:val="20"/>
          <w:szCs w:val="20"/>
        </w:rPr>
        <w:fldChar w:fldCharType="end"/>
      </w:r>
      <w:r w:rsidRPr="008472F9">
        <w:rPr>
          <w:rFonts w:ascii="Arial" w:hAnsi="Arial" w:cs="Arial"/>
          <w:b/>
          <w:bCs/>
          <w:i w:val="0"/>
          <w:color w:val="auto"/>
          <w:sz w:val="20"/>
          <w:szCs w:val="20"/>
        </w:rPr>
        <w:t>.</w:t>
      </w:r>
      <w:r w:rsidR="008472F9">
        <w:rPr>
          <w:rFonts w:ascii="Arial" w:hAnsi="Arial" w:cs="Arial"/>
          <w:b/>
          <w:bCs/>
          <w:i w:val="0"/>
          <w:color w:val="auto"/>
          <w:sz w:val="20"/>
          <w:szCs w:val="20"/>
        </w:rPr>
        <w:t xml:space="preserve"> </w:t>
      </w:r>
      <w:r w:rsidRPr="008472F9">
        <w:rPr>
          <w:rFonts w:ascii="Arial" w:hAnsi="Arial" w:cs="Arial"/>
          <w:b/>
          <w:bCs/>
          <w:i w:val="0"/>
          <w:color w:val="auto"/>
          <w:sz w:val="20"/>
          <w:szCs w:val="20"/>
        </w:rPr>
        <w:t>Illustration of phenotypic homogeneity among the studied maize lines</w:t>
      </w:r>
    </w:p>
    <w:p w14:paraId="37DF6FD9" w14:textId="7B083ABB" w:rsidR="00F55B15" w:rsidRPr="008472F9" w:rsidRDefault="00F55B15" w:rsidP="008472F9">
      <w:pPr>
        <w:pStyle w:val="Caption"/>
        <w:rPr>
          <w:rFonts w:ascii="Arial" w:hAnsi="Arial" w:cs="Arial"/>
          <w:iCs w:val="0"/>
          <w:noProof/>
          <w:color w:val="auto"/>
        </w:rPr>
      </w:pPr>
      <w:r w:rsidRPr="008472F9">
        <w:rPr>
          <w:rFonts w:ascii="Arial" w:hAnsi="Arial" w:cs="Arial"/>
          <w:iCs w:val="0"/>
          <w:color w:val="auto"/>
        </w:rPr>
        <w:t xml:space="preserve">A </w:t>
      </w:r>
      <w:r w:rsidR="008472F9" w:rsidRPr="008472F9">
        <w:rPr>
          <w:rFonts w:ascii="Arial" w:hAnsi="Arial" w:cs="Arial"/>
          <w:iCs w:val="0"/>
          <w:color w:val="auto"/>
        </w:rPr>
        <w:t>vegetative uniformity;</w:t>
      </w:r>
      <w:r w:rsidRPr="008472F9">
        <w:rPr>
          <w:rFonts w:ascii="Arial" w:hAnsi="Arial" w:cs="Arial"/>
          <w:iCs w:val="0"/>
          <w:color w:val="auto"/>
        </w:rPr>
        <w:t xml:space="preserve"> (B)</w:t>
      </w:r>
      <w:r w:rsidR="008472F9" w:rsidRPr="008472F9">
        <w:rPr>
          <w:rFonts w:ascii="Arial" w:hAnsi="Arial" w:cs="Arial"/>
          <w:iCs w:val="0"/>
          <w:color w:val="auto"/>
        </w:rPr>
        <w:t xml:space="preserve"> ear uniformity</w:t>
      </w:r>
    </w:p>
    <w:p w14:paraId="060132AF" w14:textId="605A1A1C" w:rsidR="006C7EA1" w:rsidRPr="006E309C" w:rsidRDefault="006C7EA1" w:rsidP="00024043">
      <w:pPr>
        <w:pStyle w:val="Heading2"/>
      </w:pPr>
      <w:r w:rsidRPr="006E309C">
        <w:rPr>
          <w:rStyle w:val="Strong"/>
          <w:b/>
          <w:bCs w:val="0"/>
        </w:rPr>
        <w:t>3.2 Evaluation of Diversity Among Lines</w:t>
      </w:r>
    </w:p>
    <w:p w14:paraId="314695E2" w14:textId="77777777" w:rsidR="00C46B7E" w:rsidRDefault="00C46B7E" w:rsidP="00C46B7E">
      <w:pPr>
        <w:spacing w:after="0"/>
        <w:jc w:val="both"/>
        <w:rPr>
          <w:rFonts w:ascii="Arial" w:hAnsi="Arial" w:cs="Arial"/>
          <w:sz w:val="20"/>
          <w:szCs w:val="20"/>
        </w:rPr>
      </w:pPr>
    </w:p>
    <w:p w14:paraId="4DE572C1" w14:textId="7FE93942" w:rsidR="00D73941" w:rsidRPr="008E3F4A" w:rsidRDefault="006C7EA1" w:rsidP="00C46B7E">
      <w:pPr>
        <w:spacing w:after="0"/>
        <w:jc w:val="both"/>
        <w:rPr>
          <w:rFonts w:ascii="Arial" w:hAnsi="Arial" w:cs="Arial"/>
          <w:sz w:val="20"/>
          <w:szCs w:val="20"/>
        </w:rPr>
        <w:sectPr w:rsidR="00D73941" w:rsidRPr="008E3F4A" w:rsidSect="006A27F2">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pPr>
      <w:r w:rsidRPr="008E3F4A">
        <w:rPr>
          <w:rFonts w:ascii="Arial" w:hAnsi="Arial" w:cs="Arial"/>
          <w:sz w:val="20"/>
          <w:szCs w:val="20"/>
        </w:rPr>
        <w:t xml:space="preserve">Table 2 presents the mean values of agro-morphological parameters according to the studied lines. The analysis of this table revealed a highly significant effect of genotype (p-value &lt; 0.001) on the traits considered. The control T01 (EV8728) recorded the shortest male and female flowering times, with respective values of 51.30 and 50.50 days. Among the lines, L30 was the earliest, exhibiting the shortest male (58.00 days) and female (55.43 days) flowering times. In contrast, line L37 was the latest, with male and female flowering times of 64.91 and 63.89 days, respectively. This observed variability is, according to Siddiqui et al. (2020), typical of populations derived from mutagenesis, where irradiation induces random genomic modifications that may affect genes controlling the vegetative cycle. Furthermore, the lateness observed in some lines may be attributed to disruptions in hormonal pathways or in the regulation of genes involved in floral transition, particularly those associated with photoperiod sensitivity and vegetative development (Xu et al., 2021). Regarding stem collar diameter, line L37 exhibited the lowest value (14.98 mm), whereas the highest values were recorded in lines L22 and L33, with 18.07 mm and 18.37 mm, respectively. Although these values were the highest among the lines, they remained lower than those of the two controls, T01 (23.06 mm) and T02 (43.97 mm). This reduction in diameter may reflect a negative effect of irradiation on vegetative </w:t>
      </w:r>
      <w:proofErr w:type="spellStart"/>
      <w:r w:rsidRPr="008E3F4A">
        <w:rPr>
          <w:rFonts w:ascii="Arial" w:hAnsi="Arial" w:cs="Arial"/>
          <w:sz w:val="20"/>
          <w:szCs w:val="20"/>
        </w:rPr>
        <w:t>vigor</w:t>
      </w:r>
      <w:proofErr w:type="spellEnd"/>
      <w:r w:rsidRPr="008E3F4A">
        <w:rPr>
          <w:rFonts w:ascii="Arial" w:hAnsi="Arial" w:cs="Arial"/>
          <w:sz w:val="20"/>
          <w:szCs w:val="20"/>
        </w:rPr>
        <w:t>. Indeed, several studies have shown that ionizing radiation can impair cell division and tissue elongation, leading to reduced structural development in plants (Kumar et al., 2020). In terms of plant height, the shortest plants (110.07 cm) were observed in line L37, whereas line L26 produced the tallest plants (188.40 cm). Moreover, the height recorded for line L26 was statistically similar to those of the controls T01 (197.10 cm) and T02 (199.60 cm). Concerning ear insertion height, lines L37 and L27 exhibited the lowest insertion heights, with 54.33 cm and 54.71 cm, respectively, while lines L26 (79.67 cm) and L29 (85.88 cm) showed higher insertion points. However, ear insertion heights in the controls T01 (98.30 cm) and T02 (120.80 cm) were higher than those observed in all the lines. The variability observed in plant height indicates that mutagenesis induces modifications in vegetative development that can affect vertical growth. The reduced plant height observed in some lines may be linked to alterations in cell division and elongation processes, often regulated by hormones such as gibberellins (Kumar et al., 2020). Conversely, lines with heights comparable to the controls, such as L26, suggest that some mutants retain a high growth potential. This is particularly valuable in breeding programs, as plant height is closely associated with yield and biomass (Badu-</w:t>
      </w:r>
      <w:proofErr w:type="spellStart"/>
      <w:r w:rsidRPr="008E3F4A">
        <w:rPr>
          <w:rFonts w:ascii="Arial" w:hAnsi="Arial" w:cs="Arial"/>
          <w:sz w:val="20"/>
          <w:szCs w:val="20"/>
        </w:rPr>
        <w:t>Apraku</w:t>
      </w:r>
      <w:proofErr w:type="spellEnd"/>
      <w:r w:rsidRPr="008E3F4A">
        <w:rPr>
          <w:rFonts w:ascii="Arial" w:hAnsi="Arial" w:cs="Arial"/>
          <w:sz w:val="20"/>
          <w:szCs w:val="20"/>
        </w:rPr>
        <w:t xml:space="preserve"> et al., 2021). However, excessively tall plants may be prone to lodging, requiring a balance between </w:t>
      </w:r>
      <w:proofErr w:type="spellStart"/>
      <w:r w:rsidRPr="008E3F4A">
        <w:rPr>
          <w:rFonts w:ascii="Arial" w:hAnsi="Arial" w:cs="Arial"/>
          <w:sz w:val="20"/>
          <w:szCs w:val="20"/>
        </w:rPr>
        <w:t>vigor</w:t>
      </w:r>
      <w:proofErr w:type="spellEnd"/>
      <w:r w:rsidRPr="008E3F4A">
        <w:rPr>
          <w:rFonts w:ascii="Arial" w:hAnsi="Arial" w:cs="Arial"/>
          <w:sz w:val="20"/>
          <w:szCs w:val="20"/>
        </w:rPr>
        <w:t xml:space="preserve"> and structural stability. Additionally, the relatively low ear insertion height observed across all studied lines is considered a </w:t>
      </w:r>
      <w:proofErr w:type="spellStart"/>
      <w:r w:rsidRPr="008E3F4A">
        <w:rPr>
          <w:rFonts w:ascii="Arial" w:hAnsi="Arial" w:cs="Arial"/>
          <w:sz w:val="20"/>
          <w:szCs w:val="20"/>
        </w:rPr>
        <w:t>favorable</w:t>
      </w:r>
      <w:proofErr w:type="spellEnd"/>
      <w:r w:rsidRPr="008E3F4A">
        <w:rPr>
          <w:rFonts w:ascii="Arial" w:hAnsi="Arial" w:cs="Arial"/>
          <w:sz w:val="20"/>
          <w:szCs w:val="20"/>
        </w:rPr>
        <w:t xml:space="preserve"> trait. According to Ishfaq et al. (2025) and Wang et al. (2025), lower ear placement reduces lodging risk and improves plant stability. Since ear weight is a direct component of yield, the high values observed in </w:t>
      </w:r>
      <w:r w:rsidRPr="008E3F4A">
        <w:rPr>
          <w:rFonts w:ascii="Arial" w:hAnsi="Arial" w:cs="Arial"/>
          <w:sz w:val="20"/>
          <w:szCs w:val="20"/>
        </w:rPr>
        <w:lastRenderedPageBreak/>
        <w:t>certain lines indicate a strong grain-filling capacity. This suggests that mutagenesis has enabled the development of genotypes capable of maintaining performance levels close to those of improved controls (</w:t>
      </w:r>
      <w:proofErr w:type="spellStart"/>
      <w:r w:rsidRPr="008E3F4A">
        <w:rPr>
          <w:rFonts w:ascii="Arial" w:hAnsi="Arial" w:cs="Arial"/>
          <w:sz w:val="20"/>
          <w:szCs w:val="20"/>
        </w:rPr>
        <w:t>Bocianowski</w:t>
      </w:r>
      <w:proofErr w:type="spellEnd"/>
      <w:r w:rsidRPr="008E3F4A">
        <w:rPr>
          <w:rFonts w:ascii="Arial" w:hAnsi="Arial" w:cs="Arial"/>
          <w:sz w:val="20"/>
          <w:szCs w:val="20"/>
        </w:rPr>
        <w:t xml:space="preserve"> et al., 2024). Regarding the 100-grain weight (GW100), line L37 recorded the lowest value (13.04 g), whereas the highest 100-grain weight (31.41 g) was obtained from line L29. This value was higher than that of control T01 (24.45 g) and similar to that of control T02 (31.75 g). The 100-grain weight varied considerably among the lines, with the highest value observed in line L29, exceeding that of T01. This parameter is a key indicator of individual grain weight and reflects the efficiency of grain filling. The high performance of line L29 suggests an effective mobilization of assimilates toward the grains, which constitutes a </w:t>
      </w:r>
      <w:proofErr w:type="spellStart"/>
      <w:r w:rsidRPr="008E3F4A">
        <w:rPr>
          <w:rFonts w:ascii="Arial" w:hAnsi="Arial" w:cs="Arial"/>
          <w:sz w:val="20"/>
          <w:szCs w:val="20"/>
        </w:rPr>
        <w:t>favorable</w:t>
      </w:r>
      <w:proofErr w:type="spellEnd"/>
      <w:r w:rsidRPr="008E3F4A">
        <w:rPr>
          <w:rFonts w:ascii="Arial" w:hAnsi="Arial" w:cs="Arial"/>
          <w:sz w:val="20"/>
          <w:szCs w:val="20"/>
        </w:rPr>
        <w:t xml:space="preserve"> trait for yield improvement (Siddiqui et al., 2020). Among all the studied lines, only line L29 recorded the highest yield (3.03 t/ha). This yield was comparable to that of control T01 (3.45 t/ha). This similarity can be explained by the fact that mutagenesis had no significant effect on the different yield co</w:t>
      </w:r>
      <w:r w:rsidR="00D73941" w:rsidRPr="008E3F4A">
        <w:rPr>
          <w:rFonts w:ascii="Arial" w:hAnsi="Arial" w:cs="Arial"/>
          <w:sz w:val="20"/>
          <w:szCs w:val="20"/>
        </w:rPr>
        <w:t>mponents (Hossain et al., 2023).</w:t>
      </w:r>
    </w:p>
    <w:p w14:paraId="3F47BD81" w14:textId="24949268" w:rsidR="00F754EE" w:rsidRPr="00AE44C1" w:rsidRDefault="006C7EA1" w:rsidP="00AE44C1">
      <w:pPr>
        <w:rPr>
          <w:rFonts w:ascii="Arial" w:hAnsi="Arial" w:cs="Arial"/>
          <w:sz w:val="20"/>
          <w:szCs w:val="20"/>
        </w:rPr>
      </w:pPr>
      <w:r w:rsidRPr="00AE44C1">
        <w:rPr>
          <w:rStyle w:val="Strong"/>
          <w:rFonts w:ascii="Arial" w:hAnsi="Arial" w:cs="Arial"/>
          <w:sz w:val="20"/>
          <w:szCs w:val="20"/>
        </w:rPr>
        <w:lastRenderedPageBreak/>
        <w:t xml:space="preserve">Table 2. Mean values of </w:t>
      </w:r>
      <w:proofErr w:type="spellStart"/>
      <w:r w:rsidRPr="00AE44C1">
        <w:rPr>
          <w:rStyle w:val="Strong"/>
          <w:rFonts w:ascii="Arial" w:hAnsi="Arial" w:cs="Arial"/>
          <w:sz w:val="20"/>
          <w:szCs w:val="20"/>
        </w:rPr>
        <w:t>agromorphological</w:t>
      </w:r>
      <w:proofErr w:type="spellEnd"/>
      <w:r w:rsidRPr="00AE44C1">
        <w:rPr>
          <w:rStyle w:val="Strong"/>
          <w:rFonts w:ascii="Arial" w:hAnsi="Arial" w:cs="Arial"/>
          <w:sz w:val="20"/>
          <w:szCs w:val="20"/>
        </w:rPr>
        <w:t xml:space="preserve"> parameters according to the studied lines</w:t>
      </w:r>
    </w:p>
    <w:tbl>
      <w:tblPr>
        <w:tblW w:w="0" w:type="auto"/>
        <w:jc w:val="center"/>
        <w:tblLayout w:type="fixed"/>
        <w:tblLook w:val="04A0" w:firstRow="1" w:lastRow="0" w:firstColumn="1" w:lastColumn="0" w:noHBand="0" w:noVBand="1"/>
      </w:tblPr>
      <w:tblGrid>
        <w:gridCol w:w="747"/>
        <w:gridCol w:w="1133"/>
        <w:gridCol w:w="1133"/>
        <w:gridCol w:w="1199"/>
        <w:gridCol w:w="1316"/>
        <w:gridCol w:w="1393"/>
        <w:gridCol w:w="1199"/>
        <w:gridCol w:w="1193"/>
        <w:gridCol w:w="1193"/>
        <w:gridCol w:w="1176"/>
        <w:gridCol w:w="1193"/>
        <w:gridCol w:w="1099"/>
      </w:tblGrid>
      <w:tr w:rsidR="00092666" w:rsidRPr="00092666" w14:paraId="672A0062" w14:textId="77777777" w:rsidTr="00AB7DE4">
        <w:trPr>
          <w:trHeight w:val="170"/>
          <w:jc w:val="center"/>
        </w:trPr>
        <w:tc>
          <w:tcPr>
            <w:tcW w:w="747" w:type="dxa"/>
            <w:tcBorders>
              <w:top w:val="single" w:sz="4" w:space="0" w:color="auto"/>
              <w:left w:val="nil"/>
              <w:bottom w:val="single" w:sz="4" w:space="0" w:color="auto"/>
              <w:right w:val="nil"/>
            </w:tcBorders>
            <w:noWrap/>
            <w:vAlign w:val="bottom"/>
            <w:hideMark/>
          </w:tcPr>
          <w:p w14:paraId="257DC232"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LINES</w:t>
            </w:r>
          </w:p>
        </w:tc>
        <w:tc>
          <w:tcPr>
            <w:tcW w:w="1133" w:type="dxa"/>
            <w:tcBorders>
              <w:top w:val="single" w:sz="4" w:space="0" w:color="auto"/>
              <w:left w:val="nil"/>
              <w:bottom w:val="single" w:sz="4" w:space="0" w:color="auto"/>
              <w:right w:val="nil"/>
            </w:tcBorders>
          </w:tcPr>
          <w:p w14:paraId="648FC6D6" w14:textId="77777777" w:rsidR="00092666" w:rsidRPr="00092666" w:rsidRDefault="00092666" w:rsidP="00092666">
            <w:pPr>
              <w:autoSpaceDE w:val="0"/>
              <w:autoSpaceDN w:val="0"/>
              <w:adjustRightInd w:val="0"/>
              <w:spacing w:after="0" w:line="240" w:lineRule="auto"/>
              <w:jc w:val="both"/>
              <w:rPr>
                <w:rFonts w:ascii="Arial" w:hAnsi="Arial" w:cs="Arial"/>
                <w:b/>
                <w:bCs/>
                <w:sz w:val="18"/>
                <w:szCs w:val="18"/>
              </w:rPr>
            </w:pPr>
            <w:r w:rsidRPr="00092666">
              <w:rPr>
                <w:rFonts w:ascii="Arial" w:hAnsi="Arial" w:cs="Arial"/>
                <w:b/>
                <w:bCs/>
                <w:sz w:val="18"/>
                <w:szCs w:val="18"/>
              </w:rPr>
              <w:t>DA</w:t>
            </w:r>
          </w:p>
        </w:tc>
        <w:tc>
          <w:tcPr>
            <w:tcW w:w="1133" w:type="dxa"/>
            <w:tcBorders>
              <w:top w:val="single" w:sz="4" w:space="0" w:color="auto"/>
              <w:left w:val="nil"/>
              <w:bottom w:val="single" w:sz="4" w:space="0" w:color="auto"/>
              <w:right w:val="nil"/>
            </w:tcBorders>
          </w:tcPr>
          <w:p w14:paraId="7ACBF54D" w14:textId="77777777" w:rsidR="00092666" w:rsidRPr="00092666" w:rsidRDefault="00092666" w:rsidP="00092666">
            <w:pPr>
              <w:autoSpaceDE w:val="0"/>
              <w:autoSpaceDN w:val="0"/>
              <w:adjustRightInd w:val="0"/>
              <w:spacing w:after="0" w:line="240" w:lineRule="auto"/>
              <w:jc w:val="both"/>
              <w:rPr>
                <w:rFonts w:ascii="Arial" w:hAnsi="Arial" w:cs="Arial"/>
                <w:b/>
                <w:bCs/>
                <w:sz w:val="18"/>
                <w:szCs w:val="18"/>
              </w:rPr>
            </w:pPr>
            <w:r w:rsidRPr="00092666">
              <w:rPr>
                <w:rFonts w:ascii="Arial" w:hAnsi="Arial" w:cs="Arial"/>
                <w:b/>
                <w:bCs/>
                <w:sz w:val="18"/>
                <w:szCs w:val="18"/>
              </w:rPr>
              <w:t>DS</w:t>
            </w:r>
          </w:p>
        </w:tc>
        <w:tc>
          <w:tcPr>
            <w:tcW w:w="1199" w:type="dxa"/>
            <w:tcBorders>
              <w:top w:val="single" w:sz="4" w:space="0" w:color="auto"/>
              <w:left w:val="nil"/>
              <w:bottom w:val="single" w:sz="4" w:space="0" w:color="auto"/>
              <w:right w:val="nil"/>
            </w:tcBorders>
            <w:noWrap/>
            <w:vAlign w:val="bottom"/>
            <w:hideMark/>
          </w:tcPr>
          <w:p w14:paraId="7D8E8AF2"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SDB</w:t>
            </w:r>
          </w:p>
        </w:tc>
        <w:tc>
          <w:tcPr>
            <w:tcW w:w="1316" w:type="dxa"/>
            <w:tcBorders>
              <w:top w:val="single" w:sz="4" w:space="0" w:color="auto"/>
              <w:left w:val="nil"/>
              <w:bottom w:val="single" w:sz="4" w:space="0" w:color="auto"/>
              <w:right w:val="nil"/>
            </w:tcBorders>
            <w:noWrap/>
            <w:vAlign w:val="bottom"/>
            <w:hideMark/>
          </w:tcPr>
          <w:p w14:paraId="60756F68"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EH</w:t>
            </w:r>
          </w:p>
        </w:tc>
        <w:tc>
          <w:tcPr>
            <w:tcW w:w="1393" w:type="dxa"/>
            <w:tcBorders>
              <w:top w:val="single" w:sz="4" w:space="0" w:color="auto"/>
              <w:left w:val="nil"/>
              <w:bottom w:val="single" w:sz="4" w:space="0" w:color="auto"/>
              <w:right w:val="nil"/>
            </w:tcBorders>
            <w:noWrap/>
            <w:vAlign w:val="bottom"/>
            <w:hideMark/>
          </w:tcPr>
          <w:p w14:paraId="143FCE9D"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PH</w:t>
            </w:r>
          </w:p>
        </w:tc>
        <w:tc>
          <w:tcPr>
            <w:tcW w:w="1199" w:type="dxa"/>
            <w:tcBorders>
              <w:top w:val="single" w:sz="4" w:space="0" w:color="auto"/>
              <w:left w:val="nil"/>
              <w:bottom w:val="single" w:sz="4" w:space="0" w:color="auto"/>
              <w:right w:val="nil"/>
            </w:tcBorders>
            <w:noWrap/>
            <w:vAlign w:val="bottom"/>
            <w:hideMark/>
          </w:tcPr>
          <w:p w14:paraId="6EE60ABD"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EL</w:t>
            </w:r>
          </w:p>
        </w:tc>
        <w:tc>
          <w:tcPr>
            <w:tcW w:w="1193" w:type="dxa"/>
            <w:tcBorders>
              <w:top w:val="single" w:sz="4" w:space="0" w:color="auto"/>
              <w:left w:val="nil"/>
              <w:bottom w:val="single" w:sz="4" w:space="0" w:color="auto"/>
              <w:right w:val="nil"/>
            </w:tcBorders>
            <w:noWrap/>
            <w:vAlign w:val="bottom"/>
            <w:hideMark/>
          </w:tcPr>
          <w:p w14:paraId="0A36ED39"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ED</w:t>
            </w:r>
          </w:p>
        </w:tc>
        <w:tc>
          <w:tcPr>
            <w:tcW w:w="1193" w:type="dxa"/>
            <w:tcBorders>
              <w:top w:val="single" w:sz="4" w:space="0" w:color="auto"/>
              <w:left w:val="nil"/>
              <w:bottom w:val="single" w:sz="4" w:space="0" w:color="auto"/>
              <w:right w:val="nil"/>
            </w:tcBorders>
            <w:noWrap/>
            <w:vAlign w:val="bottom"/>
            <w:hideMark/>
          </w:tcPr>
          <w:p w14:paraId="78376138" w14:textId="77777777" w:rsidR="00092666" w:rsidRPr="00092666" w:rsidRDefault="00092666" w:rsidP="00092666">
            <w:pPr>
              <w:spacing w:after="0" w:line="240" w:lineRule="auto"/>
              <w:jc w:val="both"/>
              <w:rPr>
                <w:rFonts w:ascii="Arial" w:eastAsia="Times New Roman" w:hAnsi="Arial" w:cs="Arial"/>
                <w:b/>
                <w:bCs/>
                <w:color w:val="000000"/>
                <w:sz w:val="18"/>
                <w:szCs w:val="18"/>
                <w:lang w:eastAsia="en-GB"/>
              </w:rPr>
            </w:pPr>
            <w:r w:rsidRPr="00092666">
              <w:rPr>
                <w:rFonts w:ascii="Arial" w:eastAsia="Times New Roman" w:hAnsi="Arial" w:cs="Arial"/>
                <w:b/>
                <w:bCs/>
                <w:color w:val="000000"/>
                <w:sz w:val="18"/>
                <w:szCs w:val="18"/>
                <w:lang w:eastAsia="en-GB"/>
              </w:rPr>
              <w:t>NL</w:t>
            </w:r>
          </w:p>
        </w:tc>
        <w:tc>
          <w:tcPr>
            <w:tcW w:w="1176" w:type="dxa"/>
            <w:tcBorders>
              <w:top w:val="single" w:sz="4" w:space="0" w:color="auto"/>
              <w:left w:val="nil"/>
              <w:bottom w:val="single" w:sz="4" w:space="0" w:color="auto"/>
              <w:right w:val="nil"/>
            </w:tcBorders>
          </w:tcPr>
          <w:p w14:paraId="7F99A66A" w14:textId="77777777" w:rsidR="00092666" w:rsidRPr="00092666" w:rsidRDefault="00092666" w:rsidP="00092666">
            <w:pPr>
              <w:autoSpaceDE w:val="0"/>
              <w:autoSpaceDN w:val="0"/>
              <w:adjustRightInd w:val="0"/>
              <w:spacing w:after="0" w:line="240" w:lineRule="auto"/>
              <w:jc w:val="both"/>
              <w:rPr>
                <w:rFonts w:ascii="Arial" w:hAnsi="Arial" w:cs="Arial"/>
                <w:b/>
                <w:bCs/>
                <w:sz w:val="18"/>
                <w:szCs w:val="18"/>
              </w:rPr>
            </w:pPr>
            <w:r w:rsidRPr="00092666">
              <w:rPr>
                <w:rFonts w:ascii="Arial" w:hAnsi="Arial" w:cs="Arial"/>
                <w:b/>
                <w:bCs/>
                <w:sz w:val="18"/>
                <w:szCs w:val="18"/>
              </w:rPr>
              <w:t>EW</w:t>
            </w:r>
          </w:p>
        </w:tc>
        <w:tc>
          <w:tcPr>
            <w:tcW w:w="1193" w:type="dxa"/>
            <w:tcBorders>
              <w:top w:val="single" w:sz="4" w:space="0" w:color="auto"/>
              <w:left w:val="nil"/>
              <w:bottom w:val="single" w:sz="4" w:space="0" w:color="auto"/>
              <w:right w:val="nil"/>
            </w:tcBorders>
          </w:tcPr>
          <w:p w14:paraId="44922120" w14:textId="77777777" w:rsidR="00092666" w:rsidRPr="00092666" w:rsidRDefault="00092666" w:rsidP="00092666">
            <w:pPr>
              <w:autoSpaceDE w:val="0"/>
              <w:autoSpaceDN w:val="0"/>
              <w:adjustRightInd w:val="0"/>
              <w:spacing w:after="0" w:line="240" w:lineRule="auto"/>
              <w:jc w:val="both"/>
              <w:rPr>
                <w:rFonts w:ascii="Arial" w:hAnsi="Arial" w:cs="Arial"/>
                <w:b/>
                <w:bCs/>
                <w:sz w:val="18"/>
                <w:szCs w:val="18"/>
              </w:rPr>
            </w:pPr>
            <w:r w:rsidRPr="00092666">
              <w:rPr>
                <w:rFonts w:ascii="Arial" w:hAnsi="Arial" w:cs="Arial"/>
                <w:b/>
                <w:bCs/>
                <w:sz w:val="18"/>
                <w:szCs w:val="18"/>
              </w:rPr>
              <w:t>GW100</w:t>
            </w:r>
          </w:p>
        </w:tc>
        <w:tc>
          <w:tcPr>
            <w:tcW w:w="1099" w:type="dxa"/>
            <w:tcBorders>
              <w:top w:val="single" w:sz="4" w:space="0" w:color="auto"/>
              <w:left w:val="nil"/>
              <w:bottom w:val="single" w:sz="4" w:space="0" w:color="auto"/>
              <w:right w:val="nil"/>
            </w:tcBorders>
          </w:tcPr>
          <w:p w14:paraId="350DA2C4" w14:textId="77777777" w:rsidR="00092666" w:rsidRPr="00092666" w:rsidRDefault="00092666" w:rsidP="00092666">
            <w:pPr>
              <w:autoSpaceDE w:val="0"/>
              <w:autoSpaceDN w:val="0"/>
              <w:adjustRightInd w:val="0"/>
              <w:spacing w:after="0" w:line="240" w:lineRule="auto"/>
              <w:jc w:val="both"/>
              <w:rPr>
                <w:rFonts w:ascii="Arial" w:hAnsi="Arial" w:cs="Arial"/>
                <w:b/>
                <w:bCs/>
                <w:sz w:val="18"/>
                <w:szCs w:val="18"/>
              </w:rPr>
            </w:pPr>
            <w:r w:rsidRPr="00092666">
              <w:rPr>
                <w:rFonts w:ascii="Arial" w:hAnsi="Arial" w:cs="Arial"/>
                <w:b/>
                <w:bCs/>
                <w:sz w:val="18"/>
                <w:szCs w:val="18"/>
              </w:rPr>
              <w:t>Yd</w:t>
            </w:r>
          </w:p>
        </w:tc>
      </w:tr>
      <w:tr w:rsidR="00092666" w:rsidRPr="00092666" w14:paraId="5F047107" w14:textId="77777777" w:rsidTr="00AB7DE4">
        <w:trPr>
          <w:trHeight w:val="170"/>
          <w:jc w:val="center"/>
        </w:trPr>
        <w:tc>
          <w:tcPr>
            <w:tcW w:w="747" w:type="dxa"/>
            <w:tcBorders>
              <w:top w:val="single" w:sz="4" w:space="0" w:color="auto"/>
              <w:left w:val="nil"/>
              <w:bottom w:val="nil"/>
              <w:right w:val="nil"/>
            </w:tcBorders>
            <w:noWrap/>
            <w:vAlign w:val="bottom"/>
            <w:hideMark/>
          </w:tcPr>
          <w:p w14:paraId="515D9EDF"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L22</w:t>
            </w:r>
          </w:p>
        </w:tc>
        <w:tc>
          <w:tcPr>
            <w:tcW w:w="1133" w:type="dxa"/>
            <w:tcBorders>
              <w:top w:val="single" w:sz="4" w:space="0" w:color="auto"/>
              <w:left w:val="nil"/>
              <w:bottom w:val="nil"/>
              <w:right w:val="nil"/>
            </w:tcBorders>
          </w:tcPr>
          <w:p w14:paraId="0FA4A0BD"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61.76 ±1.6</w:t>
            </w:r>
            <w:r w:rsidRPr="00092666">
              <w:rPr>
                <w:rFonts w:ascii="Arial" w:hAnsi="Arial" w:cs="Arial"/>
                <w:sz w:val="18"/>
                <w:szCs w:val="18"/>
                <w:vertAlign w:val="superscript"/>
              </w:rPr>
              <w:t>e</w:t>
            </w:r>
          </w:p>
        </w:tc>
        <w:tc>
          <w:tcPr>
            <w:tcW w:w="1133" w:type="dxa"/>
            <w:tcBorders>
              <w:top w:val="single" w:sz="4" w:space="0" w:color="auto"/>
              <w:left w:val="nil"/>
              <w:bottom w:val="nil"/>
              <w:right w:val="nil"/>
            </w:tcBorders>
          </w:tcPr>
          <w:p w14:paraId="39B73054"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60.78 ±2.1</w:t>
            </w:r>
            <w:r w:rsidRPr="00092666">
              <w:rPr>
                <w:rFonts w:ascii="Arial" w:hAnsi="Arial" w:cs="Arial"/>
                <w:sz w:val="18"/>
                <w:szCs w:val="18"/>
                <w:vertAlign w:val="superscript"/>
              </w:rPr>
              <w:t>d</w:t>
            </w:r>
          </w:p>
        </w:tc>
        <w:tc>
          <w:tcPr>
            <w:tcW w:w="1199" w:type="dxa"/>
            <w:tcBorders>
              <w:top w:val="single" w:sz="4" w:space="0" w:color="auto"/>
              <w:left w:val="nil"/>
              <w:bottom w:val="nil"/>
              <w:right w:val="nil"/>
            </w:tcBorders>
            <w:noWrap/>
            <w:vAlign w:val="bottom"/>
            <w:hideMark/>
          </w:tcPr>
          <w:p w14:paraId="43C5CCC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18.07 ±2.1</w:t>
            </w:r>
            <w:r w:rsidRPr="00092666">
              <w:rPr>
                <w:rFonts w:ascii="Arial" w:eastAsia="Times New Roman" w:hAnsi="Arial" w:cs="Arial"/>
                <w:color w:val="000000"/>
                <w:sz w:val="18"/>
                <w:szCs w:val="18"/>
                <w:vertAlign w:val="superscript"/>
                <w:lang w:eastAsia="en-GB"/>
              </w:rPr>
              <w:t>b</w:t>
            </w:r>
          </w:p>
        </w:tc>
        <w:tc>
          <w:tcPr>
            <w:tcW w:w="1316" w:type="dxa"/>
            <w:tcBorders>
              <w:top w:val="single" w:sz="4" w:space="0" w:color="auto"/>
              <w:left w:val="nil"/>
              <w:bottom w:val="nil"/>
              <w:right w:val="nil"/>
            </w:tcBorders>
            <w:noWrap/>
            <w:vAlign w:val="bottom"/>
            <w:hideMark/>
          </w:tcPr>
          <w:p w14:paraId="164E967D"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72.80 ±6.8</w:t>
            </w:r>
            <w:r w:rsidRPr="00092666">
              <w:rPr>
                <w:rFonts w:ascii="Arial" w:eastAsia="Times New Roman" w:hAnsi="Arial" w:cs="Arial"/>
                <w:color w:val="000000"/>
                <w:sz w:val="18"/>
                <w:szCs w:val="18"/>
                <w:vertAlign w:val="superscript"/>
                <w:lang w:eastAsia="en-GB"/>
              </w:rPr>
              <w:t>bc</w:t>
            </w:r>
          </w:p>
        </w:tc>
        <w:tc>
          <w:tcPr>
            <w:tcW w:w="1393" w:type="dxa"/>
            <w:tcBorders>
              <w:top w:val="single" w:sz="4" w:space="0" w:color="auto"/>
              <w:left w:val="nil"/>
              <w:bottom w:val="nil"/>
              <w:right w:val="nil"/>
            </w:tcBorders>
            <w:noWrap/>
            <w:vAlign w:val="bottom"/>
            <w:hideMark/>
          </w:tcPr>
          <w:p w14:paraId="5FEFEDD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159.40 ±9.8</w:t>
            </w:r>
            <w:r w:rsidRPr="00092666">
              <w:rPr>
                <w:rFonts w:ascii="Arial" w:eastAsia="Times New Roman" w:hAnsi="Arial" w:cs="Arial"/>
                <w:color w:val="000000"/>
                <w:sz w:val="18"/>
                <w:szCs w:val="18"/>
                <w:vertAlign w:val="superscript"/>
                <w:lang w:eastAsia="en-GB"/>
              </w:rPr>
              <w:t>d</w:t>
            </w:r>
          </w:p>
        </w:tc>
        <w:tc>
          <w:tcPr>
            <w:tcW w:w="1199" w:type="dxa"/>
            <w:tcBorders>
              <w:top w:val="single" w:sz="4" w:space="0" w:color="auto"/>
              <w:left w:val="nil"/>
              <w:bottom w:val="nil"/>
              <w:right w:val="nil"/>
            </w:tcBorders>
            <w:noWrap/>
            <w:vAlign w:val="bottom"/>
            <w:hideMark/>
          </w:tcPr>
          <w:p w14:paraId="1284F075"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15.33 ±0.5</w:t>
            </w:r>
            <w:r w:rsidRPr="00092666">
              <w:rPr>
                <w:rFonts w:ascii="Arial" w:eastAsia="Times New Roman" w:hAnsi="Arial" w:cs="Arial"/>
                <w:color w:val="000000"/>
                <w:sz w:val="18"/>
                <w:szCs w:val="18"/>
                <w:vertAlign w:val="superscript"/>
                <w:lang w:eastAsia="en-GB"/>
              </w:rPr>
              <w:t>d</w:t>
            </w:r>
          </w:p>
        </w:tc>
        <w:tc>
          <w:tcPr>
            <w:tcW w:w="1193" w:type="dxa"/>
            <w:tcBorders>
              <w:top w:val="single" w:sz="4" w:space="0" w:color="auto"/>
              <w:left w:val="nil"/>
              <w:bottom w:val="nil"/>
              <w:right w:val="nil"/>
            </w:tcBorders>
            <w:noWrap/>
            <w:vAlign w:val="bottom"/>
            <w:hideMark/>
          </w:tcPr>
          <w:p w14:paraId="110982B0"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39.92 ±2.7</w:t>
            </w:r>
            <w:r w:rsidRPr="00092666">
              <w:rPr>
                <w:rFonts w:ascii="Arial" w:eastAsia="Times New Roman" w:hAnsi="Arial" w:cs="Arial"/>
                <w:color w:val="000000"/>
                <w:sz w:val="18"/>
                <w:szCs w:val="18"/>
                <w:vertAlign w:val="superscript"/>
                <w:lang w:eastAsia="en-GB"/>
              </w:rPr>
              <w:t>bc</w:t>
            </w:r>
          </w:p>
        </w:tc>
        <w:tc>
          <w:tcPr>
            <w:tcW w:w="1193" w:type="dxa"/>
            <w:tcBorders>
              <w:top w:val="single" w:sz="4" w:space="0" w:color="auto"/>
              <w:left w:val="nil"/>
              <w:bottom w:val="nil"/>
              <w:right w:val="nil"/>
            </w:tcBorders>
            <w:noWrap/>
            <w:vAlign w:val="bottom"/>
            <w:hideMark/>
          </w:tcPr>
          <w:p w14:paraId="34E746A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18.00 ±0.8</w:t>
            </w:r>
            <w:r w:rsidRPr="00092666">
              <w:rPr>
                <w:rFonts w:ascii="Arial" w:eastAsia="Times New Roman" w:hAnsi="Arial" w:cs="Arial"/>
                <w:color w:val="000000"/>
                <w:sz w:val="18"/>
                <w:szCs w:val="18"/>
                <w:vertAlign w:val="superscript"/>
                <w:lang w:eastAsia="en-GB"/>
              </w:rPr>
              <w:t xml:space="preserve"> b</w:t>
            </w:r>
          </w:p>
        </w:tc>
        <w:tc>
          <w:tcPr>
            <w:tcW w:w="1176" w:type="dxa"/>
            <w:tcBorders>
              <w:top w:val="single" w:sz="4" w:space="0" w:color="auto"/>
              <w:left w:val="nil"/>
              <w:bottom w:val="nil"/>
              <w:right w:val="nil"/>
            </w:tcBorders>
          </w:tcPr>
          <w:p w14:paraId="278EF8D2"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67.65 ±5.1</w:t>
            </w:r>
            <w:r w:rsidRPr="00092666">
              <w:rPr>
                <w:rFonts w:ascii="Arial" w:hAnsi="Arial" w:cs="Arial"/>
                <w:sz w:val="18"/>
                <w:szCs w:val="18"/>
                <w:vertAlign w:val="superscript"/>
              </w:rPr>
              <w:t>b</w:t>
            </w:r>
          </w:p>
        </w:tc>
        <w:tc>
          <w:tcPr>
            <w:tcW w:w="1193" w:type="dxa"/>
            <w:tcBorders>
              <w:top w:val="single" w:sz="4" w:space="0" w:color="auto"/>
              <w:left w:val="nil"/>
              <w:bottom w:val="nil"/>
              <w:right w:val="nil"/>
            </w:tcBorders>
          </w:tcPr>
          <w:p w14:paraId="32EC5CF1"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23.72 ±2.3</w:t>
            </w:r>
            <w:r w:rsidRPr="00092666">
              <w:rPr>
                <w:rFonts w:ascii="Arial" w:hAnsi="Arial" w:cs="Arial"/>
                <w:sz w:val="18"/>
                <w:szCs w:val="18"/>
                <w:vertAlign w:val="superscript"/>
              </w:rPr>
              <w:t>c</w:t>
            </w:r>
          </w:p>
        </w:tc>
        <w:tc>
          <w:tcPr>
            <w:tcW w:w="1099" w:type="dxa"/>
            <w:tcBorders>
              <w:top w:val="single" w:sz="4" w:space="0" w:color="auto"/>
              <w:left w:val="nil"/>
              <w:bottom w:val="nil"/>
              <w:right w:val="nil"/>
            </w:tcBorders>
          </w:tcPr>
          <w:p w14:paraId="30B65C6C"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2.17 ±0.3</w:t>
            </w:r>
            <w:r w:rsidRPr="00092666">
              <w:rPr>
                <w:rFonts w:ascii="Arial" w:hAnsi="Arial" w:cs="Arial"/>
                <w:sz w:val="18"/>
                <w:szCs w:val="18"/>
                <w:vertAlign w:val="superscript"/>
              </w:rPr>
              <w:t>c</w:t>
            </w:r>
          </w:p>
        </w:tc>
      </w:tr>
      <w:tr w:rsidR="00092666" w:rsidRPr="00092666" w14:paraId="22401548" w14:textId="77777777" w:rsidTr="00AB7DE4">
        <w:trPr>
          <w:trHeight w:val="170"/>
          <w:jc w:val="center"/>
        </w:trPr>
        <w:tc>
          <w:tcPr>
            <w:tcW w:w="747" w:type="dxa"/>
            <w:tcBorders>
              <w:top w:val="nil"/>
              <w:left w:val="nil"/>
              <w:bottom w:val="nil"/>
              <w:right w:val="nil"/>
            </w:tcBorders>
            <w:noWrap/>
            <w:vAlign w:val="bottom"/>
            <w:hideMark/>
          </w:tcPr>
          <w:p w14:paraId="4870F28F"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L25</w:t>
            </w:r>
          </w:p>
        </w:tc>
        <w:tc>
          <w:tcPr>
            <w:tcW w:w="1133" w:type="dxa"/>
            <w:tcBorders>
              <w:top w:val="nil"/>
              <w:left w:val="nil"/>
              <w:bottom w:val="nil"/>
              <w:right w:val="nil"/>
            </w:tcBorders>
          </w:tcPr>
          <w:p w14:paraId="301629B3"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64.57 ±2.3</w:t>
            </w:r>
            <w:r w:rsidRPr="00092666">
              <w:rPr>
                <w:rFonts w:ascii="Arial" w:hAnsi="Arial" w:cs="Arial"/>
                <w:sz w:val="18"/>
                <w:szCs w:val="18"/>
                <w:vertAlign w:val="superscript"/>
              </w:rPr>
              <w:t>g</w:t>
            </w:r>
          </w:p>
        </w:tc>
        <w:tc>
          <w:tcPr>
            <w:tcW w:w="1133" w:type="dxa"/>
            <w:tcBorders>
              <w:top w:val="nil"/>
              <w:left w:val="nil"/>
              <w:bottom w:val="nil"/>
              <w:right w:val="nil"/>
            </w:tcBorders>
          </w:tcPr>
          <w:p w14:paraId="5D4A7205"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65.64 ±2.8</w:t>
            </w:r>
            <w:r w:rsidRPr="00092666">
              <w:rPr>
                <w:rFonts w:ascii="Arial" w:hAnsi="Arial" w:cs="Arial"/>
                <w:sz w:val="18"/>
                <w:szCs w:val="18"/>
                <w:vertAlign w:val="superscript"/>
              </w:rPr>
              <w:t>e</w:t>
            </w:r>
          </w:p>
        </w:tc>
        <w:tc>
          <w:tcPr>
            <w:tcW w:w="1199" w:type="dxa"/>
            <w:tcBorders>
              <w:top w:val="nil"/>
              <w:left w:val="nil"/>
              <w:bottom w:val="nil"/>
              <w:right w:val="nil"/>
            </w:tcBorders>
            <w:noWrap/>
            <w:vAlign w:val="bottom"/>
            <w:hideMark/>
          </w:tcPr>
          <w:p w14:paraId="0C051A4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15.98 ±2.0</w:t>
            </w:r>
            <w:r w:rsidRPr="00092666">
              <w:rPr>
                <w:rFonts w:ascii="Arial" w:eastAsia="Times New Roman" w:hAnsi="Arial" w:cs="Arial"/>
                <w:color w:val="000000"/>
                <w:sz w:val="18"/>
                <w:szCs w:val="18"/>
                <w:vertAlign w:val="superscript"/>
                <w:lang w:eastAsia="en-GB"/>
              </w:rPr>
              <w:t>ab</w:t>
            </w:r>
          </w:p>
        </w:tc>
        <w:tc>
          <w:tcPr>
            <w:tcW w:w="1316" w:type="dxa"/>
            <w:tcBorders>
              <w:top w:val="nil"/>
              <w:left w:val="nil"/>
              <w:bottom w:val="nil"/>
              <w:right w:val="nil"/>
            </w:tcBorders>
            <w:noWrap/>
            <w:vAlign w:val="bottom"/>
            <w:hideMark/>
          </w:tcPr>
          <w:p w14:paraId="3ACE2EA6"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66.47 ±9.9</w:t>
            </w:r>
            <w:r w:rsidRPr="00092666">
              <w:rPr>
                <w:rFonts w:ascii="Arial" w:eastAsia="Times New Roman" w:hAnsi="Arial" w:cs="Arial"/>
                <w:color w:val="000000"/>
                <w:sz w:val="18"/>
                <w:szCs w:val="18"/>
                <w:vertAlign w:val="superscript"/>
                <w:lang w:eastAsia="en-GB"/>
              </w:rPr>
              <w:t>b</w:t>
            </w:r>
          </w:p>
        </w:tc>
        <w:tc>
          <w:tcPr>
            <w:tcW w:w="1393" w:type="dxa"/>
            <w:tcBorders>
              <w:top w:val="nil"/>
              <w:left w:val="nil"/>
              <w:bottom w:val="nil"/>
              <w:right w:val="nil"/>
            </w:tcBorders>
            <w:noWrap/>
            <w:vAlign w:val="bottom"/>
            <w:hideMark/>
          </w:tcPr>
          <w:p w14:paraId="12E05EC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162.93 ±13.6</w:t>
            </w:r>
            <w:r w:rsidRPr="00092666">
              <w:rPr>
                <w:rFonts w:ascii="Arial" w:eastAsia="Times New Roman" w:hAnsi="Arial" w:cs="Arial"/>
                <w:color w:val="000000"/>
                <w:sz w:val="18"/>
                <w:szCs w:val="18"/>
                <w:vertAlign w:val="superscript"/>
                <w:lang w:eastAsia="en-GB"/>
              </w:rPr>
              <w:t>cd</w:t>
            </w:r>
          </w:p>
        </w:tc>
        <w:tc>
          <w:tcPr>
            <w:tcW w:w="1199" w:type="dxa"/>
            <w:tcBorders>
              <w:top w:val="nil"/>
              <w:left w:val="nil"/>
              <w:bottom w:val="nil"/>
              <w:right w:val="nil"/>
            </w:tcBorders>
            <w:noWrap/>
            <w:vAlign w:val="bottom"/>
            <w:hideMark/>
          </w:tcPr>
          <w:p w14:paraId="44A02B1E"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19.86 ±0.5</w:t>
            </w:r>
            <w:r w:rsidRPr="00092666">
              <w:rPr>
                <w:rFonts w:ascii="Arial" w:eastAsia="Times New Roman" w:hAnsi="Arial" w:cs="Arial"/>
                <w:color w:val="000000"/>
                <w:sz w:val="18"/>
                <w:szCs w:val="18"/>
                <w:vertAlign w:val="superscript"/>
                <w:lang w:eastAsia="en-GB"/>
              </w:rPr>
              <w:t>e</w:t>
            </w:r>
          </w:p>
        </w:tc>
        <w:tc>
          <w:tcPr>
            <w:tcW w:w="1193" w:type="dxa"/>
            <w:tcBorders>
              <w:top w:val="nil"/>
              <w:left w:val="nil"/>
              <w:bottom w:val="nil"/>
              <w:right w:val="nil"/>
            </w:tcBorders>
            <w:noWrap/>
            <w:vAlign w:val="bottom"/>
            <w:hideMark/>
          </w:tcPr>
          <w:p w14:paraId="4FA2F44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45.51 ±1.8</w:t>
            </w:r>
            <w:r w:rsidRPr="00092666">
              <w:rPr>
                <w:rFonts w:ascii="Arial" w:eastAsia="Times New Roman" w:hAnsi="Arial" w:cs="Arial"/>
                <w:color w:val="000000"/>
                <w:sz w:val="18"/>
                <w:szCs w:val="18"/>
                <w:vertAlign w:val="superscript"/>
                <w:lang w:eastAsia="en-GB"/>
              </w:rPr>
              <w:t>c</w:t>
            </w:r>
          </w:p>
        </w:tc>
        <w:tc>
          <w:tcPr>
            <w:tcW w:w="1193" w:type="dxa"/>
            <w:tcBorders>
              <w:top w:val="nil"/>
              <w:left w:val="nil"/>
              <w:bottom w:val="nil"/>
              <w:right w:val="nil"/>
            </w:tcBorders>
            <w:noWrap/>
            <w:vAlign w:val="bottom"/>
            <w:hideMark/>
          </w:tcPr>
          <w:p w14:paraId="3982A54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19.62 ±1.0</w:t>
            </w:r>
            <w:r w:rsidRPr="00092666">
              <w:rPr>
                <w:rFonts w:ascii="Arial" w:eastAsia="Times New Roman" w:hAnsi="Arial" w:cs="Arial"/>
                <w:color w:val="000000"/>
                <w:sz w:val="18"/>
                <w:szCs w:val="18"/>
                <w:vertAlign w:val="superscript"/>
                <w:lang w:eastAsia="en-GB"/>
              </w:rPr>
              <w:t>cd</w:t>
            </w:r>
          </w:p>
        </w:tc>
        <w:tc>
          <w:tcPr>
            <w:tcW w:w="1176" w:type="dxa"/>
            <w:tcBorders>
              <w:top w:val="nil"/>
              <w:left w:val="nil"/>
              <w:bottom w:val="nil"/>
              <w:right w:val="nil"/>
            </w:tcBorders>
          </w:tcPr>
          <w:p w14:paraId="640B924C"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59.2 ±11.0</w:t>
            </w:r>
            <w:r w:rsidRPr="00092666">
              <w:rPr>
                <w:rFonts w:ascii="Arial" w:hAnsi="Arial" w:cs="Arial"/>
                <w:sz w:val="18"/>
                <w:szCs w:val="18"/>
                <w:vertAlign w:val="superscript"/>
              </w:rPr>
              <w:t>b</w:t>
            </w:r>
          </w:p>
        </w:tc>
        <w:tc>
          <w:tcPr>
            <w:tcW w:w="1193" w:type="dxa"/>
            <w:tcBorders>
              <w:top w:val="nil"/>
              <w:left w:val="nil"/>
              <w:bottom w:val="nil"/>
              <w:right w:val="nil"/>
            </w:tcBorders>
          </w:tcPr>
          <w:p w14:paraId="2AF850F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19.77 ±0.4</w:t>
            </w:r>
            <w:r w:rsidRPr="00092666">
              <w:rPr>
                <w:rFonts w:ascii="Arial" w:hAnsi="Arial" w:cs="Arial"/>
                <w:sz w:val="18"/>
                <w:szCs w:val="18"/>
                <w:vertAlign w:val="superscript"/>
              </w:rPr>
              <w:t>bc</w:t>
            </w:r>
          </w:p>
        </w:tc>
        <w:tc>
          <w:tcPr>
            <w:tcW w:w="1099" w:type="dxa"/>
            <w:tcBorders>
              <w:top w:val="nil"/>
              <w:left w:val="nil"/>
              <w:bottom w:val="nil"/>
              <w:right w:val="nil"/>
            </w:tcBorders>
          </w:tcPr>
          <w:p w14:paraId="1346E80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0.99 ±0.1</w:t>
            </w:r>
            <w:r w:rsidRPr="00092666">
              <w:rPr>
                <w:rFonts w:ascii="Arial" w:hAnsi="Arial" w:cs="Arial"/>
                <w:sz w:val="18"/>
                <w:szCs w:val="18"/>
                <w:vertAlign w:val="superscript"/>
              </w:rPr>
              <w:t>b</w:t>
            </w:r>
          </w:p>
        </w:tc>
      </w:tr>
      <w:tr w:rsidR="00092666" w:rsidRPr="00092666" w14:paraId="2EE2AAD6" w14:textId="77777777" w:rsidTr="00AB7DE4">
        <w:trPr>
          <w:trHeight w:val="170"/>
          <w:jc w:val="center"/>
        </w:trPr>
        <w:tc>
          <w:tcPr>
            <w:tcW w:w="747" w:type="dxa"/>
            <w:tcBorders>
              <w:top w:val="nil"/>
              <w:left w:val="nil"/>
              <w:bottom w:val="nil"/>
              <w:right w:val="nil"/>
            </w:tcBorders>
            <w:noWrap/>
            <w:vAlign w:val="bottom"/>
            <w:hideMark/>
          </w:tcPr>
          <w:p w14:paraId="0F7D429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L26</w:t>
            </w:r>
          </w:p>
        </w:tc>
        <w:tc>
          <w:tcPr>
            <w:tcW w:w="1133" w:type="dxa"/>
            <w:tcBorders>
              <w:top w:val="nil"/>
              <w:left w:val="nil"/>
              <w:bottom w:val="nil"/>
              <w:right w:val="nil"/>
            </w:tcBorders>
          </w:tcPr>
          <w:p w14:paraId="5370C072"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60.08 ±3.4</w:t>
            </w:r>
            <w:r w:rsidRPr="00092666">
              <w:rPr>
                <w:rFonts w:ascii="Arial" w:hAnsi="Arial" w:cs="Arial"/>
                <w:sz w:val="18"/>
                <w:szCs w:val="18"/>
                <w:vertAlign w:val="superscript"/>
              </w:rPr>
              <w:t>d</w:t>
            </w:r>
          </w:p>
        </w:tc>
        <w:tc>
          <w:tcPr>
            <w:tcW w:w="1133" w:type="dxa"/>
            <w:tcBorders>
              <w:top w:val="nil"/>
              <w:left w:val="nil"/>
              <w:bottom w:val="nil"/>
              <w:right w:val="nil"/>
            </w:tcBorders>
          </w:tcPr>
          <w:p w14:paraId="2793BF9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59.54 ±3.6</w:t>
            </w:r>
            <w:r w:rsidRPr="00092666">
              <w:rPr>
                <w:rFonts w:ascii="Arial" w:hAnsi="Arial" w:cs="Arial"/>
                <w:sz w:val="18"/>
                <w:szCs w:val="18"/>
                <w:vertAlign w:val="superscript"/>
              </w:rPr>
              <w:t>d</w:t>
            </w:r>
          </w:p>
        </w:tc>
        <w:tc>
          <w:tcPr>
            <w:tcW w:w="1199" w:type="dxa"/>
            <w:tcBorders>
              <w:top w:val="nil"/>
              <w:left w:val="nil"/>
              <w:bottom w:val="nil"/>
              <w:right w:val="nil"/>
            </w:tcBorders>
            <w:noWrap/>
            <w:vAlign w:val="bottom"/>
            <w:hideMark/>
          </w:tcPr>
          <w:p w14:paraId="6A29C617"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16.28 ±1.7</w:t>
            </w:r>
            <w:r w:rsidRPr="00092666">
              <w:rPr>
                <w:rFonts w:ascii="Arial" w:eastAsia="Times New Roman" w:hAnsi="Arial" w:cs="Arial"/>
                <w:color w:val="000000"/>
                <w:sz w:val="18"/>
                <w:szCs w:val="18"/>
                <w:vertAlign w:val="superscript"/>
                <w:lang w:eastAsia="en-GB"/>
              </w:rPr>
              <w:t>ab</w:t>
            </w:r>
          </w:p>
        </w:tc>
        <w:tc>
          <w:tcPr>
            <w:tcW w:w="1316" w:type="dxa"/>
            <w:tcBorders>
              <w:top w:val="nil"/>
              <w:left w:val="nil"/>
              <w:bottom w:val="nil"/>
              <w:right w:val="nil"/>
            </w:tcBorders>
            <w:noWrap/>
            <w:vAlign w:val="bottom"/>
            <w:hideMark/>
          </w:tcPr>
          <w:p w14:paraId="5FA15012"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79.67 ±15.1</w:t>
            </w:r>
            <w:r w:rsidRPr="00092666">
              <w:rPr>
                <w:rFonts w:ascii="Arial" w:eastAsia="Times New Roman" w:hAnsi="Arial" w:cs="Arial"/>
                <w:color w:val="000000"/>
                <w:sz w:val="18"/>
                <w:szCs w:val="18"/>
                <w:vertAlign w:val="superscript"/>
                <w:lang w:eastAsia="en-GB"/>
              </w:rPr>
              <w:t>c</w:t>
            </w:r>
          </w:p>
        </w:tc>
        <w:tc>
          <w:tcPr>
            <w:tcW w:w="1393" w:type="dxa"/>
            <w:tcBorders>
              <w:top w:val="nil"/>
              <w:left w:val="nil"/>
              <w:bottom w:val="nil"/>
              <w:right w:val="nil"/>
            </w:tcBorders>
            <w:noWrap/>
            <w:vAlign w:val="bottom"/>
            <w:hideMark/>
          </w:tcPr>
          <w:p w14:paraId="4A89BC1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188.40 ±17.0</w:t>
            </w:r>
            <w:r w:rsidRPr="00092666">
              <w:rPr>
                <w:rFonts w:ascii="Arial" w:eastAsia="Times New Roman" w:hAnsi="Arial" w:cs="Arial"/>
                <w:color w:val="000000"/>
                <w:sz w:val="18"/>
                <w:szCs w:val="18"/>
                <w:vertAlign w:val="superscript"/>
                <w:lang w:eastAsia="en-GB"/>
              </w:rPr>
              <w:t>f</w:t>
            </w:r>
          </w:p>
        </w:tc>
        <w:tc>
          <w:tcPr>
            <w:tcW w:w="1199" w:type="dxa"/>
            <w:tcBorders>
              <w:top w:val="nil"/>
              <w:left w:val="nil"/>
              <w:bottom w:val="nil"/>
              <w:right w:val="nil"/>
            </w:tcBorders>
            <w:noWrap/>
            <w:vAlign w:val="bottom"/>
            <w:hideMark/>
          </w:tcPr>
          <w:p w14:paraId="2100F035"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16.33 ±1.5</w:t>
            </w:r>
            <w:r w:rsidRPr="00092666">
              <w:rPr>
                <w:rFonts w:ascii="Arial" w:eastAsia="Times New Roman" w:hAnsi="Arial" w:cs="Arial"/>
                <w:color w:val="000000"/>
                <w:sz w:val="18"/>
                <w:szCs w:val="18"/>
                <w:vertAlign w:val="superscript"/>
                <w:lang w:eastAsia="en-GB"/>
              </w:rPr>
              <w:t>cd</w:t>
            </w:r>
          </w:p>
        </w:tc>
        <w:tc>
          <w:tcPr>
            <w:tcW w:w="1193" w:type="dxa"/>
            <w:tcBorders>
              <w:top w:val="nil"/>
              <w:left w:val="nil"/>
              <w:bottom w:val="nil"/>
              <w:right w:val="nil"/>
            </w:tcBorders>
            <w:noWrap/>
            <w:vAlign w:val="bottom"/>
            <w:hideMark/>
          </w:tcPr>
          <w:p w14:paraId="3C0BE9C9"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47.83 ±3.2</w:t>
            </w:r>
            <w:r w:rsidRPr="00092666">
              <w:rPr>
                <w:rFonts w:ascii="Arial" w:eastAsia="Times New Roman" w:hAnsi="Arial" w:cs="Arial"/>
                <w:color w:val="000000"/>
                <w:sz w:val="18"/>
                <w:szCs w:val="18"/>
                <w:vertAlign w:val="superscript"/>
                <w:lang w:eastAsia="en-GB"/>
              </w:rPr>
              <w:t>c</w:t>
            </w:r>
          </w:p>
        </w:tc>
        <w:tc>
          <w:tcPr>
            <w:tcW w:w="1193" w:type="dxa"/>
            <w:tcBorders>
              <w:top w:val="nil"/>
              <w:left w:val="nil"/>
              <w:bottom w:val="nil"/>
              <w:right w:val="nil"/>
            </w:tcBorders>
            <w:noWrap/>
            <w:vAlign w:val="bottom"/>
            <w:hideMark/>
          </w:tcPr>
          <w:p w14:paraId="30149744"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19.58 ±1.1</w:t>
            </w:r>
            <w:r w:rsidRPr="00092666">
              <w:rPr>
                <w:rFonts w:ascii="Arial" w:eastAsia="Times New Roman" w:hAnsi="Arial" w:cs="Arial"/>
                <w:color w:val="000000"/>
                <w:sz w:val="18"/>
                <w:szCs w:val="18"/>
                <w:vertAlign w:val="superscript"/>
                <w:lang w:eastAsia="en-GB"/>
              </w:rPr>
              <w:t>cd</w:t>
            </w:r>
          </w:p>
        </w:tc>
        <w:tc>
          <w:tcPr>
            <w:tcW w:w="1176" w:type="dxa"/>
            <w:tcBorders>
              <w:top w:val="nil"/>
              <w:left w:val="nil"/>
              <w:bottom w:val="nil"/>
              <w:right w:val="nil"/>
            </w:tcBorders>
          </w:tcPr>
          <w:p w14:paraId="20FBDDF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119.9 ±6.5</w:t>
            </w:r>
            <w:r w:rsidRPr="00092666">
              <w:rPr>
                <w:rFonts w:ascii="Arial" w:hAnsi="Arial" w:cs="Arial"/>
                <w:sz w:val="18"/>
                <w:szCs w:val="18"/>
                <w:vertAlign w:val="superscript"/>
              </w:rPr>
              <w:t>c</w:t>
            </w:r>
          </w:p>
        </w:tc>
        <w:tc>
          <w:tcPr>
            <w:tcW w:w="1193" w:type="dxa"/>
            <w:tcBorders>
              <w:top w:val="nil"/>
              <w:left w:val="nil"/>
              <w:bottom w:val="nil"/>
              <w:right w:val="nil"/>
            </w:tcBorders>
          </w:tcPr>
          <w:p w14:paraId="797F843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22.71 ±1.1</w:t>
            </w:r>
            <w:r w:rsidRPr="00092666">
              <w:rPr>
                <w:rFonts w:ascii="Arial" w:hAnsi="Arial" w:cs="Arial"/>
                <w:sz w:val="18"/>
                <w:szCs w:val="18"/>
                <w:vertAlign w:val="superscript"/>
              </w:rPr>
              <w:t>c</w:t>
            </w:r>
          </w:p>
        </w:tc>
        <w:tc>
          <w:tcPr>
            <w:tcW w:w="1099" w:type="dxa"/>
            <w:tcBorders>
              <w:top w:val="nil"/>
              <w:left w:val="nil"/>
              <w:bottom w:val="nil"/>
              <w:right w:val="nil"/>
            </w:tcBorders>
          </w:tcPr>
          <w:p w14:paraId="2C009F0E"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2.76 ±0.3</w:t>
            </w:r>
            <w:r w:rsidRPr="00092666">
              <w:rPr>
                <w:rFonts w:ascii="Arial" w:hAnsi="Arial" w:cs="Arial"/>
                <w:sz w:val="18"/>
                <w:szCs w:val="18"/>
                <w:vertAlign w:val="superscript"/>
              </w:rPr>
              <w:t>d</w:t>
            </w:r>
          </w:p>
        </w:tc>
      </w:tr>
      <w:tr w:rsidR="00092666" w:rsidRPr="00092666" w14:paraId="60F7C3C3" w14:textId="77777777" w:rsidTr="00AB7DE4">
        <w:trPr>
          <w:trHeight w:val="170"/>
          <w:jc w:val="center"/>
        </w:trPr>
        <w:tc>
          <w:tcPr>
            <w:tcW w:w="747" w:type="dxa"/>
            <w:tcBorders>
              <w:top w:val="nil"/>
              <w:left w:val="nil"/>
              <w:bottom w:val="nil"/>
              <w:right w:val="nil"/>
            </w:tcBorders>
            <w:noWrap/>
            <w:vAlign w:val="bottom"/>
            <w:hideMark/>
          </w:tcPr>
          <w:p w14:paraId="48C0A9E9"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L27</w:t>
            </w:r>
          </w:p>
        </w:tc>
        <w:tc>
          <w:tcPr>
            <w:tcW w:w="1133" w:type="dxa"/>
            <w:tcBorders>
              <w:top w:val="nil"/>
              <w:left w:val="nil"/>
              <w:bottom w:val="nil"/>
              <w:right w:val="nil"/>
            </w:tcBorders>
          </w:tcPr>
          <w:p w14:paraId="22432524"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58.71 ±2.7</w:t>
            </w:r>
            <w:r w:rsidRPr="00092666">
              <w:rPr>
                <w:rFonts w:ascii="Arial" w:hAnsi="Arial" w:cs="Arial"/>
                <w:sz w:val="18"/>
                <w:szCs w:val="18"/>
                <w:vertAlign w:val="superscript"/>
              </w:rPr>
              <w:t>d</w:t>
            </w:r>
          </w:p>
        </w:tc>
        <w:tc>
          <w:tcPr>
            <w:tcW w:w="1133" w:type="dxa"/>
            <w:tcBorders>
              <w:top w:val="nil"/>
              <w:left w:val="nil"/>
              <w:bottom w:val="nil"/>
              <w:right w:val="nil"/>
            </w:tcBorders>
          </w:tcPr>
          <w:p w14:paraId="04F49339"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59.43 ±2.4</w:t>
            </w:r>
            <w:r w:rsidRPr="00092666">
              <w:rPr>
                <w:rFonts w:ascii="Arial" w:hAnsi="Arial" w:cs="Arial"/>
                <w:sz w:val="18"/>
                <w:szCs w:val="18"/>
                <w:vertAlign w:val="superscript"/>
              </w:rPr>
              <w:t>d</w:t>
            </w:r>
          </w:p>
        </w:tc>
        <w:tc>
          <w:tcPr>
            <w:tcW w:w="1199" w:type="dxa"/>
            <w:tcBorders>
              <w:top w:val="nil"/>
              <w:left w:val="nil"/>
              <w:bottom w:val="nil"/>
              <w:right w:val="nil"/>
            </w:tcBorders>
            <w:noWrap/>
            <w:vAlign w:val="bottom"/>
            <w:hideMark/>
          </w:tcPr>
          <w:p w14:paraId="35C0AD9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15.96 ±2.1</w:t>
            </w:r>
            <w:r w:rsidRPr="00092666">
              <w:rPr>
                <w:rFonts w:ascii="Arial" w:eastAsia="Times New Roman" w:hAnsi="Arial" w:cs="Arial"/>
                <w:color w:val="000000"/>
                <w:sz w:val="18"/>
                <w:szCs w:val="18"/>
                <w:vertAlign w:val="superscript"/>
                <w:lang w:eastAsia="en-GB"/>
              </w:rPr>
              <w:t>ab</w:t>
            </w:r>
          </w:p>
        </w:tc>
        <w:tc>
          <w:tcPr>
            <w:tcW w:w="1316" w:type="dxa"/>
            <w:tcBorders>
              <w:top w:val="nil"/>
              <w:left w:val="nil"/>
              <w:bottom w:val="nil"/>
              <w:right w:val="nil"/>
            </w:tcBorders>
            <w:noWrap/>
            <w:vAlign w:val="bottom"/>
            <w:hideMark/>
          </w:tcPr>
          <w:p w14:paraId="3BCFBF4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54.71 ±11.3</w:t>
            </w:r>
            <w:r w:rsidRPr="00092666">
              <w:rPr>
                <w:rFonts w:ascii="Arial" w:eastAsia="Times New Roman" w:hAnsi="Arial" w:cs="Arial"/>
                <w:color w:val="000000"/>
                <w:sz w:val="18"/>
                <w:szCs w:val="18"/>
                <w:vertAlign w:val="superscript"/>
                <w:lang w:eastAsia="en-GB"/>
              </w:rPr>
              <w:t>a</w:t>
            </w:r>
          </w:p>
        </w:tc>
        <w:tc>
          <w:tcPr>
            <w:tcW w:w="1393" w:type="dxa"/>
            <w:tcBorders>
              <w:top w:val="nil"/>
              <w:left w:val="nil"/>
              <w:bottom w:val="nil"/>
              <w:right w:val="nil"/>
            </w:tcBorders>
            <w:noWrap/>
            <w:vAlign w:val="bottom"/>
            <w:hideMark/>
          </w:tcPr>
          <w:p w14:paraId="2BE9458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138.29 ±14.8</w:t>
            </w:r>
            <w:r w:rsidRPr="00092666">
              <w:rPr>
                <w:rFonts w:ascii="Arial" w:eastAsia="Times New Roman" w:hAnsi="Arial" w:cs="Arial"/>
                <w:color w:val="000000"/>
                <w:sz w:val="18"/>
                <w:szCs w:val="18"/>
                <w:vertAlign w:val="superscript"/>
                <w:lang w:eastAsia="en-GB"/>
              </w:rPr>
              <w:t>b</w:t>
            </w:r>
          </w:p>
        </w:tc>
        <w:tc>
          <w:tcPr>
            <w:tcW w:w="1199" w:type="dxa"/>
            <w:tcBorders>
              <w:top w:val="nil"/>
              <w:left w:val="nil"/>
              <w:bottom w:val="nil"/>
              <w:right w:val="nil"/>
            </w:tcBorders>
            <w:noWrap/>
            <w:vAlign w:val="bottom"/>
            <w:hideMark/>
          </w:tcPr>
          <w:p w14:paraId="2F1D443B"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13.00 ±0.5</w:t>
            </w:r>
            <w:r w:rsidRPr="00092666">
              <w:rPr>
                <w:rFonts w:ascii="Arial" w:eastAsia="Times New Roman" w:hAnsi="Arial" w:cs="Arial"/>
                <w:color w:val="000000"/>
                <w:sz w:val="18"/>
                <w:szCs w:val="18"/>
                <w:vertAlign w:val="superscript"/>
                <w:lang w:eastAsia="en-GB"/>
              </w:rPr>
              <w:t>b</w:t>
            </w:r>
          </w:p>
        </w:tc>
        <w:tc>
          <w:tcPr>
            <w:tcW w:w="1193" w:type="dxa"/>
            <w:tcBorders>
              <w:top w:val="nil"/>
              <w:left w:val="nil"/>
              <w:bottom w:val="nil"/>
              <w:right w:val="nil"/>
            </w:tcBorders>
            <w:noWrap/>
            <w:vAlign w:val="bottom"/>
            <w:hideMark/>
          </w:tcPr>
          <w:p w14:paraId="10CF4C66"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32.05 ±2.8</w:t>
            </w:r>
            <w:r w:rsidRPr="00092666">
              <w:rPr>
                <w:rFonts w:ascii="Arial" w:eastAsia="Times New Roman" w:hAnsi="Arial" w:cs="Arial"/>
                <w:color w:val="000000"/>
                <w:sz w:val="18"/>
                <w:szCs w:val="18"/>
                <w:vertAlign w:val="superscript"/>
                <w:lang w:eastAsia="en-GB"/>
              </w:rPr>
              <w:t>a</w:t>
            </w:r>
          </w:p>
        </w:tc>
        <w:tc>
          <w:tcPr>
            <w:tcW w:w="1193" w:type="dxa"/>
            <w:tcBorders>
              <w:top w:val="nil"/>
              <w:left w:val="nil"/>
              <w:bottom w:val="nil"/>
              <w:right w:val="nil"/>
            </w:tcBorders>
            <w:noWrap/>
            <w:vAlign w:val="bottom"/>
            <w:hideMark/>
          </w:tcPr>
          <w:p w14:paraId="7BB2AB09"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19.38 ±1.1</w:t>
            </w:r>
            <w:r w:rsidRPr="00092666">
              <w:rPr>
                <w:rFonts w:ascii="Arial" w:eastAsia="Times New Roman" w:hAnsi="Arial" w:cs="Arial"/>
                <w:color w:val="000000"/>
                <w:sz w:val="18"/>
                <w:szCs w:val="18"/>
                <w:vertAlign w:val="superscript"/>
                <w:lang w:eastAsia="en-GB"/>
              </w:rPr>
              <w:t>d</w:t>
            </w:r>
          </w:p>
        </w:tc>
        <w:tc>
          <w:tcPr>
            <w:tcW w:w="1176" w:type="dxa"/>
            <w:tcBorders>
              <w:top w:val="nil"/>
              <w:left w:val="nil"/>
              <w:bottom w:val="nil"/>
              <w:right w:val="nil"/>
            </w:tcBorders>
          </w:tcPr>
          <w:p w14:paraId="10586B23"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70.3 ±13.9</w:t>
            </w:r>
            <w:r w:rsidRPr="00092666">
              <w:rPr>
                <w:rFonts w:ascii="Arial" w:hAnsi="Arial" w:cs="Arial"/>
                <w:sz w:val="18"/>
                <w:szCs w:val="18"/>
                <w:vertAlign w:val="superscript"/>
              </w:rPr>
              <w:t>b</w:t>
            </w:r>
          </w:p>
        </w:tc>
        <w:tc>
          <w:tcPr>
            <w:tcW w:w="1193" w:type="dxa"/>
            <w:tcBorders>
              <w:top w:val="nil"/>
              <w:left w:val="nil"/>
              <w:bottom w:val="nil"/>
              <w:right w:val="nil"/>
            </w:tcBorders>
          </w:tcPr>
          <w:p w14:paraId="2B12E2B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20.30 ±0.7</w:t>
            </w:r>
            <w:r w:rsidRPr="00092666">
              <w:rPr>
                <w:rFonts w:ascii="Arial" w:hAnsi="Arial" w:cs="Arial"/>
                <w:sz w:val="18"/>
                <w:szCs w:val="18"/>
                <w:vertAlign w:val="superscript"/>
              </w:rPr>
              <w:t>bc</w:t>
            </w:r>
          </w:p>
        </w:tc>
        <w:tc>
          <w:tcPr>
            <w:tcW w:w="1099" w:type="dxa"/>
            <w:tcBorders>
              <w:top w:val="nil"/>
              <w:left w:val="nil"/>
              <w:bottom w:val="nil"/>
              <w:right w:val="nil"/>
            </w:tcBorders>
          </w:tcPr>
          <w:p w14:paraId="0E90B83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1.55 ±0.4</w:t>
            </w:r>
            <w:r w:rsidRPr="00092666">
              <w:rPr>
                <w:rFonts w:ascii="Arial" w:hAnsi="Arial" w:cs="Arial"/>
                <w:sz w:val="18"/>
                <w:szCs w:val="18"/>
                <w:vertAlign w:val="superscript"/>
              </w:rPr>
              <w:t>b</w:t>
            </w:r>
          </w:p>
        </w:tc>
      </w:tr>
      <w:tr w:rsidR="00092666" w:rsidRPr="00092666" w14:paraId="099F7E01" w14:textId="77777777" w:rsidTr="00AB7DE4">
        <w:trPr>
          <w:trHeight w:val="170"/>
          <w:jc w:val="center"/>
        </w:trPr>
        <w:tc>
          <w:tcPr>
            <w:tcW w:w="747" w:type="dxa"/>
            <w:tcBorders>
              <w:top w:val="nil"/>
              <w:left w:val="nil"/>
              <w:bottom w:val="nil"/>
              <w:right w:val="nil"/>
            </w:tcBorders>
            <w:noWrap/>
            <w:vAlign w:val="bottom"/>
            <w:hideMark/>
          </w:tcPr>
          <w:p w14:paraId="1C1DE902"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L29</w:t>
            </w:r>
          </w:p>
        </w:tc>
        <w:tc>
          <w:tcPr>
            <w:tcW w:w="1133" w:type="dxa"/>
            <w:tcBorders>
              <w:top w:val="nil"/>
              <w:left w:val="nil"/>
              <w:bottom w:val="nil"/>
              <w:right w:val="nil"/>
            </w:tcBorders>
          </w:tcPr>
          <w:p w14:paraId="4280AB0C"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57.57 ±2.5</w:t>
            </w:r>
            <w:r w:rsidRPr="00092666">
              <w:rPr>
                <w:rFonts w:ascii="Arial" w:hAnsi="Arial" w:cs="Arial"/>
                <w:sz w:val="18"/>
                <w:szCs w:val="18"/>
                <w:vertAlign w:val="superscript"/>
              </w:rPr>
              <w:t>c</w:t>
            </w:r>
          </w:p>
        </w:tc>
        <w:tc>
          <w:tcPr>
            <w:tcW w:w="1133" w:type="dxa"/>
            <w:tcBorders>
              <w:top w:val="nil"/>
              <w:left w:val="nil"/>
              <w:bottom w:val="nil"/>
              <w:right w:val="nil"/>
            </w:tcBorders>
          </w:tcPr>
          <w:p w14:paraId="5D2EC379"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55.71 ±1.8</w:t>
            </w:r>
            <w:r w:rsidRPr="00092666">
              <w:rPr>
                <w:rFonts w:ascii="Arial" w:hAnsi="Arial" w:cs="Arial"/>
                <w:sz w:val="18"/>
                <w:szCs w:val="18"/>
                <w:vertAlign w:val="superscript"/>
              </w:rPr>
              <w:t>c</w:t>
            </w:r>
          </w:p>
        </w:tc>
        <w:tc>
          <w:tcPr>
            <w:tcW w:w="1199" w:type="dxa"/>
            <w:tcBorders>
              <w:top w:val="nil"/>
              <w:left w:val="nil"/>
              <w:bottom w:val="nil"/>
              <w:right w:val="nil"/>
            </w:tcBorders>
            <w:noWrap/>
            <w:vAlign w:val="bottom"/>
            <w:hideMark/>
          </w:tcPr>
          <w:p w14:paraId="660DEA2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17.95 ±1.8</w:t>
            </w:r>
            <w:r w:rsidRPr="00092666">
              <w:rPr>
                <w:rFonts w:ascii="Arial" w:eastAsia="Times New Roman" w:hAnsi="Arial" w:cs="Arial"/>
                <w:color w:val="000000"/>
                <w:sz w:val="18"/>
                <w:szCs w:val="18"/>
                <w:vertAlign w:val="superscript"/>
                <w:lang w:eastAsia="en-GB"/>
              </w:rPr>
              <w:t>ab</w:t>
            </w:r>
          </w:p>
        </w:tc>
        <w:tc>
          <w:tcPr>
            <w:tcW w:w="1316" w:type="dxa"/>
            <w:tcBorders>
              <w:top w:val="nil"/>
              <w:left w:val="nil"/>
              <w:bottom w:val="nil"/>
              <w:right w:val="nil"/>
            </w:tcBorders>
            <w:noWrap/>
            <w:vAlign w:val="bottom"/>
            <w:hideMark/>
          </w:tcPr>
          <w:p w14:paraId="3EDD856F"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85.88 ±6.2</w:t>
            </w:r>
            <w:r w:rsidRPr="00092666">
              <w:rPr>
                <w:rFonts w:ascii="Arial" w:eastAsia="Times New Roman" w:hAnsi="Arial" w:cs="Arial"/>
                <w:color w:val="000000"/>
                <w:sz w:val="18"/>
                <w:szCs w:val="18"/>
                <w:vertAlign w:val="superscript"/>
                <w:lang w:eastAsia="en-GB"/>
              </w:rPr>
              <w:t>c</w:t>
            </w:r>
          </w:p>
        </w:tc>
        <w:tc>
          <w:tcPr>
            <w:tcW w:w="1393" w:type="dxa"/>
            <w:tcBorders>
              <w:top w:val="nil"/>
              <w:left w:val="nil"/>
              <w:bottom w:val="nil"/>
              <w:right w:val="nil"/>
            </w:tcBorders>
            <w:noWrap/>
            <w:vAlign w:val="bottom"/>
            <w:hideMark/>
          </w:tcPr>
          <w:p w14:paraId="5354B8EF"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178.25 ±14.8</w:t>
            </w:r>
            <w:r w:rsidRPr="00092666">
              <w:rPr>
                <w:rFonts w:ascii="Arial" w:eastAsia="Times New Roman" w:hAnsi="Arial" w:cs="Arial"/>
                <w:color w:val="000000"/>
                <w:sz w:val="18"/>
                <w:szCs w:val="18"/>
                <w:vertAlign w:val="superscript"/>
                <w:lang w:eastAsia="en-GB"/>
              </w:rPr>
              <w:t>e</w:t>
            </w:r>
          </w:p>
        </w:tc>
        <w:tc>
          <w:tcPr>
            <w:tcW w:w="1199" w:type="dxa"/>
            <w:tcBorders>
              <w:top w:val="nil"/>
              <w:left w:val="nil"/>
              <w:bottom w:val="nil"/>
              <w:right w:val="nil"/>
            </w:tcBorders>
            <w:noWrap/>
            <w:vAlign w:val="bottom"/>
            <w:hideMark/>
          </w:tcPr>
          <w:p w14:paraId="744778D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14.63 ±0.3</w:t>
            </w:r>
            <w:r w:rsidRPr="00092666">
              <w:rPr>
                <w:rFonts w:ascii="Arial" w:eastAsia="Times New Roman" w:hAnsi="Arial" w:cs="Arial"/>
                <w:color w:val="000000"/>
                <w:sz w:val="18"/>
                <w:szCs w:val="18"/>
                <w:vertAlign w:val="superscript"/>
                <w:lang w:eastAsia="en-GB"/>
              </w:rPr>
              <w:t>c</w:t>
            </w:r>
          </w:p>
        </w:tc>
        <w:tc>
          <w:tcPr>
            <w:tcW w:w="1193" w:type="dxa"/>
            <w:tcBorders>
              <w:top w:val="nil"/>
              <w:left w:val="nil"/>
              <w:bottom w:val="nil"/>
              <w:right w:val="nil"/>
            </w:tcBorders>
            <w:noWrap/>
            <w:vAlign w:val="bottom"/>
            <w:hideMark/>
          </w:tcPr>
          <w:p w14:paraId="74F3F65E"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36.52 ±1.9</w:t>
            </w:r>
            <w:r w:rsidRPr="00092666">
              <w:rPr>
                <w:rFonts w:ascii="Arial" w:eastAsia="Times New Roman" w:hAnsi="Arial" w:cs="Arial"/>
                <w:color w:val="000000"/>
                <w:sz w:val="18"/>
                <w:szCs w:val="18"/>
                <w:vertAlign w:val="superscript"/>
                <w:lang w:eastAsia="en-GB"/>
              </w:rPr>
              <w:t>b</w:t>
            </w:r>
          </w:p>
        </w:tc>
        <w:tc>
          <w:tcPr>
            <w:tcW w:w="1193" w:type="dxa"/>
            <w:tcBorders>
              <w:top w:val="nil"/>
              <w:left w:val="nil"/>
              <w:bottom w:val="nil"/>
              <w:right w:val="nil"/>
            </w:tcBorders>
            <w:noWrap/>
            <w:vAlign w:val="bottom"/>
            <w:hideMark/>
          </w:tcPr>
          <w:p w14:paraId="4E3F76BF"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20.26 ±1.0</w:t>
            </w:r>
            <w:r w:rsidRPr="00092666">
              <w:rPr>
                <w:rFonts w:ascii="Arial" w:eastAsia="Times New Roman" w:hAnsi="Arial" w:cs="Arial"/>
                <w:color w:val="000000"/>
                <w:sz w:val="18"/>
                <w:szCs w:val="18"/>
                <w:vertAlign w:val="superscript"/>
                <w:lang w:eastAsia="en-GB"/>
              </w:rPr>
              <w:t>d</w:t>
            </w:r>
          </w:p>
        </w:tc>
        <w:tc>
          <w:tcPr>
            <w:tcW w:w="1176" w:type="dxa"/>
            <w:tcBorders>
              <w:top w:val="nil"/>
              <w:left w:val="nil"/>
              <w:bottom w:val="nil"/>
              <w:right w:val="nil"/>
            </w:tcBorders>
          </w:tcPr>
          <w:p w14:paraId="73BB6E4D"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122.3±13.5</w:t>
            </w:r>
            <w:r w:rsidRPr="00092666">
              <w:rPr>
                <w:rFonts w:ascii="Arial" w:hAnsi="Arial" w:cs="Arial"/>
                <w:sz w:val="18"/>
                <w:szCs w:val="18"/>
                <w:vertAlign w:val="superscript"/>
              </w:rPr>
              <w:t>c</w:t>
            </w:r>
          </w:p>
        </w:tc>
        <w:tc>
          <w:tcPr>
            <w:tcW w:w="1193" w:type="dxa"/>
            <w:tcBorders>
              <w:top w:val="nil"/>
              <w:left w:val="nil"/>
              <w:bottom w:val="nil"/>
              <w:right w:val="nil"/>
            </w:tcBorders>
          </w:tcPr>
          <w:p w14:paraId="788375E8"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31.41 ±1.8</w:t>
            </w:r>
            <w:r w:rsidRPr="00092666">
              <w:rPr>
                <w:rFonts w:ascii="Arial" w:hAnsi="Arial" w:cs="Arial"/>
                <w:sz w:val="18"/>
                <w:szCs w:val="18"/>
                <w:vertAlign w:val="superscript"/>
              </w:rPr>
              <w:t>d</w:t>
            </w:r>
          </w:p>
        </w:tc>
        <w:tc>
          <w:tcPr>
            <w:tcW w:w="1099" w:type="dxa"/>
            <w:tcBorders>
              <w:top w:val="nil"/>
              <w:left w:val="nil"/>
              <w:bottom w:val="nil"/>
              <w:right w:val="nil"/>
            </w:tcBorders>
          </w:tcPr>
          <w:p w14:paraId="664F41E3"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3.03 ±0.5</w:t>
            </w:r>
            <w:r w:rsidRPr="00092666">
              <w:rPr>
                <w:rFonts w:ascii="Arial" w:hAnsi="Arial" w:cs="Arial"/>
                <w:sz w:val="18"/>
                <w:szCs w:val="18"/>
                <w:vertAlign w:val="superscript"/>
              </w:rPr>
              <w:t>e</w:t>
            </w:r>
          </w:p>
        </w:tc>
      </w:tr>
      <w:tr w:rsidR="00092666" w:rsidRPr="00092666" w14:paraId="099C67AC" w14:textId="77777777" w:rsidTr="00AB7DE4">
        <w:trPr>
          <w:trHeight w:val="170"/>
          <w:jc w:val="center"/>
        </w:trPr>
        <w:tc>
          <w:tcPr>
            <w:tcW w:w="747" w:type="dxa"/>
            <w:tcBorders>
              <w:top w:val="nil"/>
              <w:left w:val="nil"/>
              <w:bottom w:val="nil"/>
              <w:right w:val="nil"/>
            </w:tcBorders>
            <w:noWrap/>
            <w:vAlign w:val="bottom"/>
            <w:hideMark/>
          </w:tcPr>
          <w:p w14:paraId="46B1AC5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L30</w:t>
            </w:r>
          </w:p>
        </w:tc>
        <w:tc>
          <w:tcPr>
            <w:tcW w:w="1133" w:type="dxa"/>
            <w:tcBorders>
              <w:top w:val="nil"/>
              <w:left w:val="nil"/>
              <w:bottom w:val="nil"/>
              <w:right w:val="nil"/>
            </w:tcBorders>
          </w:tcPr>
          <w:p w14:paraId="292DD72E"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58 ±1.7</w:t>
            </w:r>
            <w:r w:rsidRPr="00092666">
              <w:rPr>
                <w:rFonts w:ascii="Arial" w:hAnsi="Arial" w:cs="Arial"/>
                <w:sz w:val="18"/>
                <w:szCs w:val="18"/>
                <w:vertAlign w:val="superscript"/>
              </w:rPr>
              <w:t>c</w:t>
            </w:r>
          </w:p>
        </w:tc>
        <w:tc>
          <w:tcPr>
            <w:tcW w:w="1133" w:type="dxa"/>
            <w:tcBorders>
              <w:top w:val="nil"/>
              <w:left w:val="nil"/>
              <w:bottom w:val="nil"/>
              <w:right w:val="nil"/>
            </w:tcBorders>
          </w:tcPr>
          <w:p w14:paraId="5EA4DB6C"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55.43 ±1.1</w:t>
            </w:r>
            <w:r w:rsidRPr="00092666">
              <w:rPr>
                <w:rFonts w:ascii="Arial" w:hAnsi="Arial" w:cs="Arial"/>
                <w:sz w:val="18"/>
                <w:szCs w:val="18"/>
                <w:vertAlign w:val="superscript"/>
              </w:rPr>
              <w:t>c</w:t>
            </w:r>
          </w:p>
        </w:tc>
        <w:tc>
          <w:tcPr>
            <w:tcW w:w="1199" w:type="dxa"/>
            <w:tcBorders>
              <w:top w:val="nil"/>
              <w:left w:val="nil"/>
              <w:bottom w:val="nil"/>
              <w:right w:val="nil"/>
            </w:tcBorders>
            <w:noWrap/>
            <w:vAlign w:val="bottom"/>
            <w:hideMark/>
          </w:tcPr>
          <w:p w14:paraId="7582A4A9"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15.57 ±3.7</w:t>
            </w:r>
            <w:r w:rsidRPr="00092666">
              <w:rPr>
                <w:rFonts w:ascii="Arial" w:eastAsia="Times New Roman" w:hAnsi="Arial" w:cs="Arial"/>
                <w:color w:val="000000"/>
                <w:sz w:val="18"/>
                <w:szCs w:val="18"/>
                <w:vertAlign w:val="superscript"/>
                <w:lang w:eastAsia="en-GB"/>
              </w:rPr>
              <w:t>ab</w:t>
            </w:r>
          </w:p>
        </w:tc>
        <w:tc>
          <w:tcPr>
            <w:tcW w:w="1316" w:type="dxa"/>
            <w:tcBorders>
              <w:top w:val="nil"/>
              <w:left w:val="nil"/>
              <w:bottom w:val="nil"/>
              <w:right w:val="nil"/>
            </w:tcBorders>
            <w:noWrap/>
            <w:vAlign w:val="bottom"/>
            <w:hideMark/>
          </w:tcPr>
          <w:p w14:paraId="2FF3CCD9"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72.86 ±19</w:t>
            </w:r>
            <w:r w:rsidRPr="00092666">
              <w:rPr>
                <w:rFonts w:ascii="Arial" w:eastAsia="Times New Roman" w:hAnsi="Arial" w:cs="Arial"/>
                <w:color w:val="000000"/>
                <w:sz w:val="18"/>
                <w:szCs w:val="18"/>
                <w:vertAlign w:val="superscript"/>
                <w:lang w:eastAsia="en-GB"/>
              </w:rPr>
              <w:t>bc</w:t>
            </w:r>
          </w:p>
        </w:tc>
        <w:tc>
          <w:tcPr>
            <w:tcW w:w="1393" w:type="dxa"/>
            <w:tcBorders>
              <w:top w:val="nil"/>
              <w:left w:val="nil"/>
              <w:bottom w:val="nil"/>
              <w:right w:val="nil"/>
            </w:tcBorders>
            <w:noWrap/>
            <w:vAlign w:val="bottom"/>
            <w:hideMark/>
          </w:tcPr>
          <w:p w14:paraId="3706789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160 ±29.7</w:t>
            </w:r>
            <w:r w:rsidRPr="00092666">
              <w:rPr>
                <w:rFonts w:ascii="Arial" w:eastAsia="Times New Roman" w:hAnsi="Arial" w:cs="Arial"/>
                <w:color w:val="000000"/>
                <w:sz w:val="18"/>
                <w:szCs w:val="18"/>
                <w:vertAlign w:val="superscript"/>
                <w:lang w:eastAsia="en-GB"/>
              </w:rPr>
              <w:t>cd</w:t>
            </w:r>
          </w:p>
        </w:tc>
        <w:tc>
          <w:tcPr>
            <w:tcW w:w="1199" w:type="dxa"/>
            <w:tcBorders>
              <w:top w:val="nil"/>
              <w:left w:val="nil"/>
              <w:bottom w:val="nil"/>
              <w:right w:val="nil"/>
            </w:tcBorders>
            <w:noWrap/>
            <w:vAlign w:val="bottom"/>
            <w:hideMark/>
          </w:tcPr>
          <w:p w14:paraId="0E4C6DC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15.50 ±1</w:t>
            </w:r>
            <w:r w:rsidRPr="00092666">
              <w:rPr>
                <w:rFonts w:ascii="Arial" w:eastAsia="Times New Roman" w:hAnsi="Arial" w:cs="Arial"/>
                <w:color w:val="000000"/>
                <w:sz w:val="18"/>
                <w:szCs w:val="18"/>
                <w:vertAlign w:val="superscript"/>
                <w:lang w:eastAsia="en-GB"/>
              </w:rPr>
              <w:t>cd</w:t>
            </w:r>
          </w:p>
        </w:tc>
        <w:tc>
          <w:tcPr>
            <w:tcW w:w="1193" w:type="dxa"/>
            <w:tcBorders>
              <w:top w:val="nil"/>
              <w:left w:val="nil"/>
              <w:bottom w:val="nil"/>
              <w:right w:val="nil"/>
            </w:tcBorders>
            <w:noWrap/>
            <w:vAlign w:val="bottom"/>
            <w:hideMark/>
          </w:tcPr>
          <w:p w14:paraId="251C44F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33.68 ±9.8</w:t>
            </w:r>
            <w:r w:rsidRPr="00092666">
              <w:rPr>
                <w:rFonts w:ascii="Arial" w:eastAsia="Times New Roman" w:hAnsi="Arial" w:cs="Arial"/>
                <w:color w:val="000000"/>
                <w:sz w:val="18"/>
                <w:szCs w:val="18"/>
                <w:vertAlign w:val="superscript"/>
                <w:lang w:eastAsia="en-GB"/>
              </w:rPr>
              <w:t>a</w:t>
            </w:r>
          </w:p>
        </w:tc>
        <w:tc>
          <w:tcPr>
            <w:tcW w:w="1193" w:type="dxa"/>
            <w:tcBorders>
              <w:top w:val="nil"/>
              <w:left w:val="nil"/>
              <w:bottom w:val="nil"/>
              <w:right w:val="nil"/>
            </w:tcBorders>
            <w:noWrap/>
            <w:vAlign w:val="bottom"/>
            <w:hideMark/>
          </w:tcPr>
          <w:p w14:paraId="488F3B4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21.41 ±0.7</w:t>
            </w:r>
            <w:r w:rsidRPr="00092666">
              <w:rPr>
                <w:rFonts w:ascii="Arial" w:eastAsia="Times New Roman" w:hAnsi="Arial" w:cs="Arial"/>
                <w:color w:val="000000"/>
                <w:sz w:val="18"/>
                <w:szCs w:val="18"/>
                <w:vertAlign w:val="superscript"/>
                <w:lang w:eastAsia="en-GB"/>
              </w:rPr>
              <w:t>e</w:t>
            </w:r>
          </w:p>
        </w:tc>
        <w:tc>
          <w:tcPr>
            <w:tcW w:w="1176" w:type="dxa"/>
            <w:tcBorders>
              <w:top w:val="nil"/>
              <w:left w:val="nil"/>
              <w:bottom w:val="nil"/>
              <w:right w:val="nil"/>
            </w:tcBorders>
          </w:tcPr>
          <w:p w14:paraId="39E21AC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100.5±10.6</w:t>
            </w:r>
            <w:r w:rsidRPr="00092666">
              <w:rPr>
                <w:rFonts w:ascii="Arial" w:hAnsi="Arial" w:cs="Arial"/>
                <w:sz w:val="18"/>
                <w:szCs w:val="18"/>
                <w:vertAlign w:val="superscript"/>
              </w:rPr>
              <w:t>c</w:t>
            </w:r>
          </w:p>
        </w:tc>
        <w:tc>
          <w:tcPr>
            <w:tcW w:w="1193" w:type="dxa"/>
            <w:tcBorders>
              <w:top w:val="nil"/>
              <w:left w:val="nil"/>
              <w:bottom w:val="nil"/>
              <w:right w:val="nil"/>
            </w:tcBorders>
          </w:tcPr>
          <w:p w14:paraId="322A84DC"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24.8 ±1.8</w:t>
            </w:r>
            <w:r w:rsidRPr="00092666">
              <w:rPr>
                <w:rFonts w:ascii="Arial" w:hAnsi="Arial" w:cs="Arial"/>
                <w:sz w:val="18"/>
                <w:szCs w:val="18"/>
                <w:vertAlign w:val="superscript"/>
              </w:rPr>
              <w:t>c</w:t>
            </w:r>
          </w:p>
        </w:tc>
        <w:tc>
          <w:tcPr>
            <w:tcW w:w="1099" w:type="dxa"/>
            <w:tcBorders>
              <w:top w:val="nil"/>
              <w:left w:val="nil"/>
              <w:bottom w:val="nil"/>
              <w:right w:val="nil"/>
            </w:tcBorders>
          </w:tcPr>
          <w:p w14:paraId="2437BEB8"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2.34 ±0.0</w:t>
            </w:r>
            <w:r w:rsidRPr="00092666">
              <w:rPr>
                <w:rFonts w:ascii="Arial" w:hAnsi="Arial" w:cs="Arial"/>
                <w:sz w:val="18"/>
                <w:szCs w:val="18"/>
                <w:vertAlign w:val="superscript"/>
              </w:rPr>
              <w:t>c</w:t>
            </w:r>
          </w:p>
        </w:tc>
      </w:tr>
      <w:tr w:rsidR="00092666" w:rsidRPr="00092666" w14:paraId="59937904" w14:textId="77777777" w:rsidTr="00AB7DE4">
        <w:trPr>
          <w:trHeight w:val="170"/>
          <w:jc w:val="center"/>
        </w:trPr>
        <w:tc>
          <w:tcPr>
            <w:tcW w:w="747" w:type="dxa"/>
            <w:tcBorders>
              <w:top w:val="nil"/>
              <w:left w:val="nil"/>
              <w:bottom w:val="nil"/>
              <w:right w:val="nil"/>
            </w:tcBorders>
            <w:noWrap/>
            <w:vAlign w:val="bottom"/>
            <w:hideMark/>
          </w:tcPr>
          <w:p w14:paraId="5041E842"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L33</w:t>
            </w:r>
          </w:p>
        </w:tc>
        <w:tc>
          <w:tcPr>
            <w:tcW w:w="1133" w:type="dxa"/>
            <w:tcBorders>
              <w:top w:val="nil"/>
              <w:left w:val="nil"/>
              <w:bottom w:val="nil"/>
              <w:right w:val="nil"/>
            </w:tcBorders>
          </w:tcPr>
          <w:p w14:paraId="0B77FD5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62.36 ±2.5</w:t>
            </w:r>
            <w:r w:rsidRPr="00092666">
              <w:rPr>
                <w:rFonts w:ascii="Arial" w:hAnsi="Arial" w:cs="Arial"/>
                <w:sz w:val="18"/>
                <w:szCs w:val="18"/>
                <w:vertAlign w:val="superscript"/>
              </w:rPr>
              <w:t>f</w:t>
            </w:r>
          </w:p>
        </w:tc>
        <w:tc>
          <w:tcPr>
            <w:tcW w:w="1133" w:type="dxa"/>
            <w:tcBorders>
              <w:top w:val="nil"/>
              <w:left w:val="nil"/>
              <w:bottom w:val="nil"/>
              <w:right w:val="nil"/>
            </w:tcBorders>
          </w:tcPr>
          <w:p w14:paraId="153F233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60.47 ±3.4</w:t>
            </w:r>
            <w:r w:rsidRPr="00092666">
              <w:rPr>
                <w:rFonts w:ascii="Arial" w:hAnsi="Arial" w:cs="Arial"/>
                <w:sz w:val="18"/>
                <w:szCs w:val="18"/>
                <w:vertAlign w:val="superscript"/>
              </w:rPr>
              <w:t>d</w:t>
            </w:r>
          </w:p>
        </w:tc>
        <w:tc>
          <w:tcPr>
            <w:tcW w:w="1199" w:type="dxa"/>
            <w:tcBorders>
              <w:top w:val="nil"/>
              <w:left w:val="nil"/>
              <w:bottom w:val="nil"/>
              <w:right w:val="nil"/>
            </w:tcBorders>
            <w:noWrap/>
            <w:vAlign w:val="bottom"/>
            <w:hideMark/>
          </w:tcPr>
          <w:p w14:paraId="3236AD54"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18.37 ±1.9</w:t>
            </w:r>
            <w:r w:rsidRPr="00092666">
              <w:rPr>
                <w:rFonts w:ascii="Arial" w:eastAsia="Times New Roman" w:hAnsi="Arial" w:cs="Arial"/>
                <w:color w:val="000000"/>
                <w:sz w:val="18"/>
                <w:szCs w:val="18"/>
                <w:vertAlign w:val="superscript"/>
                <w:lang w:eastAsia="en-GB"/>
              </w:rPr>
              <w:t>b</w:t>
            </w:r>
          </w:p>
        </w:tc>
        <w:tc>
          <w:tcPr>
            <w:tcW w:w="1316" w:type="dxa"/>
            <w:tcBorders>
              <w:top w:val="nil"/>
              <w:left w:val="nil"/>
              <w:bottom w:val="nil"/>
              <w:right w:val="nil"/>
            </w:tcBorders>
            <w:noWrap/>
            <w:vAlign w:val="bottom"/>
            <w:hideMark/>
          </w:tcPr>
          <w:p w14:paraId="76A439C4"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70.60 ±11.5</w:t>
            </w:r>
            <w:r w:rsidRPr="00092666">
              <w:rPr>
                <w:rFonts w:ascii="Arial" w:eastAsia="Times New Roman" w:hAnsi="Arial" w:cs="Arial"/>
                <w:color w:val="000000"/>
                <w:sz w:val="18"/>
                <w:szCs w:val="18"/>
                <w:vertAlign w:val="superscript"/>
                <w:lang w:eastAsia="en-GB"/>
              </w:rPr>
              <w:t>b</w:t>
            </w:r>
          </w:p>
        </w:tc>
        <w:tc>
          <w:tcPr>
            <w:tcW w:w="1393" w:type="dxa"/>
            <w:tcBorders>
              <w:top w:val="nil"/>
              <w:left w:val="nil"/>
              <w:bottom w:val="nil"/>
              <w:right w:val="nil"/>
            </w:tcBorders>
            <w:noWrap/>
            <w:vAlign w:val="bottom"/>
            <w:hideMark/>
          </w:tcPr>
          <w:p w14:paraId="154914A2"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151.53 ±11.9</w:t>
            </w:r>
            <w:r w:rsidRPr="00092666">
              <w:rPr>
                <w:rFonts w:ascii="Arial" w:eastAsia="Times New Roman" w:hAnsi="Arial" w:cs="Arial"/>
                <w:color w:val="000000"/>
                <w:sz w:val="18"/>
                <w:szCs w:val="18"/>
                <w:vertAlign w:val="superscript"/>
                <w:lang w:eastAsia="en-GB"/>
              </w:rPr>
              <w:t>c</w:t>
            </w:r>
          </w:p>
        </w:tc>
        <w:tc>
          <w:tcPr>
            <w:tcW w:w="1199" w:type="dxa"/>
            <w:tcBorders>
              <w:top w:val="nil"/>
              <w:left w:val="nil"/>
              <w:bottom w:val="nil"/>
              <w:right w:val="nil"/>
            </w:tcBorders>
            <w:noWrap/>
            <w:vAlign w:val="bottom"/>
            <w:hideMark/>
          </w:tcPr>
          <w:p w14:paraId="2FA94B37"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15.93 ±0.9</w:t>
            </w:r>
            <w:r w:rsidRPr="00092666">
              <w:rPr>
                <w:rFonts w:ascii="Arial" w:eastAsia="Times New Roman" w:hAnsi="Arial" w:cs="Arial"/>
                <w:color w:val="000000"/>
                <w:sz w:val="18"/>
                <w:szCs w:val="18"/>
                <w:vertAlign w:val="superscript"/>
                <w:lang w:eastAsia="en-GB"/>
              </w:rPr>
              <w:t>cd</w:t>
            </w:r>
          </w:p>
        </w:tc>
        <w:tc>
          <w:tcPr>
            <w:tcW w:w="1193" w:type="dxa"/>
            <w:tcBorders>
              <w:top w:val="nil"/>
              <w:left w:val="nil"/>
              <w:bottom w:val="nil"/>
              <w:right w:val="nil"/>
            </w:tcBorders>
            <w:noWrap/>
            <w:vAlign w:val="bottom"/>
            <w:hideMark/>
          </w:tcPr>
          <w:p w14:paraId="0CB757F2"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40.66 ±1.3</w:t>
            </w:r>
            <w:r w:rsidRPr="00092666">
              <w:rPr>
                <w:rFonts w:ascii="Arial" w:eastAsia="Times New Roman" w:hAnsi="Arial" w:cs="Arial"/>
                <w:color w:val="000000"/>
                <w:sz w:val="18"/>
                <w:szCs w:val="18"/>
                <w:vertAlign w:val="superscript"/>
                <w:lang w:eastAsia="en-GB"/>
              </w:rPr>
              <w:t>bc</w:t>
            </w:r>
          </w:p>
        </w:tc>
        <w:tc>
          <w:tcPr>
            <w:tcW w:w="1193" w:type="dxa"/>
            <w:tcBorders>
              <w:top w:val="nil"/>
              <w:left w:val="nil"/>
              <w:bottom w:val="nil"/>
              <w:right w:val="nil"/>
            </w:tcBorders>
            <w:noWrap/>
            <w:vAlign w:val="bottom"/>
            <w:hideMark/>
          </w:tcPr>
          <w:p w14:paraId="70B5A605"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17.40 ±1.2</w:t>
            </w:r>
            <w:r w:rsidRPr="00092666">
              <w:rPr>
                <w:rFonts w:ascii="Arial" w:eastAsia="Times New Roman" w:hAnsi="Arial" w:cs="Arial"/>
                <w:color w:val="000000"/>
                <w:sz w:val="18"/>
                <w:szCs w:val="18"/>
                <w:vertAlign w:val="superscript"/>
                <w:lang w:eastAsia="en-GB"/>
              </w:rPr>
              <w:t>a</w:t>
            </w:r>
          </w:p>
        </w:tc>
        <w:tc>
          <w:tcPr>
            <w:tcW w:w="1176" w:type="dxa"/>
            <w:tcBorders>
              <w:top w:val="nil"/>
              <w:left w:val="nil"/>
              <w:bottom w:val="nil"/>
              <w:right w:val="nil"/>
            </w:tcBorders>
          </w:tcPr>
          <w:p w14:paraId="03AEF61F"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59.49 ±3.4</w:t>
            </w:r>
            <w:r w:rsidRPr="00092666">
              <w:rPr>
                <w:rFonts w:ascii="Arial" w:hAnsi="Arial" w:cs="Arial"/>
                <w:sz w:val="18"/>
                <w:szCs w:val="18"/>
                <w:vertAlign w:val="superscript"/>
              </w:rPr>
              <w:t>b</w:t>
            </w:r>
          </w:p>
        </w:tc>
        <w:tc>
          <w:tcPr>
            <w:tcW w:w="1193" w:type="dxa"/>
            <w:tcBorders>
              <w:top w:val="nil"/>
              <w:left w:val="nil"/>
              <w:bottom w:val="nil"/>
              <w:right w:val="nil"/>
            </w:tcBorders>
          </w:tcPr>
          <w:p w14:paraId="6A24B0BE"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16.74 ±3.1</w:t>
            </w:r>
            <w:r w:rsidRPr="00092666">
              <w:rPr>
                <w:rFonts w:ascii="Arial" w:hAnsi="Arial" w:cs="Arial"/>
                <w:sz w:val="18"/>
                <w:szCs w:val="18"/>
                <w:vertAlign w:val="superscript"/>
              </w:rPr>
              <w:t>b</w:t>
            </w:r>
          </w:p>
        </w:tc>
        <w:tc>
          <w:tcPr>
            <w:tcW w:w="1099" w:type="dxa"/>
            <w:tcBorders>
              <w:top w:val="nil"/>
              <w:left w:val="nil"/>
              <w:bottom w:val="nil"/>
              <w:right w:val="nil"/>
            </w:tcBorders>
          </w:tcPr>
          <w:p w14:paraId="1C9D4CAE"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1.28 ±0.1</w:t>
            </w:r>
            <w:r w:rsidRPr="00092666">
              <w:rPr>
                <w:rFonts w:ascii="Arial" w:hAnsi="Arial" w:cs="Arial"/>
                <w:sz w:val="18"/>
                <w:szCs w:val="18"/>
                <w:vertAlign w:val="superscript"/>
              </w:rPr>
              <w:t>ab</w:t>
            </w:r>
          </w:p>
        </w:tc>
      </w:tr>
      <w:tr w:rsidR="00092666" w:rsidRPr="00092666" w14:paraId="60878B60" w14:textId="77777777" w:rsidTr="00AB7DE4">
        <w:trPr>
          <w:trHeight w:val="170"/>
          <w:jc w:val="center"/>
        </w:trPr>
        <w:tc>
          <w:tcPr>
            <w:tcW w:w="747" w:type="dxa"/>
            <w:tcBorders>
              <w:top w:val="nil"/>
              <w:left w:val="nil"/>
              <w:bottom w:val="nil"/>
              <w:right w:val="nil"/>
            </w:tcBorders>
            <w:noWrap/>
            <w:vAlign w:val="bottom"/>
            <w:hideMark/>
          </w:tcPr>
          <w:p w14:paraId="0996651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L37</w:t>
            </w:r>
          </w:p>
        </w:tc>
        <w:tc>
          <w:tcPr>
            <w:tcW w:w="1133" w:type="dxa"/>
            <w:tcBorders>
              <w:top w:val="nil"/>
              <w:left w:val="nil"/>
              <w:bottom w:val="nil"/>
              <w:right w:val="nil"/>
            </w:tcBorders>
          </w:tcPr>
          <w:p w14:paraId="69B03C7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64.91 ±2.0</w:t>
            </w:r>
            <w:r w:rsidRPr="00092666">
              <w:rPr>
                <w:rFonts w:ascii="Arial" w:hAnsi="Arial" w:cs="Arial"/>
                <w:sz w:val="18"/>
                <w:szCs w:val="18"/>
                <w:vertAlign w:val="superscript"/>
              </w:rPr>
              <w:t>g</w:t>
            </w:r>
          </w:p>
        </w:tc>
        <w:tc>
          <w:tcPr>
            <w:tcW w:w="1133" w:type="dxa"/>
            <w:tcBorders>
              <w:top w:val="nil"/>
              <w:left w:val="nil"/>
              <w:bottom w:val="nil"/>
              <w:right w:val="nil"/>
            </w:tcBorders>
          </w:tcPr>
          <w:p w14:paraId="290D057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63.89 ±1.9</w:t>
            </w:r>
            <w:r w:rsidRPr="00092666">
              <w:rPr>
                <w:rFonts w:ascii="Arial" w:hAnsi="Arial" w:cs="Arial"/>
                <w:sz w:val="18"/>
                <w:szCs w:val="18"/>
                <w:vertAlign w:val="superscript"/>
              </w:rPr>
              <w:t>e</w:t>
            </w:r>
          </w:p>
        </w:tc>
        <w:tc>
          <w:tcPr>
            <w:tcW w:w="1199" w:type="dxa"/>
            <w:tcBorders>
              <w:top w:val="nil"/>
              <w:left w:val="nil"/>
              <w:bottom w:val="nil"/>
              <w:right w:val="nil"/>
            </w:tcBorders>
            <w:noWrap/>
            <w:vAlign w:val="bottom"/>
            <w:hideMark/>
          </w:tcPr>
          <w:p w14:paraId="7397645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14.98 ±2.1</w:t>
            </w:r>
            <w:r w:rsidRPr="00092666">
              <w:rPr>
                <w:rFonts w:ascii="Arial" w:eastAsia="Times New Roman" w:hAnsi="Arial" w:cs="Arial"/>
                <w:color w:val="000000"/>
                <w:sz w:val="18"/>
                <w:szCs w:val="18"/>
                <w:vertAlign w:val="superscript"/>
                <w:lang w:eastAsia="en-GB"/>
              </w:rPr>
              <w:t>a</w:t>
            </w:r>
          </w:p>
        </w:tc>
        <w:tc>
          <w:tcPr>
            <w:tcW w:w="1316" w:type="dxa"/>
            <w:tcBorders>
              <w:top w:val="nil"/>
              <w:left w:val="nil"/>
              <w:bottom w:val="nil"/>
              <w:right w:val="nil"/>
            </w:tcBorders>
            <w:noWrap/>
            <w:vAlign w:val="bottom"/>
            <w:hideMark/>
          </w:tcPr>
          <w:p w14:paraId="11F17411"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54.33 ±18.2</w:t>
            </w:r>
            <w:r w:rsidRPr="00092666">
              <w:rPr>
                <w:rFonts w:ascii="Arial" w:eastAsia="Times New Roman" w:hAnsi="Arial" w:cs="Arial"/>
                <w:color w:val="000000"/>
                <w:sz w:val="18"/>
                <w:szCs w:val="18"/>
                <w:vertAlign w:val="superscript"/>
                <w:lang w:eastAsia="en-GB"/>
              </w:rPr>
              <w:t>a</w:t>
            </w:r>
          </w:p>
        </w:tc>
        <w:tc>
          <w:tcPr>
            <w:tcW w:w="1393" w:type="dxa"/>
            <w:tcBorders>
              <w:top w:val="nil"/>
              <w:left w:val="nil"/>
              <w:bottom w:val="nil"/>
              <w:right w:val="nil"/>
            </w:tcBorders>
            <w:noWrap/>
            <w:vAlign w:val="bottom"/>
            <w:hideMark/>
          </w:tcPr>
          <w:p w14:paraId="76FE5975"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110.07 ±9.8</w:t>
            </w:r>
            <w:r w:rsidRPr="00092666">
              <w:rPr>
                <w:rFonts w:ascii="Arial" w:eastAsia="Times New Roman" w:hAnsi="Arial" w:cs="Arial"/>
                <w:color w:val="000000"/>
                <w:sz w:val="18"/>
                <w:szCs w:val="18"/>
                <w:vertAlign w:val="superscript"/>
                <w:lang w:eastAsia="en-GB"/>
              </w:rPr>
              <w:t>a</w:t>
            </w:r>
          </w:p>
        </w:tc>
        <w:tc>
          <w:tcPr>
            <w:tcW w:w="1199" w:type="dxa"/>
            <w:tcBorders>
              <w:top w:val="nil"/>
              <w:left w:val="nil"/>
              <w:bottom w:val="nil"/>
              <w:right w:val="nil"/>
            </w:tcBorders>
            <w:noWrap/>
            <w:vAlign w:val="bottom"/>
            <w:hideMark/>
          </w:tcPr>
          <w:p w14:paraId="16BAE0EE"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10.16 ±1.2</w:t>
            </w:r>
            <w:r w:rsidRPr="00092666">
              <w:rPr>
                <w:rFonts w:ascii="Arial" w:eastAsia="Times New Roman" w:hAnsi="Arial" w:cs="Arial"/>
                <w:color w:val="000000"/>
                <w:sz w:val="18"/>
                <w:szCs w:val="18"/>
                <w:vertAlign w:val="superscript"/>
                <w:lang w:eastAsia="en-GB"/>
              </w:rPr>
              <w:t>a</w:t>
            </w:r>
          </w:p>
        </w:tc>
        <w:tc>
          <w:tcPr>
            <w:tcW w:w="1193" w:type="dxa"/>
            <w:tcBorders>
              <w:top w:val="nil"/>
              <w:left w:val="nil"/>
              <w:bottom w:val="nil"/>
              <w:right w:val="nil"/>
            </w:tcBorders>
            <w:noWrap/>
            <w:vAlign w:val="bottom"/>
            <w:hideMark/>
          </w:tcPr>
          <w:p w14:paraId="1A53D504"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31.53 ±1.8</w:t>
            </w:r>
            <w:r w:rsidRPr="00092666">
              <w:rPr>
                <w:rFonts w:ascii="Arial" w:eastAsia="Times New Roman" w:hAnsi="Arial" w:cs="Arial"/>
                <w:color w:val="000000"/>
                <w:sz w:val="18"/>
                <w:szCs w:val="18"/>
                <w:vertAlign w:val="superscript"/>
                <w:lang w:eastAsia="en-GB"/>
              </w:rPr>
              <w:t>a</w:t>
            </w:r>
          </w:p>
        </w:tc>
        <w:tc>
          <w:tcPr>
            <w:tcW w:w="1193" w:type="dxa"/>
            <w:tcBorders>
              <w:top w:val="nil"/>
              <w:left w:val="nil"/>
              <w:bottom w:val="nil"/>
              <w:right w:val="nil"/>
            </w:tcBorders>
            <w:noWrap/>
            <w:vAlign w:val="bottom"/>
            <w:hideMark/>
          </w:tcPr>
          <w:p w14:paraId="1D1FCA0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19.53 ±0.9</w:t>
            </w:r>
            <w:r w:rsidRPr="00092666">
              <w:rPr>
                <w:rFonts w:ascii="Arial" w:eastAsia="Times New Roman" w:hAnsi="Arial" w:cs="Arial"/>
                <w:color w:val="000000"/>
                <w:sz w:val="18"/>
                <w:szCs w:val="18"/>
                <w:vertAlign w:val="superscript"/>
                <w:lang w:eastAsia="en-GB"/>
              </w:rPr>
              <w:t>cd</w:t>
            </w:r>
          </w:p>
        </w:tc>
        <w:tc>
          <w:tcPr>
            <w:tcW w:w="1176" w:type="dxa"/>
            <w:tcBorders>
              <w:top w:val="nil"/>
              <w:left w:val="nil"/>
              <w:bottom w:val="nil"/>
              <w:right w:val="nil"/>
            </w:tcBorders>
          </w:tcPr>
          <w:p w14:paraId="679644A2"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35.9 ±13.7</w:t>
            </w:r>
            <w:r w:rsidRPr="00092666">
              <w:rPr>
                <w:rFonts w:ascii="Arial" w:hAnsi="Arial" w:cs="Arial"/>
                <w:sz w:val="18"/>
                <w:szCs w:val="18"/>
                <w:vertAlign w:val="superscript"/>
              </w:rPr>
              <w:t>a</w:t>
            </w:r>
          </w:p>
        </w:tc>
        <w:tc>
          <w:tcPr>
            <w:tcW w:w="1193" w:type="dxa"/>
            <w:tcBorders>
              <w:top w:val="nil"/>
              <w:left w:val="nil"/>
              <w:bottom w:val="nil"/>
              <w:right w:val="nil"/>
            </w:tcBorders>
          </w:tcPr>
          <w:p w14:paraId="0AD3EFBE"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13.04 ±0.6</w:t>
            </w:r>
            <w:r w:rsidRPr="00092666">
              <w:rPr>
                <w:rFonts w:ascii="Arial" w:hAnsi="Arial" w:cs="Arial"/>
                <w:sz w:val="18"/>
                <w:szCs w:val="18"/>
                <w:vertAlign w:val="superscript"/>
              </w:rPr>
              <w:t>a</w:t>
            </w:r>
          </w:p>
        </w:tc>
        <w:tc>
          <w:tcPr>
            <w:tcW w:w="1099" w:type="dxa"/>
            <w:tcBorders>
              <w:top w:val="nil"/>
              <w:left w:val="nil"/>
              <w:bottom w:val="nil"/>
              <w:right w:val="nil"/>
            </w:tcBorders>
          </w:tcPr>
          <w:p w14:paraId="7FA10D48"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0.75 ±0.1</w:t>
            </w:r>
            <w:r w:rsidRPr="00092666">
              <w:rPr>
                <w:rFonts w:ascii="Arial" w:hAnsi="Arial" w:cs="Arial"/>
                <w:sz w:val="18"/>
                <w:szCs w:val="18"/>
                <w:vertAlign w:val="superscript"/>
              </w:rPr>
              <w:t>a</w:t>
            </w:r>
          </w:p>
        </w:tc>
      </w:tr>
      <w:tr w:rsidR="00092666" w:rsidRPr="00092666" w14:paraId="570D932B" w14:textId="77777777" w:rsidTr="00AB7DE4">
        <w:trPr>
          <w:trHeight w:val="170"/>
          <w:jc w:val="center"/>
        </w:trPr>
        <w:tc>
          <w:tcPr>
            <w:tcW w:w="747" w:type="dxa"/>
            <w:tcBorders>
              <w:top w:val="nil"/>
              <w:left w:val="nil"/>
              <w:bottom w:val="nil"/>
              <w:right w:val="nil"/>
            </w:tcBorders>
            <w:noWrap/>
            <w:vAlign w:val="bottom"/>
            <w:hideMark/>
          </w:tcPr>
          <w:p w14:paraId="4AFAC46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T01</w:t>
            </w:r>
          </w:p>
        </w:tc>
        <w:tc>
          <w:tcPr>
            <w:tcW w:w="1133" w:type="dxa"/>
            <w:tcBorders>
              <w:top w:val="nil"/>
              <w:left w:val="nil"/>
              <w:bottom w:val="nil"/>
              <w:right w:val="nil"/>
            </w:tcBorders>
          </w:tcPr>
          <w:p w14:paraId="114D9E2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51.30 ±1.1</w:t>
            </w:r>
            <w:r w:rsidRPr="00092666">
              <w:rPr>
                <w:rFonts w:ascii="Arial" w:hAnsi="Arial" w:cs="Arial"/>
                <w:sz w:val="18"/>
                <w:szCs w:val="18"/>
                <w:vertAlign w:val="superscript"/>
              </w:rPr>
              <w:t>a</w:t>
            </w:r>
          </w:p>
        </w:tc>
        <w:tc>
          <w:tcPr>
            <w:tcW w:w="1133" w:type="dxa"/>
            <w:tcBorders>
              <w:top w:val="nil"/>
              <w:left w:val="nil"/>
              <w:bottom w:val="nil"/>
              <w:right w:val="nil"/>
            </w:tcBorders>
          </w:tcPr>
          <w:p w14:paraId="69B905DF"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50.50 ±1.0</w:t>
            </w:r>
            <w:r w:rsidRPr="00092666">
              <w:rPr>
                <w:rFonts w:ascii="Arial" w:hAnsi="Arial" w:cs="Arial"/>
                <w:sz w:val="18"/>
                <w:szCs w:val="18"/>
                <w:vertAlign w:val="superscript"/>
              </w:rPr>
              <w:t>a</w:t>
            </w:r>
          </w:p>
        </w:tc>
        <w:tc>
          <w:tcPr>
            <w:tcW w:w="1199" w:type="dxa"/>
            <w:tcBorders>
              <w:top w:val="nil"/>
              <w:left w:val="nil"/>
              <w:bottom w:val="nil"/>
              <w:right w:val="nil"/>
            </w:tcBorders>
            <w:noWrap/>
            <w:vAlign w:val="bottom"/>
            <w:hideMark/>
          </w:tcPr>
          <w:p w14:paraId="7A2335B1"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23.06 ±3.0</w:t>
            </w:r>
            <w:r w:rsidRPr="00092666">
              <w:rPr>
                <w:rFonts w:ascii="Arial" w:eastAsia="Times New Roman" w:hAnsi="Arial" w:cs="Arial"/>
                <w:color w:val="000000"/>
                <w:sz w:val="18"/>
                <w:szCs w:val="18"/>
                <w:vertAlign w:val="superscript"/>
                <w:lang w:eastAsia="en-GB"/>
              </w:rPr>
              <w:t>c</w:t>
            </w:r>
          </w:p>
        </w:tc>
        <w:tc>
          <w:tcPr>
            <w:tcW w:w="1316" w:type="dxa"/>
            <w:tcBorders>
              <w:top w:val="nil"/>
              <w:left w:val="nil"/>
              <w:bottom w:val="nil"/>
              <w:right w:val="nil"/>
            </w:tcBorders>
            <w:noWrap/>
            <w:vAlign w:val="bottom"/>
            <w:hideMark/>
          </w:tcPr>
          <w:p w14:paraId="33CFC6E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120.80</w:t>
            </w:r>
            <w:r w:rsidRPr="00092666">
              <w:rPr>
                <w:rFonts w:ascii="Arial" w:eastAsia="Times New Roman" w:hAnsi="Arial" w:cs="Arial"/>
                <w:color w:val="000000"/>
                <w:sz w:val="18"/>
                <w:szCs w:val="18"/>
                <w:vertAlign w:val="superscript"/>
                <w:lang w:eastAsia="en-GB"/>
              </w:rPr>
              <w:t xml:space="preserve"> </w:t>
            </w:r>
            <w:r w:rsidRPr="00092666">
              <w:rPr>
                <w:rFonts w:ascii="Arial" w:eastAsia="Times New Roman" w:hAnsi="Arial" w:cs="Arial"/>
                <w:color w:val="000000"/>
                <w:sz w:val="18"/>
                <w:szCs w:val="18"/>
                <w:lang w:eastAsia="en-GB"/>
              </w:rPr>
              <w:t>±18.6</w:t>
            </w:r>
            <w:r w:rsidRPr="00092666">
              <w:rPr>
                <w:rFonts w:ascii="Arial" w:eastAsia="Times New Roman" w:hAnsi="Arial" w:cs="Arial"/>
                <w:color w:val="000000"/>
                <w:sz w:val="18"/>
                <w:szCs w:val="18"/>
                <w:vertAlign w:val="superscript"/>
                <w:lang w:eastAsia="en-GB"/>
              </w:rPr>
              <w:t>e</w:t>
            </w:r>
          </w:p>
        </w:tc>
        <w:tc>
          <w:tcPr>
            <w:tcW w:w="1393" w:type="dxa"/>
            <w:tcBorders>
              <w:top w:val="nil"/>
              <w:left w:val="nil"/>
              <w:bottom w:val="nil"/>
              <w:right w:val="nil"/>
            </w:tcBorders>
            <w:noWrap/>
            <w:vAlign w:val="bottom"/>
            <w:hideMark/>
          </w:tcPr>
          <w:p w14:paraId="450E72A5"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197.10 ±44.7</w:t>
            </w:r>
            <w:r w:rsidRPr="00092666">
              <w:rPr>
                <w:rFonts w:ascii="Arial" w:eastAsia="Times New Roman" w:hAnsi="Arial" w:cs="Arial"/>
                <w:color w:val="000000"/>
                <w:sz w:val="18"/>
                <w:szCs w:val="18"/>
                <w:vertAlign w:val="superscript"/>
                <w:lang w:eastAsia="en-GB"/>
              </w:rPr>
              <w:t>f</w:t>
            </w:r>
          </w:p>
        </w:tc>
        <w:tc>
          <w:tcPr>
            <w:tcW w:w="1199" w:type="dxa"/>
            <w:tcBorders>
              <w:top w:val="nil"/>
              <w:left w:val="nil"/>
              <w:bottom w:val="nil"/>
              <w:right w:val="nil"/>
            </w:tcBorders>
            <w:noWrap/>
            <w:vAlign w:val="bottom"/>
            <w:hideMark/>
          </w:tcPr>
          <w:p w14:paraId="5650FEE7"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18.16 ±3.2</w:t>
            </w:r>
            <w:r w:rsidRPr="00092666">
              <w:rPr>
                <w:rFonts w:ascii="Arial" w:eastAsia="Times New Roman" w:hAnsi="Arial" w:cs="Arial"/>
                <w:color w:val="000000"/>
                <w:sz w:val="18"/>
                <w:szCs w:val="18"/>
                <w:vertAlign w:val="superscript"/>
                <w:lang w:eastAsia="en-GB"/>
              </w:rPr>
              <w:t>de</w:t>
            </w:r>
          </w:p>
        </w:tc>
        <w:tc>
          <w:tcPr>
            <w:tcW w:w="1193" w:type="dxa"/>
            <w:tcBorders>
              <w:top w:val="nil"/>
              <w:left w:val="nil"/>
              <w:bottom w:val="nil"/>
              <w:right w:val="nil"/>
            </w:tcBorders>
            <w:noWrap/>
            <w:vAlign w:val="bottom"/>
            <w:hideMark/>
          </w:tcPr>
          <w:p w14:paraId="7C4FD16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45.72 ±2.9</w:t>
            </w:r>
            <w:r w:rsidRPr="00092666">
              <w:rPr>
                <w:rFonts w:ascii="Arial" w:eastAsia="Times New Roman" w:hAnsi="Arial" w:cs="Arial"/>
                <w:color w:val="000000"/>
                <w:sz w:val="18"/>
                <w:szCs w:val="18"/>
                <w:vertAlign w:val="superscript"/>
                <w:lang w:eastAsia="en-GB"/>
              </w:rPr>
              <w:t>c</w:t>
            </w:r>
          </w:p>
        </w:tc>
        <w:tc>
          <w:tcPr>
            <w:tcW w:w="1193" w:type="dxa"/>
            <w:tcBorders>
              <w:top w:val="nil"/>
              <w:left w:val="nil"/>
              <w:bottom w:val="nil"/>
              <w:right w:val="nil"/>
            </w:tcBorders>
            <w:noWrap/>
            <w:vAlign w:val="bottom"/>
            <w:hideMark/>
          </w:tcPr>
          <w:p w14:paraId="1D20AB44"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18.27 ±0.8</w:t>
            </w:r>
            <w:r w:rsidRPr="00092666">
              <w:rPr>
                <w:rFonts w:ascii="Arial" w:eastAsia="Times New Roman" w:hAnsi="Arial" w:cs="Arial"/>
                <w:color w:val="000000"/>
                <w:sz w:val="18"/>
                <w:szCs w:val="18"/>
                <w:vertAlign w:val="superscript"/>
                <w:lang w:eastAsia="en-GB"/>
              </w:rPr>
              <w:t>b</w:t>
            </w:r>
          </w:p>
        </w:tc>
        <w:tc>
          <w:tcPr>
            <w:tcW w:w="1176" w:type="dxa"/>
            <w:tcBorders>
              <w:top w:val="nil"/>
              <w:left w:val="nil"/>
              <w:bottom w:val="nil"/>
              <w:right w:val="nil"/>
            </w:tcBorders>
          </w:tcPr>
          <w:p w14:paraId="0957238D"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123.8 ±7.2</w:t>
            </w:r>
            <w:r w:rsidRPr="00092666">
              <w:rPr>
                <w:rFonts w:ascii="Arial" w:hAnsi="Arial" w:cs="Arial"/>
                <w:sz w:val="18"/>
                <w:szCs w:val="18"/>
                <w:vertAlign w:val="superscript"/>
              </w:rPr>
              <w:t>c</w:t>
            </w:r>
          </w:p>
        </w:tc>
        <w:tc>
          <w:tcPr>
            <w:tcW w:w="1193" w:type="dxa"/>
            <w:tcBorders>
              <w:top w:val="nil"/>
              <w:left w:val="nil"/>
              <w:bottom w:val="nil"/>
              <w:right w:val="nil"/>
            </w:tcBorders>
          </w:tcPr>
          <w:p w14:paraId="6EFB9583"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24.45 ±4.4</w:t>
            </w:r>
            <w:r w:rsidRPr="00092666">
              <w:rPr>
                <w:rFonts w:ascii="Arial" w:hAnsi="Arial" w:cs="Arial"/>
                <w:sz w:val="18"/>
                <w:szCs w:val="18"/>
                <w:vertAlign w:val="superscript"/>
              </w:rPr>
              <w:t>c</w:t>
            </w:r>
          </w:p>
        </w:tc>
        <w:tc>
          <w:tcPr>
            <w:tcW w:w="1099" w:type="dxa"/>
            <w:tcBorders>
              <w:top w:val="nil"/>
              <w:left w:val="nil"/>
              <w:bottom w:val="nil"/>
              <w:right w:val="nil"/>
            </w:tcBorders>
          </w:tcPr>
          <w:p w14:paraId="44A3B2C2"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3.45 ±0.4</w:t>
            </w:r>
            <w:r w:rsidRPr="00092666">
              <w:rPr>
                <w:rFonts w:ascii="Arial" w:hAnsi="Arial" w:cs="Arial"/>
                <w:sz w:val="18"/>
                <w:szCs w:val="18"/>
                <w:vertAlign w:val="superscript"/>
              </w:rPr>
              <w:t>e</w:t>
            </w:r>
          </w:p>
        </w:tc>
      </w:tr>
      <w:tr w:rsidR="00092666" w:rsidRPr="00092666" w14:paraId="5C572E2A" w14:textId="77777777" w:rsidTr="00AB7DE4">
        <w:trPr>
          <w:trHeight w:val="170"/>
          <w:jc w:val="center"/>
        </w:trPr>
        <w:tc>
          <w:tcPr>
            <w:tcW w:w="747" w:type="dxa"/>
            <w:tcBorders>
              <w:top w:val="nil"/>
              <w:left w:val="nil"/>
              <w:bottom w:val="nil"/>
              <w:right w:val="nil"/>
            </w:tcBorders>
            <w:noWrap/>
            <w:vAlign w:val="bottom"/>
            <w:hideMark/>
          </w:tcPr>
          <w:p w14:paraId="3ED3B888"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T02</w:t>
            </w:r>
          </w:p>
        </w:tc>
        <w:tc>
          <w:tcPr>
            <w:tcW w:w="1133" w:type="dxa"/>
            <w:tcBorders>
              <w:top w:val="nil"/>
              <w:left w:val="nil"/>
              <w:bottom w:val="nil"/>
              <w:right w:val="nil"/>
            </w:tcBorders>
          </w:tcPr>
          <w:p w14:paraId="5B5B0010"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53.30 ±0.4</w:t>
            </w:r>
            <w:r w:rsidRPr="00092666">
              <w:rPr>
                <w:rFonts w:ascii="Arial" w:hAnsi="Arial" w:cs="Arial"/>
                <w:sz w:val="18"/>
                <w:szCs w:val="18"/>
                <w:vertAlign w:val="superscript"/>
              </w:rPr>
              <w:t>b</w:t>
            </w:r>
          </w:p>
        </w:tc>
        <w:tc>
          <w:tcPr>
            <w:tcW w:w="1133" w:type="dxa"/>
            <w:tcBorders>
              <w:top w:val="nil"/>
              <w:left w:val="nil"/>
              <w:bottom w:val="nil"/>
              <w:right w:val="nil"/>
            </w:tcBorders>
          </w:tcPr>
          <w:p w14:paraId="4D1E4AAA"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53.20</w:t>
            </w:r>
            <w:r w:rsidRPr="00092666">
              <w:rPr>
                <w:rFonts w:ascii="Arial" w:hAnsi="Arial" w:cs="Arial"/>
                <w:sz w:val="18"/>
                <w:szCs w:val="18"/>
                <w:vertAlign w:val="superscript"/>
              </w:rPr>
              <w:t xml:space="preserve"> </w:t>
            </w:r>
            <w:r w:rsidRPr="00092666">
              <w:rPr>
                <w:rFonts w:ascii="Arial" w:hAnsi="Arial" w:cs="Arial"/>
                <w:sz w:val="18"/>
                <w:szCs w:val="18"/>
              </w:rPr>
              <w:t>±0.7</w:t>
            </w:r>
            <w:r w:rsidRPr="00092666">
              <w:rPr>
                <w:rFonts w:ascii="Arial" w:hAnsi="Arial" w:cs="Arial"/>
                <w:sz w:val="18"/>
                <w:szCs w:val="18"/>
                <w:vertAlign w:val="superscript"/>
              </w:rPr>
              <w:t>b</w:t>
            </w:r>
          </w:p>
        </w:tc>
        <w:tc>
          <w:tcPr>
            <w:tcW w:w="1199" w:type="dxa"/>
            <w:tcBorders>
              <w:top w:val="nil"/>
              <w:left w:val="nil"/>
              <w:bottom w:val="nil"/>
              <w:right w:val="nil"/>
            </w:tcBorders>
            <w:noWrap/>
            <w:vAlign w:val="bottom"/>
            <w:hideMark/>
          </w:tcPr>
          <w:p w14:paraId="1E234855"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43.97 ±4.6</w:t>
            </w:r>
            <w:r w:rsidRPr="00092666">
              <w:rPr>
                <w:rFonts w:ascii="Arial" w:eastAsia="Times New Roman" w:hAnsi="Arial" w:cs="Arial"/>
                <w:color w:val="000000"/>
                <w:sz w:val="18"/>
                <w:szCs w:val="18"/>
                <w:vertAlign w:val="superscript"/>
                <w:lang w:eastAsia="en-GB"/>
              </w:rPr>
              <w:t>d</w:t>
            </w:r>
          </w:p>
        </w:tc>
        <w:tc>
          <w:tcPr>
            <w:tcW w:w="1316" w:type="dxa"/>
            <w:tcBorders>
              <w:top w:val="nil"/>
              <w:left w:val="nil"/>
              <w:bottom w:val="nil"/>
              <w:right w:val="nil"/>
            </w:tcBorders>
            <w:noWrap/>
            <w:vAlign w:val="bottom"/>
            <w:hideMark/>
          </w:tcPr>
          <w:p w14:paraId="4A9A9FE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98.30 ±6.8</w:t>
            </w:r>
            <w:r w:rsidRPr="00092666">
              <w:rPr>
                <w:rFonts w:ascii="Arial" w:eastAsia="Times New Roman" w:hAnsi="Arial" w:cs="Arial"/>
                <w:color w:val="000000"/>
                <w:sz w:val="18"/>
                <w:szCs w:val="18"/>
                <w:vertAlign w:val="superscript"/>
                <w:lang w:eastAsia="en-GB"/>
              </w:rPr>
              <w:t>d</w:t>
            </w:r>
          </w:p>
        </w:tc>
        <w:tc>
          <w:tcPr>
            <w:tcW w:w="1393" w:type="dxa"/>
            <w:tcBorders>
              <w:top w:val="nil"/>
              <w:left w:val="nil"/>
              <w:bottom w:val="nil"/>
              <w:right w:val="nil"/>
            </w:tcBorders>
            <w:noWrap/>
            <w:vAlign w:val="bottom"/>
            <w:hideMark/>
          </w:tcPr>
          <w:p w14:paraId="28F5FFA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199.60 ±6.4</w:t>
            </w:r>
            <w:r w:rsidRPr="00092666">
              <w:rPr>
                <w:rFonts w:ascii="Arial" w:eastAsia="Times New Roman" w:hAnsi="Arial" w:cs="Arial"/>
                <w:color w:val="000000"/>
                <w:sz w:val="18"/>
                <w:szCs w:val="18"/>
                <w:vertAlign w:val="superscript"/>
                <w:lang w:eastAsia="en-GB"/>
              </w:rPr>
              <w:t>f</w:t>
            </w:r>
          </w:p>
        </w:tc>
        <w:tc>
          <w:tcPr>
            <w:tcW w:w="1199" w:type="dxa"/>
            <w:tcBorders>
              <w:top w:val="nil"/>
              <w:left w:val="nil"/>
              <w:bottom w:val="nil"/>
              <w:right w:val="nil"/>
            </w:tcBorders>
            <w:noWrap/>
            <w:vAlign w:val="bottom"/>
            <w:hideMark/>
          </w:tcPr>
          <w:p w14:paraId="005E2249"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18.46 ±1.3</w:t>
            </w:r>
            <w:r w:rsidRPr="00092666">
              <w:rPr>
                <w:rFonts w:ascii="Arial" w:eastAsia="Times New Roman" w:hAnsi="Arial" w:cs="Arial"/>
                <w:color w:val="000000"/>
                <w:sz w:val="18"/>
                <w:szCs w:val="18"/>
                <w:vertAlign w:val="superscript"/>
                <w:lang w:eastAsia="en-GB"/>
              </w:rPr>
              <w:t>de</w:t>
            </w:r>
          </w:p>
        </w:tc>
        <w:tc>
          <w:tcPr>
            <w:tcW w:w="1193" w:type="dxa"/>
            <w:tcBorders>
              <w:top w:val="nil"/>
              <w:left w:val="nil"/>
              <w:bottom w:val="nil"/>
              <w:right w:val="nil"/>
            </w:tcBorders>
            <w:noWrap/>
            <w:vAlign w:val="bottom"/>
            <w:hideMark/>
          </w:tcPr>
          <w:p w14:paraId="3655F1D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49.05 ±1.6</w:t>
            </w:r>
            <w:r w:rsidRPr="00092666">
              <w:rPr>
                <w:rFonts w:ascii="Arial" w:eastAsia="Times New Roman" w:hAnsi="Arial" w:cs="Arial"/>
                <w:color w:val="000000"/>
                <w:sz w:val="18"/>
                <w:szCs w:val="18"/>
                <w:vertAlign w:val="superscript"/>
                <w:lang w:eastAsia="en-GB"/>
              </w:rPr>
              <w:t>c</w:t>
            </w:r>
          </w:p>
        </w:tc>
        <w:tc>
          <w:tcPr>
            <w:tcW w:w="1193" w:type="dxa"/>
            <w:tcBorders>
              <w:top w:val="nil"/>
              <w:left w:val="nil"/>
              <w:bottom w:val="nil"/>
              <w:right w:val="nil"/>
            </w:tcBorders>
            <w:noWrap/>
            <w:vAlign w:val="bottom"/>
            <w:hideMark/>
          </w:tcPr>
          <w:p w14:paraId="1A2C4643"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19.07 ±1.2</w:t>
            </w:r>
            <w:r w:rsidRPr="00092666">
              <w:rPr>
                <w:rFonts w:ascii="Arial" w:eastAsia="Times New Roman" w:hAnsi="Arial" w:cs="Arial"/>
                <w:color w:val="000000"/>
                <w:sz w:val="18"/>
                <w:szCs w:val="18"/>
                <w:vertAlign w:val="superscript"/>
                <w:lang w:eastAsia="en-GB"/>
              </w:rPr>
              <w:t>c</w:t>
            </w:r>
          </w:p>
        </w:tc>
        <w:tc>
          <w:tcPr>
            <w:tcW w:w="1176" w:type="dxa"/>
            <w:tcBorders>
              <w:top w:val="nil"/>
              <w:left w:val="nil"/>
              <w:bottom w:val="nil"/>
              <w:right w:val="nil"/>
            </w:tcBorders>
          </w:tcPr>
          <w:p w14:paraId="2F904930"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187.8 ±6.7</w:t>
            </w:r>
            <w:r w:rsidRPr="00092666">
              <w:rPr>
                <w:rFonts w:ascii="Arial" w:hAnsi="Arial" w:cs="Arial"/>
                <w:sz w:val="18"/>
                <w:szCs w:val="18"/>
                <w:vertAlign w:val="superscript"/>
              </w:rPr>
              <w:t>d</w:t>
            </w:r>
          </w:p>
        </w:tc>
        <w:tc>
          <w:tcPr>
            <w:tcW w:w="1193" w:type="dxa"/>
            <w:tcBorders>
              <w:top w:val="nil"/>
              <w:left w:val="nil"/>
              <w:bottom w:val="nil"/>
              <w:right w:val="nil"/>
            </w:tcBorders>
          </w:tcPr>
          <w:p w14:paraId="4D548FE7"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31.75 ±0.5</w:t>
            </w:r>
            <w:r w:rsidRPr="00092666">
              <w:rPr>
                <w:rFonts w:ascii="Arial" w:hAnsi="Arial" w:cs="Arial"/>
                <w:sz w:val="18"/>
                <w:szCs w:val="18"/>
                <w:vertAlign w:val="superscript"/>
              </w:rPr>
              <w:t>d</w:t>
            </w:r>
          </w:p>
        </w:tc>
        <w:tc>
          <w:tcPr>
            <w:tcW w:w="1099" w:type="dxa"/>
            <w:tcBorders>
              <w:top w:val="nil"/>
              <w:left w:val="nil"/>
              <w:bottom w:val="nil"/>
              <w:right w:val="nil"/>
            </w:tcBorders>
          </w:tcPr>
          <w:p w14:paraId="4021661D" w14:textId="77777777" w:rsidR="00092666" w:rsidRPr="00092666" w:rsidRDefault="00092666" w:rsidP="00092666">
            <w:pPr>
              <w:autoSpaceDE w:val="0"/>
              <w:autoSpaceDN w:val="0"/>
              <w:adjustRightInd w:val="0"/>
              <w:spacing w:after="0" w:line="240" w:lineRule="auto"/>
              <w:jc w:val="both"/>
              <w:rPr>
                <w:rFonts w:ascii="Arial" w:hAnsi="Arial" w:cs="Arial"/>
                <w:sz w:val="18"/>
                <w:szCs w:val="18"/>
                <w:vertAlign w:val="superscript"/>
              </w:rPr>
            </w:pPr>
            <w:r w:rsidRPr="00092666">
              <w:rPr>
                <w:rFonts w:ascii="Arial" w:hAnsi="Arial" w:cs="Arial"/>
                <w:sz w:val="18"/>
                <w:szCs w:val="18"/>
              </w:rPr>
              <w:t>4.38 ±0.1</w:t>
            </w:r>
            <w:r w:rsidRPr="00092666">
              <w:rPr>
                <w:rFonts w:ascii="Arial" w:hAnsi="Arial" w:cs="Arial"/>
                <w:sz w:val="18"/>
                <w:szCs w:val="18"/>
                <w:vertAlign w:val="superscript"/>
              </w:rPr>
              <w:t>f</w:t>
            </w:r>
          </w:p>
        </w:tc>
      </w:tr>
      <w:tr w:rsidR="00092666" w:rsidRPr="00092666" w14:paraId="113E91BA" w14:textId="77777777" w:rsidTr="00AB7DE4">
        <w:trPr>
          <w:trHeight w:val="170"/>
          <w:jc w:val="center"/>
        </w:trPr>
        <w:tc>
          <w:tcPr>
            <w:tcW w:w="747" w:type="dxa"/>
            <w:tcBorders>
              <w:top w:val="single" w:sz="4" w:space="0" w:color="auto"/>
              <w:left w:val="nil"/>
              <w:bottom w:val="nil"/>
              <w:right w:val="nil"/>
            </w:tcBorders>
            <w:noWrap/>
            <w:vAlign w:val="bottom"/>
          </w:tcPr>
          <w:p w14:paraId="1792F3F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F</w:t>
            </w:r>
          </w:p>
        </w:tc>
        <w:tc>
          <w:tcPr>
            <w:tcW w:w="1133" w:type="dxa"/>
            <w:tcBorders>
              <w:top w:val="single" w:sz="4" w:space="0" w:color="auto"/>
              <w:left w:val="nil"/>
              <w:bottom w:val="nil"/>
              <w:right w:val="nil"/>
            </w:tcBorders>
          </w:tcPr>
          <w:p w14:paraId="7BA674D0"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61.9</w:t>
            </w:r>
          </w:p>
        </w:tc>
        <w:tc>
          <w:tcPr>
            <w:tcW w:w="1133" w:type="dxa"/>
            <w:tcBorders>
              <w:top w:val="single" w:sz="4" w:space="0" w:color="auto"/>
              <w:left w:val="nil"/>
              <w:bottom w:val="nil"/>
              <w:right w:val="nil"/>
            </w:tcBorders>
          </w:tcPr>
          <w:p w14:paraId="3BDC5C34"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48.43</w:t>
            </w:r>
          </w:p>
        </w:tc>
        <w:tc>
          <w:tcPr>
            <w:tcW w:w="1199" w:type="dxa"/>
            <w:tcBorders>
              <w:top w:val="single" w:sz="4" w:space="0" w:color="auto"/>
              <w:left w:val="nil"/>
              <w:bottom w:val="nil"/>
              <w:right w:val="nil"/>
            </w:tcBorders>
            <w:noWrap/>
            <w:vAlign w:val="bottom"/>
          </w:tcPr>
          <w:p w14:paraId="0FCA0E7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123.03</w:t>
            </w:r>
          </w:p>
        </w:tc>
        <w:tc>
          <w:tcPr>
            <w:tcW w:w="1316" w:type="dxa"/>
            <w:tcBorders>
              <w:top w:val="single" w:sz="4" w:space="0" w:color="auto"/>
              <w:left w:val="nil"/>
              <w:bottom w:val="nil"/>
              <w:right w:val="nil"/>
            </w:tcBorders>
            <w:noWrap/>
            <w:vAlign w:val="bottom"/>
          </w:tcPr>
          <w:p w14:paraId="559A6B7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26.90</w:t>
            </w:r>
          </w:p>
        </w:tc>
        <w:tc>
          <w:tcPr>
            <w:tcW w:w="1393" w:type="dxa"/>
            <w:tcBorders>
              <w:top w:val="single" w:sz="4" w:space="0" w:color="auto"/>
              <w:left w:val="nil"/>
              <w:bottom w:val="nil"/>
              <w:right w:val="nil"/>
            </w:tcBorders>
            <w:noWrap/>
            <w:vAlign w:val="bottom"/>
          </w:tcPr>
          <w:p w14:paraId="201A55FB"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28.58</w:t>
            </w:r>
          </w:p>
        </w:tc>
        <w:tc>
          <w:tcPr>
            <w:tcW w:w="1199" w:type="dxa"/>
            <w:tcBorders>
              <w:top w:val="single" w:sz="4" w:space="0" w:color="auto"/>
              <w:left w:val="nil"/>
              <w:bottom w:val="nil"/>
              <w:right w:val="nil"/>
            </w:tcBorders>
            <w:noWrap/>
            <w:vAlign w:val="bottom"/>
          </w:tcPr>
          <w:p w14:paraId="2D61412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12.26</w:t>
            </w:r>
          </w:p>
        </w:tc>
        <w:tc>
          <w:tcPr>
            <w:tcW w:w="1193" w:type="dxa"/>
            <w:tcBorders>
              <w:top w:val="single" w:sz="4" w:space="0" w:color="auto"/>
              <w:left w:val="nil"/>
              <w:bottom w:val="nil"/>
              <w:right w:val="nil"/>
            </w:tcBorders>
            <w:noWrap/>
            <w:vAlign w:val="bottom"/>
          </w:tcPr>
          <w:p w14:paraId="070DF74D"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8.89</w:t>
            </w:r>
          </w:p>
        </w:tc>
        <w:tc>
          <w:tcPr>
            <w:tcW w:w="1193" w:type="dxa"/>
            <w:tcBorders>
              <w:top w:val="single" w:sz="4" w:space="0" w:color="auto"/>
              <w:left w:val="nil"/>
              <w:bottom w:val="nil"/>
              <w:right w:val="nil"/>
            </w:tcBorders>
            <w:noWrap/>
            <w:vAlign w:val="bottom"/>
          </w:tcPr>
          <w:p w14:paraId="3DD4EEEF"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22.06</w:t>
            </w:r>
          </w:p>
        </w:tc>
        <w:tc>
          <w:tcPr>
            <w:tcW w:w="1176" w:type="dxa"/>
            <w:tcBorders>
              <w:top w:val="single" w:sz="4" w:space="0" w:color="auto"/>
              <w:left w:val="nil"/>
              <w:bottom w:val="nil"/>
              <w:right w:val="nil"/>
            </w:tcBorders>
          </w:tcPr>
          <w:p w14:paraId="2CDF15E0"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49.97</w:t>
            </w:r>
          </w:p>
        </w:tc>
        <w:tc>
          <w:tcPr>
            <w:tcW w:w="1193" w:type="dxa"/>
            <w:tcBorders>
              <w:top w:val="single" w:sz="4" w:space="0" w:color="auto"/>
              <w:left w:val="nil"/>
              <w:bottom w:val="nil"/>
              <w:right w:val="nil"/>
            </w:tcBorders>
          </w:tcPr>
          <w:p w14:paraId="0556FE0E"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22.48</w:t>
            </w:r>
          </w:p>
        </w:tc>
        <w:tc>
          <w:tcPr>
            <w:tcW w:w="1099" w:type="dxa"/>
            <w:tcBorders>
              <w:top w:val="single" w:sz="4" w:space="0" w:color="auto"/>
              <w:left w:val="nil"/>
              <w:bottom w:val="nil"/>
              <w:right w:val="nil"/>
            </w:tcBorders>
          </w:tcPr>
          <w:p w14:paraId="755D2418"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40.10</w:t>
            </w:r>
          </w:p>
        </w:tc>
      </w:tr>
      <w:tr w:rsidR="00092666" w:rsidRPr="00092666" w14:paraId="57EB6E4B" w14:textId="77777777" w:rsidTr="00AB7DE4">
        <w:trPr>
          <w:trHeight w:val="170"/>
          <w:jc w:val="center"/>
        </w:trPr>
        <w:tc>
          <w:tcPr>
            <w:tcW w:w="747" w:type="dxa"/>
            <w:tcBorders>
              <w:top w:val="nil"/>
              <w:left w:val="nil"/>
              <w:bottom w:val="single" w:sz="4" w:space="0" w:color="auto"/>
              <w:right w:val="nil"/>
            </w:tcBorders>
            <w:noWrap/>
            <w:vAlign w:val="bottom"/>
          </w:tcPr>
          <w:p w14:paraId="28693A5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P</w:t>
            </w:r>
          </w:p>
        </w:tc>
        <w:tc>
          <w:tcPr>
            <w:tcW w:w="1133" w:type="dxa"/>
            <w:tcBorders>
              <w:top w:val="nil"/>
              <w:left w:val="nil"/>
              <w:bottom w:val="single" w:sz="4" w:space="0" w:color="auto"/>
              <w:right w:val="nil"/>
            </w:tcBorders>
          </w:tcPr>
          <w:p w14:paraId="67F067DC"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0</w:t>
            </w:r>
          </w:p>
        </w:tc>
        <w:tc>
          <w:tcPr>
            <w:tcW w:w="1133" w:type="dxa"/>
            <w:tcBorders>
              <w:top w:val="nil"/>
              <w:left w:val="nil"/>
              <w:bottom w:val="single" w:sz="4" w:space="0" w:color="auto"/>
              <w:right w:val="nil"/>
            </w:tcBorders>
          </w:tcPr>
          <w:p w14:paraId="0CCD429C"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0</w:t>
            </w:r>
          </w:p>
        </w:tc>
        <w:tc>
          <w:tcPr>
            <w:tcW w:w="1199" w:type="dxa"/>
            <w:tcBorders>
              <w:top w:val="nil"/>
              <w:left w:val="nil"/>
              <w:bottom w:val="single" w:sz="4" w:space="0" w:color="auto"/>
              <w:right w:val="nil"/>
            </w:tcBorders>
            <w:noWrap/>
            <w:vAlign w:val="bottom"/>
          </w:tcPr>
          <w:p w14:paraId="39810C6D"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0.00</w:t>
            </w:r>
          </w:p>
        </w:tc>
        <w:tc>
          <w:tcPr>
            <w:tcW w:w="1316" w:type="dxa"/>
            <w:tcBorders>
              <w:top w:val="nil"/>
              <w:left w:val="nil"/>
              <w:bottom w:val="single" w:sz="4" w:space="0" w:color="auto"/>
              <w:right w:val="nil"/>
            </w:tcBorders>
            <w:noWrap/>
            <w:vAlign w:val="bottom"/>
          </w:tcPr>
          <w:p w14:paraId="26C67C74"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0.00</w:t>
            </w:r>
          </w:p>
        </w:tc>
        <w:tc>
          <w:tcPr>
            <w:tcW w:w="1393" w:type="dxa"/>
            <w:tcBorders>
              <w:top w:val="nil"/>
              <w:left w:val="nil"/>
              <w:bottom w:val="single" w:sz="4" w:space="0" w:color="auto"/>
              <w:right w:val="nil"/>
            </w:tcBorders>
            <w:noWrap/>
            <w:vAlign w:val="bottom"/>
          </w:tcPr>
          <w:p w14:paraId="27A1333A"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0.00</w:t>
            </w:r>
          </w:p>
        </w:tc>
        <w:tc>
          <w:tcPr>
            <w:tcW w:w="1199" w:type="dxa"/>
            <w:tcBorders>
              <w:top w:val="nil"/>
              <w:left w:val="nil"/>
              <w:bottom w:val="single" w:sz="4" w:space="0" w:color="auto"/>
              <w:right w:val="nil"/>
            </w:tcBorders>
            <w:noWrap/>
            <w:vAlign w:val="bottom"/>
          </w:tcPr>
          <w:p w14:paraId="6E36FDAD"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0.00</w:t>
            </w:r>
          </w:p>
        </w:tc>
        <w:tc>
          <w:tcPr>
            <w:tcW w:w="1193" w:type="dxa"/>
            <w:tcBorders>
              <w:top w:val="nil"/>
              <w:left w:val="nil"/>
              <w:bottom w:val="single" w:sz="4" w:space="0" w:color="auto"/>
              <w:right w:val="nil"/>
            </w:tcBorders>
            <w:noWrap/>
            <w:vAlign w:val="bottom"/>
          </w:tcPr>
          <w:p w14:paraId="4EAECC3C"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0.00</w:t>
            </w:r>
          </w:p>
        </w:tc>
        <w:tc>
          <w:tcPr>
            <w:tcW w:w="1193" w:type="dxa"/>
            <w:tcBorders>
              <w:top w:val="nil"/>
              <w:left w:val="nil"/>
              <w:bottom w:val="single" w:sz="4" w:space="0" w:color="auto"/>
              <w:right w:val="nil"/>
            </w:tcBorders>
            <w:noWrap/>
            <w:vAlign w:val="bottom"/>
          </w:tcPr>
          <w:p w14:paraId="22DDF357" w14:textId="77777777" w:rsidR="00092666" w:rsidRPr="00092666" w:rsidRDefault="00092666" w:rsidP="00092666">
            <w:pPr>
              <w:spacing w:after="0" w:line="240" w:lineRule="auto"/>
              <w:jc w:val="both"/>
              <w:rPr>
                <w:rFonts w:ascii="Arial" w:eastAsia="Times New Roman" w:hAnsi="Arial" w:cs="Arial"/>
                <w:color w:val="000000"/>
                <w:sz w:val="18"/>
                <w:szCs w:val="18"/>
                <w:lang w:eastAsia="en-GB"/>
              </w:rPr>
            </w:pPr>
            <w:r w:rsidRPr="00092666">
              <w:rPr>
                <w:rFonts w:ascii="Arial" w:eastAsia="Times New Roman" w:hAnsi="Arial" w:cs="Arial"/>
                <w:color w:val="000000"/>
                <w:sz w:val="18"/>
                <w:szCs w:val="18"/>
                <w:lang w:eastAsia="en-GB"/>
              </w:rPr>
              <w:t>0.00</w:t>
            </w:r>
          </w:p>
        </w:tc>
        <w:tc>
          <w:tcPr>
            <w:tcW w:w="1176" w:type="dxa"/>
            <w:tcBorders>
              <w:top w:val="nil"/>
              <w:left w:val="nil"/>
              <w:bottom w:val="single" w:sz="4" w:space="0" w:color="auto"/>
              <w:right w:val="nil"/>
            </w:tcBorders>
          </w:tcPr>
          <w:p w14:paraId="37CD0668"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0.00</w:t>
            </w:r>
          </w:p>
        </w:tc>
        <w:tc>
          <w:tcPr>
            <w:tcW w:w="1193" w:type="dxa"/>
            <w:tcBorders>
              <w:top w:val="nil"/>
              <w:left w:val="nil"/>
              <w:bottom w:val="single" w:sz="4" w:space="0" w:color="auto"/>
              <w:right w:val="nil"/>
            </w:tcBorders>
          </w:tcPr>
          <w:p w14:paraId="4F7B874B"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0.00</w:t>
            </w:r>
          </w:p>
        </w:tc>
        <w:tc>
          <w:tcPr>
            <w:tcW w:w="1099" w:type="dxa"/>
            <w:tcBorders>
              <w:top w:val="nil"/>
              <w:left w:val="nil"/>
              <w:bottom w:val="single" w:sz="4" w:space="0" w:color="auto"/>
              <w:right w:val="nil"/>
            </w:tcBorders>
          </w:tcPr>
          <w:p w14:paraId="510214F9" w14:textId="77777777" w:rsidR="00092666" w:rsidRPr="00092666" w:rsidRDefault="00092666" w:rsidP="00092666">
            <w:pPr>
              <w:autoSpaceDE w:val="0"/>
              <w:autoSpaceDN w:val="0"/>
              <w:adjustRightInd w:val="0"/>
              <w:spacing w:after="0" w:line="240" w:lineRule="auto"/>
              <w:jc w:val="both"/>
              <w:rPr>
                <w:rFonts w:ascii="Arial" w:hAnsi="Arial" w:cs="Arial"/>
                <w:sz w:val="18"/>
                <w:szCs w:val="18"/>
              </w:rPr>
            </w:pPr>
            <w:r w:rsidRPr="00092666">
              <w:rPr>
                <w:rFonts w:ascii="Arial" w:hAnsi="Arial" w:cs="Arial"/>
                <w:sz w:val="18"/>
                <w:szCs w:val="18"/>
              </w:rPr>
              <w:t>0.00</w:t>
            </w:r>
          </w:p>
        </w:tc>
      </w:tr>
    </w:tbl>
    <w:p w14:paraId="164198B1" w14:textId="69D3522B" w:rsidR="004A0555" w:rsidRPr="00C46B7E" w:rsidRDefault="004A0555" w:rsidP="00104973">
      <w:pPr>
        <w:jc w:val="both"/>
        <w:rPr>
          <w:rFonts w:ascii="Arial" w:hAnsi="Arial" w:cs="Arial"/>
          <w:i/>
          <w:iCs/>
          <w:sz w:val="18"/>
          <w:szCs w:val="18"/>
        </w:rPr>
      </w:pPr>
      <w:r w:rsidRPr="00C46B7E">
        <w:rPr>
          <w:rStyle w:val="Strong"/>
          <w:rFonts w:ascii="Arial" w:eastAsiaTheme="majorEastAsia" w:hAnsi="Arial" w:cs="Arial"/>
          <w:b w:val="0"/>
          <w:bCs w:val="0"/>
          <w:i/>
          <w:iCs/>
          <w:sz w:val="18"/>
          <w:szCs w:val="18"/>
        </w:rPr>
        <w:t>DA:</w:t>
      </w:r>
      <w:r w:rsidRPr="00C46B7E">
        <w:rPr>
          <w:rFonts w:ascii="Arial" w:hAnsi="Arial" w:cs="Arial"/>
          <w:i/>
          <w:iCs/>
          <w:sz w:val="18"/>
          <w:szCs w:val="18"/>
        </w:rPr>
        <w:t xml:space="preserve"> Days to anthesis; </w:t>
      </w:r>
      <w:r w:rsidRPr="00C46B7E">
        <w:rPr>
          <w:rStyle w:val="Strong"/>
          <w:rFonts w:ascii="Arial" w:eastAsiaTheme="majorEastAsia" w:hAnsi="Arial" w:cs="Arial"/>
          <w:b w:val="0"/>
          <w:bCs w:val="0"/>
          <w:i/>
          <w:iCs/>
          <w:sz w:val="18"/>
          <w:szCs w:val="18"/>
        </w:rPr>
        <w:t>DS:</w:t>
      </w:r>
      <w:r w:rsidRPr="00C46B7E">
        <w:rPr>
          <w:rFonts w:ascii="Arial" w:hAnsi="Arial" w:cs="Arial"/>
          <w:i/>
          <w:iCs/>
          <w:sz w:val="18"/>
          <w:szCs w:val="18"/>
        </w:rPr>
        <w:t xml:space="preserve"> Days to silking; </w:t>
      </w:r>
      <w:r w:rsidRPr="00C46B7E">
        <w:rPr>
          <w:rStyle w:val="Strong"/>
          <w:rFonts w:ascii="Arial" w:eastAsiaTheme="majorEastAsia" w:hAnsi="Arial" w:cs="Arial"/>
          <w:b w:val="0"/>
          <w:bCs w:val="0"/>
          <w:i/>
          <w:iCs/>
          <w:sz w:val="18"/>
          <w:szCs w:val="18"/>
        </w:rPr>
        <w:t>SDB:</w:t>
      </w:r>
      <w:r w:rsidRPr="00C46B7E">
        <w:rPr>
          <w:rFonts w:ascii="Arial" w:hAnsi="Arial" w:cs="Arial"/>
          <w:i/>
          <w:iCs/>
          <w:sz w:val="18"/>
          <w:szCs w:val="18"/>
        </w:rPr>
        <w:t xml:space="preserve"> Stem diameter at base; </w:t>
      </w:r>
      <w:r w:rsidRPr="00C46B7E">
        <w:rPr>
          <w:rStyle w:val="Strong"/>
          <w:rFonts w:ascii="Arial" w:eastAsiaTheme="majorEastAsia" w:hAnsi="Arial" w:cs="Arial"/>
          <w:b w:val="0"/>
          <w:bCs w:val="0"/>
          <w:i/>
          <w:iCs/>
          <w:sz w:val="18"/>
          <w:szCs w:val="18"/>
        </w:rPr>
        <w:t>EH:</w:t>
      </w:r>
      <w:r w:rsidRPr="00C46B7E">
        <w:rPr>
          <w:rFonts w:ascii="Arial" w:hAnsi="Arial" w:cs="Arial"/>
          <w:b/>
          <w:bCs/>
          <w:i/>
          <w:iCs/>
          <w:sz w:val="18"/>
          <w:szCs w:val="18"/>
        </w:rPr>
        <w:t xml:space="preserve"> </w:t>
      </w:r>
      <w:r w:rsidRPr="00C46B7E">
        <w:rPr>
          <w:rFonts w:ascii="Arial" w:hAnsi="Arial" w:cs="Arial"/>
          <w:i/>
          <w:iCs/>
          <w:sz w:val="18"/>
          <w:szCs w:val="18"/>
        </w:rPr>
        <w:t xml:space="preserve">Ear height; </w:t>
      </w:r>
      <w:r w:rsidRPr="00C46B7E">
        <w:rPr>
          <w:rStyle w:val="Strong"/>
          <w:rFonts w:ascii="Arial" w:eastAsiaTheme="majorEastAsia" w:hAnsi="Arial" w:cs="Arial"/>
          <w:b w:val="0"/>
          <w:bCs w:val="0"/>
          <w:i/>
          <w:iCs/>
          <w:sz w:val="18"/>
          <w:szCs w:val="18"/>
        </w:rPr>
        <w:t>PH:</w:t>
      </w:r>
      <w:r w:rsidRPr="00C46B7E">
        <w:rPr>
          <w:rFonts w:ascii="Arial" w:hAnsi="Arial" w:cs="Arial"/>
          <w:i/>
          <w:iCs/>
          <w:sz w:val="18"/>
          <w:szCs w:val="18"/>
        </w:rPr>
        <w:t xml:space="preserve"> Plant height; </w:t>
      </w:r>
      <w:r w:rsidRPr="00C46B7E">
        <w:rPr>
          <w:rStyle w:val="Strong"/>
          <w:rFonts w:ascii="Arial" w:eastAsiaTheme="majorEastAsia" w:hAnsi="Arial" w:cs="Arial"/>
          <w:b w:val="0"/>
          <w:bCs w:val="0"/>
          <w:i/>
          <w:iCs/>
          <w:sz w:val="18"/>
          <w:szCs w:val="18"/>
        </w:rPr>
        <w:t>EL:</w:t>
      </w:r>
      <w:r w:rsidRPr="00C46B7E">
        <w:rPr>
          <w:rFonts w:ascii="Arial" w:hAnsi="Arial" w:cs="Arial"/>
          <w:i/>
          <w:iCs/>
          <w:sz w:val="18"/>
          <w:szCs w:val="18"/>
        </w:rPr>
        <w:t xml:space="preserve"> Ear length; </w:t>
      </w:r>
      <w:r w:rsidRPr="00C46B7E">
        <w:rPr>
          <w:rStyle w:val="Strong"/>
          <w:rFonts w:ascii="Arial" w:eastAsiaTheme="majorEastAsia" w:hAnsi="Arial" w:cs="Arial"/>
          <w:b w:val="0"/>
          <w:bCs w:val="0"/>
          <w:i/>
          <w:iCs/>
          <w:sz w:val="18"/>
          <w:szCs w:val="18"/>
        </w:rPr>
        <w:t>ED:</w:t>
      </w:r>
      <w:r w:rsidRPr="00C46B7E">
        <w:rPr>
          <w:rFonts w:ascii="Arial" w:hAnsi="Arial" w:cs="Arial"/>
          <w:i/>
          <w:iCs/>
          <w:sz w:val="18"/>
          <w:szCs w:val="18"/>
        </w:rPr>
        <w:t xml:space="preserve"> Ear diameter; </w:t>
      </w:r>
      <w:r w:rsidRPr="00C46B7E">
        <w:rPr>
          <w:rStyle w:val="Strong"/>
          <w:rFonts w:ascii="Arial" w:eastAsiaTheme="majorEastAsia" w:hAnsi="Arial" w:cs="Arial"/>
          <w:b w:val="0"/>
          <w:bCs w:val="0"/>
          <w:i/>
          <w:iCs/>
          <w:sz w:val="18"/>
          <w:szCs w:val="18"/>
        </w:rPr>
        <w:t>NL:</w:t>
      </w:r>
      <w:r w:rsidRPr="00C46B7E">
        <w:rPr>
          <w:rFonts w:ascii="Arial" w:hAnsi="Arial" w:cs="Arial"/>
          <w:i/>
          <w:iCs/>
          <w:sz w:val="18"/>
          <w:szCs w:val="18"/>
        </w:rPr>
        <w:t xml:space="preserve"> Number of leaves</w:t>
      </w:r>
      <w:r w:rsidRPr="00C46B7E">
        <w:rPr>
          <w:rFonts w:ascii="Arial" w:hAnsi="Arial" w:cs="Arial"/>
          <w:b/>
          <w:bCs/>
          <w:i/>
          <w:iCs/>
          <w:sz w:val="18"/>
          <w:szCs w:val="18"/>
        </w:rPr>
        <w:t xml:space="preserve">; </w:t>
      </w:r>
      <w:r w:rsidRPr="00C46B7E">
        <w:rPr>
          <w:rStyle w:val="Strong"/>
          <w:rFonts w:ascii="Arial" w:eastAsiaTheme="majorEastAsia" w:hAnsi="Arial" w:cs="Arial"/>
          <w:b w:val="0"/>
          <w:bCs w:val="0"/>
          <w:i/>
          <w:iCs/>
          <w:sz w:val="18"/>
          <w:szCs w:val="18"/>
        </w:rPr>
        <w:t>EW:</w:t>
      </w:r>
      <w:r w:rsidRPr="00C46B7E">
        <w:rPr>
          <w:rFonts w:ascii="Arial" w:hAnsi="Arial" w:cs="Arial"/>
          <w:i/>
          <w:iCs/>
          <w:sz w:val="18"/>
          <w:szCs w:val="18"/>
        </w:rPr>
        <w:t xml:space="preserve"> Ear weight; </w:t>
      </w:r>
      <w:r w:rsidRPr="00C46B7E">
        <w:rPr>
          <w:rStyle w:val="Strong"/>
          <w:rFonts w:ascii="Arial" w:eastAsiaTheme="majorEastAsia" w:hAnsi="Arial" w:cs="Arial"/>
          <w:b w:val="0"/>
          <w:bCs w:val="0"/>
          <w:i/>
          <w:iCs/>
          <w:sz w:val="18"/>
          <w:szCs w:val="18"/>
        </w:rPr>
        <w:t>GW100:</w:t>
      </w:r>
      <w:r w:rsidRPr="00C46B7E">
        <w:rPr>
          <w:rFonts w:ascii="Arial" w:hAnsi="Arial" w:cs="Arial"/>
          <w:i/>
          <w:iCs/>
          <w:sz w:val="18"/>
          <w:szCs w:val="18"/>
        </w:rPr>
        <w:t xml:space="preserve"> 100-grain weight; </w:t>
      </w:r>
      <w:r w:rsidRPr="00C46B7E">
        <w:rPr>
          <w:rStyle w:val="Strong"/>
          <w:rFonts w:ascii="Arial" w:eastAsiaTheme="majorEastAsia" w:hAnsi="Arial" w:cs="Arial"/>
          <w:b w:val="0"/>
          <w:bCs w:val="0"/>
          <w:i/>
          <w:iCs/>
          <w:sz w:val="18"/>
          <w:szCs w:val="18"/>
        </w:rPr>
        <w:t>Yd:</w:t>
      </w:r>
      <w:r w:rsidRPr="00C46B7E">
        <w:rPr>
          <w:rFonts w:ascii="Arial" w:hAnsi="Arial" w:cs="Arial"/>
          <w:i/>
          <w:iCs/>
          <w:sz w:val="18"/>
          <w:szCs w:val="18"/>
        </w:rPr>
        <w:t xml:space="preserve"> Yield; </w:t>
      </w:r>
      <w:r w:rsidRPr="00C46B7E">
        <w:rPr>
          <w:rStyle w:val="Strong"/>
          <w:rFonts w:ascii="Arial" w:eastAsiaTheme="majorEastAsia" w:hAnsi="Arial" w:cs="Arial"/>
          <w:b w:val="0"/>
          <w:bCs w:val="0"/>
          <w:i/>
          <w:iCs/>
          <w:sz w:val="18"/>
          <w:szCs w:val="18"/>
        </w:rPr>
        <w:t>F:</w:t>
      </w:r>
      <w:r w:rsidRPr="00C46B7E">
        <w:rPr>
          <w:rFonts w:ascii="Arial" w:hAnsi="Arial" w:cs="Arial"/>
          <w:i/>
          <w:iCs/>
          <w:sz w:val="18"/>
          <w:szCs w:val="18"/>
        </w:rPr>
        <w:t xml:space="preserve"> Fisher test statistic; </w:t>
      </w:r>
      <w:r w:rsidRPr="00C46B7E">
        <w:rPr>
          <w:rStyle w:val="Strong"/>
          <w:rFonts w:ascii="Arial" w:eastAsiaTheme="majorEastAsia" w:hAnsi="Arial" w:cs="Arial"/>
          <w:b w:val="0"/>
          <w:bCs w:val="0"/>
          <w:i/>
          <w:iCs/>
          <w:sz w:val="18"/>
          <w:szCs w:val="18"/>
        </w:rPr>
        <w:t>P:</w:t>
      </w:r>
      <w:r w:rsidRPr="00C46B7E">
        <w:rPr>
          <w:rFonts w:ascii="Arial" w:hAnsi="Arial" w:cs="Arial"/>
          <w:i/>
          <w:iCs/>
          <w:sz w:val="18"/>
          <w:szCs w:val="18"/>
        </w:rPr>
        <w:t xml:space="preserve"> Probability associated with one-way ANOVA. Means followed by different letters are significantly different according to the Student–Newman–Keuls test at 5</w:t>
      </w:r>
      <w:r w:rsidR="00C46B7E">
        <w:rPr>
          <w:rFonts w:ascii="Arial" w:hAnsi="Arial" w:cs="Arial"/>
          <w:i/>
          <w:iCs/>
          <w:sz w:val="18"/>
          <w:szCs w:val="18"/>
        </w:rPr>
        <w:t xml:space="preserve"> </w:t>
      </w:r>
      <w:r w:rsidRPr="00C46B7E">
        <w:rPr>
          <w:rFonts w:ascii="Arial" w:hAnsi="Arial" w:cs="Arial"/>
          <w:i/>
          <w:iCs/>
          <w:sz w:val="18"/>
          <w:szCs w:val="18"/>
        </w:rPr>
        <w:t>%.</w:t>
      </w:r>
    </w:p>
    <w:p w14:paraId="0CADF67E" w14:textId="77777777" w:rsidR="007A7A25" w:rsidRPr="007A7A25" w:rsidRDefault="007A7A25" w:rsidP="007A7A25">
      <w:pPr>
        <w:rPr>
          <w:sz w:val="20"/>
          <w:szCs w:val="20"/>
        </w:rPr>
      </w:pPr>
    </w:p>
    <w:p w14:paraId="1171C07B" w14:textId="77777777" w:rsidR="007A7A25" w:rsidRPr="007A7A25" w:rsidRDefault="007A7A25" w:rsidP="007A7A25">
      <w:pPr>
        <w:rPr>
          <w:sz w:val="20"/>
          <w:szCs w:val="20"/>
        </w:rPr>
      </w:pPr>
    </w:p>
    <w:p w14:paraId="7FFCE1E4" w14:textId="77777777" w:rsidR="007A7A25" w:rsidRDefault="007A7A25" w:rsidP="007A7A25">
      <w:pPr>
        <w:rPr>
          <w:sz w:val="20"/>
          <w:szCs w:val="20"/>
        </w:rPr>
      </w:pPr>
    </w:p>
    <w:p w14:paraId="0C6FB34F" w14:textId="5FFDD563" w:rsidR="007A7A25" w:rsidRDefault="007A7A25" w:rsidP="007A7A25">
      <w:pPr>
        <w:tabs>
          <w:tab w:val="left" w:pos="1065"/>
        </w:tabs>
        <w:rPr>
          <w:sz w:val="20"/>
          <w:szCs w:val="20"/>
        </w:rPr>
      </w:pPr>
      <w:r>
        <w:rPr>
          <w:sz w:val="20"/>
          <w:szCs w:val="20"/>
        </w:rPr>
        <w:tab/>
      </w:r>
    </w:p>
    <w:p w14:paraId="437EB571" w14:textId="77777777" w:rsidR="007A7A25" w:rsidRDefault="007A7A25" w:rsidP="007A7A25">
      <w:pPr>
        <w:tabs>
          <w:tab w:val="left" w:pos="1065"/>
        </w:tabs>
        <w:rPr>
          <w:sz w:val="20"/>
          <w:szCs w:val="20"/>
        </w:rPr>
      </w:pPr>
    </w:p>
    <w:p w14:paraId="770CD324" w14:textId="77777777" w:rsidR="007A7A25" w:rsidRDefault="007A7A25" w:rsidP="007A7A25">
      <w:pPr>
        <w:tabs>
          <w:tab w:val="left" w:pos="1065"/>
        </w:tabs>
        <w:rPr>
          <w:sz w:val="20"/>
          <w:szCs w:val="20"/>
        </w:rPr>
      </w:pPr>
    </w:p>
    <w:p w14:paraId="09FEB382" w14:textId="77777777" w:rsidR="007A7A25" w:rsidRDefault="007A7A25" w:rsidP="007A7A25">
      <w:pPr>
        <w:tabs>
          <w:tab w:val="left" w:pos="1065"/>
        </w:tabs>
        <w:rPr>
          <w:sz w:val="20"/>
          <w:szCs w:val="20"/>
        </w:rPr>
      </w:pPr>
    </w:p>
    <w:p w14:paraId="2FC7C9CB" w14:textId="77777777" w:rsidR="007A7A25" w:rsidRDefault="007A7A25" w:rsidP="007A7A25">
      <w:pPr>
        <w:tabs>
          <w:tab w:val="left" w:pos="1065"/>
        </w:tabs>
        <w:rPr>
          <w:sz w:val="20"/>
          <w:szCs w:val="20"/>
        </w:rPr>
      </w:pPr>
    </w:p>
    <w:p w14:paraId="16E60B2D" w14:textId="77777777" w:rsidR="007A7A25" w:rsidRDefault="007A7A25" w:rsidP="007A7A25">
      <w:pPr>
        <w:tabs>
          <w:tab w:val="left" w:pos="1065"/>
        </w:tabs>
        <w:rPr>
          <w:sz w:val="20"/>
          <w:szCs w:val="20"/>
        </w:rPr>
        <w:sectPr w:rsidR="007A7A25" w:rsidSect="00B92B15">
          <w:pgSz w:w="16838" w:h="11906" w:orient="landscape"/>
          <w:pgMar w:top="1440" w:right="1440" w:bottom="1440" w:left="1440" w:header="708" w:footer="708" w:gutter="0"/>
          <w:cols w:space="708"/>
          <w:docGrid w:linePitch="360"/>
        </w:sectPr>
      </w:pPr>
    </w:p>
    <w:p w14:paraId="24720237" w14:textId="77777777" w:rsidR="0041568D" w:rsidRPr="0041568D" w:rsidRDefault="0041568D" w:rsidP="00024043">
      <w:pPr>
        <w:pStyle w:val="Heading2"/>
        <w:rPr>
          <w:lang w:eastAsia="en-GB"/>
        </w:rPr>
      </w:pPr>
      <w:r w:rsidRPr="0041568D">
        <w:rPr>
          <w:lang w:eastAsia="en-GB"/>
        </w:rPr>
        <w:lastRenderedPageBreak/>
        <w:t>3.3 Correlation Analysis and Data Factorability Tests</w:t>
      </w:r>
    </w:p>
    <w:p w14:paraId="7601E78C" w14:textId="77777777" w:rsidR="00F13960" w:rsidRDefault="00F13960" w:rsidP="00F13960">
      <w:pPr>
        <w:spacing w:after="0"/>
        <w:jc w:val="both"/>
        <w:rPr>
          <w:rFonts w:ascii="Arial" w:hAnsi="Arial" w:cs="Arial"/>
          <w:sz w:val="20"/>
          <w:szCs w:val="20"/>
          <w:lang w:eastAsia="en-GB"/>
        </w:rPr>
      </w:pPr>
    </w:p>
    <w:p w14:paraId="0EEDF29D" w14:textId="77777777" w:rsidR="00F13960" w:rsidRDefault="0041568D" w:rsidP="00F13960">
      <w:pPr>
        <w:spacing w:after="0"/>
        <w:jc w:val="both"/>
        <w:rPr>
          <w:rFonts w:ascii="Arial" w:hAnsi="Arial" w:cs="Arial"/>
          <w:sz w:val="20"/>
          <w:szCs w:val="20"/>
          <w:lang w:eastAsia="en-GB"/>
        </w:rPr>
      </w:pPr>
      <w:r w:rsidRPr="000F17D1">
        <w:rPr>
          <w:rFonts w:ascii="Arial" w:hAnsi="Arial" w:cs="Arial"/>
          <w:sz w:val="20"/>
          <w:szCs w:val="20"/>
          <w:lang w:eastAsia="en-GB"/>
        </w:rPr>
        <w:t>The Pearson correlation matrix of the different traits studied is presented in Table 3. Significant correlations (|r| &gt; 0.70) were observed between several pairs of parameters. The most pronounced correlations were found between ear weight and yield, as well as between male and female flowering (r = 0.97).</w:t>
      </w:r>
    </w:p>
    <w:p w14:paraId="4D1A27F7" w14:textId="77777777" w:rsidR="00F13960" w:rsidRPr="00F13960" w:rsidRDefault="00F13960" w:rsidP="00F13960">
      <w:pPr>
        <w:spacing w:after="0"/>
        <w:jc w:val="both"/>
        <w:rPr>
          <w:rFonts w:ascii="Arial" w:eastAsia="Times New Roman" w:hAnsi="Arial" w:cs="Arial"/>
          <w:b/>
          <w:bCs/>
          <w:sz w:val="20"/>
          <w:szCs w:val="20"/>
          <w:lang w:eastAsia="en-GB"/>
        </w:rPr>
      </w:pPr>
    </w:p>
    <w:p w14:paraId="6B695EA8" w14:textId="598136A4" w:rsidR="008A2E84" w:rsidRDefault="0041568D" w:rsidP="00F13960">
      <w:pPr>
        <w:spacing w:after="0"/>
        <w:jc w:val="both"/>
        <w:rPr>
          <w:rFonts w:ascii="Arial" w:eastAsia="Times New Roman" w:hAnsi="Arial" w:cs="Arial"/>
          <w:b/>
          <w:bCs/>
          <w:sz w:val="20"/>
          <w:szCs w:val="20"/>
          <w:lang w:eastAsia="en-GB"/>
        </w:rPr>
      </w:pPr>
      <w:r w:rsidRPr="00F13960">
        <w:rPr>
          <w:rFonts w:ascii="Arial" w:eastAsia="Times New Roman" w:hAnsi="Arial" w:cs="Arial"/>
          <w:b/>
          <w:bCs/>
          <w:sz w:val="20"/>
          <w:szCs w:val="20"/>
          <w:lang w:eastAsia="en-GB"/>
        </w:rPr>
        <w:t>Table 3. Correlation matrix among the measured variables</w:t>
      </w:r>
    </w:p>
    <w:p w14:paraId="13EC0F68" w14:textId="77777777" w:rsidR="00F13960" w:rsidRPr="00F13960" w:rsidRDefault="00F13960" w:rsidP="00F13960">
      <w:pPr>
        <w:spacing w:after="0"/>
        <w:jc w:val="both"/>
        <w:rPr>
          <w:rFonts w:ascii="Arial" w:hAnsi="Arial" w:cs="Arial"/>
          <w:sz w:val="16"/>
          <w:szCs w:val="16"/>
          <w:lang w:eastAsia="en-GB"/>
        </w:rPr>
      </w:pPr>
    </w:p>
    <w:tbl>
      <w:tblPr>
        <w:tblW w:w="9200"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900"/>
        <w:gridCol w:w="740"/>
        <w:gridCol w:w="740"/>
        <w:gridCol w:w="740"/>
        <w:gridCol w:w="740"/>
        <w:gridCol w:w="740"/>
        <w:gridCol w:w="740"/>
        <w:gridCol w:w="900"/>
        <w:gridCol w:w="740"/>
        <w:gridCol w:w="740"/>
        <w:gridCol w:w="740"/>
        <w:gridCol w:w="740"/>
      </w:tblGrid>
      <w:tr w:rsidR="00F02547" w:rsidRPr="00F13960" w14:paraId="1B0325AD" w14:textId="77777777" w:rsidTr="00F13960">
        <w:trPr>
          <w:trHeight w:val="285"/>
        </w:trPr>
        <w:tc>
          <w:tcPr>
            <w:tcW w:w="900" w:type="dxa"/>
            <w:tcBorders>
              <w:top w:val="single" w:sz="12" w:space="0" w:color="auto"/>
              <w:bottom w:val="single" w:sz="12" w:space="0" w:color="auto"/>
            </w:tcBorders>
            <w:noWrap/>
            <w:vAlign w:val="bottom"/>
            <w:hideMark/>
          </w:tcPr>
          <w:p w14:paraId="446155EE" w14:textId="77777777" w:rsidR="00F02547" w:rsidRPr="00F13960" w:rsidRDefault="00F02547" w:rsidP="00F13960">
            <w:pPr>
              <w:spacing w:after="0" w:line="240" w:lineRule="auto"/>
              <w:jc w:val="both"/>
              <w:rPr>
                <w:rFonts w:ascii="Arial" w:eastAsia="Times New Roman" w:hAnsi="Arial" w:cs="Arial"/>
                <w:b/>
                <w:bCs/>
                <w:sz w:val="20"/>
                <w:szCs w:val="20"/>
                <w:lang w:eastAsia="fr-FR"/>
              </w:rPr>
            </w:pPr>
          </w:p>
        </w:tc>
        <w:tc>
          <w:tcPr>
            <w:tcW w:w="740" w:type="dxa"/>
            <w:tcBorders>
              <w:top w:val="single" w:sz="12" w:space="0" w:color="auto"/>
              <w:bottom w:val="single" w:sz="12" w:space="0" w:color="auto"/>
            </w:tcBorders>
            <w:noWrap/>
            <w:vAlign w:val="bottom"/>
            <w:hideMark/>
          </w:tcPr>
          <w:p w14:paraId="652A71E3"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SDB</w:t>
            </w:r>
          </w:p>
        </w:tc>
        <w:tc>
          <w:tcPr>
            <w:tcW w:w="740" w:type="dxa"/>
            <w:tcBorders>
              <w:top w:val="single" w:sz="12" w:space="0" w:color="auto"/>
              <w:bottom w:val="single" w:sz="12" w:space="0" w:color="auto"/>
            </w:tcBorders>
            <w:noWrap/>
            <w:vAlign w:val="bottom"/>
            <w:hideMark/>
          </w:tcPr>
          <w:p w14:paraId="285FF6EB"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EH</w:t>
            </w:r>
          </w:p>
        </w:tc>
        <w:tc>
          <w:tcPr>
            <w:tcW w:w="740" w:type="dxa"/>
            <w:tcBorders>
              <w:top w:val="single" w:sz="12" w:space="0" w:color="auto"/>
              <w:bottom w:val="single" w:sz="12" w:space="0" w:color="auto"/>
            </w:tcBorders>
            <w:noWrap/>
            <w:vAlign w:val="bottom"/>
            <w:hideMark/>
          </w:tcPr>
          <w:p w14:paraId="04906CF7"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PH</w:t>
            </w:r>
          </w:p>
        </w:tc>
        <w:tc>
          <w:tcPr>
            <w:tcW w:w="740" w:type="dxa"/>
            <w:tcBorders>
              <w:top w:val="single" w:sz="12" w:space="0" w:color="auto"/>
              <w:bottom w:val="single" w:sz="12" w:space="0" w:color="auto"/>
            </w:tcBorders>
            <w:noWrap/>
            <w:vAlign w:val="bottom"/>
            <w:hideMark/>
          </w:tcPr>
          <w:p w14:paraId="33B1002B"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EW</w:t>
            </w:r>
          </w:p>
        </w:tc>
        <w:tc>
          <w:tcPr>
            <w:tcW w:w="740" w:type="dxa"/>
            <w:tcBorders>
              <w:top w:val="single" w:sz="12" w:space="0" w:color="auto"/>
              <w:bottom w:val="single" w:sz="12" w:space="0" w:color="auto"/>
            </w:tcBorders>
            <w:noWrap/>
            <w:vAlign w:val="bottom"/>
            <w:hideMark/>
          </w:tcPr>
          <w:p w14:paraId="2860538E"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EL</w:t>
            </w:r>
          </w:p>
        </w:tc>
        <w:tc>
          <w:tcPr>
            <w:tcW w:w="740" w:type="dxa"/>
            <w:tcBorders>
              <w:top w:val="single" w:sz="12" w:space="0" w:color="auto"/>
              <w:bottom w:val="single" w:sz="12" w:space="0" w:color="auto"/>
            </w:tcBorders>
            <w:noWrap/>
            <w:vAlign w:val="bottom"/>
            <w:hideMark/>
          </w:tcPr>
          <w:p w14:paraId="12723193"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ED</w:t>
            </w:r>
          </w:p>
        </w:tc>
        <w:tc>
          <w:tcPr>
            <w:tcW w:w="900" w:type="dxa"/>
            <w:tcBorders>
              <w:top w:val="single" w:sz="12" w:space="0" w:color="auto"/>
              <w:bottom w:val="single" w:sz="12" w:space="0" w:color="auto"/>
            </w:tcBorders>
            <w:noWrap/>
            <w:vAlign w:val="bottom"/>
            <w:hideMark/>
          </w:tcPr>
          <w:p w14:paraId="41E496B7"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GW100</w:t>
            </w:r>
          </w:p>
        </w:tc>
        <w:tc>
          <w:tcPr>
            <w:tcW w:w="740" w:type="dxa"/>
            <w:tcBorders>
              <w:top w:val="single" w:sz="12" w:space="0" w:color="auto"/>
              <w:bottom w:val="single" w:sz="12" w:space="0" w:color="auto"/>
            </w:tcBorders>
            <w:noWrap/>
            <w:vAlign w:val="bottom"/>
            <w:hideMark/>
          </w:tcPr>
          <w:p w14:paraId="7976BACD"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Yd</w:t>
            </w:r>
          </w:p>
        </w:tc>
        <w:tc>
          <w:tcPr>
            <w:tcW w:w="740" w:type="dxa"/>
            <w:tcBorders>
              <w:top w:val="single" w:sz="12" w:space="0" w:color="auto"/>
              <w:bottom w:val="single" w:sz="12" w:space="0" w:color="auto"/>
            </w:tcBorders>
            <w:noWrap/>
            <w:vAlign w:val="bottom"/>
            <w:hideMark/>
          </w:tcPr>
          <w:p w14:paraId="5AE93FE2"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DA</w:t>
            </w:r>
          </w:p>
        </w:tc>
        <w:tc>
          <w:tcPr>
            <w:tcW w:w="740" w:type="dxa"/>
            <w:tcBorders>
              <w:top w:val="single" w:sz="12" w:space="0" w:color="auto"/>
              <w:bottom w:val="single" w:sz="12" w:space="0" w:color="auto"/>
            </w:tcBorders>
            <w:noWrap/>
            <w:vAlign w:val="bottom"/>
            <w:hideMark/>
          </w:tcPr>
          <w:p w14:paraId="4144B338"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DS</w:t>
            </w:r>
          </w:p>
        </w:tc>
        <w:tc>
          <w:tcPr>
            <w:tcW w:w="740" w:type="dxa"/>
            <w:tcBorders>
              <w:top w:val="single" w:sz="12" w:space="0" w:color="auto"/>
              <w:bottom w:val="single" w:sz="12" w:space="0" w:color="auto"/>
            </w:tcBorders>
            <w:noWrap/>
            <w:vAlign w:val="bottom"/>
            <w:hideMark/>
          </w:tcPr>
          <w:p w14:paraId="039C3753"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NL</w:t>
            </w:r>
          </w:p>
        </w:tc>
      </w:tr>
      <w:tr w:rsidR="00F02547" w:rsidRPr="00F13960" w14:paraId="0277B943" w14:textId="77777777" w:rsidTr="00F13960">
        <w:trPr>
          <w:trHeight w:val="285"/>
        </w:trPr>
        <w:tc>
          <w:tcPr>
            <w:tcW w:w="900" w:type="dxa"/>
            <w:tcBorders>
              <w:top w:val="single" w:sz="12" w:space="0" w:color="auto"/>
            </w:tcBorders>
            <w:noWrap/>
            <w:vAlign w:val="bottom"/>
            <w:hideMark/>
          </w:tcPr>
          <w:p w14:paraId="62C90C00"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SDB</w:t>
            </w:r>
          </w:p>
        </w:tc>
        <w:tc>
          <w:tcPr>
            <w:tcW w:w="740" w:type="dxa"/>
            <w:tcBorders>
              <w:top w:val="single" w:sz="12" w:space="0" w:color="auto"/>
            </w:tcBorders>
            <w:noWrap/>
            <w:vAlign w:val="bottom"/>
            <w:hideMark/>
          </w:tcPr>
          <w:p w14:paraId="55DE5801" w14:textId="2D970234"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tcBorders>
              <w:top w:val="single" w:sz="12" w:space="0" w:color="auto"/>
            </w:tcBorders>
            <w:noWrap/>
            <w:vAlign w:val="bottom"/>
            <w:hideMark/>
          </w:tcPr>
          <w:p w14:paraId="4DE30FCE"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tcBorders>
              <w:top w:val="single" w:sz="12" w:space="0" w:color="auto"/>
            </w:tcBorders>
            <w:noWrap/>
            <w:vAlign w:val="bottom"/>
            <w:hideMark/>
          </w:tcPr>
          <w:p w14:paraId="1AE22BD4"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71B81D4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3F47647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30E6DE7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tcBorders>
              <w:top w:val="single" w:sz="12" w:space="0" w:color="auto"/>
            </w:tcBorders>
            <w:noWrap/>
            <w:vAlign w:val="bottom"/>
            <w:hideMark/>
          </w:tcPr>
          <w:p w14:paraId="23F1208C"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747A5FDE"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15BCACA8"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023856D1"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466742BA"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761DDC3F" w14:textId="77777777" w:rsidTr="00F13960">
        <w:trPr>
          <w:trHeight w:val="285"/>
        </w:trPr>
        <w:tc>
          <w:tcPr>
            <w:tcW w:w="900" w:type="dxa"/>
            <w:noWrap/>
            <w:vAlign w:val="bottom"/>
            <w:hideMark/>
          </w:tcPr>
          <w:p w14:paraId="460AE1BB"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EH</w:t>
            </w:r>
          </w:p>
        </w:tc>
        <w:tc>
          <w:tcPr>
            <w:tcW w:w="740" w:type="dxa"/>
            <w:noWrap/>
            <w:vAlign w:val="bottom"/>
            <w:hideMark/>
          </w:tcPr>
          <w:p w14:paraId="2A82AB17" w14:textId="388D5937"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57</w:t>
            </w:r>
          </w:p>
        </w:tc>
        <w:tc>
          <w:tcPr>
            <w:tcW w:w="740" w:type="dxa"/>
            <w:noWrap/>
            <w:vAlign w:val="bottom"/>
            <w:hideMark/>
          </w:tcPr>
          <w:p w14:paraId="71EA47E7" w14:textId="4786C38E"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43D54BC0"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68C7CEB4"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451B3F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D711B9C"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noWrap/>
            <w:vAlign w:val="bottom"/>
            <w:hideMark/>
          </w:tcPr>
          <w:p w14:paraId="573D2190"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F3D6EB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2CE82A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776543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18AD518"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5450D019" w14:textId="77777777" w:rsidTr="00F13960">
        <w:trPr>
          <w:trHeight w:val="285"/>
        </w:trPr>
        <w:tc>
          <w:tcPr>
            <w:tcW w:w="900" w:type="dxa"/>
            <w:noWrap/>
            <w:vAlign w:val="bottom"/>
            <w:hideMark/>
          </w:tcPr>
          <w:p w14:paraId="729757B1"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PH</w:t>
            </w:r>
          </w:p>
        </w:tc>
        <w:tc>
          <w:tcPr>
            <w:tcW w:w="740" w:type="dxa"/>
            <w:noWrap/>
            <w:vAlign w:val="bottom"/>
            <w:hideMark/>
          </w:tcPr>
          <w:p w14:paraId="330C166A" w14:textId="3CAB5030"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58</w:t>
            </w:r>
          </w:p>
        </w:tc>
        <w:tc>
          <w:tcPr>
            <w:tcW w:w="740" w:type="dxa"/>
            <w:noWrap/>
            <w:vAlign w:val="bottom"/>
            <w:hideMark/>
          </w:tcPr>
          <w:p w14:paraId="71C4B6BF" w14:textId="4A21178A"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86</w:t>
            </w:r>
          </w:p>
        </w:tc>
        <w:tc>
          <w:tcPr>
            <w:tcW w:w="740" w:type="dxa"/>
            <w:noWrap/>
            <w:vAlign w:val="bottom"/>
            <w:hideMark/>
          </w:tcPr>
          <w:p w14:paraId="22A3C037" w14:textId="2AC7C3ED"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7F11B726"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65AC1D58"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16EEB295"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noWrap/>
            <w:vAlign w:val="bottom"/>
            <w:hideMark/>
          </w:tcPr>
          <w:p w14:paraId="5E45AA09"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3199060B"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689A79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9F02725"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0D1AB2FA"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0494B14B" w14:textId="77777777" w:rsidTr="00F13960">
        <w:trPr>
          <w:trHeight w:val="285"/>
        </w:trPr>
        <w:tc>
          <w:tcPr>
            <w:tcW w:w="900" w:type="dxa"/>
            <w:noWrap/>
            <w:vAlign w:val="bottom"/>
            <w:hideMark/>
          </w:tcPr>
          <w:p w14:paraId="3B4C4086"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EW</w:t>
            </w:r>
          </w:p>
        </w:tc>
        <w:tc>
          <w:tcPr>
            <w:tcW w:w="740" w:type="dxa"/>
            <w:noWrap/>
            <w:vAlign w:val="bottom"/>
            <w:hideMark/>
          </w:tcPr>
          <w:p w14:paraId="77542EAA" w14:textId="2BCBCA95"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79</w:t>
            </w:r>
          </w:p>
        </w:tc>
        <w:tc>
          <w:tcPr>
            <w:tcW w:w="740" w:type="dxa"/>
            <w:noWrap/>
            <w:vAlign w:val="bottom"/>
            <w:hideMark/>
          </w:tcPr>
          <w:p w14:paraId="738F35BA" w14:textId="20F01699"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75</w:t>
            </w:r>
          </w:p>
        </w:tc>
        <w:tc>
          <w:tcPr>
            <w:tcW w:w="740" w:type="dxa"/>
            <w:noWrap/>
            <w:vAlign w:val="bottom"/>
            <w:hideMark/>
          </w:tcPr>
          <w:p w14:paraId="580D1814" w14:textId="588AAEF9"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86</w:t>
            </w:r>
          </w:p>
        </w:tc>
        <w:tc>
          <w:tcPr>
            <w:tcW w:w="740" w:type="dxa"/>
            <w:noWrap/>
            <w:vAlign w:val="bottom"/>
            <w:hideMark/>
          </w:tcPr>
          <w:p w14:paraId="0961ACAF" w14:textId="378AF66E"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032A5AE4"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0AEDA1D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noWrap/>
            <w:vAlign w:val="bottom"/>
            <w:hideMark/>
          </w:tcPr>
          <w:p w14:paraId="596673B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4A73518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450B68DB"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1C277F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C8139D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664DD9BD" w14:textId="77777777" w:rsidTr="00F13960">
        <w:trPr>
          <w:trHeight w:val="285"/>
        </w:trPr>
        <w:tc>
          <w:tcPr>
            <w:tcW w:w="900" w:type="dxa"/>
            <w:noWrap/>
            <w:vAlign w:val="bottom"/>
            <w:hideMark/>
          </w:tcPr>
          <w:p w14:paraId="5762491C"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EL</w:t>
            </w:r>
          </w:p>
        </w:tc>
        <w:tc>
          <w:tcPr>
            <w:tcW w:w="740" w:type="dxa"/>
            <w:noWrap/>
            <w:vAlign w:val="bottom"/>
            <w:hideMark/>
          </w:tcPr>
          <w:p w14:paraId="709BA038" w14:textId="3E20990F"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44</w:t>
            </w:r>
          </w:p>
        </w:tc>
        <w:tc>
          <w:tcPr>
            <w:tcW w:w="740" w:type="dxa"/>
            <w:noWrap/>
            <w:vAlign w:val="bottom"/>
            <w:hideMark/>
          </w:tcPr>
          <w:p w14:paraId="1D5E7783" w14:textId="39E17DA1"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59</w:t>
            </w:r>
          </w:p>
        </w:tc>
        <w:tc>
          <w:tcPr>
            <w:tcW w:w="740" w:type="dxa"/>
            <w:noWrap/>
            <w:vAlign w:val="bottom"/>
            <w:hideMark/>
          </w:tcPr>
          <w:p w14:paraId="4C1B971C" w14:textId="407272D8"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78</w:t>
            </w:r>
          </w:p>
        </w:tc>
        <w:tc>
          <w:tcPr>
            <w:tcW w:w="740" w:type="dxa"/>
            <w:noWrap/>
            <w:vAlign w:val="bottom"/>
            <w:hideMark/>
          </w:tcPr>
          <w:p w14:paraId="5980E1B1" w14:textId="3C6E6C8B"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49</w:t>
            </w:r>
          </w:p>
        </w:tc>
        <w:tc>
          <w:tcPr>
            <w:tcW w:w="740" w:type="dxa"/>
            <w:noWrap/>
            <w:vAlign w:val="bottom"/>
            <w:hideMark/>
          </w:tcPr>
          <w:p w14:paraId="405F18F2" w14:textId="0CCE9549"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1B4CC6FF"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900" w:type="dxa"/>
            <w:noWrap/>
            <w:vAlign w:val="bottom"/>
            <w:hideMark/>
          </w:tcPr>
          <w:p w14:paraId="6B7AD843"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2C761F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1605786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AE9BC9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23F4181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3ACC4FDE" w14:textId="77777777" w:rsidTr="00F13960">
        <w:trPr>
          <w:trHeight w:val="285"/>
        </w:trPr>
        <w:tc>
          <w:tcPr>
            <w:tcW w:w="900" w:type="dxa"/>
            <w:noWrap/>
            <w:vAlign w:val="bottom"/>
            <w:hideMark/>
          </w:tcPr>
          <w:p w14:paraId="53A71342"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ED</w:t>
            </w:r>
          </w:p>
        </w:tc>
        <w:tc>
          <w:tcPr>
            <w:tcW w:w="740" w:type="dxa"/>
            <w:noWrap/>
            <w:vAlign w:val="bottom"/>
            <w:hideMark/>
          </w:tcPr>
          <w:p w14:paraId="4B9A9E85" w14:textId="150F58DA"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56</w:t>
            </w:r>
          </w:p>
        </w:tc>
        <w:tc>
          <w:tcPr>
            <w:tcW w:w="740" w:type="dxa"/>
            <w:noWrap/>
            <w:vAlign w:val="bottom"/>
            <w:hideMark/>
          </w:tcPr>
          <w:p w14:paraId="05C04277" w14:textId="3CCD4BB4"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64</w:t>
            </w:r>
          </w:p>
        </w:tc>
        <w:tc>
          <w:tcPr>
            <w:tcW w:w="740" w:type="dxa"/>
            <w:noWrap/>
            <w:vAlign w:val="bottom"/>
            <w:hideMark/>
          </w:tcPr>
          <w:p w14:paraId="3BC28328" w14:textId="266DDC16"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80</w:t>
            </w:r>
          </w:p>
        </w:tc>
        <w:tc>
          <w:tcPr>
            <w:tcW w:w="740" w:type="dxa"/>
            <w:noWrap/>
            <w:vAlign w:val="bottom"/>
            <w:hideMark/>
          </w:tcPr>
          <w:p w14:paraId="302E6AA7" w14:textId="272E3490"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58</w:t>
            </w:r>
          </w:p>
        </w:tc>
        <w:tc>
          <w:tcPr>
            <w:tcW w:w="740" w:type="dxa"/>
            <w:noWrap/>
            <w:vAlign w:val="bottom"/>
            <w:hideMark/>
          </w:tcPr>
          <w:p w14:paraId="7FBE4954" w14:textId="7FC177A1"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84</w:t>
            </w:r>
          </w:p>
        </w:tc>
        <w:tc>
          <w:tcPr>
            <w:tcW w:w="740" w:type="dxa"/>
            <w:noWrap/>
            <w:vAlign w:val="bottom"/>
            <w:hideMark/>
          </w:tcPr>
          <w:p w14:paraId="4210125A" w14:textId="34A1E01E"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900" w:type="dxa"/>
            <w:noWrap/>
            <w:vAlign w:val="bottom"/>
            <w:hideMark/>
          </w:tcPr>
          <w:p w14:paraId="7D9CE3D4"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06DD33C1"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F1730C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7B72EF0"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99095B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32988A00" w14:textId="77777777" w:rsidTr="00F13960">
        <w:trPr>
          <w:trHeight w:val="285"/>
        </w:trPr>
        <w:tc>
          <w:tcPr>
            <w:tcW w:w="900" w:type="dxa"/>
            <w:noWrap/>
            <w:vAlign w:val="bottom"/>
            <w:hideMark/>
          </w:tcPr>
          <w:p w14:paraId="4B20CF17"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GW100</w:t>
            </w:r>
          </w:p>
        </w:tc>
        <w:tc>
          <w:tcPr>
            <w:tcW w:w="740" w:type="dxa"/>
            <w:noWrap/>
            <w:vAlign w:val="bottom"/>
            <w:hideMark/>
          </w:tcPr>
          <w:p w14:paraId="44B57E38" w14:textId="7C164AB3"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59</w:t>
            </w:r>
          </w:p>
        </w:tc>
        <w:tc>
          <w:tcPr>
            <w:tcW w:w="740" w:type="dxa"/>
            <w:noWrap/>
            <w:vAlign w:val="bottom"/>
            <w:hideMark/>
          </w:tcPr>
          <w:p w14:paraId="01B81485" w14:textId="78366A85"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64</w:t>
            </w:r>
          </w:p>
        </w:tc>
        <w:tc>
          <w:tcPr>
            <w:tcW w:w="740" w:type="dxa"/>
            <w:noWrap/>
            <w:vAlign w:val="bottom"/>
            <w:hideMark/>
          </w:tcPr>
          <w:p w14:paraId="0DF7F48E" w14:textId="6E101E82"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79</w:t>
            </w:r>
          </w:p>
        </w:tc>
        <w:tc>
          <w:tcPr>
            <w:tcW w:w="740" w:type="dxa"/>
            <w:noWrap/>
            <w:vAlign w:val="bottom"/>
            <w:hideMark/>
          </w:tcPr>
          <w:p w14:paraId="7C6DB4F1" w14:textId="1A31438E"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87</w:t>
            </w:r>
          </w:p>
        </w:tc>
        <w:tc>
          <w:tcPr>
            <w:tcW w:w="740" w:type="dxa"/>
            <w:noWrap/>
            <w:vAlign w:val="bottom"/>
            <w:hideMark/>
          </w:tcPr>
          <w:p w14:paraId="17C36BBA" w14:textId="46042FFB"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44</w:t>
            </w:r>
          </w:p>
        </w:tc>
        <w:tc>
          <w:tcPr>
            <w:tcW w:w="740" w:type="dxa"/>
            <w:noWrap/>
            <w:vAlign w:val="bottom"/>
            <w:hideMark/>
          </w:tcPr>
          <w:p w14:paraId="3F0880E2" w14:textId="1DBB30B6"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37</w:t>
            </w:r>
          </w:p>
        </w:tc>
        <w:tc>
          <w:tcPr>
            <w:tcW w:w="900" w:type="dxa"/>
            <w:noWrap/>
            <w:vAlign w:val="bottom"/>
            <w:hideMark/>
          </w:tcPr>
          <w:p w14:paraId="44452E6D" w14:textId="768698C8"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2D12DAA6"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475ADDFB"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0402D18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B2E199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50491941" w14:textId="77777777" w:rsidTr="00F13960">
        <w:trPr>
          <w:trHeight w:val="285"/>
        </w:trPr>
        <w:tc>
          <w:tcPr>
            <w:tcW w:w="900" w:type="dxa"/>
            <w:noWrap/>
            <w:vAlign w:val="bottom"/>
            <w:hideMark/>
          </w:tcPr>
          <w:p w14:paraId="20F2FB3E"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proofErr w:type="spellStart"/>
            <w:r w:rsidRPr="00F13960">
              <w:rPr>
                <w:rFonts w:ascii="Arial" w:eastAsia="Times New Roman" w:hAnsi="Arial" w:cs="Arial"/>
                <w:color w:val="000000"/>
                <w:sz w:val="20"/>
                <w:szCs w:val="20"/>
                <w:lang w:val="fr-FR" w:eastAsia="fr-FR"/>
              </w:rPr>
              <w:t>Yd</w:t>
            </w:r>
            <w:proofErr w:type="spellEnd"/>
          </w:p>
        </w:tc>
        <w:tc>
          <w:tcPr>
            <w:tcW w:w="740" w:type="dxa"/>
            <w:noWrap/>
            <w:vAlign w:val="bottom"/>
            <w:hideMark/>
          </w:tcPr>
          <w:p w14:paraId="249D39D0" w14:textId="6B359849"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75</w:t>
            </w:r>
          </w:p>
        </w:tc>
        <w:tc>
          <w:tcPr>
            <w:tcW w:w="740" w:type="dxa"/>
            <w:noWrap/>
            <w:vAlign w:val="bottom"/>
            <w:hideMark/>
          </w:tcPr>
          <w:p w14:paraId="3EBFB48F" w14:textId="25CFDE14"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83</w:t>
            </w:r>
          </w:p>
        </w:tc>
        <w:tc>
          <w:tcPr>
            <w:tcW w:w="740" w:type="dxa"/>
            <w:noWrap/>
            <w:vAlign w:val="bottom"/>
            <w:hideMark/>
          </w:tcPr>
          <w:p w14:paraId="5B7E9D2D" w14:textId="0FBD1EA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87</w:t>
            </w:r>
          </w:p>
        </w:tc>
        <w:tc>
          <w:tcPr>
            <w:tcW w:w="740" w:type="dxa"/>
            <w:noWrap/>
            <w:vAlign w:val="bottom"/>
            <w:hideMark/>
          </w:tcPr>
          <w:p w14:paraId="2360AF46" w14:textId="0C7EDE20" w:rsidR="00F02547" w:rsidRPr="00F13960" w:rsidRDefault="00750D5A" w:rsidP="008A2E84">
            <w:pPr>
              <w:spacing w:after="0" w:line="240" w:lineRule="auto"/>
              <w:jc w:val="center"/>
              <w:rPr>
                <w:rFonts w:ascii="Arial" w:eastAsia="Times New Roman" w:hAnsi="Arial" w:cs="Arial"/>
                <w:b/>
                <w:color w:val="000000"/>
                <w:sz w:val="20"/>
                <w:szCs w:val="20"/>
                <w:lang w:val="fr-FR" w:eastAsia="fr-FR"/>
              </w:rPr>
            </w:pPr>
            <w:r w:rsidRPr="00F13960">
              <w:rPr>
                <w:rFonts w:ascii="Arial" w:eastAsia="Times New Roman" w:hAnsi="Arial" w:cs="Arial"/>
                <w:b/>
                <w:color w:val="000000"/>
                <w:sz w:val="20"/>
                <w:szCs w:val="20"/>
                <w:lang w:val="fr-FR" w:eastAsia="fr-FR"/>
              </w:rPr>
              <w:t>0.</w:t>
            </w:r>
            <w:r w:rsidR="00F02547" w:rsidRPr="00F13960">
              <w:rPr>
                <w:rFonts w:ascii="Arial" w:eastAsia="Times New Roman" w:hAnsi="Arial" w:cs="Arial"/>
                <w:b/>
                <w:color w:val="000000"/>
                <w:sz w:val="20"/>
                <w:szCs w:val="20"/>
                <w:lang w:val="fr-FR" w:eastAsia="fr-FR"/>
              </w:rPr>
              <w:t>97</w:t>
            </w:r>
          </w:p>
        </w:tc>
        <w:tc>
          <w:tcPr>
            <w:tcW w:w="740" w:type="dxa"/>
            <w:noWrap/>
            <w:vAlign w:val="bottom"/>
            <w:hideMark/>
          </w:tcPr>
          <w:p w14:paraId="4F30E7CC" w14:textId="27578AA2"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45</w:t>
            </w:r>
          </w:p>
        </w:tc>
        <w:tc>
          <w:tcPr>
            <w:tcW w:w="740" w:type="dxa"/>
            <w:noWrap/>
            <w:vAlign w:val="bottom"/>
            <w:hideMark/>
          </w:tcPr>
          <w:p w14:paraId="22394F02" w14:textId="72217314"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54</w:t>
            </w:r>
          </w:p>
        </w:tc>
        <w:tc>
          <w:tcPr>
            <w:tcW w:w="900" w:type="dxa"/>
            <w:noWrap/>
            <w:vAlign w:val="bottom"/>
            <w:hideMark/>
          </w:tcPr>
          <w:p w14:paraId="0B98C7A9" w14:textId="68019D39"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88</w:t>
            </w:r>
          </w:p>
        </w:tc>
        <w:tc>
          <w:tcPr>
            <w:tcW w:w="740" w:type="dxa"/>
            <w:noWrap/>
            <w:vAlign w:val="bottom"/>
            <w:hideMark/>
          </w:tcPr>
          <w:p w14:paraId="7F306041" w14:textId="2E5192C2"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7DE990D9"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0466E320"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A23F3B3"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3314ACE9" w14:textId="77777777" w:rsidTr="00F13960">
        <w:trPr>
          <w:trHeight w:val="285"/>
        </w:trPr>
        <w:tc>
          <w:tcPr>
            <w:tcW w:w="900" w:type="dxa"/>
            <w:noWrap/>
            <w:vAlign w:val="bottom"/>
            <w:hideMark/>
          </w:tcPr>
          <w:p w14:paraId="1F5ABCF0"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DA</w:t>
            </w:r>
          </w:p>
        </w:tc>
        <w:tc>
          <w:tcPr>
            <w:tcW w:w="740" w:type="dxa"/>
            <w:noWrap/>
            <w:vAlign w:val="bottom"/>
            <w:hideMark/>
          </w:tcPr>
          <w:p w14:paraId="770F135C" w14:textId="32FD3DF8"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62</w:t>
            </w:r>
          </w:p>
        </w:tc>
        <w:tc>
          <w:tcPr>
            <w:tcW w:w="740" w:type="dxa"/>
            <w:noWrap/>
            <w:vAlign w:val="bottom"/>
            <w:hideMark/>
          </w:tcPr>
          <w:p w14:paraId="186697E7" w14:textId="06DF011B"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84</w:t>
            </w:r>
          </w:p>
        </w:tc>
        <w:tc>
          <w:tcPr>
            <w:tcW w:w="740" w:type="dxa"/>
            <w:noWrap/>
            <w:vAlign w:val="bottom"/>
            <w:hideMark/>
          </w:tcPr>
          <w:p w14:paraId="32DE268D" w14:textId="59CFA3A7"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73</w:t>
            </w:r>
          </w:p>
        </w:tc>
        <w:tc>
          <w:tcPr>
            <w:tcW w:w="740" w:type="dxa"/>
            <w:noWrap/>
            <w:vAlign w:val="bottom"/>
            <w:hideMark/>
          </w:tcPr>
          <w:p w14:paraId="0F79BA74" w14:textId="040C8A49"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82</w:t>
            </w:r>
          </w:p>
        </w:tc>
        <w:tc>
          <w:tcPr>
            <w:tcW w:w="740" w:type="dxa"/>
            <w:noWrap/>
            <w:vAlign w:val="bottom"/>
            <w:hideMark/>
          </w:tcPr>
          <w:p w14:paraId="4BF2B5B4" w14:textId="2FCD17C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36</w:t>
            </w:r>
          </w:p>
        </w:tc>
        <w:tc>
          <w:tcPr>
            <w:tcW w:w="740" w:type="dxa"/>
            <w:noWrap/>
            <w:vAlign w:val="bottom"/>
            <w:hideMark/>
          </w:tcPr>
          <w:p w14:paraId="393191C2" w14:textId="2991BAA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33</w:t>
            </w:r>
          </w:p>
        </w:tc>
        <w:tc>
          <w:tcPr>
            <w:tcW w:w="900" w:type="dxa"/>
            <w:noWrap/>
            <w:vAlign w:val="bottom"/>
            <w:hideMark/>
          </w:tcPr>
          <w:p w14:paraId="3DB19160" w14:textId="15697AFB"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72</w:t>
            </w:r>
          </w:p>
        </w:tc>
        <w:tc>
          <w:tcPr>
            <w:tcW w:w="740" w:type="dxa"/>
            <w:noWrap/>
            <w:vAlign w:val="bottom"/>
            <w:hideMark/>
          </w:tcPr>
          <w:p w14:paraId="6022D7CE" w14:textId="3F07F295"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88</w:t>
            </w:r>
          </w:p>
        </w:tc>
        <w:tc>
          <w:tcPr>
            <w:tcW w:w="740" w:type="dxa"/>
            <w:noWrap/>
            <w:vAlign w:val="bottom"/>
            <w:hideMark/>
          </w:tcPr>
          <w:p w14:paraId="33BDE210" w14:textId="373FB274"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16964CB1"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1F08E3B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132A56DB" w14:textId="77777777" w:rsidTr="00F13960">
        <w:trPr>
          <w:trHeight w:val="285"/>
        </w:trPr>
        <w:tc>
          <w:tcPr>
            <w:tcW w:w="900" w:type="dxa"/>
            <w:noWrap/>
            <w:vAlign w:val="bottom"/>
            <w:hideMark/>
          </w:tcPr>
          <w:p w14:paraId="3B3A40C9"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DS</w:t>
            </w:r>
          </w:p>
        </w:tc>
        <w:tc>
          <w:tcPr>
            <w:tcW w:w="740" w:type="dxa"/>
            <w:noWrap/>
            <w:vAlign w:val="bottom"/>
            <w:hideMark/>
          </w:tcPr>
          <w:p w14:paraId="44D42634" w14:textId="5DF25AA6"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55</w:t>
            </w:r>
          </w:p>
        </w:tc>
        <w:tc>
          <w:tcPr>
            <w:tcW w:w="740" w:type="dxa"/>
            <w:noWrap/>
            <w:vAlign w:val="bottom"/>
            <w:hideMark/>
          </w:tcPr>
          <w:p w14:paraId="19CA61CC" w14:textId="6B116B97"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83</w:t>
            </w:r>
          </w:p>
        </w:tc>
        <w:tc>
          <w:tcPr>
            <w:tcW w:w="740" w:type="dxa"/>
            <w:noWrap/>
            <w:vAlign w:val="bottom"/>
            <w:hideMark/>
          </w:tcPr>
          <w:p w14:paraId="04169ED6" w14:textId="7DD587C5"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69</w:t>
            </w:r>
          </w:p>
        </w:tc>
        <w:tc>
          <w:tcPr>
            <w:tcW w:w="740" w:type="dxa"/>
            <w:noWrap/>
            <w:vAlign w:val="bottom"/>
            <w:hideMark/>
          </w:tcPr>
          <w:p w14:paraId="72D83568" w14:textId="70CFA837"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80</w:t>
            </w:r>
          </w:p>
        </w:tc>
        <w:tc>
          <w:tcPr>
            <w:tcW w:w="740" w:type="dxa"/>
            <w:noWrap/>
            <w:vAlign w:val="bottom"/>
            <w:hideMark/>
          </w:tcPr>
          <w:p w14:paraId="6B85C36D" w14:textId="4F8313E4"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28</w:t>
            </w:r>
          </w:p>
        </w:tc>
        <w:tc>
          <w:tcPr>
            <w:tcW w:w="740" w:type="dxa"/>
            <w:noWrap/>
            <w:vAlign w:val="bottom"/>
            <w:hideMark/>
          </w:tcPr>
          <w:p w14:paraId="05A71520" w14:textId="5816D605"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25</w:t>
            </w:r>
          </w:p>
        </w:tc>
        <w:tc>
          <w:tcPr>
            <w:tcW w:w="900" w:type="dxa"/>
            <w:noWrap/>
            <w:vAlign w:val="bottom"/>
            <w:hideMark/>
          </w:tcPr>
          <w:p w14:paraId="75E22F15" w14:textId="280E27C9"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71</w:t>
            </w:r>
          </w:p>
        </w:tc>
        <w:tc>
          <w:tcPr>
            <w:tcW w:w="740" w:type="dxa"/>
            <w:noWrap/>
            <w:vAlign w:val="bottom"/>
            <w:hideMark/>
          </w:tcPr>
          <w:p w14:paraId="01353D42" w14:textId="56C42026"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87</w:t>
            </w:r>
          </w:p>
        </w:tc>
        <w:tc>
          <w:tcPr>
            <w:tcW w:w="740" w:type="dxa"/>
            <w:noWrap/>
            <w:vAlign w:val="bottom"/>
            <w:hideMark/>
          </w:tcPr>
          <w:p w14:paraId="727BAD91" w14:textId="7E465D6B" w:rsidR="00F02547" w:rsidRPr="00F13960" w:rsidRDefault="00F02547" w:rsidP="008A2E84">
            <w:pPr>
              <w:spacing w:after="0" w:line="240" w:lineRule="auto"/>
              <w:jc w:val="center"/>
              <w:rPr>
                <w:rFonts w:ascii="Arial" w:eastAsia="Times New Roman" w:hAnsi="Arial" w:cs="Arial"/>
                <w:b/>
                <w:color w:val="000000"/>
                <w:sz w:val="20"/>
                <w:szCs w:val="20"/>
                <w:lang w:val="fr-FR" w:eastAsia="fr-FR"/>
              </w:rPr>
            </w:pPr>
            <w:r w:rsidRPr="00F13960">
              <w:rPr>
                <w:rFonts w:ascii="Arial" w:eastAsia="Times New Roman" w:hAnsi="Arial" w:cs="Arial"/>
                <w:b/>
                <w:color w:val="000000"/>
                <w:sz w:val="20"/>
                <w:szCs w:val="20"/>
                <w:lang w:val="fr-FR" w:eastAsia="fr-FR"/>
              </w:rPr>
              <w:t>0</w:t>
            </w:r>
            <w:r w:rsidR="00750D5A" w:rsidRPr="00F13960">
              <w:rPr>
                <w:rFonts w:ascii="Arial" w:eastAsia="Times New Roman" w:hAnsi="Arial" w:cs="Arial"/>
                <w:b/>
                <w:color w:val="000000"/>
                <w:sz w:val="20"/>
                <w:szCs w:val="20"/>
                <w:lang w:val="fr-FR" w:eastAsia="fr-FR"/>
              </w:rPr>
              <w:t>.</w:t>
            </w:r>
            <w:r w:rsidRPr="00F13960">
              <w:rPr>
                <w:rFonts w:ascii="Arial" w:eastAsia="Times New Roman" w:hAnsi="Arial" w:cs="Arial"/>
                <w:b/>
                <w:color w:val="000000"/>
                <w:sz w:val="20"/>
                <w:szCs w:val="20"/>
                <w:lang w:val="fr-FR" w:eastAsia="fr-FR"/>
              </w:rPr>
              <w:t>97</w:t>
            </w:r>
          </w:p>
        </w:tc>
        <w:tc>
          <w:tcPr>
            <w:tcW w:w="740" w:type="dxa"/>
            <w:noWrap/>
            <w:vAlign w:val="bottom"/>
            <w:hideMark/>
          </w:tcPr>
          <w:p w14:paraId="0DBE9468" w14:textId="2434E433"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63501B0B"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r>
      <w:tr w:rsidR="00F02547" w:rsidRPr="00F13960" w14:paraId="253F5395" w14:textId="77777777" w:rsidTr="00F13960">
        <w:trPr>
          <w:trHeight w:val="285"/>
        </w:trPr>
        <w:tc>
          <w:tcPr>
            <w:tcW w:w="900" w:type="dxa"/>
            <w:noWrap/>
            <w:vAlign w:val="bottom"/>
            <w:hideMark/>
          </w:tcPr>
          <w:p w14:paraId="5A52CB93"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NL</w:t>
            </w:r>
          </w:p>
        </w:tc>
        <w:tc>
          <w:tcPr>
            <w:tcW w:w="740" w:type="dxa"/>
            <w:noWrap/>
            <w:vAlign w:val="bottom"/>
            <w:hideMark/>
          </w:tcPr>
          <w:p w14:paraId="3558B333" w14:textId="35D86FF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20</w:t>
            </w:r>
          </w:p>
        </w:tc>
        <w:tc>
          <w:tcPr>
            <w:tcW w:w="740" w:type="dxa"/>
            <w:noWrap/>
            <w:vAlign w:val="bottom"/>
            <w:hideMark/>
          </w:tcPr>
          <w:p w14:paraId="26DF7B7A" w14:textId="000D39F8"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20</w:t>
            </w:r>
          </w:p>
        </w:tc>
        <w:tc>
          <w:tcPr>
            <w:tcW w:w="740" w:type="dxa"/>
            <w:noWrap/>
            <w:vAlign w:val="bottom"/>
            <w:hideMark/>
          </w:tcPr>
          <w:p w14:paraId="6690C9E4" w14:textId="3C0654A4"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05</w:t>
            </w:r>
          </w:p>
        </w:tc>
        <w:tc>
          <w:tcPr>
            <w:tcW w:w="740" w:type="dxa"/>
            <w:noWrap/>
            <w:vAlign w:val="bottom"/>
            <w:hideMark/>
          </w:tcPr>
          <w:p w14:paraId="5B9E101C" w14:textId="1CB3C7BA"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15</w:t>
            </w:r>
          </w:p>
        </w:tc>
        <w:tc>
          <w:tcPr>
            <w:tcW w:w="740" w:type="dxa"/>
            <w:noWrap/>
            <w:vAlign w:val="bottom"/>
            <w:hideMark/>
          </w:tcPr>
          <w:p w14:paraId="59DCEBAB" w14:textId="7FE01AD5"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16</w:t>
            </w:r>
          </w:p>
        </w:tc>
        <w:tc>
          <w:tcPr>
            <w:tcW w:w="740" w:type="dxa"/>
            <w:noWrap/>
            <w:vAlign w:val="bottom"/>
            <w:hideMark/>
          </w:tcPr>
          <w:p w14:paraId="0B49F5BC" w14:textId="2DB35A94"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35</w:t>
            </w:r>
          </w:p>
        </w:tc>
        <w:tc>
          <w:tcPr>
            <w:tcW w:w="900" w:type="dxa"/>
            <w:noWrap/>
            <w:vAlign w:val="bottom"/>
            <w:hideMark/>
          </w:tcPr>
          <w:p w14:paraId="2F64F561" w14:textId="444766C5"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26</w:t>
            </w:r>
          </w:p>
        </w:tc>
        <w:tc>
          <w:tcPr>
            <w:tcW w:w="740" w:type="dxa"/>
            <w:noWrap/>
            <w:vAlign w:val="bottom"/>
            <w:hideMark/>
          </w:tcPr>
          <w:p w14:paraId="4F265A09" w14:textId="3F232088"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04</w:t>
            </w:r>
          </w:p>
        </w:tc>
        <w:tc>
          <w:tcPr>
            <w:tcW w:w="740" w:type="dxa"/>
            <w:noWrap/>
            <w:vAlign w:val="bottom"/>
            <w:hideMark/>
          </w:tcPr>
          <w:p w14:paraId="0D58F645" w14:textId="6196E317"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01</w:t>
            </w:r>
          </w:p>
        </w:tc>
        <w:tc>
          <w:tcPr>
            <w:tcW w:w="740" w:type="dxa"/>
            <w:noWrap/>
            <w:vAlign w:val="bottom"/>
            <w:hideMark/>
          </w:tcPr>
          <w:p w14:paraId="28EC773B" w14:textId="3B6A847B"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05</w:t>
            </w:r>
          </w:p>
        </w:tc>
        <w:tc>
          <w:tcPr>
            <w:tcW w:w="740" w:type="dxa"/>
            <w:noWrap/>
            <w:vAlign w:val="bottom"/>
            <w:hideMark/>
          </w:tcPr>
          <w:p w14:paraId="12A6D4D3" w14:textId="0D5BC887"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r>
    </w:tbl>
    <w:p w14:paraId="02079C44" w14:textId="5BA23413" w:rsidR="0071046C" w:rsidRPr="00F13960" w:rsidRDefault="0071046C" w:rsidP="00053D56">
      <w:pPr>
        <w:spacing w:after="0"/>
        <w:jc w:val="both"/>
        <w:rPr>
          <w:rFonts w:ascii="Arial" w:hAnsi="Arial" w:cs="Arial"/>
          <w:i/>
          <w:iCs/>
          <w:sz w:val="18"/>
          <w:szCs w:val="18"/>
        </w:rPr>
      </w:pPr>
      <w:r w:rsidRPr="00F13960">
        <w:rPr>
          <w:rStyle w:val="Strong"/>
          <w:rFonts w:ascii="Arial" w:hAnsi="Arial" w:cs="Arial"/>
          <w:b w:val="0"/>
          <w:bCs w:val="0"/>
          <w:i/>
          <w:iCs/>
          <w:sz w:val="18"/>
          <w:szCs w:val="18"/>
        </w:rPr>
        <w:t>SDB:</w:t>
      </w:r>
      <w:r w:rsidRPr="00F13960">
        <w:rPr>
          <w:rFonts w:ascii="Arial" w:hAnsi="Arial" w:cs="Arial"/>
          <w:i/>
          <w:iCs/>
          <w:sz w:val="18"/>
          <w:szCs w:val="18"/>
        </w:rPr>
        <w:t xml:space="preserve"> Stem diameter at base; </w:t>
      </w:r>
      <w:r w:rsidRPr="00F13960">
        <w:rPr>
          <w:rStyle w:val="Strong"/>
          <w:rFonts w:ascii="Arial" w:hAnsi="Arial" w:cs="Arial"/>
          <w:b w:val="0"/>
          <w:bCs w:val="0"/>
          <w:i/>
          <w:iCs/>
          <w:sz w:val="18"/>
          <w:szCs w:val="18"/>
        </w:rPr>
        <w:t>EH:</w:t>
      </w:r>
      <w:r w:rsidRPr="00F13960">
        <w:rPr>
          <w:rFonts w:ascii="Arial" w:hAnsi="Arial" w:cs="Arial"/>
          <w:i/>
          <w:iCs/>
          <w:sz w:val="18"/>
          <w:szCs w:val="18"/>
        </w:rPr>
        <w:t xml:space="preserve"> Ear height; </w:t>
      </w:r>
      <w:r w:rsidRPr="00F13960">
        <w:rPr>
          <w:rStyle w:val="Strong"/>
          <w:rFonts w:ascii="Arial" w:hAnsi="Arial" w:cs="Arial"/>
          <w:b w:val="0"/>
          <w:bCs w:val="0"/>
          <w:i/>
          <w:iCs/>
          <w:sz w:val="18"/>
          <w:szCs w:val="18"/>
        </w:rPr>
        <w:t>PH:</w:t>
      </w:r>
      <w:r w:rsidRPr="00F13960">
        <w:rPr>
          <w:rFonts w:ascii="Arial" w:hAnsi="Arial" w:cs="Arial"/>
          <w:i/>
          <w:iCs/>
          <w:sz w:val="18"/>
          <w:szCs w:val="18"/>
        </w:rPr>
        <w:t xml:space="preserve"> Plant height; </w:t>
      </w:r>
      <w:r w:rsidRPr="00F13960">
        <w:rPr>
          <w:rStyle w:val="Strong"/>
          <w:rFonts w:ascii="Arial" w:hAnsi="Arial" w:cs="Arial"/>
          <w:b w:val="0"/>
          <w:bCs w:val="0"/>
          <w:i/>
          <w:iCs/>
          <w:sz w:val="18"/>
          <w:szCs w:val="18"/>
        </w:rPr>
        <w:t>EW:</w:t>
      </w:r>
      <w:r w:rsidRPr="00F13960">
        <w:rPr>
          <w:rFonts w:ascii="Arial" w:hAnsi="Arial" w:cs="Arial"/>
          <w:i/>
          <w:iCs/>
          <w:sz w:val="18"/>
          <w:szCs w:val="18"/>
        </w:rPr>
        <w:t xml:space="preserve"> Ear weight; </w:t>
      </w:r>
      <w:r w:rsidRPr="00F13960">
        <w:rPr>
          <w:rStyle w:val="Strong"/>
          <w:rFonts w:ascii="Arial" w:hAnsi="Arial" w:cs="Arial"/>
          <w:b w:val="0"/>
          <w:bCs w:val="0"/>
          <w:i/>
          <w:iCs/>
          <w:sz w:val="18"/>
          <w:szCs w:val="18"/>
        </w:rPr>
        <w:t>EL:</w:t>
      </w:r>
      <w:r w:rsidRPr="00F13960">
        <w:rPr>
          <w:rFonts w:ascii="Arial" w:hAnsi="Arial" w:cs="Arial"/>
          <w:b/>
          <w:bCs/>
          <w:i/>
          <w:iCs/>
          <w:sz w:val="18"/>
          <w:szCs w:val="18"/>
        </w:rPr>
        <w:t xml:space="preserve"> </w:t>
      </w:r>
      <w:r w:rsidRPr="00F13960">
        <w:rPr>
          <w:rFonts w:ascii="Arial" w:hAnsi="Arial" w:cs="Arial"/>
          <w:i/>
          <w:iCs/>
          <w:sz w:val="18"/>
          <w:szCs w:val="18"/>
        </w:rPr>
        <w:t xml:space="preserve">Ear length; </w:t>
      </w:r>
      <w:r w:rsidRPr="00F13960">
        <w:rPr>
          <w:rStyle w:val="Strong"/>
          <w:rFonts w:ascii="Arial" w:hAnsi="Arial" w:cs="Arial"/>
          <w:b w:val="0"/>
          <w:bCs w:val="0"/>
          <w:i/>
          <w:iCs/>
          <w:sz w:val="18"/>
          <w:szCs w:val="18"/>
        </w:rPr>
        <w:t>ED:</w:t>
      </w:r>
      <w:r w:rsidRPr="00F13960">
        <w:rPr>
          <w:rFonts w:ascii="Arial" w:hAnsi="Arial" w:cs="Arial"/>
          <w:i/>
          <w:iCs/>
          <w:sz w:val="18"/>
          <w:szCs w:val="18"/>
        </w:rPr>
        <w:t xml:space="preserve"> Ear diameter; </w:t>
      </w:r>
      <w:r w:rsidRPr="00F13960">
        <w:rPr>
          <w:rStyle w:val="Strong"/>
          <w:rFonts w:ascii="Arial" w:hAnsi="Arial" w:cs="Arial"/>
          <w:b w:val="0"/>
          <w:bCs w:val="0"/>
          <w:i/>
          <w:iCs/>
          <w:sz w:val="18"/>
          <w:szCs w:val="18"/>
        </w:rPr>
        <w:t>GW100:</w:t>
      </w:r>
      <w:r w:rsidRPr="00F13960">
        <w:rPr>
          <w:rFonts w:ascii="Arial" w:hAnsi="Arial" w:cs="Arial"/>
          <w:i/>
          <w:iCs/>
          <w:sz w:val="18"/>
          <w:szCs w:val="18"/>
        </w:rPr>
        <w:t xml:space="preserve"> 100-grain weight; </w:t>
      </w:r>
      <w:r w:rsidRPr="00F13960">
        <w:rPr>
          <w:rStyle w:val="Strong"/>
          <w:rFonts w:ascii="Arial" w:hAnsi="Arial" w:cs="Arial"/>
          <w:b w:val="0"/>
          <w:bCs w:val="0"/>
          <w:i/>
          <w:iCs/>
          <w:sz w:val="18"/>
          <w:szCs w:val="18"/>
        </w:rPr>
        <w:t>Yd:</w:t>
      </w:r>
      <w:r w:rsidRPr="00F13960">
        <w:rPr>
          <w:rFonts w:ascii="Arial" w:hAnsi="Arial" w:cs="Arial"/>
          <w:i/>
          <w:iCs/>
          <w:sz w:val="18"/>
          <w:szCs w:val="18"/>
        </w:rPr>
        <w:t xml:space="preserve"> Yield</w:t>
      </w:r>
      <w:r w:rsidR="001227C0" w:rsidRPr="00F13960">
        <w:rPr>
          <w:rFonts w:ascii="Arial" w:hAnsi="Arial" w:cs="Arial"/>
          <w:i/>
          <w:iCs/>
          <w:sz w:val="18"/>
          <w:szCs w:val="18"/>
        </w:rPr>
        <w:t>;</w:t>
      </w:r>
      <w:r w:rsidRPr="00F13960">
        <w:rPr>
          <w:rFonts w:ascii="Arial" w:hAnsi="Arial" w:cs="Arial"/>
          <w:i/>
          <w:iCs/>
          <w:sz w:val="18"/>
          <w:szCs w:val="18"/>
        </w:rPr>
        <w:t xml:space="preserve"> </w:t>
      </w:r>
      <w:r w:rsidRPr="00F13960">
        <w:rPr>
          <w:rStyle w:val="Strong"/>
          <w:rFonts w:ascii="Arial" w:hAnsi="Arial" w:cs="Arial"/>
          <w:b w:val="0"/>
          <w:bCs w:val="0"/>
          <w:i/>
          <w:iCs/>
          <w:sz w:val="18"/>
          <w:szCs w:val="18"/>
        </w:rPr>
        <w:t>DA:</w:t>
      </w:r>
      <w:r w:rsidRPr="00F13960">
        <w:rPr>
          <w:rFonts w:ascii="Arial" w:hAnsi="Arial" w:cs="Arial"/>
          <w:i/>
          <w:iCs/>
          <w:sz w:val="18"/>
          <w:szCs w:val="18"/>
        </w:rPr>
        <w:t xml:space="preserve"> Days to anthesis; </w:t>
      </w:r>
      <w:r w:rsidRPr="00F13960">
        <w:rPr>
          <w:rStyle w:val="Strong"/>
          <w:rFonts w:ascii="Arial" w:hAnsi="Arial" w:cs="Arial"/>
          <w:b w:val="0"/>
          <w:bCs w:val="0"/>
          <w:i/>
          <w:iCs/>
          <w:sz w:val="18"/>
          <w:szCs w:val="18"/>
        </w:rPr>
        <w:t>DS:</w:t>
      </w:r>
      <w:r w:rsidRPr="00F13960">
        <w:rPr>
          <w:rFonts w:ascii="Arial" w:hAnsi="Arial" w:cs="Arial"/>
          <w:i/>
          <w:iCs/>
          <w:sz w:val="18"/>
          <w:szCs w:val="18"/>
        </w:rPr>
        <w:t xml:space="preserve"> Days to silking; </w:t>
      </w:r>
      <w:r w:rsidRPr="00F13960">
        <w:rPr>
          <w:rStyle w:val="Strong"/>
          <w:rFonts w:ascii="Arial" w:hAnsi="Arial" w:cs="Arial"/>
          <w:b w:val="0"/>
          <w:bCs w:val="0"/>
          <w:i/>
          <w:iCs/>
          <w:sz w:val="18"/>
          <w:szCs w:val="18"/>
        </w:rPr>
        <w:t>NL:</w:t>
      </w:r>
      <w:r w:rsidRPr="00F13960">
        <w:rPr>
          <w:rFonts w:ascii="Arial" w:hAnsi="Arial" w:cs="Arial"/>
          <w:b/>
          <w:bCs/>
          <w:i/>
          <w:iCs/>
          <w:sz w:val="18"/>
          <w:szCs w:val="18"/>
        </w:rPr>
        <w:t xml:space="preserve"> </w:t>
      </w:r>
      <w:r w:rsidRPr="00F13960">
        <w:rPr>
          <w:rFonts w:ascii="Arial" w:hAnsi="Arial" w:cs="Arial"/>
          <w:i/>
          <w:iCs/>
          <w:sz w:val="18"/>
          <w:szCs w:val="18"/>
        </w:rPr>
        <w:t>Number of leaves. Bold values indicate the most significant correlations.</w:t>
      </w:r>
    </w:p>
    <w:p w14:paraId="72952F47" w14:textId="77777777" w:rsidR="00E01A8D" w:rsidRPr="00E01A8D" w:rsidRDefault="00E01A8D" w:rsidP="00024043">
      <w:pPr>
        <w:pStyle w:val="Heading2"/>
        <w:rPr>
          <w:sz w:val="20"/>
          <w:szCs w:val="20"/>
          <w:lang w:eastAsia="en-GB"/>
        </w:rPr>
      </w:pPr>
    </w:p>
    <w:p w14:paraId="521B776E" w14:textId="53189EE9" w:rsidR="000B5454" w:rsidRPr="000B5454" w:rsidRDefault="008359B0" w:rsidP="00024043">
      <w:pPr>
        <w:pStyle w:val="Heading2"/>
        <w:rPr>
          <w:lang w:eastAsia="en-GB"/>
        </w:rPr>
      </w:pPr>
      <w:r w:rsidRPr="000B5454">
        <w:rPr>
          <w:lang w:eastAsia="en-GB"/>
        </w:rPr>
        <w:t>3.4 Structuring of Inter-Line Diversity</w:t>
      </w:r>
    </w:p>
    <w:p w14:paraId="1D6EED63" w14:textId="77777777" w:rsidR="00E01A8D" w:rsidRDefault="00E01A8D" w:rsidP="00B30F9A">
      <w:pPr>
        <w:pStyle w:val="Heading3"/>
      </w:pPr>
    </w:p>
    <w:p w14:paraId="02C199CC" w14:textId="6043A071" w:rsidR="000B5454" w:rsidRDefault="008359B0" w:rsidP="00B30F9A">
      <w:pPr>
        <w:pStyle w:val="Heading3"/>
      </w:pPr>
      <w:r w:rsidRPr="00E42DF7">
        <w:t>3.4.1 Selection of Principal Axes</w:t>
      </w:r>
    </w:p>
    <w:p w14:paraId="014DAC97" w14:textId="77777777" w:rsidR="00E01A8D" w:rsidRPr="00E01A8D" w:rsidRDefault="00E01A8D" w:rsidP="00E01A8D">
      <w:pPr>
        <w:spacing w:after="0"/>
        <w:rPr>
          <w:rFonts w:ascii="Arial" w:hAnsi="Arial" w:cs="Arial"/>
          <w:sz w:val="20"/>
          <w:szCs w:val="18"/>
        </w:rPr>
      </w:pPr>
    </w:p>
    <w:p w14:paraId="1A24D3EE" w14:textId="2BE810EA" w:rsidR="00312E86" w:rsidRPr="00E42DF7" w:rsidRDefault="000B5454" w:rsidP="00E01A8D">
      <w:pPr>
        <w:spacing w:after="0"/>
        <w:jc w:val="both"/>
        <w:rPr>
          <w:rFonts w:ascii="Arial" w:hAnsi="Arial" w:cs="Arial"/>
          <w:sz w:val="20"/>
          <w:szCs w:val="20"/>
          <w:lang w:eastAsia="en-GB"/>
        </w:rPr>
      </w:pPr>
      <w:r w:rsidRPr="006E11AD">
        <w:rPr>
          <w:rFonts w:ascii="Arial" w:hAnsi="Arial" w:cs="Arial"/>
          <w:sz w:val="20"/>
          <w:szCs w:val="20"/>
          <w:lang w:eastAsia="en-GB"/>
        </w:rPr>
        <w:t>Table 4 presents the eigenvalues and the percentage of variance explained by each axis of the principal component analysis (PCA). In total, two axes were sufficient to represent the genetic diversity within the studied line population. According to the Kaiser criterion (Kaiser, 1974), only axes with eigenvalues greater than 1 should be retained for interpretation. Accordingly, the two axes with eigenvalues greater than 1 were selected to describe the overall variability among the eight studied varieties. These axes account for 80.75</w:t>
      </w:r>
      <w:r w:rsidR="00E01A8D">
        <w:rPr>
          <w:rFonts w:ascii="Arial" w:hAnsi="Arial" w:cs="Arial"/>
          <w:sz w:val="20"/>
          <w:szCs w:val="20"/>
          <w:lang w:eastAsia="en-GB"/>
        </w:rPr>
        <w:t xml:space="preserve"> </w:t>
      </w:r>
      <w:r w:rsidRPr="006E11AD">
        <w:rPr>
          <w:rFonts w:ascii="Arial" w:hAnsi="Arial" w:cs="Arial"/>
          <w:sz w:val="20"/>
          <w:szCs w:val="20"/>
          <w:lang w:eastAsia="en-GB"/>
        </w:rPr>
        <w:t>% of the total variance, with 65.20</w:t>
      </w:r>
      <w:r w:rsidR="00E01A8D">
        <w:rPr>
          <w:rFonts w:ascii="Arial" w:hAnsi="Arial" w:cs="Arial"/>
          <w:sz w:val="20"/>
          <w:szCs w:val="20"/>
          <w:lang w:eastAsia="en-GB"/>
        </w:rPr>
        <w:t xml:space="preserve"> </w:t>
      </w:r>
      <w:r w:rsidRPr="006E11AD">
        <w:rPr>
          <w:rFonts w:ascii="Arial" w:hAnsi="Arial" w:cs="Arial"/>
          <w:sz w:val="20"/>
          <w:szCs w:val="20"/>
          <w:lang w:eastAsia="en-GB"/>
        </w:rPr>
        <w:t>% explained by the first axis and 15.54</w:t>
      </w:r>
      <w:r w:rsidR="00E01A8D">
        <w:rPr>
          <w:rFonts w:ascii="Arial" w:hAnsi="Arial" w:cs="Arial"/>
          <w:sz w:val="20"/>
          <w:szCs w:val="20"/>
          <w:lang w:eastAsia="en-GB"/>
        </w:rPr>
        <w:t xml:space="preserve"> </w:t>
      </w:r>
      <w:r w:rsidRPr="006E11AD">
        <w:rPr>
          <w:rFonts w:ascii="Arial" w:hAnsi="Arial" w:cs="Arial"/>
          <w:sz w:val="20"/>
          <w:szCs w:val="20"/>
          <w:lang w:eastAsia="en-GB"/>
        </w:rPr>
        <w:t>% by the second axis. Examination of the variable loadings reported in this table reveals the relationships between variables and axes. The first axis, which is the principal axis, is positively associated with all parameters, whereas the number of leaves is negatively correlated with axis 2. Male and female flowering times are negatively correlated with axis 1.</w:t>
      </w:r>
    </w:p>
    <w:p w14:paraId="34D4B08E" w14:textId="77777777" w:rsidR="00E01A8D" w:rsidRDefault="00E01A8D" w:rsidP="00E01A8D">
      <w:pPr>
        <w:spacing w:after="0" w:line="240" w:lineRule="auto"/>
        <w:jc w:val="both"/>
        <w:rPr>
          <w:rFonts w:ascii="Arial" w:eastAsia="Times New Roman" w:hAnsi="Arial" w:cs="Arial"/>
          <w:b/>
          <w:bCs/>
          <w:sz w:val="20"/>
          <w:szCs w:val="20"/>
          <w:lang w:eastAsia="en-GB"/>
        </w:rPr>
      </w:pPr>
    </w:p>
    <w:p w14:paraId="3752A583" w14:textId="77777777" w:rsidR="00E01A8D" w:rsidRDefault="00E01A8D" w:rsidP="00E01A8D">
      <w:pPr>
        <w:spacing w:after="0" w:line="240" w:lineRule="auto"/>
        <w:jc w:val="both"/>
        <w:rPr>
          <w:rFonts w:ascii="Arial" w:eastAsia="Times New Roman" w:hAnsi="Arial" w:cs="Arial"/>
          <w:b/>
          <w:bCs/>
          <w:sz w:val="20"/>
          <w:szCs w:val="20"/>
          <w:lang w:eastAsia="en-GB"/>
        </w:rPr>
      </w:pPr>
    </w:p>
    <w:p w14:paraId="561A328E" w14:textId="77777777" w:rsidR="00E01A8D" w:rsidRDefault="00E01A8D" w:rsidP="00E01A8D">
      <w:pPr>
        <w:spacing w:after="0" w:line="240" w:lineRule="auto"/>
        <w:jc w:val="both"/>
        <w:rPr>
          <w:rFonts w:ascii="Arial" w:eastAsia="Times New Roman" w:hAnsi="Arial" w:cs="Arial"/>
          <w:b/>
          <w:bCs/>
          <w:sz w:val="20"/>
          <w:szCs w:val="20"/>
          <w:lang w:eastAsia="en-GB"/>
        </w:rPr>
      </w:pPr>
    </w:p>
    <w:p w14:paraId="49348BA1" w14:textId="77777777" w:rsidR="00E01A8D" w:rsidRDefault="00E01A8D" w:rsidP="00E01A8D">
      <w:pPr>
        <w:spacing w:after="0" w:line="240" w:lineRule="auto"/>
        <w:jc w:val="both"/>
        <w:rPr>
          <w:rFonts w:ascii="Arial" w:eastAsia="Times New Roman" w:hAnsi="Arial" w:cs="Arial"/>
          <w:b/>
          <w:bCs/>
          <w:sz w:val="20"/>
          <w:szCs w:val="20"/>
          <w:lang w:eastAsia="en-GB"/>
        </w:rPr>
      </w:pPr>
    </w:p>
    <w:p w14:paraId="6DB5667F" w14:textId="77777777" w:rsidR="00E01A8D" w:rsidRDefault="00E01A8D" w:rsidP="00E01A8D">
      <w:pPr>
        <w:spacing w:after="0" w:line="240" w:lineRule="auto"/>
        <w:jc w:val="both"/>
        <w:rPr>
          <w:rFonts w:ascii="Arial" w:eastAsia="Times New Roman" w:hAnsi="Arial" w:cs="Arial"/>
          <w:b/>
          <w:bCs/>
          <w:sz w:val="20"/>
          <w:szCs w:val="20"/>
          <w:lang w:eastAsia="en-GB"/>
        </w:rPr>
      </w:pPr>
    </w:p>
    <w:p w14:paraId="5F156B75" w14:textId="77777777" w:rsidR="00E01A8D" w:rsidRDefault="00E01A8D" w:rsidP="00E01A8D">
      <w:pPr>
        <w:spacing w:after="0" w:line="240" w:lineRule="auto"/>
        <w:jc w:val="both"/>
        <w:rPr>
          <w:rFonts w:ascii="Arial" w:eastAsia="Times New Roman" w:hAnsi="Arial" w:cs="Arial"/>
          <w:b/>
          <w:bCs/>
          <w:sz w:val="20"/>
          <w:szCs w:val="20"/>
          <w:lang w:eastAsia="en-GB"/>
        </w:rPr>
      </w:pPr>
    </w:p>
    <w:p w14:paraId="45B330CD" w14:textId="77777777" w:rsidR="00E01A8D" w:rsidRDefault="00E01A8D" w:rsidP="00E01A8D">
      <w:pPr>
        <w:spacing w:after="0" w:line="240" w:lineRule="auto"/>
        <w:jc w:val="both"/>
        <w:rPr>
          <w:rFonts w:ascii="Arial" w:eastAsia="Times New Roman" w:hAnsi="Arial" w:cs="Arial"/>
          <w:b/>
          <w:bCs/>
          <w:sz w:val="20"/>
          <w:szCs w:val="20"/>
          <w:lang w:eastAsia="en-GB"/>
        </w:rPr>
      </w:pPr>
    </w:p>
    <w:p w14:paraId="4890C804" w14:textId="77777777" w:rsidR="00E01A8D" w:rsidRDefault="00E01A8D" w:rsidP="00E01A8D">
      <w:pPr>
        <w:spacing w:after="0" w:line="240" w:lineRule="auto"/>
        <w:jc w:val="both"/>
        <w:rPr>
          <w:rFonts w:ascii="Arial" w:eastAsia="Times New Roman" w:hAnsi="Arial" w:cs="Arial"/>
          <w:b/>
          <w:bCs/>
          <w:sz w:val="20"/>
          <w:szCs w:val="20"/>
          <w:lang w:eastAsia="en-GB"/>
        </w:rPr>
      </w:pPr>
    </w:p>
    <w:p w14:paraId="024B0A77" w14:textId="77777777" w:rsidR="00E01A8D" w:rsidRDefault="00E01A8D" w:rsidP="00E01A8D">
      <w:pPr>
        <w:spacing w:after="0" w:line="240" w:lineRule="auto"/>
        <w:jc w:val="both"/>
        <w:rPr>
          <w:rFonts w:ascii="Arial" w:eastAsia="Times New Roman" w:hAnsi="Arial" w:cs="Arial"/>
          <w:b/>
          <w:bCs/>
          <w:sz w:val="20"/>
          <w:szCs w:val="20"/>
          <w:lang w:eastAsia="en-GB"/>
        </w:rPr>
      </w:pPr>
    </w:p>
    <w:p w14:paraId="2917D845" w14:textId="77777777" w:rsidR="00E01A8D" w:rsidRDefault="00E01A8D" w:rsidP="00E01A8D">
      <w:pPr>
        <w:spacing w:after="0" w:line="240" w:lineRule="auto"/>
        <w:jc w:val="both"/>
        <w:rPr>
          <w:rFonts w:ascii="Arial" w:eastAsia="Times New Roman" w:hAnsi="Arial" w:cs="Arial"/>
          <w:b/>
          <w:bCs/>
          <w:sz w:val="20"/>
          <w:szCs w:val="20"/>
          <w:lang w:eastAsia="en-GB"/>
        </w:rPr>
      </w:pPr>
    </w:p>
    <w:p w14:paraId="6A17BC03" w14:textId="77777777" w:rsidR="00E01A8D" w:rsidRDefault="00E01A8D" w:rsidP="00E01A8D">
      <w:pPr>
        <w:spacing w:after="0" w:line="240" w:lineRule="auto"/>
        <w:jc w:val="both"/>
        <w:rPr>
          <w:rFonts w:ascii="Arial" w:eastAsia="Times New Roman" w:hAnsi="Arial" w:cs="Arial"/>
          <w:b/>
          <w:bCs/>
          <w:sz w:val="20"/>
          <w:szCs w:val="20"/>
          <w:lang w:eastAsia="en-GB"/>
        </w:rPr>
      </w:pPr>
    </w:p>
    <w:p w14:paraId="00E67B2D" w14:textId="77777777" w:rsidR="00E01A8D" w:rsidRDefault="00E01A8D" w:rsidP="00E01A8D">
      <w:pPr>
        <w:spacing w:after="0" w:line="240" w:lineRule="auto"/>
        <w:jc w:val="both"/>
        <w:rPr>
          <w:rFonts w:ascii="Arial" w:eastAsia="Times New Roman" w:hAnsi="Arial" w:cs="Arial"/>
          <w:b/>
          <w:bCs/>
          <w:sz w:val="20"/>
          <w:szCs w:val="20"/>
          <w:lang w:eastAsia="en-GB"/>
        </w:rPr>
      </w:pPr>
    </w:p>
    <w:p w14:paraId="78409F61" w14:textId="77777777" w:rsidR="00E01A8D" w:rsidRDefault="00E01A8D" w:rsidP="00E01A8D">
      <w:pPr>
        <w:spacing w:after="0" w:line="240" w:lineRule="auto"/>
        <w:jc w:val="both"/>
        <w:rPr>
          <w:rFonts w:ascii="Arial" w:eastAsia="Times New Roman" w:hAnsi="Arial" w:cs="Arial"/>
          <w:b/>
          <w:bCs/>
          <w:sz w:val="20"/>
          <w:szCs w:val="20"/>
          <w:lang w:eastAsia="en-GB"/>
        </w:rPr>
      </w:pPr>
    </w:p>
    <w:p w14:paraId="4CD1FE78" w14:textId="77777777" w:rsidR="00E01A8D" w:rsidRDefault="00E01A8D" w:rsidP="00E01A8D">
      <w:pPr>
        <w:spacing w:after="0" w:line="240" w:lineRule="auto"/>
        <w:jc w:val="both"/>
        <w:rPr>
          <w:rFonts w:ascii="Arial" w:eastAsia="Times New Roman" w:hAnsi="Arial" w:cs="Arial"/>
          <w:b/>
          <w:bCs/>
          <w:sz w:val="20"/>
          <w:szCs w:val="20"/>
          <w:lang w:eastAsia="en-GB"/>
        </w:rPr>
      </w:pPr>
    </w:p>
    <w:p w14:paraId="6588D528" w14:textId="77777777" w:rsidR="00E01A8D" w:rsidRDefault="00E01A8D" w:rsidP="00E01A8D">
      <w:pPr>
        <w:spacing w:after="0" w:line="240" w:lineRule="auto"/>
        <w:jc w:val="both"/>
        <w:rPr>
          <w:rFonts w:ascii="Arial" w:eastAsia="Times New Roman" w:hAnsi="Arial" w:cs="Arial"/>
          <w:b/>
          <w:bCs/>
          <w:sz w:val="20"/>
          <w:szCs w:val="20"/>
          <w:lang w:eastAsia="en-GB"/>
        </w:rPr>
      </w:pPr>
    </w:p>
    <w:p w14:paraId="1593A149" w14:textId="77777777" w:rsidR="00B30F9A" w:rsidRDefault="00B30F9A" w:rsidP="00E01A8D">
      <w:pPr>
        <w:spacing w:after="0" w:line="240" w:lineRule="auto"/>
        <w:jc w:val="both"/>
        <w:rPr>
          <w:rFonts w:ascii="Arial" w:eastAsia="Times New Roman" w:hAnsi="Arial" w:cs="Arial"/>
          <w:b/>
          <w:bCs/>
          <w:sz w:val="20"/>
          <w:szCs w:val="20"/>
          <w:lang w:eastAsia="en-GB"/>
        </w:rPr>
      </w:pPr>
    </w:p>
    <w:p w14:paraId="688B0276" w14:textId="77777777" w:rsidR="00E01A8D" w:rsidRDefault="00E01A8D" w:rsidP="00E01A8D">
      <w:pPr>
        <w:spacing w:after="0" w:line="240" w:lineRule="auto"/>
        <w:jc w:val="both"/>
        <w:rPr>
          <w:rFonts w:ascii="Arial" w:eastAsia="Times New Roman" w:hAnsi="Arial" w:cs="Arial"/>
          <w:b/>
          <w:bCs/>
          <w:sz w:val="20"/>
          <w:szCs w:val="20"/>
          <w:lang w:eastAsia="en-GB"/>
        </w:rPr>
      </w:pPr>
    </w:p>
    <w:p w14:paraId="22AB39B7" w14:textId="420E2CAD" w:rsidR="000B5454" w:rsidRPr="00E42DF7" w:rsidRDefault="000B5454" w:rsidP="00E01A8D">
      <w:pPr>
        <w:spacing w:after="100" w:afterAutospacing="1" w:line="240" w:lineRule="auto"/>
        <w:jc w:val="both"/>
        <w:rPr>
          <w:rFonts w:ascii="Arial" w:eastAsia="Times New Roman" w:hAnsi="Arial" w:cs="Arial"/>
          <w:b/>
          <w:bCs/>
          <w:sz w:val="20"/>
          <w:szCs w:val="20"/>
          <w:lang w:eastAsia="en-GB"/>
        </w:rPr>
      </w:pPr>
      <w:r w:rsidRPr="00E42DF7">
        <w:rPr>
          <w:rFonts w:ascii="Arial" w:eastAsia="Times New Roman" w:hAnsi="Arial" w:cs="Arial"/>
          <w:b/>
          <w:bCs/>
          <w:sz w:val="20"/>
          <w:szCs w:val="20"/>
          <w:lang w:eastAsia="en-GB"/>
        </w:rPr>
        <w:lastRenderedPageBreak/>
        <w:t>Table 4. Contributions of variables to the formation of PCA axes</w:t>
      </w:r>
    </w:p>
    <w:tbl>
      <w:tblPr>
        <w:tblW w:w="506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60"/>
        <w:gridCol w:w="1200"/>
        <w:gridCol w:w="1200"/>
      </w:tblGrid>
      <w:tr w:rsidR="006442C0" w:rsidRPr="006442C0" w14:paraId="5712F09B" w14:textId="77777777" w:rsidTr="00AB7DE4">
        <w:trPr>
          <w:trHeight w:val="285"/>
          <w:jc w:val="center"/>
        </w:trPr>
        <w:tc>
          <w:tcPr>
            <w:tcW w:w="2660" w:type="dxa"/>
            <w:tcBorders>
              <w:top w:val="single" w:sz="4" w:space="0" w:color="auto"/>
              <w:bottom w:val="single" w:sz="4" w:space="0" w:color="auto"/>
            </w:tcBorders>
            <w:noWrap/>
            <w:vAlign w:val="bottom"/>
            <w:hideMark/>
          </w:tcPr>
          <w:p w14:paraId="033D0909" w14:textId="77777777" w:rsidR="006442C0" w:rsidRPr="006442C0" w:rsidRDefault="006442C0" w:rsidP="006442C0">
            <w:pPr>
              <w:spacing w:after="0" w:line="240" w:lineRule="auto"/>
              <w:jc w:val="both"/>
              <w:rPr>
                <w:rFonts w:ascii="Arial" w:eastAsia="Times New Roman" w:hAnsi="Arial" w:cs="Arial"/>
                <w:b/>
                <w:color w:val="000000"/>
                <w:sz w:val="20"/>
                <w:szCs w:val="20"/>
                <w:lang w:val="fr-FR" w:eastAsia="fr-FR"/>
              </w:rPr>
            </w:pPr>
            <w:r w:rsidRPr="006442C0">
              <w:rPr>
                <w:rFonts w:ascii="Arial" w:hAnsi="Arial" w:cs="Arial"/>
                <w:b/>
                <w:sz w:val="20"/>
                <w:szCs w:val="20"/>
                <w:lang w:val="fr-FR"/>
              </w:rPr>
              <w:t>Principal components</w:t>
            </w:r>
          </w:p>
        </w:tc>
        <w:tc>
          <w:tcPr>
            <w:tcW w:w="1200" w:type="dxa"/>
            <w:tcBorders>
              <w:top w:val="single" w:sz="4" w:space="0" w:color="auto"/>
              <w:bottom w:val="single" w:sz="4" w:space="0" w:color="auto"/>
            </w:tcBorders>
            <w:noWrap/>
            <w:vAlign w:val="bottom"/>
            <w:hideMark/>
          </w:tcPr>
          <w:p w14:paraId="57905138" w14:textId="77777777" w:rsidR="006442C0" w:rsidRPr="006442C0" w:rsidRDefault="006442C0" w:rsidP="006442C0">
            <w:pPr>
              <w:spacing w:after="0" w:line="240" w:lineRule="auto"/>
              <w:jc w:val="both"/>
              <w:rPr>
                <w:rFonts w:ascii="Arial" w:eastAsia="Times New Roman" w:hAnsi="Arial" w:cs="Arial"/>
                <w:b/>
                <w:color w:val="000000"/>
                <w:sz w:val="20"/>
                <w:szCs w:val="20"/>
                <w:lang w:val="fr-FR" w:eastAsia="fr-FR"/>
              </w:rPr>
            </w:pPr>
            <w:r w:rsidRPr="006442C0">
              <w:rPr>
                <w:rFonts w:ascii="Arial" w:eastAsia="Times New Roman" w:hAnsi="Arial" w:cs="Arial"/>
                <w:b/>
                <w:color w:val="000000"/>
                <w:sz w:val="20"/>
                <w:szCs w:val="20"/>
                <w:lang w:val="fr-FR" w:eastAsia="fr-FR"/>
              </w:rPr>
              <w:t>PC1</w:t>
            </w:r>
          </w:p>
        </w:tc>
        <w:tc>
          <w:tcPr>
            <w:tcW w:w="1200" w:type="dxa"/>
            <w:tcBorders>
              <w:top w:val="single" w:sz="4" w:space="0" w:color="auto"/>
              <w:bottom w:val="single" w:sz="4" w:space="0" w:color="auto"/>
            </w:tcBorders>
            <w:noWrap/>
            <w:vAlign w:val="bottom"/>
            <w:hideMark/>
          </w:tcPr>
          <w:p w14:paraId="5688BEF7" w14:textId="77777777" w:rsidR="006442C0" w:rsidRPr="006442C0" w:rsidRDefault="006442C0" w:rsidP="006442C0">
            <w:pPr>
              <w:spacing w:after="0" w:line="240" w:lineRule="auto"/>
              <w:jc w:val="both"/>
              <w:rPr>
                <w:rFonts w:ascii="Arial" w:eastAsia="Times New Roman" w:hAnsi="Arial" w:cs="Arial"/>
                <w:b/>
                <w:color w:val="000000"/>
                <w:sz w:val="20"/>
                <w:szCs w:val="20"/>
                <w:lang w:val="fr-FR" w:eastAsia="fr-FR"/>
              </w:rPr>
            </w:pPr>
            <w:r w:rsidRPr="006442C0">
              <w:rPr>
                <w:rFonts w:ascii="Arial" w:eastAsia="Times New Roman" w:hAnsi="Arial" w:cs="Arial"/>
                <w:b/>
                <w:color w:val="000000"/>
                <w:sz w:val="20"/>
                <w:szCs w:val="20"/>
                <w:lang w:val="fr-FR" w:eastAsia="fr-FR"/>
              </w:rPr>
              <w:t>PC2</w:t>
            </w:r>
          </w:p>
        </w:tc>
      </w:tr>
      <w:tr w:rsidR="006442C0" w:rsidRPr="006442C0" w14:paraId="3CE23919" w14:textId="77777777" w:rsidTr="00AB7DE4">
        <w:trPr>
          <w:trHeight w:val="285"/>
          <w:jc w:val="center"/>
        </w:trPr>
        <w:tc>
          <w:tcPr>
            <w:tcW w:w="2660" w:type="dxa"/>
            <w:tcBorders>
              <w:top w:val="single" w:sz="4" w:space="0" w:color="auto"/>
            </w:tcBorders>
            <w:noWrap/>
            <w:vAlign w:val="bottom"/>
            <w:hideMark/>
          </w:tcPr>
          <w:p w14:paraId="0CA55336"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SDB</w:t>
            </w:r>
          </w:p>
        </w:tc>
        <w:tc>
          <w:tcPr>
            <w:tcW w:w="1200" w:type="dxa"/>
            <w:tcBorders>
              <w:top w:val="single" w:sz="4" w:space="0" w:color="auto"/>
            </w:tcBorders>
            <w:noWrap/>
            <w:vAlign w:val="bottom"/>
            <w:hideMark/>
          </w:tcPr>
          <w:p w14:paraId="3D75FD7C"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0.762</w:t>
            </w:r>
          </w:p>
        </w:tc>
        <w:tc>
          <w:tcPr>
            <w:tcW w:w="1200" w:type="dxa"/>
            <w:tcBorders>
              <w:top w:val="single" w:sz="4" w:space="0" w:color="auto"/>
            </w:tcBorders>
            <w:noWrap/>
            <w:vAlign w:val="bottom"/>
            <w:hideMark/>
          </w:tcPr>
          <w:p w14:paraId="728A40BB"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0.102</w:t>
            </w:r>
          </w:p>
        </w:tc>
      </w:tr>
      <w:tr w:rsidR="006442C0" w:rsidRPr="006442C0" w14:paraId="7F219444" w14:textId="77777777" w:rsidTr="00AB7DE4">
        <w:trPr>
          <w:trHeight w:val="285"/>
          <w:jc w:val="center"/>
        </w:trPr>
        <w:tc>
          <w:tcPr>
            <w:tcW w:w="2660" w:type="dxa"/>
            <w:noWrap/>
            <w:vAlign w:val="bottom"/>
            <w:hideMark/>
          </w:tcPr>
          <w:p w14:paraId="4DB554F7"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EH</w:t>
            </w:r>
          </w:p>
        </w:tc>
        <w:tc>
          <w:tcPr>
            <w:tcW w:w="1200" w:type="dxa"/>
            <w:noWrap/>
            <w:vAlign w:val="bottom"/>
            <w:hideMark/>
          </w:tcPr>
          <w:p w14:paraId="40895C40"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0.900</w:t>
            </w:r>
          </w:p>
        </w:tc>
        <w:tc>
          <w:tcPr>
            <w:tcW w:w="1200" w:type="dxa"/>
            <w:noWrap/>
            <w:vAlign w:val="bottom"/>
            <w:hideMark/>
          </w:tcPr>
          <w:p w14:paraId="70A4D8E4"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0.097</w:t>
            </w:r>
          </w:p>
        </w:tc>
      </w:tr>
      <w:tr w:rsidR="006442C0" w:rsidRPr="006442C0" w14:paraId="737BEEFB" w14:textId="77777777" w:rsidTr="00AB7DE4">
        <w:trPr>
          <w:trHeight w:val="285"/>
          <w:jc w:val="center"/>
        </w:trPr>
        <w:tc>
          <w:tcPr>
            <w:tcW w:w="2660" w:type="dxa"/>
            <w:noWrap/>
            <w:vAlign w:val="bottom"/>
            <w:hideMark/>
          </w:tcPr>
          <w:p w14:paraId="4641F535"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PH</w:t>
            </w:r>
          </w:p>
        </w:tc>
        <w:tc>
          <w:tcPr>
            <w:tcW w:w="1200" w:type="dxa"/>
            <w:noWrap/>
            <w:vAlign w:val="bottom"/>
            <w:hideMark/>
          </w:tcPr>
          <w:p w14:paraId="6B68B982"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0.939</w:t>
            </w:r>
          </w:p>
        </w:tc>
        <w:tc>
          <w:tcPr>
            <w:tcW w:w="1200" w:type="dxa"/>
            <w:noWrap/>
            <w:vAlign w:val="bottom"/>
            <w:hideMark/>
          </w:tcPr>
          <w:p w14:paraId="2BA1A677"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0.174</w:t>
            </w:r>
          </w:p>
        </w:tc>
      </w:tr>
      <w:tr w:rsidR="006442C0" w:rsidRPr="006442C0" w14:paraId="2511B2AD" w14:textId="77777777" w:rsidTr="00AB7DE4">
        <w:trPr>
          <w:trHeight w:val="285"/>
          <w:jc w:val="center"/>
        </w:trPr>
        <w:tc>
          <w:tcPr>
            <w:tcW w:w="2660" w:type="dxa"/>
            <w:noWrap/>
            <w:vAlign w:val="bottom"/>
            <w:hideMark/>
          </w:tcPr>
          <w:p w14:paraId="748C0585"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EW</w:t>
            </w:r>
          </w:p>
        </w:tc>
        <w:tc>
          <w:tcPr>
            <w:tcW w:w="1200" w:type="dxa"/>
            <w:noWrap/>
            <w:vAlign w:val="bottom"/>
            <w:hideMark/>
          </w:tcPr>
          <w:p w14:paraId="3ABCC6B6"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0.947</w:t>
            </w:r>
          </w:p>
        </w:tc>
        <w:tc>
          <w:tcPr>
            <w:tcW w:w="1200" w:type="dxa"/>
            <w:noWrap/>
            <w:vAlign w:val="bottom"/>
            <w:hideMark/>
          </w:tcPr>
          <w:p w14:paraId="772016A5"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-1.77</w:t>
            </w:r>
          </w:p>
        </w:tc>
      </w:tr>
      <w:tr w:rsidR="006442C0" w:rsidRPr="006442C0" w14:paraId="36BDBE60" w14:textId="77777777" w:rsidTr="00AB7DE4">
        <w:trPr>
          <w:trHeight w:val="285"/>
          <w:jc w:val="center"/>
        </w:trPr>
        <w:tc>
          <w:tcPr>
            <w:tcW w:w="2660" w:type="dxa"/>
            <w:noWrap/>
            <w:vAlign w:val="bottom"/>
            <w:hideMark/>
          </w:tcPr>
          <w:p w14:paraId="33005EB4"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EL</w:t>
            </w:r>
          </w:p>
        </w:tc>
        <w:tc>
          <w:tcPr>
            <w:tcW w:w="1200" w:type="dxa"/>
            <w:noWrap/>
            <w:vAlign w:val="bottom"/>
            <w:hideMark/>
          </w:tcPr>
          <w:p w14:paraId="303E00A6"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0.648</w:t>
            </w:r>
          </w:p>
        </w:tc>
        <w:tc>
          <w:tcPr>
            <w:tcW w:w="1200" w:type="dxa"/>
            <w:noWrap/>
            <w:vAlign w:val="bottom"/>
            <w:hideMark/>
          </w:tcPr>
          <w:p w14:paraId="55ABB14D"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0.557</w:t>
            </w:r>
          </w:p>
        </w:tc>
      </w:tr>
      <w:tr w:rsidR="006442C0" w:rsidRPr="006442C0" w14:paraId="550D9E4C" w14:textId="77777777" w:rsidTr="00AB7DE4">
        <w:trPr>
          <w:trHeight w:val="285"/>
          <w:jc w:val="center"/>
        </w:trPr>
        <w:tc>
          <w:tcPr>
            <w:tcW w:w="2660" w:type="dxa"/>
            <w:noWrap/>
            <w:vAlign w:val="bottom"/>
            <w:hideMark/>
          </w:tcPr>
          <w:p w14:paraId="283D35D4"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ED</w:t>
            </w:r>
          </w:p>
        </w:tc>
        <w:tc>
          <w:tcPr>
            <w:tcW w:w="1200" w:type="dxa"/>
            <w:noWrap/>
            <w:vAlign w:val="bottom"/>
            <w:hideMark/>
          </w:tcPr>
          <w:p w14:paraId="4F46CE65"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0681</w:t>
            </w:r>
          </w:p>
        </w:tc>
        <w:tc>
          <w:tcPr>
            <w:tcW w:w="1200" w:type="dxa"/>
            <w:noWrap/>
            <w:vAlign w:val="bottom"/>
            <w:hideMark/>
          </w:tcPr>
          <w:p w14:paraId="6A68E45C"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0.670</w:t>
            </w:r>
          </w:p>
        </w:tc>
      </w:tr>
      <w:tr w:rsidR="006442C0" w:rsidRPr="006442C0" w14:paraId="4A84F0A5" w14:textId="77777777" w:rsidTr="00AB7DE4">
        <w:trPr>
          <w:trHeight w:val="285"/>
          <w:jc w:val="center"/>
        </w:trPr>
        <w:tc>
          <w:tcPr>
            <w:tcW w:w="2660" w:type="dxa"/>
            <w:noWrap/>
            <w:vAlign w:val="bottom"/>
            <w:hideMark/>
          </w:tcPr>
          <w:p w14:paraId="067EB3A3"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GW100</w:t>
            </w:r>
          </w:p>
        </w:tc>
        <w:tc>
          <w:tcPr>
            <w:tcW w:w="1200" w:type="dxa"/>
            <w:noWrap/>
            <w:vAlign w:val="bottom"/>
            <w:hideMark/>
          </w:tcPr>
          <w:p w14:paraId="45BE2884"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0.841</w:t>
            </w:r>
          </w:p>
        </w:tc>
        <w:tc>
          <w:tcPr>
            <w:tcW w:w="1200" w:type="dxa"/>
            <w:noWrap/>
            <w:vAlign w:val="bottom"/>
            <w:hideMark/>
          </w:tcPr>
          <w:p w14:paraId="2B25218D"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-0.312</w:t>
            </w:r>
          </w:p>
        </w:tc>
      </w:tr>
      <w:tr w:rsidR="006442C0" w:rsidRPr="006442C0" w14:paraId="707DFA3A" w14:textId="77777777" w:rsidTr="00AB7DE4">
        <w:trPr>
          <w:trHeight w:val="285"/>
          <w:jc w:val="center"/>
        </w:trPr>
        <w:tc>
          <w:tcPr>
            <w:tcW w:w="2660" w:type="dxa"/>
            <w:noWrap/>
            <w:vAlign w:val="bottom"/>
            <w:hideMark/>
          </w:tcPr>
          <w:p w14:paraId="6910BC49"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Yd</w:t>
            </w:r>
          </w:p>
        </w:tc>
        <w:tc>
          <w:tcPr>
            <w:tcW w:w="1200" w:type="dxa"/>
            <w:noWrap/>
            <w:vAlign w:val="bottom"/>
            <w:hideMark/>
          </w:tcPr>
          <w:p w14:paraId="42142E43"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0.963</w:t>
            </w:r>
          </w:p>
        </w:tc>
        <w:tc>
          <w:tcPr>
            <w:tcW w:w="1200" w:type="dxa"/>
            <w:noWrap/>
            <w:vAlign w:val="bottom"/>
            <w:hideMark/>
          </w:tcPr>
          <w:p w14:paraId="1B3F8FD7"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-0.185</w:t>
            </w:r>
          </w:p>
        </w:tc>
      </w:tr>
      <w:tr w:rsidR="006442C0" w:rsidRPr="006442C0" w14:paraId="2CE1D265" w14:textId="77777777" w:rsidTr="00AB7DE4">
        <w:trPr>
          <w:trHeight w:val="285"/>
          <w:jc w:val="center"/>
        </w:trPr>
        <w:tc>
          <w:tcPr>
            <w:tcW w:w="2660" w:type="dxa"/>
            <w:noWrap/>
            <w:vAlign w:val="bottom"/>
            <w:hideMark/>
          </w:tcPr>
          <w:p w14:paraId="2BF57C15"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DA</w:t>
            </w:r>
          </w:p>
        </w:tc>
        <w:tc>
          <w:tcPr>
            <w:tcW w:w="1200" w:type="dxa"/>
            <w:noWrap/>
            <w:vAlign w:val="bottom"/>
            <w:hideMark/>
          </w:tcPr>
          <w:p w14:paraId="03A5F299"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-0.879</w:t>
            </w:r>
          </w:p>
        </w:tc>
        <w:tc>
          <w:tcPr>
            <w:tcW w:w="1200" w:type="dxa"/>
            <w:noWrap/>
            <w:vAlign w:val="bottom"/>
            <w:hideMark/>
          </w:tcPr>
          <w:p w14:paraId="10587734"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0.289</w:t>
            </w:r>
          </w:p>
        </w:tc>
      </w:tr>
      <w:tr w:rsidR="006442C0" w:rsidRPr="006442C0" w14:paraId="66CD538E" w14:textId="77777777" w:rsidTr="00AB7DE4">
        <w:trPr>
          <w:trHeight w:val="285"/>
          <w:jc w:val="center"/>
        </w:trPr>
        <w:tc>
          <w:tcPr>
            <w:tcW w:w="2660" w:type="dxa"/>
            <w:noWrap/>
            <w:vAlign w:val="bottom"/>
            <w:hideMark/>
          </w:tcPr>
          <w:p w14:paraId="6E51319F"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DS</w:t>
            </w:r>
          </w:p>
        </w:tc>
        <w:tc>
          <w:tcPr>
            <w:tcW w:w="1200" w:type="dxa"/>
            <w:noWrap/>
            <w:vAlign w:val="bottom"/>
            <w:hideMark/>
          </w:tcPr>
          <w:p w14:paraId="3BE9A529"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-0.842</w:t>
            </w:r>
          </w:p>
        </w:tc>
        <w:tc>
          <w:tcPr>
            <w:tcW w:w="1200" w:type="dxa"/>
            <w:noWrap/>
            <w:vAlign w:val="bottom"/>
            <w:hideMark/>
          </w:tcPr>
          <w:p w14:paraId="0D71EE3D"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0.373</w:t>
            </w:r>
          </w:p>
        </w:tc>
      </w:tr>
      <w:tr w:rsidR="006442C0" w:rsidRPr="006442C0" w14:paraId="01AFBBED" w14:textId="77777777" w:rsidTr="00AB7DE4">
        <w:trPr>
          <w:trHeight w:val="285"/>
          <w:jc w:val="center"/>
        </w:trPr>
        <w:tc>
          <w:tcPr>
            <w:tcW w:w="2660" w:type="dxa"/>
            <w:tcBorders>
              <w:bottom w:val="single" w:sz="4" w:space="0" w:color="auto"/>
            </w:tcBorders>
            <w:noWrap/>
            <w:vAlign w:val="bottom"/>
            <w:hideMark/>
          </w:tcPr>
          <w:p w14:paraId="6E0B4DAB"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NL</w:t>
            </w:r>
          </w:p>
        </w:tc>
        <w:tc>
          <w:tcPr>
            <w:tcW w:w="1200" w:type="dxa"/>
            <w:tcBorders>
              <w:bottom w:val="single" w:sz="4" w:space="0" w:color="auto"/>
            </w:tcBorders>
            <w:noWrap/>
            <w:vAlign w:val="bottom"/>
            <w:hideMark/>
          </w:tcPr>
          <w:p w14:paraId="42AF8638"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-0.044</w:t>
            </w:r>
          </w:p>
        </w:tc>
        <w:tc>
          <w:tcPr>
            <w:tcW w:w="1200" w:type="dxa"/>
            <w:tcBorders>
              <w:bottom w:val="single" w:sz="4" w:space="0" w:color="auto"/>
            </w:tcBorders>
            <w:noWrap/>
            <w:vAlign w:val="bottom"/>
            <w:hideMark/>
          </w:tcPr>
          <w:p w14:paraId="62BCD7CD"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-0.717</w:t>
            </w:r>
          </w:p>
        </w:tc>
      </w:tr>
      <w:tr w:rsidR="006442C0" w:rsidRPr="006442C0" w14:paraId="11728244" w14:textId="77777777" w:rsidTr="00AB7DE4">
        <w:trPr>
          <w:trHeight w:val="285"/>
          <w:jc w:val="center"/>
        </w:trPr>
        <w:tc>
          <w:tcPr>
            <w:tcW w:w="2660" w:type="dxa"/>
            <w:tcBorders>
              <w:top w:val="single" w:sz="4" w:space="0" w:color="auto"/>
              <w:bottom w:val="nil"/>
            </w:tcBorders>
            <w:vAlign w:val="center"/>
            <w:hideMark/>
          </w:tcPr>
          <w:p w14:paraId="4DC92E84" w14:textId="77777777" w:rsidR="006442C0" w:rsidRPr="006442C0" w:rsidRDefault="006442C0" w:rsidP="006442C0">
            <w:pPr>
              <w:spacing w:after="0" w:line="240" w:lineRule="auto"/>
              <w:jc w:val="both"/>
              <w:rPr>
                <w:rFonts w:ascii="Arial" w:eastAsia="Times New Roman" w:hAnsi="Arial" w:cs="Arial"/>
                <w:b/>
                <w:color w:val="000000"/>
                <w:sz w:val="20"/>
                <w:szCs w:val="20"/>
                <w:lang w:eastAsia="fr-FR"/>
              </w:rPr>
            </w:pPr>
            <w:r w:rsidRPr="006442C0">
              <w:rPr>
                <w:rFonts w:ascii="Arial" w:hAnsi="Arial" w:cs="Arial"/>
                <w:bCs/>
                <w:sz w:val="20"/>
                <w:szCs w:val="20"/>
              </w:rPr>
              <w:t>Eigenvalues</w:t>
            </w:r>
          </w:p>
        </w:tc>
        <w:tc>
          <w:tcPr>
            <w:tcW w:w="1200" w:type="dxa"/>
            <w:tcBorders>
              <w:top w:val="single" w:sz="4" w:space="0" w:color="auto"/>
              <w:bottom w:val="nil"/>
            </w:tcBorders>
            <w:noWrap/>
            <w:vAlign w:val="bottom"/>
            <w:hideMark/>
          </w:tcPr>
          <w:p w14:paraId="3A0A595E"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7.173</w:t>
            </w:r>
          </w:p>
        </w:tc>
        <w:tc>
          <w:tcPr>
            <w:tcW w:w="1200" w:type="dxa"/>
            <w:tcBorders>
              <w:top w:val="single" w:sz="4" w:space="0" w:color="auto"/>
              <w:bottom w:val="nil"/>
            </w:tcBorders>
            <w:noWrap/>
            <w:vAlign w:val="bottom"/>
            <w:hideMark/>
          </w:tcPr>
          <w:p w14:paraId="3A134CB5" w14:textId="77777777" w:rsidR="006442C0" w:rsidRPr="006442C0" w:rsidRDefault="006442C0" w:rsidP="006442C0">
            <w:pPr>
              <w:spacing w:after="0" w:line="240" w:lineRule="auto"/>
              <w:jc w:val="both"/>
              <w:rPr>
                <w:rFonts w:ascii="Arial" w:eastAsia="Times New Roman" w:hAnsi="Arial" w:cs="Arial"/>
                <w:color w:val="000000"/>
                <w:sz w:val="20"/>
                <w:szCs w:val="20"/>
                <w:lang w:eastAsia="fr-FR"/>
              </w:rPr>
            </w:pPr>
            <w:r w:rsidRPr="006442C0">
              <w:rPr>
                <w:rFonts w:ascii="Arial" w:eastAsia="Times New Roman" w:hAnsi="Arial" w:cs="Arial"/>
                <w:color w:val="000000"/>
                <w:sz w:val="20"/>
                <w:szCs w:val="20"/>
                <w:lang w:eastAsia="fr-FR"/>
              </w:rPr>
              <w:t>1.710</w:t>
            </w:r>
          </w:p>
        </w:tc>
      </w:tr>
      <w:tr w:rsidR="006442C0" w:rsidRPr="006442C0" w14:paraId="09FA6A77" w14:textId="77777777" w:rsidTr="00AB7DE4">
        <w:trPr>
          <w:trHeight w:val="323"/>
          <w:jc w:val="center"/>
        </w:trPr>
        <w:tc>
          <w:tcPr>
            <w:tcW w:w="2660" w:type="dxa"/>
            <w:tcBorders>
              <w:top w:val="nil"/>
              <w:bottom w:val="nil"/>
            </w:tcBorders>
            <w:vAlign w:val="center"/>
            <w:hideMark/>
          </w:tcPr>
          <w:p w14:paraId="70FC1B41" w14:textId="77777777" w:rsidR="006442C0" w:rsidRPr="006442C0" w:rsidRDefault="006442C0" w:rsidP="006442C0">
            <w:pPr>
              <w:spacing w:after="0" w:line="240" w:lineRule="auto"/>
              <w:jc w:val="both"/>
              <w:rPr>
                <w:rFonts w:ascii="Arial" w:eastAsia="Times New Roman" w:hAnsi="Arial" w:cs="Arial"/>
                <w:b/>
                <w:color w:val="000000"/>
                <w:sz w:val="20"/>
                <w:szCs w:val="20"/>
                <w:lang w:eastAsia="fr-FR"/>
              </w:rPr>
            </w:pPr>
            <w:r w:rsidRPr="006442C0">
              <w:rPr>
                <w:rFonts w:ascii="Arial" w:hAnsi="Arial" w:cs="Arial"/>
                <w:bCs/>
                <w:sz w:val="20"/>
                <w:szCs w:val="20"/>
              </w:rPr>
              <w:t>Explained variance (%)</w:t>
            </w:r>
          </w:p>
        </w:tc>
        <w:tc>
          <w:tcPr>
            <w:tcW w:w="1200" w:type="dxa"/>
            <w:tcBorders>
              <w:top w:val="nil"/>
              <w:bottom w:val="nil"/>
            </w:tcBorders>
            <w:noWrap/>
            <w:vAlign w:val="bottom"/>
            <w:hideMark/>
          </w:tcPr>
          <w:p w14:paraId="12AE816E"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eastAsia="fr-FR"/>
              </w:rPr>
              <w:t>65.</w:t>
            </w:r>
            <w:r w:rsidRPr="006442C0">
              <w:rPr>
                <w:rFonts w:ascii="Arial" w:eastAsia="Times New Roman" w:hAnsi="Arial" w:cs="Arial"/>
                <w:color w:val="000000"/>
                <w:sz w:val="20"/>
                <w:szCs w:val="20"/>
                <w:lang w:val="fr-FR" w:eastAsia="fr-FR"/>
              </w:rPr>
              <w:t>207</w:t>
            </w:r>
          </w:p>
        </w:tc>
        <w:tc>
          <w:tcPr>
            <w:tcW w:w="1200" w:type="dxa"/>
            <w:tcBorders>
              <w:top w:val="nil"/>
              <w:bottom w:val="nil"/>
            </w:tcBorders>
            <w:noWrap/>
            <w:vAlign w:val="bottom"/>
            <w:hideMark/>
          </w:tcPr>
          <w:p w14:paraId="4BA81354"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15.548</w:t>
            </w:r>
          </w:p>
        </w:tc>
      </w:tr>
      <w:tr w:rsidR="006442C0" w:rsidRPr="006442C0" w14:paraId="39F1C416" w14:textId="77777777" w:rsidTr="00AB7DE4">
        <w:trPr>
          <w:trHeight w:val="330"/>
          <w:jc w:val="center"/>
        </w:trPr>
        <w:tc>
          <w:tcPr>
            <w:tcW w:w="2660" w:type="dxa"/>
            <w:tcBorders>
              <w:top w:val="nil"/>
              <w:bottom w:val="single" w:sz="4" w:space="0" w:color="auto"/>
            </w:tcBorders>
            <w:vAlign w:val="center"/>
            <w:hideMark/>
          </w:tcPr>
          <w:p w14:paraId="66D30EC0"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Cumulative variance (%)</w:t>
            </w:r>
          </w:p>
        </w:tc>
        <w:tc>
          <w:tcPr>
            <w:tcW w:w="1200" w:type="dxa"/>
            <w:tcBorders>
              <w:top w:val="nil"/>
              <w:bottom w:val="single" w:sz="4" w:space="0" w:color="auto"/>
            </w:tcBorders>
            <w:noWrap/>
            <w:vAlign w:val="bottom"/>
            <w:hideMark/>
          </w:tcPr>
          <w:p w14:paraId="49E9CC71"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65.207</w:t>
            </w:r>
          </w:p>
        </w:tc>
        <w:tc>
          <w:tcPr>
            <w:tcW w:w="1200" w:type="dxa"/>
            <w:tcBorders>
              <w:top w:val="nil"/>
              <w:bottom w:val="single" w:sz="4" w:space="0" w:color="auto"/>
            </w:tcBorders>
            <w:noWrap/>
            <w:vAlign w:val="bottom"/>
            <w:hideMark/>
          </w:tcPr>
          <w:p w14:paraId="2954EC16" w14:textId="77777777" w:rsidR="006442C0" w:rsidRPr="006442C0" w:rsidRDefault="006442C0" w:rsidP="006442C0">
            <w:pPr>
              <w:spacing w:after="0" w:line="240" w:lineRule="auto"/>
              <w:jc w:val="both"/>
              <w:rPr>
                <w:rFonts w:ascii="Arial" w:eastAsia="Times New Roman" w:hAnsi="Arial" w:cs="Arial"/>
                <w:color w:val="000000"/>
                <w:sz w:val="20"/>
                <w:szCs w:val="20"/>
                <w:lang w:val="fr-FR" w:eastAsia="fr-FR"/>
              </w:rPr>
            </w:pPr>
            <w:r w:rsidRPr="006442C0">
              <w:rPr>
                <w:rFonts w:ascii="Arial" w:eastAsia="Times New Roman" w:hAnsi="Arial" w:cs="Arial"/>
                <w:color w:val="000000"/>
                <w:sz w:val="20"/>
                <w:szCs w:val="20"/>
                <w:lang w:val="fr-FR" w:eastAsia="fr-FR"/>
              </w:rPr>
              <w:t>80.755</w:t>
            </w:r>
          </w:p>
        </w:tc>
      </w:tr>
    </w:tbl>
    <w:p w14:paraId="5939A453" w14:textId="46CC8E20" w:rsidR="00E90661" w:rsidRPr="00B30F9A" w:rsidRDefault="008463B9" w:rsidP="00B30F9A">
      <w:pPr>
        <w:spacing w:after="0"/>
        <w:jc w:val="both"/>
        <w:rPr>
          <w:rFonts w:ascii="Arial" w:hAnsi="Arial" w:cs="Arial"/>
          <w:i/>
          <w:iCs/>
          <w:sz w:val="18"/>
          <w:szCs w:val="18"/>
          <w:lang w:eastAsia="en-GB"/>
        </w:rPr>
      </w:pPr>
      <w:r w:rsidRPr="00E01A8D">
        <w:rPr>
          <w:rFonts w:ascii="Arial" w:hAnsi="Arial" w:cs="Arial"/>
          <w:i/>
          <w:iCs/>
          <w:sz w:val="18"/>
          <w:szCs w:val="18"/>
          <w:lang w:eastAsia="en-GB"/>
        </w:rPr>
        <w:t>SDB: Stem diameter at base; EH: Ear height; PH: Plant height; EW: Ear weight; EL: Ear length; ED: Ear diameter; GW100: 100-grain weight; Yd: Yield; DA: Days to anthesis; DS: Days to silking; NL: Number of leaves; PC: Principal component.</w:t>
      </w:r>
    </w:p>
    <w:p w14:paraId="3110A9A5" w14:textId="77777777" w:rsidR="00B30F9A" w:rsidRDefault="00B30F9A" w:rsidP="00B30F9A">
      <w:pPr>
        <w:pStyle w:val="Heading3"/>
      </w:pPr>
    </w:p>
    <w:p w14:paraId="731FFD0C" w14:textId="07D5D31D" w:rsidR="000B5454" w:rsidRPr="000B5454" w:rsidRDefault="008359B0" w:rsidP="00B30F9A">
      <w:pPr>
        <w:pStyle w:val="Heading3"/>
      </w:pPr>
      <w:r w:rsidRPr="000B5454">
        <w:t>3.4.2 Projection of Variables onto the Correlation Circle</w:t>
      </w:r>
    </w:p>
    <w:p w14:paraId="054B4B16" w14:textId="77777777" w:rsidR="00B30F9A" w:rsidRDefault="00B30F9A" w:rsidP="00B30F9A">
      <w:pPr>
        <w:spacing w:after="0"/>
        <w:jc w:val="both"/>
        <w:rPr>
          <w:rFonts w:ascii="Arial" w:hAnsi="Arial" w:cs="Arial"/>
          <w:sz w:val="20"/>
          <w:szCs w:val="20"/>
          <w:lang w:eastAsia="en-GB"/>
        </w:rPr>
      </w:pPr>
    </w:p>
    <w:p w14:paraId="2D3BA647" w14:textId="17DB1215" w:rsidR="000B5454" w:rsidRPr="00E84F14" w:rsidRDefault="000B5454" w:rsidP="00E84F14">
      <w:pPr>
        <w:jc w:val="both"/>
        <w:rPr>
          <w:rFonts w:ascii="Arial" w:hAnsi="Arial" w:cs="Arial"/>
          <w:sz w:val="20"/>
          <w:szCs w:val="20"/>
          <w:lang w:eastAsia="en-GB"/>
        </w:rPr>
      </w:pPr>
      <w:r w:rsidRPr="00E84F14">
        <w:rPr>
          <w:rFonts w:ascii="Arial" w:hAnsi="Arial" w:cs="Arial"/>
          <w:sz w:val="20"/>
          <w:szCs w:val="20"/>
          <w:lang w:eastAsia="en-GB"/>
        </w:rPr>
        <w:t>The projection of variables onto the correlation circle is presented in Fig</w:t>
      </w:r>
      <w:r w:rsidR="00AC61C5">
        <w:rPr>
          <w:rFonts w:ascii="Arial" w:hAnsi="Arial" w:cs="Arial"/>
          <w:sz w:val="20"/>
          <w:szCs w:val="20"/>
          <w:lang w:eastAsia="en-GB"/>
        </w:rPr>
        <w:t>ure</w:t>
      </w:r>
      <w:r w:rsidRPr="00E84F14">
        <w:rPr>
          <w:rFonts w:ascii="Arial" w:hAnsi="Arial" w:cs="Arial"/>
          <w:sz w:val="20"/>
          <w:szCs w:val="20"/>
          <w:lang w:eastAsia="en-GB"/>
        </w:rPr>
        <w:t xml:space="preserve"> 3. The projection of variables in the factorial plane (Figure 3) revealed that most of them are well represented. Indeed, the variables </w:t>
      </w:r>
      <w:r w:rsidR="00B30F9A" w:rsidRPr="00B30F9A">
        <w:rPr>
          <w:rFonts w:ascii="Arial" w:hAnsi="Arial" w:cs="Arial"/>
          <w:sz w:val="20"/>
          <w:szCs w:val="20"/>
          <w:lang w:eastAsia="en-GB"/>
        </w:rPr>
        <w:t>Yield</w:t>
      </w:r>
      <w:r w:rsidRPr="00B30F9A">
        <w:rPr>
          <w:rFonts w:ascii="Arial" w:hAnsi="Arial" w:cs="Arial"/>
          <w:sz w:val="20"/>
          <w:szCs w:val="20"/>
          <w:lang w:eastAsia="en-GB"/>
        </w:rPr>
        <w:t xml:space="preserve">, </w:t>
      </w:r>
      <w:r w:rsidR="00B30F9A" w:rsidRPr="00B30F9A">
        <w:rPr>
          <w:rFonts w:ascii="Arial" w:hAnsi="Arial" w:cs="Arial"/>
          <w:sz w:val="20"/>
          <w:szCs w:val="20"/>
          <w:lang w:eastAsia="en-GB"/>
        </w:rPr>
        <w:t>Plant height</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weight,</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height</w:t>
      </w:r>
      <w:r w:rsidRPr="00B30F9A">
        <w:rPr>
          <w:rFonts w:ascii="Arial" w:hAnsi="Arial" w:cs="Arial"/>
          <w:sz w:val="20"/>
          <w:szCs w:val="20"/>
          <w:lang w:eastAsia="en-GB"/>
        </w:rPr>
        <w:t xml:space="preserve">, </w:t>
      </w:r>
      <w:r w:rsidR="00B30F9A" w:rsidRPr="00B30F9A">
        <w:rPr>
          <w:rFonts w:ascii="Arial" w:hAnsi="Arial" w:cs="Arial"/>
          <w:sz w:val="20"/>
          <w:szCs w:val="20"/>
          <w:lang w:eastAsia="en-GB"/>
        </w:rPr>
        <w:t>Days to anthesis,</w:t>
      </w:r>
      <w:r w:rsidRPr="00B30F9A">
        <w:rPr>
          <w:rFonts w:ascii="Arial" w:hAnsi="Arial" w:cs="Arial"/>
          <w:sz w:val="20"/>
          <w:szCs w:val="20"/>
          <w:lang w:eastAsia="en-GB"/>
        </w:rPr>
        <w:t xml:space="preserve"> </w:t>
      </w:r>
      <w:r w:rsidR="00B30F9A" w:rsidRPr="00B30F9A">
        <w:rPr>
          <w:rFonts w:ascii="Arial" w:hAnsi="Arial" w:cs="Arial"/>
          <w:sz w:val="20"/>
          <w:szCs w:val="20"/>
          <w:lang w:eastAsia="en-GB"/>
        </w:rPr>
        <w:t>Days to silking,</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length</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diameter</w:t>
      </w:r>
      <w:r w:rsidRPr="00B30F9A">
        <w:rPr>
          <w:rFonts w:ascii="Arial" w:hAnsi="Arial" w:cs="Arial"/>
          <w:sz w:val="20"/>
          <w:szCs w:val="20"/>
          <w:lang w:eastAsia="en-GB"/>
        </w:rPr>
        <w:t xml:space="preserve">, and </w:t>
      </w:r>
      <w:r w:rsidR="00B30F9A" w:rsidRPr="00B30F9A">
        <w:rPr>
          <w:rFonts w:ascii="Arial" w:hAnsi="Arial" w:cs="Arial"/>
          <w:sz w:val="20"/>
          <w:szCs w:val="20"/>
          <w:lang w:eastAsia="en-GB"/>
        </w:rPr>
        <w:t>100-grain weight</w:t>
      </w:r>
      <w:r w:rsidRPr="00E84F14">
        <w:rPr>
          <w:rFonts w:ascii="Arial" w:hAnsi="Arial" w:cs="Arial"/>
          <w:sz w:val="20"/>
          <w:szCs w:val="20"/>
          <w:lang w:eastAsia="en-GB"/>
        </w:rPr>
        <w:t xml:space="preserve"> exhibit strong discriminating power, as their representative vectors are close to the circle radius, with the exception of </w:t>
      </w:r>
      <w:r w:rsidR="00B30F9A" w:rsidRPr="00B30F9A">
        <w:rPr>
          <w:rFonts w:ascii="Arial" w:hAnsi="Arial" w:cs="Arial"/>
          <w:sz w:val="20"/>
          <w:szCs w:val="20"/>
          <w:lang w:eastAsia="en-GB"/>
        </w:rPr>
        <w:t>Stem diameter at base</w:t>
      </w:r>
      <w:r w:rsidRPr="00B30F9A">
        <w:rPr>
          <w:rFonts w:ascii="Arial" w:hAnsi="Arial" w:cs="Arial"/>
          <w:sz w:val="20"/>
          <w:szCs w:val="20"/>
          <w:lang w:eastAsia="en-GB"/>
        </w:rPr>
        <w:t xml:space="preserve"> and </w:t>
      </w:r>
      <w:r w:rsidR="00B30F9A" w:rsidRPr="00B30F9A">
        <w:rPr>
          <w:rFonts w:ascii="Arial" w:hAnsi="Arial" w:cs="Arial"/>
          <w:sz w:val="20"/>
          <w:szCs w:val="20"/>
          <w:lang w:eastAsia="en-GB"/>
        </w:rPr>
        <w:t>Number of leaves</w:t>
      </w:r>
      <w:r w:rsidRPr="00E84F14">
        <w:rPr>
          <w:rFonts w:ascii="Arial" w:hAnsi="Arial" w:cs="Arial"/>
          <w:sz w:val="20"/>
          <w:szCs w:val="20"/>
          <w:lang w:eastAsia="en-GB"/>
        </w:rPr>
        <w:t xml:space="preserve">. Furthermore, the degree of association among the different variables, represented by the geometric angles between these vectors, is relatively low. This observation confirms the correlations previously identified in the correlation matrix. The principal component analysis highlighted a clear structuring of the studied traits, consistent with the experimental results obtained. The principal axis (Dim 1) is strongly associated with growth and yield-related traits, particularly plant height, ear height, 100-grain weight, and grain yield, all of which show high positive correlations. This relationship highlights the importance of vegetative </w:t>
      </w:r>
      <w:proofErr w:type="spellStart"/>
      <w:r w:rsidRPr="00E84F14">
        <w:rPr>
          <w:rFonts w:ascii="Arial" w:hAnsi="Arial" w:cs="Arial"/>
          <w:sz w:val="20"/>
          <w:szCs w:val="20"/>
          <w:lang w:eastAsia="en-GB"/>
        </w:rPr>
        <w:t>vigor</w:t>
      </w:r>
      <w:proofErr w:type="spellEnd"/>
      <w:r w:rsidRPr="00E84F14">
        <w:rPr>
          <w:rFonts w:ascii="Arial" w:hAnsi="Arial" w:cs="Arial"/>
          <w:sz w:val="20"/>
          <w:szCs w:val="20"/>
          <w:lang w:eastAsia="en-GB"/>
        </w:rPr>
        <w:t xml:space="preserve"> in determining agronomic performance, as observed in our results where the most vigorous lines exhibited the highest yields. Recent studies have demonstrated that growth parameters, especially biomass and plant architecture, are strongly correlated with maize yield (Badu-</w:t>
      </w:r>
      <w:proofErr w:type="spellStart"/>
      <w:r w:rsidRPr="00E84F14">
        <w:rPr>
          <w:rFonts w:ascii="Arial" w:hAnsi="Arial" w:cs="Arial"/>
          <w:sz w:val="20"/>
          <w:szCs w:val="20"/>
          <w:lang w:eastAsia="en-GB"/>
        </w:rPr>
        <w:t>Apraku</w:t>
      </w:r>
      <w:proofErr w:type="spellEnd"/>
      <w:r w:rsidRPr="00E84F14">
        <w:rPr>
          <w:rFonts w:ascii="Arial" w:hAnsi="Arial" w:cs="Arial"/>
          <w:sz w:val="20"/>
          <w:szCs w:val="20"/>
          <w:lang w:eastAsia="en-GB"/>
        </w:rPr>
        <w:t xml:space="preserve"> et al., 2021; </w:t>
      </w:r>
      <w:proofErr w:type="spellStart"/>
      <w:r w:rsidRPr="00E84F14">
        <w:rPr>
          <w:rFonts w:ascii="Arial" w:hAnsi="Arial" w:cs="Arial"/>
          <w:sz w:val="20"/>
          <w:szCs w:val="20"/>
          <w:lang w:eastAsia="en-GB"/>
        </w:rPr>
        <w:t>Menkir</w:t>
      </w:r>
      <w:proofErr w:type="spellEnd"/>
      <w:r w:rsidRPr="00E84F14">
        <w:rPr>
          <w:rFonts w:ascii="Arial" w:hAnsi="Arial" w:cs="Arial"/>
          <w:sz w:val="20"/>
          <w:szCs w:val="20"/>
          <w:lang w:eastAsia="en-GB"/>
        </w:rPr>
        <w:t xml:space="preserve"> et al., 2022). In contrast, phenological traits, particularly days to anthesis and days to silking, are negatively correlated with yield-related variables, suggesting that late-maturing lines exhibit lower agronomic performance under the conditions of our study. This result is consistent with several recent studies indicating that the synchronization of phenological stages, especially flowering, plays a crucial role in yield determination, particularly under environmental stress conditions (Cairns et al., 2020; Messina et al., 2021). Furthermore, certain traits such as the number of leaves show weak correlations with yield components, suggesting that their contribution is indirect and depends on their interaction with other physiological traits, such as photosynthetic efficiency or assimilate allocation (Zhang et al., 2022).</w:t>
      </w:r>
    </w:p>
    <w:p w14:paraId="6F302FBC" w14:textId="47DEDF1C" w:rsidR="00E90661" w:rsidRPr="00EC6C5F" w:rsidRDefault="00376FA0" w:rsidP="00376FA0">
      <w:pPr>
        <w:spacing w:after="0" w:line="360" w:lineRule="auto"/>
        <w:jc w:val="center"/>
        <w:rPr>
          <w:rFonts w:cs="Times New Roman"/>
          <w:color w:val="000000"/>
          <w:szCs w:val="24"/>
          <w:lang w:val="fr-FR"/>
        </w:rPr>
      </w:pPr>
      <w:r w:rsidRPr="00376FA0">
        <w:rPr>
          <w:noProof/>
          <w:lang w:eastAsia="en-GB"/>
        </w:rPr>
        <w:lastRenderedPageBreak/>
        <w:drawing>
          <wp:inline distT="0" distB="0" distL="0" distR="0" wp14:anchorId="0BC98237" wp14:editId="07275B21">
            <wp:extent cx="3960000" cy="3820780"/>
            <wp:effectExtent l="0" t="0" r="2540" b="8890"/>
            <wp:docPr id="16981620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3820780"/>
                    </a:xfrm>
                    <a:prstGeom prst="rect">
                      <a:avLst/>
                    </a:prstGeom>
                    <a:noFill/>
                    <a:ln>
                      <a:noFill/>
                    </a:ln>
                  </pic:spPr>
                </pic:pic>
              </a:graphicData>
            </a:graphic>
          </wp:inline>
        </w:drawing>
      </w:r>
    </w:p>
    <w:p w14:paraId="0A8D181E" w14:textId="03F3AA8F" w:rsidR="001A6DFB" w:rsidRPr="00B74ECD" w:rsidRDefault="00F81021" w:rsidP="00632420">
      <w:pPr>
        <w:spacing w:after="0" w:line="240" w:lineRule="auto"/>
        <w:jc w:val="both"/>
        <w:rPr>
          <w:rFonts w:ascii="Arial" w:eastAsia="Times New Roman" w:hAnsi="Arial" w:cs="Arial"/>
          <w:sz w:val="20"/>
          <w:szCs w:val="20"/>
          <w:lang w:eastAsia="en-GB"/>
        </w:rPr>
      </w:pPr>
      <w:r w:rsidRPr="00B74ECD">
        <w:rPr>
          <w:rFonts w:ascii="Arial" w:eastAsia="Times New Roman" w:hAnsi="Arial" w:cs="Arial"/>
          <w:b/>
          <w:bCs/>
          <w:sz w:val="20"/>
          <w:szCs w:val="20"/>
          <w:lang w:eastAsia="en-GB"/>
        </w:rPr>
        <w:t>Figure 3. Projection of variables onto the correlation circle (axes 1 and 2)</w:t>
      </w:r>
    </w:p>
    <w:p w14:paraId="63D0CCC1" w14:textId="77777777" w:rsidR="00632420" w:rsidRDefault="00632420" w:rsidP="00B30F9A">
      <w:pPr>
        <w:pStyle w:val="Heading3"/>
      </w:pPr>
    </w:p>
    <w:p w14:paraId="13B5C84D" w14:textId="5C0FC3A1" w:rsidR="00F81021" w:rsidRPr="00F81021" w:rsidRDefault="008359B0" w:rsidP="00B30F9A">
      <w:pPr>
        <w:pStyle w:val="Heading3"/>
      </w:pPr>
      <w:r w:rsidRPr="00F81021">
        <w:t>3.4.3 Projection of Individuals and Hierarchical Classification of Lines</w:t>
      </w:r>
    </w:p>
    <w:p w14:paraId="3FD1F256" w14:textId="77777777" w:rsidR="00F81021" w:rsidRPr="003C25CE" w:rsidRDefault="00F81021" w:rsidP="003C25CE">
      <w:pPr>
        <w:jc w:val="both"/>
        <w:rPr>
          <w:rFonts w:ascii="Arial" w:hAnsi="Arial" w:cs="Arial"/>
          <w:sz w:val="20"/>
          <w:szCs w:val="20"/>
          <w:lang w:eastAsia="en-GB"/>
        </w:rPr>
      </w:pPr>
      <w:r w:rsidRPr="003C25CE">
        <w:rPr>
          <w:rFonts w:ascii="Arial" w:hAnsi="Arial" w:cs="Arial"/>
          <w:sz w:val="20"/>
          <w:szCs w:val="20"/>
          <w:lang w:eastAsia="en-GB"/>
        </w:rPr>
        <w:t>The observation of the distribution of individuals in the factorial plane of Figure 4 reveals four main groups. Group 1 (black) consists of lines L37 and L27; Group 2 (red) includes lines L33, L25, L22, and L26; Group 3 (green) comprises lines L30 and L29; and Group 4 (blue) corresponds to the controls T01 and T02. This structuring enabled the clear identification of lines exhibiting superior performance. In particular, genotypes located close to the controls T01 and T02, especially those in Group 2 (L25, L33, L22, and L26), appear as elite candidate lines, characterized by a positive association with growth traits and yield components. This result is consistent with the findings of Badu-</w:t>
      </w:r>
      <w:proofErr w:type="spellStart"/>
      <w:r w:rsidRPr="003C25CE">
        <w:rPr>
          <w:rFonts w:ascii="Arial" w:hAnsi="Arial" w:cs="Arial"/>
          <w:sz w:val="20"/>
          <w:szCs w:val="20"/>
          <w:lang w:eastAsia="en-GB"/>
        </w:rPr>
        <w:t>Apraku</w:t>
      </w:r>
      <w:proofErr w:type="spellEnd"/>
      <w:r w:rsidRPr="003C25CE">
        <w:rPr>
          <w:rFonts w:ascii="Arial" w:hAnsi="Arial" w:cs="Arial"/>
          <w:sz w:val="20"/>
          <w:szCs w:val="20"/>
          <w:lang w:eastAsia="en-GB"/>
        </w:rPr>
        <w:t xml:space="preserve"> et al. (2021), who emphasized the importance of identifying high-performing genotypes for breeding programs in sub-Saharan Africa. In contrast, lines from Group 1 (L27 and L37), associated with phenological traits (DA and DS), exhibit longer growth cycles and lower agronomic performance. This differentiation confirms the decisive role of earliness in yield expression, particularly under tropical conditions (Cairns et al., 2020). Furthermore, the distribution of lines across the different quadrants of the factorial plane highlights substantial genetic variability, likely resulting from the effect of irradiation. Indeed, mutagenesis is known to induce phenotypic modifications and increase the genetic diversity exploitable in plant breeding programs (Rasmussen et al., 2024; Abiodun et al., 2025). The presence of distinct groups of lines with contrasting profiles confirms that the mutagenic treatment generated significant differentiation within the plant material. Thus, PCA not only enabled an effective discrimination of the lines but also facilitated the identification of promising genotypes and highlighted the extent of the induced variability, which constitutes a major asset for maize breeding programs. The dendrogram (Figure 5), derived from hierarchical cluster analysis (HCA) using Ward’s aggregation method, illustrates the grouping of the studied genotypes based on their similarity according to the measured traits. This dendrogram confirms the structuring of the lines into four distinct groups, in perfect agreement with the PCA results.</w:t>
      </w:r>
    </w:p>
    <w:p w14:paraId="2A2E2B19" w14:textId="0080C039" w:rsidR="00632420" w:rsidRPr="00B41049" w:rsidRDefault="001B1D06" w:rsidP="00B41049">
      <w:pPr>
        <w:spacing w:line="360" w:lineRule="auto"/>
        <w:jc w:val="both"/>
        <w:rPr>
          <w:rFonts w:cs="Times New Roman"/>
          <w:color w:val="000000"/>
          <w:szCs w:val="24"/>
        </w:rPr>
      </w:pPr>
      <w:r>
        <w:rPr>
          <w:rFonts w:cs="Times New Roman"/>
          <w:noProof/>
          <w:color w:val="000000"/>
          <w:szCs w:val="24"/>
          <w:lang w:eastAsia="en-GB"/>
        </w:rPr>
        <w:lastRenderedPageBreak/>
        <w:drawing>
          <wp:anchor distT="0" distB="0" distL="114300" distR="114300" simplePos="0" relativeHeight="251675648" behindDoc="0" locked="0" layoutInCell="1" allowOverlap="1" wp14:anchorId="46DB9222" wp14:editId="43CDA018">
            <wp:simplePos x="0" y="0"/>
            <wp:positionH relativeFrom="column">
              <wp:posOffset>1085850</wp:posOffset>
            </wp:positionH>
            <wp:positionV relativeFrom="page">
              <wp:posOffset>914400</wp:posOffset>
            </wp:positionV>
            <wp:extent cx="3743325" cy="3889375"/>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3889375"/>
                    </a:xfrm>
                    <a:prstGeom prst="rect">
                      <a:avLst/>
                    </a:prstGeom>
                    <a:noFill/>
                  </pic:spPr>
                </pic:pic>
              </a:graphicData>
            </a:graphic>
          </wp:anchor>
        </w:drawing>
      </w:r>
      <w:r w:rsidR="00D24509">
        <w:rPr>
          <w:rFonts w:ascii="Aptos" w:eastAsia="Aptos" w:hAnsi="Aptos" w:cs="Times New Roman"/>
          <w:noProof/>
          <w:szCs w:val="24"/>
          <w:lang w:eastAsia="en-GB"/>
        </w:rPr>
        <mc:AlternateContent>
          <mc:Choice Requires="wps">
            <w:drawing>
              <wp:anchor distT="0" distB="0" distL="114300" distR="114300" simplePos="0" relativeHeight="251661312" behindDoc="0" locked="0" layoutInCell="1" allowOverlap="1" wp14:anchorId="1CA0D006" wp14:editId="555F660C">
                <wp:simplePos x="0" y="0"/>
                <wp:positionH relativeFrom="column">
                  <wp:posOffset>357188</wp:posOffset>
                </wp:positionH>
                <wp:positionV relativeFrom="paragraph">
                  <wp:posOffset>3503295</wp:posOffset>
                </wp:positionV>
                <wp:extent cx="2914650" cy="509588"/>
                <wp:effectExtent l="0" t="0" r="0" b="0"/>
                <wp:wrapNone/>
                <wp:docPr id="685360500" name="Rectangle 4"/>
                <wp:cNvGraphicFramePr/>
                <a:graphic xmlns:a="http://schemas.openxmlformats.org/drawingml/2006/main">
                  <a:graphicData uri="http://schemas.microsoft.com/office/word/2010/wordprocessingShape">
                    <wps:wsp>
                      <wps:cNvSpPr/>
                      <wps:spPr>
                        <a:xfrm>
                          <a:off x="0" y="0"/>
                          <a:ext cx="2914650" cy="5095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53CDD" id="Rectangle 4" o:spid="_x0000_s1026" style="position:absolute;margin-left:28.15pt;margin-top:275.85pt;width:229.5pt;height:4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" filled="f" stroked="f" strokeweight="1pt"/>
            </w:pict>
          </mc:Fallback>
        </mc:AlternateContent>
      </w:r>
    </w:p>
    <w:p w14:paraId="1DDD69E1" w14:textId="77777777" w:rsidR="00E52CF8" w:rsidRDefault="00E52CF8" w:rsidP="001B1D06"/>
    <w:p w14:paraId="355F621E" w14:textId="77777777" w:rsidR="001B1D06" w:rsidRDefault="001B1D06" w:rsidP="001B1D06"/>
    <w:p w14:paraId="2743EF25" w14:textId="77777777" w:rsidR="001B1D06" w:rsidRDefault="001B1D06" w:rsidP="001B1D06"/>
    <w:p w14:paraId="743A1489" w14:textId="77777777" w:rsidR="001B1D06" w:rsidRDefault="001B1D06" w:rsidP="001B1D06"/>
    <w:p w14:paraId="7332D184" w14:textId="77777777" w:rsidR="001B1D06" w:rsidRDefault="001B1D06" w:rsidP="001B1D06"/>
    <w:p w14:paraId="7F9C97A1" w14:textId="77777777" w:rsidR="001B1D06" w:rsidRDefault="001B1D06" w:rsidP="001B1D06"/>
    <w:p w14:paraId="3572043C" w14:textId="77777777" w:rsidR="001B1D06" w:rsidRDefault="001B1D06" w:rsidP="001B1D06"/>
    <w:p w14:paraId="7219384D" w14:textId="77777777" w:rsidR="001B1D06" w:rsidRDefault="001B1D06" w:rsidP="001B1D06"/>
    <w:p w14:paraId="4C91DF41" w14:textId="77777777" w:rsidR="001B1D06" w:rsidRDefault="001B1D06" w:rsidP="001B1D06"/>
    <w:p w14:paraId="132E8F11" w14:textId="77777777" w:rsidR="001B1D06" w:rsidRDefault="001B1D06" w:rsidP="001B1D06"/>
    <w:p w14:paraId="7C333977" w14:textId="77777777" w:rsidR="001B1D06" w:rsidRDefault="001B1D06" w:rsidP="001B1D06"/>
    <w:p w14:paraId="54309692" w14:textId="77777777" w:rsidR="001B1D06" w:rsidRDefault="001B1D06" w:rsidP="001B1D06"/>
    <w:p w14:paraId="670D411E" w14:textId="511C3FEF" w:rsidR="001B1D06" w:rsidRDefault="005A4E1F" w:rsidP="001B1D06">
      <w:r>
        <w:rPr>
          <w:noProof/>
        </w:rPr>
        <mc:AlternateContent>
          <mc:Choice Requires="wps">
            <w:drawing>
              <wp:anchor distT="0" distB="0" distL="114300" distR="114300" simplePos="0" relativeHeight="251677696" behindDoc="0" locked="0" layoutInCell="1" allowOverlap="1" wp14:anchorId="23E5FA48" wp14:editId="0943D7DD">
                <wp:simplePos x="0" y="0"/>
                <wp:positionH relativeFrom="column">
                  <wp:posOffset>1162050</wp:posOffset>
                </wp:positionH>
                <wp:positionV relativeFrom="paragraph">
                  <wp:posOffset>71120</wp:posOffset>
                </wp:positionV>
                <wp:extent cx="4086225" cy="219075"/>
                <wp:effectExtent l="0" t="0" r="9525" b="9525"/>
                <wp:wrapSquare wrapText="bothSides"/>
                <wp:docPr id="6" name="Zone de texte 6"/>
                <wp:cNvGraphicFramePr/>
                <a:graphic xmlns:a="http://schemas.openxmlformats.org/drawingml/2006/main">
                  <a:graphicData uri="http://schemas.microsoft.com/office/word/2010/wordprocessingShape">
                    <wps:wsp>
                      <wps:cNvSpPr txBox="1"/>
                      <wps:spPr>
                        <a:xfrm>
                          <a:off x="0" y="0"/>
                          <a:ext cx="4086225" cy="219075"/>
                        </a:xfrm>
                        <a:prstGeom prst="rect">
                          <a:avLst/>
                        </a:prstGeom>
                        <a:solidFill>
                          <a:prstClr val="white"/>
                        </a:solidFill>
                        <a:ln>
                          <a:noFill/>
                        </a:ln>
                        <a:effectLst/>
                      </wps:spPr>
                      <wps:txbx>
                        <w:txbxContent>
                          <w:p w14:paraId="6BAB16CA" w14:textId="6E08C80A" w:rsidR="003F08BD" w:rsidRPr="00AE4B45" w:rsidRDefault="003F08BD" w:rsidP="003F08BD">
                            <w:pPr>
                              <w:pStyle w:val="Caption"/>
                              <w:jc w:val="both"/>
                              <w:rPr>
                                <w:rFonts w:ascii="Arial" w:hAnsi="Arial" w:cs="Arial"/>
                                <w:b/>
                                <w:i w:val="0"/>
                                <w:noProof/>
                                <w:color w:val="auto"/>
                                <w:sz w:val="28"/>
                                <w:szCs w:val="24"/>
                              </w:rPr>
                            </w:pPr>
                            <w:r w:rsidRPr="00AE4B45">
                              <w:rPr>
                                <w:rFonts w:ascii="Arial" w:hAnsi="Arial" w:cs="Arial"/>
                                <w:b/>
                                <w:i w:val="0"/>
                                <w:color w:val="auto"/>
                                <w:sz w:val="20"/>
                              </w:rPr>
                              <w:t>Figure 4. Projection of lines onto the factorial plane (axes 1 and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FA48" id="Zone de texte 6" o:spid="_x0000_s1028" type="#_x0000_t202" style="position:absolute;margin-left:91.5pt;margin-top:5.6pt;width:321.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" stroked="f">
                <v:textbox inset="0,0,0,0">
                  <w:txbxContent>
                    <w:p w14:paraId="6BAB16CA" w14:textId="6E08C80A" w:rsidR="003F08BD" w:rsidRPr="00AE4B45" w:rsidRDefault="003F08BD" w:rsidP="003F08BD">
                      <w:pPr>
                        <w:pStyle w:val="Caption"/>
                        <w:jc w:val="both"/>
                        <w:rPr>
                          <w:rFonts w:ascii="Arial" w:hAnsi="Arial" w:cs="Arial"/>
                          <w:b/>
                          <w:i w:val="0"/>
                          <w:noProof/>
                          <w:color w:val="auto"/>
                          <w:sz w:val="28"/>
                          <w:szCs w:val="24"/>
                        </w:rPr>
                      </w:pPr>
                      <w:r w:rsidRPr="00AE4B45">
                        <w:rPr>
                          <w:rFonts w:ascii="Arial" w:hAnsi="Arial" w:cs="Arial"/>
                          <w:b/>
                          <w:i w:val="0"/>
                          <w:color w:val="auto"/>
                          <w:sz w:val="20"/>
                        </w:rPr>
                        <w:t>Figure 4. Projection of lines onto the factorial plane (axes 1 and 2)</w:t>
                      </w:r>
                    </w:p>
                  </w:txbxContent>
                </v:textbox>
                <w10:wrap type="square"/>
              </v:shape>
            </w:pict>
          </mc:Fallback>
        </mc:AlternateContent>
      </w:r>
    </w:p>
    <w:p w14:paraId="5233B1C8" w14:textId="5C39DA2B" w:rsidR="00E52CF8" w:rsidRDefault="005A4E1F" w:rsidP="00632420">
      <w:pPr>
        <w:keepNext/>
        <w:keepLines/>
        <w:spacing w:after="0"/>
        <w:outlineLvl w:val="0"/>
        <w:rPr>
          <w:rFonts w:ascii="Arial" w:eastAsiaTheme="majorEastAsia" w:hAnsi="Arial" w:cs="Arial"/>
          <w:b/>
          <w:sz w:val="22"/>
        </w:rPr>
      </w:pPr>
      <w:r w:rsidRPr="00125972">
        <w:rPr>
          <w:noProof/>
          <w:lang w:eastAsia="en-GB"/>
        </w:rPr>
        <w:drawing>
          <wp:anchor distT="0" distB="0" distL="114300" distR="114300" simplePos="0" relativeHeight="251679744" behindDoc="0" locked="0" layoutInCell="1" allowOverlap="1" wp14:anchorId="05AF1938" wp14:editId="17192195">
            <wp:simplePos x="0" y="0"/>
            <wp:positionH relativeFrom="column">
              <wp:posOffset>1600200</wp:posOffset>
            </wp:positionH>
            <wp:positionV relativeFrom="paragraph">
              <wp:posOffset>67945</wp:posOffset>
            </wp:positionV>
            <wp:extent cx="3543300" cy="3406775"/>
            <wp:effectExtent l="0" t="0" r="0" b="3175"/>
            <wp:wrapSquare wrapText="bothSides"/>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356" r="17848" b="4956"/>
                    <a:stretch>
                      <a:fillRect/>
                    </a:stretch>
                  </pic:blipFill>
                  <pic:spPr bwMode="auto">
                    <a:xfrm>
                      <a:off x="0" y="0"/>
                      <a:ext cx="3543300" cy="340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825B7" w14:textId="2EE06E17" w:rsidR="00E52CF8" w:rsidRDefault="00E52CF8" w:rsidP="00632420">
      <w:pPr>
        <w:keepNext/>
        <w:keepLines/>
        <w:spacing w:after="0"/>
        <w:outlineLvl w:val="0"/>
        <w:rPr>
          <w:rFonts w:ascii="Arial" w:eastAsiaTheme="majorEastAsia" w:hAnsi="Arial" w:cs="Arial"/>
          <w:b/>
          <w:sz w:val="22"/>
        </w:rPr>
      </w:pPr>
    </w:p>
    <w:p w14:paraId="190BB214" w14:textId="77777777" w:rsidR="00E52CF8" w:rsidRDefault="00E52CF8" w:rsidP="00632420">
      <w:pPr>
        <w:keepNext/>
        <w:keepLines/>
        <w:spacing w:after="0"/>
        <w:outlineLvl w:val="0"/>
        <w:rPr>
          <w:rFonts w:ascii="Arial" w:eastAsiaTheme="majorEastAsia" w:hAnsi="Arial" w:cs="Arial"/>
          <w:b/>
          <w:sz w:val="22"/>
        </w:rPr>
      </w:pPr>
    </w:p>
    <w:p w14:paraId="70BB5F83" w14:textId="77777777" w:rsidR="00E52CF8" w:rsidRDefault="00E52CF8" w:rsidP="00632420">
      <w:pPr>
        <w:keepNext/>
        <w:keepLines/>
        <w:spacing w:after="0"/>
        <w:outlineLvl w:val="0"/>
        <w:rPr>
          <w:rFonts w:ascii="Arial" w:eastAsiaTheme="majorEastAsia" w:hAnsi="Arial" w:cs="Arial"/>
          <w:b/>
          <w:sz w:val="22"/>
        </w:rPr>
      </w:pPr>
    </w:p>
    <w:p w14:paraId="5F4C11E9" w14:textId="77777777" w:rsidR="00E52CF8" w:rsidRDefault="00E52CF8" w:rsidP="00632420">
      <w:pPr>
        <w:keepNext/>
        <w:keepLines/>
        <w:spacing w:after="0"/>
        <w:outlineLvl w:val="0"/>
        <w:rPr>
          <w:rFonts w:ascii="Arial" w:eastAsiaTheme="majorEastAsia" w:hAnsi="Arial" w:cs="Arial"/>
          <w:b/>
          <w:sz w:val="22"/>
        </w:rPr>
      </w:pPr>
    </w:p>
    <w:p w14:paraId="782EEEF0" w14:textId="77777777" w:rsidR="005A4E1F" w:rsidRDefault="005A4E1F" w:rsidP="00632420">
      <w:pPr>
        <w:keepNext/>
        <w:keepLines/>
        <w:spacing w:after="0"/>
        <w:outlineLvl w:val="0"/>
        <w:rPr>
          <w:rFonts w:ascii="Arial" w:eastAsiaTheme="majorEastAsia" w:hAnsi="Arial" w:cs="Arial"/>
          <w:b/>
          <w:sz w:val="22"/>
        </w:rPr>
      </w:pPr>
    </w:p>
    <w:p w14:paraId="3B91684C" w14:textId="77777777" w:rsidR="005A4E1F" w:rsidRDefault="005A4E1F" w:rsidP="00632420">
      <w:pPr>
        <w:keepNext/>
        <w:keepLines/>
        <w:spacing w:after="0"/>
        <w:outlineLvl w:val="0"/>
        <w:rPr>
          <w:rFonts w:ascii="Arial" w:eastAsiaTheme="majorEastAsia" w:hAnsi="Arial" w:cs="Arial"/>
          <w:b/>
          <w:sz w:val="22"/>
        </w:rPr>
      </w:pPr>
    </w:p>
    <w:p w14:paraId="545AEFDE" w14:textId="77777777" w:rsidR="005A4E1F" w:rsidRDefault="005A4E1F" w:rsidP="00632420">
      <w:pPr>
        <w:keepNext/>
        <w:keepLines/>
        <w:spacing w:after="0"/>
        <w:outlineLvl w:val="0"/>
        <w:rPr>
          <w:rFonts w:ascii="Arial" w:eastAsiaTheme="majorEastAsia" w:hAnsi="Arial" w:cs="Arial"/>
          <w:b/>
          <w:sz w:val="22"/>
        </w:rPr>
      </w:pPr>
    </w:p>
    <w:p w14:paraId="3FB103B2" w14:textId="77777777" w:rsidR="005A4E1F" w:rsidRDefault="005A4E1F" w:rsidP="00632420">
      <w:pPr>
        <w:keepNext/>
        <w:keepLines/>
        <w:spacing w:after="0"/>
        <w:outlineLvl w:val="0"/>
        <w:rPr>
          <w:rFonts w:ascii="Arial" w:eastAsiaTheme="majorEastAsia" w:hAnsi="Arial" w:cs="Arial"/>
          <w:b/>
          <w:sz w:val="22"/>
        </w:rPr>
      </w:pPr>
    </w:p>
    <w:p w14:paraId="04E79AA9" w14:textId="77777777" w:rsidR="005A4E1F" w:rsidRDefault="005A4E1F" w:rsidP="00632420">
      <w:pPr>
        <w:keepNext/>
        <w:keepLines/>
        <w:spacing w:after="0"/>
        <w:outlineLvl w:val="0"/>
        <w:rPr>
          <w:rFonts w:ascii="Arial" w:eastAsiaTheme="majorEastAsia" w:hAnsi="Arial" w:cs="Arial"/>
          <w:b/>
          <w:sz w:val="22"/>
        </w:rPr>
      </w:pPr>
    </w:p>
    <w:p w14:paraId="4424F473" w14:textId="77777777" w:rsidR="005A4E1F" w:rsidRDefault="005A4E1F" w:rsidP="00632420">
      <w:pPr>
        <w:keepNext/>
        <w:keepLines/>
        <w:spacing w:after="0"/>
        <w:outlineLvl w:val="0"/>
        <w:rPr>
          <w:rFonts w:ascii="Arial" w:eastAsiaTheme="majorEastAsia" w:hAnsi="Arial" w:cs="Arial"/>
          <w:b/>
          <w:sz w:val="22"/>
        </w:rPr>
      </w:pPr>
    </w:p>
    <w:p w14:paraId="58C2BC50" w14:textId="77777777" w:rsidR="005A4E1F" w:rsidRDefault="005A4E1F" w:rsidP="00632420">
      <w:pPr>
        <w:keepNext/>
        <w:keepLines/>
        <w:spacing w:after="0"/>
        <w:outlineLvl w:val="0"/>
        <w:rPr>
          <w:rFonts w:ascii="Arial" w:eastAsiaTheme="majorEastAsia" w:hAnsi="Arial" w:cs="Arial"/>
          <w:b/>
          <w:sz w:val="22"/>
        </w:rPr>
      </w:pPr>
    </w:p>
    <w:p w14:paraId="41BF2F6A" w14:textId="77777777" w:rsidR="005A4E1F" w:rsidRDefault="005A4E1F" w:rsidP="00632420">
      <w:pPr>
        <w:keepNext/>
        <w:keepLines/>
        <w:spacing w:after="0"/>
        <w:outlineLvl w:val="0"/>
        <w:rPr>
          <w:rFonts w:ascii="Arial" w:eastAsiaTheme="majorEastAsia" w:hAnsi="Arial" w:cs="Arial"/>
          <w:b/>
          <w:sz w:val="22"/>
        </w:rPr>
      </w:pPr>
    </w:p>
    <w:p w14:paraId="5E8AD3FE" w14:textId="77777777" w:rsidR="005A4E1F" w:rsidRDefault="005A4E1F" w:rsidP="00632420">
      <w:pPr>
        <w:keepNext/>
        <w:keepLines/>
        <w:spacing w:after="0"/>
        <w:outlineLvl w:val="0"/>
        <w:rPr>
          <w:rFonts w:ascii="Arial" w:eastAsiaTheme="majorEastAsia" w:hAnsi="Arial" w:cs="Arial"/>
          <w:b/>
          <w:sz w:val="22"/>
        </w:rPr>
      </w:pPr>
    </w:p>
    <w:p w14:paraId="0EF392FD" w14:textId="77777777" w:rsidR="005A4E1F" w:rsidRDefault="005A4E1F" w:rsidP="00632420">
      <w:pPr>
        <w:keepNext/>
        <w:keepLines/>
        <w:spacing w:after="0"/>
        <w:outlineLvl w:val="0"/>
        <w:rPr>
          <w:rFonts w:ascii="Arial" w:eastAsiaTheme="majorEastAsia" w:hAnsi="Arial" w:cs="Arial"/>
          <w:b/>
          <w:sz w:val="22"/>
        </w:rPr>
      </w:pPr>
    </w:p>
    <w:p w14:paraId="315AB3FA" w14:textId="77777777" w:rsidR="005A4E1F" w:rsidRDefault="005A4E1F" w:rsidP="00632420">
      <w:pPr>
        <w:keepNext/>
        <w:keepLines/>
        <w:spacing w:after="0"/>
        <w:outlineLvl w:val="0"/>
        <w:rPr>
          <w:rFonts w:ascii="Arial" w:eastAsiaTheme="majorEastAsia" w:hAnsi="Arial" w:cs="Arial"/>
          <w:b/>
          <w:sz w:val="22"/>
        </w:rPr>
      </w:pPr>
    </w:p>
    <w:p w14:paraId="7FB73CE8" w14:textId="77777777" w:rsidR="005A4E1F" w:rsidRDefault="005A4E1F" w:rsidP="00632420">
      <w:pPr>
        <w:keepNext/>
        <w:keepLines/>
        <w:spacing w:after="0"/>
        <w:outlineLvl w:val="0"/>
        <w:rPr>
          <w:rFonts w:ascii="Arial" w:eastAsiaTheme="majorEastAsia" w:hAnsi="Arial" w:cs="Arial"/>
          <w:b/>
          <w:sz w:val="22"/>
        </w:rPr>
      </w:pPr>
    </w:p>
    <w:p w14:paraId="33A88E3D" w14:textId="77777777" w:rsidR="005A4E1F" w:rsidRDefault="005A4E1F" w:rsidP="00632420">
      <w:pPr>
        <w:keepNext/>
        <w:keepLines/>
        <w:spacing w:after="0"/>
        <w:outlineLvl w:val="0"/>
        <w:rPr>
          <w:rFonts w:ascii="Arial" w:eastAsiaTheme="majorEastAsia" w:hAnsi="Arial" w:cs="Arial"/>
          <w:b/>
          <w:sz w:val="22"/>
        </w:rPr>
      </w:pPr>
    </w:p>
    <w:p w14:paraId="64657AAC" w14:textId="77777777" w:rsidR="005A4E1F" w:rsidRDefault="005A4E1F" w:rsidP="00632420">
      <w:pPr>
        <w:keepNext/>
        <w:keepLines/>
        <w:spacing w:after="0"/>
        <w:outlineLvl w:val="0"/>
        <w:rPr>
          <w:rFonts w:ascii="Arial" w:eastAsiaTheme="majorEastAsia" w:hAnsi="Arial" w:cs="Arial"/>
          <w:b/>
          <w:sz w:val="22"/>
        </w:rPr>
      </w:pPr>
    </w:p>
    <w:p w14:paraId="24200163" w14:textId="77777777" w:rsidR="005A4E1F" w:rsidRDefault="005A4E1F" w:rsidP="00632420">
      <w:pPr>
        <w:keepNext/>
        <w:keepLines/>
        <w:spacing w:after="0"/>
        <w:outlineLvl w:val="0"/>
        <w:rPr>
          <w:rFonts w:ascii="Arial" w:eastAsiaTheme="majorEastAsia" w:hAnsi="Arial" w:cs="Arial"/>
          <w:b/>
          <w:sz w:val="22"/>
        </w:rPr>
      </w:pPr>
    </w:p>
    <w:p w14:paraId="7AE1F1D4" w14:textId="3273949D" w:rsidR="005A4E1F" w:rsidRDefault="009E787D" w:rsidP="00632420">
      <w:pPr>
        <w:keepNext/>
        <w:keepLines/>
        <w:spacing w:after="0"/>
        <w:outlineLvl w:val="0"/>
        <w:rPr>
          <w:rFonts w:ascii="Arial" w:eastAsiaTheme="majorEastAsia" w:hAnsi="Arial" w:cs="Arial"/>
          <w:b/>
          <w:sz w:val="22"/>
        </w:rPr>
      </w:pPr>
      <w:r>
        <w:rPr>
          <w:noProof/>
        </w:rPr>
        <mc:AlternateContent>
          <mc:Choice Requires="wps">
            <w:drawing>
              <wp:anchor distT="0" distB="0" distL="114300" distR="114300" simplePos="0" relativeHeight="251681792" behindDoc="0" locked="0" layoutInCell="1" allowOverlap="1" wp14:anchorId="2AE30A95" wp14:editId="7079BE45">
                <wp:simplePos x="0" y="0"/>
                <wp:positionH relativeFrom="column">
                  <wp:posOffset>1390650</wp:posOffset>
                </wp:positionH>
                <wp:positionV relativeFrom="paragraph">
                  <wp:posOffset>66040</wp:posOffset>
                </wp:positionV>
                <wp:extent cx="4667250" cy="2095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4667250" cy="209550"/>
                        </a:xfrm>
                        <a:prstGeom prst="rect">
                          <a:avLst/>
                        </a:prstGeom>
                        <a:solidFill>
                          <a:prstClr val="white"/>
                        </a:solidFill>
                        <a:ln>
                          <a:noFill/>
                        </a:ln>
                        <a:effectLst/>
                      </wps:spPr>
                      <wps:txbx>
                        <w:txbxContent>
                          <w:p w14:paraId="741E8AFB" w14:textId="1C562EEE" w:rsidR="009E787D" w:rsidRPr="00AE4B45" w:rsidRDefault="009E787D" w:rsidP="00AE4B45">
                            <w:pPr>
                              <w:pStyle w:val="Caption"/>
                              <w:rPr>
                                <w:rFonts w:ascii="Arial" w:hAnsi="Arial" w:cs="Arial"/>
                                <w:b/>
                                <w:i w:val="0"/>
                                <w:noProof/>
                                <w:color w:val="auto"/>
                                <w:sz w:val="28"/>
                              </w:rPr>
                            </w:pPr>
                            <w:r w:rsidRPr="00AE4B45">
                              <w:rPr>
                                <w:rFonts w:ascii="Arial" w:hAnsi="Arial" w:cs="Arial"/>
                                <w:b/>
                                <w:i w:val="0"/>
                                <w:color w:val="auto"/>
                                <w:sz w:val="20"/>
                              </w:rPr>
                              <w:t>Figure 5. Dendrogram of hierarchical classification of lines (Ward’s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0A95" id="Zone de texte 8" o:spid="_x0000_s1029" type="#_x0000_t202" style="position:absolute;margin-left:109.5pt;margin-top:5.2pt;width:367.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" stroked="f">
                <v:textbox inset="0,0,0,0">
                  <w:txbxContent>
                    <w:p w14:paraId="741E8AFB" w14:textId="1C562EEE" w:rsidR="009E787D" w:rsidRPr="00AE4B45" w:rsidRDefault="009E787D" w:rsidP="00AE4B45">
                      <w:pPr>
                        <w:pStyle w:val="Caption"/>
                        <w:rPr>
                          <w:rFonts w:ascii="Arial" w:hAnsi="Arial" w:cs="Arial"/>
                          <w:b/>
                          <w:i w:val="0"/>
                          <w:noProof/>
                          <w:color w:val="auto"/>
                          <w:sz w:val="28"/>
                        </w:rPr>
                      </w:pPr>
                      <w:r w:rsidRPr="00AE4B45">
                        <w:rPr>
                          <w:rFonts w:ascii="Arial" w:hAnsi="Arial" w:cs="Arial"/>
                          <w:b/>
                          <w:i w:val="0"/>
                          <w:color w:val="auto"/>
                          <w:sz w:val="20"/>
                        </w:rPr>
                        <w:t>Figure 5. Dendrogram of hierarchical classification of lines (Ward’s method)</w:t>
                      </w:r>
                    </w:p>
                  </w:txbxContent>
                </v:textbox>
                <w10:wrap type="square"/>
              </v:shape>
            </w:pict>
          </mc:Fallback>
        </mc:AlternateContent>
      </w:r>
    </w:p>
    <w:p w14:paraId="49073B11" w14:textId="77777777" w:rsidR="005A4E1F" w:rsidRDefault="005A4E1F" w:rsidP="00632420">
      <w:pPr>
        <w:keepNext/>
        <w:keepLines/>
        <w:spacing w:after="0"/>
        <w:outlineLvl w:val="0"/>
        <w:rPr>
          <w:rFonts w:ascii="Arial" w:eastAsiaTheme="majorEastAsia" w:hAnsi="Arial" w:cs="Arial"/>
          <w:b/>
          <w:sz w:val="22"/>
        </w:rPr>
      </w:pPr>
    </w:p>
    <w:p w14:paraId="68575271" w14:textId="77777777" w:rsidR="00855969" w:rsidRPr="00855969" w:rsidRDefault="00855969" w:rsidP="00855969">
      <w:pPr>
        <w:keepNext/>
        <w:keepLines/>
        <w:spacing w:after="0" w:line="240" w:lineRule="auto"/>
        <w:jc w:val="both"/>
        <w:outlineLvl w:val="0"/>
        <w:rPr>
          <w:rFonts w:ascii="Arial" w:eastAsiaTheme="majorEastAsia" w:hAnsi="Arial" w:cs="Arial"/>
          <w:b/>
          <w:bCs/>
          <w:sz w:val="22"/>
          <w:lang w:eastAsia="en-GB"/>
        </w:rPr>
      </w:pPr>
      <w:r w:rsidRPr="00855969">
        <w:rPr>
          <w:rFonts w:ascii="Arial" w:eastAsiaTheme="majorEastAsia" w:hAnsi="Arial" w:cs="Arial"/>
          <w:b/>
          <w:bCs/>
          <w:sz w:val="22"/>
          <w:lang w:eastAsia="en-GB"/>
        </w:rPr>
        <w:t>LIMITATIONS OF THE STUDY</w:t>
      </w:r>
    </w:p>
    <w:p w14:paraId="3571C821" w14:textId="77FA0AC0" w:rsidR="005A4E1F" w:rsidRPr="00855969" w:rsidRDefault="00855969" w:rsidP="00855969">
      <w:pPr>
        <w:jc w:val="both"/>
        <w:rPr>
          <w:rFonts w:ascii="Arial" w:hAnsi="Arial" w:cs="Arial"/>
          <w:sz w:val="20"/>
          <w:szCs w:val="20"/>
        </w:rPr>
      </w:pPr>
      <w:r w:rsidRPr="00855969">
        <w:rPr>
          <w:rFonts w:ascii="Arial" w:hAnsi="Arial" w:cs="Arial"/>
          <w:sz w:val="20"/>
          <w:szCs w:val="20"/>
        </w:rPr>
        <w:t xml:space="preserve">Despite the relevance of the results obtained, some limitations should be considered. The evaluation of the maize lines was conducted at a single experimental site, although across multiple growing seasons. This setup may limit the full assessment of genotype × environment interactions across different agro-ecological zones. Therefore, multi-location trials are required to confirm the stability and </w:t>
      </w:r>
      <w:r w:rsidRPr="00855969">
        <w:rPr>
          <w:rFonts w:ascii="Arial" w:hAnsi="Arial" w:cs="Arial"/>
          <w:sz w:val="20"/>
          <w:szCs w:val="20"/>
        </w:rPr>
        <w:lastRenderedPageBreak/>
        <w:t>adaptability of the selected lines under contrasting environmental conditions. Furthermore, mutagenesis presents inherent limitations. Induced mutations occur randomly and may be associated with deleterious traits. The identification of beneficial mutations requires rigorous screening over several generations. In addition, the genetic basis of the observed variations often remains poorly understood. These constraints highlight the value of combining mutagenesis with modern breeding approaches, such as marker-assisted selection or genomic selection, to improve the efficiency of breeding programs.</w:t>
      </w:r>
    </w:p>
    <w:p w14:paraId="4A0E2B09" w14:textId="16468377" w:rsidR="0084392B" w:rsidRPr="0084392B" w:rsidRDefault="008359B0" w:rsidP="00632420">
      <w:pPr>
        <w:keepNext/>
        <w:keepLines/>
        <w:spacing w:after="0"/>
        <w:outlineLvl w:val="0"/>
        <w:rPr>
          <w:rFonts w:ascii="Arial" w:eastAsiaTheme="majorEastAsia" w:hAnsi="Arial" w:cstheme="majorBidi"/>
          <w:sz w:val="22"/>
          <w:szCs w:val="32"/>
        </w:rPr>
      </w:pPr>
      <w:r w:rsidRPr="0084392B">
        <w:rPr>
          <w:rFonts w:ascii="Arial" w:eastAsiaTheme="majorEastAsia" w:hAnsi="Arial" w:cs="Arial"/>
          <w:b/>
          <w:sz w:val="22"/>
        </w:rPr>
        <w:t>4. CONCLUSION</w:t>
      </w:r>
    </w:p>
    <w:p w14:paraId="5032EC1C" w14:textId="77777777" w:rsidR="00632420" w:rsidRDefault="00632420" w:rsidP="00632420">
      <w:pPr>
        <w:spacing w:after="0" w:line="240" w:lineRule="auto"/>
        <w:jc w:val="both"/>
        <w:rPr>
          <w:rFonts w:ascii="Arial" w:hAnsi="Arial" w:cs="Arial"/>
          <w:sz w:val="20"/>
          <w:szCs w:val="20"/>
        </w:rPr>
      </w:pPr>
    </w:p>
    <w:p w14:paraId="5DA9E805" w14:textId="77777777" w:rsidR="00D55C0B" w:rsidRPr="00D55C0B" w:rsidRDefault="00D55C0B" w:rsidP="00D55C0B">
      <w:pPr>
        <w:spacing w:line="240" w:lineRule="auto"/>
        <w:jc w:val="both"/>
        <w:rPr>
          <w:rFonts w:eastAsia="Times New Roman" w:cs="Times New Roman"/>
          <w:szCs w:val="24"/>
          <w:lang w:eastAsia="en-GB"/>
        </w:rPr>
      </w:pPr>
      <w:r w:rsidRPr="00D55C0B">
        <w:rPr>
          <w:rFonts w:ascii="Arial" w:hAnsi="Arial" w:cs="Arial"/>
          <w:sz w:val="20"/>
          <w:szCs w:val="20"/>
        </w:rPr>
        <w:t xml:space="preserve">The objective of this study was to evaluate the intra- and inter-line genetic diversity of drought-tolerant maize using </w:t>
      </w:r>
      <w:proofErr w:type="spellStart"/>
      <w:r w:rsidRPr="00D55C0B">
        <w:rPr>
          <w:rFonts w:ascii="Arial" w:hAnsi="Arial" w:cs="Arial"/>
          <w:sz w:val="20"/>
          <w:szCs w:val="20"/>
        </w:rPr>
        <w:t>agromorphological</w:t>
      </w:r>
      <w:proofErr w:type="spellEnd"/>
      <w:r w:rsidRPr="00D55C0B">
        <w:rPr>
          <w:rFonts w:ascii="Arial" w:hAnsi="Arial" w:cs="Arial"/>
          <w:sz w:val="20"/>
          <w:szCs w:val="20"/>
        </w:rPr>
        <w:t xml:space="preserve"> descriptors. The results revealed a high level of phenotypic homogeneity within the studied lines, combined with significant variability between lines in both morpho-phenological traits and yield-related parameters. The combined use of principal component analysis (PCA) and hierarchical cluster analysis (HCA) structured this diversity into four distinct groups, highlighting contrasting agronomic profiles. The observed variability suggests a significant effect of gamma irradiation, confirming the relevance of induced mutagenesis as an effective approach for generating exploitable genetic diversity in plant breeding. The identified lines, exhibiting promising agronomic performance, constitute valuable genetic resources for breeding programs aimed at developing maize varieties adapted to water-deficit conditions. Beyond these findings, this study highlights the presence of substantial genetic diversity among drought-tolerant lines derived from gamma-irradiated seeds and demonstrates the effectiveness of multivariate approaches in characterizing genetic relationships. Overall, it supports the development of climate-resilient crops and contributes to addressing food security challenges in sub-Saharan Africa.</w:t>
      </w:r>
    </w:p>
    <w:p w14:paraId="6653412F" w14:textId="77777777" w:rsidR="00960E3F" w:rsidRPr="00960E3F" w:rsidRDefault="00960E3F" w:rsidP="00960E3F">
      <w:pPr>
        <w:keepNext/>
        <w:keepLines/>
        <w:spacing w:after="0"/>
        <w:outlineLvl w:val="0"/>
        <w:rPr>
          <w:rFonts w:ascii="Arial" w:eastAsiaTheme="majorEastAsia" w:hAnsi="Arial" w:cs="Arial"/>
          <w:sz w:val="20"/>
          <w:szCs w:val="20"/>
          <w:lang w:eastAsia="en-GB"/>
        </w:rPr>
      </w:pPr>
      <w:r w:rsidRPr="00960E3F">
        <w:rPr>
          <w:rFonts w:ascii="Arial" w:eastAsiaTheme="majorEastAsia" w:hAnsi="Arial" w:cs="Arial"/>
          <w:b/>
          <w:bCs/>
          <w:sz w:val="22"/>
          <w:szCs w:val="20"/>
          <w:lang w:eastAsia="en-GB"/>
        </w:rPr>
        <w:t>DISCLAIMER (ARTIFICIAL INTELLIGENCE)</w:t>
      </w:r>
      <w:r w:rsidRPr="00960E3F">
        <w:rPr>
          <w:rFonts w:ascii="Arial" w:eastAsiaTheme="majorEastAsia" w:hAnsi="Arial" w:cs="Arial"/>
          <w:b/>
          <w:sz w:val="22"/>
          <w:szCs w:val="20"/>
          <w:lang w:eastAsia="en-GB"/>
        </w:rPr>
        <w:br/>
      </w:r>
      <w:r w:rsidRPr="00960E3F">
        <w:rPr>
          <w:rFonts w:ascii="Arial" w:eastAsiaTheme="majorEastAsia" w:hAnsi="Arial" w:cs="Arial"/>
          <w:sz w:val="20"/>
          <w:szCs w:val="20"/>
          <w:lang w:eastAsia="en-GB"/>
        </w:rPr>
        <w:t>The authors declare that they used a generative artificial intelligence tool (</w:t>
      </w:r>
      <w:proofErr w:type="spellStart"/>
      <w:r w:rsidRPr="00960E3F">
        <w:rPr>
          <w:rFonts w:ascii="Arial" w:eastAsiaTheme="majorEastAsia" w:hAnsi="Arial" w:cs="Arial"/>
          <w:sz w:val="20"/>
          <w:szCs w:val="20"/>
          <w:lang w:eastAsia="en-GB"/>
        </w:rPr>
        <w:t>ChatGPT</w:t>
      </w:r>
      <w:proofErr w:type="spellEnd"/>
      <w:r w:rsidRPr="00960E3F">
        <w:rPr>
          <w:rFonts w:ascii="Arial" w:eastAsiaTheme="majorEastAsia" w:hAnsi="Arial" w:cs="Arial"/>
          <w:sz w:val="20"/>
          <w:szCs w:val="20"/>
          <w:lang w:eastAsia="en-GB"/>
        </w:rPr>
        <w:t>) solely for linguistic translation of the manuscript into English. No scientific content, analysis, interpretation of results, or conclusions were generated by this tool. The authors take full responsibility for the scientific content of the manuscript.</w:t>
      </w:r>
    </w:p>
    <w:p w14:paraId="22F88D01" w14:textId="77777777" w:rsidR="00960E3F" w:rsidRPr="00960E3F" w:rsidRDefault="00960E3F" w:rsidP="00960E3F">
      <w:pPr>
        <w:keepNext/>
        <w:keepLines/>
        <w:spacing w:after="0"/>
        <w:outlineLvl w:val="0"/>
        <w:rPr>
          <w:rFonts w:ascii="Arial" w:eastAsiaTheme="majorEastAsia" w:hAnsi="Arial" w:cs="Arial"/>
          <w:sz w:val="20"/>
          <w:szCs w:val="20"/>
          <w:lang w:eastAsia="en-GB"/>
        </w:rPr>
      </w:pPr>
    </w:p>
    <w:p w14:paraId="34462C8A" w14:textId="77777777" w:rsidR="00960E3F" w:rsidRPr="00960E3F" w:rsidRDefault="00960E3F" w:rsidP="00960E3F">
      <w:pPr>
        <w:keepNext/>
        <w:keepLines/>
        <w:spacing w:after="0"/>
        <w:outlineLvl w:val="0"/>
        <w:rPr>
          <w:rFonts w:ascii="Arial" w:eastAsiaTheme="majorEastAsia" w:hAnsi="Arial" w:cs="Arial"/>
          <w:b/>
          <w:sz w:val="22"/>
          <w:lang w:eastAsia="en-GB"/>
        </w:rPr>
      </w:pPr>
      <w:r w:rsidRPr="00960E3F">
        <w:rPr>
          <w:rFonts w:ascii="Arial" w:eastAsiaTheme="majorEastAsia" w:hAnsi="Arial" w:cs="Arial"/>
          <w:b/>
          <w:sz w:val="22"/>
          <w:lang w:eastAsia="en-GB"/>
        </w:rPr>
        <w:t xml:space="preserve">REFERENCES </w:t>
      </w:r>
    </w:p>
    <w:p w14:paraId="0327876C" w14:textId="77777777" w:rsidR="00960E3F" w:rsidRPr="00960E3F" w:rsidRDefault="00960E3F" w:rsidP="00960E3F">
      <w:pPr>
        <w:spacing w:after="0" w:line="240" w:lineRule="auto"/>
        <w:jc w:val="both"/>
        <w:rPr>
          <w:rFonts w:ascii="Arial" w:eastAsia="Times New Roman" w:hAnsi="Arial" w:cs="Arial"/>
          <w:sz w:val="20"/>
          <w:szCs w:val="20"/>
          <w:lang w:eastAsia="en-GB"/>
        </w:rPr>
      </w:pPr>
    </w:p>
    <w:p w14:paraId="1E82F32F"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USDA Foreign Agricultural Service. (2024). </w:t>
      </w:r>
      <w:r w:rsidRPr="00960E3F">
        <w:rPr>
          <w:rFonts w:ascii="Arial" w:eastAsia="Times New Roman" w:hAnsi="Arial" w:cs="Arial"/>
          <w:i/>
          <w:iCs/>
          <w:sz w:val="20"/>
          <w:szCs w:val="20"/>
          <w:lang w:eastAsia="en-GB"/>
        </w:rPr>
        <w:t>Côte d’Ivoire: Grain and feed annual 2024</w:t>
      </w:r>
      <w:r w:rsidRPr="00960E3F">
        <w:rPr>
          <w:rFonts w:ascii="Arial" w:eastAsia="Times New Roman" w:hAnsi="Arial" w:cs="Arial"/>
          <w:sz w:val="20"/>
          <w:szCs w:val="20"/>
          <w:lang w:eastAsia="en-GB"/>
        </w:rPr>
        <w:t xml:space="preserve">. </w:t>
      </w:r>
    </w:p>
    <w:p w14:paraId="20B8075A"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Aramburu-Merlos, F., </w:t>
      </w:r>
      <w:proofErr w:type="spellStart"/>
      <w:r w:rsidRPr="00960E3F">
        <w:rPr>
          <w:rFonts w:ascii="Arial" w:eastAsia="Times New Roman" w:hAnsi="Arial" w:cs="Arial"/>
          <w:sz w:val="20"/>
          <w:szCs w:val="20"/>
          <w:lang w:val="fr-FR" w:eastAsia="en-GB"/>
        </w:rPr>
        <w:t>Tenorio</w:t>
      </w:r>
      <w:proofErr w:type="spellEnd"/>
      <w:r w:rsidRPr="00960E3F">
        <w:rPr>
          <w:rFonts w:ascii="Arial" w:eastAsia="Times New Roman" w:hAnsi="Arial" w:cs="Arial"/>
          <w:sz w:val="20"/>
          <w:szCs w:val="20"/>
          <w:lang w:val="fr-FR" w:eastAsia="en-GB"/>
        </w:rPr>
        <w:t xml:space="preserve">, F. A. M., </w:t>
      </w:r>
      <w:proofErr w:type="spellStart"/>
      <w:r w:rsidRPr="00960E3F">
        <w:rPr>
          <w:rFonts w:ascii="Arial" w:eastAsia="Times New Roman" w:hAnsi="Arial" w:cs="Arial"/>
          <w:sz w:val="20"/>
          <w:szCs w:val="20"/>
          <w:lang w:val="fr-FR" w:eastAsia="en-GB"/>
        </w:rPr>
        <w:t>Mashingaidze</w:t>
      </w:r>
      <w:proofErr w:type="spellEnd"/>
      <w:r w:rsidRPr="00960E3F">
        <w:rPr>
          <w:rFonts w:ascii="Arial" w:eastAsia="Times New Roman" w:hAnsi="Arial" w:cs="Arial"/>
          <w:sz w:val="20"/>
          <w:szCs w:val="20"/>
          <w:lang w:val="fr-FR" w:eastAsia="en-GB"/>
        </w:rPr>
        <w:t xml:space="preserve">, N., </w:t>
      </w:r>
      <w:proofErr w:type="spellStart"/>
      <w:r w:rsidRPr="00960E3F">
        <w:rPr>
          <w:rFonts w:ascii="Arial" w:eastAsia="Times New Roman" w:hAnsi="Arial" w:cs="Arial"/>
          <w:sz w:val="20"/>
          <w:szCs w:val="20"/>
          <w:lang w:val="fr-FR" w:eastAsia="en-GB"/>
        </w:rPr>
        <w:t>Sananka</w:t>
      </w:r>
      <w:proofErr w:type="spellEnd"/>
      <w:r w:rsidRPr="00960E3F">
        <w:rPr>
          <w:rFonts w:ascii="Arial" w:eastAsia="Times New Roman" w:hAnsi="Arial" w:cs="Arial"/>
          <w:sz w:val="20"/>
          <w:szCs w:val="20"/>
          <w:lang w:val="fr-FR" w:eastAsia="en-GB"/>
        </w:rPr>
        <w:t xml:space="preserve">, A., Aston, S., Ojeda, J. J., et al. </w:t>
      </w:r>
      <w:r w:rsidRPr="00960E3F">
        <w:rPr>
          <w:rFonts w:ascii="Arial" w:eastAsia="Times New Roman" w:hAnsi="Arial" w:cs="Arial"/>
          <w:sz w:val="20"/>
          <w:szCs w:val="20"/>
          <w:lang w:eastAsia="en-GB"/>
        </w:rPr>
        <w:t xml:space="preserve">(2024). Adopting yield-improving practices to meet maize demand in sub-Saharan Africa without cropland expansion. </w:t>
      </w:r>
      <w:r w:rsidRPr="00960E3F">
        <w:rPr>
          <w:rFonts w:ascii="Arial" w:eastAsia="Times New Roman" w:hAnsi="Arial" w:cs="Arial"/>
          <w:i/>
          <w:iCs/>
          <w:sz w:val="20"/>
          <w:szCs w:val="20"/>
          <w:lang w:eastAsia="en-GB"/>
        </w:rPr>
        <w:t>Nature Communications</w:t>
      </w:r>
      <w:r w:rsidRPr="00960E3F">
        <w:rPr>
          <w:rFonts w:ascii="Arial" w:eastAsia="Times New Roman" w:hAnsi="Arial" w:cs="Arial"/>
          <w:sz w:val="20"/>
          <w:szCs w:val="20"/>
          <w:lang w:eastAsia="en-GB"/>
        </w:rPr>
        <w:t xml:space="preserve">, 15, 4492. </w:t>
      </w:r>
      <w:hyperlink r:id="rId18" w:tgtFrame="_new" w:history="1">
        <w:r w:rsidRPr="00960E3F">
          <w:rPr>
            <w:rFonts w:ascii="Arial" w:eastAsia="Times New Roman" w:hAnsi="Arial" w:cs="Arial"/>
            <w:color w:val="0563C1" w:themeColor="hyperlink"/>
            <w:sz w:val="20"/>
            <w:szCs w:val="20"/>
            <w:u w:val="single"/>
            <w:lang w:eastAsia="en-GB"/>
          </w:rPr>
          <w:t>https://doi.org/10.1038/s41467-024-48859-0</w:t>
        </w:r>
      </w:hyperlink>
      <w:r w:rsidRPr="00960E3F">
        <w:rPr>
          <w:rFonts w:ascii="Arial" w:eastAsia="Times New Roman" w:hAnsi="Arial" w:cs="Arial"/>
          <w:sz w:val="20"/>
          <w:szCs w:val="20"/>
          <w:lang w:eastAsia="en-GB"/>
        </w:rPr>
        <w:t xml:space="preserve"> </w:t>
      </w:r>
    </w:p>
    <w:p w14:paraId="4EFED7CB"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Adechian</w:t>
      </w:r>
      <w:proofErr w:type="spellEnd"/>
      <w:r w:rsidRPr="00960E3F">
        <w:rPr>
          <w:rFonts w:ascii="Arial" w:eastAsia="Times New Roman" w:hAnsi="Arial" w:cs="Arial"/>
          <w:sz w:val="20"/>
          <w:szCs w:val="20"/>
          <w:lang w:eastAsia="en-GB"/>
        </w:rPr>
        <w:t xml:space="preserve">, S. A., </w:t>
      </w:r>
      <w:proofErr w:type="spellStart"/>
      <w:r w:rsidRPr="00960E3F">
        <w:rPr>
          <w:rFonts w:ascii="Arial" w:eastAsia="Times New Roman" w:hAnsi="Arial" w:cs="Arial"/>
          <w:sz w:val="20"/>
          <w:szCs w:val="20"/>
          <w:lang w:eastAsia="en-GB"/>
        </w:rPr>
        <w:t>Gouroubéra</w:t>
      </w:r>
      <w:proofErr w:type="spellEnd"/>
      <w:r w:rsidRPr="00960E3F">
        <w:rPr>
          <w:rFonts w:ascii="Arial" w:eastAsia="Times New Roman" w:hAnsi="Arial" w:cs="Arial"/>
          <w:sz w:val="20"/>
          <w:szCs w:val="20"/>
          <w:lang w:eastAsia="en-GB"/>
        </w:rPr>
        <w:t xml:space="preserve">, M. W., </w:t>
      </w:r>
      <w:proofErr w:type="spellStart"/>
      <w:r w:rsidRPr="00960E3F">
        <w:rPr>
          <w:rFonts w:ascii="Arial" w:eastAsia="Times New Roman" w:hAnsi="Arial" w:cs="Arial"/>
          <w:sz w:val="20"/>
          <w:szCs w:val="20"/>
          <w:lang w:eastAsia="en-GB"/>
        </w:rPr>
        <w:t>Baco</w:t>
      </w:r>
      <w:proofErr w:type="spellEnd"/>
      <w:r w:rsidRPr="00960E3F">
        <w:rPr>
          <w:rFonts w:ascii="Arial" w:eastAsia="Times New Roman" w:hAnsi="Arial" w:cs="Arial"/>
          <w:sz w:val="20"/>
          <w:szCs w:val="20"/>
          <w:lang w:eastAsia="en-GB"/>
        </w:rPr>
        <w:t xml:space="preserve">, M. N., </w:t>
      </w:r>
      <w:proofErr w:type="spellStart"/>
      <w:r w:rsidRPr="00960E3F">
        <w:rPr>
          <w:rFonts w:ascii="Arial" w:eastAsia="Times New Roman" w:hAnsi="Arial" w:cs="Arial"/>
          <w:sz w:val="20"/>
          <w:szCs w:val="20"/>
          <w:lang w:eastAsia="en-GB"/>
        </w:rPr>
        <w:t>Ogoudou</w:t>
      </w:r>
      <w:proofErr w:type="spellEnd"/>
      <w:r w:rsidRPr="00960E3F">
        <w:rPr>
          <w:rFonts w:ascii="Arial" w:eastAsia="Times New Roman" w:hAnsi="Arial" w:cs="Arial"/>
          <w:sz w:val="20"/>
          <w:szCs w:val="20"/>
          <w:lang w:eastAsia="en-GB"/>
        </w:rPr>
        <w:t xml:space="preserve">, C., </w:t>
      </w:r>
      <w:proofErr w:type="spellStart"/>
      <w:r w:rsidRPr="00960E3F">
        <w:rPr>
          <w:rFonts w:ascii="Arial" w:eastAsia="Times New Roman" w:hAnsi="Arial" w:cs="Arial"/>
          <w:sz w:val="20"/>
          <w:szCs w:val="20"/>
          <w:lang w:eastAsia="en-GB"/>
        </w:rPr>
        <w:t>Yacoubou</w:t>
      </w:r>
      <w:proofErr w:type="spellEnd"/>
      <w:r w:rsidRPr="00960E3F">
        <w:rPr>
          <w:rFonts w:ascii="Arial" w:eastAsia="Times New Roman" w:hAnsi="Arial" w:cs="Arial"/>
          <w:sz w:val="20"/>
          <w:szCs w:val="20"/>
          <w:lang w:eastAsia="en-GB"/>
        </w:rPr>
        <w:t xml:space="preserve">, A. M., Abdoulaye, T., et al. (2025). A meta-analysis of factors affecting the adoption of drought-tolerant maize varieties in sub-Saharan Africa. </w:t>
      </w:r>
      <w:r w:rsidRPr="00960E3F">
        <w:rPr>
          <w:rFonts w:ascii="Arial" w:eastAsia="Times New Roman" w:hAnsi="Arial" w:cs="Arial"/>
          <w:i/>
          <w:iCs/>
          <w:sz w:val="20"/>
          <w:szCs w:val="20"/>
          <w:lang w:eastAsia="en-GB"/>
        </w:rPr>
        <w:t>Scientific African</w:t>
      </w:r>
      <w:r w:rsidRPr="00960E3F">
        <w:rPr>
          <w:rFonts w:ascii="Arial" w:eastAsia="Times New Roman" w:hAnsi="Arial" w:cs="Arial"/>
          <w:sz w:val="20"/>
          <w:szCs w:val="20"/>
          <w:lang w:eastAsia="en-GB"/>
        </w:rPr>
        <w:t xml:space="preserve">. </w:t>
      </w:r>
      <w:hyperlink r:id="rId19" w:tgtFrame="_new" w:history="1">
        <w:r w:rsidRPr="00960E3F">
          <w:rPr>
            <w:rFonts w:ascii="Arial" w:eastAsia="Times New Roman" w:hAnsi="Arial" w:cs="Arial"/>
            <w:color w:val="0563C1" w:themeColor="hyperlink"/>
            <w:sz w:val="20"/>
            <w:szCs w:val="20"/>
            <w:u w:val="single"/>
            <w:lang w:eastAsia="en-GB"/>
          </w:rPr>
          <w:t>https://doi.org/10.1016/j.sftr.2025.101527</w:t>
        </w:r>
      </w:hyperlink>
      <w:r w:rsidRPr="00960E3F">
        <w:rPr>
          <w:rFonts w:ascii="Arial" w:eastAsia="Times New Roman" w:hAnsi="Arial" w:cs="Arial"/>
          <w:sz w:val="20"/>
          <w:szCs w:val="20"/>
          <w:lang w:eastAsia="en-GB"/>
        </w:rPr>
        <w:t xml:space="preserve"> </w:t>
      </w:r>
    </w:p>
    <w:p w14:paraId="21A96742"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Vanlauwe</w:t>
      </w:r>
      <w:proofErr w:type="spellEnd"/>
      <w:r w:rsidRPr="00960E3F">
        <w:rPr>
          <w:rFonts w:ascii="Arial" w:eastAsia="Times New Roman" w:hAnsi="Arial" w:cs="Arial"/>
          <w:sz w:val="20"/>
          <w:szCs w:val="20"/>
          <w:lang w:eastAsia="en-GB"/>
        </w:rPr>
        <w:t xml:space="preserve">, B., et al. (2023). Integrated soil fertility management and soil health in sub-Saharan Africa. </w:t>
      </w:r>
      <w:r w:rsidRPr="00960E3F">
        <w:rPr>
          <w:rFonts w:ascii="Arial" w:eastAsia="Times New Roman" w:hAnsi="Arial" w:cs="Arial"/>
          <w:i/>
          <w:iCs/>
          <w:sz w:val="20"/>
          <w:szCs w:val="20"/>
          <w:lang w:eastAsia="en-GB"/>
        </w:rPr>
        <w:t>Field Crops Research</w:t>
      </w:r>
      <w:r w:rsidRPr="00960E3F">
        <w:rPr>
          <w:rFonts w:ascii="Arial" w:eastAsia="Times New Roman" w:hAnsi="Arial" w:cs="Arial"/>
          <w:sz w:val="20"/>
          <w:szCs w:val="20"/>
          <w:lang w:eastAsia="en-GB"/>
        </w:rPr>
        <w:t xml:space="preserve">, 303, 109065. </w:t>
      </w:r>
    </w:p>
    <w:p w14:paraId="7AEB00A7"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Tang, H., et al. (2025). Resilience of maize to environmental stress: Morphological, physiological and molecular perspectives. </w:t>
      </w:r>
      <w:r w:rsidRPr="00960E3F">
        <w:rPr>
          <w:rFonts w:ascii="Arial" w:eastAsia="Times New Roman" w:hAnsi="Arial" w:cs="Arial"/>
          <w:i/>
          <w:iCs/>
          <w:sz w:val="20"/>
          <w:szCs w:val="20"/>
          <w:lang w:eastAsia="en-GB"/>
        </w:rPr>
        <w:t>International Journal of Molecular Sciences</w:t>
      </w:r>
      <w:r w:rsidRPr="00960E3F">
        <w:rPr>
          <w:rFonts w:ascii="Arial" w:eastAsia="Times New Roman" w:hAnsi="Arial" w:cs="Arial"/>
          <w:sz w:val="20"/>
          <w:szCs w:val="20"/>
          <w:lang w:eastAsia="en-GB"/>
        </w:rPr>
        <w:t xml:space="preserve">, 26(11), 5274. </w:t>
      </w:r>
      <w:hyperlink r:id="rId20" w:tgtFrame="_new" w:history="1">
        <w:r w:rsidRPr="00960E3F">
          <w:rPr>
            <w:rFonts w:ascii="Arial" w:eastAsia="Times New Roman" w:hAnsi="Arial" w:cs="Arial"/>
            <w:color w:val="0563C1" w:themeColor="hyperlink"/>
            <w:sz w:val="20"/>
            <w:szCs w:val="20"/>
            <w:u w:val="single"/>
            <w:lang w:eastAsia="en-GB"/>
          </w:rPr>
          <w:t>https://doi.org/10.3390/ijms26115274</w:t>
        </w:r>
      </w:hyperlink>
      <w:r w:rsidRPr="00960E3F">
        <w:rPr>
          <w:rFonts w:ascii="Arial" w:eastAsia="Times New Roman" w:hAnsi="Arial" w:cs="Arial"/>
          <w:sz w:val="20"/>
          <w:szCs w:val="20"/>
          <w:lang w:eastAsia="en-GB"/>
        </w:rPr>
        <w:t xml:space="preserve"> </w:t>
      </w:r>
    </w:p>
    <w:p w14:paraId="2484F0EB"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Chen, J., Xu, W., </w:t>
      </w:r>
      <w:proofErr w:type="spellStart"/>
      <w:r w:rsidRPr="00960E3F">
        <w:rPr>
          <w:rFonts w:ascii="Arial" w:eastAsia="Times New Roman" w:hAnsi="Arial" w:cs="Arial"/>
          <w:sz w:val="20"/>
          <w:szCs w:val="20"/>
          <w:lang w:eastAsia="en-GB"/>
        </w:rPr>
        <w:t>Velten</w:t>
      </w:r>
      <w:proofErr w:type="spellEnd"/>
      <w:r w:rsidRPr="00960E3F">
        <w:rPr>
          <w:rFonts w:ascii="Arial" w:eastAsia="Times New Roman" w:hAnsi="Arial" w:cs="Arial"/>
          <w:sz w:val="20"/>
          <w:szCs w:val="20"/>
          <w:lang w:eastAsia="en-GB"/>
        </w:rPr>
        <w:t xml:space="preserve">, J., Xin, Z., &amp; Stout, J. (2012). Characterization of maize inbred lines for drought and heat tolerance. </w:t>
      </w:r>
      <w:r w:rsidRPr="00960E3F">
        <w:rPr>
          <w:rFonts w:ascii="Arial" w:eastAsia="Times New Roman" w:hAnsi="Arial" w:cs="Arial"/>
          <w:i/>
          <w:iCs/>
          <w:sz w:val="20"/>
          <w:szCs w:val="20"/>
          <w:lang w:eastAsia="en-GB"/>
        </w:rPr>
        <w:t>Journal of Soil and Water Conservation</w:t>
      </w:r>
      <w:r w:rsidRPr="00960E3F">
        <w:rPr>
          <w:rFonts w:ascii="Arial" w:eastAsia="Times New Roman" w:hAnsi="Arial" w:cs="Arial"/>
          <w:sz w:val="20"/>
          <w:szCs w:val="20"/>
          <w:lang w:eastAsia="en-GB"/>
        </w:rPr>
        <w:t xml:space="preserve">, 67(5), 354–364. </w:t>
      </w:r>
    </w:p>
    <w:p w14:paraId="1B1B30BA"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Du, W., Zhang, Y., Wang, C., Liu, J., Li, X., Zhao, H., et al. </w:t>
      </w:r>
      <w:r w:rsidRPr="00960E3F">
        <w:rPr>
          <w:rFonts w:ascii="Arial" w:eastAsia="Times New Roman" w:hAnsi="Arial" w:cs="Arial"/>
          <w:sz w:val="20"/>
          <w:szCs w:val="20"/>
          <w:lang w:eastAsia="en-GB"/>
        </w:rPr>
        <w:t xml:space="preserve">(2025). Comprehensive evaluation and screening of drought-tolerant maize genotypes. </w:t>
      </w:r>
      <w:r w:rsidRPr="00960E3F">
        <w:rPr>
          <w:rFonts w:ascii="Arial" w:eastAsia="Times New Roman" w:hAnsi="Arial" w:cs="Arial"/>
          <w:i/>
          <w:iCs/>
          <w:sz w:val="20"/>
          <w:szCs w:val="20"/>
          <w:lang w:eastAsia="en-GB"/>
        </w:rPr>
        <w:t>Frontiers in Plant Science</w:t>
      </w:r>
      <w:r w:rsidRPr="00960E3F">
        <w:rPr>
          <w:rFonts w:ascii="Arial" w:eastAsia="Times New Roman" w:hAnsi="Arial" w:cs="Arial"/>
          <w:sz w:val="20"/>
          <w:szCs w:val="20"/>
          <w:lang w:eastAsia="en-GB"/>
        </w:rPr>
        <w:t xml:space="preserve">, 16, 1672228. </w:t>
      </w:r>
      <w:hyperlink r:id="rId21" w:tgtFrame="_new" w:history="1">
        <w:r w:rsidRPr="00960E3F">
          <w:rPr>
            <w:rFonts w:ascii="Arial" w:eastAsia="Times New Roman" w:hAnsi="Arial" w:cs="Arial"/>
            <w:color w:val="0563C1" w:themeColor="hyperlink"/>
            <w:sz w:val="20"/>
            <w:szCs w:val="20"/>
            <w:u w:val="single"/>
            <w:lang w:eastAsia="en-GB"/>
          </w:rPr>
          <w:t>https://doi.org/10.3389/fpls.2025.1672228</w:t>
        </w:r>
      </w:hyperlink>
      <w:r w:rsidRPr="00960E3F">
        <w:rPr>
          <w:rFonts w:ascii="Arial" w:eastAsia="Times New Roman" w:hAnsi="Arial" w:cs="Arial"/>
          <w:sz w:val="20"/>
          <w:szCs w:val="20"/>
          <w:lang w:eastAsia="en-GB"/>
        </w:rPr>
        <w:t xml:space="preserve"> </w:t>
      </w:r>
    </w:p>
    <w:p w14:paraId="7D2922BD"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Sangaré, A., Koffi, E., </w:t>
      </w:r>
      <w:proofErr w:type="spellStart"/>
      <w:r w:rsidRPr="00960E3F">
        <w:rPr>
          <w:rFonts w:ascii="Arial" w:eastAsia="Times New Roman" w:hAnsi="Arial" w:cs="Arial"/>
          <w:sz w:val="20"/>
          <w:szCs w:val="20"/>
          <w:lang w:val="fr-FR" w:eastAsia="en-GB"/>
        </w:rPr>
        <w:t>Akamou</w:t>
      </w:r>
      <w:proofErr w:type="spellEnd"/>
      <w:r w:rsidRPr="00960E3F">
        <w:rPr>
          <w:rFonts w:ascii="Arial" w:eastAsia="Times New Roman" w:hAnsi="Arial" w:cs="Arial"/>
          <w:sz w:val="20"/>
          <w:szCs w:val="20"/>
          <w:lang w:val="fr-FR" w:eastAsia="en-GB"/>
        </w:rPr>
        <w:t xml:space="preserve">, F., &amp; </w:t>
      </w:r>
      <w:proofErr w:type="spellStart"/>
      <w:r w:rsidRPr="00960E3F">
        <w:rPr>
          <w:rFonts w:ascii="Arial" w:eastAsia="Times New Roman" w:hAnsi="Arial" w:cs="Arial"/>
          <w:sz w:val="20"/>
          <w:szCs w:val="20"/>
          <w:lang w:val="fr-FR" w:eastAsia="en-GB"/>
        </w:rPr>
        <w:t>Fall</w:t>
      </w:r>
      <w:proofErr w:type="spellEnd"/>
      <w:r w:rsidRPr="00960E3F">
        <w:rPr>
          <w:rFonts w:ascii="Arial" w:eastAsia="Times New Roman" w:hAnsi="Arial" w:cs="Arial"/>
          <w:sz w:val="20"/>
          <w:szCs w:val="20"/>
          <w:lang w:val="fr-FR" w:eastAsia="en-GB"/>
        </w:rPr>
        <w:t xml:space="preserve">, C. (2009). </w:t>
      </w:r>
      <w:r w:rsidRPr="00960E3F">
        <w:rPr>
          <w:rFonts w:ascii="Arial" w:eastAsia="Times New Roman" w:hAnsi="Arial" w:cs="Arial"/>
          <w:i/>
          <w:iCs/>
          <w:sz w:val="20"/>
          <w:szCs w:val="20"/>
          <w:lang w:eastAsia="en-GB"/>
        </w:rPr>
        <w:t>State of plant genetic resources for food and agriculture: Second national report</w:t>
      </w:r>
      <w:r w:rsidRPr="00960E3F">
        <w:rPr>
          <w:rFonts w:ascii="Arial" w:eastAsia="Times New Roman" w:hAnsi="Arial" w:cs="Arial"/>
          <w:sz w:val="20"/>
          <w:szCs w:val="20"/>
          <w:lang w:eastAsia="en-GB"/>
        </w:rPr>
        <w:t xml:space="preserve">. Ministry of Agriculture, Côte d’Ivoire. </w:t>
      </w:r>
    </w:p>
    <w:p w14:paraId="2E269E54"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lastRenderedPageBreak/>
        <w:t>Soro</w:t>
      </w:r>
      <w:proofErr w:type="spellEnd"/>
      <w:r w:rsidRPr="00960E3F">
        <w:rPr>
          <w:rFonts w:ascii="Arial" w:eastAsia="Times New Roman" w:hAnsi="Arial" w:cs="Arial"/>
          <w:sz w:val="20"/>
          <w:szCs w:val="20"/>
          <w:lang w:eastAsia="en-GB"/>
        </w:rPr>
        <w:t xml:space="preserve">, D., </w:t>
      </w:r>
      <w:proofErr w:type="spellStart"/>
      <w:r w:rsidRPr="00960E3F">
        <w:rPr>
          <w:rFonts w:ascii="Arial" w:eastAsia="Times New Roman" w:hAnsi="Arial" w:cs="Arial"/>
          <w:sz w:val="20"/>
          <w:szCs w:val="20"/>
          <w:lang w:eastAsia="en-GB"/>
        </w:rPr>
        <w:t>Ayolié</w:t>
      </w:r>
      <w:proofErr w:type="spellEnd"/>
      <w:r w:rsidRPr="00960E3F">
        <w:rPr>
          <w:rFonts w:ascii="Arial" w:eastAsia="Times New Roman" w:hAnsi="Arial" w:cs="Arial"/>
          <w:sz w:val="20"/>
          <w:szCs w:val="20"/>
          <w:lang w:eastAsia="en-GB"/>
        </w:rPr>
        <w:t xml:space="preserve">, K., </w:t>
      </w:r>
      <w:proofErr w:type="spellStart"/>
      <w:r w:rsidRPr="00960E3F">
        <w:rPr>
          <w:rFonts w:ascii="Arial" w:eastAsia="Times New Roman" w:hAnsi="Arial" w:cs="Arial"/>
          <w:sz w:val="20"/>
          <w:szCs w:val="20"/>
          <w:lang w:eastAsia="en-GB"/>
        </w:rPr>
        <w:t>Gohi</w:t>
      </w:r>
      <w:proofErr w:type="spellEnd"/>
      <w:r w:rsidRPr="00960E3F">
        <w:rPr>
          <w:rFonts w:ascii="Arial" w:eastAsia="Times New Roman" w:hAnsi="Arial" w:cs="Arial"/>
          <w:sz w:val="20"/>
          <w:szCs w:val="20"/>
          <w:lang w:eastAsia="en-GB"/>
        </w:rPr>
        <w:t xml:space="preserve">-Bi, Z. F., Yao, Y. F., Konan-Kan, K. H., </w:t>
      </w:r>
      <w:proofErr w:type="spellStart"/>
      <w:r w:rsidRPr="00960E3F">
        <w:rPr>
          <w:rFonts w:ascii="Arial" w:eastAsia="Times New Roman" w:hAnsi="Arial" w:cs="Arial"/>
          <w:sz w:val="20"/>
          <w:szCs w:val="20"/>
          <w:lang w:eastAsia="en-GB"/>
        </w:rPr>
        <w:t>Sidicky</w:t>
      </w:r>
      <w:proofErr w:type="spellEnd"/>
      <w:r w:rsidRPr="00960E3F">
        <w:rPr>
          <w:rFonts w:ascii="Arial" w:eastAsia="Times New Roman" w:hAnsi="Arial" w:cs="Arial"/>
          <w:sz w:val="20"/>
          <w:szCs w:val="20"/>
          <w:lang w:eastAsia="en-GB"/>
        </w:rPr>
        <w:t>, B., et al. (2015). Impact of organic fertilization on maize (</w:t>
      </w:r>
      <w:proofErr w:type="spellStart"/>
      <w:r w:rsidRPr="00960E3F">
        <w:rPr>
          <w:rFonts w:ascii="Arial" w:eastAsia="Times New Roman" w:hAnsi="Arial" w:cs="Arial"/>
          <w:i/>
          <w:iCs/>
          <w:sz w:val="20"/>
          <w:szCs w:val="20"/>
          <w:lang w:eastAsia="en-GB"/>
        </w:rPr>
        <w:t>Zea</w:t>
      </w:r>
      <w:proofErr w:type="spellEnd"/>
      <w:r w:rsidRPr="00960E3F">
        <w:rPr>
          <w:rFonts w:ascii="Arial" w:eastAsia="Times New Roman" w:hAnsi="Arial" w:cs="Arial"/>
          <w:i/>
          <w:iCs/>
          <w:sz w:val="20"/>
          <w:szCs w:val="20"/>
          <w:lang w:eastAsia="en-GB"/>
        </w:rPr>
        <w:t xml:space="preserve"> mays</w:t>
      </w:r>
      <w:r w:rsidRPr="00960E3F">
        <w:rPr>
          <w:rFonts w:ascii="Arial" w:eastAsia="Times New Roman" w:hAnsi="Arial" w:cs="Arial"/>
          <w:sz w:val="20"/>
          <w:szCs w:val="20"/>
          <w:lang w:eastAsia="en-GB"/>
        </w:rPr>
        <w:t xml:space="preserve"> L.) production in a </w:t>
      </w:r>
      <w:proofErr w:type="spellStart"/>
      <w:r w:rsidRPr="00960E3F">
        <w:rPr>
          <w:rFonts w:ascii="Arial" w:eastAsia="Times New Roman" w:hAnsi="Arial" w:cs="Arial"/>
          <w:sz w:val="20"/>
          <w:szCs w:val="20"/>
          <w:lang w:eastAsia="en-GB"/>
        </w:rPr>
        <w:t>ferralitic</w:t>
      </w:r>
      <w:proofErr w:type="spellEnd"/>
      <w:r w:rsidRPr="00960E3F">
        <w:rPr>
          <w:rFonts w:ascii="Arial" w:eastAsia="Times New Roman" w:hAnsi="Arial" w:cs="Arial"/>
          <w:sz w:val="20"/>
          <w:szCs w:val="20"/>
          <w:lang w:eastAsia="en-GB"/>
        </w:rPr>
        <w:t xml:space="preserve"> soil of central-west Côte d’Ivoire. </w:t>
      </w:r>
      <w:r w:rsidRPr="00960E3F">
        <w:rPr>
          <w:rFonts w:ascii="Arial" w:eastAsia="Times New Roman" w:hAnsi="Arial" w:cs="Arial"/>
          <w:i/>
          <w:iCs/>
          <w:sz w:val="20"/>
          <w:szCs w:val="20"/>
          <w:lang w:eastAsia="en-GB"/>
        </w:rPr>
        <w:t>Journal of Experimental Biology and Agricultural Sciences</w:t>
      </w:r>
      <w:r w:rsidRPr="00960E3F">
        <w:rPr>
          <w:rFonts w:ascii="Arial" w:eastAsia="Times New Roman" w:hAnsi="Arial" w:cs="Arial"/>
          <w:sz w:val="20"/>
          <w:szCs w:val="20"/>
          <w:lang w:eastAsia="en-GB"/>
        </w:rPr>
        <w:t xml:space="preserve">, 3(6), 556–565. </w:t>
      </w:r>
    </w:p>
    <w:p w14:paraId="1A94C520"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Kouamé</w:t>
      </w:r>
      <w:proofErr w:type="spellEnd"/>
      <w:r w:rsidRPr="00960E3F">
        <w:rPr>
          <w:rFonts w:ascii="Arial" w:eastAsia="Times New Roman" w:hAnsi="Arial" w:cs="Arial"/>
          <w:sz w:val="20"/>
          <w:szCs w:val="20"/>
          <w:lang w:eastAsia="en-GB"/>
        </w:rPr>
        <w:t xml:space="preserve">, L. K., </w:t>
      </w:r>
      <w:proofErr w:type="spellStart"/>
      <w:r w:rsidRPr="00960E3F">
        <w:rPr>
          <w:rFonts w:ascii="Arial" w:eastAsia="Times New Roman" w:hAnsi="Arial" w:cs="Arial"/>
          <w:sz w:val="20"/>
          <w:szCs w:val="20"/>
          <w:lang w:eastAsia="en-GB"/>
        </w:rPr>
        <w:t>N’Guessan</w:t>
      </w:r>
      <w:proofErr w:type="spellEnd"/>
      <w:r w:rsidRPr="00960E3F">
        <w:rPr>
          <w:rFonts w:ascii="Arial" w:eastAsia="Times New Roman" w:hAnsi="Arial" w:cs="Arial"/>
          <w:sz w:val="20"/>
          <w:szCs w:val="20"/>
          <w:lang w:eastAsia="en-GB"/>
        </w:rPr>
        <w:t xml:space="preserve">, O. K., </w:t>
      </w:r>
      <w:proofErr w:type="spellStart"/>
      <w:r w:rsidRPr="00960E3F">
        <w:rPr>
          <w:rFonts w:ascii="Arial" w:eastAsia="Times New Roman" w:hAnsi="Arial" w:cs="Arial"/>
          <w:sz w:val="20"/>
          <w:szCs w:val="20"/>
          <w:lang w:eastAsia="en-GB"/>
        </w:rPr>
        <w:t>Gningni</w:t>
      </w:r>
      <w:proofErr w:type="spellEnd"/>
      <w:r w:rsidRPr="00960E3F">
        <w:rPr>
          <w:rFonts w:ascii="Arial" w:eastAsia="Times New Roman" w:hAnsi="Arial" w:cs="Arial"/>
          <w:sz w:val="20"/>
          <w:szCs w:val="20"/>
          <w:lang w:eastAsia="en-GB"/>
        </w:rPr>
        <w:t xml:space="preserve">, A. H. R. A., </w:t>
      </w:r>
      <w:proofErr w:type="spellStart"/>
      <w:r w:rsidRPr="00960E3F">
        <w:rPr>
          <w:rFonts w:ascii="Arial" w:eastAsia="Times New Roman" w:hAnsi="Arial" w:cs="Arial"/>
          <w:sz w:val="20"/>
          <w:szCs w:val="20"/>
          <w:lang w:eastAsia="en-GB"/>
        </w:rPr>
        <w:t>N’Gbé</w:t>
      </w:r>
      <w:proofErr w:type="spellEnd"/>
      <w:r w:rsidRPr="00960E3F">
        <w:rPr>
          <w:rFonts w:ascii="Arial" w:eastAsia="Times New Roman" w:hAnsi="Arial" w:cs="Arial"/>
          <w:sz w:val="20"/>
          <w:szCs w:val="20"/>
          <w:lang w:eastAsia="en-GB"/>
        </w:rPr>
        <w:t xml:space="preserve">, A. E. K., </w:t>
      </w:r>
      <w:proofErr w:type="spellStart"/>
      <w:r w:rsidRPr="00960E3F">
        <w:rPr>
          <w:rFonts w:ascii="Arial" w:eastAsia="Times New Roman" w:hAnsi="Arial" w:cs="Arial"/>
          <w:sz w:val="20"/>
          <w:szCs w:val="20"/>
          <w:lang w:eastAsia="en-GB"/>
        </w:rPr>
        <w:t>Silué</w:t>
      </w:r>
      <w:proofErr w:type="spellEnd"/>
      <w:r w:rsidRPr="00960E3F">
        <w:rPr>
          <w:rFonts w:ascii="Arial" w:eastAsia="Times New Roman" w:hAnsi="Arial" w:cs="Arial"/>
          <w:sz w:val="20"/>
          <w:szCs w:val="20"/>
          <w:lang w:eastAsia="en-GB"/>
        </w:rPr>
        <w:t>, S., Fofana, I. J., et al. (2025). Evaluation of homogeneity and structuring of phenotypic diversity of maize (</w:t>
      </w:r>
      <w:proofErr w:type="spellStart"/>
      <w:r w:rsidRPr="00960E3F">
        <w:rPr>
          <w:rFonts w:ascii="Arial" w:eastAsia="Times New Roman" w:hAnsi="Arial" w:cs="Arial"/>
          <w:i/>
          <w:iCs/>
          <w:sz w:val="20"/>
          <w:szCs w:val="20"/>
          <w:lang w:eastAsia="en-GB"/>
        </w:rPr>
        <w:t>Zea</w:t>
      </w:r>
      <w:proofErr w:type="spellEnd"/>
      <w:r w:rsidRPr="00960E3F">
        <w:rPr>
          <w:rFonts w:ascii="Arial" w:eastAsia="Times New Roman" w:hAnsi="Arial" w:cs="Arial"/>
          <w:i/>
          <w:iCs/>
          <w:sz w:val="20"/>
          <w:szCs w:val="20"/>
          <w:lang w:eastAsia="en-GB"/>
        </w:rPr>
        <w:t xml:space="preserve"> mays</w:t>
      </w:r>
      <w:r w:rsidRPr="00960E3F">
        <w:rPr>
          <w:rFonts w:ascii="Arial" w:eastAsia="Times New Roman" w:hAnsi="Arial" w:cs="Arial"/>
          <w:sz w:val="20"/>
          <w:szCs w:val="20"/>
          <w:lang w:eastAsia="en-GB"/>
        </w:rPr>
        <w:t xml:space="preserve"> L.) lines derived from induced mutation in </w:t>
      </w:r>
      <w:proofErr w:type="spellStart"/>
      <w:r w:rsidRPr="00960E3F">
        <w:rPr>
          <w:rFonts w:ascii="Arial" w:eastAsia="Times New Roman" w:hAnsi="Arial" w:cs="Arial"/>
          <w:sz w:val="20"/>
          <w:szCs w:val="20"/>
          <w:lang w:eastAsia="en-GB"/>
        </w:rPr>
        <w:t>Daloa</w:t>
      </w:r>
      <w:proofErr w:type="spellEnd"/>
      <w:r w:rsidRPr="00960E3F">
        <w:rPr>
          <w:rFonts w:ascii="Arial" w:eastAsia="Times New Roman" w:hAnsi="Arial" w:cs="Arial"/>
          <w:sz w:val="20"/>
          <w:szCs w:val="20"/>
          <w:lang w:eastAsia="en-GB"/>
        </w:rPr>
        <w:t xml:space="preserve">, Côte d’Ivoire. </w:t>
      </w:r>
      <w:r w:rsidRPr="00960E3F">
        <w:rPr>
          <w:rFonts w:ascii="Arial" w:eastAsia="Times New Roman" w:hAnsi="Arial" w:cs="Arial"/>
          <w:i/>
          <w:iCs/>
          <w:sz w:val="20"/>
          <w:szCs w:val="20"/>
          <w:lang w:eastAsia="en-GB"/>
        </w:rPr>
        <w:t>Annual Research &amp; Review in Biology</w:t>
      </w:r>
      <w:r w:rsidRPr="00960E3F">
        <w:rPr>
          <w:rFonts w:ascii="Arial" w:eastAsia="Times New Roman" w:hAnsi="Arial" w:cs="Arial"/>
          <w:sz w:val="20"/>
          <w:szCs w:val="20"/>
          <w:lang w:eastAsia="en-GB"/>
        </w:rPr>
        <w:t xml:space="preserve">, 40(11), 107–116. </w:t>
      </w:r>
    </w:p>
    <w:p w14:paraId="585B1079"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Alam</w:t>
      </w:r>
      <w:proofErr w:type="spellEnd"/>
      <w:r w:rsidRPr="00960E3F">
        <w:rPr>
          <w:rFonts w:ascii="Arial" w:eastAsia="Times New Roman" w:hAnsi="Arial" w:cs="Arial"/>
          <w:sz w:val="20"/>
          <w:szCs w:val="20"/>
          <w:lang w:eastAsia="en-GB"/>
        </w:rPr>
        <w:t>, M., et al. (2024). Emerging trends in wheat (</w:t>
      </w:r>
      <w:r w:rsidRPr="00960E3F">
        <w:rPr>
          <w:rFonts w:ascii="Arial" w:eastAsia="Times New Roman" w:hAnsi="Arial" w:cs="Arial"/>
          <w:i/>
          <w:iCs/>
          <w:sz w:val="20"/>
          <w:szCs w:val="20"/>
          <w:lang w:eastAsia="en-GB"/>
        </w:rPr>
        <w:t>Triticum</w:t>
      </w:r>
      <w:r w:rsidRPr="00960E3F">
        <w:rPr>
          <w:rFonts w:ascii="Arial" w:eastAsia="Times New Roman" w:hAnsi="Arial" w:cs="Arial"/>
          <w:sz w:val="20"/>
          <w:szCs w:val="20"/>
          <w:lang w:eastAsia="en-GB"/>
        </w:rPr>
        <w:t xml:space="preserve"> spp.) breeding. </w:t>
      </w:r>
      <w:r w:rsidRPr="00960E3F">
        <w:rPr>
          <w:rFonts w:ascii="Arial" w:eastAsia="Times New Roman" w:hAnsi="Arial" w:cs="Arial"/>
          <w:i/>
          <w:iCs/>
          <w:sz w:val="20"/>
          <w:szCs w:val="20"/>
          <w:lang w:eastAsia="en-GB"/>
        </w:rPr>
        <w:t>Frontiers in Bioscience</w:t>
      </w:r>
      <w:r w:rsidRPr="00960E3F">
        <w:rPr>
          <w:rFonts w:ascii="Arial" w:eastAsia="Times New Roman" w:hAnsi="Arial" w:cs="Arial"/>
          <w:sz w:val="20"/>
          <w:szCs w:val="20"/>
          <w:lang w:eastAsia="en-GB"/>
        </w:rPr>
        <w:t xml:space="preserve">, 16(1), 1–17. </w:t>
      </w:r>
    </w:p>
    <w:p w14:paraId="3893E679"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Andrew-Peter-Leon, M. T., </w:t>
      </w:r>
      <w:proofErr w:type="spellStart"/>
      <w:r w:rsidRPr="00960E3F">
        <w:rPr>
          <w:rFonts w:ascii="Arial" w:eastAsia="Times New Roman" w:hAnsi="Arial" w:cs="Arial"/>
          <w:sz w:val="20"/>
          <w:szCs w:val="20"/>
          <w:lang w:eastAsia="en-GB"/>
        </w:rPr>
        <w:t>Ramchander</w:t>
      </w:r>
      <w:proofErr w:type="spellEnd"/>
      <w:r w:rsidRPr="00960E3F">
        <w:rPr>
          <w:rFonts w:ascii="Arial" w:eastAsia="Times New Roman" w:hAnsi="Arial" w:cs="Arial"/>
          <w:sz w:val="20"/>
          <w:szCs w:val="20"/>
          <w:lang w:eastAsia="en-GB"/>
        </w:rPr>
        <w:t xml:space="preserve">, S., Kumar, K. K., </w:t>
      </w:r>
      <w:proofErr w:type="spellStart"/>
      <w:r w:rsidRPr="00960E3F">
        <w:rPr>
          <w:rFonts w:ascii="Arial" w:eastAsia="Times New Roman" w:hAnsi="Arial" w:cs="Arial"/>
          <w:sz w:val="20"/>
          <w:szCs w:val="20"/>
          <w:lang w:eastAsia="en-GB"/>
        </w:rPr>
        <w:t>Muthamilarasan</w:t>
      </w:r>
      <w:proofErr w:type="spellEnd"/>
      <w:r w:rsidRPr="00960E3F">
        <w:rPr>
          <w:rFonts w:ascii="Arial" w:eastAsia="Times New Roman" w:hAnsi="Arial" w:cs="Arial"/>
          <w:sz w:val="20"/>
          <w:szCs w:val="20"/>
          <w:lang w:eastAsia="en-GB"/>
        </w:rPr>
        <w:t xml:space="preserve">, M., &amp; Pillai, M. A. (2021). Assessment of gamma irradiation effects on plant height and maturity in rice. </w:t>
      </w:r>
      <w:r w:rsidRPr="00960E3F">
        <w:rPr>
          <w:rFonts w:ascii="Arial" w:eastAsia="Times New Roman" w:hAnsi="Arial" w:cs="Arial"/>
          <w:i/>
          <w:iCs/>
          <w:sz w:val="20"/>
          <w:szCs w:val="20"/>
          <w:lang w:eastAsia="en-GB"/>
        </w:rPr>
        <w:t>PLOS ONE</w:t>
      </w:r>
      <w:r w:rsidRPr="00960E3F">
        <w:rPr>
          <w:rFonts w:ascii="Arial" w:eastAsia="Times New Roman" w:hAnsi="Arial" w:cs="Arial"/>
          <w:sz w:val="20"/>
          <w:szCs w:val="20"/>
          <w:lang w:eastAsia="en-GB"/>
        </w:rPr>
        <w:t xml:space="preserve">, 16(1), e0245603. </w:t>
      </w:r>
      <w:hyperlink r:id="rId22" w:tgtFrame="_new" w:history="1">
        <w:r w:rsidRPr="00960E3F">
          <w:rPr>
            <w:rFonts w:ascii="Arial" w:eastAsia="Times New Roman" w:hAnsi="Arial" w:cs="Arial"/>
            <w:color w:val="0563C1" w:themeColor="hyperlink"/>
            <w:sz w:val="20"/>
            <w:szCs w:val="20"/>
            <w:u w:val="single"/>
            <w:lang w:eastAsia="en-GB"/>
          </w:rPr>
          <w:t>https://doi.org/10.1371/journal.pone.0245603</w:t>
        </w:r>
      </w:hyperlink>
      <w:r w:rsidRPr="00960E3F">
        <w:rPr>
          <w:rFonts w:ascii="Arial" w:eastAsia="Times New Roman" w:hAnsi="Arial" w:cs="Arial"/>
          <w:sz w:val="20"/>
          <w:szCs w:val="20"/>
          <w:lang w:eastAsia="en-GB"/>
        </w:rPr>
        <w:t xml:space="preserve"> </w:t>
      </w:r>
    </w:p>
    <w:p w14:paraId="1CFD74BE"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Srikanth, N., et al. (2026). Gamma radiation induced genetic variability in litchi populations. </w:t>
      </w:r>
      <w:r w:rsidRPr="00960E3F">
        <w:rPr>
          <w:rFonts w:ascii="Arial" w:eastAsia="Times New Roman" w:hAnsi="Arial" w:cs="Arial"/>
          <w:i/>
          <w:iCs/>
          <w:sz w:val="20"/>
          <w:szCs w:val="20"/>
          <w:lang w:eastAsia="en-GB"/>
        </w:rPr>
        <w:t>Cogent Biology</w:t>
      </w:r>
      <w:r w:rsidRPr="00960E3F">
        <w:rPr>
          <w:rFonts w:ascii="Arial" w:eastAsia="Times New Roman" w:hAnsi="Arial" w:cs="Arial"/>
          <w:sz w:val="20"/>
          <w:szCs w:val="20"/>
          <w:lang w:eastAsia="en-GB"/>
        </w:rPr>
        <w:t xml:space="preserve">, 10(1), 2610024. </w:t>
      </w:r>
      <w:hyperlink r:id="rId23" w:tgtFrame="_new" w:history="1">
        <w:r w:rsidRPr="00960E3F">
          <w:rPr>
            <w:rFonts w:ascii="Arial" w:eastAsia="Times New Roman" w:hAnsi="Arial" w:cs="Arial"/>
            <w:color w:val="0563C1" w:themeColor="hyperlink"/>
            <w:sz w:val="20"/>
            <w:szCs w:val="20"/>
            <w:u w:val="single"/>
            <w:lang w:eastAsia="en-GB"/>
          </w:rPr>
          <w:t>https://doi.org/10.1080/23311932.2025.2610024</w:t>
        </w:r>
      </w:hyperlink>
      <w:r w:rsidRPr="00960E3F">
        <w:rPr>
          <w:rFonts w:ascii="Arial" w:eastAsia="Times New Roman" w:hAnsi="Arial" w:cs="Arial"/>
          <w:sz w:val="20"/>
          <w:szCs w:val="20"/>
          <w:lang w:eastAsia="en-GB"/>
        </w:rPr>
        <w:t xml:space="preserve"> </w:t>
      </w:r>
    </w:p>
    <w:p w14:paraId="42746D1F"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Siddiqui, M. H., Al-</w:t>
      </w:r>
      <w:proofErr w:type="spellStart"/>
      <w:r w:rsidRPr="00960E3F">
        <w:rPr>
          <w:rFonts w:ascii="Arial" w:eastAsia="Times New Roman" w:hAnsi="Arial" w:cs="Arial"/>
          <w:sz w:val="20"/>
          <w:szCs w:val="20"/>
          <w:lang w:eastAsia="en-GB"/>
        </w:rPr>
        <w:t>Whaibi</w:t>
      </w:r>
      <w:proofErr w:type="spellEnd"/>
      <w:r w:rsidRPr="00960E3F">
        <w:rPr>
          <w:rFonts w:ascii="Arial" w:eastAsia="Times New Roman" w:hAnsi="Arial" w:cs="Arial"/>
          <w:sz w:val="20"/>
          <w:szCs w:val="20"/>
          <w:lang w:eastAsia="en-GB"/>
        </w:rPr>
        <w:t xml:space="preserve">, M. H., </w:t>
      </w:r>
      <w:proofErr w:type="spellStart"/>
      <w:r w:rsidRPr="00960E3F">
        <w:rPr>
          <w:rFonts w:ascii="Arial" w:eastAsia="Times New Roman" w:hAnsi="Arial" w:cs="Arial"/>
          <w:sz w:val="20"/>
          <w:szCs w:val="20"/>
          <w:lang w:eastAsia="en-GB"/>
        </w:rPr>
        <w:t>Basalah</w:t>
      </w:r>
      <w:proofErr w:type="spellEnd"/>
      <w:r w:rsidRPr="00960E3F">
        <w:rPr>
          <w:rFonts w:ascii="Arial" w:eastAsia="Times New Roman" w:hAnsi="Arial" w:cs="Arial"/>
          <w:sz w:val="20"/>
          <w:szCs w:val="20"/>
          <w:lang w:eastAsia="en-GB"/>
        </w:rPr>
        <w:t xml:space="preserve">, M. O., &amp; Ali, H. M. (2020). Role of mutagenesis in crop improvement. </w:t>
      </w:r>
      <w:r w:rsidRPr="00960E3F">
        <w:rPr>
          <w:rFonts w:ascii="Arial" w:eastAsia="Times New Roman" w:hAnsi="Arial" w:cs="Arial"/>
          <w:i/>
          <w:iCs/>
          <w:sz w:val="20"/>
          <w:szCs w:val="20"/>
          <w:lang w:eastAsia="en-GB"/>
        </w:rPr>
        <w:t>Saudi Journal of Biological Sciences</w:t>
      </w:r>
      <w:r w:rsidRPr="00960E3F">
        <w:rPr>
          <w:rFonts w:ascii="Arial" w:eastAsia="Times New Roman" w:hAnsi="Arial" w:cs="Arial"/>
          <w:sz w:val="20"/>
          <w:szCs w:val="20"/>
          <w:lang w:eastAsia="en-GB"/>
        </w:rPr>
        <w:t xml:space="preserve">, 27(1), 41–52. </w:t>
      </w:r>
      <w:hyperlink r:id="rId24" w:tgtFrame="_new" w:history="1">
        <w:r w:rsidRPr="00960E3F">
          <w:rPr>
            <w:rFonts w:ascii="Arial" w:eastAsia="Times New Roman" w:hAnsi="Arial" w:cs="Arial"/>
            <w:color w:val="0563C1" w:themeColor="hyperlink"/>
            <w:sz w:val="20"/>
            <w:szCs w:val="20"/>
            <w:u w:val="single"/>
            <w:lang w:eastAsia="en-GB"/>
          </w:rPr>
          <w:t>https://doi.org/10.1016/j.sjbs.2019.05.012</w:t>
        </w:r>
      </w:hyperlink>
      <w:r w:rsidRPr="00960E3F">
        <w:rPr>
          <w:rFonts w:ascii="Arial" w:eastAsia="Times New Roman" w:hAnsi="Arial" w:cs="Arial"/>
          <w:sz w:val="20"/>
          <w:szCs w:val="20"/>
          <w:lang w:eastAsia="en-GB"/>
        </w:rPr>
        <w:t xml:space="preserve"> </w:t>
      </w:r>
    </w:p>
    <w:p w14:paraId="078B1EC6"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Xu, Y., Liu, X., Fu, J., Wang, H., Wang, J., Huang, C., et al. </w:t>
      </w:r>
      <w:r w:rsidRPr="00960E3F">
        <w:rPr>
          <w:rFonts w:ascii="Arial" w:eastAsia="Times New Roman" w:hAnsi="Arial" w:cs="Arial"/>
          <w:sz w:val="20"/>
          <w:szCs w:val="20"/>
          <w:lang w:eastAsia="en-GB"/>
        </w:rPr>
        <w:t xml:space="preserve">(2021). Enhancing genetic gain in crop breeding through genomics-assisted breeding. </w:t>
      </w:r>
      <w:r w:rsidRPr="00960E3F">
        <w:rPr>
          <w:rFonts w:ascii="Arial" w:eastAsia="Times New Roman" w:hAnsi="Arial" w:cs="Arial"/>
          <w:i/>
          <w:iCs/>
          <w:sz w:val="20"/>
          <w:szCs w:val="20"/>
          <w:lang w:eastAsia="en-GB"/>
        </w:rPr>
        <w:t>Molecular Plant</w:t>
      </w:r>
      <w:r w:rsidRPr="00960E3F">
        <w:rPr>
          <w:rFonts w:ascii="Arial" w:eastAsia="Times New Roman" w:hAnsi="Arial" w:cs="Arial"/>
          <w:sz w:val="20"/>
          <w:szCs w:val="20"/>
          <w:lang w:eastAsia="en-GB"/>
        </w:rPr>
        <w:t xml:space="preserve">, 14(6), 943–963. </w:t>
      </w:r>
      <w:hyperlink r:id="rId25" w:tgtFrame="_new" w:history="1">
        <w:r w:rsidRPr="00960E3F">
          <w:rPr>
            <w:rFonts w:ascii="Arial" w:eastAsia="Times New Roman" w:hAnsi="Arial" w:cs="Arial"/>
            <w:color w:val="0563C1" w:themeColor="hyperlink"/>
            <w:sz w:val="20"/>
            <w:szCs w:val="20"/>
            <w:u w:val="single"/>
            <w:lang w:eastAsia="en-GB"/>
          </w:rPr>
          <w:t>https://doi.org/10.1016/j.molp.2021.03.001</w:t>
        </w:r>
      </w:hyperlink>
      <w:r w:rsidRPr="00960E3F">
        <w:rPr>
          <w:rFonts w:ascii="Arial" w:eastAsia="Times New Roman" w:hAnsi="Arial" w:cs="Arial"/>
          <w:sz w:val="20"/>
          <w:szCs w:val="20"/>
          <w:lang w:eastAsia="en-GB"/>
        </w:rPr>
        <w:t xml:space="preserve"> </w:t>
      </w:r>
    </w:p>
    <w:p w14:paraId="7F28439B"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Kumar, G., Srivastava, N., &amp; </w:t>
      </w:r>
      <w:proofErr w:type="spellStart"/>
      <w:r w:rsidRPr="00960E3F">
        <w:rPr>
          <w:rFonts w:ascii="Arial" w:eastAsia="Times New Roman" w:hAnsi="Arial" w:cs="Arial"/>
          <w:sz w:val="20"/>
          <w:szCs w:val="20"/>
          <w:lang w:val="fr-FR" w:eastAsia="en-GB"/>
        </w:rPr>
        <w:t>Dubey</w:t>
      </w:r>
      <w:proofErr w:type="spellEnd"/>
      <w:r w:rsidRPr="00960E3F">
        <w:rPr>
          <w:rFonts w:ascii="Arial" w:eastAsia="Times New Roman" w:hAnsi="Arial" w:cs="Arial"/>
          <w:sz w:val="20"/>
          <w:szCs w:val="20"/>
          <w:lang w:val="fr-FR" w:eastAsia="en-GB"/>
        </w:rPr>
        <w:t xml:space="preserve">, R. C. (2020). </w:t>
      </w:r>
      <w:r w:rsidRPr="00960E3F">
        <w:rPr>
          <w:rFonts w:ascii="Arial" w:eastAsia="Times New Roman" w:hAnsi="Arial" w:cs="Arial"/>
          <w:sz w:val="20"/>
          <w:szCs w:val="20"/>
          <w:lang w:eastAsia="en-GB"/>
        </w:rPr>
        <w:t xml:space="preserve">Ionizing radiation-induced mutagenesis in plants: Mechanisms and applications. </w:t>
      </w:r>
      <w:r w:rsidRPr="00960E3F">
        <w:rPr>
          <w:rFonts w:ascii="Arial" w:eastAsia="Times New Roman" w:hAnsi="Arial" w:cs="Arial"/>
          <w:i/>
          <w:iCs/>
          <w:sz w:val="20"/>
          <w:szCs w:val="20"/>
          <w:lang w:eastAsia="en-GB"/>
        </w:rPr>
        <w:t>Plants</w:t>
      </w:r>
      <w:r w:rsidRPr="00960E3F">
        <w:rPr>
          <w:rFonts w:ascii="Arial" w:eastAsia="Times New Roman" w:hAnsi="Arial" w:cs="Arial"/>
          <w:sz w:val="20"/>
          <w:szCs w:val="20"/>
          <w:lang w:eastAsia="en-GB"/>
        </w:rPr>
        <w:t xml:space="preserve">, 9(9), 1224. </w:t>
      </w:r>
      <w:hyperlink r:id="rId26" w:tgtFrame="_new" w:history="1">
        <w:r w:rsidRPr="00960E3F">
          <w:rPr>
            <w:rFonts w:ascii="Arial" w:eastAsia="Times New Roman" w:hAnsi="Arial" w:cs="Arial"/>
            <w:color w:val="0563C1" w:themeColor="hyperlink"/>
            <w:sz w:val="20"/>
            <w:szCs w:val="20"/>
            <w:u w:val="single"/>
            <w:lang w:eastAsia="en-GB"/>
          </w:rPr>
          <w:t>https://doi.org/10.3390/plants9091224</w:t>
        </w:r>
      </w:hyperlink>
      <w:r w:rsidRPr="00960E3F">
        <w:rPr>
          <w:rFonts w:ascii="Arial" w:eastAsia="Times New Roman" w:hAnsi="Arial" w:cs="Arial"/>
          <w:sz w:val="20"/>
          <w:szCs w:val="20"/>
          <w:lang w:eastAsia="en-GB"/>
        </w:rPr>
        <w:t xml:space="preserve"> </w:t>
      </w:r>
    </w:p>
    <w:p w14:paraId="46B67B8F"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Badu-</w:t>
      </w:r>
      <w:proofErr w:type="spellStart"/>
      <w:r w:rsidRPr="00960E3F">
        <w:rPr>
          <w:rFonts w:ascii="Arial" w:eastAsia="Times New Roman" w:hAnsi="Arial" w:cs="Arial"/>
          <w:sz w:val="20"/>
          <w:szCs w:val="20"/>
          <w:lang w:eastAsia="en-GB"/>
        </w:rPr>
        <w:t>Apraku</w:t>
      </w:r>
      <w:proofErr w:type="spellEnd"/>
      <w:r w:rsidRPr="00960E3F">
        <w:rPr>
          <w:rFonts w:ascii="Arial" w:eastAsia="Times New Roman" w:hAnsi="Arial" w:cs="Arial"/>
          <w:sz w:val="20"/>
          <w:szCs w:val="20"/>
          <w:lang w:eastAsia="en-GB"/>
        </w:rPr>
        <w:t xml:space="preserve">, B., </w:t>
      </w:r>
      <w:proofErr w:type="spellStart"/>
      <w:r w:rsidRPr="00960E3F">
        <w:rPr>
          <w:rFonts w:ascii="Arial" w:eastAsia="Times New Roman" w:hAnsi="Arial" w:cs="Arial"/>
          <w:sz w:val="20"/>
          <w:szCs w:val="20"/>
          <w:lang w:eastAsia="en-GB"/>
        </w:rPr>
        <w:t>Fakorede</w:t>
      </w:r>
      <w:proofErr w:type="spellEnd"/>
      <w:r w:rsidRPr="00960E3F">
        <w:rPr>
          <w:rFonts w:ascii="Arial" w:eastAsia="Times New Roman" w:hAnsi="Arial" w:cs="Arial"/>
          <w:sz w:val="20"/>
          <w:szCs w:val="20"/>
          <w:lang w:eastAsia="en-GB"/>
        </w:rPr>
        <w:t xml:space="preserve">, M. A. B., </w:t>
      </w:r>
      <w:proofErr w:type="spellStart"/>
      <w:r w:rsidRPr="00960E3F">
        <w:rPr>
          <w:rFonts w:ascii="Arial" w:eastAsia="Times New Roman" w:hAnsi="Arial" w:cs="Arial"/>
          <w:sz w:val="20"/>
          <w:szCs w:val="20"/>
          <w:lang w:eastAsia="en-GB"/>
        </w:rPr>
        <w:t>Menkir</w:t>
      </w:r>
      <w:proofErr w:type="spellEnd"/>
      <w:r w:rsidRPr="00960E3F">
        <w:rPr>
          <w:rFonts w:ascii="Arial" w:eastAsia="Times New Roman" w:hAnsi="Arial" w:cs="Arial"/>
          <w:sz w:val="20"/>
          <w:szCs w:val="20"/>
          <w:lang w:eastAsia="en-GB"/>
        </w:rPr>
        <w:t xml:space="preserve">, A., &amp; </w:t>
      </w:r>
      <w:proofErr w:type="spellStart"/>
      <w:r w:rsidRPr="00960E3F">
        <w:rPr>
          <w:rFonts w:ascii="Arial" w:eastAsia="Times New Roman" w:hAnsi="Arial" w:cs="Arial"/>
          <w:sz w:val="20"/>
          <w:szCs w:val="20"/>
          <w:lang w:eastAsia="en-GB"/>
        </w:rPr>
        <w:t>Sanogo</w:t>
      </w:r>
      <w:proofErr w:type="spellEnd"/>
      <w:r w:rsidRPr="00960E3F">
        <w:rPr>
          <w:rFonts w:ascii="Arial" w:eastAsia="Times New Roman" w:hAnsi="Arial" w:cs="Arial"/>
          <w:sz w:val="20"/>
          <w:szCs w:val="20"/>
          <w:lang w:eastAsia="en-GB"/>
        </w:rPr>
        <w:t xml:space="preserve">, D. (2021). </w:t>
      </w:r>
      <w:r w:rsidRPr="00960E3F">
        <w:rPr>
          <w:rFonts w:ascii="Arial" w:eastAsia="Times New Roman" w:hAnsi="Arial" w:cs="Arial"/>
          <w:i/>
          <w:iCs/>
          <w:sz w:val="20"/>
          <w:szCs w:val="20"/>
          <w:lang w:eastAsia="en-GB"/>
        </w:rPr>
        <w:t>Maize improvement in West and Central Africa</w:t>
      </w:r>
      <w:r w:rsidRPr="00960E3F">
        <w:rPr>
          <w:rFonts w:ascii="Arial" w:eastAsia="Times New Roman" w:hAnsi="Arial" w:cs="Arial"/>
          <w:sz w:val="20"/>
          <w:szCs w:val="20"/>
          <w:lang w:eastAsia="en-GB"/>
        </w:rPr>
        <w:t xml:space="preserve">. Springer. </w:t>
      </w:r>
      <w:hyperlink r:id="rId27" w:tgtFrame="_new" w:history="1">
        <w:r w:rsidRPr="00960E3F">
          <w:rPr>
            <w:rFonts w:ascii="Arial" w:eastAsia="Times New Roman" w:hAnsi="Arial" w:cs="Arial"/>
            <w:color w:val="0563C1" w:themeColor="hyperlink"/>
            <w:sz w:val="20"/>
            <w:szCs w:val="20"/>
            <w:u w:val="single"/>
            <w:lang w:eastAsia="en-GB"/>
          </w:rPr>
          <w:t>https://doi.org/10.1007/978-3-030-77454-4</w:t>
        </w:r>
      </w:hyperlink>
      <w:r w:rsidRPr="00960E3F">
        <w:rPr>
          <w:rFonts w:ascii="Arial" w:eastAsia="Times New Roman" w:hAnsi="Arial" w:cs="Arial"/>
          <w:sz w:val="20"/>
          <w:szCs w:val="20"/>
          <w:lang w:eastAsia="en-GB"/>
        </w:rPr>
        <w:t xml:space="preserve"> </w:t>
      </w:r>
    </w:p>
    <w:p w14:paraId="61AEE64D"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Ishfaq</w:t>
      </w:r>
      <w:proofErr w:type="spellEnd"/>
      <w:r w:rsidRPr="00960E3F">
        <w:rPr>
          <w:rFonts w:ascii="Arial" w:eastAsia="Times New Roman" w:hAnsi="Arial" w:cs="Arial"/>
          <w:sz w:val="20"/>
          <w:szCs w:val="20"/>
          <w:lang w:eastAsia="en-GB"/>
        </w:rPr>
        <w:t xml:space="preserve">, S., Ding, Y., Liang, X., &amp; Guo, W. (2025). Advancing lodging resistance in maize. </w:t>
      </w:r>
      <w:r w:rsidRPr="00960E3F">
        <w:rPr>
          <w:rFonts w:ascii="Arial" w:eastAsia="Times New Roman" w:hAnsi="Arial" w:cs="Arial"/>
          <w:i/>
          <w:iCs/>
          <w:sz w:val="20"/>
          <w:szCs w:val="20"/>
          <w:lang w:eastAsia="en-GB"/>
        </w:rPr>
        <w:t>Plant Stress</w:t>
      </w:r>
      <w:r w:rsidRPr="00960E3F">
        <w:rPr>
          <w:rFonts w:ascii="Arial" w:eastAsia="Times New Roman" w:hAnsi="Arial" w:cs="Arial"/>
          <w:sz w:val="20"/>
          <w:szCs w:val="20"/>
          <w:lang w:eastAsia="en-GB"/>
        </w:rPr>
        <w:t xml:space="preserve">, 15, 100777. </w:t>
      </w:r>
      <w:hyperlink r:id="rId28" w:tgtFrame="_new" w:history="1">
        <w:r w:rsidRPr="00960E3F">
          <w:rPr>
            <w:rFonts w:ascii="Arial" w:eastAsia="Times New Roman" w:hAnsi="Arial" w:cs="Arial"/>
            <w:color w:val="0563C1" w:themeColor="hyperlink"/>
            <w:sz w:val="20"/>
            <w:szCs w:val="20"/>
            <w:u w:val="single"/>
            <w:lang w:eastAsia="en-GB"/>
          </w:rPr>
          <w:t>https://doi.org/10.1016/j.stress.2025.100777</w:t>
        </w:r>
      </w:hyperlink>
      <w:r w:rsidRPr="00960E3F">
        <w:rPr>
          <w:rFonts w:ascii="Arial" w:eastAsia="Times New Roman" w:hAnsi="Arial" w:cs="Arial"/>
          <w:sz w:val="20"/>
          <w:szCs w:val="20"/>
          <w:lang w:eastAsia="en-GB"/>
        </w:rPr>
        <w:t xml:space="preserve"> </w:t>
      </w:r>
    </w:p>
    <w:p w14:paraId="0DC61182"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Wang, Y., Zhang, X., Liu, J., Li, Q., &amp; Chen, H. (2025). </w:t>
      </w:r>
      <w:r w:rsidRPr="00960E3F">
        <w:rPr>
          <w:rFonts w:ascii="Arial" w:eastAsia="Times New Roman" w:hAnsi="Arial" w:cs="Arial"/>
          <w:sz w:val="20"/>
          <w:szCs w:val="20"/>
          <w:lang w:eastAsia="en-GB"/>
        </w:rPr>
        <w:t xml:space="preserve">Fertilization strategies and lodging resistance in maize. </w:t>
      </w:r>
      <w:r w:rsidRPr="00960E3F">
        <w:rPr>
          <w:rFonts w:ascii="Arial" w:eastAsia="Times New Roman" w:hAnsi="Arial" w:cs="Arial"/>
          <w:i/>
          <w:iCs/>
          <w:sz w:val="20"/>
          <w:szCs w:val="20"/>
          <w:lang w:eastAsia="en-GB"/>
        </w:rPr>
        <w:t>Plants</w:t>
      </w:r>
      <w:r w:rsidRPr="00960E3F">
        <w:rPr>
          <w:rFonts w:ascii="Arial" w:eastAsia="Times New Roman" w:hAnsi="Arial" w:cs="Arial"/>
          <w:sz w:val="20"/>
          <w:szCs w:val="20"/>
          <w:lang w:eastAsia="en-GB"/>
        </w:rPr>
        <w:t xml:space="preserve">, 14(23), 3707. </w:t>
      </w:r>
      <w:hyperlink r:id="rId29" w:tgtFrame="_new" w:history="1">
        <w:r w:rsidRPr="00960E3F">
          <w:rPr>
            <w:rFonts w:ascii="Arial" w:eastAsia="Times New Roman" w:hAnsi="Arial" w:cs="Arial"/>
            <w:color w:val="0563C1" w:themeColor="hyperlink"/>
            <w:sz w:val="20"/>
            <w:szCs w:val="20"/>
            <w:u w:val="single"/>
            <w:lang w:eastAsia="en-GB"/>
          </w:rPr>
          <w:t>https://doi.org/10.3390/plants14233707</w:t>
        </w:r>
      </w:hyperlink>
      <w:r w:rsidRPr="00960E3F">
        <w:rPr>
          <w:rFonts w:ascii="Arial" w:eastAsia="Times New Roman" w:hAnsi="Arial" w:cs="Arial"/>
          <w:sz w:val="20"/>
          <w:szCs w:val="20"/>
          <w:lang w:eastAsia="en-GB"/>
        </w:rPr>
        <w:t xml:space="preserve"> </w:t>
      </w:r>
    </w:p>
    <w:p w14:paraId="029A7389"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Jankowicz-Cieslak</w:t>
      </w:r>
      <w:proofErr w:type="spellEnd"/>
      <w:r w:rsidRPr="00960E3F">
        <w:rPr>
          <w:rFonts w:ascii="Arial" w:eastAsia="Times New Roman" w:hAnsi="Arial" w:cs="Arial"/>
          <w:sz w:val="20"/>
          <w:szCs w:val="20"/>
          <w:lang w:eastAsia="en-GB"/>
        </w:rPr>
        <w:t xml:space="preserve">, J., </w:t>
      </w:r>
      <w:proofErr w:type="spellStart"/>
      <w:r w:rsidRPr="00960E3F">
        <w:rPr>
          <w:rFonts w:ascii="Arial" w:eastAsia="Times New Roman" w:hAnsi="Arial" w:cs="Arial"/>
          <w:sz w:val="20"/>
          <w:szCs w:val="20"/>
          <w:lang w:eastAsia="en-GB"/>
        </w:rPr>
        <w:t>Mba</w:t>
      </w:r>
      <w:proofErr w:type="spellEnd"/>
      <w:r w:rsidRPr="00960E3F">
        <w:rPr>
          <w:rFonts w:ascii="Arial" w:eastAsia="Times New Roman" w:hAnsi="Arial" w:cs="Arial"/>
          <w:sz w:val="20"/>
          <w:szCs w:val="20"/>
          <w:lang w:eastAsia="en-GB"/>
        </w:rPr>
        <w:t xml:space="preserve">, C., &amp; Till, B. J. (2022). Mutagenesis for crop breeding and functional genomics. In J. </w:t>
      </w:r>
      <w:proofErr w:type="spellStart"/>
      <w:r w:rsidRPr="00960E3F">
        <w:rPr>
          <w:rFonts w:ascii="Arial" w:eastAsia="Times New Roman" w:hAnsi="Arial" w:cs="Arial"/>
          <w:sz w:val="20"/>
          <w:szCs w:val="20"/>
          <w:lang w:eastAsia="en-GB"/>
        </w:rPr>
        <w:t>Jankowicz-Cieslak</w:t>
      </w:r>
      <w:proofErr w:type="spellEnd"/>
      <w:r w:rsidRPr="00960E3F">
        <w:rPr>
          <w:rFonts w:ascii="Arial" w:eastAsia="Times New Roman" w:hAnsi="Arial" w:cs="Arial"/>
          <w:sz w:val="20"/>
          <w:szCs w:val="20"/>
          <w:lang w:eastAsia="en-GB"/>
        </w:rPr>
        <w:t xml:space="preserve"> &amp; I. L. </w:t>
      </w:r>
      <w:proofErr w:type="spellStart"/>
      <w:r w:rsidRPr="00960E3F">
        <w:rPr>
          <w:rFonts w:ascii="Arial" w:eastAsia="Times New Roman" w:hAnsi="Arial" w:cs="Arial"/>
          <w:sz w:val="20"/>
          <w:szCs w:val="20"/>
          <w:lang w:eastAsia="en-GB"/>
        </w:rPr>
        <w:t>Ingelbrecht</w:t>
      </w:r>
      <w:proofErr w:type="spellEnd"/>
      <w:r w:rsidRPr="00960E3F">
        <w:rPr>
          <w:rFonts w:ascii="Arial" w:eastAsia="Times New Roman" w:hAnsi="Arial" w:cs="Arial"/>
          <w:sz w:val="20"/>
          <w:szCs w:val="20"/>
          <w:lang w:eastAsia="en-GB"/>
        </w:rPr>
        <w:t xml:space="preserve"> (Eds.), </w:t>
      </w:r>
      <w:r w:rsidRPr="00960E3F">
        <w:rPr>
          <w:rFonts w:ascii="Arial" w:eastAsia="Times New Roman" w:hAnsi="Arial" w:cs="Arial"/>
          <w:i/>
          <w:iCs/>
          <w:sz w:val="20"/>
          <w:szCs w:val="20"/>
          <w:lang w:eastAsia="en-GB"/>
        </w:rPr>
        <w:t>Efficient screening techniques</w:t>
      </w:r>
      <w:r w:rsidRPr="00960E3F">
        <w:rPr>
          <w:rFonts w:ascii="Arial" w:eastAsia="Times New Roman" w:hAnsi="Arial" w:cs="Arial"/>
          <w:sz w:val="20"/>
          <w:szCs w:val="20"/>
          <w:lang w:eastAsia="en-GB"/>
        </w:rPr>
        <w:t xml:space="preserve"> (pp. 21–45). Springer. </w:t>
      </w:r>
    </w:p>
    <w:p w14:paraId="7A4EF0EF"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Bocianowski</w:t>
      </w:r>
      <w:proofErr w:type="spellEnd"/>
      <w:r w:rsidRPr="00960E3F">
        <w:rPr>
          <w:rFonts w:ascii="Arial" w:eastAsia="Times New Roman" w:hAnsi="Arial" w:cs="Arial"/>
          <w:sz w:val="20"/>
          <w:szCs w:val="20"/>
          <w:lang w:eastAsia="en-GB"/>
        </w:rPr>
        <w:t xml:space="preserve">, J., </w:t>
      </w:r>
      <w:proofErr w:type="spellStart"/>
      <w:r w:rsidRPr="00960E3F">
        <w:rPr>
          <w:rFonts w:ascii="Arial" w:eastAsia="Times New Roman" w:hAnsi="Arial" w:cs="Arial"/>
          <w:sz w:val="20"/>
          <w:szCs w:val="20"/>
          <w:lang w:eastAsia="en-GB"/>
        </w:rPr>
        <w:t>Nowosad</w:t>
      </w:r>
      <w:proofErr w:type="spellEnd"/>
      <w:r w:rsidRPr="00960E3F">
        <w:rPr>
          <w:rFonts w:ascii="Arial" w:eastAsia="Times New Roman" w:hAnsi="Arial" w:cs="Arial"/>
          <w:sz w:val="20"/>
          <w:szCs w:val="20"/>
          <w:lang w:eastAsia="en-GB"/>
        </w:rPr>
        <w:t xml:space="preserve">, K., &amp; </w:t>
      </w:r>
      <w:proofErr w:type="spellStart"/>
      <w:r w:rsidRPr="00960E3F">
        <w:rPr>
          <w:rFonts w:ascii="Arial" w:eastAsia="Times New Roman" w:hAnsi="Arial" w:cs="Arial"/>
          <w:sz w:val="20"/>
          <w:szCs w:val="20"/>
          <w:lang w:eastAsia="en-GB"/>
        </w:rPr>
        <w:t>Rejek</w:t>
      </w:r>
      <w:proofErr w:type="spellEnd"/>
      <w:r w:rsidRPr="00960E3F">
        <w:rPr>
          <w:rFonts w:ascii="Arial" w:eastAsia="Times New Roman" w:hAnsi="Arial" w:cs="Arial"/>
          <w:sz w:val="20"/>
          <w:szCs w:val="20"/>
          <w:lang w:eastAsia="en-GB"/>
        </w:rPr>
        <w:t xml:space="preserve">, D. (2024). Genotype-by-environment interaction for maize yield. </w:t>
      </w:r>
      <w:r w:rsidRPr="00960E3F">
        <w:rPr>
          <w:rFonts w:ascii="Arial" w:eastAsia="Times New Roman" w:hAnsi="Arial" w:cs="Arial"/>
          <w:i/>
          <w:iCs/>
          <w:sz w:val="20"/>
          <w:szCs w:val="20"/>
          <w:lang w:eastAsia="en-GB"/>
        </w:rPr>
        <w:t>Journal of Applied Genetics</w:t>
      </w:r>
      <w:r w:rsidRPr="00960E3F">
        <w:rPr>
          <w:rFonts w:ascii="Arial" w:eastAsia="Times New Roman" w:hAnsi="Arial" w:cs="Arial"/>
          <w:sz w:val="20"/>
          <w:szCs w:val="20"/>
          <w:lang w:eastAsia="en-GB"/>
        </w:rPr>
        <w:t xml:space="preserve">, 65, 1–13. </w:t>
      </w:r>
    </w:p>
    <w:p w14:paraId="417DFA6F"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Hossain, M. S., et al. </w:t>
      </w:r>
      <w:r w:rsidRPr="00960E3F">
        <w:rPr>
          <w:rFonts w:ascii="Arial" w:eastAsia="Times New Roman" w:hAnsi="Arial" w:cs="Arial"/>
          <w:sz w:val="20"/>
          <w:szCs w:val="20"/>
          <w:lang w:eastAsia="en-GB"/>
        </w:rPr>
        <w:t xml:space="preserve">(2023). Induced mutation in crop improvement. </w:t>
      </w:r>
      <w:r w:rsidRPr="00960E3F">
        <w:rPr>
          <w:rFonts w:ascii="Arial" w:eastAsia="Times New Roman" w:hAnsi="Arial" w:cs="Arial"/>
          <w:i/>
          <w:iCs/>
          <w:sz w:val="20"/>
          <w:szCs w:val="20"/>
          <w:lang w:eastAsia="en-GB"/>
        </w:rPr>
        <w:t>Plants</w:t>
      </w:r>
      <w:r w:rsidRPr="00960E3F">
        <w:rPr>
          <w:rFonts w:ascii="Arial" w:eastAsia="Times New Roman" w:hAnsi="Arial" w:cs="Arial"/>
          <w:sz w:val="20"/>
          <w:szCs w:val="20"/>
          <w:lang w:eastAsia="en-GB"/>
        </w:rPr>
        <w:t xml:space="preserve">, 12(3), 580. </w:t>
      </w:r>
    </w:p>
    <w:p w14:paraId="18FD5D9A"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Kaiser, H. F. (1974). An index of factorial simplicity. </w:t>
      </w:r>
      <w:proofErr w:type="spellStart"/>
      <w:r w:rsidRPr="00960E3F">
        <w:rPr>
          <w:rFonts w:ascii="Arial" w:eastAsia="Times New Roman" w:hAnsi="Arial" w:cs="Arial"/>
          <w:i/>
          <w:iCs/>
          <w:sz w:val="20"/>
          <w:szCs w:val="20"/>
          <w:lang w:eastAsia="en-GB"/>
        </w:rPr>
        <w:t>Psychometrika</w:t>
      </w:r>
      <w:proofErr w:type="spellEnd"/>
      <w:r w:rsidRPr="00960E3F">
        <w:rPr>
          <w:rFonts w:ascii="Arial" w:eastAsia="Times New Roman" w:hAnsi="Arial" w:cs="Arial"/>
          <w:sz w:val="20"/>
          <w:szCs w:val="20"/>
          <w:lang w:eastAsia="en-GB"/>
        </w:rPr>
        <w:t xml:space="preserve">, 39(1), 31–36. </w:t>
      </w:r>
      <w:hyperlink r:id="rId30" w:tgtFrame="_new" w:history="1">
        <w:r w:rsidRPr="00960E3F">
          <w:rPr>
            <w:rFonts w:ascii="Arial" w:eastAsia="Times New Roman" w:hAnsi="Arial" w:cs="Arial"/>
            <w:color w:val="0563C1" w:themeColor="hyperlink"/>
            <w:sz w:val="20"/>
            <w:szCs w:val="20"/>
            <w:u w:val="single"/>
            <w:lang w:eastAsia="en-GB"/>
          </w:rPr>
          <w:t>https://doi.org/10.1007/BF02291575</w:t>
        </w:r>
      </w:hyperlink>
      <w:r w:rsidRPr="00960E3F">
        <w:rPr>
          <w:rFonts w:ascii="Arial" w:eastAsia="Times New Roman" w:hAnsi="Arial" w:cs="Arial"/>
          <w:sz w:val="20"/>
          <w:szCs w:val="20"/>
          <w:lang w:eastAsia="en-GB"/>
        </w:rPr>
        <w:t xml:space="preserve"> </w:t>
      </w:r>
    </w:p>
    <w:p w14:paraId="4AFC984A"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proofErr w:type="spellStart"/>
      <w:r w:rsidRPr="00960E3F">
        <w:rPr>
          <w:rFonts w:ascii="Arial" w:eastAsia="Times New Roman" w:hAnsi="Arial" w:cs="Arial"/>
          <w:sz w:val="20"/>
          <w:szCs w:val="20"/>
          <w:lang w:eastAsia="en-GB"/>
        </w:rPr>
        <w:t>Menkir</w:t>
      </w:r>
      <w:proofErr w:type="spellEnd"/>
      <w:r w:rsidRPr="00960E3F">
        <w:rPr>
          <w:rFonts w:ascii="Arial" w:eastAsia="Times New Roman" w:hAnsi="Arial" w:cs="Arial"/>
          <w:sz w:val="20"/>
          <w:szCs w:val="20"/>
          <w:lang w:eastAsia="en-GB"/>
        </w:rPr>
        <w:t xml:space="preserve">, A., </w:t>
      </w:r>
      <w:proofErr w:type="spellStart"/>
      <w:r w:rsidRPr="00960E3F">
        <w:rPr>
          <w:rFonts w:ascii="Arial" w:eastAsia="Times New Roman" w:hAnsi="Arial" w:cs="Arial"/>
          <w:sz w:val="20"/>
          <w:szCs w:val="20"/>
          <w:lang w:eastAsia="en-GB"/>
        </w:rPr>
        <w:t>Meseka</w:t>
      </w:r>
      <w:proofErr w:type="spellEnd"/>
      <w:r w:rsidRPr="00960E3F">
        <w:rPr>
          <w:rFonts w:ascii="Arial" w:eastAsia="Times New Roman" w:hAnsi="Arial" w:cs="Arial"/>
          <w:sz w:val="20"/>
          <w:szCs w:val="20"/>
          <w:lang w:eastAsia="en-GB"/>
        </w:rPr>
        <w:t xml:space="preserve">, S., </w:t>
      </w:r>
      <w:proofErr w:type="spellStart"/>
      <w:r w:rsidRPr="00960E3F">
        <w:rPr>
          <w:rFonts w:ascii="Arial" w:eastAsia="Times New Roman" w:hAnsi="Arial" w:cs="Arial"/>
          <w:sz w:val="20"/>
          <w:szCs w:val="20"/>
          <w:lang w:eastAsia="en-GB"/>
        </w:rPr>
        <w:t>Bossey</w:t>
      </w:r>
      <w:proofErr w:type="spellEnd"/>
      <w:r w:rsidRPr="00960E3F">
        <w:rPr>
          <w:rFonts w:ascii="Arial" w:eastAsia="Times New Roman" w:hAnsi="Arial" w:cs="Arial"/>
          <w:sz w:val="20"/>
          <w:szCs w:val="20"/>
          <w:lang w:eastAsia="en-GB"/>
        </w:rPr>
        <w:t xml:space="preserve">, B., &amp; </w:t>
      </w:r>
      <w:proofErr w:type="spellStart"/>
      <w:r w:rsidRPr="00960E3F">
        <w:rPr>
          <w:rFonts w:ascii="Arial" w:eastAsia="Times New Roman" w:hAnsi="Arial" w:cs="Arial"/>
          <w:sz w:val="20"/>
          <w:szCs w:val="20"/>
          <w:lang w:eastAsia="en-GB"/>
        </w:rPr>
        <w:t>Mengesha</w:t>
      </w:r>
      <w:proofErr w:type="spellEnd"/>
      <w:r w:rsidRPr="00960E3F">
        <w:rPr>
          <w:rFonts w:ascii="Arial" w:eastAsia="Times New Roman" w:hAnsi="Arial" w:cs="Arial"/>
          <w:sz w:val="20"/>
          <w:szCs w:val="20"/>
          <w:lang w:eastAsia="en-GB"/>
        </w:rPr>
        <w:t xml:space="preserve">, W. (2022). Genetic gains in maize yield under drought. </w:t>
      </w:r>
      <w:r w:rsidRPr="00960E3F">
        <w:rPr>
          <w:rFonts w:ascii="Arial" w:eastAsia="Times New Roman" w:hAnsi="Arial" w:cs="Arial"/>
          <w:i/>
          <w:iCs/>
          <w:sz w:val="20"/>
          <w:szCs w:val="20"/>
          <w:lang w:eastAsia="en-GB"/>
        </w:rPr>
        <w:t>Crop Science</w:t>
      </w:r>
      <w:r w:rsidRPr="00960E3F">
        <w:rPr>
          <w:rFonts w:ascii="Arial" w:eastAsia="Times New Roman" w:hAnsi="Arial" w:cs="Arial"/>
          <w:sz w:val="20"/>
          <w:szCs w:val="20"/>
          <w:lang w:eastAsia="en-GB"/>
        </w:rPr>
        <w:t xml:space="preserve">, 62(3), 1235–1248. </w:t>
      </w:r>
      <w:hyperlink r:id="rId31" w:tgtFrame="_new" w:history="1">
        <w:r w:rsidRPr="00960E3F">
          <w:rPr>
            <w:rFonts w:ascii="Arial" w:eastAsia="Times New Roman" w:hAnsi="Arial" w:cs="Arial"/>
            <w:color w:val="0563C1" w:themeColor="hyperlink"/>
            <w:sz w:val="20"/>
            <w:szCs w:val="20"/>
            <w:u w:val="single"/>
            <w:lang w:eastAsia="en-GB"/>
          </w:rPr>
          <w:t>https://doi.org/10.1002/csc2.20737</w:t>
        </w:r>
      </w:hyperlink>
      <w:r w:rsidRPr="00960E3F">
        <w:rPr>
          <w:rFonts w:ascii="Arial" w:eastAsia="Times New Roman" w:hAnsi="Arial" w:cs="Arial"/>
          <w:sz w:val="20"/>
          <w:szCs w:val="20"/>
          <w:lang w:eastAsia="en-GB"/>
        </w:rPr>
        <w:t xml:space="preserve"> </w:t>
      </w:r>
    </w:p>
    <w:p w14:paraId="576B2353"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Cairns, J. E., et al. </w:t>
      </w:r>
      <w:r w:rsidRPr="00960E3F">
        <w:rPr>
          <w:rFonts w:ascii="Arial" w:eastAsia="Times New Roman" w:hAnsi="Arial" w:cs="Arial"/>
          <w:sz w:val="20"/>
          <w:szCs w:val="20"/>
          <w:lang w:eastAsia="en-GB"/>
        </w:rPr>
        <w:t xml:space="preserve">(2020). Adapting maize production to climate change. </w:t>
      </w:r>
      <w:r w:rsidRPr="00960E3F">
        <w:rPr>
          <w:rFonts w:ascii="Arial" w:eastAsia="Times New Roman" w:hAnsi="Arial" w:cs="Arial"/>
          <w:i/>
          <w:iCs/>
          <w:sz w:val="20"/>
          <w:szCs w:val="20"/>
          <w:lang w:eastAsia="en-GB"/>
        </w:rPr>
        <w:t>Food Security</w:t>
      </w:r>
      <w:r w:rsidRPr="00960E3F">
        <w:rPr>
          <w:rFonts w:ascii="Arial" w:eastAsia="Times New Roman" w:hAnsi="Arial" w:cs="Arial"/>
          <w:sz w:val="20"/>
          <w:szCs w:val="20"/>
          <w:lang w:eastAsia="en-GB"/>
        </w:rPr>
        <w:t xml:space="preserve">, 12, 1–17. </w:t>
      </w:r>
      <w:hyperlink r:id="rId32" w:tgtFrame="_new" w:history="1">
        <w:r w:rsidRPr="00960E3F">
          <w:rPr>
            <w:rFonts w:ascii="Arial" w:eastAsia="Times New Roman" w:hAnsi="Arial" w:cs="Arial"/>
            <w:color w:val="0563C1" w:themeColor="hyperlink"/>
            <w:sz w:val="20"/>
            <w:szCs w:val="20"/>
            <w:u w:val="single"/>
            <w:lang w:eastAsia="en-GB"/>
          </w:rPr>
          <w:t>https://doi.org/10.1007/s12571-019-00954-x</w:t>
        </w:r>
      </w:hyperlink>
      <w:r w:rsidRPr="00960E3F">
        <w:rPr>
          <w:rFonts w:ascii="Arial" w:eastAsia="Times New Roman" w:hAnsi="Arial" w:cs="Arial"/>
          <w:sz w:val="20"/>
          <w:szCs w:val="20"/>
          <w:lang w:eastAsia="en-GB"/>
        </w:rPr>
        <w:t xml:space="preserve"> </w:t>
      </w:r>
    </w:p>
    <w:p w14:paraId="44371C31"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Messina, C. D., Cooper, M., Reynolds, M. P., &amp; Hammer, G. L. (2021). Crop design under stress conditions. </w:t>
      </w:r>
      <w:r w:rsidRPr="00960E3F">
        <w:rPr>
          <w:rFonts w:ascii="Arial" w:eastAsia="Times New Roman" w:hAnsi="Arial" w:cs="Arial"/>
          <w:i/>
          <w:iCs/>
          <w:sz w:val="20"/>
          <w:szCs w:val="20"/>
          <w:lang w:eastAsia="en-GB"/>
        </w:rPr>
        <w:t>Field Crops Research</w:t>
      </w:r>
      <w:r w:rsidRPr="00960E3F">
        <w:rPr>
          <w:rFonts w:ascii="Arial" w:eastAsia="Times New Roman" w:hAnsi="Arial" w:cs="Arial"/>
          <w:sz w:val="20"/>
          <w:szCs w:val="20"/>
          <w:lang w:eastAsia="en-GB"/>
        </w:rPr>
        <w:t xml:space="preserve">, 270, 108205. </w:t>
      </w:r>
    </w:p>
    <w:p w14:paraId="11415301"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eastAsia="en-GB"/>
        </w:rPr>
        <w:t xml:space="preserve">Zhang, X., Chen, Y., Liu, Z., &amp; Zhang, M. (2022). Leaf traits and grain yield relationships in maize. </w:t>
      </w:r>
      <w:r w:rsidRPr="00960E3F">
        <w:rPr>
          <w:rFonts w:ascii="Arial" w:eastAsia="Times New Roman" w:hAnsi="Arial" w:cs="Arial"/>
          <w:i/>
          <w:iCs/>
          <w:sz w:val="20"/>
          <w:szCs w:val="20"/>
          <w:lang w:eastAsia="en-GB"/>
        </w:rPr>
        <w:t>Plants</w:t>
      </w:r>
      <w:r w:rsidRPr="00960E3F">
        <w:rPr>
          <w:rFonts w:ascii="Arial" w:eastAsia="Times New Roman" w:hAnsi="Arial" w:cs="Arial"/>
          <w:sz w:val="20"/>
          <w:szCs w:val="20"/>
          <w:lang w:eastAsia="en-GB"/>
        </w:rPr>
        <w:t xml:space="preserve">, 11(5), 620. </w:t>
      </w:r>
    </w:p>
    <w:p w14:paraId="121A009E"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t xml:space="preserve">Rasmussen, S. K., et al. </w:t>
      </w:r>
      <w:r w:rsidRPr="00960E3F">
        <w:rPr>
          <w:rFonts w:ascii="Arial" w:eastAsia="Times New Roman" w:hAnsi="Arial" w:cs="Arial"/>
          <w:sz w:val="20"/>
          <w:szCs w:val="20"/>
          <w:lang w:eastAsia="en-GB"/>
        </w:rPr>
        <w:t xml:space="preserve">(2024). Mutational breeding and plant improvement. </w:t>
      </w:r>
      <w:r w:rsidRPr="00960E3F">
        <w:rPr>
          <w:rFonts w:ascii="Arial" w:eastAsia="Times New Roman" w:hAnsi="Arial" w:cs="Arial"/>
          <w:i/>
          <w:iCs/>
          <w:sz w:val="20"/>
          <w:szCs w:val="20"/>
          <w:lang w:eastAsia="en-GB"/>
        </w:rPr>
        <w:t>Frontiers in Plant Science</w:t>
      </w:r>
      <w:r w:rsidRPr="00960E3F">
        <w:rPr>
          <w:rFonts w:ascii="Arial" w:eastAsia="Times New Roman" w:hAnsi="Arial" w:cs="Arial"/>
          <w:sz w:val="20"/>
          <w:szCs w:val="20"/>
          <w:lang w:eastAsia="en-GB"/>
        </w:rPr>
        <w:t xml:space="preserve">, 15, 1298765. </w:t>
      </w:r>
    </w:p>
    <w:p w14:paraId="0A966A2B" w14:textId="77777777" w:rsidR="00960E3F" w:rsidRPr="00960E3F" w:rsidRDefault="00960E3F" w:rsidP="00960E3F">
      <w:pPr>
        <w:numPr>
          <w:ilvl w:val="0"/>
          <w:numId w:val="23"/>
        </w:numPr>
        <w:spacing w:line="240" w:lineRule="auto"/>
        <w:jc w:val="both"/>
        <w:rPr>
          <w:rFonts w:ascii="Arial" w:eastAsia="Times New Roman" w:hAnsi="Arial" w:cs="Arial"/>
          <w:sz w:val="20"/>
          <w:szCs w:val="20"/>
          <w:lang w:eastAsia="en-GB"/>
        </w:rPr>
      </w:pPr>
      <w:r w:rsidRPr="00960E3F">
        <w:rPr>
          <w:rFonts w:ascii="Arial" w:eastAsia="Times New Roman" w:hAnsi="Arial" w:cs="Arial"/>
          <w:sz w:val="20"/>
          <w:szCs w:val="20"/>
          <w:lang w:val="fr-FR" w:eastAsia="en-GB"/>
        </w:rPr>
        <w:lastRenderedPageBreak/>
        <w:t xml:space="preserve">Abiodun, L. A. R., et al. </w:t>
      </w:r>
      <w:r w:rsidRPr="00960E3F">
        <w:rPr>
          <w:rFonts w:ascii="Arial" w:eastAsia="Times New Roman" w:hAnsi="Arial" w:cs="Arial"/>
          <w:sz w:val="20"/>
          <w:szCs w:val="20"/>
          <w:lang w:eastAsia="en-GB"/>
        </w:rPr>
        <w:t xml:space="preserve">(2025). Machine learning in mutagenesis-based crop improvement. </w:t>
      </w:r>
      <w:r w:rsidRPr="00960E3F">
        <w:rPr>
          <w:rFonts w:ascii="Arial" w:eastAsia="Times New Roman" w:hAnsi="Arial" w:cs="Arial"/>
          <w:i/>
          <w:iCs/>
          <w:sz w:val="20"/>
          <w:szCs w:val="20"/>
          <w:lang w:eastAsia="en-GB"/>
        </w:rPr>
        <w:t>Smart Agricultural Technology</w:t>
      </w:r>
      <w:r w:rsidRPr="00960E3F">
        <w:rPr>
          <w:rFonts w:ascii="Arial" w:eastAsia="Times New Roman" w:hAnsi="Arial" w:cs="Arial"/>
          <w:sz w:val="20"/>
          <w:szCs w:val="20"/>
          <w:lang w:eastAsia="en-GB"/>
        </w:rPr>
        <w:t xml:space="preserve">, 9, 100487. </w:t>
      </w:r>
    </w:p>
    <w:p w14:paraId="407F7C56" w14:textId="77777777" w:rsidR="008B097F" w:rsidRPr="00373EE4" w:rsidRDefault="008B097F" w:rsidP="00567554">
      <w:pPr>
        <w:pStyle w:val="NormalWeb"/>
      </w:pPr>
    </w:p>
    <w:p w14:paraId="75D1CC13" w14:textId="77777777" w:rsidR="00CF1B97" w:rsidRPr="00373EE4" w:rsidRDefault="00CF1B97" w:rsidP="00C12CF0">
      <w:pPr>
        <w:pStyle w:val="ListParagraph"/>
        <w:ind w:left="0"/>
      </w:pPr>
    </w:p>
    <w:p w14:paraId="0C8EF722" w14:textId="77777777" w:rsidR="00CF1B97" w:rsidRPr="00373EE4" w:rsidRDefault="00CF1B97" w:rsidP="00CF1B97">
      <w:pPr>
        <w:pStyle w:val="NormalWeb"/>
        <w:ind w:left="720"/>
      </w:pPr>
    </w:p>
    <w:p w14:paraId="63AB7B23" w14:textId="77777777" w:rsidR="00CF1B97" w:rsidRPr="00373EE4" w:rsidRDefault="00CF1B97" w:rsidP="00CF1B97">
      <w:pPr>
        <w:pStyle w:val="ListParagraph"/>
        <w:rPr>
          <w:lang w:eastAsia="en-GB"/>
        </w:rPr>
      </w:pPr>
    </w:p>
    <w:p w14:paraId="449FD8DD" w14:textId="77777777" w:rsidR="00CF1B97" w:rsidRPr="00373EE4" w:rsidRDefault="00CF1B97" w:rsidP="00CF1B97">
      <w:pPr>
        <w:pStyle w:val="ListParagraph"/>
      </w:pPr>
    </w:p>
    <w:p w14:paraId="434F6662" w14:textId="77777777" w:rsidR="00CF1B97" w:rsidRPr="00373EE4" w:rsidRDefault="00CF1B97" w:rsidP="00CF1B97"/>
    <w:p w14:paraId="58179E1C" w14:textId="77777777" w:rsidR="00CF1B97" w:rsidRPr="00373EE4" w:rsidRDefault="00CF1B97" w:rsidP="00576B3B">
      <w:bookmarkStart w:id="0" w:name="_GoBack"/>
      <w:bookmarkEnd w:id="0"/>
    </w:p>
    <w:sectPr w:rsidR="00CF1B97" w:rsidRPr="00373E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E3B4A" w14:textId="77777777" w:rsidR="004B6EFC" w:rsidRDefault="004B6EFC" w:rsidP="00481700">
      <w:pPr>
        <w:spacing w:after="0" w:line="240" w:lineRule="auto"/>
      </w:pPr>
      <w:r>
        <w:separator/>
      </w:r>
    </w:p>
  </w:endnote>
  <w:endnote w:type="continuationSeparator" w:id="0">
    <w:p w14:paraId="11F8161A" w14:textId="77777777" w:rsidR="004B6EFC" w:rsidRDefault="004B6EFC" w:rsidP="0048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D50D3" w14:textId="351293CE" w:rsidR="00253F16" w:rsidRPr="00A575D8" w:rsidRDefault="00253F16" w:rsidP="00017DED">
    <w:pPr>
      <w:spacing w:after="100" w:afterAutospacing="1" w:line="240" w:lineRule="auto"/>
      <w:rPr>
        <w:rFonts w:ascii="Arial" w:eastAsia="Times New Roman" w:hAnsi="Arial" w:cs="Arial"/>
        <w:sz w:val="16"/>
        <w:szCs w:val="16"/>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D4DFC" w14:textId="77777777" w:rsidR="004B6EFC" w:rsidRDefault="004B6EFC" w:rsidP="00481700">
      <w:pPr>
        <w:spacing w:after="0" w:line="240" w:lineRule="auto"/>
      </w:pPr>
      <w:r>
        <w:separator/>
      </w:r>
    </w:p>
  </w:footnote>
  <w:footnote w:type="continuationSeparator" w:id="0">
    <w:p w14:paraId="4166F40D" w14:textId="77777777" w:rsidR="004B6EFC" w:rsidRDefault="004B6EFC" w:rsidP="00481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CB02" w14:textId="2C8EA251" w:rsidR="00253F16" w:rsidRDefault="004B6EFC">
    <w:pPr>
      <w:pStyle w:val="Header"/>
    </w:pPr>
    <w:r>
      <w:rPr>
        <w:noProof/>
      </w:rPr>
      <w:pict w14:anchorId="43764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4"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D8EC" w14:textId="0EABFCF3" w:rsidR="00253F16" w:rsidRDefault="004B6EFC">
    <w:pPr>
      <w:pStyle w:val="Header"/>
    </w:pPr>
    <w:r>
      <w:rPr>
        <w:noProof/>
      </w:rPr>
      <w:pict w14:anchorId="5142E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5"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260F" w14:textId="2109A80A" w:rsidR="00253F16" w:rsidRDefault="004B6EFC">
    <w:pPr>
      <w:pStyle w:val="Header"/>
    </w:pPr>
    <w:r>
      <w:rPr>
        <w:noProof/>
      </w:rPr>
      <w:pict w14:anchorId="3035F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3"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BFE"/>
    <w:multiLevelType w:val="multilevel"/>
    <w:tmpl w:val="4B4E614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eastAsiaTheme="minorHAnsi" w:cs="Times New Roman" w:hint="default"/>
        <w:sz w:val="23"/>
      </w:rPr>
    </w:lvl>
    <w:lvl w:ilvl="2">
      <w:start w:val="3"/>
      <w:numFmt w:val="decimal"/>
      <w:isLgl/>
      <w:lvlText w:val="%1.%2.%3."/>
      <w:lvlJc w:val="left"/>
      <w:pPr>
        <w:ind w:left="1080" w:hanging="720"/>
      </w:pPr>
      <w:rPr>
        <w:rFonts w:eastAsiaTheme="minorHAnsi" w:cs="Times New Roman" w:hint="default"/>
        <w:sz w:val="23"/>
      </w:rPr>
    </w:lvl>
    <w:lvl w:ilvl="3">
      <w:start w:val="1"/>
      <w:numFmt w:val="decimal"/>
      <w:isLgl/>
      <w:lvlText w:val="%1.%2.%3.%4."/>
      <w:lvlJc w:val="left"/>
      <w:pPr>
        <w:ind w:left="1080" w:hanging="720"/>
      </w:pPr>
      <w:rPr>
        <w:rFonts w:eastAsiaTheme="minorHAnsi" w:cs="Times New Roman" w:hint="default"/>
        <w:sz w:val="23"/>
      </w:rPr>
    </w:lvl>
    <w:lvl w:ilvl="4">
      <w:start w:val="1"/>
      <w:numFmt w:val="decimal"/>
      <w:isLgl/>
      <w:lvlText w:val="%1.%2.%3.%4.%5."/>
      <w:lvlJc w:val="left"/>
      <w:pPr>
        <w:ind w:left="1440" w:hanging="1080"/>
      </w:pPr>
      <w:rPr>
        <w:rFonts w:eastAsiaTheme="minorHAnsi" w:cs="Times New Roman" w:hint="default"/>
        <w:sz w:val="23"/>
      </w:rPr>
    </w:lvl>
    <w:lvl w:ilvl="5">
      <w:start w:val="1"/>
      <w:numFmt w:val="decimal"/>
      <w:isLgl/>
      <w:lvlText w:val="%1.%2.%3.%4.%5.%6."/>
      <w:lvlJc w:val="left"/>
      <w:pPr>
        <w:ind w:left="1440" w:hanging="1080"/>
      </w:pPr>
      <w:rPr>
        <w:rFonts w:eastAsiaTheme="minorHAnsi" w:cs="Times New Roman" w:hint="default"/>
        <w:sz w:val="23"/>
      </w:rPr>
    </w:lvl>
    <w:lvl w:ilvl="6">
      <w:start w:val="1"/>
      <w:numFmt w:val="decimal"/>
      <w:isLgl/>
      <w:lvlText w:val="%1.%2.%3.%4.%5.%6.%7."/>
      <w:lvlJc w:val="left"/>
      <w:pPr>
        <w:ind w:left="1800" w:hanging="1440"/>
      </w:pPr>
      <w:rPr>
        <w:rFonts w:eastAsiaTheme="minorHAnsi" w:cs="Times New Roman" w:hint="default"/>
        <w:sz w:val="23"/>
      </w:rPr>
    </w:lvl>
    <w:lvl w:ilvl="7">
      <w:start w:val="1"/>
      <w:numFmt w:val="decimal"/>
      <w:isLgl/>
      <w:lvlText w:val="%1.%2.%3.%4.%5.%6.%7.%8."/>
      <w:lvlJc w:val="left"/>
      <w:pPr>
        <w:ind w:left="1800" w:hanging="1440"/>
      </w:pPr>
      <w:rPr>
        <w:rFonts w:eastAsiaTheme="minorHAnsi" w:cs="Times New Roman" w:hint="default"/>
        <w:sz w:val="23"/>
      </w:rPr>
    </w:lvl>
    <w:lvl w:ilvl="8">
      <w:start w:val="1"/>
      <w:numFmt w:val="decimal"/>
      <w:isLgl/>
      <w:lvlText w:val="%1.%2.%3.%4.%5.%6.%7.%8.%9."/>
      <w:lvlJc w:val="left"/>
      <w:pPr>
        <w:ind w:left="2160" w:hanging="1800"/>
      </w:pPr>
      <w:rPr>
        <w:rFonts w:eastAsiaTheme="minorHAnsi" w:cs="Times New Roman" w:hint="default"/>
        <w:sz w:val="23"/>
      </w:rPr>
    </w:lvl>
  </w:abstractNum>
  <w:abstractNum w:abstractNumId="1" w15:restartNumberingAfterBreak="0">
    <w:nsid w:val="00CE7F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9342B9"/>
    <w:multiLevelType w:val="multilevel"/>
    <w:tmpl w:val="E0AE0BE2"/>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3E56EB1"/>
    <w:multiLevelType w:val="multilevel"/>
    <w:tmpl w:val="79E2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16B9E"/>
    <w:multiLevelType w:val="hybridMultilevel"/>
    <w:tmpl w:val="EDEC0014"/>
    <w:lvl w:ilvl="0" w:tplc="4304592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06288"/>
    <w:multiLevelType w:val="multilevel"/>
    <w:tmpl w:val="97D8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43818"/>
    <w:multiLevelType w:val="multilevel"/>
    <w:tmpl w:val="77BA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FA357F"/>
    <w:multiLevelType w:val="multilevel"/>
    <w:tmpl w:val="1A18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953AD"/>
    <w:multiLevelType w:val="multilevel"/>
    <w:tmpl w:val="A0CC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D4339"/>
    <w:multiLevelType w:val="multilevel"/>
    <w:tmpl w:val="5F38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E6227"/>
    <w:multiLevelType w:val="multilevel"/>
    <w:tmpl w:val="77EC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E26D3"/>
    <w:multiLevelType w:val="multilevel"/>
    <w:tmpl w:val="2B746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A403F"/>
    <w:multiLevelType w:val="hybridMultilevel"/>
    <w:tmpl w:val="828EEA1E"/>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C68660B"/>
    <w:multiLevelType w:val="multilevel"/>
    <w:tmpl w:val="021E7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D8461D"/>
    <w:multiLevelType w:val="multilevel"/>
    <w:tmpl w:val="357E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234379"/>
    <w:multiLevelType w:val="multilevel"/>
    <w:tmpl w:val="92205D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B36466"/>
    <w:multiLevelType w:val="multilevel"/>
    <w:tmpl w:val="ADC0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91B7D"/>
    <w:multiLevelType w:val="multilevel"/>
    <w:tmpl w:val="6150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BF2BF4"/>
    <w:multiLevelType w:val="multilevel"/>
    <w:tmpl w:val="F0A204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D9F3276"/>
    <w:multiLevelType w:val="multilevel"/>
    <w:tmpl w:val="30301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034787"/>
    <w:multiLevelType w:val="hybridMultilevel"/>
    <w:tmpl w:val="229069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7AE2A1B"/>
    <w:multiLevelType w:val="hybridMultilevel"/>
    <w:tmpl w:val="36DCEDD8"/>
    <w:lvl w:ilvl="0" w:tplc="2896866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1870ED"/>
    <w:multiLevelType w:val="multilevel"/>
    <w:tmpl w:val="E9E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22"/>
  </w:num>
  <w:num w:numId="4">
    <w:abstractNumId w:val="16"/>
  </w:num>
  <w:num w:numId="5">
    <w:abstractNumId w:val="13"/>
  </w:num>
  <w:num w:numId="6">
    <w:abstractNumId w:val="14"/>
  </w:num>
  <w:num w:numId="7">
    <w:abstractNumId w:val="7"/>
  </w:num>
  <w:num w:numId="8">
    <w:abstractNumId w:val="10"/>
  </w:num>
  <w:num w:numId="9">
    <w:abstractNumId w:val="5"/>
  </w:num>
  <w:num w:numId="10">
    <w:abstractNumId w:val="3"/>
  </w:num>
  <w:num w:numId="11">
    <w:abstractNumId w:val="11"/>
  </w:num>
  <w:num w:numId="12">
    <w:abstractNumId w:val="15"/>
  </w:num>
  <w:num w:numId="13">
    <w:abstractNumId w:val="18"/>
  </w:num>
  <w:num w:numId="14">
    <w:abstractNumId w:val="2"/>
  </w:num>
  <w:num w:numId="15">
    <w:abstractNumId w:val="12"/>
  </w:num>
  <w:num w:numId="16">
    <w:abstractNumId w:val="6"/>
  </w:num>
  <w:num w:numId="17">
    <w:abstractNumId w:val="8"/>
  </w:num>
  <w:num w:numId="18">
    <w:abstractNumId w:val="9"/>
  </w:num>
  <w:num w:numId="19">
    <w:abstractNumId w:val="21"/>
  </w:num>
  <w:num w:numId="20">
    <w:abstractNumId w:val="4"/>
  </w:num>
  <w:num w:numId="21">
    <w:abstractNumId w:val="1"/>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FB1"/>
    <w:rsid w:val="0000019E"/>
    <w:rsid w:val="00001715"/>
    <w:rsid w:val="00002A7D"/>
    <w:rsid w:val="000053A5"/>
    <w:rsid w:val="00011301"/>
    <w:rsid w:val="0001258C"/>
    <w:rsid w:val="00013425"/>
    <w:rsid w:val="00014E01"/>
    <w:rsid w:val="000151AA"/>
    <w:rsid w:val="00016B2A"/>
    <w:rsid w:val="00016B99"/>
    <w:rsid w:val="00016FB7"/>
    <w:rsid w:val="00017DED"/>
    <w:rsid w:val="00017EA3"/>
    <w:rsid w:val="00020471"/>
    <w:rsid w:val="00020B86"/>
    <w:rsid w:val="0002105A"/>
    <w:rsid w:val="00024043"/>
    <w:rsid w:val="00024656"/>
    <w:rsid w:val="00026416"/>
    <w:rsid w:val="00027BD3"/>
    <w:rsid w:val="00027C5C"/>
    <w:rsid w:val="00031915"/>
    <w:rsid w:val="000324E9"/>
    <w:rsid w:val="00033ABD"/>
    <w:rsid w:val="00034284"/>
    <w:rsid w:val="00034A51"/>
    <w:rsid w:val="00034CC1"/>
    <w:rsid w:val="000361F7"/>
    <w:rsid w:val="00042721"/>
    <w:rsid w:val="00044330"/>
    <w:rsid w:val="00044426"/>
    <w:rsid w:val="000451CD"/>
    <w:rsid w:val="0004520F"/>
    <w:rsid w:val="000472A2"/>
    <w:rsid w:val="000476A8"/>
    <w:rsid w:val="000524BD"/>
    <w:rsid w:val="00052717"/>
    <w:rsid w:val="00052749"/>
    <w:rsid w:val="00052B78"/>
    <w:rsid w:val="00053D56"/>
    <w:rsid w:val="000601B5"/>
    <w:rsid w:val="000607C2"/>
    <w:rsid w:val="00060D57"/>
    <w:rsid w:val="000624AD"/>
    <w:rsid w:val="0006307A"/>
    <w:rsid w:val="000673ED"/>
    <w:rsid w:val="00070842"/>
    <w:rsid w:val="00070956"/>
    <w:rsid w:val="00071528"/>
    <w:rsid w:val="00071DC8"/>
    <w:rsid w:val="00075C0F"/>
    <w:rsid w:val="00075E3E"/>
    <w:rsid w:val="00077FCB"/>
    <w:rsid w:val="00081140"/>
    <w:rsid w:val="0008159F"/>
    <w:rsid w:val="000824AB"/>
    <w:rsid w:val="00082510"/>
    <w:rsid w:val="000865E5"/>
    <w:rsid w:val="00086D01"/>
    <w:rsid w:val="000875D7"/>
    <w:rsid w:val="00092666"/>
    <w:rsid w:val="000952EA"/>
    <w:rsid w:val="00095B3C"/>
    <w:rsid w:val="000A04AE"/>
    <w:rsid w:val="000A0FB2"/>
    <w:rsid w:val="000A128B"/>
    <w:rsid w:val="000A409C"/>
    <w:rsid w:val="000A6EDD"/>
    <w:rsid w:val="000A7FEA"/>
    <w:rsid w:val="000B113B"/>
    <w:rsid w:val="000B1811"/>
    <w:rsid w:val="000B18FE"/>
    <w:rsid w:val="000B1E8D"/>
    <w:rsid w:val="000B2D24"/>
    <w:rsid w:val="000B3265"/>
    <w:rsid w:val="000B5454"/>
    <w:rsid w:val="000B571C"/>
    <w:rsid w:val="000B5AC7"/>
    <w:rsid w:val="000B5F66"/>
    <w:rsid w:val="000B5F6E"/>
    <w:rsid w:val="000B61C5"/>
    <w:rsid w:val="000B6C2C"/>
    <w:rsid w:val="000B7AD7"/>
    <w:rsid w:val="000B7F6A"/>
    <w:rsid w:val="000C11E6"/>
    <w:rsid w:val="000C1546"/>
    <w:rsid w:val="000C1FF7"/>
    <w:rsid w:val="000C398B"/>
    <w:rsid w:val="000C4011"/>
    <w:rsid w:val="000C5848"/>
    <w:rsid w:val="000C6BCD"/>
    <w:rsid w:val="000D0624"/>
    <w:rsid w:val="000D2836"/>
    <w:rsid w:val="000D305A"/>
    <w:rsid w:val="000D4D3E"/>
    <w:rsid w:val="000D5B02"/>
    <w:rsid w:val="000E02DA"/>
    <w:rsid w:val="000E0953"/>
    <w:rsid w:val="000E214B"/>
    <w:rsid w:val="000E353D"/>
    <w:rsid w:val="000E535A"/>
    <w:rsid w:val="000E5C83"/>
    <w:rsid w:val="000E5EEA"/>
    <w:rsid w:val="000E7B70"/>
    <w:rsid w:val="000F0AEF"/>
    <w:rsid w:val="000F0CEC"/>
    <w:rsid w:val="000F17D1"/>
    <w:rsid w:val="000F3647"/>
    <w:rsid w:val="000F5A24"/>
    <w:rsid w:val="000F6AD5"/>
    <w:rsid w:val="00101171"/>
    <w:rsid w:val="00101F36"/>
    <w:rsid w:val="001028AE"/>
    <w:rsid w:val="00104973"/>
    <w:rsid w:val="00106531"/>
    <w:rsid w:val="00107652"/>
    <w:rsid w:val="00107D59"/>
    <w:rsid w:val="001117A6"/>
    <w:rsid w:val="00111B8C"/>
    <w:rsid w:val="00112821"/>
    <w:rsid w:val="00112E78"/>
    <w:rsid w:val="001149B6"/>
    <w:rsid w:val="00115834"/>
    <w:rsid w:val="00115B89"/>
    <w:rsid w:val="00117006"/>
    <w:rsid w:val="00120FC3"/>
    <w:rsid w:val="001210D5"/>
    <w:rsid w:val="001227C0"/>
    <w:rsid w:val="001237D3"/>
    <w:rsid w:val="00123ACE"/>
    <w:rsid w:val="001267B9"/>
    <w:rsid w:val="00126CF3"/>
    <w:rsid w:val="00127C33"/>
    <w:rsid w:val="00127F95"/>
    <w:rsid w:val="001312A8"/>
    <w:rsid w:val="00131DB2"/>
    <w:rsid w:val="001336D3"/>
    <w:rsid w:val="0013387A"/>
    <w:rsid w:val="00133B45"/>
    <w:rsid w:val="00134B18"/>
    <w:rsid w:val="0014121F"/>
    <w:rsid w:val="0014210E"/>
    <w:rsid w:val="001429B7"/>
    <w:rsid w:val="0014366A"/>
    <w:rsid w:val="001451E2"/>
    <w:rsid w:val="00146924"/>
    <w:rsid w:val="00146A5E"/>
    <w:rsid w:val="00147F66"/>
    <w:rsid w:val="001502D5"/>
    <w:rsid w:val="0015313E"/>
    <w:rsid w:val="00154048"/>
    <w:rsid w:val="0016000C"/>
    <w:rsid w:val="0016003D"/>
    <w:rsid w:val="00161BC7"/>
    <w:rsid w:val="001627F5"/>
    <w:rsid w:val="00162F35"/>
    <w:rsid w:val="001642BB"/>
    <w:rsid w:val="00164CAE"/>
    <w:rsid w:val="00165209"/>
    <w:rsid w:val="0016609B"/>
    <w:rsid w:val="00166661"/>
    <w:rsid w:val="00166CD6"/>
    <w:rsid w:val="00167FB7"/>
    <w:rsid w:val="0017023D"/>
    <w:rsid w:val="00170E96"/>
    <w:rsid w:val="00174697"/>
    <w:rsid w:val="00175350"/>
    <w:rsid w:val="00175A27"/>
    <w:rsid w:val="00176C5D"/>
    <w:rsid w:val="0018224C"/>
    <w:rsid w:val="00183046"/>
    <w:rsid w:val="001847BB"/>
    <w:rsid w:val="00185469"/>
    <w:rsid w:val="00185E8D"/>
    <w:rsid w:val="00187F16"/>
    <w:rsid w:val="00192B5A"/>
    <w:rsid w:val="00192D20"/>
    <w:rsid w:val="001938D5"/>
    <w:rsid w:val="001A0C40"/>
    <w:rsid w:val="001A28D9"/>
    <w:rsid w:val="001A3242"/>
    <w:rsid w:val="001A3B4A"/>
    <w:rsid w:val="001A4349"/>
    <w:rsid w:val="001A4656"/>
    <w:rsid w:val="001A49C9"/>
    <w:rsid w:val="001A6C62"/>
    <w:rsid w:val="001A6DFB"/>
    <w:rsid w:val="001A7541"/>
    <w:rsid w:val="001B0548"/>
    <w:rsid w:val="001B0D75"/>
    <w:rsid w:val="001B1D06"/>
    <w:rsid w:val="001B1E5E"/>
    <w:rsid w:val="001B207B"/>
    <w:rsid w:val="001B341B"/>
    <w:rsid w:val="001B3BA2"/>
    <w:rsid w:val="001B3F4B"/>
    <w:rsid w:val="001B41DB"/>
    <w:rsid w:val="001B48F4"/>
    <w:rsid w:val="001B5107"/>
    <w:rsid w:val="001B5409"/>
    <w:rsid w:val="001B5511"/>
    <w:rsid w:val="001B57D1"/>
    <w:rsid w:val="001C4382"/>
    <w:rsid w:val="001C513C"/>
    <w:rsid w:val="001C596D"/>
    <w:rsid w:val="001D0560"/>
    <w:rsid w:val="001D07DD"/>
    <w:rsid w:val="001D51C2"/>
    <w:rsid w:val="001D5B97"/>
    <w:rsid w:val="001E04BA"/>
    <w:rsid w:val="001E3599"/>
    <w:rsid w:val="001E3AE9"/>
    <w:rsid w:val="001E3E8D"/>
    <w:rsid w:val="001E4DAD"/>
    <w:rsid w:val="001E67C2"/>
    <w:rsid w:val="001F2FAE"/>
    <w:rsid w:val="001F38A5"/>
    <w:rsid w:val="001F6B51"/>
    <w:rsid w:val="00204FFF"/>
    <w:rsid w:val="00205232"/>
    <w:rsid w:val="00205B19"/>
    <w:rsid w:val="00206557"/>
    <w:rsid w:val="0021083C"/>
    <w:rsid w:val="00211721"/>
    <w:rsid w:val="00212249"/>
    <w:rsid w:val="00217DA2"/>
    <w:rsid w:val="00220E36"/>
    <w:rsid w:val="00221589"/>
    <w:rsid w:val="00222F60"/>
    <w:rsid w:val="00223E1F"/>
    <w:rsid w:val="00224E80"/>
    <w:rsid w:val="00226284"/>
    <w:rsid w:val="0022721A"/>
    <w:rsid w:val="00230554"/>
    <w:rsid w:val="0023070C"/>
    <w:rsid w:val="002319F6"/>
    <w:rsid w:val="00231E23"/>
    <w:rsid w:val="00231EDD"/>
    <w:rsid w:val="00232E42"/>
    <w:rsid w:val="00235607"/>
    <w:rsid w:val="00235836"/>
    <w:rsid w:val="002366BE"/>
    <w:rsid w:val="0024038D"/>
    <w:rsid w:val="00240D12"/>
    <w:rsid w:val="00240F98"/>
    <w:rsid w:val="00242A7A"/>
    <w:rsid w:val="00242BBA"/>
    <w:rsid w:val="00242D6A"/>
    <w:rsid w:val="00244547"/>
    <w:rsid w:val="00244B20"/>
    <w:rsid w:val="00244B55"/>
    <w:rsid w:val="00246101"/>
    <w:rsid w:val="00247A2E"/>
    <w:rsid w:val="00247B57"/>
    <w:rsid w:val="002506C4"/>
    <w:rsid w:val="00250F67"/>
    <w:rsid w:val="00251455"/>
    <w:rsid w:val="00251547"/>
    <w:rsid w:val="002525B0"/>
    <w:rsid w:val="00253265"/>
    <w:rsid w:val="0025397B"/>
    <w:rsid w:val="00253F16"/>
    <w:rsid w:val="002550BB"/>
    <w:rsid w:val="00256480"/>
    <w:rsid w:val="002606F5"/>
    <w:rsid w:val="00260E66"/>
    <w:rsid w:val="002625B3"/>
    <w:rsid w:val="00263FA6"/>
    <w:rsid w:val="00267969"/>
    <w:rsid w:val="00270914"/>
    <w:rsid w:val="00271E6D"/>
    <w:rsid w:val="00273BED"/>
    <w:rsid w:val="00275551"/>
    <w:rsid w:val="002779C0"/>
    <w:rsid w:val="00280333"/>
    <w:rsid w:val="00281195"/>
    <w:rsid w:val="002820FD"/>
    <w:rsid w:val="00282374"/>
    <w:rsid w:val="0028316B"/>
    <w:rsid w:val="002919F7"/>
    <w:rsid w:val="00291AC2"/>
    <w:rsid w:val="002930B9"/>
    <w:rsid w:val="002933ED"/>
    <w:rsid w:val="00295B45"/>
    <w:rsid w:val="002A37EE"/>
    <w:rsid w:val="002A6200"/>
    <w:rsid w:val="002A6BB1"/>
    <w:rsid w:val="002A71ED"/>
    <w:rsid w:val="002B0F3C"/>
    <w:rsid w:val="002B1C3F"/>
    <w:rsid w:val="002B2D8E"/>
    <w:rsid w:val="002B3185"/>
    <w:rsid w:val="002B450F"/>
    <w:rsid w:val="002B464D"/>
    <w:rsid w:val="002B4980"/>
    <w:rsid w:val="002B4A6C"/>
    <w:rsid w:val="002B61E5"/>
    <w:rsid w:val="002B6373"/>
    <w:rsid w:val="002C08AD"/>
    <w:rsid w:val="002C34B6"/>
    <w:rsid w:val="002C3BB2"/>
    <w:rsid w:val="002C3E89"/>
    <w:rsid w:val="002C57CB"/>
    <w:rsid w:val="002C6414"/>
    <w:rsid w:val="002C6CA0"/>
    <w:rsid w:val="002D00BB"/>
    <w:rsid w:val="002D04FC"/>
    <w:rsid w:val="002D2F8B"/>
    <w:rsid w:val="002D36B9"/>
    <w:rsid w:val="002D5180"/>
    <w:rsid w:val="002D5D5E"/>
    <w:rsid w:val="002D7537"/>
    <w:rsid w:val="002D7B16"/>
    <w:rsid w:val="002D7D72"/>
    <w:rsid w:val="002E090B"/>
    <w:rsid w:val="002E3404"/>
    <w:rsid w:val="002E35D2"/>
    <w:rsid w:val="002E3958"/>
    <w:rsid w:val="002E5FCB"/>
    <w:rsid w:val="002F11DA"/>
    <w:rsid w:val="002F3BA7"/>
    <w:rsid w:val="002F5188"/>
    <w:rsid w:val="002F5721"/>
    <w:rsid w:val="002F6D40"/>
    <w:rsid w:val="002F7BD2"/>
    <w:rsid w:val="002F7EEF"/>
    <w:rsid w:val="00300055"/>
    <w:rsid w:val="00300134"/>
    <w:rsid w:val="00301DA5"/>
    <w:rsid w:val="00302E60"/>
    <w:rsid w:val="0030727C"/>
    <w:rsid w:val="00307C4D"/>
    <w:rsid w:val="00307DF8"/>
    <w:rsid w:val="003102CD"/>
    <w:rsid w:val="003124E5"/>
    <w:rsid w:val="00312E86"/>
    <w:rsid w:val="00314589"/>
    <w:rsid w:val="003146D6"/>
    <w:rsid w:val="003147B2"/>
    <w:rsid w:val="00314D50"/>
    <w:rsid w:val="0031572E"/>
    <w:rsid w:val="00316C89"/>
    <w:rsid w:val="00317BF3"/>
    <w:rsid w:val="00320897"/>
    <w:rsid w:val="0032331F"/>
    <w:rsid w:val="003246D0"/>
    <w:rsid w:val="00325172"/>
    <w:rsid w:val="00325965"/>
    <w:rsid w:val="00325C4D"/>
    <w:rsid w:val="00330AA1"/>
    <w:rsid w:val="00331AF4"/>
    <w:rsid w:val="00334D12"/>
    <w:rsid w:val="0033573C"/>
    <w:rsid w:val="00336771"/>
    <w:rsid w:val="00340934"/>
    <w:rsid w:val="003419F6"/>
    <w:rsid w:val="00344A1A"/>
    <w:rsid w:val="00347A08"/>
    <w:rsid w:val="00350291"/>
    <w:rsid w:val="00353E6E"/>
    <w:rsid w:val="003567EA"/>
    <w:rsid w:val="0035686E"/>
    <w:rsid w:val="00357282"/>
    <w:rsid w:val="003600F0"/>
    <w:rsid w:val="003611ED"/>
    <w:rsid w:val="00363473"/>
    <w:rsid w:val="0036374E"/>
    <w:rsid w:val="0036391A"/>
    <w:rsid w:val="003738F2"/>
    <w:rsid w:val="00373EE4"/>
    <w:rsid w:val="00376FA0"/>
    <w:rsid w:val="00380692"/>
    <w:rsid w:val="0038253D"/>
    <w:rsid w:val="00383AC2"/>
    <w:rsid w:val="003843CD"/>
    <w:rsid w:val="00385C62"/>
    <w:rsid w:val="00390666"/>
    <w:rsid w:val="00391B30"/>
    <w:rsid w:val="003950B7"/>
    <w:rsid w:val="00396891"/>
    <w:rsid w:val="003A0287"/>
    <w:rsid w:val="003A06BB"/>
    <w:rsid w:val="003A6190"/>
    <w:rsid w:val="003A651C"/>
    <w:rsid w:val="003A6752"/>
    <w:rsid w:val="003A720B"/>
    <w:rsid w:val="003A79CE"/>
    <w:rsid w:val="003B1B5F"/>
    <w:rsid w:val="003B2AB5"/>
    <w:rsid w:val="003B371A"/>
    <w:rsid w:val="003B45C5"/>
    <w:rsid w:val="003C21B4"/>
    <w:rsid w:val="003C25CE"/>
    <w:rsid w:val="003C3579"/>
    <w:rsid w:val="003C3AC4"/>
    <w:rsid w:val="003C44F2"/>
    <w:rsid w:val="003C6555"/>
    <w:rsid w:val="003C7A82"/>
    <w:rsid w:val="003D1B92"/>
    <w:rsid w:val="003D1EB2"/>
    <w:rsid w:val="003D22C0"/>
    <w:rsid w:val="003D3188"/>
    <w:rsid w:val="003D3FAA"/>
    <w:rsid w:val="003D5103"/>
    <w:rsid w:val="003D5249"/>
    <w:rsid w:val="003D58AA"/>
    <w:rsid w:val="003D5E47"/>
    <w:rsid w:val="003E2F46"/>
    <w:rsid w:val="003E303B"/>
    <w:rsid w:val="003E3178"/>
    <w:rsid w:val="003E3583"/>
    <w:rsid w:val="003E5FC7"/>
    <w:rsid w:val="003E60FE"/>
    <w:rsid w:val="003E6BF5"/>
    <w:rsid w:val="003E7256"/>
    <w:rsid w:val="003F08BD"/>
    <w:rsid w:val="003F0D71"/>
    <w:rsid w:val="003F3782"/>
    <w:rsid w:val="003F3A0B"/>
    <w:rsid w:val="003F3A21"/>
    <w:rsid w:val="003F5745"/>
    <w:rsid w:val="003F70F4"/>
    <w:rsid w:val="003F7ACD"/>
    <w:rsid w:val="003F7DFD"/>
    <w:rsid w:val="00401BB5"/>
    <w:rsid w:val="004025F3"/>
    <w:rsid w:val="004030A6"/>
    <w:rsid w:val="00403C8F"/>
    <w:rsid w:val="00403CAB"/>
    <w:rsid w:val="00414DAD"/>
    <w:rsid w:val="0041568D"/>
    <w:rsid w:val="00417C81"/>
    <w:rsid w:val="00420D50"/>
    <w:rsid w:val="0042143B"/>
    <w:rsid w:val="004226C0"/>
    <w:rsid w:val="004233D0"/>
    <w:rsid w:val="004235B3"/>
    <w:rsid w:val="004235CA"/>
    <w:rsid w:val="00424219"/>
    <w:rsid w:val="00431F1B"/>
    <w:rsid w:val="00432E61"/>
    <w:rsid w:val="004333DD"/>
    <w:rsid w:val="004338C3"/>
    <w:rsid w:val="00433F74"/>
    <w:rsid w:val="00440F11"/>
    <w:rsid w:val="00443653"/>
    <w:rsid w:val="00444D24"/>
    <w:rsid w:val="004462BA"/>
    <w:rsid w:val="0044652D"/>
    <w:rsid w:val="00447A43"/>
    <w:rsid w:val="0045102E"/>
    <w:rsid w:val="00453C20"/>
    <w:rsid w:val="00455363"/>
    <w:rsid w:val="00455CA6"/>
    <w:rsid w:val="00456EDF"/>
    <w:rsid w:val="004573C2"/>
    <w:rsid w:val="00457492"/>
    <w:rsid w:val="00460226"/>
    <w:rsid w:val="00462EB6"/>
    <w:rsid w:val="00462FD7"/>
    <w:rsid w:val="00463ADC"/>
    <w:rsid w:val="00464F05"/>
    <w:rsid w:val="00467131"/>
    <w:rsid w:val="0047265D"/>
    <w:rsid w:val="00473D9E"/>
    <w:rsid w:val="00480951"/>
    <w:rsid w:val="00481700"/>
    <w:rsid w:val="00481FFE"/>
    <w:rsid w:val="00483971"/>
    <w:rsid w:val="00483C0A"/>
    <w:rsid w:val="0048546C"/>
    <w:rsid w:val="004870BE"/>
    <w:rsid w:val="004908EB"/>
    <w:rsid w:val="00491ED5"/>
    <w:rsid w:val="004921FB"/>
    <w:rsid w:val="00492FC6"/>
    <w:rsid w:val="00493277"/>
    <w:rsid w:val="004934BA"/>
    <w:rsid w:val="004964F1"/>
    <w:rsid w:val="004965FA"/>
    <w:rsid w:val="00496A88"/>
    <w:rsid w:val="00497623"/>
    <w:rsid w:val="004A0555"/>
    <w:rsid w:val="004A2620"/>
    <w:rsid w:val="004A3C39"/>
    <w:rsid w:val="004A3F8A"/>
    <w:rsid w:val="004A5402"/>
    <w:rsid w:val="004A75A4"/>
    <w:rsid w:val="004A7E7E"/>
    <w:rsid w:val="004B0299"/>
    <w:rsid w:val="004B03F9"/>
    <w:rsid w:val="004B120F"/>
    <w:rsid w:val="004B1501"/>
    <w:rsid w:val="004B2482"/>
    <w:rsid w:val="004B4927"/>
    <w:rsid w:val="004B4EAD"/>
    <w:rsid w:val="004B522A"/>
    <w:rsid w:val="004B5F2C"/>
    <w:rsid w:val="004B60C7"/>
    <w:rsid w:val="004B69BA"/>
    <w:rsid w:val="004B6EFC"/>
    <w:rsid w:val="004C151F"/>
    <w:rsid w:val="004C2DAC"/>
    <w:rsid w:val="004C38C2"/>
    <w:rsid w:val="004C4C22"/>
    <w:rsid w:val="004C4DE1"/>
    <w:rsid w:val="004C50F9"/>
    <w:rsid w:val="004C58CE"/>
    <w:rsid w:val="004C5AAF"/>
    <w:rsid w:val="004C5B69"/>
    <w:rsid w:val="004C60A2"/>
    <w:rsid w:val="004C61D5"/>
    <w:rsid w:val="004C6680"/>
    <w:rsid w:val="004C7822"/>
    <w:rsid w:val="004D012A"/>
    <w:rsid w:val="004D0135"/>
    <w:rsid w:val="004D01F4"/>
    <w:rsid w:val="004D141A"/>
    <w:rsid w:val="004D2788"/>
    <w:rsid w:val="004D368D"/>
    <w:rsid w:val="004D42B8"/>
    <w:rsid w:val="004D7795"/>
    <w:rsid w:val="004E039E"/>
    <w:rsid w:val="004E0713"/>
    <w:rsid w:val="004E1EE0"/>
    <w:rsid w:val="004E2FE4"/>
    <w:rsid w:val="004E3E1D"/>
    <w:rsid w:val="004E5E2E"/>
    <w:rsid w:val="004E5E6E"/>
    <w:rsid w:val="004E7EC9"/>
    <w:rsid w:val="004F06B0"/>
    <w:rsid w:val="004F0950"/>
    <w:rsid w:val="004F0C6F"/>
    <w:rsid w:val="004F0CDE"/>
    <w:rsid w:val="004F1722"/>
    <w:rsid w:val="004F188E"/>
    <w:rsid w:val="004F2304"/>
    <w:rsid w:val="004F27F0"/>
    <w:rsid w:val="004F2FFB"/>
    <w:rsid w:val="004F40DA"/>
    <w:rsid w:val="004F5036"/>
    <w:rsid w:val="004F64C7"/>
    <w:rsid w:val="004F6E17"/>
    <w:rsid w:val="00500138"/>
    <w:rsid w:val="005005B4"/>
    <w:rsid w:val="0050183C"/>
    <w:rsid w:val="005025C6"/>
    <w:rsid w:val="00502F80"/>
    <w:rsid w:val="0050407F"/>
    <w:rsid w:val="00507646"/>
    <w:rsid w:val="005112D1"/>
    <w:rsid w:val="005137C6"/>
    <w:rsid w:val="005145EF"/>
    <w:rsid w:val="0051542E"/>
    <w:rsid w:val="00515578"/>
    <w:rsid w:val="005159D5"/>
    <w:rsid w:val="00521F78"/>
    <w:rsid w:val="0052464F"/>
    <w:rsid w:val="0052477B"/>
    <w:rsid w:val="00526D27"/>
    <w:rsid w:val="00530A2E"/>
    <w:rsid w:val="00530E41"/>
    <w:rsid w:val="005330F4"/>
    <w:rsid w:val="005351AD"/>
    <w:rsid w:val="00535E34"/>
    <w:rsid w:val="005374B9"/>
    <w:rsid w:val="00540272"/>
    <w:rsid w:val="00540F66"/>
    <w:rsid w:val="005421A9"/>
    <w:rsid w:val="00542E4B"/>
    <w:rsid w:val="00543516"/>
    <w:rsid w:val="00543F73"/>
    <w:rsid w:val="005446DE"/>
    <w:rsid w:val="00545026"/>
    <w:rsid w:val="00546CCD"/>
    <w:rsid w:val="005517D3"/>
    <w:rsid w:val="00552001"/>
    <w:rsid w:val="00553970"/>
    <w:rsid w:val="00553CFD"/>
    <w:rsid w:val="005545E5"/>
    <w:rsid w:val="005548EC"/>
    <w:rsid w:val="00555199"/>
    <w:rsid w:val="0055549C"/>
    <w:rsid w:val="00556FBE"/>
    <w:rsid w:val="00557F7C"/>
    <w:rsid w:val="00562797"/>
    <w:rsid w:val="00562E12"/>
    <w:rsid w:val="00565BBA"/>
    <w:rsid w:val="00567554"/>
    <w:rsid w:val="0057188B"/>
    <w:rsid w:val="005728E4"/>
    <w:rsid w:val="005743F6"/>
    <w:rsid w:val="00576B3B"/>
    <w:rsid w:val="005823EF"/>
    <w:rsid w:val="0058248A"/>
    <w:rsid w:val="00582680"/>
    <w:rsid w:val="0058279D"/>
    <w:rsid w:val="00582D6A"/>
    <w:rsid w:val="00583109"/>
    <w:rsid w:val="005844A6"/>
    <w:rsid w:val="00584E4A"/>
    <w:rsid w:val="005856C0"/>
    <w:rsid w:val="00585CE6"/>
    <w:rsid w:val="005867A6"/>
    <w:rsid w:val="00586887"/>
    <w:rsid w:val="00586ADF"/>
    <w:rsid w:val="00587037"/>
    <w:rsid w:val="005879E5"/>
    <w:rsid w:val="00587C05"/>
    <w:rsid w:val="00587DCF"/>
    <w:rsid w:val="00590140"/>
    <w:rsid w:val="0059072A"/>
    <w:rsid w:val="0059187E"/>
    <w:rsid w:val="005919E5"/>
    <w:rsid w:val="00592268"/>
    <w:rsid w:val="00592C3E"/>
    <w:rsid w:val="00594BCA"/>
    <w:rsid w:val="00594BF2"/>
    <w:rsid w:val="00595500"/>
    <w:rsid w:val="00595590"/>
    <w:rsid w:val="005970EC"/>
    <w:rsid w:val="00597734"/>
    <w:rsid w:val="005A098C"/>
    <w:rsid w:val="005A4E1F"/>
    <w:rsid w:val="005B069A"/>
    <w:rsid w:val="005B237E"/>
    <w:rsid w:val="005B3340"/>
    <w:rsid w:val="005B37A9"/>
    <w:rsid w:val="005B50BB"/>
    <w:rsid w:val="005B5172"/>
    <w:rsid w:val="005B754C"/>
    <w:rsid w:val="005B78FC"/>
    <w:rsid w:val="005B799F"/>
    <w:rsid w:val="005C1F07"/>
    <w:rsid w:val="005C2BDC"/>
    <w:rsid w:val="005C360A"/>
    <w:rsid w:val="005C73AA"/>
    <w:rsid w:val="005C7C2A"/>
    <w:rsid w:val="005C7DA3"/>
    <w:rsid w:val="005D1861"/>
    <w:rsid w:val="005D1CC2"/>
    <w:rsid w:val="005D40CD"/>
    <w:rsid w:val="005D4CC4"/>
    <w:rsid w:val="005D6C4E"/>
    <w:rsid w:val="005E07BF"/>
    <w:rsid w:val="005E21EA"/>
    <w:rsid w:val="005E2F57"/>
    <w:rsid w:val="005E4B4D"/>
    <w:rsid w:val="005E6FC4"/>
    <w:rsid w:val="005F02E4"/>
    <w:rsid w:val="005F293D"/>
    <w:rsid w:val="005F2A6C"/>
    <w:rsid w:val="005F2DD9"/>
    <w:rsid w:val="005F3764"/>
    <w:rsid w:val="005F486D"/>
    <w:rsid w:val="005F4ACB"/>
    <w:rsid w:val="005F5B77"/>
    <w:rsid w:val="005F608C"/>
    <w:rsid w:val="00602657"/>
    <w:rsid w:val="0060507E"/>
    <w:rsid w:val="006072C8"/>
    <w:rsid w:val="00607C20"/>
    <w:rsid w:val="006100F3"/>
    <w:rsid w:val="00610B4F"/>
    <w:rsid w:val="00613895"/>
    <w:rsid w:val="00613B8C"/>
    <w:rsid w:val="00613D86"/>
    <w:rsid w:val="006145A8"/>
    <w:rsid w:val="006148BF"/>
    <w:rsid w:val="00614AC7"/>
    <w:rsid w:val="00615940"/>
    <w:rsid w:val="00615D37"/>
    <w:rsid w:val="00616801"/>
    <w:rsid w:val="00616C99"/>
    <w:rsid w:val="00617621"/>
    <w:rsid w:val="006178CF"/>
    <w:rsid w:val="006223D9"/>
    <w:rsid w:val="006246CA"/>
    <w:rsid w:val="00627416"/>
    <w:rsid w:val="00630C09"/>
    <w:rsid w:val="00632420"/>
    <w:rsid w:val="006328ED"/>
    <w:rsid w:val="006331FE"/>
    <w:rsid w:val="006364B5"/>
    <w:rsid w:val="006367FA"/>
    <w:rsid w:val="0063704A"/>
    <w:rsid w:val="0063763D"/>
    <w:rsid w:val="006400FF"/>
    <w:rsid w:val="00641EE7"/>
    <w:rsid w:val="006442C0"/>
    <w:rsid w:val="00645031"/>
    <w:rsid w:val="0064574F"/>
    <w:rsid w:val="00647108"/>
    <w:rsid w:val="006508B9"/>
    <w:rsid w:val="00652AC5"/>
    <w:rsid w:val="0065377F"/>
    <w:rsid w:val="00653819"/>
    <w:rsid w:val="00654D90"/>
    <w:rsid w:val="006553EF"/>
    <w:rsid w:val="0065654C"/>
    <w:rsid w:val="00660F41"/>
    <w:rsid w:val="0066362E"/>
    <w:rsid w:val="00665FD1"/>
    <w:rsid w:val="006670E6"/>
    <w:rsid w:val="00670673"/>
    <w:rsid w:val="00670B6B"/>
    <w:rsid w:val="00672488"/>
    <w:rsid w:val="006734BB"/>
    <w:rsid w:val="006735CA"/>
    <w:rsid w:val="00673D5F"/>
    <w:rsid w:val="00675A07"/>
    <w:rsid w:val="00677FAD"/>
    <w:rsid w:val="00681614"/>
    <w:rsid w:val="00683E3E"/>
    <w:rsid w:val="006851DB"/>
    <w:rsid w:val="00687AA3"/>
    <w:rsid w:val="00687EF7"/>
    <w:rsid w:val="006900CF"/>
    <w:rsid w:val="00690FB7"/>
    <w:rsid w:val="006929FA"/>
    <w:rsid w:val="00694569"/>
    <w:rsid w:val="0069472B"/>
    <w:rsid w:val="00696473"/>
    <w:rsid w:val="00697547"/>
    <w:rsid w:val="006A0A08"/>
    <w:rsid w:val="006A27F2"/>
    <w:rsid w:val="006A3248"/>
    <w:rsid w:val="006A3BD7"/>
    <w:rsid w:val="006A41BF"/>
    <w:rsid w:val="006A59C9"/>
    <w:rsid w:val="006A5CD1"/>
    <w:rsid w:val="006A6C16"/>
    <w:rsid w:val="006A7FD6"/>
    <w:rsid w:val="006B1B63"/>
    <w:rsid w:val="006B2F47"/>
    <w:rsid w:val="006B4F8E"/>
    <w:rsid w:val="006B5B57"/>
    <w:rsid w:val="006B5F02"/>
    <w:rsid w:val="006C01F9"/>
    <w:rsid w:val="006C1A25"/>
    <w:rsid w:val="006C200D"/>
    <w:rsid w:val="006C57D9"/>
    <w:rsid w:val="006C6B36"/>
    <w:rsid w:val="006C757D"/>
    <w:rsid w:val="006C7B86"/>
    <w:rsid w:val="006C7EA1"/>
    <w:rsid w:val="006D053F"/>
    <w:rsid w:val="006D06AE"/>
    <w:rsid w:val="006D1519"/>
    <w:rsid w:val="006D1C7E"/>
    <w:rsid w:val="006D3406"/>
    <w:rsid w:val="006D516C"/>
    <w:rsid w:val="006D6472"/>
    <w:rsid w:val="006D6C45"/>
    <w:rsid w:val="006D73EF"/>
    <w:rsid w:val="006E11AD"/>
    <w:rsid w:val="006E2074"/>
    <w:rsid w:val="006E309C"/>
    <w:rsid w:val="006E3F34"/>
    <w:rsid w:val="006E42AF"/>
    <w:rsid w:val="006E57D5"/>
    <w:rsid w:val="006E6BE8"/>
    <w:rsid w:val="006F1160"/>
    <w:rsid w:val="006F3492"/>
    <w:rsid w:val="006F3493"/>
    <w:rsid w:val="006F3C36"/>
    <w:rsid w:val="006F4060"/>
    <w:rsid w:val="006F6126"/>
    <w:rsid w:val="007008A1"/>
    <w:rsid w:val="0070194C"/>
    <w:rsid w:val="007030E9"/>
    <w:rsid w:val="007034AA"/>
    <w:rsid w:val="00703788"/>
    <w:rsid w:val="007049F1"/>
    <w:rsid w:val="00705411"/>
    <w:rsid w:val="00705BAE"/>
    <w:rsid w:val="00706CE0"/>
    <w:rsid w:val="00707143"/>
    <w:rsid w:val="00707AE1"/>
    <w:rsid w:val="0071046C"/>
    <w:rsid w:val="0071073D"/>
    <w:rsid w:val="00712200"/>
    <w:rsid w:val="007126A3"/>
    <w:rsid w:val="0071275B"/>
    <w:rsid w:val="00713920"/>
    <w:rsid w:val="00713A8F"/>
    <w:rsid w:val="007149A3"/>
    <w:rsid w:val="007164CE"/>
    <w:rsid w:val="00716B4B"/>
    <w:rsid w:val="00717279"/>
    <w:rsid w:val="00717E9E"/>
    <w:rsid w:val="007250B1"/>
    <w:rsid w:val="007271E9"/>
    <w:rsid w:val="007304C7"/>
    <w:rsid w:val="0073168F"/>
    <w:rsid w:val="00732058"/>
    <w:rsid w:val="0073675D"/>
    <w:rsid w:val="007371BB"/>
    <w:rsid w:val="00740898"/>
    <w:rsid w:val="00742146"/>
    <w:rsid w:val="007426DF"/>
    <w:rsid w:val="00742937"/>
    <w:rsid w:val="007460BB"/>
    <w:rsid w:val="00746309"/>
    <w:rsid w:val="0074663C"/>
    <w:rsid w:val="00746BC9"/>
    <w:rsid w:val="00750D5A"/>
    <w:rsid w:val="00753AFF"/>
    <w:rsid w:val="00755D26"/>
    <w:rsid w:val="00755FA1"/>
    <w:rsid w:val="0075698A"/>
    <w:rsid w:val="00760A9E"/>
    <w:rsid w:val="0076138F"/>
    <w:rsid w:val="00762101"/>
    <w:rsid w:val="00762B33"/>
    <w:rsid w:val="00762DA5"/>
    <w:rsid w:val="00762ED6"/>
    <w:rsid w:val="007658A4"/>
    <w:rsid w:val="00765C07"/>
    <w:rsid w:val="00767C3A"/>
    <w:rsid w:val="00771DA9"/>
    <w:rsid w:val="00772648"/>
    <w:rsid w:val="00775440"/>
    <w:rsid w:val="00777BEA"/>
    <w:rsid w:val="00782CE1"/>
    <w:rsid w:val="00785BA1"/>
    <w:rsid w:val="00786DF0"/>
    <w:rsid w:val="00787C8B"/>
    <w:rsid w:val="007905C6"/>
    <w:rsid w:val="00790F4C"/>
    <w:rsid w:val="007915FC"/>
    <w:rsid w:val="00793E13"/>
    <w:rsid w:val="00793EA8"/>
    <w:rsid w:val="00795655"/>
    <w:rsid w:val="00795CA7"/>
    <w:rsid w:val="00797498"/>
    <w:rsid w:val="007A12BD"/>
    <w:rsid w:val="007A19A2"/>
    <w:rsid w:val="007A210D"/>
    <w:rsid w:val="007A274F"/>
    <w:rsid w:val="007A2BD2"/>
    <w:rsid w:val="007A5672"/>
    <w:rsid w:val="007A743F"/>
    <w:rsid w:val="007A7A25"/>
    <w:rsid w:val="007B39B0"/>
    <w:rsid w:val="007B44B1"/>
    <w:rsid w:val="007B6470"/>
    <w:rsid w:val="007B6AF8"/>
    <w:rsid w:val="007B7060"/>
    <w:rsid w:val="007B71F2"/>
    <w:rsid w:val="007C1B5E"/>
    <w:rsid w:val="007C3BD3"/>
    <w:rsid w:val="007C5CA0"/>
    <w:rsid w:val="007C7008"/>
    <w:rsid w:val="007C7560"/>
    <w:rsid w:val="007D0B30"/>
    <w:rsid w:val="007D12EC"/>
    <w:rsid w:val="007D22C9"/>
    <w:rsid w:val="007D2945"/>
    <w:rsid w:val="007D2D41"/>
    <w:rsid w:val="007D4BCF"/>
    <w:rsid w:val="007D5BEF"/>
    <w:rsid w:val="007E045C"/>
    <w:rsid w:val="007E1156"/>
    <w:rsid w:val="007E2A4E"/>
    <w:rsid w:val="007E3865"/>
    <w:rsid w:val="007E3BBB"/>
    <w:rsid w:val="007E4DB2"/>
    <w:rsid w:val="007F1287"/>
    <w:rsid w:val="007F17E3"/>
    <w:rsid w:val="007F358F"/>
    <w:rsid w:val="007F5391"/>
    <w:rsid w:val="007F68D8"/>
    <w:rsid w:val="007F7A47"/>
    <w:rsid w:val="0080025F"/>
    <w:rsid w:val="00800C0F"/>
    <w:rsid w:val="00801F46"/>
    <w:rsid w:val="00803CBB"/>
    <w:rsid w:val="008046F5"/>
    <w:rsid w:val="0080523B"/>
    <w:rsid w:val="008057F9"/>
    <w:rsid w:val="00806652"/>
    <w:rsid w:val="00807A83"/>
    <w:rsid w:val="00810000"/>
    <w:rsid w:val="00810E5C"/>
    <w:rsid w:val="00811051"/>
    <w:rsid w:val="00812346"/>
    <w:rsid w:val="0081260A"/>
    <w:rsid w:val="00814E36"/>
    <w:rsid w:val="00815C79"/>
    <w:rsid w:val="00816012"/>
    <w:rsid w:val="0082030C"/>
    <w:rsid w:val="00822601"/>
    <w:rsid w:val="008226F4"/>
    <w:rsid w:val="00826623"/>
    <w:rsid w:val="008308F1"/>
    <w:rsid w:val="00831493"/>
    <w:rsid w:val="008316F7"/>
    <w:rsid w:val="0083358A"/>
    <w:rsid w:val="00834FFE"/>
    <w:rsid w:val="0083558D"/>
    <w:rsid w:val="008357C5"/>
    <w:rsid w:val="008359B0"/>
    <w:rsid w:val="0083695A"/>
    <w:rsid w:val="008402B6"/>
    <w:rsid w:val="00841B98"/>
    <w:rsid w:val="0084392B"/>
    <w:rsid w:val="0084484B"/>
    <w:rsid w:val="00844F31"/>
    <w:rsid w:val="0084578C"/>
    <w:rsid w:val="0084604D"/>
    <w:rsid w:val="008463B9"/>
    <w:rsid w:val="008463DA"/>
    <w:rsid w:val="008472F9"/>
    <w:rsid w:val="00847D0B"/>
    <w:rsid w:val="008500BD"/>
    <w:rsid w:val="0085074E"/>
    <w:rsid w:val="00850BC1"/>
    <w:rsid w:val="00850F26"/>
    <w:rsid w:val="00852CC1"/>
    <w:rsid w:val="008544B9"/>
    <w:rsid w:val="008558EF"/>
    <w:rsid w:val="00855969"/>
    <w:rsid w:val="00855D6A"/>
    <w:rsid w:val="00861B94"/>
    <w:rsid w:val="0086241E"/>
    <w:rsid w:val="00862498"/>
    <w:rsid w:val="00862B82"/>
    <w:rsid w:val="00862D09"/>
    <w:rsid w:val="00866CE2"/>
    <w:rsid w:val="00867F93"/>
    <w:rsid w:val="00873153"/>
    <w:rsid w:val="00873FF1"/>
    <w:rsid w:val="00874432"/>
    <w:rsid w:val="00875AAF"/>
    <w:rsid w:val="00884405"/>
    <w:rsid w:val="00892C16"/>
    <w:rsid w:val="00893230"/>
    <w:rsid w:val="00893D57"/>
    <w:rsid w:val="00895072"/>
    <w:rsid w:val="00895804"/>
    <w:rsid w:val="0089723D"/>
    <w:rsid w:val="008974E2"/>
    <w:rsid w:val="00897582"/>
    <w:rsid w:val="008A0711"/>
    <w:rsid w:val="008A2E84"/>
    <w:rsid w:val="008A5C7D"/>
    <w:rsid w:val="008A5F1C"/>
    <w:rsid w:val="008A685D"/>
    <w:rsid w:val="008A75D4"/>
    <w:rsid w:val="008A7753"/>
    <w:rsid w:val="008A7A94"/>
    <w:rsid w:val="008A7D5A"/>
    <w:rsid w:val="008B085D"/>
    <w:rsid w:val="008B097F"/>
    <w:rsid w:val="008B1045"/>
    <w:rsid w:val="008B30AC"/>
    <w:rsid w:val="008B3687"/>
    <w:rsid w:val="008B3A79"/>
    <w:rsid w:val="008B50CD"/>
    <w:rsid w:val="008B5F2C"/>
    <w:rsid w:val="008C037E"/>
    <w:rsid w:val="008C1856"/>
    <w:rsid w:val="008C1D3F"/>
    <w:rsid w:val="008C1DB2"/>
    <w:rsid w:val="008C23FF"/>
    <w:rsid w:val="008C313F"/>
    <w:rsid w:val="008C37C7"/>
    <w:rsid w:val="008C6C75"/>
    <w:rsid w:val="008D0107"/>
    <w:rsid w:val="008D0D89"/>
    <w:rsid w:val="008D1C05"/>
    <w:rsid w:val="008D2075"/>
    <w:rsid w:val="008D2D2C"/>
    <w:rsid w:val="008D3401"/>
    <w:rsid w:val="008D4B3A"/>
    <w:rsid w:val="008E0C6A"/>
    <w:rsid w:val="008E211D"/>
    <w:rsid w:val="008E2A85"/>
    <w:rsid w:val="008E3F4A"/>
    <w:rsid w:val="008E4712"/>
    <w:rsid w:val="008E5DC1"/>
    <w:rsid w:val="008E7593"/>
    <w:rsid w:val="008E7709"/>
    <w:rsid w:val="008F1C54"/>
    <w:rsid w:val="008F2815"/>
    <w:rsid w:val="008F2E16"/>
    <w:rsid w:val="008F3D07"/>
    <w:rsid w:val="008F4B4D"/>
    <w:rsid w:val="008F4C0B"/>
    <w:rsid w:val="0090037D"/>
    <w:rsid w:val="0090245F"/>
    <w:rsid w:val="00903E5B"/>
    <w:rsid w:val="00904B9A"/>
    <w:rsid w:val="00905EEF"/>
    <w:rsid w:val="00911002"/>
    <w:rsid w:val="00911BB9"/>
    <w:rsid w:val="00915971"/>
    <w:rsid w:val="009168B5"/>
    <w:rsid w:val="00916995"/>
    <w:rsid w:val="009178C6"/>
    <w:rsid w:val="00920EA3"/>
    <w:rsid w:val="0092228B"/>
    <w:rsid w:val="009232D9"/>
    <w:rsid w:val="00923A01"/>
    <w:rsid w:val="00925855"/>
    <w:rsid w:val="00925F31"/>
    <w:rsid w:val="00932A90"/>
    <w:rsid w:val="00934EA3"/>
    <w:rsid w:val="00935101"/>
    <w:rsid w:val="009351E3"/>
    <w:rsid w:val="00935F63"/>
    <w:rsid w:val="00936FF2"/>
    <w:rsid w:val="00937335"/>
    <w:rsid w:val="00941984"/>
    <w:rsid w:val="009472FD"/>
    <w:rsid w:val="009504AA"/>
    <w:rsid w:val="00950E16"/>
    <w:rsid w:val="00950ED5"/>
    <w:rsid w:val="0095155D"/>
    <w:rsid w:val="0095270B"/>
    <w:rsid w:val="00954B41"/>
    <w:rsid w:val="00956C1E"/>
    <w:rsid w:val="00956C53"/>
    <w:rsid w:val="009603A1"/>
    <w:rsid w:val="00960E3F"/>
    <w:rsid w:val="009612CB"/>
    <w:rsid w:val="00961DF3"/>
    <w:rsid w:val="0096549A"/>
    <w:rsid w:val="00965547"/>
    <w:rsid w:val="00966C9A"/>
    <w:rsid w:val="00967784"/>
    <w:rsid w:val="00971D16"/>
    <w:rsid w:val="009720C9"/>
    <w:rsid w:val="0097439C"/>
    <w:rsid w:val="0097453A"/>
    <w:rsid w:val="0097479C"/>
    <w:rsid w:val="00974F3E"/>
    <w:rsid w:val="009771F6"/>
    <w:rsid w:val="009831AC"/>
    <w:rsid w:val="009834C8"/>
    <w:rsid w:val="009838CC"/>
    <w:rsid w:val="009854CF"/>
    <w:rsid w:val="00986E0C"/>
    <w:rsid w:val="00990EA6"/>
    <w:rsid w:val="00992FBC"/>
    <w:rsid w:val="009933EE"/>
    <w:rsid w:val="00997D9B"/>
    <w:rsid w:val="009A02D2"/>
    <w:rsid w:val="009A032E"/>
    <w:rsid w:val="009A10C2"/>
    <w:rsid w:val="009A3077"/>
    <w:rsid w:val="009A3C2A"/>
    <w:rsid w:val="009A4B65"/>
    <w:rsid w:val="009A58FA"/>
    <w:rsid w:val="009A73BE"/>
    <w:rsid w:val="009B078C"/>
    <w:rsid w:val="009B1B45"/>
    <w:rsid w:val="009B3D52"/>
    <w:rsid w:val="009B4A66"/>
    <w:rsid w:val="009B6404"/>
    <w:rsid w:val="009B6406"/>
    <w:rsid w:val="009B6E85"/>
    <w:rsid w:val="009B7AE1"/>
    <w:rsid w:val="009C0968"/>
    <w:rsid w:val="009C2603"/>
    <w:rsid w:val="009C4217"/>
    <w:rsid w:val="009C6F01"/>
    <w:rsid w:val="009C73B9"/>
    <w:rsid w:val="009D00CF"/>
    <w:rsid w:val="009D0C4D"/>
    <w:rsid w:val="009D1C67"/>
    <w:rsid w:val="009D3C32"/>
    <w:rsid w:val="009D6432"/>
    <w:rsid w:val="009E0E30"/>
    <w:rsid w:val="009E2001"/>
    <w:rsid w:val="009E5965"/>
    <w:rsid w:val="009E5EB3"/>
    <w:rsid w:val="009E72FB"/>
    <w:rsid w:val="009E77A9"/>
    <w:rsid w:val="009E787D"/>
    <w:rsid w:val="009E7D58"/>
    <w:rsid w:val="009E7E3E"/>
    <w:rsid w:val="009F0458"/>
    <w:rsid w:val="009F10E3"/>
    <w:rsid w:val="009F1CEF"/>
    <w:rsid w:val="009F4572"/>
    <w:rsid w:val="009F63F7"/>
    <w:rsid w:val="009F6CC6"/>
    <w:rsid w:val="009F79E9"/>
    <w:rsid w:val="00A009C8"/>
    <w:rsid w:val="00A014C0"/>
    <w:rsid w:val="00A02413"/>
    <w:rsid w:val="00A03411"/>
    <w:rsid w:val="00A035FE"/>
    <w:rsid w:val="00A03835"/>
    <w:rsid w:val="00A0423F"/>
    <w:rsid w:val="00A04F03"/>
    <w:rsid w:val="00A06148"/>
    <w:rsid w:val="00A0618D"/>
    <w:rsid w:val="00A07395"/>
    <w:rsid w:val="00A078D1"/>
    <w:rsid w:val="00A10238"/>
    <w:rsid w:val="00A11454"/>
    <w:rsid w:val="00A1236B"/>
    <w:rsid w:val="00A1434A"/>
    <w:rsid w:val="00A148D7"/>
    <w:rsid w:val="00A16C1E"/>
    <w:rsid w:val="00A210E2"/>
    <w:rsid w:val="00A223EE"/>
    <w:rsid w:val="00A23307"/>
    <w:rsid w:val="00A2397E"/>
    <w:rsid w:val="00A241F6"/>
    <w:rsid w:val="00A259B6"/>
    <w:rsid w:val="00A261C6"/>
    <w:rsid w:val="00A272BF"/>
    <w:rsid w:val="00A312A2"/>
    <w:rsid w:val="00A31C5F"/>
    <w:rsid w:val="00A339F9"/>
    <w:rsid w:val="00A35707"/>
    <w:rsid w:val="00A3690B"/>
    <w:rsid w:val="00A37259"/>
    <w:rsid w:val="00A37754"/>
    <w:rsid w:val="00A37CD5"/>
    <w:rsid w:val="00A41439"/>
    <w:rsid w:val="00A41743"/>
    <w:rsid w:val="00A45C7C"/>
    <w:rsid w:val="00A46AE2"/>
    <w:rsid w:val="00A50159"/>
    <w:rsid w:val="00A51C3C"/>
    <w:rsid w:val="00A532E5"/>
    <w:rsid w:val="00A575D8"/>
    <w:rsid w:val="00A60304"/>
    <w:rsid w:val="00A62113"/>
    <w:rsid w:val="00A6391E"/>
    <w:rsid w:val="00A6392B"/>
    <w:rsid w:val="00A63DEA"/>
    <w:rsid w:val="00A652C7"/>
    <w:rsid w:val="00A6556B"/>
    <w:rsid w:val="00A66A87"/>
    <w:rsid w:val="00A66EB6"/>
    <w:rsid w:val="00A67DB4"/>
    <w:rsid w:val="00A71E05"/>
    <w:rsid w:val="00A73167"/>
    <w:rsid w:val="00A7502B"/>
    <w:rsid w:val="00A758AC"/>
    <w:rsid w:val="00A76AE9"/>
    <w:rsid w:val="00A76DF1"/>
    <w:rsid w:val="00A80E69"/>
    <w:rsid w:val="00A81502"/>
    <w:rsid w:val="00A8224F"/>
    <w:rsid w:val="00A82D46"/>
    <w:rsid w:val="00A84AC8"/>
    <w:rsid w:val="00A8526E"/>
    <w:rsid w:val="00A86191"/>
    <w:rsid w:val="00A919AF"/>
    <w:rsid w:val="00A93764"/>
    <w:rsid w:val="00A93BB3"/>
    <w:rsid w:val="00A94E4A"/>
    <w:rsid w:val="00A95321"/>
    <w:rsid w:val="00A95827"/>
    <w:rsid w:val="00A95A60"/>
    <w:rsid w:val="00AA1721"/>
    <w:rsid w:val="00AA2446"/>
    <w:rsid w:val="00AA438F"/>
    <w:rsid w:val="00AA439D"/>
    <w:rsid w:val="00AA55D9"/>
    <w:rsid w:val="00AA598B"/>
    <w:rsid w:val="00AA75FE"/>
    <w:rsid w:val="00AA773A"/>
    <w:rsid w:val="00AB2260"/>
    <w:rsid w:val="00AB2B4C"/>
    <w:rsid w:val="00AB58C3"/>
    <w:rsid w:val="00AB68AC"/>
    <w:rsid w:val="00AB7885"/>
    <w:rsid w:val="00AC0777"/>
    <w:rsid w:val="00AC09FA"/>
    <w:rsid w:val="00AC1695"/>
    <w:rsid w:val="00AC208F"/>
    <w:rsid w:val="00AC5554"/>
    <w:rsid w:val="00AC5880"/>
    <w:rsid w:val="00AC5D48"/>
    <w:rsid w:val="00AC61C5"/>
    <w:rsid w:val="00AC62F9"/>
    <w:rsid w:val="00AC63F2"/>
    <w:rsid w:val="00AC64A1"/>
    <w:rsid w:val="00AC6A85"/>
    <w:rsid w:val="00AD033B"/>
    <w:rsid w:val="00AD7B84"/>
    <w:rsid w:val="00AD7C13"/>
    <w:rsid w:val="00AE1298"/>
    <w:rsid w:val="00AE1C70"/>
    <w:rsid w:val="00AE1D8C"/>
    <w:rsid w:val="00AE1EF0"/>
    <w:rsid w:val="00AE2A70"/>
    <w:rsid w:val="00AE4311"/>
    <w:rsid w:val="00AE44C1"/>
    <w:rsid w:val="00AE4B45"/>
    <w:rsid w:val="00AE57F5"/>
    <w:rsid w:val="00AE5D80"/>
    <w:rsid w:val="00AE7009"/>
    <w:rsid w:val="00AF187D"/>
    <w:rsid w:val="00AF1E46"/>
    <w:rsid w:val="00AF2A9F"/>
    <w:rsid w:val="00AF3F2A"/>
    <w:rsid w:val="00AF3F56"/>
    <w:rsid w:val="00AF50B9"/>
    <w:rsid w:val="00AF52E7"/>
    <w:rsid w:val="00AF6E33"/>
    <w:rsid w:val="00B0372E"/>
    <w:rsid w:val="00B04997"/>
    <w:rsid w:val="00B057E8"/>
    <w:rsid w:val="00B05BC1"/>
    <w:rsid w:val="00B06A8B"/>
    <w:rsid w:val="00B07F3C"/>
    <w:rsid w:val="00B118F0"/>
    <w:rsid w:val="00B13375"/>
    <w:rsid w:val="00B13769"/>
    <w:rsid w:val="00B14E7E"/>
    <w:rsid w:val="00B15367"/>
    <w:rsid w:val="00B2095C"/>
    <w:rsid w:val="00B21EFC"/>
    <w:rsid w:val="00B23038"/>
    <w:rsid w:val="00B23506"/>
    <w:rsid w:val="00B23FC7"/>
    <w:rsid w:val="00B2452C"/>
    <w:rsid w:val="00B24AC7"/>
    <w:rsid w:val="00B2502A"/>
    <w:rsid w:val="00B25478"/>
    <w:rsid w:val="00B26B22"/>
    <w:rsid w:val="00B26F0C"/>
    <w:rsid w:val="00B27705"/>
    <w:rsid w:val="00B30F9A"/>
    <w:rsid w:val="00B31019"/>
    <w:rsid w:val="00B338C6"/>
    <w:rsid w:val="00B33C12"/>
    <w:rsid w:val="00B36538"/>
    <w:rsid w:val="00B41049"/>
    <w:rsid w:val="00B42E8A"/>
    <w:rsid w:val="00B44077"/>
    <w:rsid w:val="00B44FA0"/>
    <w:rsid w:val="00B46ED8"/>
    <w:rsid w:val="00B47E94"/>
    <w:rsid w:val="00B5063B"/>
    <w:rsid w:val="00B5510F"/>
    <w:rsid w:val="00B55920"/>
    <w:rsid w:val="00B561D3"/>
    <w:rsid w:val="00B57A22"/>
    <w:rsid w:val="00B6031E"/>
    <w:rsid w:val="00B625DC"/>
    <w:rsid w:val="00B62BA9"/>
    <w:rsid w:val="00B6386F"/>
    <w:rsid w:val="00B649C7"/>
    <w:rsid w:val="00B652F6"/>
    <w:rsid w:val="00B65A9C"/>
    <w:rsid w:val="00B74640"/>
    <w:rsid w:val="00B74ECD"/>
    <w:rsid w:val="00B76544"/>
    <w:rsid w:val="00B767D6"/>
    <w:rsid w:val="00B77436"/>
    <w:rsid w:val="00B81CB8"/>
    <w:rsid w:val="00B824B0"/>
    <w:rsid w:val="00B857CB"/>
    <w:rsid w:val="00B85B09"/>
    <w:rsid w:val="00B85EC5"/>
    <w:rsid w:val="00B868FE"/>
    <w:rsid w:val="00B87DE1"/>
    <w:rsid w:val="00B90812"/>
    <w:rsid w:val="00B90CEE"/>
    <w:rsid w:val="00B91EC1"/>
    <w:rsid w:val="00B91F0D"/>
    <w:rsid w:val="00B92B15"/>
    <w:rsid w:val="00B92C23"/>
    <w:rsid w:val="00B95B2B"/>
    <w:rsid w:val="00B961DB"/>
    <w:rsid w:val="00B96F62"/>
    <w:rsid w:val="00BA06CA"/>
    <w:rsid w:val="00BA06EE"/>
    <w:rsid w:val="00BA37C2"/>
    <w:rsid w:val="00BA3CF2"/>
    <w:rsid w:val="00BA3FB7"/>
    <w:rsid w:val="00BA49B7"/>
    <w:rsid w:val="00BA515D"/>
    <w:rsid w:val="00BA767A"/>
    <w:rsid w:val="00BB2D59"/>
    <w:rsid w:val="00BB40F2"/>
    <w:rsid w:val="00BC18B0"/>
    <w:rsid w:val="00BC276B"/>
    <w:rsid w:val="00BC4464"/>
    <w:rsid w:val="00BC4E33"/>
    <w:rsid w:val="00BC5FDA"/>
    <w:rsid w:val="00BC7A9E"/>
    <w:rsid w:val="00BC7B57"/>
    <w:rsid w:val="00BD1574"/>
    <w:rsid w:val="00BD2919"/>
    <w:rsid w:val="00BD3E8E"/>
    <w:rsid w:val="00BD5E01"/>
    <w:rsid w:val="00BD5F49"/>
    <w:rsid w:val="00BD626F"/>
    <w:rsid w:val="00BD628A"/>
    <w:rsid w:val="00BD636C"/>
    <w:rsid w:val="00BE079E"/>
    <w:rsid w:val="00BE1DC4"/>
    <w:rsid w:val="00BE1FB2"/>
    <w:rsid w:val="00BE23F0"/>
    <w:rsid w:val="00BE24BF"/>
    <w:rsid w:val="00BE30D0"/>
    <w:rsid w:val="00BE539A"/>
    <w:rsid w:val="00BE6915"/>
    <w:rsid w:val="00BF0616"/>
    <w:rsid w:val="00BF1D4E"/>
    <w:rsid w:val="00BF1EE5"/>
    <w:rsid w:val="00BF2900"/>
    <w:rsid w:val="00BF3378"/>
    <w:rsid w:val="00BF456A"/>
    <w:rsid w:val="00BF6204"/>
    <w:rsid w:val="00C04116"/>
    <w:rsid w:val="00C059AB"/>
    <w:rsid w:val="00C05ACA"/>
    <w:rsid w:val="00C05BE2"/>
    <w:rsid w:val="00C05C6C"/>
    <w:rsid w:val="00C062C9"/>
    <w:rsid w:val="00C11CE3"/>
    <w:rsid w:val="00C12CF0"/>
    <w:rsid w:val="00C16D0A"/>
    <w:rsid w:val="00C1762F"/>
    <w:rsid w:val="00C21B53"/>
    <w:rsid w:val="00C24A62"/>
    <w:rsid w:val="00C27469"/>
    <w:rsid w:val="00C27B51"/>
    <w:rsid w:val="00C27D5C"/>
    <w:rsid w:val="00C3020F"/>
    <w:rsid w:val="00C30E09"/>
    <w:rsid w:val="00C317DE"/>
    <w:rsid w:val="00C32B21"/>
    <w:rsid w:val="00C34780"/>
    <w:rsid w:val="00C37DB0"/>
    <w:rsid w:val="00C40B6D"/>
    <w:rsid w:val="00C40E93"/>
    <w:rsid w:val="00C414EE"/>
    <w:rsid w:val="00C42630"/>
    <w:rsid w:val="00C4274F"/>
    <w:rsid w:val="00C430EE"/>
    <w:rsid w:val="00C43833"/>
    <w:rsid w:val="00C45448"/>
    <w:rsid w:val="00C45AE3"/>
    <w:rsid w:val="00C46A41"/>
    <w:rsid w:val="00C46B7E"/>
    <w:rsid w:val="00C518B4"/>
    <w:rsid w:val="00C52FB1"/>
    <w:rsid w:val="00C54061"/>
    <w:rsid w:val="00C54678"/>
    <w:rsid w:val="00C551D0"/>
    <w:rsid w:val="00C56C48"/>
    <w:rsid w:val="00C577AE"/>
    <w:rsid w:val="00C579F1"/>
    <w:rsid w:val="00C57CD3"/>
    <w:rsid w:val="00C61912"/>
    <w:rsid w:val="00C61D75"/>
    <w:rsid w:val="00C62DC7"/>
    <w:rsid w:val="00C63568"/>
    <w:rsid w:val="00C65BBD"/>
    <w:rsid w:val="00C66272"/>
    <w:rsid w:val="00C67CAE"/>
    <w:rsid w:val="00C70FC4"/>
    <w:rsid w:val="00C71077"/>
    <w:rsid w:val="00C7173B"/>
    <w:rsid w:val="00C71891"/>
    <w:rsid w:val="00C74582"/>
    <w:rsid w:val="00C7621C"/>
    <w:rsid w:val="00C767A3"/>
    <w:rsid w:val="00C7689B"/>
    <w:rsid w:val="00C76CCA"/>
    <w:rsid w:val="00C77E7D"/>
    <w:rsid w:val="00C81EE1"/>
    <w:rsid w:val="00C81EF8"/>
    <w:rsid w:val="00C82622"/>
    <w:rsid w:val="00C833A7"/>
    <w:rsid w:val="00C83BFC"/>
    <w:rsid w:val="00C84AAF"/>
    <w:rsid w:val="00C8521C"/>
    <w:rsid w:val="00C90627"/>
    <w:rsid w:val="00C91BAD"/>
    <w:rsid w:val="00C92A2F"/>
    <w:rsid w:val="00C92AB3"/>
    <w:rsid w:val="00C93C7C"/>
    <w:rsid w:val="00C944CA"/>
    <w:rsid w:val="00C94CF3"/>
    <w:rsid w:val="00C958B4"/>
    <w:rsid w:val="00C959AA"/>
    <w:rsid w:val="00CA0F57"/>
    <w:rsid w:val="00CA183F"/>
    <w:rsid w:val="00CA46A8"/>
    <w:rsid w:val="00CA698F"/>
    <w:rsid w:val="00CB1CD0"/>
    <w:rsid w:val="00CB1F61"/>
    <w:rsid w:val="00CB23CB"/>
    <w:rsid w:val="00CB369C"/>
    <w:rsid w:val="00CB3EED"/>
    <w:rsid w:val="00CC075C"/>
    <w:rsid w:val="00CC1F39"/>
    <w:rsid w:val="00CC3306"/>
    <w:rsid w:val="00CC4171"/>
    <w:rsid w:val="00CC4615"/>
    <w:rsid w:val="00CC5E76"/>
    <w:rsid w:val="00CC6381"/>
    <w:rsid w:val="00CC6B90"/>
    <w:rsid w:val="00CC70B9"/>
    <w:rsid w:val="00CC786B"/>
    <w:rsid w:val="00CD086F"/>
    <w:rsid w:val="00CD0C45"/>
    <w:rsid w:val="00CD3464"/>
    <w:rsid w:val="00CD6E17"/>
    <w:rsid w:val="00CD6FBC"/>
    <w:rsid w:val="00CD748D"/>
    <w:rsid w:val="00CE0633"/>
    <w:rsid w:val="00CE07F5"/>
    <w:rsid w:val="00CE0BD5"/>
    <w:rsid w:val="00CE2D07"/>
    <w:rsid w:val="00CE47A9"/>
    <w:rsid w:val="00CE5DFC"/>
    <w:rsid w:val="00CE634C"/>
    <w:rsid w:val="00CE7F17"/>
    <w:rsid w:val="00CE7F5E"/>
    <w:rsid w:val="00CE7FA5"/>
    <w:rsid w:val="00CF0493"/>
    <w:rsid w:val="00CF057C"/>
    <w:rsid w:val="00CF155D"/>
    <w:rsid w:val="00CF1B97"/>
    <w:rsid w:val="00CF4601"/>
    <w:rsid w:val="00CF533F"/>
    <w:rsid w:val="00CF69E7"/>
    <w:rsid w:val="00D00CDF"/>
    <w:rsid w:val="00D014F5"/>
    <w:rsid w:val="00D029AD"/>
    <w:rsid w:val="00D02A27"/>
    <w:rsid w:val="00D0378A"/>
    <w:rsid w:val="00D04970"/>
    <w:rsid w:val="00D04997"/>
    <w:rsid w:val="00D04DA4"/>
    <w:rsid w:val="00D05565"/>
    <w:rsid w:val="00D057DA"/>
    <w:rsid w:val="00D05BD4"/>
    <w:rsid w:val="00D05D52"/>
    <w:rsid w:val="00D06CBA"/>
    <w:rsid w:val="00D10288"/>
    <w:rsid w:val="00D10F09"/>
    <w:rsid w:val="00D14065"/>
    <w:rsid w:val="00D170FD"/>
    <w:rsid w:val="00D21A88"/>
    <w:rsid w:val="00D22228"/>
    <w:rsid w:val="00D22DE0"/>
    <w:rsid w:val="00D23616"/>
    <w:rsid w:val="00D24509"/>
    <w:rsid w:val="00D26595"/>
    <w:rsid w:val="00D26702"/>
    <w:rsid w:val="00D27610"/>
    <w:rsid w:val="00D27C74"/>
    <w:rsid w:val="00D31AA8"/>
    <w:rsid w:val="00D31BBC"/>
    <w:rsid w:val="00D32901"/>
    <w:rsid w:val="00D358BB"/>
    <w:rsid w:val="00D358EC"/>
    <w:rsid w:val="00D359BB"/>
    <w:rsid w:val="00D3700A"/>
    <w:rsid w:val="00D42007"/>
    <w:rsid w:val="00D434BF"/>
    <w:rsid w:val="00D47F00"/>
    <w:rsid w:val="00D522D5"/>
    <w:rsid w:val="00D52CDA"/>
    <w:rsid w:val="00D54964"/>
    <w:rsid w:val="00D55C0B"/>
    <w:rsid w:val="00D5735F"/>
    <w:rsid w:val="00D57BA5"/>
    <w:rsid w:val="00D6216E"/>
    <w:rsid w:val="00D63EA0"/>
    <w:rsid w:val="00D6489D"/>
    <w:rsid w:val="00D660BA"/>
    <w:rsid w:val="00D666CF"/>
    <w:rsid w:val="00D73941"/>
    <w:rsid w:val="00D7444B"/>
    <w:rsid w:val="00D81AFC"/>
    <w:rsid w:val="00D81F12"/>
    <w:rsid w:val="00D82B09"/>
    <w:rsid w:val="00D83CB4"/>
    <w:rsid w:val="00D844DE"/>
    <w:rsid w:val="00D84872"/>
    <w:rsid w:val="00D85036"/>
    <w:rsid w:val="00D855BE"/>
    <w:rsid w:val="00D85F61"/>
    <w:rsid w:val="00D90388"/>
    <w:rsid w:val="00D90CC7"/>
    <w:rsid w:val="00D90CE0"/>
    <w:rsid w:val="00D91A96"/>
    <w:rsid w:val="00D9233D"/>
    <w:rsid w:val="00D94293"/>
    <w:rsid w:val="00D953D7"/>
    <w:rsid w:val="00D97E0B"/>
    <w:rsid w:val="00DA05AB"/>
    <w:rsid w:val="00DA1F13"/>
    <w:rsid w:val="00DA2DED"/>
    <w:rsid w:val="00DA4562"/>
    <w:rsid w:val="00DA6183"/>
    <w:rsid w:val="00DA63E6"/>
    <w:rsid w:val="00DA65DD"/>
    <w:rsid w:val="00DA6689"/>
    <w:rsid w:val="00DA6D10"/>
    <w:rsid w:val="00DA79C8"/>
    <w:rsid w:val="00DB06C0"/>
    <w:rsid w:val="00DB084C"/>
    <w:rsid w:val="00DB09A9"/>
    <w:rsid w:val="00DB0E0C"/>
    <w:rsid w:val="00DB1824"/>
    <w:rsid w:val="00DB1DC2"/>
    <w:rsid w:val="00DB4B0E"/>
    <w:rsid w:val="00DB61DD"/>
    <w:rsid w:val="00DC09C4"/>
    <w:rsid w:val="00DC243C"/>
    <w:rsid w:val="00DC64FC"/>
    <w:rsid w:val="00DC7629"/>
    <w:rsid w:val="00DC7B8D"/>
    <w:rsid w:val="00DD3CFF"/>
    <w:rsid w:val="00DD408C"/>
    <w:rsid w:val="00DD513A"/>
    <w:rsid w:val="00DD73AB"/>
    <w:rsid w:val="00DD7AEC"/>
    <w:rsid w:val="00DE2854"/>
    <w:rsid w:val="00DE3D92"/>
    <w:rsid w:val="00DE4A0F"/>
    <w:rsid w:val="00DE5C56"/>
    <w:rsid w:val="00DE5F15"/>
    <w:rsid w:val="00DE70AE"/>
    <w:rsid w:val="00DE7A12"/>
    <w:rsid w:val="00DF0865"/>
    <w:rsid w:val="00DF0DB7"/>
    <w:rsid w:val="00DF159B"/>
    <w:rsid w:val="00DF2D80"/>
    <w:rsid w:val="00DF3381"/>
    <w:rsid w:val="00DF566C"/>
    <w:rsid w:val="00DF6196"/>
    <w:rsid w:val="00DF6E3E"/>
    <w:rsid w:val="00E01A8D"/>
    <w:rsid w:val="00E037E6"/>
    <w:rsid w:val="00E0408D"/>
    <w:rsid w:val="00E041AA"/>
    <w:rsid w:val="00E0446D"/>
    <w:rsid w:val="00E10419"/>
    <w:rsid w:val="00E13885"/>
    <w:rsid w:val="00E14DE0"/>
    <w:rsid w:val="00E21089"/>
    <w:rsid w:val="00E21DD2"/>
    <w:rsid w:val="00E220E8"/>
    <w:rsid w:val="00E22341"/>
    <w:rsid w:val="00E2241B"/>
    <w:rsid w:val="00E24271"/>
    <w:rsid w:val="00E2523C"/>
    <w:rsid w:val="00E2584D"/>
    <w:rsid w:val="00E3057F"/>
    <w:rsid w:val="00E31A51"/>
    <w:rsid w:val="00E31C3F"/>
    <w:rsid w:val="00E3250C"/>
    <w:rsid w:val="00E33AD3"/>
    <w:rsid w:val="00E35802"/>
    <w:rsid w:val="00E41447"/>
    <w:rsid w:val="00E41710"/>
    <w:rsid w:val="00E41729"/>
    <w:rsid w:val="00E419B9"/>
    <w:rsid w:val="00E41D98"/>
    <w:rsid w:val="00E42DF7"/>
    <w:rsid w:val="00E43548"/>
    <w:rsid w:val="00E44377"/>
    <w:rsid w:val="00E47FC4"/>
    <w:rsid w:val="00E51CBC"/>
    <w:rsid w:val="00E521A4"/>
    <w:rsid w:val="00E52CF8"/>
    <w:rsid w:val="00E5396A"/>
    <w:rsid w:val="00E54781"/>
    <w:rsid w:val="00E549D4"/>
    <w:rsid w:val="00E55009"/>
    <w:rsid w:val="00E617BB"/>
    <w:rsid w:val="00E64BFD"/>
    <w:rsid w:val="00E65C48"/>
    <w:rsid w:val="00E65D84"/>
    <w:rsid w:val="00E71F2A"/>
    <w:rsid w:val="00E72291"/>
    <w:rsid w:val="00E72A01"/>
    <w:rsid w:val="00E7306C"/>
    <w:rsid w:val="00E75D4A"/>
    <w:rsid w:val="00E77620"/>
    <w:rsid w:val="00E80A5D"/>
    <w:rsid w:val="00E81282"/>
    <w:rsid w:val="00E83882"/>
    <w:rsid w:val="00E84F14"/>
    <w:rsid w:val="00E858D4"/>
    <w:rsid w:val="00E90661"/>
    <w:rsid w:val="00E910E4"/>
    <w:rsid w:val="00E912F4"/>
    <w:rsid w:val="00E92153"/>
    <w:rsid w:val="00E92A01"/>
    <w:rsid w:val="00E930DF"/>
    <w:rsid w:val="00E95375"/>
    <w:rsid w:val="00E966C4"/>
    <w:rsid w:val="00E97436"/>
    <w:rsid w:val="00EA1B01"/>
    <w:rsid w:val="00EA24C6"/>
    <w:rsid w:val="00EA32E5"/>
    <w:rsid w:val="00EA3651"/>
    <w:rsid w:val="00EA494E"/>
    <w:rsid w:val="00EA539E"/>
    <w:rsid w:val="00EA6C8F"/>
    <w:rsid w:val="00EA79E2"/>
    <w:rsid w:val="00EB25F4"/>
    <w:rsid w:val="00EB326A"/>
    <w:rsid w:val="00EB4817"/>
    <w:rsid w:val="00EC192F"/>
    <w:rsid w:val="00EC1ADF"/>
    <w:rsid w:val="00EC1C04"/>
    <w:rsid w:val="00EC5BD3"/>
    <w:rsid w:val="00EC6C5F"/>
    <w:rsid w:val="00EC7860"/>
    <w:rsid w:val="00ED138E"/>
    <w:rsid w:val="00ED3A9E"/>
    <w:rsid w:val="00ED4E12"/>
    <w:rsid w:val="00EE1FDE"/>
    <w:rsid w:val="00EE24E7"/>
    <w:rsid w:val="00EE27A7"/>
    <w:rsid w:val="00EE556E"/>
    <w:rsid w:val="00EE6E4B"/>
    <w:rsid w:val="00EE70C3"/>
    <w:rsid w:val="00EE7FFD"/>
    <w:rsid w:val="00EF000F"/>
    <w:rsid w:val="00EF0735"/>
    <w:rsid w:val="00EF347F"/>
    <w:rsid w:val="00EF4FCA"/>
    <w:rsid w:val="00EF59E5"/>
    <w:rsid w:val="00EF6B27"/>
    <w:rsid w:val="00F00358"/>
    <w:rsid w:val="00F02547"/>
    <w:rsid w:val="00F02D3D"/>
    <w:rsid w:val="00F02FE5"/>
    <w:rsid w:val="00F1228E"/>
    <w:rsid w:val="00F12896"/>
    <w:rsid w:val="00F13960"/>
    <w:rsid w:val="00F16769"/>
    <w:rsid w:val="00F21774"/>
    <w:rsid w:val="00F22713"/>
    <w:rsid w:val="00F2285D"/>
    <w:rsid w:val="00F228AE"/>
    <w:rsid w:val="00F22A4F"/>
    <w:rsid w:val="00F23A4A"/>
    <w:rsid w:val="00F255EB"/>
    <w:rsid w:val="00F2795C"/>
    <w:rsid w:val="00F30155"/>
    <w:rsid w:val="00F31947"/>
    <w:rsid w:val="00F32106"/>
    <w:rsid w:val="00F33FBA"/>
    <w:rsid w:val="00F3409C"/>
    <w:rsid w:val="00F358E8"/>
    <w:rsid w:val="00F37CB7"/>
    <w:rsid w:val="00F41EDB"/>
    <w:rsid w:val="00F422A0"/>
    <w:rsid w:val="00F42F7E"/>
    <w:rsid w:val="00F44457"/>
    <w:rsid w:val="00F469F7"/>
    <w:rsid w:val="00F46C78"/>
    <w:rsid w:val="00F4759B"/>
    <w:rsid w:val="00F47C90"/>
    <w:rsid w:val="00F503A2"/>
    <w:rsid w:val="00F5163A"/>
    <w:rsid w:val="00F51A66"/>
    <w:rsid w:val="00F528E3"/>
    <w:rsid w:val="00F54DA4"/>
    <w:rsid w:val="00F5510C"/>
    <w:rsid w:val="00F55B15"/>
    <w:rsid w:val="00F61C18"/>
    <w:rsid w:val="00F62BA1"/>
    <w:rsid w:val="00F64CEC"/>
    <w:rsid w:val="00F6676A"/>
    <w:rsid w:val="00F701C9"/>
    <w:rsid w:val="00F7194B"/>
    <w:rsid w:val="00F71A67"/>
    <w:rsid w:val="00F71F9A"/>
    <w:rsid w:val="00F72A30"/>
    <w:rsid w:val="00F754EE"/>
    <w:rsid w:val="00F766ED"/>
    <w:rsid w:val="00F76938"/>
    <w:rsid w:val="00F76EA3"/>
    <w:rsid w:val="00F7777C"/>
    <w:rsid w:val="00F81021"/>
    <w:rsid w:val="00F81833"/>
    <w:rsid w:val="00F845B8"/>
    <w:rsid w:val="00F86E5F"/>
    <w:rsid w:val="00F90307"/>
    <w:rsid w:val="00F90DF5"/>
    <w:rsid w:val="00F9269A"/>
    <w:rsid w:val="00F92E8F"/>
    <w:rsid w:val="00FA1706"/>
    <w:rsid w:val="00FA2981"/>
    <w:rsid w:val="00FA3FF9"/>
    <w:rsid w:val="00FA4809"/>
    <w:rsid w:val="00FA54EA"/>
    <w:rsid w:val="00FA5A7A"/>
    <w:rsid w:val="00FA68BD"/>
    <w:rsid w:val="00FA7BC9"/>
    <w:rsid w:val="00FB25E1"/>
    <w:rsid w:val="00FB2A2F"/>
    <w:rsid w:val="00FB4A87"/>
    <w:rsid w:val="00FB4DEE"/>
    <w:rsid w:val="00FB57B1"/>
    <w:rsid w:val="00FB5E04"/>
    <w:rsid w:val="00FC0B55"/>
    <w:rsid w:val="00FC0D35"/>
    <w:rsid w:val="00FC1D93"/>
    <w:rsid w:val="00FC1FBB"/>
    <w:rsid w:val="00FC743B"/>
    <w:rsid w:val="00FC7581"/>
    <w:rsid w:val="00FC7FBF"/>
    <w:rsid w:val="00FD0076"/>
    <w:rsid w:val="00FD0294"/>
    <w:rsid w:val="00FD15B7"/>
    <w:rsid w:val="00FD1B1A"/>
    <w:rsid w:val="00FD5017"/>
    <w:rsid w:val="00FD5BB0"/>
    <w:rsid w:val="00FE023D"/>
    <w:rsid w:val="00FE046D"/>
    <w:rsid w:val="00FE0E59"/>
    <w:rsid w:val="00FE3784"/>
    <w:rsid w:val="00FE3D1D"/>
    <w:rsid w:val="00FE45CF"/>
    <w:rsid w:val="00FE6A68"/>
    <w:rsid w:val="00FF2CF0"/>
    <w:rsid w:val="00FF2DC6"/>
    <w:rsid w:val="00FF3FCC"/>
    <w:rsid w:val="00FF5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E1F9A6"/>
  <w15:chartTrackingRefBased/>
  <w15:docId w15:val="{4C291D85-FE7B-4860-80CC-175AD770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D98"/>
    <w:rPr>
      <w:rFonts w:ascii="Times New Roman" w:hAnsi="Times New Roman"/>
      <w:sz w:val="24"/>
    </w:rPr>
  </w:style>
  <w:style w:type="paragraph" w:styleId="Heading1">
    <w:name w:val="heading 1"/>
    <w:basedOn w:val="Normal"/>
    <w:next w:val="Normal"/>
    <w:link w:val="Heading1Char"/>
    <w:autoRedefine/>
    <w:uiPriority w:val="9"/>
    <w:qFormat/>
    <w:rsid w:val="0095155D"/>
    <w:pPr>
      <w:keepNext/>
      <w:keepLines/>
      <w:spacing w:after="0"/>
      <w:outlineLvl w:val="0"/>
    </w:pPr>
    <w:rPr>
      <w:rFonts w:ascii="Arial" w:eastAsiaTheme="majorEastAsia" w:hAnsi="Arial" w:cs="Arial"/>
      <w:b/>
      <w:sz w:val="22"/>
      <w:lang w:val="fr-FR" w:eastAsia="en-GB"/>
    </w:rPr>
  </w:style>
  <w:style w:type="paragraph" w:styleId="Heading2">
    <w:name w:val="heading 2"/>
    <w:basedOn w:val="Normal"/>
    <w:next w:val="Normal"/>
    <w:link w:val="Heading2Char"/>
    <w:autoRedefine/>
    <w:uiPriority w:val="9"/>
    <w:unhideWhenUsed/>
    <w:qFormat/>
    <w:rsid w:val="00024043"/>
    <w:pPr>
      <w:spacing w:after="0" w:line="240" w:lineRule="auto"/>
      <w:outlineLvl w:val="1"/>
    </w:pPr>
    <w:rPr>
      <w:rFonts w:ascii="Arial" w:hAnsi="Arial" w:cs="Arial"/>
      <w:b/>
      <w:sz w:val="22"/>
    </w:rPr>
  </w:style>
  <w:style w:type="paragraph" w:styleId="Heading3">
    <w:name w:val="heading 3"/>
    <w:basedOn w:val="Normal"/>
    <w:next w:val="Normal"/>
    <w:link w:val="Heading3Char"/>
    <w:autoRedefine/>
    <w:uiPriority w:val="9"/>
    <w:unhideWhenUsed/>
    <w:qFormat/>
    <w:rsid w:val="00B30F9A"/>
    <w:pPr>
      <w:keepNext/>
      <w:keepLines/>
      <w:spacing w:after="0" w:line="240" w:lineRule="auto"/>
      <w:outlineLvl w:val="2"/>
    </w:pPr>
    <w:rPr>
      <w:rFonts w:ascii="Arial" w:eastAsiaTheme="majorEastAsia" w:hAnsi="Arial" w:cstheme="majorBidi"/>
      <w:b/>
      <w:sz w:val="20"/>
      <w:szCs w:val="24"/>
      <w:u w:val="single"/>
    </w:rPr>
  </w:style>
  <w:style w:type="paragraph" w:styleId="Heading4">
    <w:name w:val="heading 4"/>
    <w:basedOn w:val="Normal"/>
    <w:next w:val="Normal"/>
    <w:link w:val="Heading4Char"/>
    <w:uiPriority w:val="9"/>
    <w:unhideWhenUsed/>
    <w:qFormat/>
    <w:rsid w:val="00CC33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54CF"/>
    <w:pPr>
      <w:spacing w:before="100" w:beforeAutospacing="1" w:after="100" w:afterAutospacing="1" w:line="240" w:lineRule="auto"/>
    </w:pPr>
    <w:rPr>
      <w:rFonts w:eastAsia="Times New Roman" w:cs="Times New Roman"/>
      <w:szCs w:val="24"/>
      <w:lang w:eastAsia="en-GB"/>
    </w:rPr>
  </w:style>
  <w:style w:type="character" w:customStyle="1" w:styleId="Heading1Char">
    <w:name w:val="Heading 1 Char"/>
    <w:basedOn w:val="DefaultParagraphFont"/>
    <w:link w:val="Heading1"/>
    <w:uiPriority w:val="9"/>
    <w:rsid w:val="0095155D"/>
    <w:rPr>
      <w:rFonts w:ascii="Arial" w:eastAsiaTheme="majorEastAsia" w:hAnsi="Arial" w:cs="Arial"/>
      <w:b/>
      <w:lang w:val="fr-FR" w:eastAsia="en-GB"/>
    </w:rPr>
  </w:style>
  <w:style w:type="paragraph" w:customStyle="1" w:styleId="Default">
    <w:name w:val="Default"/>
    <w:rsid w:val="007C1B5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1B5E"/>
    <w:pPr>
      <w:ind w:left="720"/>
      <w:contextualSpacing/>
    </w:pPr>
  </w:style>
  <w:style w:type="character" w:customStyle="1" w:styleId="Heading2Char">
    <w:name w:val="Heading 2 Char"/>
    <w:basedOn w:val="DefaultParagraphFont"/>
    <w:link w:val="Heading2"/>
    <w:uiPriority w:val="9"/>
    <w:rsid w:val="00024043"/>
    <w:rPr>
      <w:rFonts w:ascii="Arial" w:hAnsi="Arial" w:cs="Arial"/>
      <w:b/>
    </w:rPr>
  </w:style>
  <w:style w:type="character" w:customStyle="1" w:styleId="Heading3Char">
    <w:name w:val="Heading 3 Char"/>
    <w:basedOn w:val="DefaultParagraphFont"/>
    <w:link w:val="Heading3"/>
    <w:uiPriority w:val="9"/>
    <w:rsid w:val="00B30F9A"/>
    <w:rPr>
      <w:rFonts w:ascii="Arial" w:eastAsiaTheme="majorEastAsia" w:hAnsi="Arial" w:cstheme="majorBidi"/>
      <w:b/>
      <w:sz w:val="20"/>
      <w:szCs w:val="24"/>
      <w:u w:val="single"/>
    </w:rPr>
  </w:style>
  <w:style w:type="character" w:styleId="Strong">
    <w:name w:val="Strong"/>
    <w:basedOn w:val="DefaultParagraphFont"/>
    <w:uiPriority w:val="22"/>
    <w:qFormat/>
    <w:rsid w:val="004E5E6E"/>
    <w:rPr>
      <w:b/>
      <w:bCs/>
    </w:rPr>
  </w:style>
  <w:style w:type="character" w:customStyle="1" w:styleId="Heading4Char">
    <w:name w:val="Heading 4 Char"/>
    <w:basedOn w:val="DefaultParagraphFont"/>
    <w:link w:val="Heading4"/>
    <w:uiPriority w:val="9"/>
    <w:rsid w:val="00CC3306"/>
    <w:rPr>
      <w:rFonts w:asciiTheme="majorHAnsi" w:eastAsiaTheme="majorEastAsia" w:hAnsiTheme="majorHAnsi" w:cstheme="majorBidi"/>
      <w:i/>
      <w:iCs/>
      <w:color w:val="2E74B5" w:themeColor="accent1" w:themeShade="BF"/>
      <w:sz w:val="24"/>
    </w:rPr>
  </w:style>
  <w:style w:type="table" w:styleId="TableGrid">
    <w:name w:val="Table Grid"/>
    <w:basedOn w:val="TableNormal"/>
    <w:uiPriority w:val="39"/>
    <w:rsid w:val="008D1C0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2DE0"/>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unhideWhenUsed/>
    <w:rsid w:val="00633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331FE"/>
    <w:rPr>
      <w:rFonts w:ascii="Courier New" w:eastAsia="Times New Roman" w:hAnsi="Courier New" w:cs="Courier New"/>
      <w:sz w:val="20"/>
      <w:szCs w:val="20"/>
      <w:lang w:eastAsia="en-GB"/>
    </w:rPr>
  </w:style>
  <w:style w:type="character" w:customStyle="1" w:styleId="y2iqfc">
    <w:name w:val="y2iqfc"/>
    <w:basedOn w:val="DefaultParagraphFont"/>
    <w:rsid w:val="006331FE"/>
  </w:style>
  <w:style w:type="character" w:styleId="Emphasis">
    <w:name w:val="Emphasis"/>
    <w:basedOn w:val="DefaultParagraphFont"/>
    <w:uiPriority w:val="20"/>
    <w:qFormat/>
    <w:rsid w:val="005351AD"/>
    <w:rPr>
      <w:i/>
      <w:iCs/>
    </w:rPr>
  </w:style>
  <w:style w:type="paragraph" w:styleId="Header">
    <w:name w:val="header"/>
    <w:basedOn w:val="Normal"/>
    <w:link w:val="HeaderChar"/>
    <w:uiPriority w:val="99"/>
    <w:unhideWhenUsed/>
    <w:rsid w:val="00481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00"/>
    <w:rPr>
      <w:rFonts w:ascii="Times New Roman" w:hAnsi="Times New Roman"/>
      <w:sz w:val="24"/>
    </w:rPr>
  </w:style>
  <w:style w:type="paragraph" w:styleId="Footer">
    <w:name w:val="footer"/>
    <w:basedOn w:val="Normal"/>
    <w:link w:val="FooterChar"/>
    <w:uiPriority w:val="99"/>
    <w:unhideWhenUsed/>
    <w:rsid w:val="00481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00"/>
    <w:rPr>
      <w:rFonts w:ascii="Times New Roman" w:hAnsi="Times New Roman"/>
      <w:sz w:val="24"/>
    </w:rPr>
  </w:style>
  <w:style w:type="character" w:styleId="Hyperlink">
    <w:name w:val="Hyperlink"/>
    <w:basedOn w:val="DefaultParagraphFont"/>
    <w:uiPriority w:val="99"/>
    <w:unhideWhenUsed/>
    <w:rsid w:val="00024656"/>
    <w:rPr>
      <w:color w:val="0563C1" w:themeColor="hyperlink"/>
      <w:u w:val="single"/>
    </w:rPr>
  </w:style>
  <w:style w:type="paragraph" w:styleId="NoSpacing">
    <w:name w:val="No Spacing"/>
    <w:uiPriority w:val="1"/>
    <w:qFormat/>
    <w:rsid w:val="004C4DE1"/>
    <w:pPr>
      <w:spacing w:after="0" w:line="240" w:lineRule="auto"/>
    </w:pPr>
    <w:rPr>
      <w:rFonts w:ascii="Times New Roman" w:hAnsi="Times New Roman"/>
      <w:sz w:val="24"/>
    </w:rPr>
  </w:style>
  <w:style w:type="character" w:customStyle="1" w:styleId="whitespace-normal">
    <w:name w:val="whitespace-normal"/>
    <w:basedOn w:val="DefaultParagraphFont"/>
    <w:rsid w:val="008B097F"/>
  </w:style>
  <w:style w:type="character" w:customStyle="1" w:styleId="UnresolvedMention1">
    <w:name w:val="Unresolved Mention1"/>
    <w:basedOn w:val="DefaultParagraphFont"/>
    <w:uiPriority w:val="99"/>
    <w:semiHidden/>
    <w:unhideWhenUsed/>
    <w:rsid w:val="00A4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1328">
      <w:bodyDiv w:val="1"/>
      <w:marLeft w:val="0"/>
      <w:marRight w:val="0"/>
      <w:marTop w:val="0"/>
      <w:marBottom w:val="0"/>
      <w:divBdr>
        <w:top w:val="none" w:sz="0" w:space="0" w:color="auto"/>
        <w:left w:val="none" w:sz="0" w:space="0" w:color="auto"/>
        <w:bottom w:val="none" w:sz="0" w:space="0" w:color="auto"/>
        <w:right w:val="none" w:sz="0" w:space="0" w:color="auto"/>
      </w:divBdr>
    </w:div>
    <w:div w:id="92481402">
      <w:bodyDiv w:val="1"/>
      <w:marLeft w:val="0"/>
      <w:marRight w:val="0"/>
      <w:marTop w:val="0"/>
      <w:marBottom w:val="0"/>
      <w:divBdr>
        <w:top w:val="none" w:sz="0" w:space="0" w:color="auto"/>
        <w:left w:val="none" w:sz="0" w:space="0" w:color="auto"/>
        <w:bottom w:val="none" w:sz="0" w:space="0" w:color="auto"/>
        <w:right w:val="none" w:sz="0" w:space="0" w:color="auto"/>
      </w:divBdr>
    </w:div>
    <w:div w:id="94793100">
      <w:bodyDiv w:val="1"/>
      <w:marLeft w:val="0"/>
      <w:marRight w:val="0"/>
      <w:marTop w:val="0"/>
      <w:marBottom w:val="0"/>
      <w:divBdr>
        <w:top w:val="none" w:sz="0" w:space="0" w:color="auto"/>
        <w:left w:val="none" w:sz="0" w:space="0" w:color="auto"/>
        <w:bottom w:val="none" w:sz="0" w:space="0" w:color="auto"/>
        <w:right w:val="none" w:sz="0" w:space="0" w:color="auto"/>
      </w:divBdr>
    </w:div>
    <w:div w:id="247352282">
      <w:bodyDiv w:val="1"/>
      <w:marLeft w:val="0"/>
      <w:marRight w:val="0"/>
      <w:marTop w:val="0"/>
      <w:marBottom w:val="0"/>
      <w:divBdr>
        <w:top w:val="none" w:sz="0" w:space="0" w:color="auto"/>
        <w:left w:val="none" w:sz="0" w:space="0" w:color="auto"/>
        <w:bottom w:val="none" w:sz="0" w:space="0" w:color="auto"/>
        <w:right w:val="none" w:sz="0" w:space="0" w:color="auto"/>
      </w:divBdr>
    </w:div>
    <w:div w:id="288705296">
      <w:bodyDiv w:val="1"/>
      <w:marLeft w:val="0"/>
      <w:marRight w:val="0"/>
      <w:marTop w:val="0"/>
      <w:marBottom w:val="0"/>
      <w:divBdr>
        <w:top w:val="none" w:sz="0" w:space="0" w:color="auto"/>
        <w:left w:val="none" w:sz="0" w:space="0" w:color="auto"/>
        <w:bottom w:val="none" w:sz="0" w:space="0" w:color="auto"/>
        <w:right w:val="none" w:sz="0" w:space="0" w:color="auto"/>
      </w:divBdr>
    </w:div>
    <w:div w:id="325789805">
      <w:bodyDiv w:val="1"/>
      <w:marLeft w:val="0"/>
      <w:marRight w:val="0"/>
      <w:marTop w:val="0"/>
      <w:marBottom w:val="0"/>
      <w:divBdr>
        <w:top w:val="none" w:sz="0" w:space="0" w:color="auto"/>
        <w:left w:val="none" w:sz="0" w:space="0" w:color="auto"/>
        <w:bottom w:val="none" w:sz="0" w:space="0" w:color="auto"/>
        <w:right w:val="none" w:sz="0" w:space="0" w:color="auto"/>
      </w:divBdr>
    </w:div>
    <w:div w:id="350689959">
      <w:bodyDiv w:val="1"/>
      <w:marLeft w:val="0"/>
      <w:marRight w:val="0"/>
      <w:marTop w:val="0"/>
      <w:marBottom w:val="0"/>
      <w:divBdr>
        <w:top w:val="none" w:sz="0" w:space="0" w:color="auto"/>
        <w:left w:val="none" w:sz="0" w:space="0" w:color="auto"/>
        <w:bottom w:val="none" w:sz="0" w:space="0" w:color="auto"/>
        <w:right w:val="none" w:sz="0" w:space="0" w:color="auto"/>
      </w:divBdr>
    </w:div>
    <w:div w:id="390545593">
      <w:bodyDiv w:val="1"/>
      <w:marLeft w:val="0"/>
      <w:marRight w:val="0"/>
      <w:marTop w:val="0"/>
      <w:marBottom w:val="0"/>
      <w:divBdr>
        <w:top w:val="none" w:sz="0" w:space="0" w:color="auto"/>
        <w:left w:val="none" w:sz="0" w:space="0" w:color="auto"/>
        <w:bottom w:val="none" w:sz="0" w:space="0" w:color="auto"/>
        <w:right w:val="none" w:sz="0" w:space="0" w:color="auto"/>
      </w:divBdr>
    </w:div>
    <w:div w:id="415057638">
      <w:bodyDiv w:val="1"/>
      <w:marLeft w:val="0"/>
      <w:marRight w:val="0"/>
      <w:marTop w:val="0"/>
      <w:marBottom w:val="0"/>
      <w:divBdr>
        <w:top w:val="none" w:sz="0" w:space="0" w:color="auto"/>
        <w:left w:val="none" w:sz="0" w:space="0" w:color="auto"/>
        <w:bottom w:val="none" w:sz="0" w:space="0" w:color="auto"/>
        <w:right w:val="none" w:sz="0" w:space="0" w:color="auto"/>
      </w:divBdr>
    </w:div>
    <w:div w:id="423183954">
      <w:bodyDiv w:val="1"/>
      <w:marLeft w:val="0"/>
      <w:marRight w:val="0"/>
      <w:marTop w:val="0"/>
      <w:marBottom w:val="0"/>
      <w:divBdr>
        <w:top w:val="none" w:sz="0" w:space="0" w:color="auto"/>
        <w:left w:val="none" w:sz="0" w:space="0" w:color="auto"/>
        <w:bottom w:val="none" w:sz="0" w:space="0" w:color="auto"/>
        <w:right w:val="none" w:sz="0" w:space="0" w:color="auto"/>
      </w:divBdr>
    </w:div>
    <w:div w:id="451366980">
      <w:bodyDiv w:val="1"/>
      <w:marLeft w:val="0"/>
      <w:marRight w:val="0"/>
      <w:marTop w:val="0"/>
      <w:marBottom w:val="0"/>
      <w:divBdr>
        <w:top w:val="none" w:sz="0" w:space="0" w:color="auto"/>
        <w:left w:val="none" w:sz="0" w:space="0" w:color="auto"/>
        <w:bottom w:val="none" w:sz="0" w:space="0" w:color="auto"/>
        <w:right w:val="none" w:sz="0" w:space="0" w:color="auto"/>
      </w:divBdr>
    </w:div>
    <w:div w:id="475683608">
      <w:bodyDiv w:val="1"/>
      <w:marLeft w:val="0"/>
      <w:marRight w:val="0"/>
      <w:marTop w:val="0"/>
      <w:marBottom w:val="0"/>
      <w:divBdr>
        <w:top w:val="none" w:sz="0" w:space="0" w:color="auto"/>
        <w:left w:val="none" w:sz="0" w:space="0" w:color="auto"/>
        <w:bottom w:val="none" w:sz="0" w:space="0" w:color="auto"/>
        <w:right w:val="none" w:sz="0" w:space="0" w:color="auto"/>
      </w:divBdr>
    </w:div>
    <w:div w:id="718551706">
      <w:bodyDiv w:val="1"/>
      <w:marLeft w:val="0"/>
      <w:marRight w:val="0"/>
      <w:marTop w:val="0"/>
      <w:marBottom w:val="0"/>
      <w:divBdr>
        <w:top w:val="none" w:sz="0" w:space="0" w:color="auto"/>
        <w:left w:val="none" w:sz="0" w:space="0" w:color="auto"/>
        <w:bottom w:val="none" w:sz="0" w:space="0" w:color="auto"/>
        <w:right w:val="none" w:sz="0" w:space="0" w:color="auto"/>
      </w:divBdr>
    </w:div>
    <w:div w:id="749278899">
      <w:bodyDiv w:val="1"/>
      <w:marLeft w:val="0"/>
      <w:marRight w:val="0"/>
      <w:marTop w:val="0"/>
      <w:marBottom w:val="0"/>
      <w:divBdr>
        <w:top w:val="none" w:sz="0" w:space="0" w:color="auto"/>
        <w:left w:val="none" w:sz="0" w:space="0" w:color="auto"/>
        <w:bottom w:val="none" w:sz="0" w:space="0" w:color="auto"/>
        <w:right w:val="none" w:sz="0" w:space="0" w:color="auto"/>
      </w:divBdr>
    </w:div>
    <w:div w:id="754321916">
      <w:bodyDiv w:val="1"/>
      <w:marLeft w:val="0"/>
      <w:marRight w:val="0"/>
      <w:marTop w:val="0"/>
      <w:marBottom w:val="0"/>
      <w:divBdr>
        <w:top w:val="none" w:sz="0" w:space="0" w:color="auto"/>
        <w:left w:val="none" w:sz="0" w:space="0" w:color="auto"/>
        <w:bottom w:val="none" w:sz="0" w:space="0" w:color="auto"/>
        <w:right w:val="none" w:sz="0" w:space="0" w:color="auto"/>
      </w:divBdr>
    </w:div>
    <w:div w:id="850333888">
      <w:bodyDiv w:val="1"/>
      <w:marLeft w:val="0"/>
      <w:marRight w:val="0"/>
      <w:marTop w:val="0"/>
      <w:marBottom w:val="0"/>
      <w:divBdr>
        <w:top w:val="none" w:sz="0" w:space="0" w:color="auto"/>
        <w:left w:val="none" w:sz="0" w:space="0" w:color="auto"/>
        <w:bottom w:val="none" w:sz="0" w:space="0" w:color="auto"/>
        <w:right w:val="none" w:sz="0" w:space="0" w:color="auto"/>
      </w:divBdr>
    </w:div>
    <w:div w:id="857160101">
      <w:bodyDiv w:val="1"/>
      <w:marLeft w:val="0"/>
      <w:marRight w:val="0"/>
      <w:marTop w:val="0"/>
      <w:marBottom w:val="0"/>
      <w:divBdr>
        <w:top w:val="none" w:sz="0" w:space="0" w:color="auto"/>
        <w:left w:val="none" w:sz="0" w:space="0" w:color="auto"/>
        <w:bottom w:val="none" w:sz="0" w:space="0" w:color="auto"/>
        <w:right w:val="none" w:sz="0" w:space="0" w:color="auto"/>
      </w:divBdr>
    </w:div>
    <w:div w:id="1005127363">
      <w:bodyDiv w:val="1"/>
      <w:marLeft w:val="0"/>
      <w:marRight w:val="0"/>
      <w:marTop w:val="0"/>
      <w:marBottom w:val="0"/>
      <w:divBdr>
        <w:top w:val="none" w:sz="0" w:space="0" w:color="auto"/>
        <w:left w:val="none" w:sz="0" w:space="0" w:color="auto"/>
        <w:bottom w:val="none" w:sz="0" w:space="0" w:color="auto"/>
        <w:right w:val="none" w:sz="0" w:space="0" w:color="auto"/>
      </w:divBdr>
    </w:div>
    <w:div w:id="1022779102">
      <w:bodyDiv w:val="1"/>
      <w:marLeft w:val="0"/>
      <w:marRight w:val="0"/>
      <w:marTop w:val="0"/>
      <w:marBottom w:val="0"/>
      <w:divBdr>
        <w:top w:val="none" w:sz="0" w:space="0" w:color="auto"/>
        <w:left w:val="none" w:sz="0" w:space="0" w:color="auto"/>
        <w:bottom w:val="none" w:sz="0" w:space="0" w:color="auto"/>
        <w:right w:val="none" w:sz="0" w:space="0" w:color="auto"/>
      </w:divBdr>
    </w:div>
    <w:div w:id="1202942644">
      <w:bodyDiv w:val="1"/>
      <w:marLeft w:val="0"/>
      <w:marRight w:val="0"/>
      <w:marTop w:val="0"/>
      <w:marBottom w:val="0"/>
      <w:divBdr>
        <w:top w:val="none" w:sz="0" w:space="0" w:color="auto"/>
        <w:left w:val="none" w:sz="0" w:space="0" w:color="auto"/>
        <w:bottom w:val="none" w:sz="0" w:space="0" w:color="auto"/>
        <w:right w:val="none" w:sz="0" w:space="0" w:color="auto"/>
      </w:divBdr>
    </w:div>
    <w:div w:id="1312559534">
      <w:bodyDiv w:val="1"/>
      <w:marLeft w:val="0"/>
      <w:marRight w:val="0"/>
      <w:marTop w:val="0"/>
      <w:marBottom w:val="0"/>
      <w:divBdr>
        <w:top w:val="none" w:sz="0" w:space="0" w:color="auto"/>
        <w:left w:val="none" w:sz="0" w:space="0" w:color="auto"/>
        <w:bottom w:val="none" w:sz="0" w:space="0" w:color="auto"/>
        <w:right w:val="none" w:sz="0" w:space="0" w:color="auto"/>
      </w:divBdr>
    </w:div>
    <w:div w:id="1488672366">
      <w:bodyDiv w:val="1"/>
      <w:marLeft w:val="0"/>
      <w:marRight w:val="0"/>
      <w:marTop w:val="0"/>
      <w:marBottom w:val="0"/>
      <w:divBdr>
        <w:top w:val="none" w:sz="0" w:space="0" w:color="auto"/>
        <w:left w:val="none" w:sz="0" w:space="0" w:color="auto"/>
        <w:bottom w:val="none" w:sz="0" w:space="0" w:color="auto"/>
        <w:right w:val="none" w:sz="0" w:space="0" w:color="auto"/>
      </w:divBdr>
    </w:div>
    <w:div w:id="1590505617">
      <w:bodyDiv w:val="1"/>
      <w:marLeft w:val="0"/>
      <w:marRight w:val="0"/>
      <w:marTop w:val="0"/>
      <w:marBottom w:val="0"/>
      <w:divBdr>
        <w:top w:val="none" w:sz="0" w:space="0" w:color="auto"/>
        <w:left w:val="none" w:sz="0" w:space="0" w:color="auto"/>
        <w:bottom w:val="none" w:sz="0" w:space="0" w:color="auto"/>
        <w:right w:val="none" w:sz="0" w:space="0" w:color="auto"/>
      </w:divBdr>
    </w:div>
    <w:div w:id="1644388193">
      <w:bodyDiv w:val="1"/>
      <w:marLeft w:val="0"/>
      <w:marRight w:val="0"/>
      <w:marTop w:val="0"/>
      <w:marBottom w:val="0"/>
      <w:divBdr>
        <w:top w:val="none" w:sz="0" w:space="0" w:color="auto"/>
        <w:left w:val="none" w:sz="0" w:space="0" w:color="auto"/>
        <w:bottom w:val="none" w:sz="0" w:space="0" w:color="auto"/>
        <w:right w:val="none" w:sz="0" w:space="0" w:color="auto"/>
      </w:divBdr>
    </w:div>
    <w:div w:id="1658916972">
      <w:bodyDiv w:val="1"/>
      <w:marLeft w:val="0"/>
      <w:marRight w:val="0"/>
      <w:marTop w:val="0"/>
      <w:marBottom w:val="0"/>
      <w:divBdr>
        <w:top w:val="none" w:sz="0" w:space="0" w:color="auto"/>
        <w:left w:val="none" w:sz="0" w:space="0" w:color="auto"/>
        <w:bottom w:val="none" w:sz="0" w:space="0" w:color="auto"/>
        <w:right w:val="none" w:sz="0" w:space="0" w:color="auto"/>
      </w:divBdr>
    </w:div>
    <w:div w:id="1878009645">
      <w:bodyDiv w:val="1"/>
      <w:marLeft w:val="0"/>
      <w:marRight w:val="0"/>
      <w:marTop w:val="0"/>
      <w:marBottom w:val="0"/>
      <w:divBdr>
        <w:top w:val="none" w:sz="0" w:space="0" w:color="auto"/>
        <w:left w:val="none" w:sz="0" w:space="0" w:color="auto"/>
        <w:bottom w:val="none" w:sz="0" w:space="0" w:color="auto"/>
        <w:right w:val="none" w:sz="0" w:space="0" w:color="auto"/>
      </w:divBdr>
    </w:div>
    <w:div w:id="1915582171">
      <w:bodyDiv w:val="1"/>
      <w:marLeft w:val="0"/>
      <w:marRight w:val="0"/>
      <w:marTop w:val="0"/>
      <w:marBottom w:val="0"/>
      <w:divBdr>
        <w:top w:val="none" w:sz="0" w:space="0" w:color="auto"/>
        <w:left w:val="none" w:sz="0" w:space="0" w:color="auto"/>
        <w:bottom w:val="none" w:sz="0" w:space="0" w:color="auto"/>
        <w:right w:val="none" w:sz="0" w:space="0" w:color="auto"/>
      </w:divBdr>
    </w:div>
    <w:div w:id="1991473717">
      <w:bodyDiv w:val="1"/>
      <w:marLeft w:val="0"/>
      <w:marRight w:val="0"/>
      <w:marTop w:val="0"/>
      <w:marBottom w:val="0"/>
      <w:divBdr>
        <w:top w:val="none" w:sz="0" w:space="0" w:color="auto"/>
        <w:left w:val="none" w:sz="0" w:space="0" w:color="auto"/>
        <w:bottom w:val="none" w:sz="0" w:space="0" w:color="auto"/>
        <w:right w:val="none" w:sz="0" w:space="0" w:color="auto"/>
      </w:divBdr>
    </w:div>
    <w:div w:id="204513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38/s41467-024-48859-0" TargetMode="External"/><Relationship Id="rId26" Type="http://schemas.openxmlformats.org/officeDocument/2006/relationships/hyperlink" Target="https://doi.org/10.3390/plants9091224" TargetMode="External"/><Relationship Id="rId3" Type="http://schemas.openxmlformats.org/officeDocument/2006/relationships/styles" Target="styles.xml"/><Relationship Id="rId21" Type="http://schemas.openxmlformats.org/officeDocument/2006/relationships/hyperlink" Target="https://doi.org/10.3389/fpls.2025.167222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doi.org/10.1016/j.molp.2021.03.00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3390/ijms26115274" TargetMode="External"/><Relationship Id="rId29" Type="http://schemas.openxmlformats.org/officeDocument/2006/relationships/hyperlink" Target="https://doi.org/10.3390/plants142337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016/j.sjbs.2019.05.012" TargetMode="External"/><Relationship Id="rId32" Type="http://schemas.openxmlformats.org/officeDocument/2006/relationships/hyperlink" Target="https://doi.org/10.1007/s12571-019-00954-x"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doi.org/10.1080/23311932.2025.2610024" TargetMode="External"/><Relationship Id="rId28" Type="http://schemas.openxmlformats.org/officeDocument/2006/relationships/hyperlink" Target="https://doi.org/10.1016/j.stress.2025.100777" TargetMode="External"/><Relationship Id="rId10" Type="http://schemas.openxmlformats.org/officeDocument/2006/relationships/image" Target="media/image3.emf"/><Relationship Id="rId19" Type="http://schemas.openxmlformats.org/officeDocument/2006/relationships/hyperlink" Target="https://doi.org/10.1016/j.sftr.2025.101527" TargetMode="External"/><Relationship Id="rId31" Type="http://schemas.openxmlformats.org/officeDocument/2006/relationships/hyperlink" Target="https://doi.org/10.1002/csc2.2073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s://doi.org/10.1371/journal.pone.0245603" TargetMode="External"/><Relationship Id="rId27" Type="http://schemas.openxmlformats.org/officeDocument/2006/relationships/hyperlink" Target="https://doi.org/10.1007/978-3-030-77454-4" TargetMode="External"/><Relationship Id="rId30" Type="http://schemas.openxmlformats.org/officeDocument/2006/relationships/hyperlink" Target="https://doi.org/10.1007/BF02291575" TargetMode="Externa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8955B-1F86-4460-9A07-279E5DEE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5185</Words>
  <Characters>29558</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10</cp:revision>
  <dcterms:created xsi:type="dcterms:W3CDTF">2026-04-10T12:57:00Z</dcterms:created>
  <dcterms:modified xsi:type="dcterms:W3CDTF">2026-04-17T13:39:00Z</dcterms:modified>
</cp:coreProperties>
</file>