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8976" w14:textId="77777777" w:rsidR="00EE5FDB" w:rsidRPr="003828AA" w:rsidRDefault="00435B84">
      <w:pPr>
        <w:spacing w:after="160" w:line="480" w:lineRule="auto"/>
        <w:jc w:val="center"/>
        <w:rPr>
          <w:lang w:val="en-GB"/>
        </w:rPr>
      </w:pPr>
      <w:r w:rsidRPr="003828AA">
        <w:rPr>
          <w:b/>
          <w:bCs/>
          <w:color w:val="000000"/>
          <w:sz w:val="26"/>
          <w:szCs w:val="26"/>
          <w:highlight w:val="yellow"/>
          <w:lang w:val="en-GB"/>
        </w:rPr>
        <w:t xml:space="preserve">Co-infections among children hospitalised with </w:t>
      </w:r>
      <w:r w:rsidRPr="003828AA">
        <w:rPr>
          <w:b/>
          <w:bCs/>
          <w:i/>
          <w:iCs/>
          <w:sz w:val="26"/>
          <w:szCs w:val="26"/>
          <w:highlight w:val="yellow"/>
          <w:lang w:val="en-GB"/>
        </w:rPr>
        <w:t>Plasmodium falciparum</w:t>
      </w:r>
      <w:r w:rsidRPr="003828AA">
        <w:rPr>
          <w:b/>
          <w:bCs/>
          <w:color w:val="000000"/>
          <w:sz w:val="26"/>
          <w:szCs w:val="26"/>
          <w:highlight w:val="yellow"/>
          <w:lang w:val="en-GB"/>
        </w:rPr>
        <w:t xml:space="preserve"> malaria in Brazzaville, Republic of the Congo: prevalence, clinical profile and associated factors</w:t>
      </w:r>
    </w:p>
    <w:p w14:paraId="72B9897C" w14:textId="77777777" w:rsidR="00EE5FDB" w:rsidRPr="003828AA" w:rsidRDefault="00435B84">
      <w:pPr>
        <w:spacing w:before="200" w:after="80" w:line="480" w:lineRule="auto"/>
        <w:rPr>
          <w:lang w:val="en-GB"/>
        </w:rPr>
      </w:pPr>
      <w:r w:rsidRPr="003828AA">
        <w:rPr>
          <w:b/>
          <w:bCs/>
          <w:caps/>
          <w:color w:val="1F3864"/>
          <w:lang w:val="en-GB"/>
        </w:rPr>
        <w:t>Abstract</w:t>
      </w:r>
    </w:p>
    <w:p w14:paraId="72B9897D" w14:textId="77777777" w:rsidR="00EE5FDB" w:rsidRPr="003828AA" w:rsidRDefault="00435B84">
      <w:pPr>
        <w:spacing w:before="40" w:after="40" w:line="400" w:lineRule="auto"/>
        <w:rPr>
          <w:lang w:val="en-GB"/>
        </w:rPr>
      </w:pPr>
      <w:r w:rsidRPr="003828AA">
        <w:rPr>
          <w:b/>
          <w:bCs/>
          <w:color w:val="000000"/>
          <w:lang w:val="en-GB"/>
        </w:rPr>
        <w:t xml:space="preserve">Background: </w:t>
      </w:r>
      <w:r w:rsidRPr="003828AA">
        <w:rPr>
          <w:color w:val="000000"/>
          <w:highlight w:val="yellow"/>
          <w:lang w:val="en-GB"/>
        </w:rPr>
        <w:t xml:space="preserve">Co-infections may complicate malaria management and contribute to poorer clinical outcomes in hospitalised children. </w:t>
      </w:r>
      <w:r w:rsidRPr="003828AA">
        <w:rPr>
          <w:color w:val="000000"/>
          <w:lang w:val="en-GB"/>
        </w:rPr>
        <w:t>In the Republic of Congo, malaria remains the primary cause of paediatric hospitalisation, yet the epidemiology of co-infection in this context has not been systematically described.</w:t>
      </w:r>
    </w:p>
    <w:p w14:paraId="72B9897E" w14:textId="77777777" w:rsidR="00EE5FDB" w:rsidRPr="003828AA" w:rsidRDefault="00435B84">
      <w:pPr>
        <w:spacing w:before="40" w:after="40" w:line="400" w:lineRule="auto"/>
        <w:rPr>
          <w:lang w:val="en-GB"/>
        </w:rPr>
      </w:pPr>
      <w:r w:rsidRPr="003828AA">
        <w:rPr>
          <w:b/>
          <w:bCs/>
          <w:color w:val="000000"/>
          <w:lang w:val="en-GB"/>
        </w:rPr>
        <w:t xml:space="preserve">Objective: </w:t>
      </w:r>
      <w:r w:rsidRPr="003828AA">
        <w:rPr>
          <w:color w:val="000000"/>
          <w:lang w:val="en-GB"/>
        </w:rPr>
        <w:t xml:space="preserve">To investigate the prevalence and associated sociodemographic factors of co-infection among children hospitalised with </w:t>
      </w:r>
      <w:r w:rsidRPr="003828AA">
        <w:rPr>
          <w:i/>
          <w:iCs/>
          <w:lang w:val="en-GB"/>
        </w:rPr>
        <w:t>P. falciparum</w:t>
      </w:r>
      <w:r w:rsidRPr="003828AA">
        <w:rPr>
          <w:color w:val="000000"/>
          <w:lang w:val="en-GB"/>
        </w:rPr>
        <w:t xml:space="preserve"> malaria in Brazzaville.</w:t>
      </w:r>
    </w:p>
    <w:p w14:paraId="72B9897F" w14:textId="77777777" w:rsidR="00EE5FDB" w:rsidRPr="003828AA" w:rsidRDefault="00435B84">
      <w:pPr>
        <w:spacing w:before="40" w:after="40" w:line="400" w:lineRule="auto"/>
        <w:rPr>
          <w:lang w:val="en-GB"/>
        </w:rPr>
      </w:pPr>
      <w:r w:rsidRPr="003828AA">
        <w:rPr>
          <w:b/>
          <w:bCs/>
          <w:color w:val="000000"/>
          <w:lang w:val="en-GB"/>
        </w:rPr>
        <w:t xml:space="preserve">Methods: </w:t>
      </w:r>
      <w:r w:rsidRPr="003828AA">
        <w:rPr>
          <w:color w:val="000000"/>
          <w:lang w:val="en-GB"/>
        </w:rPr>
        <w:t xml:space="preserve">A retrospective hospital-based observational study was conducted in 2023 at the Brazzaville University Hospital. Children aged ≤15 years with microscopically confirmed </w:t>
      </w:r>
      <w:r w:rsidRPr="003828AA">
        <w:rPr>
          <w:i/>
          <w:iCs/>
          <w:lang w:val="en-GB"/>
        </w:rPr>
        <w:t>P. falciparum</w:t>
      </w:r>
      <w:r w:rsidRPr="003828AA">
        <w:rPr>
          <w:color w:val="000000"/>
          <w:lang w:val="en-GB"/>
        </w:rPr>
        <w:t xml:space="preserve"> malaria </w:t>
      </w:r>
      <w:r w:rsidRPr="003828AA">
        <w:rPr>
          <w:color w:val="000000"/>
          <w:highlight w:val="yellow"/>
          <w:lang w:val="en-GB"/>
        </w:rPr>
        <w:t>with or without documented co-infection or comorbidity</w:t>
      </w:r>
      <w:r w:rsidRPr="003828AA">
        <w:rPr>
          <w:color w:val="000000"/>
          <w:lang w:val="en-GB"/>
        </w:rPr>
        <w:t xml:space="preserve"> were included. Multivariable logistic regression identified sociodemographic factors independently associated with co-infection.</w:t>
      </w:r>
    </w:p>
    <w:p w14:paraId="72B98980" w14:textId="428FC6C1" w:rsidR="00EE5FDB" w:rsidRPr="003828AA" w:rsidRDefault="00435B84">
      <w:pPr>
        <w:spacing w:before="40" w:after="40" w:line="400" w:lineRule="auto"/>
        <w:rPr>
          <w:lang w:val="en-GB"/>
        </w:rPr>
      </w:pPr>
      <w:r w:rsidRPr="003828AA">
        <w:rPr>
          <w:b/>
          <w:bCs/>
          <w:color w:val="000000"/>
          <w:lang w:val="en-GB"/>
        </w:rPr>
        <w:t xml:space="preserve">Results: </w:t>
      </w:r>
      <w:r w:rsidRPr="003828AA">
        <w:rPr>
          <w:color w:val="000000"/>
          <w:lang w:val="en-GB"/>
        </w:rPr>
        <w:t>Among 441 children enrolled (median age 48 [IQR 15</w:t>
      </w:r>
      <w:r w:rsidR="00433F1A">
        <w:rPr>
          <w:color w:val="000000"/>
          <w:lang w:val="en-GB"/>
        </w:rPr>
        <w:t>-</w:t>
      </w:r>
      <w:r w:rsidRPr="003828AA">
        <w:rPr>
          <w:color w:val="000000"/>
          <w:lang w:val="en-GB"/>
        </w:rPr>
        <w:t xml:space="preserve">96] months), </w:t>
      </w:r>
      <w:r w:rsidRPr="003828AA">
        <w:rPr>
          <w:color w:val="000000"/>
          <w:highlight w:val="yellow"/>
          <w:lang w:val="en-GB"/>
        </w:rPr>
        <w:t xml:space="preserve">co-infection or comorbidity was identified in 16.8% (74/441). Co-infected children were more frequently younger than five years (64.9% vs 52.3%; </w:t>
      </w:r>
      <w:r w:rsidR="00393EF7" w:rsidRPr="00393EF7">
        <w:rPr>
          <w:i/>
          <w:iCs/>
          <w:color w:val="000000"/>
          <w:highlight w:val="yellow"/>
          <w:lang w:val="en-GB"/>
        </w:rPr>
        <w:t>p=</w:t>
      </w:r>
      <w:r w:rsidRPr="003828AA">
        <w:rPr>
          <w:color w:val="000000"/>
          <w:highlight w:val="yellow"/>
          <w:lang w:val="en-GB"/>
        </w:rPr>
        <w:t xml:space="preserve">0.048), originated more often from densely populated central arrondissements (41.4% vs 25.1%; </w:t>
      </w:r>
      <w:r w:rsidR="00393EF7" w:rsidRPr="00393EF7">
        <w:rPr>
          <w:i/>
          <w:iCs/>
          <w:color w:val="000000"/>
          <w:highlight w:val="yellow"/>
          <w:lang w:val="en-GB"/>
        </w:rPr>
        <w:t>p=</w:t>
      </w:r>
      <w:r w:rsidRPr="003828AA">
        <w:rPr>
          <w:color w:val="000000"/>
          <w:highlight w:val="yellow"/>
          <w:lang w:val="en-GB"/>
        </w:rPr>
        <w:t>0.008), and had longer consultation delays (4 [IQR 2</w:t>
      </w:r>
      <w:r w:rsidR="00433F1A">
        <w:rPr>
          <w:color w:val="000000"/>
          <w:highlight w:val="yellow"/>
          <w:lang w:val="en-GB"/>
        </w:rPr>
        <w:t>-</w:t>
      </w:r>
      <w:r w:rsidRPr="003828AA">
        <w:rPr>
          <w:color w:val="000000"/>
          <w:highlight w:val="yellow"/>
          <w:lang w:val="en-GB"/>
        </w:rPr>
        <w:t>7] vs 3 [IQR 2</w:t>
      </w:r>
      <w:r w:rsidR="00433F1A">
        <w:rPr>
          <w:color w:val="000000"/>
          <w:highlight w:val="yellow"/>
          <w:lang w:val="en-GB"/>
        </w:rPr>
        <w:t>-</w:t>
      </w:r>
      <w:r w:rsidRPr="003828AA">
        <w:rPr>
          <w:color w:val="000000"/>
          <w:highlight w:val="yellow"/>
          <w:lang w:val="en-GB"/>
        </w:rPr>
        <w:t xml:space="preserve">5] days; </w:t>
      </w:r>
      <w:r w:rsidR="00393EF7" w:rsidRPr="00393EF7">
        <w:rPr>
          <w:i/>
          <w:iCs/>
          <w:color w:val="000000"/>
          <w:highlight w:val="yellow"/>
          <w:lang w:val="en-GB"/>
        </w:rPr>
        <w:t>p=</w:t>
      </w:r>
      <w:r w:rsidRPr="003828AA">
        <w:rPr>
          <w:color w:val="000000"/>
          <w:highlight w:val="yellow"/>
          <w:lang w:val="en-GB"/>
        </w:rPr>
        <w:t xml:space="preserve">0.016). Parasitaemia was significantly higher in co-infected children (12,600 vs 6,300 parasites/µL; </w:t>
      </w:r>
      <w:r w:rsidR="00F70D28" w:rsidRPr="00F70D28">
        <w:rPr>
          <w:i/>
          <w:iCs/>
          <w:color w:val="000000"/>
          <w:highlight w:val="yellow"/>
          <w:lang w:val="en-GB"/>
        </w:rPr>
        <w:t xml:space="preserve">p&lt; </w:t>
      </w:r>
      <w:r w:rsidRPr="003828AA">
        <w:rPr>
          <w:color w:val="000000"/>
          <w:highlight w:val="yellow"/>
          <w:lang w:val="en-GB"/>
        </w:rPr>
        <w:t xml:space="preserve">0.001), and co-infection was more frequent among children with WHO-defined severe malaria (51.4% vs 33.5%; </w:t>
      </w:r>
      <w:r w:rsidR="00393EF7" w:rsidRPr="00393EF7">
        <w:rPr>
          <w:i/>
          <w:iCs/>
          <w:color w:val="000000"/>
          <w:highlight w:val="yellow"/>
          <w:lang w:val="en-GB"/>
        </w:rPr>
        <w:t>p=</w:t>
      </w:r>
      <w:r w:rsidRPr="003828AA">
        <w:rPr>
          <w:color w:val="000000"/>
          <w:highlight w:val="yellow"/>
          <w:lang w:val="en-GB"/>
        </w:rPr>
        <w:t>0.005). In multivariable analysis, age below five years (</w:t>
      </w:r>
      <w:proofErr w:type="spellStart"/>
      <w:r w:rsidRPr="003828AA">
        <w:rPr>
          <w:color w:val="000000"/>
          <w:highlight w:val="yellow"/>
          <w:lang w:val="en-GB"/>
        </w:rPr>
        <w:t>aOR</w:t>
      </w:r>
      <w:proofErr w:type="spellEnd"/>
      <w:r w:rsidRPr="003828AA">
        <w:rPr>
          <w:color w:val="000000"/>
          <w:highlight w:val="yellow"/>
          <w:lang w:val="en-GB"/>
        </w:rPr>
        <w:t xml:space="preserve"> 1.71; 95% CI 1.01</w:t>
      </w:r>
      <w:r w:rsidR="00433F1A">
        <w:rPr>
          <w:color w:val="000000"/>
          <w:highlight w:val="yellow"/>
          <w:lang w:val="en-GB"/>
        </w:rPr>
        <w:t>-</w:t>
      </w:r>
      <w:r w:rsidRPr="003828AA">
        <w:rPr>
          <w:color w:val="000000"/>
          <w:highlight w:val="yellow"/>
          <w:lang w:val="en-GB"/>
        </w:rPr>
        <w:t>2.90) and residence in central arrondissements (</w:t>
      </w:r>
      <w:proofErr w:type="spellStart"/>
      <w:r w:rsidRPr="003828AA">
        <w:rPr>
          <w:color w:val="000000"/>
          <w:highlight w:val="yellow"/>
          <w:lang w:val="en-GB"/>
        </w:rPr>
        <w:t>aOR</w:t>
      </w:r>
      <w:proofErr w:type="spellEnd"/>
      <w:r w:rsidRPr="003828AA">
        <w:rPr>
          <w:color w:val="000000"/>
          <w:highlight w:val="yellow"/>
          <w:lang w:val="en-GB"/>
        </w:rPr>
        <w:t xml:space="preserve"> 1.90; 95% CI 1.12</w:t>
      </w:r>
      <w:r w:rsidR="00433F1A">
        <w:rPr>
          <w:color w:val="000000"/>
          <w:highlight w:val="yellow"/>
          <w:lang w:val="en-GB"/>
        </w:rPr>
        <w:t>-</w:t>
      </w:r>
      <w:r w:rsidRPr="003828AA">
        <w:rPr>
          <w:color w:val="000000"/>
          <w:highlight w:val="yellow"/>
          <w:lang w:val="en-GB"/>
        </w:rPr>
        <w:t>3.23) remained independently associated with co-infection.</w:t>
      </w:r>
    </w:p>
    <w:p w14:paraId="72B98981" w14:textId="77777777" w:rsidR="00EE5FDB" w:rsidRPr="003828AA" w:rsidRDefault="00435B84">
      <w:pPr>
        <w:spacing w:before="40" w:after="40" w:line="400" w:lineRule="auto"/>
        <w:rPr>
          <w:lang w:val="en-GB"/>
        </w:rPr>
      </w:pPr>
      <w:r w:rsidRPr="003828AA">
        <w:rPr>
          <w:b/>
          <w:bCs/>
          <w:color w:val="000000"/>
          <w:lang w:val="en-GB"/>
        </w:rPr>
        <w:t xml:space="preserve">Conclusion: </w:t>
      </w:r>
      <w:r w:rsidRPr="003828AA">
        <w:rPr>
          <w:color w:val="000000"/>
          <w:highlight w:val="yellow"/>
          <w:lang w:val="en-GB"/>
        </w:rPr>
        <w:t>These findings support systematic assessment for co-infections in hospitalised children with malaria, particularly among younger children and those living in densely populated urban areas.</w:t>
      </w:r>
    </w:p>
    <w:p w14:paraId="72B98982" w14:textId="77777777" w:rsidR="00EE5FDB" w:rsidRPr="003828AA" w:rsidRDefault="00435B84">
      <w:pPr>
        <w:spacing w:before="60" w:after="40" w:line="360" w:lineRule="auto"/>
        <w:rPr>
          <w:lang w:val="en-GB"/>
        </w:rPr>
      </w:pPr>
      <w:r w:rsidRPr="003828AA">
        <w:rPr>
          <w:b/>
          <w:bCs/>
          <w:color w:val="000000"/>
          <w:lang w:val="en-GB"/>
        </w:rPr>
        <w:t xml:space="preserve">Keywords: </w:t>
      </w:r>
      <w:r w:rsidRPr="003828AA">
        <w:rPr>
          <w:color w:val="000000"/>
          <w:highlight w:val="yellow"/>
          <w:lang w:val="en-GB"/>
        </w:rPr>
        <w:t xml:space="preserve">malaria; </w:t>
      </w:r>
      <w:r w:rsidRPr="003828AA">
        <w:rPr>
          <w:i/>
          <w:iCs/>
          <w:highlight w:val="yellow"/>
          <w:lang w:val="en-GB"/>
        </w:rPr>
        <w:t>Plasmodium falciparum</w:t>
      </w:r>
      <w:r w:rsidRPr="003828AA">
        <w:rPr>
          <w:color w:val="000000"/>
          <w:highlight w:val="yellow"/>
          <w:lang w:val="en-GB"/>
        </w:rPr>
        <w:t>; co-infection; paediatric malaria; severe malaria; hospitalised children; Central Africa; Republic of the Congo</w:t>
      </w:r>
    </w:p>
    <w:p w14:paraId="72B98983" w14:textId="77777777" w:rsidR="00EE5FDB" w:rsidRPr="003828AA" w:rsidRDefault="00EE5FDB">
      <w:pPr>
        <w:spacing w:before="40" w:after="40"/>
        <w:rPr>
          <w:lang w:val="en-GB"/>
        </w:rPr>
      </w:pPr>
    </w:p>
    <w:p w14:paraId="72B98984" w14:textId="77777777" w:rsidR="00EE5FDB" w:rsidRPr="003828AA" w:rsidRDefault="00435B84">
      <w:pPr>
        <w:spacing w:before="200" w:after="80" w:line="480" w:lineRule="auto"/>
        <w:rPr>
          <w:lang w:val="en-GB"/>
        </w:rPr>
      </w:pPr>
      <w:r w:rsidRPr="003828AA">
        <w:rPr>
          <w:b/>
          <w:bCs/>
          <w:caps/>
          <w:color w:val="1F3864"/>
          <w:lang w:val="en-GB"/>
        </w:rPr>
        <w:lastRenderedPageBreak/>
        <w:t>1. Introduction</w:t>
      </w:r>
    </w:p>
    <w:p w14:paraId="72B98985" w14:textId="786FB086" w:rsidR="00EE5FDB" w:rsidRPr="003828AA" w:rsidRDefault="00435B84">
      <w:pPr>
        <w:spacing w:line="480" w:lineRule="auto"/>
        <w:ind w:firstLine="720"/>
        <w:jc w:val="both"/>
        <w:rPr>
          <w:lang w:val="en-GB"/>
        </w:rPr>
      </w:pPr>
      <w:r w:rsidRPr="003828AA">
        <w:rPr>
          <w:i/>
          <w:iCs/>
          <w:lang w:val="en-GB"/>
        </w:rPr>
        <w:t>Plasmodium falciparum</w:t>
      </w:r>
      <w:r w:rsidRPr="003828AA">
        <w:rPr>
          <w:color w:val="000000"/>
          <w:lang w:val="en-GB"/>
        </w:rPr>
        <w:t xml:space="preserve"> malaria remains one of the leading causes of paediatric morbidity and mortality in sub-Saharan Africa. In 2024, an estimated 282 million malaria cases were reported globally, of which over 90% occurred in the African Region (WHO, 2025). Despite reductions in transmission achieved through insecticide-treated nets and artemisinin-based combination therapies, the disease continues to burden health systems, particularly among young children (WHO, 2025; </w:t>
      </w:r>
      <w:proofErr w:type="spellStart"/>
      <w:r w:rsidRPr="003828AA">
        <w:rPr>
          <w:color w:val="000000"/>
          <w:lang w:val="en-GB"/>
        </w:rPr>
        <w:t>Koukouikila-Koussounda</w:t>
      </w:r>
      <w:proofErr w:type="spellEnd"/>
      <w:r w:rsidRPr="003828AA">
        <w:rPr>
          <w:color w:val="000000"/>
          <w:lang w:val="en-GB"/>
        </w:rPr>
        <w:t xml:space="preserve"> and </w:t>
      </w:r>
      <w:proofErr w:type="spellStart"/>
      <w:r w:rsidRPr="003828AA">
        <w:rPr>
          <w:color w:val="000000"/>
          <w:lang w:val="en-GB"/>
        </w:rPr>
        <w:t>Ntoumi</w:t>
      </w:r>
      <w:proofErr w:type="spellEnd"/>
      <w:r w:rsidRPr="003828AA">
        <w:rPr>
          <w:color w:val="000000"/>
          <w:lang w:val="en-GB"/>
        </w:rPr>
        <w:t>, 2016). In the Republic of Congo, malaria is the primary cause of paediatric hospitalisation, accounting for 44</w:t>
      </w:r>
      <w:r w:rsidR="00433F1A">
        <w:rPr>
          <w:color w:val="000000"/>
          <w:lang w:val="en-GB"/>
        </w:rPr>
        <w:t>-</w:t>
      </w:r>
      <w:r w:rsidRPr="003828AA">
        <w:rPr>
          <w:color w:val="000000"/>
          <w:lang w:val="en-GB"/>
        </w:rPr>
        <w:t>52% of admissions and approximately 35% of in-hospital deaths in Brazzaville (</w:t>
      </w:r>
      <w:proofErr w:type="spellStart"/>
      <w:r w:rsidRPr="003828AA">
        <w:rPr>
          <w:color w:val="000000"/>
          <w:lang w:val="en-GB"/>
        </w:rPr>
        <w:t>Koukouikila-Koussounda</w:t>
      </w:r>
      <w:proofErr w:type="spellEnd"/>
      <w:r w:rsidRPr="003828AA">
        <w:rPr>
          <w:color w:val="000000"/>
          <w:lang w:val="en-GB"/>
        </w:rPr>
        <w:t xml:space="preserve"> and </w:t>
      </w:r>
      <w:proofErr w:type="spellStart"/>
      <w:r w:rsidRPr="003828AA">
        <w:rPr>
          <w:color w:val="000000"/>
          <w:lang w:val="en-GB"/>
        </w:rPr>
        <w:t>Ntoumi</w:t>
      </w:r>
      <w:proofErr w:type="spellEnd"/>
      <w:r w:rsidRPr="003828AA">
        <w:rPr>
          <w:color w:val="000000"/>
          <w:lang w:val="en-GB"/>
        </w:rPr>
        <w:t xml:space="preserve">, 2016). Transmission in the capital is meso- to hyperendemic, and </w:t>
      </w:r>
      <w:r w:rsidRPr="003828AA">
        <w:rPr>
          <w:i/>
          <w:iCs/>
          <w:lang w:val="en-GB"/>
        </w:rPr>
        <w:t>P. falciparum</w:t>
      </w:r>
      <w:r w:rsidRPr="003828AA">
        <w:rPr>
          <w:color w:val="000000"/>
          <w:highlight w:val="yellow"/>
          <w:lang w:val="en-GB"/>
        </w:rPr>
        <w:t xml:space="preserve"> accounts for the vast majority of confirmed infections (</w:t>
      </w:r>
      <w:proofErr w:type="spellStart"/>
      <w:r w:rsidRPr="003828AA">
        <w:rPr>
          <w:color w:val="000000"/>
          <w:highlight w:val="yellow"/>
          <w:lang w:val="en-GB"/>
        </w:rPr>
        <w:t>Mayengue</w:t>
      </w:r>
      <w:proofErr w:type="spellEnd"/>
      <w:r w:rsidRPr="003828AA">
        <w:rPr>
          <w:color w:val="000000"/>
          <w:highlight w:val="yellow"/>
          <w:lang w:val="en-GB"/>
        </w:rPr>
        <w:t xml:space="preserve"> </w:t>
      </w:r>
      <w:r w:rsidR="00393EF7" w:rsidRPr="00393EF7">
        <w:rPr>
          <w:i/>
          <w:iCs/>
          <w:color w:val="000000"/>
          <w:highlight w:val="yellow"/>
          <w:lang w:val="en-GB"/>
        </w:rPr>
        <w:t>et al</w:t>
      </w:r>
      <w:r w:rsidRPr="003828AA">
        <w:rPr>
          <w:color w:val="000000"/>
          <w:highlight w:val="yellow"/>
          <w:lang w:val="en-GB"/>
        </w:rPr>
        <w:t>., 2020).</w:t>
      </w:r>
    </w:p>
    <w:p w14:paraId="72B98986" w14:textId="77777777" w:rsidR="00EE5FDB" w:rsidRPr="003828AA" w:rsidRDefault="00EE5FDB">
      <w:pPr>
        <w:spacing w:before="40" w:after="40"/>
        <w:rPr>
          <w:lang w:val="en-GB"/>
        </w:rPr>
      </w:pPr>
    </w:p>
    <w:p w14:paraId="72B98987" w14:textId="77777777" w:rsidR="00EE5FDB" w:rsidRPr="003828AA" w:rsidRDefault="00435B84">
      <w:pPr>
        <w:spacing w:line="480" w:lineRule="auto"/>
        <w:ind w:firstLine="720"/>
        <w:jc w:val="both"/>
        <w:rPr>
          <w:lang w:val="en-GB"/>
        </w:rPr>
      </w:pPr>
      <w:r w:rsidRPr="003828AA">
        <w:rPr>
          <w:color w:val="000000"/>
          <w:highlight w:val="yellow"/>
          <w:lang w:val="en-GB"/>
        </w:rPr>
        <w:t xml:space="preserve">In routine hospital practice, many children admitted with malaria present with concurrent infections or chronic conditions that may modify disease severity and outcome. </w:t>
      </w:r>
      <w:r w:rsidRPr="003828AA">
        <w:rPr>
          <w:color w:val="000000"/>
          <w:lang w:val="en-GB"/>
        </w:rPr>
        <w:t>This subset, referred to herein as malaria with co-infection or comorbidity, represents an important but poorly characterised epidemiological entity in Central Africa (WHO, 2014).</w:t>
      </w:r>
    </w:p>
    <w:p w14:paraId="72B98988" w14:textId="77777777" w:rsidR="00EE5FDB" w:rsidRPr="003828AA" w:rsidRDefault="00EE5FDB">
      <w:pPr>
        <w:spacing w:before="40" w:after="40"/>
        <w:rPr>
          <w:lang w:val="en-GB"/>
        </w:rPr>
      </w:pPr>
    </w:p>
    <w:p w14:paraId="72B98989" w14:textId="3267B3E3" w:rsidR="00EE5FDB" w:rsidRPr="003828AA" w:rsidRDefault="00435B84">
      <w:pPr>
        <w:spacing w:line="480" w:lineRule="auto"/>
        <w:ind w:firstLine="720"/>
        <w:jc w:val="both"/>
        <w:rPr>
          <w:lang w:val="en-GB"/>
        </w:rPr>
      </w:pPr>
      <w:r w:rsidRPr="003828AA">
        <w:rPr>
          <w:color w:val="000000"/>
          <w:lang w:val="en-GB"/>
        </w:rPr>
        <w:t xml:space="preserve">The co-occurrence of </w:t>
      </w:r>
      <w:r w:rsidRPr="003828AA">
        <w:rPr>
          <w:i/>
          <w:iCs/>
          <w:lang w:val="en-GB"/>
        </w:rPr>
        <w:t>P. falciparum</w:t>
      </w:r>
      <w:r w:rsidRPr="003828AA">
        <w:rPr>
          <w:color w:val="000000"/>
          <w:lang w:val="en-GB"/>
        </w:rPr>
        <w:t xml:space="preserve"> malaria with other infectious pathogens has been documented across sub-Saharan Africa. A systematic review and meta-analysis by Church and Maitland found that invasive bacterial infection occurred in 6.4% of children with severe malaria and 5.58% of all hospitalised malaria cases, and was associated with substantially increased mortality (Church and Maitland, 2014). English and colleagues identified that up to 45% of children admitted with respiratory signs at a Kenyan referral hospital had concurrent malaria, underscoring the diagnostic challenges posed by co-presenting illnesses (English </w:t>
      </w:r>
      <w:r w:rsidR="00393EF7" w:rsidRPr="00393EF7">
        <w:rPr>
          <w:i/>
          <w:iCs/>
          <w:color w:val="000000"/>
          <w:lang w:val="en-GB"/>
        </w:rPr>
        <w:t>et al</w:t>
      </w:r>
      <w:r w:rsidRPr="003828AA">
        <w:rPr>
          <w:color w:val="000000"/>
          <w:lang w:val="en-GB"/>
        </w:rPr>
        <w:t>., 1996).</w:t>
      </w:r>
    </w:p>
    <w:p w14:paraId="72B9898A" w14:textId="77777777" w:rsidR="00EE5FDB" w:rsidRPr="003828AA" w:rsidRDefault="00EE5FDB">
      <w:pPr>
        <w:spacing w:before="40" w:after="40"/>
        <w:rPr>
          <w:lang w:val="en-GB"/>
        </w:rPr>
      </w:pPr>
    </w:p>
    <w:p w14:paraId="72B9898B" w14:textId="1CBA54A3" w:rsidR="00EE5FDB" w:rsidRPr="003828AA" w:rsidRDefault="00435B84">
      <w:pPr>
        <w:spacing w:line="480" w:lineRule="auto"/>
        <w:ind w:firstLine="720"/>
        <w:jc w:val="both"/>
        <w:rPr>
          <w:lang w:val="en-GB"/>
        </w:rPr>
      </w:pPr>
      <w:r w:rsidRPr="003828AA">
        <w:rPr>
          <w:color w:val="000000"/>
          <w:lang w:val="en-GB"/>
        </w:rPr>
        <w:t xml:space="preserve">Sociodemographic factors are established determinants of malaria acquisition and outcome. A pooled analysis of Demographic and Health Survey data from eleven countries identified child </w:t>
      </w:r>
      <w:r w:rsidRPr="003828AA">
        <w:rPr>
          <w:color w:val="000000"/>
          <w:lang w:val="en-GB"/>
        </w:rPr>
        <w:lastRenderedPageBreak/>
        <w:t xml:space="preserve">age, household wealth, and place of residence as principal predictors of malaria infection among under-five children (Anjorin </w:t>
      </w:r>
      <w:r w:rsidR="00393EF7" w:rsidRPr="00393EF7">
        <w:rPr>
          <w:i/>
          <w:iCs/>
          <w:color w:val="000000"/>
          <w:lang w:val="en-GB"/>
        </w:rPr>
        <w:t>et al</w:t>
      </w:r>
      <w:r w:rsidRPr="003828AA">
        <w:rPr>
          <w:color w:val="000000"/>
          <w:lang w:val="en-GB"/>
        </w:rPr>
        <w:t>., 2023). However, the sociodemographic factors predisposing hospitalised children to present with malaria co-infection rather than malaria alone remain poorly characterised in Central Africa.</w:t>
      </w:r>
    </w:p>
    <w:p w14:paraId="72B9898C" w14:textId="77777777" w:rsidR="00EE5FDB" w:rsidRPr="003828AA" w:rsidRDefault="00EE5FDB">
      <w:pPr>
        <w:spacing w:before="40" w:after="40"/>
        <w:rPr>
          <w:lang w:val="en-GB"/>
        </w:rPr>
      </w:pPr>
    </w:p>
    <w:p w14:paraId="72B9898D" w14:textId="7EB9928A" w:rsidR="00EE5FDB" w:rsidRPr="003828AA" w:rsidRDefault="00435B84">
      <w:pPr>
        <w:spacing w:line="480" w:lineRule="auto"/>
        <w:ind w:firstLine="720"/>
        <w:jc w:val="both"/>
        <w:rPr>
          <w:lang w:val="en-GB"/>
        </w:rPr>
      </w:pPr>
      <w:r w:rsidRPr="003828AA">
        <w:rPr>
          <w:color w:val="000000"/>
          <w:lang w:val="en-GB"/>
        </w:rPr>
        <w:t xml:space="preserve">In Gabon, hospital-based studies have shown that the majority of children admitted with confirmed malaria do not fulfil WHO severity criteria, and published data have largely focused on the severe end of the spectrum (Bouyou-Akotet </w:t>
      </w:r>
      <w:r w:rsidR="00393EF7" w:rsidRPr="00393EF7">
        <w:rPr>
          <w:i/>
          <w:iCs/>
          <w:color w:val="000000"/>
          <w:lang w:val="en-GB"/>
        </w:rPr>
        <w:t>et al</w:t>
      </w:r>
      <w:r w:rsidRPr="003828AA">
        <w:rPr>
          <w:color w:val="000000"/>
          <w:lang w:val="en-GB"/>
        </w:rPr>
        <w:t>., 2012). Most recently, a retrospective study at the tertiary referral hospital in Libreville found that 21.0% of children hospitalised with severe malaria had at least one documented co-infection; age under five years was independently associated with co-infection (OR 1.76, 95% CI 1.12</w:t>
      </w:r>
      <w:r w:rsidR="00433F1A">
        <w:rPr>
          <w:color w:val="000000"/>
          <w:lang w:val="en-GB"/>
        </w:rPr>
        <w:t>-</w:t>
      </w:r>
      <w:r w:rsidRPr="003828AA">
        <w:rPr>
          <w:color w:val="000000"/>
          <w:lang w:val="en-GB"/>
        </w:rPr>
        <w:t>2.76), and respiratory infections predominated (</w:t>
      </w:r>
      <w:proofErr w:type="spellStart"/>
      <w:r w:rsidRPr="003828AA">
        <w:rPr>
          <w:color w:val="000000"/>
          <w:lang w:val="en-GB"/>
        </w:rPr>
        <w:t>Essomeyo</w:t>
      </w:r>
      <w:proofErr w:type="spellEnd"/>
      <w:r w:rsidRPr="003828AA">
        <w:rPr>
          <w:color w:val="000000"/>
          <w:lang w:val="en-GB"/>
        </w:rPr>
        <w:t xml:space="preserve"> Ngue </w:t>
      </w:r>
      <w:proofErr w:type="spellStart"/>
      <w:r w:rsidRPr="003828AA">
        <w:rPr>
          <w:color w:val="000000"/>
          <w:lang w:val="en-GB"/>
        </w:rPr>
        <w:t>Mebale</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2026). These findings provide a direct regional benchmark, while underscoring the absence of comparable data from the Republic of Congo.</w:t>
      </w:r>
    </w:p>
    <w:p w14:paraId="72B9898E" w14:textId="77777777" w:rsidR="00EE5FDB" w:rsidRPr="003828AA" w:rsidRDefault="00EE5FDB">
      <w:pPr>
        <w:spacing w:before="40" w:after="40"/>
        <w:rPr>
          <w:lang w:val="en-GB"/>
        </w:rPr>
      </w:pPr>
    </w:p>
    <w:p w14:paraId="72B9898F" w14:textId="77777777" w:rsidR="00EE5FDB" w:rsidRPr="003828AA" w:rsidRDefault="00435B84">
      <w:pPr>
        <w:spacing w:line="480" w:lineRule="auto"/>
        <w:ind w:firstLine="720"/>
        <w:jc w:val="both"/>
        <w:rPr>
          <w:lang w:val="en-GB"/>
        </w:rPr>
      </w:pPr>
      <w:r w:rsidRPr="003828AA">
        <w:rPr>
          <w:color w:val="000000"/>
          <w:lang w:val="en-GB"/>
        </w:rPr>
        <w:t xml:space="preserve">To date, no published study from the Republic of Congo has systematically characterised the proportion of hospitalised children with </w:t>
      </w:r>
      <w:r w:rsidRPr="003828AA">
        <w:rPr>
          <w:i/>
          <w:iCs/>
          <w:lang w:val="en-GB"/>
        </w:rPr>
        <w:t>P. falciparum</w:t>
      </w:r>
      <w:r w:rsidRPr="003828AA">
        <w:rPr>
          <w:color w:val="000000"/>
          <w:lang w:val="en-GB"/>
        </w:rPr>
        <w:t xml:space="preserve"> malaria presenting with co-infection or comorbidity. </w:t>
      </w:r>
      <w:r w:rsidRPr="003828AA">
        <w:rPr>
          <w:color w:val="000000"/>
          <w:highlight w:val="yellow"/>
          <w:lang w:val="en-GB"/>
        </w:rPr>
        <w:t>This lack of data has important clinical implications</w:t>
      </w:r>
      <w:r w:rsidRPr="003828AA">
        <w:rPr>
          <w:color w:val="000000"/>
          <w:lang w:val="en-GB"/>
        </w:rPr>
        <w:t>: without a clear epidemiological profile, clinicians lack an evidence base for syndromic triage and targeted antimicrobial prescribing.</w:t>
      </w:r>
    </w:p>
    <w:p w14:paraId="72B98990" w14:textId="77777777" w:rsidR="00EE5FDB" w:rsidRPr="003828AA" w:rsidRDefault="00EE5FDB">
      <w:pPr>
        <w:spacing w:before="40" w:after="40"/>
        <w:rPr>
          <w:lang w:val="en-GB"/>
        </w:rPr>
      </w:pPr>
    </w:p>
    <w:p w14:paraId="72B98991" w14:textId="77777777" w:rsidR="00EE5FDB" w:rsidRPr="003828AA" w:rsidRDefault="00435B84">
      <w:pPr>
        <w:spacing w:line="480" w:lineRule="auto"/>
        <w:ind w:firstLine="720"/>
        <w:jc w:val="both"/>
        <w:rPr>
          <w:lang w:val="en-GB"/>
        </w:rPr>
      </w:pPr>
      <w:r w:rsidRPr="003828AA">
        <w:rPr>
          <w:color w:val="000000"/>
          <w:lang w:val="en-GB"/>
        </w:rPr>
        <w:t>The present study therefore aimed: (</w:t>
      </w:r>
      <w:proofErr w:type="spellStart"/>
      <w:r w:rsidRPr="003828AA">
        <w:rPr>
          <w:color w:val="000000"/>
          <w:lang w:val="en-GB"/>
        </w:rPr>
        <w:t>i</w:t>
      </w:r>
      <w:proofErr w:type="spellEnd"/>
      <w:r w:rsidRPr="003828AA">
        <w:rPr>
          <w:color w:val="000000"/>
          <w:lang w:val="en-GB"/>
        </w:rPr>
        <w:t xml:space="preserve">) to determine the prevalence of co-infection or comorbidity among children hospitalised with confirmed </w:t>
      </w:r>
      <w:r w:rsidRPr="003828AA">
        <w:rPr>
          <w:i/>
          <w:iCs/>
          <w:lang w:val="en-GB"/>
        </w:rPr>
        <w:t>P. falciparum</w:t>
      </w:r>
      <w:r w:rsidRPr="003828AA">
        <w:rPr>
          <w:color w:val="000000"/>
          <w:lang w:val="en-GB"/>
        </w:rPr>
        <w:t xml:space="preserve"> malaria at the Centre Hospitalier Universitaire de Brazzaville (CHU-Brazzaville); (ii) to describe and compare the sociodemographic, clinical, and biological profiles of children with malaria </w:t>
      </w:r>
      <w:proofErr w:type="spellStart"/>
      <w:r w:rsidRPr="003828AA">
        <w:rPr>
          <w:color w:val="000000"/>
          <w:lang w:val="en-GB"/>
        </w:rPr>
        <w:t>monoinfection</w:t>
      </w:r>
      <w:proofErr w:type="spellEnd"/>
      <w:r w:rsidRPr="003828AA">
        <w:rPr>
          <w:color w:val="000000"/>
          <w:lang w:val="en-GB"/>
        </w:rPr>
        <w:t xml:space="preserve"> and those with co-infection; and (iii) to identify sociodemographic factors independently associated with co-infection using multivariable logistic regression.</w:t>
      </w:r>
    </w:p>
    <w:p w14:paraId="72B98992" w14:textId="77777777" w:rsidR="00EE5FDB" w:rsidRPr="003828AA" w:rsidRDefault="00EE5FDB">
      <w:pPr>
        <w:spacing w:before="40" w:after="40"/>
        <w:rPr>
          <w:lang w:val="en-GB"/>
        </w:rPr>
      </w:pPr>
    </w:p>
    <w:p w14:paraId="72B98993" w14:textId="77777777" w:rsidR="00EE5FDB" w:rsidRPr="003828AA" w:rsidRDefault="00435B84">
      <w:pPr>
        <w:spacing w:before="200" w:after="80" w:line="480" w:lineRule="auto"/>
        <w:rPr>
          <w:lang w:val="en-GB"/>
        </w:rPr>
      </w:pPr>
      <w:r w:rsidRPr="003828AA">
        <w:rPr>
          <w:b/>
          <w:bCs/>
          <w:caps/>
          <w:color w:val="1F3864"/>
          <w:lang w:val="en-GB"/>
        </w:rPr>
        <w:t>2. Methods</w:t>
      </w:r>
    </w:p>
    <w:p w14:paraId="72B98994" w14:textId="77777777" w:rsidR="00EE5FDB" w:rsidRPr="003828AA" w:rsidRDefault="00435B84">
      <w:pPr>
        <w:spacing w:before="160" w:after="60" w:line="480" w:lineRule="auto"/>
        <w:rPr>
          <w:lang w:val="en-GB"/>
        </w:rPr>
      </w:pPr>
      <w:r w:rsidRPr="003828AA">
        <w:rPr>
          <w:b/>
          <w:bCs/>
          <w:i/>
          <w:iCs/>
          <w:lang w:val="en-GB"/>
        </w:rPr>
        <w:lastRenderedPageBreak/>
        <w:t>2.1 Study design and setting</w:t>
      </w:r>
    </w:p>
    <w:p w14:paraId="72B98995" w14:textId="77777777" w:rsidR="00EE5FDB" w:rsidRPr="003828AA" w:rsidRDefault="00435B84">
      <w:pPr>
        <w:spacing w:line="480" w:lineRule="auto"/>
        <w:ind w:firstLine="720"/>
        <w:jc w:val="both"/>
        <w:rPr>
          <w:lang w:val="en-GB"/>
        </w:rPr>
      </w:pPr>
      <w:r w:rsidRPr="003828AA">
        <w:rPr>
          <w:color w:val="000000"/>
          <w:lang w:val="en-GB"/>
        </w:rPr>
        <w:t xml:space="preserve">We conducted a </w:t>
      </w:r>
      <w:r w:rsidRPr="003828AA">
        <w:rPr>
          <w:color w:val="000000"/>
          <w:highlight w:val="yellow"/>
          <w:lang w:val="en-GB"/>
        </w:rPr>
        <w:t>retrospective hospital-based observational study</w:t>
      </w:r>
      <w:r w:rsidRPr="003828AA">
        <w:rPr>
          <w:color w:val="000000"/>
          <w:lang w:val="en-GB"/>
        </w:rPr>
        <w:t xml:space="preserve"> of children hospitalised with confirmed </w:t>
      </w:r>
      <w:r w:rsidRPr="003828AA">
        <w:rPr>
          <w:i/>
          <w:iCs/>
          <w:lang w:val="en-GB"/>
        </w:rPr>
        <w:t>Plasmodium falciparum</w:t>
      </w:r>
      <w:r w:rsidRPr="003828AA">
        <w:rPr>
          <w:color w:val="000000"/>
          <w:lang w:val="en-GB"/>
        </w:rPr>
        <w:t xml:space="preserve"> malaria at CHU-Brazzaville, Republic of Congo. CHU-Brazzaville is the country's principal tertiary referral hospital, serving the city of Brazzaville (population &gt;2 million). The study was conducted from January to December 2023.</w:t>
      </w:r>
    </w:p>
    <w:p w14:paraId="72B98996" w14:textId="77777777" w:rsidR="00EE5FDB" w:rsidRPr="003828AA" w:rsidRDefault="00EE5FDB">
      <w:pPr>
        <w:spacing w:before="40" w:after="40"/>
        <w:rPr>
          <w:lang w:val="en-GB"/>
        </w:rPr>
      </w:pPr>
    </w:p>
    <w:p w14:paraId="72B98997" w14:textId="77777777" w:rsidR="00EE5FDB" w:rsidRPr="003828AA" w:rsidRDefault="00435B84">
      <w:pPr>
        <w:spacing w:before="160" w:after="60" w:line="480" w:lineRule="auto"/>
        <w:rPr>
          <w:lang w:val="en-GB"/>
        </w:rPr>
      </w:pPr>
      <w:r w:rsidRPr="003828AA">
        <w:rPr>
          <w:b/>
          <w:bCs/>
          <w:i/>
          <w:iCs/>
          <w:lang w:val="en-GB"/>
        </w:rPr>
        <w:t>2.2 Study participants</w:t>
      </w:r>
    </w:p>
    <w:p w14:paraId="72B98998" w14:textId="1A51A816" w:rsidR="00EE5FDB" w:rsidRPr="003828AA" w:rsidRDefault="00435B84">
      <w:pPr>
        <w:spacing w:line="480" w:lineRule="auto"/>
        <w:ind w:firstLine="720"/>
        <w:jc w:val="both"/>
        <w:rPr>
          <w:lang w:val="en-GB"/>
        </w:rPr>
      </w:pPr>
      <w:r w:rsidRPr="003828AA">
        <w:rPr>
          <w:color w:val="000000"/>
          <w:lang w:val="en-GB"/>
        </w:rPr>
        <w:t>All children aged 0</w:t>
      </w:r>
      <w:r w:rsidR="00433F1A">
        <w:rPr>
          <w:color w:val="000000"/>
          <w:lang w:val="en-GB"/>
        </w:rPr>
        <w:t>-</w:t>
      </w:r>
      <w:r w:rsidRPr="003828AA">
        <w:rPr>
          <w:color w:val="000000"/>
          <w:lang w:val="en-GB"/>
        </w:rPr>
        <w:t>15 years admitted with a primary diagnosis of malaria were screened for inclusion. Eligibility required: (</w:t>
      </w:r>
      <w:proofErr w:type="spellStart"/>
      <w:r w:rsidRPr="003828AA">
        <w:rPr>
          <w:color w:val="000000"/>
          <w:lang w:val="en-GB"/>
        </w:rPr>
        <w:t>i</w:t>
      </w:r>
      <w:proofErr w:type="spellEnd"/>
      <w:r w:rsidRPr="003828AA">
        <w:rPr>
          <w:color w:val="000000"/>
          <w:lang w:val="en-GB"/>
        </w:rPr>
        <w:t xml:space="preserve">) age ≤15 years; (ii) microscopically confirmed </w:t>
      </w:r>
      <w:r w:rsidRPr="003828AA">
        <w:rPr>
          <w:i/>
          <w:iCs/>
          <w:lang w:val="en-GB"/>
        </w:rPr>
        <w:t>P. falciparum</w:t>
      </w:r>
      <w:r w:rsidRPr="003828AA">
        <w:rPr>
          <w:color w:val="000000"/>
          <w:lang w:val="en-GB"/>
        </w:rPr>
        <w:t xml:space="preserve"> </w:t>
      </w:r>
      <w:proofErr w:type="spellStart"/>
      <w:r w:rsidRPr="003828AA">
        <w:rPr>
          <w:color w:val="000000"/>
          <w:lang w:val="en-GB"/>
        </w:rPr>
        <w:t>monoinfection</w:t>
      </w:r>
      <w:proofErr w:type="spellEnd"/>
      <w:r w:rsidRPr="003828AA">
        <w:rPr>
          <w:color w:val="000000"/>
          <w:lang w:val="en-GB"/>
        </w:rPr>
        <w:t xml:space="preserve"> on a thick blood film; and (iii) availability of a minimum dataset including age, sex, and clinical examination findings. Children with incomplete records precluding malaria classification or outcome ascertainment were excluded, as were neonates and children in whom malaria was an incidental finding.</w:t>
      </w:r>
    </w:p>
    <w:p w14:paraId="72B98999" w14:textId="77777777" w:rsidR="00EE5FDB" w:rsidRPr="003828AA" w:rsidRDefault="00EE5FDB">
      <w:pPr>
        <w:spacing w:before="40" w:after="40"/>
        <w:rPr>
          <w:lang w:val="en-GB"/>
        </w:rPr>
      </w:pPr>
    </w:p>
    <w:p w14:paraId="72B9899A" w14:textId="77777777" w:rsidR="00EE5FDB" w:rsidRPr="003828AA" w:rsidRDefault="00435B84">
      <w:pPr>
        <w:spacing w:before="160" w:after="60" w:line="480" w:lineRule="auto"/>
        <w:rPr>
          <w:lang w:val="en-GB"/>
        </w:rPr>
      </w:pPr>
      <w:r w:rsidRPr="003828AA">
        <w:rPr>
          <w:b/>
          <w:bCs/>
          <w:i/>
          <w:iCs/>
          <w:lang w:val="en-GB"/>
        </w:rPr>
        <w:t>2.3 Ethical considerations</w:t>
      </w:r>
    </w:p>
    <w:p w14:paraId="72B9899B" w14:textId="77777777" w:rsidR="00EE5FDB" w:rsidRPr="003828AA" w:rsidRDefault="00435B84">
      <w:pPr>
        <w:spacing w:line="480" w:lineRule="auto"/>
        <w:ind w:firstLine="720"/>
        <w:jc w:val="both"/>
        <w:rPr>
          <w:lang w:val="en-GB"/>
        </w:rPr>
      </w:pPr>
      <w:r w:rsidRPr="003828AA">
        <w:rPr>
          <w:color w:val="000000"/>
          <w:lang w:val="en-GB"/>
        </w:rPr>
        <w:t>The study was authorised by the head of the health centres and conducted according to the Declaration of Helsinki. Individual informed consent was waived for this retrospective anonymised record review. No patient identifiers were retained in the analytic dataset.</w:t>
      </w:r>
    </w:p>
    <w:p w14:paraId="72B9899C" w14:textId="77777777" w:rsidR="00EE5FDB" w:rsidRPr="003828AA" w:rsidRDefault="00EE5FDB">
      <w:pPr>
        <w:spacing w:before="40" w:after="40"/>
        <w:rPr>
          <w:lang w:val="en-GB"/>
        </w:rPr>
      </w:pPr>
    </w:p>
    <w:p w14:paraId="72B9899D" w14:textId="77777777" w:rsidR="00EE5FDB" w:rsidRPr="003828AA" w:rsidRDefault="00435B84">
      <w:pPr>
        <w:spacing w:before="160" w:after="60" w:line="480" w:lineRule="auto"/>
        <w:rPr>
          <w:lang w:val="en-GB"/>
        </w:rPr>
      </w:pPr>
      <w:r w:rsidRPr="003828AA">
        <w:rPr>
          <w:b/>
          <w:bCs/>
          <w:i/>
          <w:iCs/>
          <w:lang w:val="en-GB"/>
        </w:rPr>
        <w:t>2.4 Data collection</w:t>
      </w:r>
    </w:p>
    <w:p w14:paraId="72B9899E" w14:textId="77777777" w:rsidR="00EE5FDB" w:rsidRPr="003828AA" w:rsidRDefault="00435B84">
      <w:pPr>
        <w:spacing w:line="480" w:lineRule="auto"/>
        <w:ind w:firstLine="720"/>
        <w:jc w:val="both"/>
        <w:rPr>
          <w:lang w:val="en-GB"/>
        </w:rPr>
      </w:pPr>
      <w:r w:rsidRPr="003828AA">
        <w:rPr>
          <w:color w:val="000000"/>
          <w:highlight w:val="yellow"/>
          <w:lang w:val="en-GB"/>
        </w:rPr>
        <w:t xml:space="preserve">Variables collected included sociodemographic characteristics, healthcare-seeking behaviour, clinical presentation, laboratory findings, WHO 2015 severity criteria, co-infections and comorbidities, and hospital outcomes. </w:t>
      </w:r>
      <w:r w:rsidRPr="003828AA">
        <w:rPr>
          <w:color w:val="000000"/>
          <w:lang w:val="en-GB"/>
        </w:rPr>
        <w:t xml:space="preserve">Specifically, sociodemographic variables included age, sex, schooling status, residence arrondissement, and mode of referral. Healthcare-seeking variables included insecticide-treated net (ITN) use, pre-hospital self-medication, and consultation delay. </w:t>
      </w:r>
      <w:r w:rsidRPr="003828AA">
        <w:rPr>
          <w:color w:val="000000"/>
          <w:lang w:val="en-GB"/>
        </w:rPr>
        <w:lastRenderedPageBreak/>
        <w:t>Laboratory data included haemoglobin, parasitaemia, white blood cell count, platelet count, blood glucose, and serum creatinine.</w:t>
      </w:r>
    </w:p>
    <w:p w14:paraId="72B9899F" w14:textId="77777777" w:rsidR="00EE5FDB" w:rsidRPr="003828AA" w:rsidRDefault="00EE5FDB">
      <w:pPr>
        <w:spacing w:before="40" w:after="40"/>
        <w:rPr>
          <w:lang w:val="en-GB"/>
        </w:rPr>
      </w:pPr>
    </w:p>
    <w:p w14:paraId="72B989A0" w14:textId="77777777" w:rsidR="00EE5FDB" w:rsidRPr="003828AA" w:rsidRDefault="00435B84">
      <w:pPr>
        <w:spacing w:before="160" w:after="60" w:line="480" w:lineRule="auto"/>
        <w:rPr>
          <w:lang w:val="en-GB"/>
        </w:rPr>
      </w:pPr>
      <w:r w:rsidRPr="003828AA">
        <w:rPr>
          <w:b/>
          <w:bCs/>
          <w:i/>
          <w:iCs/>
          <w:lang w:val="en-GB"/>
        </w:rPr>
        <w:t>2.5 Case definitions</w:t>
      </w:r>
    </w:p>
    <w:p w14:paraId="72B989A1" w14:textId="77777777" w:rsidR="00EE5FDB" w:rsidRPr="003828AA" w:rsidRDefault="00435B84">
      <w:pPr>
        <w:spacing w:line="480" w:lineRule="auto"/>
        <w:ind w:firstLine="720"/>
        <w:jc w:val="both"/>
        <w:rPr>
          <w:lang w:val="en-GB"/>
        </w:rPr>
      </w:pPr>
      <w:r w:rsidRPr="003828AA">
        <w:rPr>
          <w:color w:val="000000"/>
          <w:lang w:val="en-GB"/>
        </w:rPr>
        <w:t>Malaria was classified as severe if the patient met one or more WHO 2015 severity criteria [4]. Children fulfilling none of these criteria were classified as moderate (non-severe hospitalised) malaria.</w:t>
      </w:r>
    </w:p>
    <w:p w14:paraId="72B989A2" w14:textId="77777777" w:rsidR="00EE5FDB" w:rsidRPr="003828AA" w:rsidRDefault="00EE5FDB">
      <w:pPr>
        <w:spacing w:before="40" w:after="40"/>
        <w:rPr>
          <w:lang w:val="en-GB"/>
        </w:rPr>
      </w:pPr>
    </w:p>
    <w:p w14:paraId="72B989A3" w14:textId="77777777" w:rsidR="00EE5FDB" w:rsidRPr="003828AA" w:rsidRDefault="00435B84">
      <w:pPr>
        <w:spacing w:line="480" w:lineRule="auto"/>
        <w:ind w:firstLine="720"/>
        <w:jc w:val="both"/>
        <w:rPr>
          <w:lang w:val="en-GB"/>
        </w:rPr>
      </w:pPr>
      <w:r w:rsidRPr="003828AA">
        <w:rPr>
          <w:color w:val="000000"/>
          <w:lang w:val="en-GB"/>
        </w:rPr>
        <w:t xml:space="preserve">Co-infection or comorbidity was defined as the presence of at least one condition documented at admission, comprising </w:t>
      </w:r>
      <w:r w:rsidRPr="003828AA">
        <w:rPr>
          <w:color w:val="000000"/>
          <w:highlight w:val="yellow"/>
          <w:lang w:val="en-GB"/>
        </w:rPr>
        <w:t xml:space="preserve">(a) an acute co-infection: </w:t>
      </w:r>
      <w:r w:rsidRPr="003828AA">
        <w:rPr>
          <w:color w:val="000000"/>
          <w:lang w:val="en-GB"/>
        </w:rPr>
        <w:t xml:space="preserve">rhinopharyngitis, bronchopneumonia, meningitis, sepsis, or other clinician-diagnosed acute infection; or </w:t>
      </w:r>
      <w:r w:rsidRPr="003828AA">
        <w:rPr>
          <w:color w:val="000000"/>
          <w:highlight w:val="yellow"/>
          <w:lang w:val="en-GB"/>
        </w:rPr>
        <w:t xml:space="preserve">(b) an underlying comorbidity: </w:t>
      </w:r>
      <w:r w:rsidRPr="003828AA">
        <w:rPr>
          <w:color w:val="000000"/>
          <w:lang w:val="en-GB"/>
        </w:rPr>
        <w:t xml:space="preserve">HIV infection, sickle cell disease, epilepsy, or other specified chronic condition. Children with neither category were classified as malaria </w:t>
      </w:r>
      <w:proofErr w:type="spellStart"/>
      <w:r w:rsidRPr="003828AA">
        <w:rPr>
          <w:color w:val="000000"/>
          <w:lang w:val="en-GB"/>
        </w:rPr>
        <w:t>monoinfection</w:t>
      </w:r>
      <w:proofErr w:type="spellEnd"/>
      <w:r w:rsidRPr="003828AA">
        <w:rPr>
          <w:color w:val="000000"/>
          <w:lang w:val="en-GB"/>
        </w:rPr>
        <w:t xml:space="preserve">. </w:t>
      </w:r>
      <w:r w:rsidRPr="003828AA">
        <w:rPr>
          <w:color w:val="000000"/>
          <w:highlight w:val="yellow"/>
          <w:lang w:val="en-GB"/>
        </w:rPr>
        <w:t>Most co-infections were clinically diagnosed without systematic microbiological confirmation; this limitation is discussed below.</w:t>
      </w:r>
    </w:p>
    <w:p w14:paraId="72B989A4" w14:textId="77777777" w:rsidR="00EE5FDB" w:rsidRPr="003828AA" w:rsidRDefault="00EE5FDB">
      <w:pPr>
        <w:spacing w:before="40" w:after="40"/>
        <w:rPr>
          <w:lang w:val="en-GB"/>
        </w:rPr>
      </w:pPr>
    </w:p>
    <w:p w14:paraId="72B989A5" w14:textId="77777777" w:rsidR="00EE5FDB" w:rsidRPr="003828AA" w:rsidRDefault="00435B84">
      <w:pPr>
        <w:spacing w:line="480" w:lineRule="auto"/>
        <w:ind w:firstLine="720"/>
        <w:jc w:val="both"/>
        <w:rPr>
          <w:lang w:val="en-GB"/>
        </w:rPr>
      </w:pPr>
      <w:r w:rsidRPr="003828AA">
        <w:rPr>
          <w:color w:val="000000"/>
          <w:lang w:val="en-GB"/>
        </w:rPr>
        <w:t>An unfavourable clinical outcome was defined as in-hospital death or length of stay greater than seven days.</w:t>
      </w:r>
    </w:p>
    <w:p w14:paraId="72B989A6" w14:textId="77777777" w:rsidR="00EE5FDB" w:rsidRPr="003828AA" w:rsidRDefault="00EE5FDB">
      <w:pPr>
        <w:spacing w:before="40" w:after="40"/>
        <w:rPr>
          <w:lang w:val="en-GB"/>
        </w:rPr>
      </w:pPr>
    </w:p>
    <w:p w14:paraId="72B989A7" w14:textId="77777777" w:rsidR="00EE5FDB" w:rsidRPr="003828AA" w:rsidRDefault="00435B84">
      <w:pPr>
        <w:spacing w:before="160" w:after="60" w:line="480" w:lineRule="auto"/>
        <w:rPr>
          <w:lang w:val="en-GB"/>
        </w:rPr>
      </w:pPr>
      <w:r w:rsidRPr="003828AA">
        <w:rPr>
          <w:b/>
          <w:bCs/>
          <w:i/>
          <w:iCs/>
          <w:lang w:val="en-GB"/>
        </w:rPr>
        <w:t>2.6 Statistical analysis</w:t>
      </w:r>
    </w:p>
    <w:p w14:paraId="72B989A8" w14:textId="4F19A466" w:rsidR="00EE5FDB" w:rsidRPr="003828AA" w:rsidRDefault="00435B84">
      <w:pPr>
        <w:spacing w:line="480" w:lineRule="auto"/>
        <w:ind w:firstLine="720"/>
        <w:jc w:val="both"/>
        <w:rPr>
          <w:lang w:val="en-GB"/>
        </w:rPr>
      </w:pPr>
      <w:r w:rsidRPr="003828AA">
        <w:rPr>
          <w:color w:val="000000"/>
          <w:lang w:val="en-GB"/>
        </w:rPr>
        <w:t xml:space="preserve">Analyses were performed using Python (version 3.11; </w:t>
      </w:r>
      <w:r w:rsidRPr="003828AA">
        <w:rPr>
          <w:i/>
          <w:iCs/>
          <w:lang w:val="en-GB"/>
        </w:rPr>
        <w:t>pandas</w:t>
      </w:r>
      <w:r w:rsidRPr="003828AA">
        <w:rPr>
          <w:color w:val="000000"/>
          <w:lang w:val="en-GB"/>
        </w:rPr>
        <w:t xml:space="preserve">, </w:t>
      </w:r>
      <w:proofErr w:type="spellStart"/>
      <w:proofErr w:type="gramStart"/>
      <w:r w:rsidRPr="003828AA">
        <w:rPr>
          <w:i/>
          <w:iCs/>
          <w:lang w:val="en-GB"/>
        </w:rPr>
        <w:t>scipy.stats</w:t>
      </w:r>
      <w:proofErr w:type="spellEnd"/>
      <w:proofErr w:type="gramEnd"/>
      <w:r w:rsidRPr="003828AA">
        <w:rPr>
          <w:color w:val="000000"/>
          <w:lang w:val="en-GB"/>
        </w:rPr>
        <w:t xml:space="preserve">, </w:t>
      </w:r>
      <w:proofErr w:type="spellStart"/>
      <w:r w:rsidRPr="003828AA">
        <w:rPr>
          <w:i/>
          <w:iCs/>
          <w:lang w:val="en-GB"/>
        </w:rPr>
        <w:t>statsmodels</w:t>
      </w:r>
      <w:proofErr w:type="spellEnd"/>
      <w:r w:rsidRPr="003828AA">
        <w:rPr>
          <w:color w:val="000000"/>
          <w:lang w:val="en-GB"/>
        </w:rPr>
        <w:t xml:space="preserve"> libraries). Continuous variables are reported as median [IQR] and compared by Mann</w:t>
      </w:r>
      <w:r w:rsidR="00433F1A">
        <w:rPr>
          <w:color w:val="000000"/>
          <w:lang w:val="en-GB"/>
        </w:rPr>
        <w:t>-</w:t>
      </w:r>
      <w:r w:rsidRPr="003828AA">
        <w:rPr>
          <w:color w:val="000000"/>
          <w:lang w:val="en-GB"/>
        </w:rPr>
        <w:t xml:space="preserve">Whitney U test; categorical variables as frequency (%) and compared by chi-squared or Fisher's exact test. </w:t>
      </w:r>
      <w:r w:rsidRPr="003828AA">
        <w:rPr>
          <w:color w:val="000000"/>
          <w:highlight w:val="yellow"/>
          <w:lang w:val="en-GB"/>
        </w:rPr>
        <w:t>Univariable logistic regression</w:t>
      </w:r>
      <w:r w:rsidRPr="003828AA">
        <w:rPr>
          <w:color w:val="000000"/>
          <w:lang w:val="en-GB"/>
        </w:rPr>
        <w:t xml:space="preserve"> identified candidate sociodemographic predictors of co-infection (</w:t>
      </w:r>
      <w:r w:rsidR="00F70D28" w:rsidRPr="00F70D28">
        <w:rPr>
          <w:i/>
          <w:iCs/>
          <w:color w:val="000000"/>
          <w:lang w:val="en-GB"/>
        </w:rPr>
        <w:t xml:space="preserve">p&lt; </w:t>
      </w:r>
      <w:r w:rsidRPr="003828AA">
        <w:rPr>
          <w:color w:val="000000"/>
          <w:lang w:val="en-GB"/>
        </w:rPr>
        <w:t xml:space="preserve">0.20), which were entered into a </w:t>
      </w:r>
      <w:r w:rsidRPr="003828AA">
        <w:rPr>
          <w:color w:val="000000"/>
          <w:highlight w:val="yellow"/>
          <w:lang w:val="en-GB"/>
        </w:rPr>
        <w:t>multivariable model with complete case analysis (N</w:t>
      </w:r>
      <w:r w:rsidR="002C5BBA" w:rsidRPr="002C5BBA">
        <w:rPr>
          <w:i/>
          <w:iCs/>
          <w:color w:val="000000"/>
          <w:highlight w:val="yellow"/>
          <w:lang w:val="en-GB"/>
        </w:rPr>
        <w:t>=</w:t>
      </w:r>
      <w:r w:rsidRPr="003828AA">
        <w:rPr>
          <w:color w:val="000000"/>
          <w:highlight w:val="yellow"/>
          <w:lang w:val="en-GB"/>
        </w:rPr>
        <w:t>441)</w:t>
      </w:r>
      <w:r w:rsidRPr="003828AA">
        <w:rPr>
          <w:color w:val="000000"/>
          <w:lang w:val="en-GB"/>
        </w:rPr>
        <w:t>. Missing data for consultation delay (28.1%) were addressed in a sensitivity analysis with delay as a continuous variable (N</w:t>
      </w:r>
      <w:r w:rsidR="002C5BBA" w:rsidRPr="002C5BBA">
        <w:rPr>
          <w:i/>
          <w:iCs/>
          <w:color w:val="000000"/>
          <w:lang w:val="en-GB"/>
        </w:rPr>
        <w:t>=</w:t>
      </w:r>
      <w:r w:rsidRPr="003828AA">
        <w:rPr>
          <w:color w:val="000000"/>
          <w:lang w:val="en-GB"/>
        </w:rPr>
        <w:t>317). A p-value &lt;0.05 was considered statistically significant.</w:t>
      </w:r>
    </w:p>
    <w:p w14:paraId="72B989A9" w14:textId="77777777" w:rsidR="00EE5FDB" w:rsidRPr="003828AA" w:rsidRDefault="00EE5FDB">
      <w:pPr>
        <w:spacing w:before="40" w:after="40"/>
        <w:rPr>
          <w:lang w:val="en-GB"/>
        </w:rPr>
      </w:pPr>
    </w:p>
    <w:p w14:paraId="72B989AA" w14:textId="77777777" w:rsidR="00EE5FDB" w:rsidRPr="003828AA" w:rsidRDefault="00435B84">
      <w:pPr>
        <w:spacing w:before="200" w:after="80" w:line="480" w:lineRule="auto"/>
        <w:rPr>
          <w:lang w:val="en-GB"/>
        </w:rPr>
      </w:pPr>
      <w:r w:rsidRPr="003828AA">
        <w:rPr>
          <w:b/>
          <w:bCs/>
          <w:caps/>
          <w:color w:val="1F3864"/>
          <w:lang w:val="en-GB"/>
        </w:rPr>
        <w:t>3. Results</w:t>
      </w:r>
    </w:p>
    <w:p w14:paraId="72B989AB" w14:textId="77777777" w:rsidR="00EE5FDB" w:rsidRPr="003828AA" w:rsidRDefault="00435B84">
      <w:pPr>
        <w:spacing w:before="160" w:after="60" w:line="480" w:lineRule="auto"/>
        <w:rPr>
          <w:lang w:val="en-GB"/>
        </w:rPr>
      </w:pPr>
      <w:r w:rsidRPr="003828AA">
        <w:rPr>
          <w:b/>
          <w:bCs/>
          <w:i/>
          <w:iCs/>
          <w:lang w:val="en-GB"/>
        </w:rPr>
        <w:t>3.1 Study population and general characteristics</w:t>
      </w:r>
    </w:p>
    <w:p w14:paraId="72B989AC" w14:textId="21ED7CDB" w:rsidR="00EE5FDB" w:rsidRPr="003828AA" w:rsidRDefault="00435B84">
      <w:pPr>
        <w:spacing w:line="480" w:lineRule="auto"/>
        <w:ind w:firstLine="720"/>
        <w:jc w:val="both"/>
        <w:rPr>
          <w:lang w:val="en-GB"/>
        </w:rPr>
      </w:pPr>
      <w:r w:rsidRPr="003828AA">
        <w:rPr>
          <w:color w:val="000000"/>
          <w:lang w:val="en-GB"/>
        </w:rPr>
        <w:t>A total of 441 children were enrolled. The median age was 48 months [IQR 15</w:t>
      </w:r>
      <w:r w:rsidR="00433F1A">
        <w:rPr>
          <w:color w:val="000000"/>
          <w:lang w:val="en-GB"/>
        </w:rPr>
        <w:t>-</w:t>
      </w:r>
      <w:r w:rsidRPr="003828AA">
        <w:rPr>
          <w:color w:val="000000"/>
          <w:lang w:val="en-GB"/>
        </w:rPr>
        <w:t xml:space="preserve">96], with children under five years accounting for 54.4% of participants (Table 1). Male sex predominated (55.8%). </w:t>
      </w:r>
      <w:r w:rsidRPr="003828AA">
        <w:rPr>
          <w:color w:val="000000"/>
          <w:highlight w:val="yellow"/>
          <w:lang w:val="en-GB"/>
        </w:rPr>
        <w:t>Approximately one-third of admissions originated from the 2nd and 8th arrondissements (</w:t>
      </w:r>
      <w:proofErr w:type="spellStart"/>
      <w:r w:rsidRPr="003828AA">
        <w:rPr>
          <w:color w:val="000000"/>
          <w:highlight w:val="yellow"/>
          <w:lang w:val="en-GB"/>
        </w:rPr>
        <w:t>Bacongo</w:t>
      </w:r>
      <w:proofErr w:type="spellEnd"/>
      <w:r w:rsidRPr="003828AA">
        <w:rPr>
          <w:color w:val="000000"/>
          <w:highlight w:val="yellow"/>
          <w:lang w:val="en-GB"/>
        </w:rPr>
        <w:t xml:space="preserve"> and </w:t>
      </w:r>
      <w:proofErr w:type="spellStart"/>
      <w:r w:rsidRPr="003828AA">
        <w:rPr>
          <w:color w:val="000000"/>
          <w:highlight w:val="yellow"/>
          <w:lang w:val="en-GB"/>
        </w:rPr>
        <w:t>Madibou</w:t>
      </w:r>
      <w:proofErr w:type="spellEnd"/>
      <w:r w:rsidRPr="003828AA">
        <w:rPr>
          <w:color w:val="000000"/>
          <w:highlight w:val="yellow"/>
          <w:lang w:val="en-GB"/>
        </w:rPr>
        <w:t>), while the three central arrondissements</w:t>
      </w:r>
      <w:r w:rsidR="0027120D" w:rsidRPr="0027120D">
        <w:rPr>
          <w:color w:val="000000"/>
          <w:highlight w:val="yellow"/>
          <w:lang w:val="en-GB"/>
        </w:rPr>
        <w:t xml:space="preserve">, </w:t>
      </w:r>
      <w:r w:rsidRPr="003828AA">
        <w:rPr>
          <w:color w:val="000000"/>
          <w:highlight w:val="yellow"/>
          <w:lang w:val="en-GB"/>
        </w:rPr>
        <w:t>3rd (</w:t>
      </w:r>
      <w:proofErr w:type="spellStart"/>
      <w:r w:rsidRPr="003828AA">
        <w:rPr>
          <w:color w:val="000000"/>
          <w:highlight w:val="yellow"/>
          <w:lang w:val="en-GB"/>
        </w:rPr>
        <w:t>Poto-Poto</w:t>
      </w:r>
      <w:proofErr w:type="spellEnd"/>
      <w:r w:rsidRPr="003828AA">
        <w:rPr>
          <w:color w:val="000000"/>
          <w:highlight w:val="yellow"/>
          <w:lang w:val="en-GB"/>
        </w:rPr>
        <w:t>), 5th (</w:t>
      </w:r>
      <w:proofErr w:type="spellStart"/>
      <w:r w:rsidRPr="003828AA">
        <w:rPr>
          <w:color w:val="000000"/>
          <w:highlight w:val="yellow"/>
          <w:lang w:val="en-GB"/>
        </w:rPr>
        <w:t>Ouenzé</w:t>
      </w:r>
      <w:proofErr w:type="spellEnd"/>
      <w:r w:rsidRPr="003828AA">
        <w:rPr>
          <w:color w:val="000000"/>
          <w:highlight w:val="yellow"/>
          <w:lang w:val="en-GB"/>
        </w:rPr>
        <w:t>), and 6th (</w:t>
      </w:r>
      <w:proofErr w:type="spellStart"/>
      <w:r w:rsidRPr="003828AA">
        <w:rPr>
          <w:color w:val="000000"/>
          <w:highlight w:val="yellow"/>
          <w:lang w:val="en-GB"/>
        </w:rPr>
        <w:t>Talangaï</w:t>
      </w:r>
      <w:proofErr w:type="spellEnd"/>
      <w:r w:rsidRPr="003828AA">
        <w:rPr>
          <w:color w:val="000000"/>
          <w:highlight w:val="yellow"/>
          <w:lang w:val="en-GB"/>
        </w:rPr>
        <w:t>)</w:t>
      </w:r>
      <w:r w:rsidR="0027120D" w:rsidRPr="0027120D">
        <w:rPr>
          <w:color w:val="000000"/>
          <w:highlight w:val="yellow"/>
          <w:lang w:val="en-GB"/>
        </w:rPr>
        <w:t xml:space="preserve">, </w:t>
      </w:r>
      <w:r w:rsidRPr="003828AA">
        <w:rPr>
          <w:color w:val="000000"/>
          <w:highlight w:val="yellow"/>
          <w:lang w:val="en-GB"/>
        </w:rPr>
        <w:t>collectively accounted for 27.8% of admissions.</w:t>
      </w:r>
    </w:p>
    <w:p w14:paraId="72B989AD" w14:textId="77777777" w:rsidR="00EE5FDB" w:rsidRPr="003828AA" w:rsidRDefault="00EE5FDB">
      <w:pPr>
        <w:spacing w:before="40" w:after="40"/>
        <w:rPr>
          <w:lang w:val="en-GB"/>
        </w:rPr>
      </w:pPr>
    </w:p>
    <w:p w14:paraId="72B989AE" w14:textId="42DB651E" w:rsidR="00EE5FDB" w:rsidRPr="003828AA" w:rsidRDefault="00435B84">
      <w:pPr>
        <w:spacing w:line="480" w:lineRule="auto"/>
        <w:ind w:firstLine="720"/>
        <w:jc w:val="both"/>
        <w:rPr>
          <w:lang w:val="en-GB"/>
        </w:rPr>
      </w:pPr>
      <w:r w:rsidRPr="003828AA">
        <w:rPr>
          <w:color w:val="000000"/>
          <w:lang w:val="en-GB"/>
        </w:rPr>
        <w:t>Insecticide-treated nets were used by 37.2% of children. Pre-hospital self-medication was reported in 27.4%. Consultation delay data were available for 317 participants (71.9%); the median delay was 3 days [IQR 2</w:t>
      </w:r>
      <w:r w:rsidR="00433F1A">
        <w:rPr>
          <w:color w:val="000000"/>
          <w:lang w:val="en-GB"/>
        </w:rPr>
        <w:t>-</w:t>
      </w:r>
      <w:r w:rsidRPr="003828AA">
        <w:rPr>
          <w:color w:val="000000"/>
          <w:lang w:val="en-GB"/>
        </w:rPr>
        <w:t>5], with 59.3% presenting more than 48 hours after symptom onset.</w:t>
      </w:r>
    </w:p>
    <w:p w14:paraId="72B989AF" w14:textId="77777777" w:rsidR="00EE5FDB" w:rsidRPr="003828AA" w:rsidRDefault="00EE5FDB">
      <w:pPr>
        <w:spacing w:before="40" w:after="40"/>
        <w:rPr>
          <w:lang w:val="en-GB"/>
        </w:rPr>
      </w:pPr>
    </w:p>
    <w:p w14:paraId="72B989B0" w14:textId="3D59327C" w:rsidR="00EE5FDB" w:rsidRPr="003828AA" w:rsidRDefault="00435B84">
      <w:pPr>
        <w:spacing w:line="480" w:lineRule="auto"/>
        <w:ind w:firstLine="720"/>
        <w:jc w:val="both"/>
        <w:rPr>
          <w:lang w:val="en-GB"/>
        </w:rPr>
      </w:pPr>
      <w:r w:rsidRPr="003828AA">
        <w:rPr>
          <w:color w:val="000000"/>
          <w:lang w:val="en-GB"/>
        </w:rPr>
        <w:t>At admission, fever was the most frequent symptom (56.0%), followed by seizures (22.0%) and vomiting (19.5%). Median haemoglobin was 8.9 g/dL [IQR 6.0</w:t>
      </w:r>
      <w:r w:rsidR="00433F1A">
        <w:rPr>
          <w:color w:val="000000"/>
          <w:lang w:val="en-GB"/>
        </w:rPr>
        <w:t>-</w:t>
      </w:r>
      <w:r w:rsidRPr="003828AA">
        <w:rPr>
          <w:color w:val="000000"/>
          <w:lang w:val="en-GB"/>
        </w:rPr>
        <w:t>11.0] and median parasitaemia was 7,200 parasites/µL [IQR 2,600</w:t>
      </w:r>
      <w:r w:rsidR="00433F1A">
        <w:rPr>
          <w:color w:val="000000"/>
          <w:lang w:val="en-GB"/>
        </w:rPr>
        <w:t>-</w:t>
      </w:r>
      <w:r w:rsidRPr="003828AA">
        <w:rPr>
          <w:color w:val="000000"/>
          <w:lang w:val="en-GB"/>
        </w:rPr>
        <w:t>18,200]. According to WHO 2015 criteria, 161 children (36.5%) had severe malaria and 262 (59.4%) had moderate (non-severe) malaria. Eighteen children initially classified as severe malaria were reclassified as moderate following record review and included in the moderate group for all analyses.</w:t>
      </w:r>
    </w:p>
    <w:p w14:paraId="72B989B1" w14:textId="77777777" w:rsidR="00EE5FDB" w:rsidRPr="003828AA" w:rsidRDefault="00EE5FDB">
      <w:pPr>
        <w:spacing w:before="40" w:after="40"/>
        <w:rPr>
          <w:lang w:val="en-GB"/>
        </w:rPr>
      </w:pPr>
    </w:p>
    <w:p w14:paraId="72B989B2" w14:textId="58819686" w:rsidR="00EE5FDB" w:rsidRPr="003828AA" w:rsidRDefault="00435B84">
      <w:pPr>
        <w:spacing w:before="80" w:after="40" w:line="360" w:lineRule="auto"/>
        <w:rPr>
          <w:lang w:val="en-GB"/>
        </w:rPr>
      </w:pPr>
      <w:r w:rsidRPr="003828AA">
        <w:rPr>
          <w:b/>
          <w:bCs/>
          <w:color w:val="000000"/>
          <w:lang w:val="en-GB"/>
        </w:rPr>
        <w:t>Table 1. General characteristics of the study cohort (N</w:t>
      </w:r>
      <w:r w:rsidR="002C5BBA" w:rsidRPr="002C5BBA">
        <w:rPr>
          <w:b/>
          <w:bCs/>
          <w:i/>
          <w:iCs/>
          <w:color w:val="000000"/>
          <w:lang w:val="en-GB"/>
        </w:rPr>
        <w:t>=</w:t>
      </w:r>
      <w:r w:rsidRPr="003828AA">
        <w:rPr>
          <w:b/>
          <w:bCs/>
          <w:color w:val="000000"/>
          <w:lang w:val="en-GB"/>
        </w:rPr>
        <w:t>441)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EE5FDB" w14:paraId="72B989B5" w14:textId="77777777">
        <w:tc>
          <w:tcPr>
            <w:tcW w:w="45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9B3" w14:textId="77777777" w:rsidR="00EE5FDB" w:rsidRDefault="00435B84">
            <w:pPr>
              <w:jc w:val="center"/>
            </w:pPr>
            <w:r>
              <w:rPr>
                <w:b/>
                <w:bCs/>
                <w:color w:val="FFFFFF"/>
                <w:sz w:val="20"/>
                <w:szCs w:val="20"/>
              </w:rPr>
              <w:t>Variable</w:t>
            </w:r>
          </w:p>
        </w:tc>
        <w:tc>
          <w:tcPr>
            <w:tcW w:w="486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9B4" w14:textId="6E9A0875" w:rsidR="00EE5FDB" w:rsidRDefault="00435B84">
            <w:pPr>
              <w:jc w:val="center"/>
            </w:pPr>
            <w:r>
              <w:rPr>
                <w:b/>
                <w:bCs/>
                <w:color w:val="FFFFFF"/>
                <w:sz w:val="20"/>
                <w:szCs w:val="20"/>
              </w:rPr>
              <w:t>Total (N</w:t>
            </w:r>
            <w:r w:rsidR="002C5BBA" w:rsidRPr="002C5BBA">
              <w:rPr>
                <w:b/>
                <w:bCs/>
                <w:i/>
                <w:iCs/>
                <w:color w:val="FFFFFF"/>
                <w:sz w:val="20"/>
                <w:szCs w:val="20"/>
              </w:rPr>
              <w:t>=</w:t>
            </w:r>
            <w:r>
              <w:rPr>
                <w:b/>
                <w:bCs/>
                <w:color w:val="FFFFFF"/>
                <w:sz w:val="20"/>
                <w:szCs w:val="20"/>
              </w:rPr>
              <w:t>441)</w:t>
            </w:r>
          </w:p>
        </w:tc>
      </w:tr>
      <w:tr w:rsidR="00EE5FDB" w14:paraId="72B989B7"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9B6" w14:textId="77777777" w:rsidR="00EE5FDB" w:rsidRDefault="00435B84">
            <w:r>
              <w:rPr>
                <w:b/>
                <w:bCs/>
                <w:sz w:val="20"/>
                <w:szCs w:val="20"/>
              </w:rPr>
              <w:t>Sociodemographic characteristics</w:t>
            </w:r>
          </w:p>
        </w:tc>
      </w:tr>
      <w:tr w:rsidR="00EE5FDB" w14:paraId="72B989BA"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B8" w14:textId="77777777" w:rsidR="00EE5FDB" w:rsidRDefault="00435B84">
            <w:r>
              <w:rPr>
                <w:sz w:val="20"/>
                <w:szCs w:val="20"/>
              </w:rPr>
              <w:t>Age, median months [IQR]</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B9" w14:textId="72F70D19" w:rsidR="00EE5FDB" w:rsidRDefault="00435B84">
            <w:pPr>
              <w:jc w:val="center"/>
            </w:pPr>
            <w:r>
              <w:rPr>
                <w:sz w:val="20"/>
                <w:szCs w:val="20"/>
              </w:rPr>
              <w:t>48 [15</w:t>
            </w:r>
            <w:r w:rsidR="00433F1A">
              <w:rPr>
                <w:sz w:val="20"/>
                <w:szCs w:val="20"/>
              </w:rPr>
              <w:t>-</w:t>
            </w:r>
            <w:r>
              <w:rPr>
                <w:sz w:val="20"/>
                <w:szCs w:val="20"/>
              </w:rPr>
              <w:t>96]</w:t>
            </w:r>
          </w:p>
        </w:tc>
      </w:tr>
      <w:tr w:rsidR="00EE5FDB" w14:paraId="72B989BD"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BB" w14:textId="77777777" w:rsidR="00EE5FDB" w:rsidRDefault="00435B84">
            <w:r>
              <w:rPr>
                <w:sz w:val="20"/>
                <w:szCs w:val="20"/>
              </w:rPr>
              <w:t>Age &lt; 5 years,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BC" w14:textId="77777777" w:rsidR="00EE5FDB" w:rsidRDefault="00435B84">
            <w:pPr>
              <w:jc w:val="center"/>
            </w:pPr>
            <w:r>
              <w:rPr>
                <w:sz w:val="20"/>
                <w:szCs w:val="20"/>
              </w:rPr>
              <w:t>240 (54.4%)</w:t>
            </w:r>
          </w:p>
        </w:tc>
      </w:tr>
      <w:tr w:rsidR="00EE5FDB" w14:paraId="72B989C0"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BE" w14:textId="48D711BB" w:rsidR="00EE5FDB" w:rsidRDefault="00435B84">
            <w:r>
              <w:rPr>
                <w:sz w:val="20"/>
                <w:szCs w:val="20"/>
              </w:rPr>
              <w:t>Age 5</w:t>
            </w:r>
            <w:r w:rsidR="00433F1A">
              <w:rPr>
                <w:sz w:val="20"/>
                <w:szCs w:val="20"/>
              </w:rPr>
              <w:t>-</w:t>
            </w:r>
            <w:r>
              <w:rPr>
                <w:sz w:val="20"/>
                <w:szCs w:val="20"/>
              </w:rPr>
              <w:t>9 years,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BF" w14:textId="77777777" w:rsidR="00EE5FDB" w:rsidRDefault="00435B84">
            <w:pPr>
              <w:jc w:val="center"/>
            </w:pPr>
            <w:r>
              <w:rPr>
                <w:sz w:val="20"/>
                <w:szCs w:val="20"/>
              </w:rPr>
              <w:t>102 (23.1%)</w:t>
            </w:r>
          </w:p>
        </w:tc>
      </w:tr>
      <w:tr w:rsidR="00EE5FDB" w14:paraId="72B989C3"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C1" w14:textId="31FCB44D" w:rsidR="00EE5FDB" w:rsidRDefault="00435B84">
            <w:r>
              <w:rPr>
                <w:sz w:val="20"/>
                <w:szCs w:val="20"/>
              </w:rPr>
              <w:t>Age 10</w:t>
            </w:r>
            <w:r w:rsidR="00433F1A">
              <w:rPr>
                <w:sz w:val="20"/>
                <w:szCs w:val="20"/>
              </w:rPr>
              <w:t>-</w:t>
            </w:r>
            <w:r>
              <w:rPr>
                <w:sz w:val="20"/>
                <w:szCs w:val="20"/>
              </w:rPr>
              <w:t>15 years,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C2" w14:textId="77777777" w:rsidR="00EE5FDB" w:rsidRDefault="00435B84">
            <w:pPr>
              <w:jc w:val="center"/>
            </w:pPr>
            <w:r>
              <w:rPr>
                <w:sz w:val="20"/>
                <w:szCs w:val="20"/>
              </w:rPr>
              <w:t>87 (19.7%)</w:t>
            </w:r>
          </w:p>
        </w:tc>
      </w:tr>
      <w:tr w:rsidR="00EE5FDB" w14:paraId="72B989C6"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C4" w14:textId="77777777" w:rsidR="00EE5FDB" w:rsidRDefault="00435B84">
            <w:r>
              <w:rPr>
                <w:sz w:val="20"/>
                <w:szCs w:val="20"/>
              </w:rPr>
              <w:t>Male sex,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C5" w14:textId="77777777" w:rsidR="00EE5FDB" w:rsidRDefault="00435B84">
            <w:pPr>
              <w:jc w:val="center"/>
            </w:pPr>
            <w:r>
              <w:rPr>
                <w:sz w:val="20"/>
                <w:szCs w:val="20"/>
              </w:rPr>
              <w:t>241 (55.8%)</w:t>
            </w:r>
          </w:p>
        </w:tc>
      </w:tr>
      <w:tr w:rsidR="00EE5FDB" w14:paraId="72B989C9"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C7" w14:textId="77777777" w:rsidR="00EE5FDB" w:rsidRDefault="00435B84">
            <w:r>
              <w:rPr>
                <w:sz w:val="20"/>
                <w:szCs w:val="20"/>
              </w:rPr>
              <w:t>Not attending school,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C8" w14:textId="77777777" w:rsidR="00EE5FDB" w:rsidRDefault="00435B84">
            <w:pPr>
              <w:jc w:val="center"/>
            </w:pPr>
            <w:r>
              <w:rPr>
                <w:sz w:val="20"/>
                <w:szCs w:val="20"/>
              </w:rPr>
              <w:t>254 (57.6%)</w:t>
            </w:r>
          </w:p>
        </w:tc>
      </w:tr>
      <w:tr w:rsidR="00EE5FDB" w14:paraId="72B989CB"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9CA" w14:textId="77777777" w:rsidR="00EE5FDB" w:rsidRDefault="00435B84">
            <w:r>
              <w:rPr>
                <w:b/>
                <w:bCs/>
                <w:sz w:val="20"/>
                <w:szCs w:val="20"/>
              </w:rPr>
              <w:t>Prevention and healthcare access</w:t>
            </w:r>
          </w:p>
        </w:tc>
      </w:tr>
      <w:tr w:rsidR="00EE5FDB" w14:paraId="72B989CE"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CC" w14:textId="77777777" w:rsidR="00EE5FDB" w:rsidRDefault="00435B84">
            <w:r>
              <w:rPr>
                <w:sz w:val="20"/>
                <w:szCs w:val="20"/>
              </w:rPr>
              <w:t>ITN use,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CD" w14:textId="77777777" w:rsidR="00EE5FDB" w:rsidRDefault="00435B84">
            <w:pPr>
              <w:jc w:val="center"/>
            </w:pPr>
            <w:r>
              <w:rPr>
                <w:sz w:val="20"/>
                <w:szCs w:val="20"/>
              </w:rPr>
              <w:t>164 (37.2%)</w:t>
            </w:r>
          </w:p>
        </w:tc>
      </w:tr>
      <w:tr w:rsidR="00EE5FDB" w14:paraId="72B989D1"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CF" w14:textId="77777777" w:rsidR="00EE5FDB" w:rsidRPr="003828AA" w:rsidRDefault="00435B84">
            <w:pPr>
              <w:rPr>
                <w:lang w:val="en-GB"/>
              </w:rPr>
            </w:pPr>
            <w:r w:rsidRPr="003828AA">
              <w:rPr>
                <w:sz w:val="20"/>
                <w:szCs w:val="20"/>
                <w:lang w:val="en-GB"/>
              </w:rPr>
              <w:lastRenderedPageBreak/>
              <w:t>Pre-hospital self-medication,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D0" w14:textId="77777777" w:rsidR="00EE5FDB" w:rsidRDefault="00435B84">
            <w:pPr>
              <w:jc w:val="center"/>
            </w:pPr>
            <w:r>
              <w:rPr>
                <w:sz w:val="20"/>
                <w:szCs w:val="20"/>
              </w:rPr>
              <w:t>121 (27.4%)</w:t>
            </w:r>
          </w:p>
        </w:tc>
      </w:tr>
      <w:tr w:rsidR="00EE5FDB" w14:paraId="72B989D4"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D2" w14:textId="77777777" w:rsidR="00EE5FDB" w:rsidRPr="003828AA" w:rsidRDefault="00435B84">
            <w:pPr>
              <w:rPr>
                <w:lang w:val="en-GB"/>
              </w:rPr>
            </w:pPr>
            <w:r w:rsidRPr="003828AA">
              <w:rPr>
                <w:sz w:val="20"/>
                <w:szCs w:val="20"/>
                <w:lang w:val="en-GB"/>
              </w:rPr>
              <w:t>Consultation delay, median days [IQR]</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D3" w14:textId="2BA5E3A7" w:rsidR="00EE5FDB" w:rsidRDefault="00435B84">
            <w:pPr>
              <w:jc w:val="center"/>
            </w:pPr>
            <w:r>
              <w:rPr>
                <w:sz w:val="20"/>
                <w:szCs w:val="20"/>
              </w:rPr>
              <w:t>3 [2</w:t>
            </w:r>
            <w:r w:rsidR="00433F1A">
              <w:rPr>
                <w:sz w:val="20"/>
                <w:szCs w:val="20"/>
              </w:rPr>
              <w:t>-</w:t>
            </w:r>
            <w:r>
              <w:rPr>
                <w:sz w:val="20"/>
                <w:szCs w:val="20"/>
              </w:rPr>
              <w:t>5]</w:t>
            </w:r>
          </w:p>
        </w:tc>
      </w:tr>
      <w:tr w:rsidR="00EE5FDB" w14:paraId="72B989D7"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D5" w14:textId="77777777" w:rsidR="00EE5FDB" w:rsidRDefault="00435B84">
            <w:r>
              <w:rPr>
                <w:sz w:val="20"/>
                <w:szCs w:val="20"/>
              </w:rPr>
              <w:t>Delay &gt; 48 hours, n (%)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D6" w14:textId="77777777" w:rsidR="00EE5FDB" w:rsidRDefault="00435B84">
            <w:pPr>
              <w:jc w:val="center"/>
            </w:pPr>
            <w:r>
              <w:rPr>
                <w:sz w:val="20"/>
                <w:szCs w:val="20"/>
              </w:rPr>
              <w:t>188/317 (59.3%)</w:t>
            </w:r>
          </w:p>
        </w:tc>
      </w:tr>
      <w:tr w:rsidR="00EE5FDB" w14:paraId="72B989D9"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9D8" w14:textId="3A1563E6" w:rsidR="00EE5FDB" w:rsidRDefault="00435B84">
            <w:r>
              <w:rPr>
                <w:b/>
                <w:bCs/>
                <w:sz w:val="20"/>
                <w:szCs w:val="20"/>
              </w:rPr>
              <w:t>Residence</w:t>
            </w:r>
            <w:r w:rsidR="0027120D" w:rsidRPr="0027120D">
              <w:rPr>
                <w:b/>
                <w:bCs/>
                <w:sz w:val="20"/>
                <w:szCs w:val="20"/>
              </w:rPr>
              <w:t xml:space="preserve">, </w:t>
            </w:r>
            <w:r>
              <w:rPr>
                <w:b/>
                <w:bCs/>
                <w:sz w:val="20"/>
                <w:szCs w:val="20"/>
              </w:rPr>
              <w:t>Brazzaville arrondissement</w:t>
            </w:r>
          </w:p>
        </w:tc>
      </w:tr>
      <w:tr w:rsidR="00EE5FDB" w14:paraId="72B989DC"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DA" w14:textId="3F65A834" w:rsidR="00EE5FDB" w:rsidRDefault="00435B84">
            <w:r>
              <w:rPr>
                <w:sz w:val="20"/>
                <w:szCs w:val="20"/>
              </w:rPr>
              <w:t>1st</w:t>
            </w:r>
            <w:r w:rsidR="0027120D" w:rsidRPr="0027120D">
              <w:rPr>
                <w:sz w:val="20"/>
                <w:szCs w:val="20"/>
              </w:rPr>
              <w:t xml:space="preserve">, </w:t>
            </w:r>
            <w:r>
              <w:rPr>
                <w:sz w:val="20"/>
                <w:szCs w:val="20"/>
              </w:rPr>
              <w:t>Makélékélé,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DB" w14:textId="77777777" w:rsidR="00EE5FDB" w:rsidRDefault="00435B84">
            <w:pPr>
              <w:jc w:val="center"/>
            </w:pPr>
            <w:r>
              <w:rPr>
                <w:sz w:val="20"/>
                <w:szCs w:val="20"/>
              </w:rPr>
              <w:t>40 (9.4%)</w:t>
            </w:r>
          </w:p>
        </w:tc>
      </w:tr>
      <w:tr w:rsidR="00EE5FDB" w14:paraId="72B989DF"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DD" w14:textId="302C58D6" w:rsidR="00EE5FDB" w:rsidRDefault="00435B84">
            <w:r>
              <w:rPr>
                <w:sz w:val="20"/>
                <w:szCs w:val="20"/>
              </w:rPr>
              <w:t>2nd</w:t>
            </w:r>
            <w:r w:rsidR="0027120D" w:rsidRPr="0027120D">
              <w:rPr>
                <w:sz w:val="20"/>
                <w:szCs w:val="20"/>
              </w:rPr>
              <w:t xml:space="preserve">, </w:t>
            </w:r>
            <w:r>
              <w:rPr>
                <w:sz w:val="20"/>
                <w:szCs w:val="20"/>
              </w:rPr>
              <w:t>Bacongo,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DE" w14:textId="77777777" w:rsidR="00EE5FDB" w:rsidRDefault="00435B84">
            <w:pPr>
              <w:jc w:val="center"/>
            </w:pPr>
            <w:r>
              <w:rPr>
                <w:sz w:val="20"/>
                <w:szCs w:val="20"/>
              </w:rPr>
              <w:t>56 (13.2%)</w:t>
            </w:r>
          </w:p>
        </w:tc>
      </w:tr>
      <w:tr w:rsidR="00EE5FDB" w14:paraId="72B989E2"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E0" w14:textId="5BB28D39" w:rsidR="00EE5FDB" w:rsidRDefault="00435B84">
            <w:r>
              <w:rPr>
                <w:sz w:val="20"/>
                <w:szCs w:val="20"/>
              </w:rPr>
              <w:t>3rd</w:t>
            </w:r>
            <w:r w:rsidR="0027120D" w:rsidRPr="0027120D">
              <w:rPr>
                <w:sz w:val="20"/>
                <w:szCs w:val="20"/>
              </w:rPr>
              <w:t xml:space="preserve">, </w:t>
            </w:r>
            <w:r>
              <w:rPr>
                <w:sz w:val="20"/>
                <w:szCs w:val="20"/>
              </w:rPr>
              <w:t>Poto-Poto,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E1" w14:textId="77777777" w:rsidR="00EE5FDB" w:rsidRDefault="00435B84">
            <w:pPr>
              <w:jc w:val="center"/>
            </w:pPr>
            <w:r>
              <w:rPr>
                <w:sz w:val="20"/>
                <w:szCs w:val="20"/>
              </w:rPr>
              <w:t>31 (7.3%)</w:t>
            </w:r>
          </w:p>
        </w:tc>
      </w:tr>
      <w:tr w:rsidR="00EE5FDB" w14:paraId="72B989E5"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E3" w14:textId="26A94BC3" w:rsidR="00EE5FDB" w:rsidRDefault="00435B84">
            <w:r>
              <w:rPr>
                <w:sz w:val="20"/>
                <w:szCs w:val="20"/>
              </w:rPr>
              <w:t>4th</w:t>
            </w:r>
            <w:r w:rsidR="0027120D" w:rsidRPr="0027120D">
              <w:rPr>
                <w:sz w:val="20"/>
                <w:szCs w:val="20"/>
              </w:rPr>
              <w:t xml:space="preserve">, </w:t>
            </w:r>
            <w:r>
              <w:rPr>
                <w:sz w:val="20"/>
                <w:szCs w:val="20"/>
              </w:rPr>
              <w:t>Moungali,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E4" w14:textId="77777777" w:rsidR="00EE5FDB" w:rsidRDefault="00435B84">
            <w:pPr>
              <w:jc w:val="center"/>
            </w:pPr>
            <w:r>
              <w:rPr>
                <w:sz w:val="20"/>
                <w:szCs w:val="20"/>
              </w:rPr>
              <w:t>46 (10.8%)</w:t>
            </w:r>
          </w:p>
        </w:tc>
      </w:tr>
      <w:tr w:rsidR="00EE5FDB" w14:paraId="72B989E8"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E6" w14:textId="0055C0B4" w:rsidR="00EE5FDB" w:rsidRDefault="00435B84">
            <w:r>
              <w:rPr>
                <w:sz w:val="20"/>
                <w:szCs w:val="20"/>
              </w:rPr>
              <w:t>5th</w:t>
            </w:r>
            <w:r w:rsidR="0027120D" w:rsidRPr="0027120D">
              <w:rPr>
                <w:sz w:val="20"/>
                <w:szCs w:val="20"/>
              </w:rPr>
              <w:t xml:space="preserve">, </w:t>
            </w:r>
            <w:r>
              <w:rPr>
                <w:sz w:val="20"/>
                <w:szCs w:val="20"/>
              </w:rPr>
              <w:t>Ouenzé,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E7" w14:textId="77777777" w:rsidR="00EE5FDB" w:rsidRDefault="00435B84">
            <w:pPr>
              <w:jc w:val="center"/>
            </w:pPr>
            <w:r>
              <w:rPr>
                <w:sz w:val="20"/>
                <w:szCs w:val="20"/>
              </w:rPr>
              <w:t>53 (12.5%)</w:t>
            </w:r>
          </w:p>
        </w:tc>
      </w:tr>
      <w:tr w:rsidR="00EE5FDB" w14:paraId="72B989EB"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E9" w14:textId="2D7B5A9A" w:rsidR="00EE5FDB" w:rsidRDefault="00435B84">
            <w:r>
              <w:rPr>
                <w:sz w:val="20"/>
                <w:szCs w:val="20"/>
              </w:rPr>
              <w:t>6th</w:t>
            </w:r>
            <w:r w:rsidR="0027120D" w:rsidRPr="0027120D">
              <w:rPr>
                <w:sz w:val="20"/>
                <w:szCs w:val="20"/>
              </w:rPr>
              <w:t xml:space="preserve">, </w:t>
            </w:r>
            <w:r>
              <w:rPr>
                <w:sz w:val="20"/>
                <w:szCs w:val="20"/>
              </w:rPr>
              <w:t>Talangaï,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EA" w14:textId="77777777" w:rsidR="00EE5FDB" w:rsidRDefault="00435B84">
            <w:pPr>
              <w:jc w:val="center"/>
            </w:pPr>
            <w:r>
              <w:rPr>
                <w:sz w:val="20"/>
                <w:szCs w:val="20"/>
              </w:rPr>
              <w:t>34 (8.0%)</w:t>
            </w:r>
          </w:p>
        </w:tc>
      </w:tr>
      <w:tr w:rsidR="00EE5FDB" w14:paraId="72B989EE"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EC" w14:textId="3550A621" w:rsidR="00EE5FDB" w:rsidRDefault="00435B84">
            <w:r>
              <w:rPr>
                <w:sz w:val="20"/>
                <w:szCs w:val="20"/>
              </w:rPr>
              <w:t>7th</w:t>
            </w:r>
            <w:r w:rsidR="0027120D" w:rsidRPr="0027120D">
              <w:rPr>
                <w:sz w:val="20"/>
                <w:szCs w:val="20"/>
              </w:rPr>
              <w:t xml:space="preserve">, </w:t>
            </w:r>
            <w:r>
              <w:rPr>
                <w:sz w:val="20"/>
                <w:szCs w:val="20"/>
              </w:rPr>
              <w:t>Mfilou,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ED" w14:textId="77777777" w:rsidR="00EE5FDB" w:rsidRDefault="00435B84">
            <w:pPr>
              <w:jc w:val="center"/>
            </w:pPr>
            <w:r>
              <w:rPr>
                <w:sz w:val="20"/>
                <w:szCs w:val="20"/>
              </w:rPr>
              <w:t>33 (7.8%)</w:t>
            </w:r>
          </w:p>
        </w:tc>
      </w:tr>
      <w:tr w:rsidR="00EE5FDB" w14:paraId="72B989F1"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EF" w14:textId="54F93372" w:rsidR="00EE5FDB" w:rsidRDefault="00435B84">
            <w:r>
              <w:rPr>
                <w:sz w:val="20"/>
                <w:szCs w:val="20"/>
              </w:rPr>
              <w:t>8th</w:t>
            </w:r>
            <w:r w:rsidR="0027120D" w:rsidRPr="0027120D">
              <w:rPr>
                <w:sz w:val="20"/>
                <w:szCs w:val="20"/>
              </w:rPr>
              <w:t xml:space="preserve">, </w:t>
            </w:r>
            <w:r>
              <w:rPr>
                <w:sz w:val="20"/>
                <w:szCs w:val="20"/>
              </w:rPr>
              <w:t>Madibou,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F0" w14:textId="77777777" w:rsidR="00EE5FDB" w:rsidRDefault="00435B84">
            <w:pPr>
              <w:jc w:val="center"/>
            </w:pPr>
            <w:r>
              <w:rPr>
                <w:sz w:val="20"/>
                <w:szCs w:val="20"/>
              </w:rPr>
              <w:t>99 (23.3%)</w:t>
            </w:r>
          </w:p>
        </w:tc>
      </w:tr>
      <w:tr w:rsidR="00EE5FDB" w14:paraId="72B989F4"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F2" w14:textId="28445051" w:rsidR="00EE5FDB" w:rsidRDefault="00435B84">
            <w:r>
              <w:rPr>
                <w:sz w:val="20"/>
                <w:szCs w:val="20"/>
              </w:rPr>
              <w:t>9th</w:t>
            </w:r>
            <w:r w:rsidR="0027120D" w:rsidRPr="0027120D">
              <w:rPr>
                <w:sz w:val="20"/>
                <w:szCs w:val="20"/>
              </w:rPr>
              <w:t xml:space="preserve">, </w:t>
            </w:r>
            <w:r>
              <w:rPr>
                <w:sz w:val="20"/>
                <w:szCs w:val="20"/>
              </w:rPr>
              <w:t>Djiri,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F3" w14:textId="77777777" w:rsidR="00EE5FDB" w:rsidRDefault="00435B84">
            <w:pPr>
              <w:jc w:val="center"/>
            </w:pPr>
            <w:r>
              <w:rPr>
                <w:sz w:val="20"/>
                <w:szCs w:val="20"/>
              </w:rPr>
              <w:t>21 (5.0%)</w:t>
            </w:r>
          </w:p>
        </w:tc>
      </w:tr>
      <w:tr w:rsidR="00EE5FDB" w14:paraId="72B989F7"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F5" w14:textId="77777777" w:rsidR="00EE5FDB" w:rsidRDefault="00435B84">
            <w:r>
              <w:rPr>
                <w:sz w:val="20"/>
                <w:szCs w:val="20"/>
              </w:rPr>
              <w:t>Outside Brazzaville,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F6" w14:textId="77777777" w:rsidR="00EE5FDB" w:rsidRDefault="00435B84">
            <w:pPr>
              <w:jc w:val="center"/>
            </w:pPr>
            <w:r>
              <w:rPr>
                <w:sz w:val="20"/>
                <w:szCs w:val="20"/>
              </w:rPr>
              <w:t>11 (2.6%)</w:t>
            </w:r>
          </w:p>
        </w:tc>
      </w:tr>
      <w:tr w:rsidR="00EE5FDB" w14:paraId="72B989F9"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9F8" w14:textId="77777777" w:rsidR="00EE5FDB" w:rsidRDefault="00435B84">
            <w:r>
              <w:rPr>
                <w:b/>
                <w:bCs/>
                <w:sz w:val="20"/>
                <w:szCs w:val="20"/>
              </w:rPr>
              <w:t>Clinical presentation at admission</w:t>
            </w:r>
          </w:p>
        </w:tc>
      </w:tr>
      <w:tr w:rsidR="00EE5FDB" w14:paraId="72B989FC"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FA" w14:textId="77777777" w:rsidR="00EE5FDB" w:rsidRDefault="00435B84">
            <w:r>
              <w:rPr>
                <w:sz w:val="20"/>
                <w:szCs w:val="20"/>
              </w:rPr>
              <w:t>Fever,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9FB" w14:textId="77777777" w:rsidR="00EE5FDB" w:rsidRDefault="00435B84">
            <w:pPr>
              <w:jc w:val="center"/>
            </w:pPr>
            <w:r>
              <w:rPr>
                <w:sz w:val="20"/>
                <w:szCs w:val="20"/>
              </w:rPr>
              <w:t>247 (56.0%)</w:t>
            </w:r>
          </w:p>
        </w:tc>
      </w:tr>
      <w:tr w:rsidR="00EE5FDB" w14:paraId="72B989FF"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FD" w14:textId="77777777" w:rsidR="00EE5FDB" w:rsidRDefault="00435B84">
            <w:r>
              <w:rPr>
                <w:sz w:val="20"/>
                <w:szCs w:val="20"/>
              </w:rPr>
              <w:t>Vomiting,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9FE" w14:textId="77777777" w:rsidR="00EE5FDB" w:rsidRDefault="00435B84">
            <w:pPr>
              <w:jc w:val="center"/>
            </w:pPr>
            <w:r>
              <w:rPr>
                <w:sz w:val="20"/>
                <w:szCs w:val="20"/>
              </w:rPr>
              <w:t>86 (19.5%)</w:t>
            </w:r>
          </w:p>
        </w:tc>
      </w:tr>
      <w:tr w:rsidR="00EE5FDB" w14:paraId="72B98A02"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00" w14:textId="77777777" w:rsidR="00EE5FDB" w:rsidRDefault="00435B84">
            <w:r>
              <w:rPr>
                <w:sz w:val="20"/>
                <w:szCs w:val="20"/>
              </w:rPr>
              <w:t>Headache,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01" w14:textId="77777777" w:rsidR="00EE5FDB" w:rsidRDefault="00435B84">
            <w:pPr>
              <w:jc w:val="center"/>
            </w:pPr>
            <w:r>
              <w:rPr>
                <w:sz w:val="20"/>
                <w:szCs w:val="20"/>
              </w:rPr>
              <w:t>59 (13.4%)</w:t>
            </w:r>
          </w:p>
        </w:tc>
      </w:tr>
      <w:tr w:rsidR="00EE5FDB" w14:paraId="72B98A05"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03" w14:textId="77777777" w:rsidR="00EE5FDB" w:rsidRDefault="00435B84">
            <w:r>
              <w:rPr>
                <w:sz w:val="20"/>
                <w:szCs w:val="20"/>
              </w:rPr>
              <w:t>Seizures,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04" w14:textId="77777777" w:rsidR="00EE5FDB" w:rsidRDefault="00435B84">
            <w:pPr>
              <w:jc w:val="center"/>
            </w:pPr>
            <w:r>
              <w:rPr>
                <w:sz w:val="20"/>
                <w:szCs w:val="20"/>
              </w:rPr>
              <w:t>97 (22.0%)</w:t>
            </w:r>
          </w:p>
        </w:tc>
      </w:tr>
      <w:tr w:rsidR="00EE5FDB" w14:paraId="72B98A08"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06" w14:textId="77777777" w:rsidR="00EE5FDB" w:rsidRDefault="00435B84">
            <w:r>
              <w:rPr>
                <w:sz w:val="20"/>
                <w:szCs w:val="20"/>
              </w:rPr>
              <w:t>Jaundice,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07" w14:textId="77777777" w:rsidR="00EE5FDB" w:rsidRDefault="00435B84">
            <w:pPr>
              <w:jc w:val="center"/>
            </w:pPr>
            <w:r>
              <w:rPr>
                <w:sz w:val="20"/>
                <w:szCs w:val="20"/>
              </w:rPr>
              <w:t>11 (2.5%)</w:t>
            </w:r>
          </w:p>
        </w:tc>
      </w:tr>
      <w:tr w:rsidR="00EE5FDB" w14:paraId="72B98A0B"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09" w14:textId="77777777" w:rsidR="00EE5FDB" w:rsidRDefault="00435B84">
            <w:r>
              <w:rPr>
                <w:sz w:val="20"/>
                <w:szCs w:val="20"/>
              </w:rPr>
              <w:t>Respiratory distress,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0A" w14:textId="77777777" w:rsidR="00EE5FDB" w:rsidRDefault="00435B84">
            <w:pPr>
              <w:jc w:val="center"/>
            </w:pPr>
            <w:r>
              <w:rPr>
                <w:sz w:val="20"/>
                <w:szCs w:val="20"/>
              </w:rPr>
              <w:t>29 (6.6%)</w:t>
            </w:r>
          </w:p>
        </w:tc>
      </w:tr>
      <w:tr w:rsidR="00EE5FDB" w14:paraId="72B98A0D"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A0C" w14:textId="77777777" w:rsidR="00EE5FDB" w:rsidRDefault="00435B84">
            <w:r>
              <w:rPr>
                <w:b/>
                <w:bCs/>
                <w:sz w:val="20"/>
                <w:szCs w:val="20"/>
              </w:rPr>
              <w:t>Laboratory findings</w:t>
            </w:r>
          </w:p>
        </w:tc>
      </w:tr>
      <w:tr w:rsidR="00EE5FDB" w14:paraId="72B98A10"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0E" w14:textId="02F470C4" w:rsidR="00EE5FDB" w:rsidRPr="003828AA" w:rsidRDefault="00435B84">
            <w:pPr>
              <w:rPr>
                <w:lang w:val="en-GB"/>
              </w:rPr>
            </w:pPr>
            <w:r w:rsidRPr="003828AA">
              <w:rPr>
                <w:sz w:val="20"/>
                <w:szCs w:val="20"/>
                <w:lang w:val="en-GB"/>
              </w:rPr>
              <w:t>Haemoglobin, g/dL, median [IQR] (n</w:t>
            </w:r>
            <w:r w:rsidR="002C5BBA" w:rsidRPr="002C5BBA">
              <w:rPr>
                <w:i/>
                <w:iCs/>
                <w:sz w:val="20"/>
                <w:szCs w:val="20"/>
                <w:lang w:val="en-GB"/>
              </w:rPr>
              <w:t>=</w:t>
            </w:r>
            <w:r w:rsidRPr="003828AA">
              <w:rPr>
                <w:sz w:val="20"/>
                <w:szCs w:val="20"/>
                <w:lang w:val="en-GB"/>
              </w:rPr>
              <w:t>429)</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0F" w14:textId="309A37AD" w:rsidR="00EE5FDB" w:rsidRDefault="00435B84">
            <w:pPr>
              <w:jc w:val="center"/>
            </w:pPr>
            <w:r>
              <w:rPr>
                <w:sz w:val="20"/>
                <w:szCs w:val="20"/>
              </w:rPr>
              <w:t>8.9 [6.0</w:t>
            </w:r>
            <w:r w:rsidR="00433F1A">
              <w:rPr>
                <w:sz w:val="20"/>
                <w:szCs w:val="20"/>
              </w:rPr>
              <w:t>-</w:t>
            </w:r>
            <w:r>
              <w:rPr>
                <w:sz w:val="20"/>
                <w:szCs w:val="20"/>
              </w:rPr>
              <w:t>11.0]</w:t>
            </w:r>
          </w:p>
        </w:tc>
      </w:tr>
      <w:tr w:rsidR="00EE5FDB" w14:paraId="72B98A13"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11" w14:textId="0FD4491B" w:rsidR="00EE5FDB" w:rsidRPr="003828AA" w:rsidRDefault="00435B84">
            <w:pPr>
              <w:rPr>
                <w:lang w:val="en-GB"/>
              </w:rPr>
            </w:pPr>
            <w:r w:rsidRPr="003828AA">
              <w:rPr>
                <w:sz w:val="20"/>
                <w:szCs w:val="20"/>
                <w:lang w:val="en-GB"/>
              </w:rPr>
              <w:t>Parasitaemia, ×10³/µL, median [IQR] (n</w:t>
            </w:r>
            <w:r w:rsidR="002C5BBA" w:rsidRPr="002C5BBA">
              <w:rPr>
                <w:i/>
                <w:iCs/>
                <w:sz w:val="20"/>
                <w:szCs w:val="20"/>
                <w:lang w:val="en-GB"/>
              </w:rPr>
              <w:t>=</w:t>
            </w:r>
            <w:r w:rsidRPr="003828AA">
              <w:rPr>
                <w:sz w:val="20"/>
                <w:szCs w:val="20"/>
                <w:lang w:val="en-GB"/>
              </w:rPr>
              <w:t>434)</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12" w14:textId="46DB4867" w:rsidR="00EE5FDB" w:rsidRDefault="00435B84">
            <w:pPr>
              <w:jc w:val="center"/>
            </w:pPr>
            <w:r>
              <w:rPr>
                <w:sz w:val="20"/>
                <w:szCs w:val="20"/>
              </w:rPr>
              <w:t>7.2 [2.6</w:t>
            </w:r>
            <w:r w:rsidR="00433F1A">
              <w:rPr>
                <w:sz w:val="20"/>
                <w:szCs w:val="20"/>
              </w:rPr>
              <w:t>-</w:t>
            </w:r>
            <w:r>
              <w:rPr>
                <w:sz w:val="20"/>
                <w:szCs w:val="20"/>
              </w:rPr>
              <w:t>18.2]</w:t>
            </w:r>
          </w:p>
        </w:tc>
      </w:tr>
      <w:tr w:rsidR="00EE5FDB" w14:paraId="72B98A16"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14" w14:textId="0B86B148" w:rsidR="00EE5FDB" w:rsidRPr="003828AA" w:rsidRDefault="00435B84">
            <w:pPr>
              <w:rPr>
                <w:lang w:val="en-GB"/>
              </w:rPr>
            </w:pPr>
            <w:r w:rsidRPr="003828AA">
              <w:rPr>
                <w:sz w:val="20"/>
                <w:szCs w:val="20"/>
                <w:lang w:val="en-GB"/>
              </w:rPr>
              <w:t>White blood cells, G/L, median [IQR] (n</w:t>
            </w:r>
            <w:r w:rsidR="002C5BBA" w:rsidRPr="002C5BBA">
              <w:rPr>
                <w:i/>
                <w:iCs/>
                <w:sz w:val="20"/>
                <w:szCs w:val="20"/>
                <w:lang w:val="en-GB"/>
              </w:rPr>
              <w:t>=</w:t>
            </w:r>
            <w:r w:rsidRPr="003828AA">
              <w:rPr>
                <w:sz w:val="20"/>
                <w:szCs w:val="20"/>
                <w:lang w:val="en-GB"/>
              </w:rPr>
              <w:t>430)</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15" w14:textId="648F8DC5" w:rsidR="00EE5FDB" w:rsidRDefault="00435B84">
            <w:pPr>
              <w:jc w:val="center"/>
            </w:pPr>
            <w:r>
              <w:rPr>
                <w:sz w:val="20"/>
                <w:szCs w:val="20"/>
              </w:rPr>
              <w:t>9.6 [7.0</w:t>
            </w:r>
            <w:r w:rsidR="00433F1A">
              <w:rPr>
                <w:sz w:val="20"/>
                <w:szCs w:val="20"/>
              </w:rPr>
              <w:t>-</w:t>
            </w:r>
            <w:r>
              <w:rPr>
                <w:sz w:val="20"/>
                <w:szCs w:val="20"/>
              </w:rPr>
              <w:t>13.2]</w:t>
            </w:r>
          </w:p>
        </w:tc>
      </w:tr>
      <w:tr w:rsidR="00EE5FDB" w14:paraId="72B98A19"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17" w14:textId="7B1F80BA" w:rsidR="00EE5FDB" w:rsidRPr="003828AA" w:rsidRDefault="00435B84">
            <w:pPr>
              <w:rPr>
                <w:lang w:val="en-GB"/>
              </w:rPr>
            </w:pPr>
            <w:r w:rsidRPr="003828AA">
              <w:rPr>
                <w:sz w:val="20"/>
                <w:szCs w:val="20"/>
                <w:lang w:val="en-GB"/>
              </w:rPr>
              <w:t>Platelets, G/L, median [IQR] (n</w:t>
            </w:r>
            <w:r w:rsidR="002C5BBA" w:rsidRPr="002C5BBA">
              <w:rPr>
                <w:i/>
                <w:iCs/>
                <w:sz w:val="20"/>
                <w:szCs w:val="20"/>
                <w:lang w:val="en-GB"/>
              </w:rPr>
              <w:t>=</w:t>
            </w:r>
            <w:r w:rsidRPr="003828AA">
              <w:rPr>
                <w:sz w:val="20"/>
                <w:szCs w:val="20"/>
                <w:lang w:val="en-GB"/>
              </w:rPr>
              <w:t>424)</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18" w14:textId="67B71073" w:rsidR="00EE5FDB" w:rsidRDefault="00435B84">
            <w:pPr>
              <w:jc w:val="center"/>
            </w:pPr>
            <w:r>
              <w:rPr>
                <w:sz w:val="20"/>
                <w:szCs w:val="20"/>
              </w:rPr>
              <w:t>145 [88</w:t>
            </w:r>
            <w:r w:rsidR="00433F1A">
              <w:rPr>
                <w:sz w:val="20"/>
                <w:szCs w:val="20"/>
              </w:rPr>
              <w:t>-</w:t>
            </w:r>
            <w:r>
              <w:rPr>
                <w:sz w:val="20"/>
                <w:szCs w:val="20"/>
              </w:rPr>
              <w:t>268]</w:t>
            </w:r>
          </w:p>
        </w:tc>
      </w:tr>
      <w:tr w:rsidR="00EE5FDB" w14:paraId="72B98A1C"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1A" w14:textId="782DB71A" w:rsidR="00EE5FDB" w:rsidRPr="003828AA" w:rsidRDefault="00435B84">
            <w:pPr>
              <w:rPr>
                <w:lang w:val="en-GB"/>
              </w:rPr>
            </w:pPr>
            <w:r w:rsidRPr="003828AA">
              <w:rPr>
                <w:sz w:val="20"/>
                <w:szCs w:val="20"/>
                <w:lang w:val="en-GB"/>
              </w:rPr>
              <w:t>Blood glucose, mmol/L, median [IQR] (n</w:t>
            </w:r>
            <w:r w:rsidR="002C5BBA" w:rsidRPr="002C5BBA">
              <w:rPr>
                <w:i/>
                <w:iCs/>
                <w:sz w:val="20"/>
                <w:szCs w:val="20"/>
                <w:lang w:val="en-GB"/>
              </w:rPr>
              <w:t>=</w:t>
            </w:r>
            <w:r w:rsidRPr="003828AA">
              <w:rPr>
                <w:sz w:val="20"/>
                <w:szCs w:val="20"/>
                <w:lang w:val="en-GB"/>
              </w:rPr>
              <w:t>193)</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1B" w14:textId="74C98CE4" w:rsidR="00EE5FDB" w:rsidRDefault="00435B84">
            <w:pPr>
              <w:jc w:val="center"/>
            </w:pPr>
            <w:r>
              <w:rPr>
                <w:sz w:val="20"/>
                <w:szCs w:val="20"/>
              </w:rPr>
              <w:t>6.8 [5.8</w:t>
            </w:r>
            <w:r w:rsidR="00433F1A">
              <w:rPr>
                <w:sz w:val="20"/>
                <w:szCs w:val="20"/>
              </w:rPr>
              <w:t>-</w:t>
            </w:r>
            <w:r>
              <w:rPr>
                <w:sz w:val="20"/>
                <w:szCs w:val="20"/>
              </w:rPr>
              <w:t>8.3]</w:t>
            </w:r>
          </w:p>
        </w:tc>
      </w:tr>
      <w:tr w:rsidR="00EE5FDB" w14:paraId="72B98A1F"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1D" w14:textId="188B7A71" w:rsidR="00EE5FDB" w:rsidRPr="003828AA" w:rsidRDefault="00435B84">
            <w:pPr>
              <w:rPr>
                <w:lang w:val="en-GB"/>
              </w:rPr>
            </w:pPr>
            <w:r w:rsidRPr="003828AA">
              <w:rPr>
                <w:sz w:val="20"/>
                <w:szCs w:val="20"/>
                <w:lang w:val="en-GB"/>
              </w:rPr>
              <w:t>Creatinine, mg/L, median [IQR] (n</w:t>
            </w:r>
            <w:r w:rsidR="002C5BBA" w:rsidRPr="002C5BBA">
              <w:rPr>
                <w:i/>
                <w:iCs/>
                <w:sz w:val="20"/>
                <w:szCs w:val="20"/>
                <w:lang w:val="en-GB"/>
              </w:rPr>
              <w:t>=</w:t>
            </w:r>
            <w:r w:rsidRPr="003828AA">
              <w:rPr>
                <w:sz w:val="20"/>
                <w:szCs w:val="20"/>
                <w:lang w:val="en-GB"/>
              </w:rPr>
              <w:t>80)</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1E" w14:textId="6CE01EA7" w:rsidR="00EE5FDB" w:rsidRDefault="00435B84">
            <w:pPr>
              <w:jc w:val="center"/>
            </w:pPr>
            <w:r>
              <w:rPr>
                <w:sz w:val="20"/>
                <w:szCs w:val="20"/>
              </w:rPr>
              <w:t>6.0 [4.5</w:t>
            </w:r>
            <w:r w:rsidR="00433F1A">
              <w:rPr>
                <w:sz w:val="20"/>
                <w:szCs w:val="20"/>
              </w:rPr>
              <w:t>-</w:t>
            </w:r>
            <w:r>
              <w:rPr>
                <w:sz w:val="20"/>
                <w:szCs w:val="20"/>
              </w:rPr>
              <w:t>8.0]</w:t>
            </w:r>
          </w:p>
        </w:tc>
      </w:tr>
      <w:tr w:rsidR="00EE5FDB" w14:paraId="72B98A21"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A20" w14:textId="77777777" w:rsidR="00EE5FDB" w:rsidRDefault="00435B84">
            <w:r>
              <w:rPr>
                <w:b/>
                <w:bCs/>
                <w:sz w:val="20"/>
                <w:szCs w:val="20"/>
              </w:rPr>
              <w:t>WHO malaria classification</w:t>
            </w:r>
          </w:p>
        </w:tc>
      </w:tr>
      <w:tr w:rsidR="00EE5FDB" w14:paraId="72B98A24"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22" w14:textId="77777777" w:rsidR="00EE5FDB" w:rsidRPr="003828AA" w:rsidRDefault="00435B84">
            <w:pPr>
              <w:rPr>
                <w:lang w:val="en-GB"/>
              </w:rPr>
            </w:pPr>
            <w:r w:rsidRPr="003828AA">
              <w:rPr>
                <w:sz w:val="20"/>
                <w:szCs w:val="20"/>
                <w:lang w:val="en-GB"/>
              </w:rPr>
              <w:t>Moderate malaria (no WHO criterion),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23" w14:textId="77777777" w:rsidR="00EE5FDB" w:rsidRDefault="00435B84">
            <w:pPr>
              <w:jc w:val="center"/>
            </w:pPr>
            <w:r>
              <w:rPr>
                <w:sz w:val="20"/>
                <w:szCs w:val="20"/>
              </w:rPr>
              <w:t>262 (59.4%)</w:t>
            </w:r>
          </w:p>
        </w:tc>
      </w:tr>
      <w:tr w:rsidR="00EE5FDB" w14:paraId="72B98A27"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25" w14:textId="77777777" w:rsidR="00EE5FDB" w:rsidRPr="003828AA" w:rsidRDefault="00435B84">
            <w:pPr>
              <w:rPr>
                <w:lang w:val="en-GB"/>
              </w:rPr>
            </w:pPr>
            <w:r w:rsidRPr="003828AA">
              <w:rPr>
                <w:sz w:val="20"/>
                <w:szCs w:val="20"/>
                <w:lang w:val="en-GB"/>
              </w:rPr>
              <w:t>Severe malaria (≥1 WHO criterion),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26" w14:textId="77777777" w:rsidR="00EE5FDB" w:rsidRDefault="00435B84">
            <w:pPr>
              <w:jc w:val="center"/>
            </w:pPr>
            <w:r>
              <w:rPr>
                <w:sz w:val="20"/>
                <w:szCs w:val="20"/>
              </w:rPr>
              <w:t>161 (36.5%)</w:t>
            </w:r>
          </w:p>
        </w:tc>
      </w:tr>
      <w:tr w:rsidR="00EE5FDB" w14:paraId="72B98A2A"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28" w14:textId="77777777" w:rsidR="00EE5FDB" w:rsidRPr="003828AA" w:rsidRDefault="00435B84">
            <w:pPr>
              <w:rPr>
                <w:lang w:val="en-GB"/>
              </w:rPr>
            </w:pPr>
            <w:r w:rsidRPr="003828AA">
              <w:rPr>
                <w:sz w:val="20"/>
                <w:szCs w:val="20"/>
                <w:lang w:val="en-GB"/>
              </w:rPr>
              <w:t>Reclassified moderate (0 WHO criteria),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29" w14:textId="77777777" w:rsidR="00EE5FDB" w:rsidRDefault="00435B84">
            <w:pPr>
              <w:jc w:val="center"/>
            </w:pPr>
            <w:r>
              <w:rPr>
                <w:sz w:val="20"/>
                <w:szCs w:val="20"/>
              </w:rPr>
              <w:t>18 (4.1%)</w:t>
            </w:r>
          </w:p>
        </w:tc>
      </w:tr>
      <w:tr w:rsidR="00EE5FDB" w14:paraId="72B98A2C"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A2B" w14:textId="77777777" w:rsidR="00EE5FDB" w:rsidRDefault="00435B84">
            <w:r>
              <w:rPr>
                <w:b/>
                <w:bCs/>
                <w:sz w:val="20"/>
                <w:szCs w:val="20"/>
              </w:rPr>
              <w:t>Co-infections and comorbidities</w:t>
            </w:r>
          </w:p>
        </w:tc>
      </w:tr>
      <w:tr w:rsidR="00EE5FDB" w14:paraId="72B98A2F"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2D" w14:textId="77777777" w:rsidR="00EE5FDB" w:rsidRPr="003828AA" w:rsidRDefault="00435B84">
            <w:pPr>
              <w:rPr>
                <w:lang w:val="en-GB"/>
              </w:rPr>
            </w:pPr>
            <w:r w:rsidRPr="003828AA">
              <w:rPr>
                <w:sz w:val="20"/>
                <w:szCs w:val="20"/>
                <w:lang w:val="en-GB"/>
              </w:rPr>
              <w:t>Any co-infection or comorbidity,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2E" w14:textId="77777777" w:rsidR="00EE5FDB" w:rsidRDefault="00435B84">
            <w:pPr>
              <w:jc w:val="center"/>
            </w:pPr>
            <w:r>
              <w:rPr>
                <w:sz w:val="20"/>
                <w:szCs w:val="20"/>
              </w:rPr>
              <w:t>74 (16.8%)</w:t>
            </w:r>
          </w:p>
        </w:tc>
      </w:tr>
      <w:tr w:rsidR="00EE5FDB" w14:paraId="72B98A32"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30" w14:textId="24179C15" w:rsidR="00EE5FDB" w:rsidRDefault="00435B84">
            <w:r>
              <w:rPr>
                <w:sz w:val="20"/>
                <w:szCs w:val="20"/>
              </w:rPr>
              <w:t xml:space="preserve">  Acute co-infections (n</w:t>
            </w:r>
            <w:r w:rsidR="002C5BBA" w:rsidRPr="002C5BBA">
              <w:rPr>
                <w:i/>
                <w:iCs/>
                <w:sz w:val="20"/>
                <w:szCs w:val="20"/>
              </w:rPr>
              <w:t>=</w:t>
            </w:r>
            <w:r>
              <w:rPr>
                <w:sz w:val="20"/>
                <w:szCs w:val="20"/>
              </w:rPr>
              <w:t>69):</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31" w14:textId="77777777" w:rsidR="00EE5FDB" w:rsidRDefault="00EE5FDB">
            <w:pPr>
              <w:jc w:val="center"/>
            </w:pPr>
          </w:p>
        </w:tc>
      </w:tr>
      <w:tr w:rsidR="00EE5FDB" w14:paraId="72B98A35"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33" w14:textId="65044007" w:rsidR="00EE5FDB" w:rsidRDefault="00435B84">
            <w:r>
              <w:rPr>
                <w:sz w:val="20"/>
                <w:szCs w:val="20"/>
              </w:rPr>
              <w:t xml:space="preserve"> </w:t>
            </w:r>
            <w:r w:rsidR="0027120D" w:rsidRPr="0027120D">
              <w:rPr>
                <w:sz w:val="20"/>
                <w:szCs w:val="20"/>
              </w:rPr>
              <w:t xml:space="preserve">, </w:t>
            </w:r>
            <w:r>
              <w:rPr>
                <w:sz w:val="20"/>
                <w:szCs w:val="20"/>
              </w:rPr>
              <w:t>Rhinopharyngitis,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34" w14:textId="77777777" w:rsidR="00EE5FDB" w:rsidRDefault="00435B84">
            <w:pPr>
              <w:jc w:val="center"/>
            </w:pPr>
            <w:r>
              <w:rPr>
                <w:sz w:val="20"/>
                <w:szCs w:val="20"/>
              </w:rPr>
              <w:t>18 (4.1%)</w:t>
            </w:r>
          </w:p>
        </w:tc>
      </w:tr>
      <w:tr w:rsidR="00EE5FDB" w14:paraId="72B98A38"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36" w14:textId="37CD56A1" w:rsidR="00EE5FDB" w:rsidRDefault="00435B84">
            <w:r>
              <w:rPr>
                <w:sz w:val="20"/>
                <w:szCs w:val="20"/>
              </w:rPr>
              <w:t xml:space="preserve"> </w:t>
            </w:r>
            <w:r w:rsidR="0027120D" w:rsidRPr="0027120D">
              <w:rPr>
                <w:sz w:val="20"/>
                <w:szCs w:val="20"/>
              </w:rPr>
              <w:t xml:space="preserve">, </w:t>
            </w:r>
            <w:r>
              <w:rPr>
                <w:sz w:val="20"/>
                <w:szCs w:val="20"/>
              </w:rPr>
              <w:t>Bronchopneumonia,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37" w14:textId="77777777" w:rsidR="00EE5FDB" w:rsidRDefault="00435B84">
            <w:pPr>
              <w:jc w:val="center"/>
            </w:pPr>
            <w:r>
              <w:rPr>
                <w:sz w:val="20"/>
                <w:szCs w:val="20"/>
              </w:rPr>
              <w:t>16 (3.6%)</w:t>
            </w:r>
          </w:p>
        </w:tc>
      </w:tr>
      <w:tr w:rsidR="00EE5FDB" w14:paraId="72B98A3B"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39" w14:textId="06FEC454" w:rsidR="00EE5FDB" w:rsidRDefault="00435B84">
            <w:r>
              <w:rPr>
                <w:sz w:val="20"/>
                <w:szCs w:val="20"/>
              </w:rPr>
              <w:t xml:space="preserve"> </w:t>
            </w:r>
            <w:r w:rsidR="0027120D" w:rsidRPr="0027120D">
              <w:rPr>
                <w:sz w:val="20"/>
                <w:szCs w:val="20"/>
              </w:rPr>
              <w:t xml:space="preserve">, </w:t>
            </w:r>
            <w:r>
              <w:rPr>
                <w:sz w:val="20"/>
                <w:szCs w:val="20"/>
              </w:rPr>
              <w:t>Meningitis,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3A" w14:textId="77777777" w:rsidR="00EE5FDB" w:rsidRDefault="00435B84">
            <w:pPr>
              <w:jc w:val="center"/>
            </w:pPr>
            <w:r>
              <w:rPr>
                <w:sz w:val="20"/>
                <w:szCs w:val="20"/>
              </w:rPr>
              <w:t>15 (3.4%)</w:t>
            </w:r>
          </w:p>
        </w:tc>
      </w:tr>
      <w:tr w:rsidR="00EE5FDB" w14:paraId="72B98A3E"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3C" w14:textId="0766EEC2" w:rsidR="00EE5FDB" w:rsidRDefault="00435B84">
            <w:r>
              <w:rPr>
                <w:sz w:val="20"/>
                <w:szCs w:val="20"/>
              </w:rPr>
              <w:t xml:space="preserve"> </w:t>
            </w:r>
            <w:r w:rsidR="0027120D" w:rsidRPr="0027120D">
              <w:rPr>
                <w:sz w:val="20"/>
                <w:szCs w:val="20"/>
              </w:rPr>
              <w:t xml:space="preserve">, </w:t>
            </w:r>
            <w:r>
              <w:rPr>
                <w:sz w:val="20"/>
                <w:szCs w:val="20"/>
              </w:rPr>
              <w:t>Sepsis,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3D" w14:textId="77777777" w:rsidR="00EE5FDB" w:rsidRDefault="00435B84">
            <w:pPr>
              <w:jc w:val="center"/>
            </w:pPr>
            <w:r>
              <w:rPr>
                <w:sz w:val="20"/>
                <w:szCs w:val="20"/>
              </w:rPr>
              <w:t>7 (1.6%)</w:t>
            </w:r>
          </w:p>
        </w:tc>
      </w:tr>
      <w:tr w:rsidR="00EE5FDB" w14:paraId="72B98A41"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3F" w14:textId="09AA6DC5" w:rsidR="00EE5FDB" w:rsidRDefault="00435B84">
            <w:r>
              <w:rPr>
                <w:sz w:val="20"/>
                <w:szCs w:val="20"/>
              </w:rPr>
              <w:t xml:space="preserve"> </w:t>
            </w:r>
            <w:r w:rsidR="0027120D" w:rsidRPr="0027120D">
              <w:rPr>
                <w:sz w:val="20"/>
                <w:szCs w:val="20"/>
              </w:rPr>
              <w:t xml:space="preserve">, </w:t>
            </w:r>
            <w:r>
              <w:rPr>
                <w:sz w:val="20"/>
                <w:szCs w:val="20"/>
              </w:rPr>
              <w:t>Other acute,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40" w14:textId="77777777" w:rsidR="00EE5FDB" w:rsidRDefault="00435B84">
            <w:pPr>
              <w:jc w:val="center"/>
            </w:pPr>
            <w:r>
              <w:rPr>
                <w:sz w:val="20"/>
                <w:szCs w:val="20"/>
              </w:rPr>
              <w:t>13 (2.9%)</w:t>
            </w:r>
          </w:p>
        </w:tc>
      </w:tr>
      <w:tr w:rsidR="00EE5FDB" w14:paraId="72B98A44"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42" w14:textId="7447FCC3" w:rsidR="00EE5FDB" w:rsidRDefault="00435B84">
            <w:r>
              <w:rPr>
                <w:sz w:val="20"/>
                <w:szCs w:val="20"/>
              </w:rPr>
              <w:t xml:space="preserve">  Underlying comorbidities (n</w:t>
            </w:r>
            <w:r w:rsidR="002C5BBA" w:rsidRPr="002C5BBA">
              <w:rPr>
                <w:i/>
                <w:iCs/>
                <w:sz w:val="20"/>
                <w:szCs w:val="20"/>
              </w:rPr>
              <w:t>=</w:t>
            </w:r>
            <w:r>
              <w:rPr>
                <w:sz w:val="20"/>
                <w:szCs w:val="20"/>
              </w:rPr>
              <w:t>16):</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43" w14:textId="77777777" w:rsidR="00EE5FDB" w:rsidRDefault="00EE5FDB">
            <w:pPr>
              <w:jc w:val="center"/>
            </w:pPr>
          </w:p>
        </w:tc>
      </w:tr>
      <w:tr w:rsidR="00EE5FDB" w14:paraId="72B98A47"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45" w14:textId="77F61AC1" w:rsidR="00EE5FDB" w:rsidRDefault="00435B84">
            <w:r>
              <w:rPr>
                <w:sz w:val="20"/>
                <w:szCs w:val="20"/>
              </w:rPr>
              <w:t xml:space="preserve"> </w:t>
            </w:r>
            <w:r w:rsidR="0027120D" w:rsidRPr="0027120D">
              <w:rPr>
                <w:sz w:val="20"/>
                <w:szCs w:val="20"/>
              </w:rPr>
              <w:t xml:space="preserve">, </w:t>
            </w:r>
            <w:r>
              <w:rPr>
                <w:sz w:val="20"/>
                <w:szCs w:val="20"/>
              </w:rPr>
              <w:t>HIV infection,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46" w14:textId="77777777" w:rsidR="00EE5FDB" w:rsidRDefault="00435B84">
            <w:pPr>
              <w:jc w:val="center"/>
            </w:pPr>
            <w:r>
              <w:rPr>
                <w:sz w:val="20"/>
                <w:szCs w:val="20"/>
              </w:rPr>
              <w:t>6 (1.4%)</w:t>
            </w:r>
          </w:p>
        </w:tc>
      </w:tr>
      <w:tr w:rsidR="00EE5FDB" w14:paraId="72B98A4A"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48" w14:textId="78CB268D" w:rsidR="00EE5FDB" w:rsidRDefault="00435B84">
            <w:r>
              <w:rPr>
                <w:sz w:val="20"/>
                <w:szCs w:val="20"/>
              </w:rPr>
              <w:t xml:space="preserve"> </w:t>
            </w:r>
            <w:r w:rsidR="0027120D" w:rsidRPr="0027120D">
              <w:rPr>
                <w:sz w:val="20"/>
                <w:szCs w:val="20"/>
              </w:rPr>
              <w:t xml:space="preserve">, </w:t>
            </w:r>
            <w:r>
              <w:rPr>
                <w:sz w:val="20"/>
                <w:szCs w:val="20"/>
              </w:rPr>
              <w:t>Sickle cell disease,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49" w14:textId="77777777" w:rsidR="00EE5FDB" w:rsidRDefault="00435B84">
            <w:pPr>
              <w:jc w:val="center"/>
            </w:pPr>
            <w:r>
              <w:rPr>
                <w:sz w:val="20"/>
                <w:szCs w:val="20"/>
              </w:rPr>
              <w:t>5 (1.1%)</w:t>
            </w:r>
          </w:p>
        </w:tc>
      </w:tr>
      <w:tr w:rsidR="00EE5FDB" w14:paraId="72B98A4D"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4B" w14:textId="31CD3361" w:rsidR="00EE5FDB" w:rsidRDefault="00435B84">
            <w:r>
              <w:rPr>
                <w:sz w:val="20"/>
                <w:szCs w:val="20"/>
              </w:rPr>
              <w:t xml:space="preserve"> </w:t>
            </w:r>
            <w:r w:rsidR="0027120D" w:rsidRPr="0027120D">
              <w:rPr>
                <w:sz w:val="20"/>
                <w:szCs w:val="20"/>
              </w:rPr>
              <w:t xml:space="preserve">, </w:t>
            </w:r>
            <w:r>
              <w:rPr>
                <w:sz w:val="20"/>
                <w:szCs w:val="20"/>
              </w:rPr>
              <w:t>Epilepsy,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4C" w14:textId="77777777" w:rsidR="00EE5FDB" w:rsidRDefault="00435B84">
            <w:pPr>
              <w:jc w:val="center"/>
            </w:pPr>
            <w:r>
              <w:rPr>
                <w:sz w:val="20"/>
                <w:szCs w:val="20"/>
              </w:rPr>
              <w:t>5 (1.1%)</w:t>
            </w:r>
          </w:p>
        </w:tc>
      </w:tr>
      <w:tr w:rsidR="00EE5FDB" w14:paraId="72B98A4F" w14:textId="77777777">
        <w:tc>
          <w:tcPr>
            <w:tcW w:w="0" w:type="auto"/>
            <w:gridSpan w:val="2"/>
            <w:tcBorders>
              <w:top w:val="single" w:sz="4" w:space="0" w:color="999999"/>
              <w:bottom w:val="single" w:sz="4" w:space="0" w:color="999999"/>
            </w:tcBorders>
            <w:shd w:val="clear" w:color="auto" w:fill="E8E8E8"/>
            <w:tcMar>
              <w:top w:w="40" w:type="dxa"/>
              <w:left w:w="80" w:type="dxa"/>
              <w:bottom w:w="40" w:type="dxa"/>
              <w:right w:w="80" w:type="dxa"/>
            </w:tcMar>
          </w:tcPr>
          <w:p w14:paraId="72B98A4E" w14:textId="77777777" w:rsidR="00EE5FDB" w:rsidRDefault="00435B84">
            <w:r>
              <w:rPr>
                <w:b/>
                <w:bCs/>
                <w:sz w:val="20"/>
                <w:szCs w:val="20"/>
              </w:rPr>
              <w:lastRenderedPageBreak/>
              <w:t>Outcomes</w:t>
            </w:r>
          </w:p>
        </w:tc>
      </w:tr>
      <w:tr w:rsidR="00EE5FDB" w14:paraId="72B98A52"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50" w14:textId="77777777" w:rsidR="00EE5FDB" w:rsidRDefault="00435B84">
            <w:r>
              <w:rPr>
                <w:sz w:val="20"/>
                <w:szCs w:val="20"/>
              </w:rPr>
              <w:t>In-hospital death, n (%)</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51" w14:textId="77777777" w:rsidR="00EE5FDB" w:rsidRDefault="00435B84">
            <w:pPr>
              <w:jc w:val="center"/>
            </w:pPr>
            <w:r>
              <w:rPr>
                <w:sz w:val="20"/>
                <w:szCs w:val="20"/>
              </w:rPr>
              <w:t>31 (7.0%)</w:t>
            </w:r>
          </w:p>
        </w:tc>
      </w:tr>
      <w:tr w:rsidR="00EE5FDB" w14:paraId="72B98A55"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53" w14:textId="77777777" w:rsidR="00EE5FDB" w:rsidRDefault="00435B84">
            <w:r>
              <w:rPr>
                <w:sz w:val="20"/>
                <w:szCs w:val="20"/>
              </w:rPr>
              <w:t>Unfavourable outcome ‡,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54" w14:textId="77777777" w:rsidR="00EE5FDB" w:rsidRDefault="00435B84">
            <w:pPr>
              <w:jc w:val="center"/>
            </w:pPr>
            <w:r>
              <w:rPr>
                <w:sz w:val="20"/>
                <w:szCs w:val="20"/>
              </w:rPr>
              <w:t>41 (9.3%)</w:t>
            </w:r>
          </w:p>
        </w:tc>
      </w:tr>
      <w:tr w:rsidR="00EE5FDB" w14:paraId="72B98A58" w14:textId="77777777">
        <w:tc>
          <w:tcPr>
            <w:tcW w:w="45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56" w14:textId="77777777" w:rsidR="00EE5FDB" w:rsidRPr="003828AA" w:rsidRDefault="00435B84">
            <w:pPr>
              <w:rPr>
                <w:lang w:val="en-GB"/>
              </w:rPr>
            </w:pPr>
            <w:r w:rsidRPr="003828AA">
              <w:rPr>
                <w:sz w:val="20"/>
                <w:szCs w:val="20"/>
                <w:lang w:val="en-GB"/>
              </w:rPr>
              <w:t>Length of stay, median days [IQR]</w:t>
            </w:r>
          </w:p>
        </w:tc>
        <w:tc>
          <w:tcPr>
            <w:tcW w:w="486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57" w14:textId="6EE39112" w:rsidR="00EE5FDB" w:rsidRDefault="00435B84">
            <w:pPr>
              <w:jc w:val="center"/>
            </w:pPr>
            <w:r>
              <w:rPr>
                <w:sz w:val="20"/>
                <w:szCs w:val="20"/>
              </w:rPr>
              <w:t>5 [3</w:t>
            </w:r>
            <w:r w:rsidR="00433F1A">
              <w:rPr>
                <w:sz w:val="20"/>
                <w:szCs w:val="20"/>
              </w:rPr>
              <w:t>-</w:t>
            </w:r>
            <w:r>
              <w:rPr>
                <w:sz w:val="20"/>
                <w:szCs w:val="20"/>
              </w:rPr>
              <w:t>6]</w:t>
            </w:r>
          </w:p>
        </w:tc>
      </w:tr>
      <w:tr w:rsidR="00EE5FDB" w14:paraId="72B98A5B" w14:textId="77777777">
        <w:tc>
          <w:tcPr>
            <w:tcW w:w="45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59" w14:textId="77777777" w:rsidR="00EE5FDB" w:rsidRDefault="00435B84">
            <w:r>
              <w:rPr>
                <w:sz w:val="20"/>
                <w:szCs w:val="20"/>
              </w:rPr>
              <w:t>Blood transfusion received, n (%)</w:t>
            </w:r>
          </w:p>
        </w:tc>
        <w:tc>
          <w:tcPr>
            <w:tcW w:w="486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5A" w14:textId="77777777" w:rsidR="00EE5FDB" w:rsidRDefault="00435B84">
            <w:pPr>
              <w:jc w:val="center"/>
            </w:pPr>
            <w:r>
              <w:rPr>
                <w:sz w:val="20"/>
                <w:szCs w:val="20"/>
              </w:rPr>
              <w:t>167 (37.9%)</w:t>
            </w:r>
          </w:p>
        </w:tc>
      </w:tr>
    </w:tbl>
    <w:p w14:paraId="72B98A5C" w14:textId="77777777" w:rsidR="00EE5FDB" w:rsidRPr="003828AA" w:rsidRDefault="00435B84">
      <w:pPr>
        <w:spacing w:before="40" w:after="20" w:line="360" w:lineRule="auto"/>
        <w:rPr>
          <w:lang w:val="en-GB"/>
        </w:rPr>
      </w:pPr>
      <w:r w:rsidRPr="003828AA">
        <w:rPr>
          <w:i/>
          <w:iCs/>
          <w:color w:val="555555"/>
          <w:sz w:val="20"/>
          <w:szCs w:val="20"/>
          <w:lang w:val="en-GB"/>
        </w:rPr>
        <w:t>† Delay data available for 317/441 (71.9%) participants.</w:t>
      </w:r>
    </w:p>
    <w:p w14:paraId="72B98A5D" w14:textId="77777777" w:rsidR="00EE5FDB" w:rsidRPr="003828AA" w:rsidRDefault="00435B84">
      <w:pPr>
        <w:spacing w:before="40" w:after="20" w:line="360" w:lineRule="auto"/>
        <w:rPr>
          <w:lang w:val="en-GB"/>
        </w:rPr>
      </w:pPr>
      <w:r w:rsidRPr="003828AA">
        <w:rPr>
          <w:i/>
          <w:iCs/>
          <w:color w:val="555555"/>
          <w:sz w:val="20"/>
          <w:szCs w:val="20"/>
          <w:lang w:val="en-GB"/>
        </w:rPr>
        <w:t>‡ Unfavourable outcome: in-hospital death or length of stay &gt; 7 days.</w:t>
      </w:r>
    </w:p>
    <w:p w14:paraId="72B98A5E" w14:textId="77777777" w:rsidR="00EE5FDB" w:rsidRPr="003828AA" w:rsidRDefault="00435B84">
      <w:pPr>
        <w:spacing w:before="40" w:after="20" w:line="360" w:lineRule="auto"/>
        <w:rPr>
          <w:lang w:val="en-GB"/>
        </w:rPr>
      </w:pPr>
      <w:r w:rsidRPr="003828AA">
        <w:rPr>
          <w:i/>
          <w:iCs/>
          <w:color w:val="555555"/>
          <w:sz w:val="20"/>
          <w:szCs w:val="20"/>
          <w:lang w:val="en-GB"/>
        </w:rPr>
        <w:t>ITN: insecticide-treated net; IQR: interquartile range; WHO: World Health Organization.</w:t>
      </w:r>
    </w:p>
    <w:p w14:paraId="72B98A5F" w14:textId="77777777" w:rsidR="00EE5FDB" w:rsidRPr="003828AA" w:rsidRDefault="00EE5FDB">
      <w:pPr>
        <w:spacing w:before="40" w:after="40"/>
        <w:rPr>
          <w:lang w:val="en-GB"/>
        </w:rPr>
      </w:pPr>
    </w:p>
    <w:p w14:paraId="72B98A60" w14:textId="77777777" w:rsidR="00EE5FDB" w:rsidRPr="003828AA" w:rsidRDefault="00435B84">
      <w:pPr>
        <w:spacing w:before="160" w:after="60" w:line="480" w:lineRule="auto"/>
        <w:rPr>
          <w:lang w:val="en-GB"/>
        </w:rPr>
      </w:pPr>
      <w:r w:rsidRPr="003828AA">
        <w:rPr>
          <w:b/>
          <w:bCs/>
          <w:i/>
          <w:iCs/>
          <w:lang w:val="en-GB"/>
        </w:rPr>
        <w:t>3.2 Prevalence and type of co-infections and comorbidities</w:t>
      </w:r>
    </w:p>
    <w:p w14:paraId="72B98A61" w14:textId="0276E6B7" w:rsidR="00EE5FDB" w:rsidRPr="003828AA" w:rsidRDefault="00435B84">
      <w:pPr>
        <w:spacing w:line="480" w:lineRule="auto"/>
        <w:ind w:firstLine="720"/>
        <w:jc w:val="both"/>
        <w:rPr>
          <w:lang w:val="en-GB"/>
        </w:rPr>
      </w:pPr>
      <w:r w:rsidRPr="003828AA">
        <w:rPr>
          <w:color w:val="000000"/>
          <w:lang w:val="en-GB"/>
        </w:rPr>
        <w:t xml:space="preserve">Overall, 74 children (16.8%) presented with at least one documented co-infection or comorbidity, and 367 (83.2%) had malaria </w:t>
      </w:r>
      <w:proofErr w:type="spellStart"/>
      <w:r w:rsidRPr="003828AA">
        <w:rPr>
          <w:color w:val="000000"/>
          <w:lang w:val="en-GB"/>
        </w:rPr>
        <w:t>monoinfection</w:t>
      </w:r>
      <w:proofErr w:type="spellEnd"/>
      <w:r w:rsidRPr="003828AA">
        <w:rPr>
          <w:color w:val="000000"/>
          <w:lang w:val="en-GB"/>
        </w:rPr>
        <w:t xml:space="preserve">. </w:t>
      </w:r>
      <w:r w:rsidRPr="003828AA">
        <w:rPr>
          <w:color w:val="000000"/>
          <w:highlight w:val="yellow"/>
          <w:lang w:val="en-GB"/>
        </w:rPr>
        <w:t>Among co-infected children, the large majority had an acute co-infection (69/74, 93.2%): rhinopharyngitis (24.3%), bronchopneumonia (21.6%), meningitis (20.3%), and sepsis (9.5%). Underlying comorbidities</w:t>
      </w:r>
      <w:r w:rsidR="0027120D" w:rsidRPr="0027120D">
        <w:rPr>
          <w:color w:val="000000"/>
          <w:highlight w:val="yellow"/>
          <w:lang w:val="en-GB"/>
        </w:rPr>
        <w:t xml:space="preserve">, </w:t>
      </w:r>
      <w:r w:rsidRPr="003828AA">
        <w:rPr>
          <w:color w:val="000000"/>
          <w:highlight w:val="yellow"/>
          <w:lang w:val="en-GB"/>
        </w:rPr>
        <w:t>HIV (8.1%), sickle cell disease (6.8%), and epilepsy (6.8%)</w:t>
      </w:r>
      <w:r w:rsidR="0027120D" w:rsidRPr="0027120D">
        <w:rPr>
          <w:color w:val="000000"/>
          <w:highlight w:val="yellow"/>
          <w:lang w:val="en-GB"/>
        </w:rPr>
        <w:t xml:space="preserve">, </w:t>
      </w:r>
      <w:r w:rsidRPr="003828AA">
        <w:rPr>
          <w:color w:val="000000"/>
          <w:highlight w:val="yellow"/>
          <w:lang w:val="en-GB"/>
        </w:rPr>
        <w:t>were individually infrequent.</w:t>
      </w:r>
    </w:p>
    <w:p w14:paraId="72B98A62" w14:textId="77777777" w:rsidR="00EE5FDB" w:rsidRPr="003828AA" w:rsidRDefault="00EE5FDB">
      <w:pPr>
        <w:spacing w:before="40" w:after="40"/>
        <w:rPr>
          <w:lang w:val="en-GB"/>
        </w:rPr>
      </w:pPr>
    </w:p>
    <w:p w14:paraId="72B98A63" w14:textId="77777777" w:rsidR="00EE5FDB" w:rsidRPr="003828AA" w:rsidRDefault="00435B84">
      <w:pPr>
        <w:spacing w:before="160" w:after="60" w:line="480" w:lineRule="auto"/>
        <w:rPr>
          <w:lang w:val="en-GB"/>
        </w:rPr>
      </w:pPr>
      <w:r w:rsidRPr="003828AA">
        <w:rPr>
          <w:b/>
          <w:bCs/>
          <w:i/>
          <w:iCs/>
          <w:lang w:val="en-GB"/>
        </w:rPr>
        <w:t>3.3 Clinical outcomes</w:t>
      </w:r>
    </w:p>
    <w:p w14:paraId="72B98A64" w14:textId="025F77AD" w:rsidR="00EE5FDB" w:rsidRPr="003828AA" w:rsidRDefault="00435B84">
      <w:pPr>
        <w:spacing w:line="480" w:lineRule="auto"/>
        <w:ind w:firstLine="720"/>
        <w:jc w:val="both"/>
        <w:rPr>
          <w:lang w:val="en-GB"/>
        </w:rPr>
      </w:pPr>
      <w:r w:rsidRPr="003828AA">
        <w:rPr>
          <w:color w:val="000000"/>
          <w:lang w:val="en-GB"/>
        </w:rPr>
        <w:t>In-hospital death occurred in 31 children (7.0%) and an unfavourable outcome in 41 (9.3%). The median length of stay was 5 days [IQR 3</w:t>
      </w:r>
      <w:r w:rsidR="00433F1A">
        <w:rPr>
          <w:color w:val="000000"/>
          <w:lang w:val="en-GB"/>
        </w:rPr>
        <w:t>-</w:t>
      </w:r>
      <w:r w:rsidRPr="003828AA">
        <w:rPr>
          <w:color w:val="000000"/>
          <w:lang w:val="en-GB"/>
        </w:rPr>
        <w:t>6], and 167 children (37.9%) received blood transfusion.</w:t>
      </w:r>
    </w:p>
    <w:p w14:paraId="72B98A65" w14:textId="77777777" w:rsidR="00EE5FDB" w:rsidRPr="003828AA" w:rsidRDefault="00EE5FDB">
      <w:pPr>
        <w:spacing w:before="40" w:after="40"/>
        <w:rPr>
          <w:lang w:val="en-GB"/>
        </w:rPr>
      </w:pPr>
    </w:p>
    <w:p w14:paraId="72B98A66" w14:textId="77777777" w:rsidR="00EE5FDB" w:rsidRPr="003828AA" w:rsidRDefault="00435B84">
      <w:pPr>
        <w:spacing w:before="160" w:after="60" w:line="480" w:lineRule="auto"/>
        <w:rPr>
          <w:lang w:val="en-GB"/>
        </w:rPr>
      </w:pPr>
      <w:r w:rsidRPr="003828AA">
        <w:rPr>
          <w:b/>
          <w:bCs/>
          <w:i/>
          <w:iCs/>
          <w:lang w:val="en-GB"/>
        </w:rPr>
        <w:t xml:space="preserve">3.4 Comparison between </w:t>
      </w:r>
      <w:proofErr w:type="spellStart"/>
      <w:r w:rsidRPr="003828AA">
        <w:rPr>
          <w:b/>
          <w:bCs/>
          <w:i/>
          <w:iCs/>
          <w:lang w:val="en-GB"/>
        </w:rPr>
        <w:t>monoinfection</w:t>
      </w:r>
      <w:proofErr w:type="spellEnd"/>
      <w:r w:rsidRPr="003828AA">
        <w:rPr>
          <w:b/>
          <w:bCs/>
          <w:i/>
          <w:iCs/>
          <w:lang w:val="en-GB"/>
        </w:rPr>
        <w:t xml:space="preserve"> and co-infection groups</w:t>
      </w:r>
    </w:p>
    <w:p w14:paraId="72B98A67" w14:textId="54DC140D" w:rsidR="00EE5FDB" w:rsidRPr="003828AA" w:rsidRDefault="00435B84">
      <w:pPr>
        <w:spacing w:line="480" w:lineRule="auto"/>
        <w:ind w:firstLine="720"/>
        <w:jc w:val="both"/>
        <w:rPr>
          <w:lang w:val="en-GB"/>
        </w:rPr>
      </w:pPr>
      <w:r w:rsidRPr="003828AA">
        <w:rPr>
          <w:color w:val="000000"/>
          <w:highlight w:val="yellow"/>
          <w:lang w:val="en-GB"/>
        </w:rPr>
        <w:t xml:space="preserve">Co-infected children were more frequently aged under five years (64.9% vs 52.3%; </w:t>
      </w:r>
      <w:r w:rsidR="00393EF7" w:rsidRPr="00393EF7">
        <w:rPr>
          <w:i/>
          <w:iCs/>
          <w:color w:val="000000"/>
          <w:highlight w:val="yellow"/>
          <w:lang w:val="en-GB"/>
        </w:rPr>
        <w:t>p=</w:t>
      </w:r>
      <w:r w:rsidRPr="003828AA">
        <w:rPr>
          <w:color w:val="000000"/>
          <w:highlight w:val="yellow"/>
          <w:lang w:val="en-GB"/>
        </w:rPr>
        <w:t xml:space="preserve">0.048) and more often resided in central arrondissements (41.4% vs 25.1%; </w:t>
      </w:r>
      <w:r w:rsidR="00393EF7" w:rsidRPr="00393EF7">
        <w:rPr>
          <w:i/>
          <w:iCs/>
          <w:color w:val="000000"/>
          <w:highlight w:val="yellow"/>
          <w:lang w:val="en-GB"/>
        </w:rPr>
        <w:t>p=</w:t>
      </w:r>
      <w:r w:rsidRPr="003828AA">
        <w:rPr>
          <w:color w:val="000000"/>
          <w:highlight w:val="yellow"/>
          <w:lang w:val="en-GB"/>
        </w:rPr>
        <w:t xml:space="preserve">0.008). </w:t>
      </w:r>
      <w:r w:rsidRPr="003828AA">
        <w:rPr>
          <w:color w:val="000000"/>
          <w:lang w:val="en-GB"/>
        </w:rPr>
        <w:t xml:space="preserve">Co-infected children also had a longer median consultation delay (4 vs 3 days; </w:t>
      </w:r>
      <w:r w:rsidR="00393EF7" w:rsidRPr="00393EF7">
        <w:rPr>
          <w:i/>
          <w:iCs/>
          <w:color w:val="000000"/>
          <w:lang w:val="en-GB"/>
        </w:rPr>
        <w:t>p=</w:t>
      </w:r>
      <w:r w:rsidRPr="003828AA">
        <w:rPr>
          <w:color w:val="000000"/>
          <w:lang w:val="en-GB"/>
        </w:rPr>
        <w:t>0.016). Sex, ITN use, and self-medication were not significantly associated with co-infection (</w:t>
      </w:r>
      <w:r w:rsidR="00F70D28" w:rsidRPr="00F70D28">
        <w:rPr>
          <w:i/>
          <w:iCs/>
          <w:color w:val="000000"/>
          <w:lang w:val="en-GB"/>
        </w:rPr>
        <w:t xml:space="preserve">p&gt; </w:t>
      </w:r>
      <w:r w:rsidRPr="003828AA">
        <w:rPr>
          <w:color w:val="000000"/>
          <w:lang w:val="en-GB"/>
        </w:rPr>
        <w:t>0.05). The geographical distribution showed the highest co-infection rate in the 3rd arrondissement (</w:t>
      </w:r>
      <w:proofErr w:type="spellStart"/>
      <w:r w:rsidRPr="003828AA">
        <w:rPr>
          <w:color w:val="000000"/>
          <w:lang w:val="en-GB"/>
        </w:rPr>
        <w:t>Poto-Poto</w:t>
      </w:r>
      <w:proofErr w:type="spellEnd"/>
      <w:r w:rsidRPr="003828AA">
        <w:rPr>
          <w:color w:val="000000"/>
          <w:lang w:val="en-GB"/>
        </w:rPr>
        <w:t>, 32.3%), followed by the 6th (</w:t>
      </w:r>
      <w:proofErr w:type="spellStart"/>
      <w:r w:rsidRPr="003828AA">
        <w:rPr>
          <w:color w:val="000000"/>
          <w:lang w:val="en-GB"/>
        </w:rPr>
        <w:t>Talangaï</w:t>
      </w:r>
      <w:proofErr w:type="spellEnd"/>
      <w:r w:rsidRPr="003828AA">
        <w:rPr>
          <w:color w:val="000000"/>
          <w:lang w:val="en-GB"/>
        </w:rPr>
        <w:t>, 23.5%) and 5th (</w:t>
      </w:r>
      <w:proofErr w:type="spellStart"/>
      <w:r w:rsidRPr="003828AA">
        <w:rPr>
          <w:color w:val="000000"/>
          <w:lang w:val="en-GB"/>
        </w:rPr>
        <w:t>Ouenzé</w:t>
      </w:r>
      <w:proofErr w:type="spellEnd"/>
      <w:r w:rsidRPr="003828AA">
        <w:rPr>
          <w:color w:val="000000"/>
          <w:lang w:val="en-GB"/>
        </w:rPr>
        <w:t>, 20.8%); the lowest rates were observed in the 1st (</w:t>
      </w:r>
      <w:proofErr w:type="spellStart"/>
      <w:r w:rsidRPr="003828AA">
        <w:rPr>
          <w:color w:val="000000"/>
          <w:lang w:val="en-GB"/>
        </w:rPr>
        <w:t>Makélékélé</w:t>
      </w:r>
      <w:proofErr w:type="spellEnd"/>
      <w:r w:rsidRPr="003828AA">
        <w:rPr>
          <w:color w:val="000000"/>
          <w:lang w:val="en-GB"/>
        </w:rPr>
        <w:t>, 10.0%) and 7th (</w:t>
      </w:r>
      <w:proofErr w:type="spellStart"/>
      <w:r w:rsidRPr="003828AA">
        <w:rPr>
          <w:color w:val="000000"/>
          <w:lang w:val="en-GB"/>
        </w:rPr>
        <w:t>Mfilou</w:t>
      </w:r>
      <w:proofErr w:type="spellEnd"/>
      <w:r w:rsidRPr="003828AA">
        <w:rPr>
          <w:color w:val="000000"/>
          <w:lang w:val="en-GB"/>
        </w:rPr>
        <w:t>, 12.1%) arrondissements (Table 2).</w:t>
      </w:r>
    </w:p>
    <w:p w14:paraId="72B98A68" w14:textId="77777777" w:rsidR="00EE5FDB" w:rsidRPr="003828AA" w:rsidRDefault="00EE5FDB">
      <w:pPr>
        <w:spacing w:before="40" w:after="40"/>
        <w:rPr>
          <w:lang w:val="en-GB"/>
        </w:rPr>
      </w:pPr>
    </w:p>
    <w:p w14:paraId="72B98A69" w14:textId="58795A8A" w:rsidR="00EE5FDB" w:rsidRPr="003828AA" w:rsidRDefault="00435B84">
      <w:pPr>
        <w:spacing w:line="480" w:lineRule="auto"/>
        <w:ind w:firstLine="720"/>
        <w:jc w:val="both"/>
        <w:rPr>
          <w:lang w:val="en-GB"/>
        </w:rPr>
      </w:pPr>
      <w:r w:rsidRPr="003828AA">
        <w:rPr>
          <w:color w:val="000000"/>
          <w:lang w:val="en-GB"/>
        </w:rPr>
        <w:t xml:space="preserve">Biologically, co-infected children had significantly higher parasitaemia (12,600 vs 6,300 parasites/µL; </w:t>
      </w:r>
      <w:r w:rsidR="00F70D28" w:rsidRPr="00F70D28">
        <w:rPr>
          <w:i/>
          <w:iCs/>
          <w:color w:val="000000"/>
          <w:lang w:val="en-GB"/>
        </w:rPr>
        <w:t xml:space="preserve">p&lt; </w:t>
      </w:r>
      <w:r w:rsidRPr="003828AA">
        <w:rPr>
          <w:color w:val="000000"/>
          <w:lang w:val="en-GB"/>
        </w:rPr>
        <w:t xml:space="preserve">0.001) and a higher white blood cell count (10.5 vs 9.2 G/L; </w:t>
      </w:r>
      <w:r w:rsidR="00393EF7" w:rsidRPr="00393EF7">
        <w:rPr>
          <w:i/>
          <w:iCs/>
          <w:color w:val="000000"/>
          <w:lang w:val="en-GB"/>
        </w:rPr>
        <w:t>p=</w:t>
      </w:r>
      <w:r w:rsidRPr="003828AA">
        <w:rPr>
          <w:color w:val="000000"/>
          <w:lang w:val="en-GB"/>
        </w:rPr>
        <w:t xml:space="preserve">0.005). Severe malaria was significantly more frequent among co-infected children (51.4% vs 33.5%; </w:t>
      </w:r>
      <w:r w:rsidR="00393EF7" w:rsidRPr="00393EF7">
        <w:rPr>
          <w:i/>
          <w:iCs/>
          <w:color w:val="000000"/>
          <w:lang w:val="en-GB"/>
        </w:rPr>
        <w:t>p=</w:t>
      </w:r>
      <w:r w:rsidRPr="003828AA">
        <w:rPr>
          <w:color w:val="000000"/>
          <w:lang w:val="en-GB"/>
        </w:rPr>
        <w:t xml:space="preserve">0.005). In-hospital mortality (9.5% vs 6.5%; </w:t>
      </w:r>
      <w:r w:rsidR="00393EF7" w:rsidRPr="00393EF7">
        <w:rPr>
          <w:i/>
          <w:iCs/>
          <w:color w:val="000000"/>
          <w:lang w:val="en-GB"/>
        </w:rPr>
        <w:t>p=</w:t>
      </w:r>
      <w:r w:rsidRPr="003828AA">
        <w:rPr>
          <w:color w:val="000000"/>
          <w:lang w:val="en-GB"/>
        </w:rPr>
        <w:t xml:space="preserve">0.370) and unfavourable outcomes (13.5% vs 8.4%; </w:t>
      </w:r>
      <w:r w:rsidR="00393EF7" w:rsidRPr="00393EF7">
        <w:rPr>
          <w:i/>
          <w:iCs/>
          <w:color w:val="000000"/>
          <w:lang w:val="en-GB"/>
        </w:rPr>
        <w:t>p=</w:t>
      </w:r>
      <w:r w:rsidRPr="003828AA">
        <w:rPr>
          <w:color w:val="000000"/>
          <w:lang w:val="en-GB"/>
        </w:rPr>
        <w:t>0.187) were not significantly different between groups. Co-infected children had a significantly longer length of stay (5 days [IQR 3</w:t>
      </w:r>
      <w:r w:rsidR="00433F1A">
        <w:rPr>
          <w:color w:val="000000"/>
          <w:lang w:val="en-GB"/>
        </w:rPr>
        <w:t>-</w:t>
      </w:r>
      <w:r w:rsidRPr="003828AA">
        <w:rPr>
          <w:color w:val="000000"/>
          <w:lang w:val="en-GB"/>
        </w:rPr>
        <w:t>8] vs 5 days [IQR 3</w:t>
      </w:r>
      <w:r w:rsidR="00433F1A">
        <w:rPr>
          <w:color w:val="000000"/>
          <w:lang w:val="en-GB"/>
        </w:rPr>
        <w:t>-</w:t>
      </w:r>
      <w:r w:rsidRPr="003828AA">
        <w:rPr>
          <w:color w:val="000000"/>
          <w:lang w:val="en-GB"/>
        </w:rPr>
        <w:t xml:space="preserve">6]; </w:t>
      </w:r>
      <w:r w:rsidR="00393EF7" w:rsidRPr="00393EF7">
        <w:rPr>
          <w:i/>
          <w:iCs/>
          <w:color w:val="000000"/>
          <w:lang w:val="en-GB"/>
        </w:rPr>
        <w:t>p=</w:t>
      </w:r>
      <w:r w:rsidRPr="003828AA">
        <w:rPr>
          <w:color w:val="000000"/>
          <w:lang w:val="en-GB"/>
        </w:rPr>
        <w:t>0.017).</w:t>
      </w:r>
    </w:p>
    <w:p w14:paraId="72B98A6A" w14:textId="77777777" w:rsidR="00EE5FDB" w:rsidRPr="003828AA" w:rsidRDefault="00EE5FDB">
      <w:pPr>
        <w:spacing w:before="40" w:after="40"/>
        <w:rPr>
          <w:lang w:val="en-GB"/>
        </w:rPr>
      </w:pPr>
    </w:p>
    <w:p w14:paraId="72B98A6B" w14:textId="2F3BD90F" w:rsidR="00EE5FDB" w:rsidRPr="003828AA" w:rsidRDefault="00435B84">
      <w:pPr>
        <w:spacing w:before="80" w:after="40" w:line="360" w:lineRule="auto"/>
        <w:rPr>
          <w:lang w:val="en-GB"/>
        </w:rPr>
      </w:pPr>
      <w:r w:rsidRPr="003828AA">
        <w:rPr>
          <w:b/>
          <w:bCs/>
          <w:color w:val="000000"/>
          <w:lang w:val="en-GB"/>
        </w:rPr>
        <w:t xml:space="preserve">Table 2. Comparison of characteristics between children with malaria </w:t>
      </w:r>
      <w:proofErr w:type="spellStart"/>
      <w:r w:rsidRPr="003828AA">
        <w:rPr>
          <w:b/>
          <w:bCs/>
          <w:color w:val="000000"/>
          <w:lang w:val="en-GB"/>
        </w:rPr>
        <w:t>monoinfection</w:t>
      </w:r>
      <w:proofErr w:type="spellEnd"/>
      <w:r w:rsidRPr="003828AA">
        <w:rPr>
          <w:b/>
          <w:bCs/>
          <w:color w:val="000000"/>
          <w:lang w:val="en-GB"/>
        </w:rPr>
        <w:t xml:space="preserve"> and those with co-infection (N</w:t>
      </w:r>
      <w:r w:rsidR="002C5BBA" w:rsidRPr="002C5BBA">
        <w:rPr>
          <w:b/>
          <w:bCs/>
          <w:i/>
          <w:iCs/>
          <w:color w:val="000000"/>
          <w:lang w:val="en-GB"/>
        </w:rPr>
        <w:t>=</w:t>
      </w:r>
      <w:r w:rsidRPr="003828AA">
        <w:rPr>
          <w:b/>
          <w:bCs/>
          <w:color w:val="000000"/>
          <w:lang w:val="en-GB"/>
        </w:rPr>
        <w:t>441)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89"/>
        <w:gridCol w:w="2393"/>
        <w:gridCol w:w="2513"/>
        <w:gridCol w:w="865"/>
      </w:tblGrid>
      <w:tr w:rsidR="00EE5FDB" w14:paraId="72B98A70" w14:textId="77777777">
        <w:tc>
          <w:tcPr>
            <w:tcW w:w="30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6C" w14:textId="77777777" w:rsidR="00EE5FDB" w:rsidRDefault="00435B84">
            <w:pPr>
              <w:jc w:val="center"/>
            </w:pPr>
            <w:r>
              <w:rPr>
                <w:b/>
                <w:bCs/>
                <w:color w:val="FFFFFF"/>
                <w:sz w:val="20"/>
                <w:szCs w:val="20"/>
              </w:rPr>
              <w:t>Variable</w:t>
            </w:r>
          </w:p>
        </w:tc>
        <w:tc>
          <w:tcPr>
            <w:tcW w:w="20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6D" w14:textId="77777777" w:rsidR="00EE5FDB" w:rsidRDefault="00435B84">
            <w:pPr>
              <w:jc w:val="center"/>
            </w:pPr>
            <w:r>
              <w:rPr>
                <w:b/>
                <w:bCs/>
                <w:color w:val="FFFFFF"/>
                <w:sz w:val="20"/>
                <w:szCs w:val="20"/>
              </w:rPr>
              <w:t>Monoinfection (n=367)</w:t>
            </w:r>
          </w:p>
        </w:tc>
        <w:tc>
          <w:tcPr>
            <w:tcW w:w="21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6E" w14:textId="77777777" w:rsidR="00EE5FDB" w:rsidRDefault="00435B84">
            <w:pPr>
              <w:jc w:val="center"/>
            </w:pPr>
            <w:r>
              <w:rPr>
                <w:b/>
                <w:bCs/>
                <w:color w:val="FFFFFF"/>
                <w:sz w:val="20"/>
                <w:szCs w:val="20"/>
              </w:rPr>
              <w:t>Co-infection (n=74)</w:t>
            </w:r>
          </w:p>
        </w:tc>
        <w:tc>
          <w:tcPr>
            <w:tcW w:w="68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6F" w14:textId="77777777" w:rsidR="00EE5FDB" w:rsidRPr="007D2052" w:rsidRDefault="00435B84">
            <w:pPr>
              <w:jc w:val="center"/>
              <w:rPr>
                <w:i/>
                <w:iCs/>
              </w:rPr>
            </w:pPr>
            <w:r w:rsidRPr="007D2052">
              <w:rPr>
                <w:b/>
                <w:bCs/>
                <w:i/>
                <w:iCs/>
                <w:color w:val="FFFFFF"/>
                <w:sz w:val="20"/>
                <w:szCs w:val="20"/>
              </w:rPr>
              <w:t>p</w:t>
            </w:r>
          </w:p>
        </w:tc>
      </w:tr>
      <w:tr w:rsidR="00EE5FDB" w14:paraId="72B98A72"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71" w14:textId="77777777" w:rsidR="00EE5FDB" w:rsidRDefault="00435B84">
            <w:r>
              <w:rPr>
                <w:b/>
                <w:bCs/>
                <w:sz w:val="20"/>
                <w:szCs w:val="20"/>
              </w:rPr>
              <w:t>Sociodemographic</w:t>
            </w:r>
          </w:p>
        </w:tc>
      </w:tr>
      <w:tr w:rsidR="00EE5FDB" w14:paraId="72B98A77"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73" w14:textId="77777777" w:rsidR="00EE5FDB" w:rsidRDefault="00435B84">
            <w:r>
              <w:rPr>
                <w:sz w:val="20"/>
                <w:szCs w:val="20"/>
              </w:rPr>
              <w:t>Age &lt; 5 years, n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74" w14:textId="77777777" w:rsidR="00EE5FDB" w:rsidRDefault="00435B84">
            <w:pPr>
              <w:jc w:val="center"/>
            </w:pPr>
            <w:r>
              <w:rPr>
                <w:sz w:val="20"/>
                <w:szCs w:val="20"/>
              </w:rPr>
              <w:t>192/367 (52.3%)</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75" w14:textId="77777777" w:rsidR="00EE5FDB" w:rsidRDefault="00435B84">
            <w:pPr>
              <w:jc w:val="center"/>
            </w:pPr>
            <w:r>
              <w:rPr>
                <w:sz w:val="20"/>
                <w:szCs w:val="20"/>
              </w:rPr>
              <w:t>48/74 (64.9%)</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76" w14:textId="77777777" w:rsidR="00EE5FDB" w:rsidRDefault="00435B84">
            <w:pPr>
              <w:jc w:val="center"/>
            </w:pPr>
            <w:r>
              <w:rPr>
                <w:sz w:val="20"/>
                <w:szCs w:val="20"/>
              </w:rPr>
              <w:t>0.048</w:t>
            </w:r>
          </w:p>
        </w:tc>
      </w:tr>
      <w:tr w:rsidR="00EE5FDB" w14:paraId="72B98A7C"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78" w14:textId="77777777" w:rsidR="00EE5FDB" w:rsidRDefault="00435B84">
            <w:r>
              <w:rPr>
                <w:sz w:val="20"/>
                <w:szCs w:val="20"/>
              </w:rPr>
              <w:t>Age, median months [IQR]</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79" w14:textId="4F9ABD4F" w:rsidR="00EE5FDB" w:rsidRDefault="00435B84">
            <w:pPr>
              <w:jc w:val="center"/>
            </w:pPr>
            <w:r>
              <w:rPr>
                <w:sz w:val="20"/>
                <w:szCs w:val="20"/>
              </w:rPr>
              <w:t>48 [17</w:t>
            </w:r>
            <w:r w:rsidR="00433F1A">
              <w:rPr>
                <w:sz w:val="20"/>
                <w:szCs w:val="20"/>
              </w:rPr>
              <w:t>-</w:t>
            </w:r>
            <w:r>
              <w:rPr>
                <w:sz w:val="20"/>
                <w:szCs w:val="20"/>
              </w:rPr>
              <w:t>96]</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7A" w14:textId="605D3C7D" w:rsidR="00EE5FDB" w:rsidRDefault="00435B84">
            <w:pPr>
              <w:jc w:val="center"/>
            </w:pPr>
            <w:r>
              <w:rPr>
                <w:sz w:val="20"/>
                <w:szCs w:val="20"/>
              </w:rPr>
              <w:t>36 [12</w:t>
            </w:r>
            <w:r w:rsidR="00433F1A">
              <w:rPr>
                <w:sz w:val="20"/>
                <w:szCs w:val="20"/>
              </w:rPr>
              <w:t>-</w:t>
            </w:r>
            <w:r>
              <w:rPr>
                <w:sz w:val="20"/>
                <w:szCs w:val="20"/>
              </w:rPr>
              <w:t>90]</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7B" w14:textId="77777777" w:rsidR="00EE5FDB" w:rsidRDefault="00435B84">
            <w:pPr>
              <w:jc w:val="center"/>
            </w:pPr>
            <w:r>
              <w:rPr>
                <w:sz w:val="20"/>
                <w:szCs w:val="20"/>
              </w:rPr>
              <w:t>0.097</w:t>
            </w:r>
          </w:p>
        </w:tc>
      </w:tr>
      <w:tr w:rsidR="00EE5FDB" w14:paraId="72B98A81"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7D" w14:textId="77777777" w:rsidR="00EE5FDB" w:rsidRDefault="00435B84">
            <w:r>
              <w:rPr>
                <w:sz w:val="20"/>
                <w:szCs w:val="20"/>
              </w:rPr>
              <w:t>Male sex, n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7E" w14:textId="77777777" w:rsidR="00EE5FDB" w:rsidRDefault="00435B84">
            <w:pPr>
              <w:jc w:val="center"/>
            </w:pPr>
            <w:r>
              <w:rPr>
                <w:sz w:val="20"/>
                <w:szCs w:val="20"/>
              </w:rPr>
              <w:t>203/360 (56.4%)</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7F" w14:textId="77777777" w:rsidR="00EE5FDB" w:rsidRDefault="00435B84">
            <w:pPr>
              <w:jc w:val="center"/>
            </w:pPr>
            <w:r>
              <w:rPr>
                <w:sz w:val="20"/>
                <w:szCs w:val="20"/>
              </w:rPr>
              <w:t>38/72 (52.8%)</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80" w14:textId="77777777" w:rsidR="00EE5FDB" w:rsidRDefault="00435B84">
            <w:pPr>
              <w:jc w:val="center"/>
            </w:pPr>
            <w:r>
              <w:rPr>
                <w:sz w:val="20"/>
                <w:szCs w:val="20"/>
              </w:rPr>
              <w:t>0.573</w:t>
            </w:r>
          </w:p>
        </w:tc>
      </w:tr>
      <w:tr w:rsidR="00EE5FDB" w14:paraId="72B98A86"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82" w14:textId="77777777" w:rsidR="00EE5FDB" w:rsidRDefault="00435B84">
            <w:r>
              <w:rPr>
                <w:sz w:val="20"/>
                <w:szCs w:val="20"/>
              </w:rPr>
              <w:t>Not attending school, n (%)</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83" w14:textId="77777777" w:rsidR="00EE5FDB" w:rsidRDefault="00435B84">
            <w:pPr>
              <w:jc w:val="center"/>
            </w:pPr>
            <w:r>
              <w:rPr>
                <w:sz w:val="20"/>
                <w:szCs w:val="20"/>
              </w:rPr>
              <w:t>208/367 (56.7%)</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84" w14:textId="77777777" w:rsidR="00EE5FDB" w:rsidRDefault="00435B84">
            <w:pPr>
              <w:jc w:val="center"/>
            </w:pPr>
            <w:r>
              <w:rPr>
                <w:sz w:val="20"/>
                <w:szCs w:val="20"/>
              </w:rPr>
              <w:t>46/74 (62.2%)</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85" w14:textId="77777777" w:rsidR="00EE5FDB" w:rsidRDefault="00435B84">
            <w:pPr>
              <w:jc w:val="center"/>
            </w:pPr>
            <w:r>
              <w:rPr>
                <w:sz w:val="20"/>
                <w:szCs w:val="20"/>
              </w:rPr>
              <w:t>0.384</w:t>
            </w:r>
          </w:p>
        </w:tc>
      </w:tr>
      <w:tr w:rsidR="00EE5FDB" w14:paraId="72B98A88"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87" w14:textId="77777777" w:rsidR="00EE5FDB" w:rsidRDefault="00435B84">
            <w:r>
              <w:rPr>
                <w:b/>
                <w:bCs/>
                <w:sz w:val="20"/>
                <w:szCs w:val="20"/>
              </w:rPr>
              <w:t>Prevention and healthcare access</w:t>
            </w:r>
          </w:p>
        </w:tc>
      </w:tr>
      <w:tr w:rsidR="00EE5FDB" w14:paraId="72B98A8D"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89" w14:textId="77777777" w:rsidR="00EE5FDB" w:rsidRDefault="00435B84">
            <w:r>
              <w:rPr>
                <w:sz w:val="20"/>
                <w:szCs w:val="20"/>
              </w:rPr>
              <w:t>ITN use, n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8A" w14:textId="77777777" w:rsidR="00EE5FDB" w:rsidRDefault="00435B84">
            <w:pPr>
              <w:jc w:val="center"/>
            </w:pPr>
            <w:r>
              <w:rPr>
                <w:sz w:val="20"/>
                <w:szCs w:val="20"/>
              </w:rPr>
              <w:t>133/367 (36.2%)</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8B" w14:textId="77777777" w:rsidR="00EE5FDB" w:rsidRDefault="00435B84">
            <w:pPr>
              <w:jc w:val="center"/>
            </w:pPr>
            <w:r>
              <w:rPr>
                <w:sz w:val="20"/>
                <w:szCs w:val="20"/>
              </w:rPr>
              <w:t>31/74 (41.9%)</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8C" w14:textId="77777777" w:rsidR="00EE5FDB" w:rsidRDefault="00435B84">
            <w:pPr>
              <w:jc w:val="center"/>
            </w:pPr>
            <w:r>
              <w:rPr>
                <w:sz w:val="20"/>
                <w:szCs w:val="20"/>
              </w:rPr>
              <w:t>0.359</w:t>
            </w:r>
          </w:p>
        </w:tc>
      </w:tr>
      <w:tr w:rsidR="00EE5FDB" w14:paraId="72B98A92"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8E" w14:textId="77777777" w:rsidR="00EE5FDB" w:rsidRDefault="00435B84">
            <w:r>
              <w:rPr>
                <w:sz w:val="20"/>
                <w:szCs w:val="20"/>
              </w:rPr>
              <w:t>Self-medication, n (%)</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8F" w14:textId="77777777" w:rsidR="00EE5FDB" w:rsidRDefault="00435B84">
            <w:pPr>
              <w:jc w:val="center"/>
            </w:pPr>
            <w:r>
              <w:rPr>
                <w:sz w:val="20"/>
                <w:szCs w:val="20"/>
              </w:rPr>
              <w:t>96/367 (26.2%)</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90" w14:textId="77777777" w:rsidR="00EE5FDB" w:rsidRDefault="00435B84">
            <w:pPr>
              <w:jc w:val="center"/>
            </w:pPr>
            <w:r>
              <w:rPr>
                <w:sz w:val="20"/>
                <w:szCs w:val="20"/>
              </w:rPr>
              <w:t>25/74 (33.8%)</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91" w14:textId="77777777" w:rsidR="00EE5FDB" w:rsidRDefault="00435B84">
            <w:pPr>
              <w:jc w:val="center"/>
            </w:pPr>
            <w:r>
              <w:rPr>
                <w:sz w:val="20"/>
                <w:szCs w:val="20"/>
              </w:rPr>
              <w:t>0.180</w:t>
            </w:r>
          </w:p>
        </w:tc>
      </w:tr>
      <w:tr w:rsidR="00EE5FDB" w14:paraId="72B98A97"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93" w14:textId="77777777" w:rsidR="00EE5FDB" w:rsidRDefault="00435B84">
            <w:r>
              <w:rPr>
                <w:sz w:val="20"/>
                <w:szCs w:val="20"/>
              </w:rPr>
              <w:t>Consultation delay &gt; 48h, n (%)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94" w14:textId="77777777" w:rsidR="00EE5FDB" w:rsidRDefault="00435B84">
            <w:pPr>
              <w:jc w:val="center"/>
            </w:pPr>
            <w:r>
              <w:rPr>
                <w:sz w:val="20"/>
                <w:szCs w:val="20"/>
              </w:rPr>
              <w:t>157/273 (57.5%)</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95" w14:textId="77777777" w:rsidR="00EE5FDB" w:rsidRDefault="00435B84">
            <w:pPr>
              <w:jc w:val="center"/>
            </w:pPr>
            <w:r>
              <w:rPr>
                <w:sz w:val="20"/>
                <w:szCs w:val="20"/>
              </w:rPr>
              <w:t>31/44 (70.5%)</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96" w14:textId="77777777" w:rsidR="00EE5FDB" w:rsidRDefault="00435B84">
            <w:pPr>
              <w:jc w:val="center"/>
            </w:pPr>
            <w:r>
              <w:rPr>
                <w:sz w:val="20"/>
                <w:szCs w:val="20"/>
              </w:rPr>
              <w:t>0.105</w:t>
            </w:r>
          </w:p>
        </w:tc>
      </w:tr>
      <w:tr w:rsidR="00EE5FDB" w14:paraId="72B98A9C"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98" w14:textId="77777777" w:rsidR="00EE5FDB" w:rsidRDefault="00435B84">
            <w:r>
              <w:rPr>
                <w:sz w:val="20"/>
                <w:szCs w:val="20"/>
              </w:rPr>
              <w:t>Delay, median days [IQR] †</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99" w14:textId="6CC27128" w:rsidR="00EE5FDB" w:rsidRDefault="00435B84">
            <w:pPr>
              <w:jc w:val="center"/>
            </w:pPr>
            <w:r>
              <w:rPr>
                <w:sz w:val="20"/>
                <w:szCs w:val="20"/>
              </w:rPr>
              <w:t>3 [2</w:t>
            </w:r>
            <w:r w:rsidR="00433F1A">
              <w:rPr>
                <w:sz w:val="20"/>
                <w:szCs w:val="20"/>
              </w:rPr>
              <w:t>-</w:t>
            </w:r>
            <w:r>
              <w:rPr>
                <w:sz w:val="20"/>
                <w:szCs w:val="20"/>
              </w:rPr>
              <w:t>5]</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9A" w14:textId="7F0CB464" w:rsidR="00EE5FDB" w:rsidRDefault="00435B84">
            <w:pPr>
              <w:jc w:val="center"/>
            </w:pPr>
            <w:r>
              <w:rPr>
                <w:sz w:val="20"/>
                <w:szCs w:val="20"/>
              </w:rPr>
              <w:t>4 [2</w:t>
            </w:r>
            <w:r w:rsidR="00433F1A">
              <w:rPr>
                <w:sz w:val="20"/>
                <w:szCs w:val="20"/>
              </w:rPr>
              <w:t>-</w:t>
            </w:r>
            <w:r>
              <w:rPr>
                <w:sz w:val="20"/>
                <w:szCs w:val="20"/>
              </w:rPr>
              <w:t>7]</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9B" w14:textId="77777777" w:rsidR="00EE5FDB" w:rsidRDefault="00435B84">
            <w:pPr>
              <w:jc w:val="center"/>
            </w:pPr>
            <w:r>
              <w:rPr>
                <w:sz w:val="20"/>
                <w:szCs w:val="20"/>
              </w:rPr>
              <w:t>0.016</w:t>
            </w:r>
          </w:p>
        </w:tc>
      </w:tr>
      <w:tr w:rsidR="00EE5FDB" w14:paraId="72B98A9E"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9D" w14:textId="77777777" w:rsidR="00EE5FDB" w:rsidRDefault="00435B84">
            <w:r>
              <w:rPr>
                <w:b/>
                <w:bCs/>
                <w:sz w:val="20"/>
                <w:szCs w:val="20"/>
              </w:rPr>
              <w:t>Residence</w:t>
            </w:r>
          </w:p>
        </w:tc>
      </w:tr>
      <w:tr w:rsidR="00EE5FDB" w14:paraId="72B98AA3"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9F" w14:textId="77777777" w:rsidR="00EE5FDB" w:rsidRPr="003828AA" w:rsidRDefault="00435B84">
            <w:pPr>
              <w:rPr>
                <w:lang w:val="en-GB"/>
              </w:rPr>
            </w:pPr>
            <w:r w:rsidRPr="003828AA">
              <w:rPr>
                <w:sz w:val="20"/>
                <w:szCs w:val="20"/>
                <w:lang w:val="en-GB"/>
              </w:rPr>
              <w:t>Central arrondissements (3rd/5th/6th), n (%)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A0" w14:textId="77777777" w:rsidR="00EE5FDB" w:rsidRDefault="00435B84">
            <w:pPr>
              <w:jc w:val="center"/>
            </w:pPr>
            <w:r>
              <w:rPr>
                <w:sz w:val="20"/>
                <w:szCs w:val="20"/>
              </w:rPr>
              <w:t>89/354 (25.1%)</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A1" w14:textId="77777777" w:rsidR="00EE5FDB" w:rsidRDefault="00435B84">
            <w:pPr>
              <w:jc w:val="center"/>
            </w:pPr>
            <w:r>
              <w:rPr>
                <w:sz w:val="20"/>
                <w:szCs w:val="20"/>
              </w:rPr>
              <w:t>29/70 (41.4%)</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A2" w14:textId="77777777" w:rsidR="00EE5FDB" w:rsidRDefault="00435B84">
            <w:pPr>
              <w:jc w:val="center"/>
            </w:pPr>
            <w:r>
              <w:rPr>
                <w:sz w:val="20"/>
                <w:szCs w:val="20"/>
              </w:rPr>
              <w:t>0.008</w:t>
            </w:r>
          </w:p>
        </w:tc>
      </w:tr>
      <w:tr w:rsidR="00EE5FDB" w14:paraId="72B98AA5"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A4" w14:textId="77777777" w:rsidR="00EE5FDB" w:rsidRDefault="00435B84">
            <w:r>
              <w:rPr>
                <w:b/>
                <w:bCs/>
                <w:sz w:val="20"/>
                <w:szCs w:val="20"/>
              </w:rPr>
              <w:t>Clinical presentation</w:t>
            </w:r>
          </w:p>
        </w:tc>
      </w:tr>
      <w:tr w:rsidR="00EE5FDB" w14:paraId="72B98AAA"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A6" w14:textId="77777777" w:rsidR="00EE5FDB" w:rsidRDefault="00435B84">
            <w:r>
              <w:rPr>
                <w:sz w:val="20"/>
                <w:szCs w:val="20"/>
              </w:rPr>
              <w:t>Fever, n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A7" w14:textId="77777777" w:rsidR="00EE5FDB" w:rsidRDefault="00435B84">
            <w:pPr>
              <w:jc w:val="center"/>
            </w:pPr>
            <w:r>
              <w:rPr>
                <w:sz w:val="20"/>
                <w:szCs w:val="20"/>
              </w:rPr>
              <w:t>215/367 (58.6%)</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A8" w14:textId="77777777" w:rsidR="00EE5FDB" w:rsidRDefault="00435B84">
            <w:pPr>
              <w:jc w:val="center"/>
            </w:pPr>
            <w:r>
              <w:rPr>
                <w:sz w:val="20"/>
                <w:szCs w:val="20"/>
              </w:rPr>
              <w:t>32/74 (43.2%)</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A9" w14:textId="77777777" w:rsidR="00EE5FDB" w:rsidRDefault="00435B84">
            <w:pPr>
              <w:jc w:val="center"/>
            </w:pPr>
            <w:r>
              <w:rPr>
                <w:sz w:val="20"/>
                <w:szCs w:val="20"/>
              </w:rPr>
              <w:t>0.015</w:t>
            </w:r>
          </w:p>
        </w:tc>
      </w:tr>
      <w:tr w:rsidR="00EE5FDB" w14:paraId="72B98AAF"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AB" w14:textId="77777777" w:rsidR="00EE5FDB" w:rsidRDefault="00435B84">
            <w:r>
              <w:rPr>
                <w:sz w:val="20"/>
                <w:szCs w:val="20"/>
              </w:rPr>
              <w:t>Vomiting, n (%)</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AC" w14:textId="77777777" w:rsidR="00EE5FDB" w:rsidRDefault="00435B84">
            <w:pPr>
              <w:jc w:val="center"/>
            </w:pPr>
            <w:r>
              <w:rPr>
                <w:sz w:val="20"/>
                <w:szCs w:val="20"/>
              </w:rPr>
              <w:t>78/367 (21.3%)</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AD" w14:textId="77777777" w:rsidR="00EE5FDB" w:rsidRDefault="00435B84">
            <w:pPr>
              <w:jc w:val="center"/>
            </w:pPr>
            <w:r>
              <w:rPr>
                <w:sz w:val="20"/>
                <w:szCs w:val="20"/>
              </w:rPr>
              <w:t>8/74 (10.8%)</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AE" w14:textId="77777777" w:rsidR="00EE5FDB" w:rsidRDefault="00435B84">
            <w:pPr>
              <w:jc w:val="center"/>
            </w:pPr>
            <w:r>
              <w:rPr>
                <w:sz w:val="20"/>
                <w:szCs w:val="20"/>
              </w:rPr>
              <w:t>0.039</w:t>
            </w:r>
          </w:p>
        </w:tc>
      </w:tr>
      <w:tr w:rsidR="00EE5FDB" w14:paraId="72B98AB4"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0" w14:textId="77777777" w:rsidR="00EE5FDB" w:rsidRDefault="00435B84">
            <w:r>
              <w:rPr>
                <w:sz w:val="20"/>
                <w:szCs w:val="20"/>
              </w:rPr>
              <w:t>Seizures, n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1" w14:textId="77777777" w:rsidR="00EE5FDB" w:rsidRDefault="00435B84">
            <w:pPr>
              <w:jc w:val="center"/>
            </w:pPr>
            <w:r>
              <w:rPr>
                <w:sz w:val="20"/>
                <w:szCs w:val="20"/>
              </w:rPr>
              <w:t>81/367 (22.1%)</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2" w14:textId="77777777" w:rsidR="00EE5FDB" w:rsidRDefault="00435B84">
            <w:pPr>
              <w:jc w:val="center"/>
            </w:pPr>
            <w:r>
              <w:rPr>
                <w:sz w:val="20"/>
                <w:szCs w:val="20"/>
              </w:rPr>
              <w:t>16/74 (21.6%)</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3" w14:textId="77777777" w:rsidR="00EE5FDB" w:rsidRDefault="00435B84">
            <w:pPr>
              <w:jc w:val="center"/>
            </w:pPr>
            <w:r>
              <w:rPr>
                <w:sz w:val="20"/>
                <w:szCs w:val="20"/>
              </w:rPr>
              <w:t>0.932</w:t>
            </w:r>
          </w:p>
        </w:tc>
      </w:tr>
      <w:tr w:rsidR="00EE5FDB" w14:paraId="72B98AB6"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B5" w14:textId="77777777" w:rsidR="00EE5FDB" w:rsidRDefault="00435B84">
            <w:r>
              <w:rPr>
                <w:b/>
                <w:bCs/>
                <w:sz w:val="20"/>
                <w:szCs w:val="20"/>
              </w:rPr>
              <w:t>Laboratory findings</w:t>
            </w:r>
          </w:p>
        </w:tc>
      </w:tr>
      <w:tr w:rsidR="00EE5FDB" w14:paraId="72B98ABB"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7" w14:textId="77777777" w:rsidR="00EE5FDB" w:rsidRDefault="00435B84">
            <w:r>
              <w:rPr>
                <w:sz w:val="20"/>
                <w:szCs w:val="20"/>
              </w:rPr>
              <w:t>Haemoglobin, g/dL</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8" w14:textId="0A6B8954" w:rsidR="00EE5FDB" w:rsidRDefault="00435B84">
            <w:pPr>
              <w:jc w:val="center"/>
            </w:pPr>
            <w:r>
              <w:rPr>
                <w:sz w:val="20"/>
                <w:szCs w:val="20"/>
              </w:rPr>
              <w:t>8.9 [6.0</w:t>
            </w:r>
            <w:r w:rsidR="00433F1A">
              <w:rPr>
                <w:sz w:val="20"/>
                <w:szCs w:val="20"/>
              </w:rPr>
              <w:t>-</w:t>
            </w:r>
            <w:r>
              <w:rPr>
                <w:sz w:val="20"/>
                <w:szCs w:val="20"/>
              </w:rPr>
              <w:t>11.2]</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9" w14:textId="7DD4978E" w:rsidR="00EE5FDB" w:rsidRDefault="00435B84">
            <w:pPr>
              <w:jc w:val="center"/>
            </w:pPr>
            <w:r>
              <w:rPr>
                <w:sz w:val="20"/>
                <w:szCs w:val="20"/>
              </w:rPr>
              <w:t>8.6 [6.0</w:t>
            </w:r>
            <w:r w:rsidR="00433F1A">
              <w:rPr>
                <w:sz w:val="20"/>
                <w:szCs w:val="20"/>
              </w:rPr>
              <w:t>-</w:t>
            </w:r>
            <w:r>
              <w:rPr>
                <w:sz w:val="20"/>
                <w:szCs w:val="20"/>
              </w:rPr>
              <w:t>10.4]</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BA" w14:textId="77777777" w:rsidR="00EE5FDB" w:rsidRDefault="00435B84">
            <w:pPr>
              <w:jc w:val="center"/>
            </w:pPr>
            <w:r>
              <w:rPr>
                <w:sz w:val="20"/>
                <w:szCs w:val="20"/>
              </w:rPr>
              <w:t>0.362</w:t>
            </w:r>
          </w:p>
        </w:tc>
      </w:tr>
      <w:tr w:rsidR="00EE5FDB" w14:paraId="72B98AC0"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BC" w14:textId="77777777" w:rsidR="00EE5FDB" w:rsidRDefault="00435B84">
            <w:r>
              <w:rPr>
                <w:sz w:val="20"/>
                <w:szCs w:val="20"/>
              </w:rPr>
              <w:t>Parasitaemia, ×10³/µL</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BD" w14:textId="73A2E72B" w:rsidR="00EE5FDB" w:rsidRDefault="00435B84">
            <w:pPr>
              <w:jc w:val="center"/>
            </w:pPr>
            <w:r>
              <w:rPr>
                <w:sz w:val="20"/>
                <w:szCs w:val="20"/>
              </w:rPr>
              <w:t>6.3 [2.4</w:t>
            </w:r>
            <w:r w:rsidR="00433F1A">
              <w:rPr>
                <w:sz w:val="20"/>
                <w:szCs w:val="20"/>
              </w:rPr>
              <w:t>-</w:t>
            </w:r>
            <w:r>
              <w:rPr>
                <w:sz w:val="20"/>
                <w:szCs w:val="20"/>
              </w:rPr>
              <w:t>17.3]</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BE" w14:textId="38C32706" w:rsidR="00EE5FDB" w:rsidRDefault="00435B84">
            <w:pPr>
              <w:jc w:val="center"/>
            </w:pPr>
            <w:r>
              <w:rPr>
                <w:sz w:val="20"/>
                <w:szCs w:val="20"/>
              </w:rPr>
              <w:t>12.6 [4.9</w:t>
            </w:r>
            <w:r w:rsidR="00433F1A">
              <w:rPr>
                <w:sz w:val="20"/>
                <w:szCs w:val="20"/>
              </w:rPr>
              <w:t>-</w:t>
            </w:r>
            <w:r>
              <w:rPr>
                <w:sz w:val="20"/>
                <w:szCs w:val="20"/>
              </w:rPr>
              <w:t>51.2]</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BF" w14:textId="77777777" w:rsidR="00EE5FDB" w:rsidRDefault="00435B84">
            <w:pPr>
              <w:jc w:val="center"/>
            </w:pPr>
            <w:r>
              <w:rPr>
                <w:sz w:val="20"/>
                <w:szCs w:val="20"/>
              </w:rPr>
              <w:t>&lt;0.001</w:t>
            </w:r>
          </w:p>
        </w:tc>
      </w:tr>
      <w:tr w:rsidR="00EE5FDB" w14:paraId="72B98AC5"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C1" w14:textId="77777777" w:rsidR="00EE5FDB" w:rsidRPr="003828AA" w:rsidRDefault="00435B84">
            <w:pPr>
              <w:rPr>
                <w:lang w:val="en-GB"/>
              </w:rPr>
            </w:pPr>
            <w:r w:rsidRPr="003828AA">
              <w:rPr>
                <w:sz w:val="20"/>
                <w:szCs w:val="20"/>
                <w:lang w:val="en-GB"/>
              </w:rPr>
              <w:t>White blood cells, G/L</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C2" w14:textId="35CDA4CB" w:rsidR="00EE5FDB" w:rsidRDefault="00435B84">
            <w:pPr>
              <w:jc w:val="center"/>
            </w:pPr>
            <w:r>
              <w:rPr>
                <w:sz w:val="20"/>
                <w:szCs w:val="20"/>
              </w:rPr>
              <w:t>9.2 [6.6</w:t>
            </w:r>
            <w:r w:rsidR="00433F1A">
              <w:rPr>
                <w:sz w:val="20"/>
                <w:szCs w:val="20"/>
              </w:rPr>
              <w:t>-</w:t>
            </w:r>
            <w:r>
              <w:rPr>
                <w:sz w:val="20"/>
                <w:szCs w:val="20"/>
              </w:rPr>
              <w:t>12.4]</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C3" w14:textId="51CB8ADD" w:rsidR="00EE5FDB" w:rsidRDefault="00435B84">
            <w:pPr>
              <w:jc w:val="center"/>
            </w:pPr>
            <w:r>
              <w:rPr>
                <w:sz w:val="20"/>
                <w:szCs w:val="20"/>
              </w:rPr>
              <w:t>10.5 [8.4</w:t>
            </w:r>
            <w:r w:rsidR="00433F1A">
              <w:rPr>
                <w:sz w:val="20"/>
                <w:szCs w:val="20"/>
              </w:rPr>
              <w:t>-</w:t>
            </w:r>
            <w:r>
              <w:rPr>
                <w:sz w:val="20"/>
                <w:szCs w:val="20"/>
              </w:rPr>
              <w:t>15.0]</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C4" w14:textId="77777777" w:rsidR="00EE5FDB" w:rsidRDefault="00435B84">
            <w:pPr>
              <w:jc w:val="center"/>
            </w:pPr>
            <w:r>
              <w:rPr>
                <w:sz w:val="20"/>
                <w:szCs w:val="20"/>
              </w:rPr>
              <w:t>0.005</w:t>
            </w:r>
          </w:p>
        </w:tc>
      </w:tr>
      <w:tr w:rsidR="00EE5FDB" w14:paraId="72B98ACA"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C6" w14:textId="77777777" w:rsidR="00EE5FDB" w:rsidRDefault="00435B84">
            <w:r>
              <w:rPr>
                <w:sz w:val="20"/>
                <w:szCs w:val="20"/>
              </w:rPr>
              <w:t>Platelets, G/L</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C7" w14:textId="41882C53" w:rsidR="00EE5FDB" w:rsidRDefault="00435B84">
            <w:pPr>
              <w:jc w:val="center"/>
            </w:pPr>
            <w:r>
              <w:rPr>
                <w:sz w:val="20"/>
                <w:szCs w:val="20"/>
              </w:rPr>
              <w:t>145 [88</w:t>
            </w:r>
            <w:r w:rsidR="00433F1A">
              <w:rPr>
                <w:sz w:val="20"/>
                <w:szCs w:val="20"/>
              </w:rPr>
              <w:t>-</w:t>
            </w:r>
            <w:r>
              <w:rPr>
                <w:sz w:val="20"/>
                <w:szCs w:val="20"/>
              </w:rPr>
              <w:t>259]</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C8" w14:textId="01D8F2E5" w:rsidR="00EE5FDB" w:rsidRDefault="00435B84">
            <w:pPr>
              <w:jc w:val="center"/>
            </w:pPr>
            <w:r>
              <w:rPr>
                <w:sz w:val="20"/>
                <w:szCs w:val="20"/>
              </w:rPr>
              <w:t>190 [95</w:t>
            </w:r>
            <w:r w:rsidR="00433F1A">
              <w:rPr>
                <w:sz w:val="20"/>
                <w:szCs w:val="20"/>
              </w:rPr>
              <w:t>-</w:t>
            </w:r>
            <w:r>
              <w:rPr>
                <w:sz w:val="20"/>
                <w:szCs w:val="20"/>
              </w:rPr>
              <w:t>290]</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C9" w14:textId="77777777" w:rsidR="00EE5FDB" w:rsidRDefault="00435B84">
            <w:pPr>
              <w:jc w:val="center"/>
            </w:pPr>
            <w:r>
              <w:rPr>
                <w:sz w:val="20"/>
                <w:szCs w:val="20"/>
              </w:rPr>
              <w:t>0.096</w:t>
            </w:r>
          </w:p>
        </w:tc>
      </w:tr>
      <w:tr w:rsidR="00EE5FDB" w14:paraId="72B98ACC"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CB" w14:textId="77777777" w:rsidR="00EE5FDB" w:rsidRDefault="00435B84">
            <w:r>
              <w:rPr>
                <w:b/>
                <w:bCs/>
                <w:sz w:val="20"/>
                <w:szCs w:val="20"/>
              </w:rPr>
              <w:t>WHO malaria severity</w:t>
            </w:r>
          </w:p>
        </w:tc>
      </w:tr>
      <w:tr w:rsidR="00EE5FDB" w14:paraId="72B98AD1"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CD" w14:textId="77777777" w:rsidR="00EE5FDB" w:rsidRPr="003828AA" w:rsidRDefault="00435B84">
            <w:pPr>
              <w:rPr>
                <w:lang w:val="en-GB"/>
              </w:rPr>
            </w:pPr>
            <w:r w:rsidRPr="003828AA">
              <w:rPr>
                <w:sz w:val="20"/>
                <w:szCs w:val="20"/>
                <w:lang w:val="en-GB"/>
              </w:rPr>
              <w:lastRenderedPageBreak/>
              <w:t>Severe malaria (≥1 WHO criterion), n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CE" w14:textId="77777777" w:rsidR="00EE5FDB" w:rsidRDefault="00435B84">
            <w:pPr>
              <w:jc w:val="center"/>
            </w:pPr>
            <w:r>
              <w:rPr>
                <w:sz w:val="20"/>
                <w:szCs w:val="20"/>
              </w:rPr>
              <w:t>123/367 (33.5%)</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CF" w14:textId="77777777" w:rsidR="00EE5FDB" w:rsidRDefault="00435B84">
            <w:pPr>
              <w:jc w:val="center"/>
            </w:pPr>
            <w:r>
              <w:rPr>
                <w:sz w:val="20"/>
                <w:szCs w:val="20"/>
              </w:rPr>
              <w:t>38/74 (51.4%)</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D0" w14:textId="77777777" w:rsidR="00EE5FDB" w:rsidRDefault="00435B84">
            <w:pPr>
              <w:jc w:val="center"/>
            </w:pPr>
            <w:r>
              <w:rPr>
                <w:sz w:val="20"/>
                <w:szCs w:val="20"/>
              </w:rPr>
              <w:t>0.005</w:t>
            </w:r>
          </w:p>
        </w:tc>
      </w:tr>
      <w:tr w:rsidR="00EE5FDB" w14:paraId="72B98AD6"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D2" w14:textId="77777777" w:rsidR="00EE5FDB" w:rsidRPr="003828AA" w:rsidRDefault="00435B84">
            <w:pPr>
              <w:rPr>
                <w:lang w:val="en-GB"/>
              </w:rPr>
            </w:pPr>
            <w:r w:rsidRPr="003828AA">
              <w:rPr>
                <w:sz w:val="20"/>
                <w:szCs w:val="20"/>
                <w:lang w:val="en-GB"/>
              </w:rPr>
              <w:t>Moderate malaria (no WHO criterion), n (%)</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D3" w14:textId="77777777" w:rsidR="00EE5FDB" w:rsidRDefault="00435B84">
            <w:pPr>
              <w:jc w:val="center"/>
            </w:pPr>
            <w:r>
              <w:rPr>
                <w:sz w:val="20"/>
                <w:szCs w:val="20"/>
              </w:rPr>
              <w:t>227/367 (61.9%)</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D4" w14:textId="77777777" w:rsidR="00EE5FDB" w:rsidRDefault="00435B84">
            <w:pPr>
              <w:jc w:val="center"/>
            </w:pPr>
            <w:r>
              <w:rPr>
                <w:sz w:val="20"/>
                <w:szCs w:val="20"/>
              </w:rPr>
              <w:t>35/74 (47.3%)</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D5" w14:textId="77777777" w:rsidR="00EE5FDB" w:rsidRDefault="00435B84">
            <w:pPr>
              <w:jc w:val="center"/>
            </w:pPr>
            <w:r>
              <w:rPr>
                <w:sz w:val="20"/>
                <w:szCs w:val="20"/>
              </w:rPr>
              <w:t>0.027</w:t>
            </w:r>
          </w:p>
        </w:tc>
      </w:tr>
      <w:tr w:rsidR="00EE5FDB" w14:paraId="72B98AD8"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D7" w14:textId="77777777" w:rsidR="00EE5FDB" w:rsidRDefault="00435B84">
            <w:r>
              <w:rPr>
                <w:b/>
                <w:bCs/>
                <w:sz w:val="20"/>
                <w:szCs w:val="20"/>
              </w:rPr>
              <w:t>Outcomes</w:t>
            </w:r>
          </w:p>
        </w:tc>
      </w:tr>
      <w:tr w:rsidR="00EE5FDB" w14:paraId="72B98ADD"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D9" w14:textId="77777777" w:rsidR="00EE5FDB" w:rsidRDefault="00435B84">
            <w:r>
              <w:rPr>
                <w:sz w:val="20"/>
                <w:szCs w:val="20"/>
              </w:rPr>
              <w:t>In-hospital death, n (%)</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DA" w14:textId="77777777" w:rsidR="00EE5FDB" w:rsidRDefault="00435B84">
            <w:pPr>
              <w:jc w:val="center"/>
            </w:pPr>
            <w:r>
              <w:rPr>
                <w:sz w:val="20"/>
                <w:szCs w:val="20"/>
              </w:rPr>
              <w:t>24/367 (6.5%)</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DB" w14:textId="77777777" w:rsidR="00EE5FDB" w:rsidRDefault="00435B84">
            <w:pPr>
              <w:jc w:val="center"/>
            </w:pPr>
            <w:r>
              <w:rPr>
                <w:sz w:val="20"/>
                <w:szCs w:val="20"/>
              </w:rPr>
              <w:t>7/74 (9.5%)</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DC" w14:textId="77777777" w:rsidR="00EE5FDB" w:rsidRDefault="00435B84">
            <w:pPr>
              <w:jc w:val="center"/>
            </w:pPr>
            <w:r>
              <w:rPr>
                <w:sz w:val="20"/>
                <w:szCs w:val="20"/>
              </w:rPr>
              <w:t>0.452</w:t>
            </w:r>
          </w:p>
        </w:tc>
      </w:tr>
      <w:tr w:rsidR="00EE5FDB" w14:paraId="72B98AE2" w14:textId="77777777">
        <w:tc>
          <w:tcPr>
            <w:tcW w:w="3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DE" w14:textId="77777777" w:rsidR="00EE5FDB" w:rsidRDefault="00435B84">
            <w:r>
              <w:rPr>
                <w:sz w:val="20"/>
                <w:szCs w:val="20"/>
              </w:rPr>
              <w:t>Unfavourable outcome, n (%)</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DF" w14:textId="77777777" w:rsidR="00EE5FDB" w:rsidRDefault="00435B84">
            <w:pPr>
              <w:jc w:val="center"/>
            </w:pPr>
            <w:r>
              <w:rPr>
                <w:sz w:val="20"/>
                <w:szCs w:val="20"/>
              </w:rPr>
              <w:t>31/367 (8.4%)</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E0" w14:textId="77777777" w:rsidR="00EE5FDB" w:rsidRDefault="00435B84">
            <w:pPr>
              <w:jc w:val="center"/>
            </w:pPr>
            <w:r>
              <w:rPr>
                <w:sz w:val="20"/>
                <w:szCs w:val="20"/>
              </w:rPr>
              <w:t>10/74 (13.5%)</w:t>
            </w:r>
          </w:p>
        </w:tc>
        <w:tc>
          <w:tcPr>
            <w:tcW w:w="68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E1" w14:textId="77777777" w:rsidR="00EE5FDB" w:rsidRDefault="00435B84">
            <w:pPr>
              <w:jc w:val="center"/>
            </w:pPr>
            <w:r>
              <w:rPr>
                <w:sz w:val="20"/>
                <w:szCs w:val="20"/>
              </w:rPr>
              <w:t>0.187</w:t>
            </w:r>
          </w:p>
        </w:tc>
      </w:tr>
      <w:tr w:rsidR="00EE5FDB" w14:paraId="72B98AE7"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E3" w14:textId="77777777" w:rsidR="00EE5FDB" w:rsidRPr="003828AA" w:rsidRDefault="00435B84">
            <w:pPr>
              <w:rPr>
                <w:lang w:val="en-GB"/>
              </w:rPr>
            </w:pPr>
            <w:r w:rsidRPr="003828AA">
              <w:rPr>
                <w:sz w:val="20"/>
                <w:szCs w:val="20"/>
                <w:lang w:val="en-GB"/>
              </w:rPr>
              <w:t>Length of stay, median days [IQR]</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E4" w14:textId="1F12A77C" w:rsidR="00EE5FDB" w:rsidRDefault="00435B84">
            <w:pPr>
              <w:jc w:val="center"/>
            </w:pPr>
            <w:r>
              <w:rPr>
                <w:sz w:val="20"/>
                <w:szCs w:val="20"/>
              </w:rPr>
              <w:t>5 [3</w:t>
            </w:r>
            <w:r w:rsidR="00433F1A">
              <w:rPr>
                <w:sz w:val="20"/>
                <w:szCs w:val="20"/>
              </w:rPr>
              <w:t>-</w:t>
            </w:r>
            <w:r>
              <w:rPr>
                <w:sz w:val="20"/>
                <w:szCs w:val="20"/>
              </w:rPr>
              <w:t>6]</w:t>
            </w:r>
          </w:p>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E5" w14:textId="5D94338F" w:rsidR="00EE5FDB" w:rsidRDefault="00435B84">
            <w:pPr>
              <w:jc w:val="center"/>
            </w:pPr>
            <w:r>
              <w:rPr>
                <w:sz w:val="20"/>
                <w:szCs w:val="20"/>
              </w:rPr>
              <w:t>5 [3</w:t>
            </w:r>
            <w:r w:rsidR="00433F1A">
              <w:rPr>
                <w:sz w:val="20"/>
                <w:szCs w:val="20"/>
              </w:rPr>
              <w:t>-</w:t>
            </w:r>
            <w:r>
              <w:rPr>
                <w:sz w:val="20"/>
                <w:szCs w:val="20"/>
              </w:rPr>
              <w:t>8]</w:t>
            </w:r>
          </w:p>
        </w:tc>
        <w:tc>
          <w:tcPr>
            <w:tcW w:w="68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E6" w14:textId="77777777" w:rsidR="00EE5FDB" w:rsidRDefault="00435B84">
            <w:pPr>
              <w:jc w:val="center"/>
            </w:pPr>
            <w:r>
              <w:rPr>
                <w:sz w:val="20"/>
                <w:szCs w:val="20"/>
              </w:rPr>
              <w:t>0.017</w:t>
            </w:r>
          </w:p>
        </w:tc>
      </w:tr>
    </w:tbl>
    <w:p w14:paraId="72B98AE8" w14:textId="77777777" w:rsidR="00EE5FDB" w:rsidRPr="003828AA" w:rsidRDefault="00435B84">
      <w:pPr>
        <w:spacing w:before="40" w:after="20" w:line="360" w:lineRule="auto"/>
        <w:rPr>
          <w:lang w:val="en-GB"/>
        </w:rPr>
      </w:pPr>
      <w:r w:rsidRPr="003828AA">
        <w:rPr>
          <w:i/>
          <w:iCs/>
          <w:color w:val="555555"/>
          <w:sz w:val="20"/>
          <w:szCs w:val="20"/>
          <w:lang w:val="en-GB"/>
        </w:rPr>
        <w:t xml:space="preserve">† Delay data available for 317 participants (273 </w:t>
      </w:r>
      <w:proofErr w:type="spellStart"/>
      <w:r w:rsidRPr="003828AA">
        <w:rPr>
          <w:i/>
          <w:iCs/>
          <w:color w:val="555555"/>
          <w:sz w:val="20"/>
          <w:szCs w:val="20"/>
          <w:lang w:val="en-GB"/>
        </w:rPr>
        <w:t>monoinfection</w:t>
      </w:r>
      <w:proofErr w:type="spellEnd"/>
      <w:r w:rsidRPr="003828AA">
        <w:rPr>
          <w:i/>
          <w:iCs/>
          <w:color w:val="555555"/>
          <w:sz w:val="20"/>
          <w:szCs w:val="20"/>
          <w:lang w:val="en-GB"/>
        </w:rPr>
        <w:t>, 44 co-infection).</w:t>
      </w:r>
    </w:p>
    <w:p w14:paraId="72B98AE9" w14:textId="5626A4F7" w:rsidR="00EE5FDB" w:rsidRPr="003828AA" w:rsidRDefault="00435B84">
      <w:pPr>
        <w:spacing w:before="40" w:after="20" w:line="360" w:lineRule="auto"/>
        <w:rPr>
          <w:lang w:val="en-GB"/>
        </w:rPr>
      </w:pPr>
      <w:r w:rsidRPr="003828AA">
        <w:rPr>
          <w:i/>
          <w:iCs/>
          <w:color w:val="555555"/>
          <w:sz w:val="20"/>
          <w:szCs w:val="20"/>
          <w:lang w:val="en-GB"/>
        </w:rPr>
        <w:t>‡ Denominator restricted to participants with available residence data (n</w:t>
      </w:r>
      <w:r w:rsidR="002C5BBA" w:rsidRPr="002C5BBA">
        <w:rPr>
          <w:i/>
          <w:iCs/>
          <w:color w:val="555555"/>
          <w:sz w:val="20"/>
          <w:szCs w:val="20"/>
          <w:lang w:val="en-GB"/>
        </w:rPr>
        <w:t>=</w:t>
      </w:r>
      <w:r w:rsidRPr="003828AA">
        <w:rPr>
          <w:i/>
          <w:iCs/>
          <w:color w:val="555555"/>
          <w:sz w:val="20"/>
          <w:szCs w:val="20"/>
          <w:lang w:val="en-GB"/>
        </w:rPr>
        <w:t>424).</w:t>
      </w:r>
    </w:p>
    <w:p w14:paraId="72B98AEA" w14:textId="7E00A37B" w:rsidR="00EE5FDB" w:rsidRPr="003828AA" w:rsidRDefault="00435B84">
      <w:pPr>
        <w:spacing w:before="40" w:after="20" w:line="360" w:lineRule="auto"/>
        <w:rPr>
          <w:lang w:val="en-GB"/>
        </w:rPr>
      </w:pPr>
      <w:r w:rsidRPr="003828AA">
        <w:rPr>
          <w:i/>
          <w:iCs/>
          <w:color w:val="555555"/>
          <w:sz w:val="20"/>
          <w:szCs w:val="20"/>
          <w:lang w:val="en-GB"/>
        </w:rPr>
        <w:t>Values are n (%) or median [IQR]. p from chi-squared/Fisher's exact test or Mann</w:t>
      </w:r>
      <w:r w:rsidR="00433F1A">
        <w:rPr>
          <w:i/>
          <w:iCs/>
          <w:color w:val="555555"/>
          <w:sz w:val="20"/>
          <w:szCs w:val="20"/>
          <w:lang w:val="en-GB"/>
        </w:rPr>
        <w:t>-</w:t>
      </w:r>
      <w:r w:rsidRPr="003828AA">
        <w:rPr>
          <w:i/>
          <w:iCs/>
          <w:color w:val="555555"/>
          <w:sz w:val="20"/>
          <w:szCs w:val="20"/>
          <w:lang w:val="en-GB"/>
        </w:rPr>
        <w:t>Whitney U test as appropriate.</w:t>
      </w:r>
    </w:p>
    <w:p w14:paraId="72B98AEB" w14:textId="77777777" w:rsidR="00EE5FDB" w:rsidRPr="003828AA" w:rsidRDefault="00EE5FDB">
      <w:pPr>
        <w:spacing w:before="40" w:after="40"/>
        <w:rPr>
          <w:lang w:val="en-GB"/>
        </w:rPr>
      </w:pPr>
    </w:p>
    <w:p w14:paraId="72B98AEC" w14:textId="77777777" w:rsidR="00EE5FDB" w:rsidRPr="003828AA" w:rsidRDefault="00435B84">
      <w:pPr>
        <w:spacing w:before="160" w:after="60" w:line="480" w:lineRule="auto"/>
        <w:rPr>
          <w:lang w:val="en-GB"/>
        </w:rPr>
      </w:pPr>
      <w:r w:rsidRPr="003828AA">
        <w:rPr>
          <w:b/>
          <w:bCs/>
          <w:i/>
          <w:iCs/>
          <w:lang w:val="en-GB"/>
        </w:rPr>
        <w:t>3.5 Sociodemographic factors associated with co-infection</w:t>
      </w:r>
    </w:p>
    <w:p w14:paraId="72B98AED" w14:textId="76B9484C" w:rsidR="00EE5FDB" w:rsidRPr="003828AA" w:rsidRDefault="00435B84">
      <w:pPr>
        <w:spacing w:line="480" w:lineRule="auto"/>
        <w:ind w:firstLine="720"/>
        <w:jc w:val="both"/>
        <w:rPr>
          <w:lang w:val="en-GB"/>
        </w:rPr>
      </w:pPr>
      <w:r w:rsidRPr="003828AA">
        <w:rPr>
          <w:color w:val="000000"/>
          <w:lang w:val="en-GB"/>
        </w:rPr>
        <w:t>In univariable logistic regression, two sociodemographic variables were significantly associated with co-infection: residence in a central arrondissement (crude OR 2.01, 95% CI 1.19</w:t>
      </w:r>
      <w:r w:rsidR="00433F1A">
        <w:rPr>
          <w:color w:val="000000"/>
          <w:lang w:val="en-GB"/>
        </w:rPr>
        <w:t>-</w:t>
      </w:r>
      <w:r w:rsidRPr="003828AA">
        <w:rPr>
          <w:color w:val="000000"/>
          <w:lang w:val="en-GB"/>
        </w:rPr>
        <w:t xml:space="preserve">3.40; </w:t>
      </w:r>
      <w:r w:rsidR="00393EF7" w:rsidRPr="00393EF7">
        <w:rPr>
          <w:i/>
          <w:iCs/>
          <w:color w:val="000000"/>
          <w:lang w:val="en-GB"/>
        </w:rPr>
        <w:t>p=</w:t>
      </w:r>
      <w:r w:rsidRPr="003828AA">
        <w:rPr>
          <w:color w:val="000000"/>
          <w:lang w:val="en-GB"/>
        </w:rPr>
        <w:t>0.009) and age under five years (crude OR 1.68, 95% CI 1.00</w:t>
      </w:r>
      <w:r w:rsidR="00433F1A">
        <w:rPr>
          <w:color w:val="000000"/>
          <w:lang w:val="en-GB"/>
        </w:rPr>
        <w:t>-</w:t>
      </w:r>
      <w:r w:rsidRPr="003828AA">
        <w:rPr>
          <w:color w:val="000000"/>
          <w:lang w:val="en-GB"/>
        </w:rPr>
        <w:t xml:space="preserve">2.83; </w:t>
      </w:r>
      <w:r w:rsidR="00393EF7" w:rsidRPr="00393EF7">
        <w:rPr>
          <w:i/>
          <w:iCs/>
          <w:color w:val="000000"/>
          <w:lang w:val="en-GB"/>
        </w:rPr>
        <w:t>p=</w:t>
      </w:r>
      <w:r w:rsidRPr="003828AA">
        <w:rPr>
          <w:color w:val="000000"/>
          <w:lang w:val="en-GB"/>
        </w:rPr>
        <w:t>0.050). In the multivariable model (Model A, N</w:t>
      </w:r>
      <w:r w:rsidR="002C5BBA" w:rsidRPr="002C5BBA">
        <w:rPr>
          <w:i/>
          <w:iCs/>
          <w:color w:val="000000"/>
          <w:lang w:val="en-GB"/>
        </w:rPr>
        <w:t>=</w:t>
      </w:r>
      <w:r w:rsidRPr="003828AA">
        <w:rPr>
          <w:color w:val="000000"/>
          <w:lang w:val="en-GB"/>
        </w:rPr>
        <w:t>441), both factors remained independently associated: age under five years (</w:t>
      </w:r>
      <w:proofErr w:type="spellStart"/>
      <w:r w:rsidRPr="003828AA">
        <w:rPr>
          <w:color w:val="000000"/>
          <w:lang w:val="en-GB"/>
        </w:rPr>
        <w:t>aOR</w:t>
      </w:r>
      <w:proofErr w:type="spellEnd"/>
      <w:r w:rsidRPr="003828AA">
        <w:rPr>
          <w:color w:val="000000"/>
          <w:lang w:val="en-GB"/>
        </w:rPr>
        <w:t xml:space="preserve"> 1.71, 95% CI 1.01</w:t>
      </w:r>
      <w:r w:rsidR="00433F1A">
        <w:rPr>
          <w:color w:val="000000"/>
          <w:lang w:val="en-GB"/>
        </w:rPr>
        <w:t>-</w:t>
      </w:r>
      <w:r w:rsidRPr="003828AA">
        <w:rPr>
          <w:color w:val="000000"/>
          <w:lang w:val="en-GB"/>
        </w:rPr>
        <w:t xml:space="preserve">2.90; </w:t>
      </w:r>
      <w:r w:rsidR="00393EF7" w:rsidRPr="00393EF7">
        <w:rPr>
          <w:i/>
          <w:iCs/>
          <w:color w:val="000000"/>
          <w:lang w:val="en-GB"/>
        </w:rPr>
        <w:t>p=</w:t>
      </w:r>
      <w:r w:rsidRPr="003828AA">
        <w:rPr>
          <w:color w:val="000000"/>
          <w:lang w:val="en-GB"/>
        </w:rPr>
        <w:t>0.046) and central arrondissement residence (</w:t>
      </w:r>
      <w:proofErr w:type="spellStart"/>
      <w:r w:rsidRPr="003828AA">
        <w:rPr>
          <w:color w:val="000000"/>
          <w:lang w:val="en-GB"/>
        </w:rPr>
        <w:t>aOR</w:t>
      </w:r>
      <w:proofErr w:type="spellEnd"/>
      <w:r w:rsidRPr="003828AA">
        <w:rPr>
          <w:color w:val="000000"/>
          <w:lang w:val="en-GB"/>
        </w:rPr>
        <w:t xml:space="preserve"> 1.90, 95% CI 1.12</w:t>
      </w:r>
      <w:r w:rsidR="00433F1A">
        <w:rPr>
          <w:color w:val="000000"/>
          <w:lang w:val="en-GB"/>
        </w:rPr>
        <w:t>-</w:t>
      </w:r>
      <w:r w:rsidRPr="003828AA">
        <w:rPr>
          <w:color w:val="000000"/>
          <w:lang w:val="en-GB"/>
        </w:rPr>
        <w:t xml:space="preserve">3.23; </w:t>
      </w:r>
      <w:r w:rsidR="00393EF7" w:rsidRPr="00393EF7">
        <w:rPr>
          <w:i/>
          <w:iCs/>
          <w:color w:val="000000"/>
          <w:lang w:val="en-GB"/>
        </w:rPr>
        <w:t>p=</w:t>
      </w:r>
      <w:r w:rsidRPr="003828AA">
        <w:rPr>
          <w:color w:val="000000"/>
          <w:lang w:val="en-GB"/>
        </w:rPr>
        <w:t>0.018). In the sensitivity analysis restricted to participants with available delay data (N</w:t>
      </w:r>
      <w:r w:rsidR="002C5BBA" w:rsidRPr="002C5BBA">
        <w:rPr>
          <w:i/>
          <w:iCs/>
          <w:color w:val="000000"/>
          <w:lang w:val="en-GB"/>
        </w:rPr>
        <w:t>=</w:t>
      </w:r>
      <w:r w:rsidRPr="003828AA">
        <w:rPr>
          <w:color w:val="000000"/>
          <w:lang w:val="en-GB"/>
        </w:rPr>
        <w:t>317), each additional day of consultation delay was independently associated with a 9% increase in co-infection odds (</w:t>
      </w:r>
      <w:proofErr w:type="spellStart"/>
      <w:r w:rsidRPr="003828AA">
        <w:rPr>
          <w:color w:val="000000"/>
          <w:lang w:val="en-GB"/>
        </w:rPr>
        <w:t>aOR</w:t>
      </w:r>
      <w:proofErr w:type="spellEnd"/>
      <w:r w:rsidRPr="003828AA">
        <w:rPr>
          <w:color w:val="000000"/>
          <w:lang w:val="en-GB"/>
        </w:rPr>
        <w:t xml:space="preserve"> 1.09, 95% CI 1.01</w:t>
      </w:r>
      <w:r w:rsidR="00433F1A">
        <w:rPr>
          <w:color w:val="000000"/>
          <w:lang w:val="en-GB"/>
        </w:rPr>
        <w:t>-</w:t>
      </w:r>
      <w:r w:rsidRPr="003828AA">
        <w:rPr>
          <w:color w:val="000000"/>
          <w:lang w:val="en-GB"/>
        </w:rPr>
        <w:t xml:space="preserve">1.18; </w:t>
      </w:r>
      <w:r w:rsidR="00393EF7" w:rsidRPr="00393EF7">
        <w:rPr>
          <w:i/>
          <w:iCs/>
          <w:color w:val="000000"/>
          <w:lang w:val="en-GB"/>
        </w:rPr>
        <w:t>p=</w:t>
      </w:r>
      <w:r w:rsidRPr="003828AA">
        <w:rPr>
          <w:color w:val="000000"/>
          <w:lang w:val="en-GB"/>
        </w:rPr>
        <w:t>0.035). Full results are presented in Table 3.</w:t>
      </w:r>
    </w:p>
    <w:p w14:paraId="72B98AEE" w14:textId="77777777" w:rsidR="00EE5FDB" w:rsidRPr="003828AA" w:rsidRDefault="00EE5FDB">
      <w:pPr>
        <w:spacing w:before="40" w:after="40"/>
        <w:rPr>
          <w:lang w:val="en-GB"/>
        </w:rPr>
      </w:pPr>
    </w:p>
    <w:p w14:paraId="72B98AEF" w14:textId="3CBB765F" w:rsidR="00EE5FDB" w:rsidRPr="003828AA" w:rsidRDefault="00435B84">
      <w:pPr>
        <w:spacing w:before="80" w:after="40" w:line="360" w:lineRule="auto"/>
        <w:rPr>
          <w:lang w:val="en-GB"/>
        </w:rPr>
      </w:pPr>
      <w:r w:rsidRPr="003828AA">
        <w:rPr>
          <w:b/>
          <w:bCs/>
          <w:color w:val="000000"/>
          <w:lang w:val="en-GB"/>
        </w:rPr>
        <w:t>Table 3. Univariable and multivariable logistic regression</w:t>
      </w:r>
      <w:r w:rsidR="0027120D" w:rsidRPr="0027120D">
        <w:rPr>
          <w:b/>
          <w:bCs/>
          <w:color w:val="000000"/>
          <w:lang w:val="en-GB"/>
        </w:rPr>
        <w:t xml:space="preserve">, </w:t>
      </w:r>
      <w:r w:rsidRPr="003828AA">
        <w:rPr>
          <w:b/>
          <w:bCs/>
          <w:color w:val="000000"/>
          <w:lang w:val="en-GB"/>
        </w:rPr>
        <w:t>sociodemographic factors associated with co-infection or comorbidity (N</w:t>
      </w:r>
      <w:r w:rsidR="002C5BBA" w:rsidRPr="002C5BBA">
        <w:rPr>
          <w:b/>
          <w:bCs/>
          <w:i/>
          <w:iCs/>
          <w:color w:val="000000"/>
          <w:lang w:val="en-GB"/>
        </w:rPr>
        <w:t>=</w:t>
      </w:r>
      <w:r w:rsidRPr="003828AA">
        <w:rPr>
          <w:b/>
          <w:bCs/>
          <w:color w:val="000000"/>
          <w:lang w:val="en-GB"/>
        </w:rPr>
        <w:t>441)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37"/>
        <w:gridCol w:w="1919"/>
        <w:gridCol w:w="2603"/>
        <w:gridCol w:w="1001"/>
      </w:tblGrid>
      <w:tr w:rsidR="00EE5FDB" w14:paraId="72B98AF4" w14:textId="77777777">
        <w:tc>
          <w:tcPr>
            <w:tcW w:w="28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F0" w14:textId="77777777" w:rsidR="00EE5FDB" w:rsidRDefault="00435B84">
            <w:pPr>
              <w:jc w:val="center"/>
            </w:pPr>
            <w:r>
              <w:rPr>
                <w:b/>
                <w:bCs/>
                <w:color w:val="FFFFFF"/>
                <w:sz w:val="20"/>
                <w:szCs w:val="20"/>
              </w:rPr>
              <w:t>Variable</w:t>
            </w:r>
          </w:p>
        </w:tc>
        <w:tc>
          <w:tcPr>
            <w:tcW w:w="14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F1" w14:textId="77777777" w:rsidR="00EE5FDB" w:rsidRDefault="00435B84">
            <w:pPr>
              <w:jc w:val="center"/>
            </w:pPr>
            <w:r>
              <w:rPr>
                <w:b/>
                <w:bCs/>
                <w:color w:val="FFFFFF"/>
                <w:sz w:val="20"/>
                <w:szCs w:val="20"/>
              </w:rPr>
              <w:t>Crude OR</w:t>
            </w:r>
          </w:p>
        </w:tc>
        <w:tc>
          <w:tcPr>
            <w:tcW w:w="19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F2" w14:textId="77777777" w:rsidR="00EE5FDB" w:rsidRDefault="00435B84">
            <w:pPr>
              <w:jc w:val="center"/>
            </w:pPr>
            <w:r>
              <w:rPr>
                <w:b/>
                <w:bCs/>
                <w:color w:val="FFFFFF"/>
                <w:sz w:val="20"/>
                <w:szCs w:val="20"/>
              </w:rPr>
              <w:t>95% CI</w:t>
            </w:r>
          </w:p>
        </w:tc>
        <w:tc>
          <w:tcPr>
            <w:tcW w:w="73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AF3" w14:textId="77777777" w:rsidR="00EE5FDB" w:rsidRPr="007D2052" w:rsidRDefault="00435B84">
            <w:pPr>
              <w:jc w:val="center"/>
              <w:rPr>
                <w:i/>
                <w:iCs/>
              </w:rPr>
            </w:pPr>
            <w:r w:rsidRPr="007D2052">
              <w:rPr>
                <w:b/>
                <w:bCs/>
                <w:i/>
                <w:iCs/>
                <w:color w:val="FFFFFF"/>
                <w:sz w:val="20"/>
                <w:szCs w:val="20"/>
              </w:rPr>
              <w:t>p</w:t>
            </w:r>
          </w:p>
        </w:tc>
      </w:tr>
      <w:tr w:rsidR="00EE5FDB" w:rsidRPr="003828AA" w14:paraId="72B98AF6" w14:textId="77777777">
        <w:tc>
          <w:tcPr>
            <w:tcW w:w="0" w:type="auto"/>
            <w:gridSpan w:val="4"/>
            <w:tcBorders>
              <w:top w:val="single" w:sz="4" w:space="0" w:color="999999"/>
              <w:bottom w:val="single" w:sz="4" w:space="0" w:color="999999"/>
            </w:tcBorders>
            <w:shd w:val="clear" w:color="auto" w:fill="E8E8E8"/>
            <w:tcMar>
              <w:top w:w="40" w:type="dxa"/>
              <w:left w:w="80" w:type="dxa"/>
              <w:bottom w:w="40" w:type="dxa"/>
              <w:right w:w="80" w:type="dxa"/>
            </w:tcMar>
          </w:tcPr>
          <w:p w14:paraId="72B98AF5" w14:textId="1738613E" w:rsidR="00EE5FDB" w:rsidRPr="003828AA" w:rsidRDefault="00435B84">
            <w:pPr>
              <w:rPr>
                <w:lang w:val="en-GB"/>
              </w:rPr>
            </w:pPr>
            <w:r w:rsidRPr="003828AA">
              <w:rPr>
                <w:b/>
                <w:bCs/>
                <w:sz w:val="20"/>
                <w:szCs w:val="20"/>
                <w:lang w:val="en-GB"/>
              </w:rPr>
              <w:t>Univariable analysis</w:t>
            </w:r>
            <w:r w:rsidR="0027120D" w:rsidRPr="0027120D">
              <w:rPr>
                <w:b/>
                <w:bCs/>
                <w:sz w:val="20"/>
                <w:szCs w:val="20"/>
                <w:lang w:val="en-GB"/>
              </w:rPr>
              <w:t xml:space="preserve">, </w:t>
            </w:r>
            <w:r w:rsidRPr="003828AA">
              <w:rPr>
                <w:b/>
                <w:bCs/>
                <w:sz w:val="20"/>
                <w:szCs w:val="20"/>
                <w:lang w:val="en-GB"/>
              </w:rPr>
              <w:t xml:space="preserve">outcome: co-infection vs </w:t>
            </w:r>
            <w:proofErr w:type="spellStart"/>
            <w:r w:rsidRPr="003828AA">
              <w:rPr>
                <w:b/>
                <w:bCs/>
                <w:sz w:val="20"/>
                <w:szCs w:val="20"/>
                <w:lang w:val="en-GB"/>
              </w:rPr>
              <w:t>monoinfection</w:t>
            </w:r>
            <w:proofErr w:type="spellEnd"/>
          </w:p>
        </w:tc>
      </w:tr>
      <w:tr w:rsidR="00EE5FDB" w14:paraId="72B98AFB"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F7" w14:textId="77777777" w:rsidR="00EE5FDB" w:rsidRDefault="00435B84">
            <w:r>
              <w:rPr>
                <w:sz w:val="20"/>
                <w:szCs w:val="20"/>
              </w:rPr>
              <w:t>Age &lt; 5 years</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F8" w14:textId="77777777" w:rsidR="00EE5FDB" w:rsidRDefault="00435B84">
            <w:pPr>
              <w:jc w:val="center"/>
            </w:pPr>
            <w:r>
              <w:rPr>
                <w:sz w:val="20"/>
                <w:szCs w:val="20"/>
              </w:rPr>
              <w:t>1.68</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F9" w14:textId="231A0F93" w:rsidR="00EE5FDB" w:rsidRDefault="00435B84">
            <w:pPr>
              <w:jc w:val="center"/>
            </w:pPr>
            <w:r>
              <w:rPr>
                <w:sz w:val="20"/>
                <w:szCs w:val="20"/>
              </w:rPr>
              <w:t>[1.00</w:t>
            </w:r>
            <w:r w:rsidR="00433F1A">
              <w:rPr>
                <w:sz w:val="20"/>
                <w:szCs w:val="20"/>
              </w:rPr>
              <w:t>-</w:t>
            </w:r>
            <w:r>
              <w:rPr>
                <w:sz w:val="20"/>
                <w:szCs w:val="20"/>
              </w:rPr>
              <w:t>2.83]</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AFA" w14:textId="77777777" w:rsidR="00EE5FDB" w:rsidRDefault="00435B84">
            <w:pPr>
              <w:jc w:val="center"/>
            </w:pPr>
            <w:r>
              <w:rPr>
                <w:sz w:val="20"/>
                <w:szCs w:val="20"/>
              </w:rPr>
              <w:t>0.050</w:t>
            </w:r>
          </w:p>
        </w:tc>
      </w:tr>
      <w:tr w:rsidR="00EE5FDB" w14:paraId="72B98B00" w14:textId="77777777">
        <w:tc>
          <w:tcPr>
            <w:tcW w:w="28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FC" w14:textId="77777777" w:rsidR="00EE5FDB" w:rsidRDefault="00435B84">
            <w:r>
              <w:rPr>
                <w:sz w:val="20"/>
                <w:szCs w:val="20"/>
              </w:rPr>
              <w:t>Male sex</w:t>
            </w:r>
          </w:p>
        </w:tc>
        <w:tc>
          <w:tcPr>
            <w:tcW w:w="14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FD" w14:textId="77777777" w:rsidR="00EE5FDB" w:rsidRDefault="00435B84">
            <w:pPr>
              <w:jc w:val="center"/>
            </w:pPr>
            <w:r>
              <w:rPr>
                <w:sz w:val="20"/>
                <w:szCs w:val="20"/>
              </w:rPr>
              <w:t>0.85</w:t>
            </w:r>
          </w:p>
        </w:tc>
        <w:tc>
          <w:tcPr>
            <w:tcW w:w="19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FE" w14:textId="20FE6837" w:rsidR="00EE5FDB" w:rsidRDefault="00435B84">
            <w:pPr>
              <w:jc w:val="center"/>
            </w:pPr>
            <w:r>
              <w:rPr>
                <w:sz w:val="20"/>
                <w:szCs w:val="20"/>
              </w:rPr>
              <w:t>[0.52</w:t>
            </w:r>
            <w:r w:rsidR="00433F1A">
              <w:rPr>
                <w:sz w:val="20"/>
                <w:szCs w:val="20"/>
              </w:rPr>
              <w:t>-</w:t>
            </w:r>
            <w:r>
              <w:rPr>
                <w:sz w:val="20"/>
                <w:szCs w:val="20"/>
              </w:rPr>
              <w:t>1.41]</w:t>
            </w:r>
          </w:p>
        </w:tc>
        <w:tc>
          <w:tcPr>
            <w:tcW w:w="73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AFF" w14:textId="77777777" w:rsidR="00EE5FDB" w:rsidRDefault="00435B84">
            <w:pPr>
              <w:jc w:val="center"/>
            </w:pPr>
            <w:r>
              <w:rPr>
                <w:sz w:val="20"/>
                <w:szCs w:val="20"/>
              </w:rPr>
              <w:t>0.533</w:t>
            </w:r>
          </w:p>
        </w:tc>
      </w:tr>
      <w:tr w:rsidR="00EE5FDB" w14:paraId="72B98B05"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1" w14:textId="77777777" w:rsidR="00EE5FDB" w:rsidRDefault="00435B84">
            <w:r>
              <w:rPr>
                <w:sz w:val="20"/>
                <w:szCs w:val="20"/>
              </w:rPr>
              <w:t>ITN use</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2" w14:textId="77777777" w:rsidR="00EE5FDB" w:rsidRDefault="00435B84">
            <w:pPr>
              <w:jc w:val="center"/>
            </w:pPr>
            <w:r>
              <w:rPr>
                <w:sz w:val="20"/>
                <w:szCs w:val="20"/>
              </w:rPr>
              <w:t>1.27</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3" w14:textId="63C1E43D" w:rsidR="00EE5FDB" w:rsidRDefault="00435B84">
            <w:pPr>
              <w:jc w:val="center"/>
            </w:pPr>
            <w:r>
              <w:rPr>
                <w:sz w:val="20"/>
                <w:szCs w:val="20"/>
              </w:rPr>
              <w:t>[0.76</w:t>
            </w:r>
            <w:r w:rsidR="00433F1A">
              <w:rPr>
                <w:sz w:val="20"/>
                <w:szCs w:val="20"/>
              </w:rPr>
              <w:t>-</w:t>
            </w:r>
            <w:r>
              <w:rPr>
                <w:sz w:val="20"/>
                <w:szCs w:val="20"/>
              </w:rPr>
              <w:t>2.11]</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4" w14:textId="77777777" w:rsidR="00EE5FDB" w:rsidRDefault="00435B84">
            <w:pPr>
              <w:jc w:val="center"/>
            </w:pPr>
            <w:r>
              <w:rPr>
                <w:sz w:val="20"/>
                <w:szCs w:val="20"/>
              </w:rPr>
              <w:t>0.359</w:t>
            </w:r>
          </w:p>
        </w:tc>
      </w:tr>
      <w:tr w:rsidR="00EE5FDB" w14:paraId="72B98B0A" w14:textId="77777777">
        <w:tc>
          <w:tcPr>
            <w:tcW w:w="28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06" w14:textId="77777777" w:rsidR="00EE5FDB" w:rsidRDefault="00435B84">
            <w:r>
              <w:rPr>
                <w:sz w:val="20"/>
                <w:szCs w:val="20"/>
              </w:rPr>
              <w:t>Self-medication</w:t>
            </w:r>
          </w:p>
        </w:tc>
        <w:tc>
          <w:tcPr>
            <w:tcW w:w="14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07" w14:textId="77777777" w:rsidR="00EE5FDB" w:rsidRDefault="00435B84">
            <w:pPr>
              <w:jc w:val="center"/>
            </w:pPr>
            <w:r>
              <w:rPr>
                <w:sz w:val="20"/>
                <w:szCs w:val="20"/>
              </w:rPr>
              <w:t>1.44</w:t>
            </w:r>
          </w:p>
        </w:tc>
        <w:tc>
          <w:tcPr>
            <w:tcW w:w="19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08" w14:textId="4C2B4634" w:rsidR="00EE5FDB" w:rsidRDefault="00435B84">
            <w:pPr>
              <w:jc w:val="center"/>
            </w:pPr>
            <w:r>
              <w:rPr>
                <w:sz w:val="20"/>
                <w:szCs w:val="20"/>
              </w:rPr>
              <w:t>[0.84</w:t>
            </w:r>
            <w:r w:rsidR="00433F1A">
              <w:rPr>
                <w:sz w:val="20"/>
                <w:szCs w:val="20"/>
              </w:rPr>
              <w:t>-</w:t>
            </w:r>
            <w:r>
              <w:rPr>
                <w:sz w:val="20"/>
                <w:szCs w:val="20"/>
              </w:rPr>
              <w:t>2.46]</w:t>
            </w:r>
          </w:p>
        </w:tc>
        <w:tc>
          <w:tcPr>
            <w:tcW w:w="73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09" w14:textId="77777777" w:rsidR="00EE5FDB" w:rsidRDefault="00435B84">
            <w:pPr>
              <w:jc w:val="center"/>
            </w:pPr>
            <w:r>
              <w:rPr>
                <w:sz w:val="20"/>
                <w:szCs w:val="20"/>
              </w:rPr>
              <w:t>0.181</w:t>
            </w:r>
          </w:p>
        </w:tc>
      </w:tr>
      <w:tr w:rsidR="00EE5FDB" w14:paraId="72B98B0F"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B" w14:textId="77777777" w:rsidR="00EE5FDB" w:rsidRDefault="00435B84">
            <w:r>
              <w:rPr>
                <w:sz w:val="20"/>
                <w:szCs w:val="20"/>
              </w:rPr>
              <w:t>Consultation delay &gt; 48h</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C" w14:textId="77777777" w:rsidR="00EE5FDB" w:rsidRDefault="00435B84">
            <w:pPr>
              <w:jc w:val="center"/>
            </w:pPr>
            <w:r>
              <w:rPr>
                <w:sz w:val="20"/>
                <w:szCs w:val="20"/>
              </w:rPr>
              <w:t>1.76</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D" w14:textId="7D8E5742" w:rsidR="00EE5FDB" w:rsidRDefault="00435B84">
            <w:pPr>
              <w:jc w:val="center"/>
            </w:pPr>
            <w:r>
              <w:rPr>
                <w:sz w:val="20"/>
                <w:szCs w:val="20"/>
              </w:rPr>
              <w:t>[0.88</w:t>
            </w:r>
            <w:r w:rsidR="00433F1A">
              <w:rPr>
                <w:sz w:val="20"/>
                <w:szCs w:val="20"/>
              </w:rPr>
              <w:t>-</w:t>
            </w:r>
            <w:r>
              <w:rPr>
                <w:sz w:val="20"/>
                <w:szCs w:val="20"/>
              </w:rPr>
              <w:t>3.51]</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0E" w14:textId="77777777" w:rsidR="00EE5FDB" w:rsidRDefault="00435B84">
            <w:pPr>
              <w:jc w:val="center"/>
            </w:pPr>
            <w:r>
              <w:rPr>
                <w:sz w:val="20"/>
                <w:szCs w:val="20"/>
              </w:rPr>
              <w:t>0.108</w:t>
            </w:r>
          </w:p>
        </w:tc>
      </w:tr>
      <w:tr w:rsidR="00EE5FDB" w14:paraId="72B98B14" w14:textId="77777777">
        <w:tc>
          <w:tcPr>
            <w:tcW w:w="28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10" w14:textId="77777777" w:rsidR="00EE5FDB" w:rsidRDefault="00435B84">
            <w:r>
              <w:rPr>
                <w:sz w:val="20"/>
                <w:szCs w:val="20"/>
              </w:rPr>
              <w:t>Not attending school</w:t>
            </w:r>
          </w:p>
        </w:tc>
        <w:tc>
          <w:tcPr>
            <w:tcW w:w="14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11" w14:textId="77777777" w:rsidR="00EE5FDB" w:rsidRDefault="00435B84">
            <w:pPr>
              <w:jc w:val="center"/>
            </w:pPr>
            <w:r>
              <w:rPr>
                <w:sz w:val="20"/>
                <w:szCs w:val="20"/>
              </w:rPr>
              <w:t>1.26</w:t>
            </w:r>
          </w:p>
        </w:tc>
        <w:tc>
          <w:tcPr>
            <w:tcW w:w="19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12" w14:textId="68BEC18C" w:rsidR="00EE5FDB" w:rsidRDefault="00435B84">
            <w:pPr>
              <w:jc w:val="center"/>
            </w:pPr>
            <w:r>
              <w:rPr>
                <w:sz w:val="20"/>
                <w:szCs w:val="20"/>
              </w:rPr>
              <w:t>[0.75</w:t>
            </w:r>
            <w:r w:rsidR="00433F1A">
              <w:rPr>
                <w:sz w:val="20"/>
                <w:szCs w:val="20"/>
              </w:rPr>
              <w:t>-</w:t>
            </w:r>
            <w:r>
              <w:rPr>
                <w:sz w:val="20"/>
                <w:szCs w:val="20"/>
              </w:rPr>
              <w:t>2.10]</w:t>
            </w:r>
          </w:p>
        </w:tc>
        <w:tc>
          <w:tcPr>
            <w:tcW w:w="73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13" w14:textId="77777777" w:rsidR="00EE5FDB" w:rsidRDefault="00435B84">
            <w:pPr>
              <w:jc w:val="center"/>
            </w:pPr>
            <w:r>
              <w:rPr>
                <w:sz w:val="20"/>
                <w:szCs w:val="20"/>
              </w:rPr>
              <w:t>0.384</w:t>
            </w:r>
          </w:p>
        </w:tc>
      </w:tr>
      <w:tr w:rsidR="00EE5FDB" w14:paraId="72B98B19"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15" w14:textId="77777777" w:rsidR="00EE5FDB" w:rsidRPr="003828AA" w:rsidRDefault="00435B84">
            <w:pPr>
              <w:rPr>
                <w:lang w:val="en-GB"/>
              </w:rPr>
            </w:pPr>
            <w:r w:rsidRPr="003828AA">
              <w:rPr>
                <w:sz w:val="20"/>
                <w:szCs w:val="20"/>
                <w:lang w:val="en-GB"/>
              </w:rPr>
              <w:t>Central arrondissements (3rd/5th/6th)</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16" w14:textId="77777777" w:rsidR="00EE5FDB" w:rsidRDefault="00435B84">
            <w:pPr>
              <w:jc w:val="center"/>
            </w:pPr>
            <w:r>
              <w:rPr>
                <w:sz w:val="20"/>
                <w:szCs w:val="20"/>
              </w:rPr>
              <w:t>2.01</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17" w14:textId="0FE0F289" w:rsidR="00EE5FDB" w:rsidRDefault="00435B84">
            <w:pPr>
              <w:jc w:val="center"/>
            </w:pPr>
            <w:r>
              <w:rPr>
                <w:sz w:val="20"/>
                <w:szCs w:val="20"/>
              </w:rPr>
              <w:t>[1.19</w:t>
            </w:r>
            <w:r w:rsidR="00433F1A">
              <w:rPr>
                <w:sz w:val="20"/>
                <w:szCs w:val="20"/>
              </w:rPr>
              <w:t>-</w:t>
            </w:r>
            <w:r>
              <w:rPr>
                <w:sz w:val="20"/>
                <w:szCs w:val="20"/>
              </w:rPr>
              <w:t>3.40]</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18" w14:textId="77777777" w:rsidR="00EE5FDB" w:rsidRDefault="00435B84">
            <w:pPr>
              <w:jc w:val="center"/>
            </w:pPr>
            <w:r>
              <w:rPr>
                <w:sz w:val="20"/>
                <w:szCs w:val="20"/>
              </w:rPr>
              <w:t>0.009</w:t>
            </w:r>
          </w:p>
        </w:tc>
      </w:tr>
      <w:tr w:rsidR="00EE5FDB" w:rsidRPr="003828AA" w14:paraId="72B98B1B" w14:textId="77777777">
        <w:tc>
          <w:tcPr>
            <w:tcW w:w="0" w:type="auto"/>
            <w:gridSpan w:val="4"/>
            <w:tcBorders>
              <w:top w:val="single" w:sz="4" w:space="0" w:color="999999"/>
              <w:bottom w:val="single" w:sz="4" w:space="0" w:color="999999"/>
            </w:tcBorders>
            <w:shd w:val="clear" w:color="auto" w:fill="D9E2F3"/>
            <w:tcMar>
              <w:top w:w="40" w:type="dxa"/>
              <w:left w:w="80" w:type="dxa"/>
              <w:bottom w:w="40" w:type="dxa"/>
              <w:right w:w="80" w:type="dxa"/>
            </w:tcMar>
          </w:tcPr>
          <w:p w14:paraId="72B98B1A" w14:textId="719929E8" w:rsidR="00EE5FDB" w:rsidRPr="003828AA" w:rsidRDefault="00435B84">
            <w:pPr>
              <w:rPr>
                <w:lang w:val="en-GB"/>
              </w:rPr>
            </w:pPr>
            <w:r w:rsidRPr="003828AA">
              <w:rPr>
                <w:b/>
                <w:bCs/>
                <w:color w:val="000000"/>
                <w:lang w:val="en-GB"/>
              </w:rPr>
              <w:t>Multivariable</w:t>
            </w:r>
            <w:r w:rsidR="0027120D" w:rsidRPr="0027120D">
              <w:rPr>
                <w:b/>
                <w:bCs/>
                <w:color w:val="000000"/>
                <w:lang w:val="en-GB"/>
              </w:rPr>
              <w:t xml:space="preserve">, </w:t>
            </w:r>
            <w:r w:rsidRPr="003828AA">
              <w:rPr>
                <w:b/>
                <w:bCs/>
                <w:color w:val="000000"/>
                <w:lang w:val="en-GB"/>
              </w:rPr>
              <w:t>Model A (N</w:t>
            </w:r>
            <w:r w:rsidR="002C5BBA" w:rsidRPr="002C5BBA">
              <w:rPr>
                <w:b/>
                <w:bCs/>
                <w:i/>
                <w:iCs/>
                <w:color w:val="000000"/>
                <w:lang w:val="en-GB"/>
              </w:rPr>
              <w:t>=</w:t>
            </w:r>
            <w:r w:rsidRPr="003828AA">
              <w:rPr>
                <w:b/>
                <w:bCs/>
                <w:color w:val="000000"/>
                <w:lang w:val="en-GB"/>
              </w:rPr>
              <w:t>441, complete case)</w:t>
            </w:r>
          </w:p>
        </w:tc>
      </w:tr>
      <w:tr w:rsidR="00EE5FDB" w14:paraId="72B98B20" w14:textId="77777777">
        <w:tc>
          <w:tcPr>
            <w:tcW w:w="28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1C" w14:textId="77777777" w:rsidR="00EE5FDB" w:rsidRDefault="00435B84">
            <w:pPr>
              <w:jc w:val="center"/>
            </w:pPr>
            <w:r>
              <w:rPr>
                <w:b/>
                <w:bCs/>
                <w:color w:val="FFFFFF"/>
                <w:sz w:val="20"/>
                <w:szCs w:val="20"/>
              </w:rPr>
              <w:t>Variable</w:t>
            </w:r>
          </w:p>
        </w:tc>
        <w:tc>
          <w:tcPr>
            <w:tcW w:w="14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1D" w14:textId="77777777" w:rsidR="00EE5FDB" w:rsidRDefault="00435B84">
            <w:pPr>
              <w:jc w:val="center"/>
            </w:pPr>
            <w:r>
              <w:rPr>
                <w:b/>
                <w:bCs/>
                <w:color w:val="FFFFFF"/>
                <w:sz w:val="20"/>
                <w:szCs w:val="20"/>
              </w:rPr>
              <w:t>Adjusted OR</w:t>
            </w:r>
          </w:p>
        </w:tc>
        <w:tc>
          <w:tcPr>
            <w:tcW w:w="19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1E" w14:textId="77777777" w:rsidR="00EE5FDB" w:rsidRDefault="00435B84">
            <w:pPr>
              <w:jc w:val="center"/>
            </w:pPr>
            <w:r>
              <w:rPr>
                <w:b/>
                <w:bCs/>
                <w:color w:val="FFFFFF"/>
                <w:sz w:val="20"/>
                <w:szCs w:val="20"/>
              </w:rPr>
              <w:t>95% CI</w:t>
            </w:r>
          </w:p>
        </w:tc>
        <w:tc>
          <w:tcPr>
            <w:tcW w:w="73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1F" w14:textId="77777777" w:rsidR="00EE5FDB" w:rsidRDefault="00435B84">
            <w:pPr>
              <w:jc w:val="center"/>
            </w:pPr>
            <w:r>
              <w:rPr>
                <w:b/>
                <w:bCs/>
                <w:color w:val="FFFFFF"/>
                <w:sz w:val="20"/>
                <w:szCs w:val="20"/>
              </w:rPr>
              <w:t>p</w:t>
            </w:r>
          </w:p>
        </w:tc>
      </w:tr>
      <w:tr w:rsidR="00EE5FDB" w14:paraId="72B98B25"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1" w14:textId="77777777" w:rsidR="00EE5FDB" w:rsidRDefault="00435B84">
            <w:r>
              <w:rPr>
                <w:sz w:val="20"/>
                <w:szCs w:val="20"/>
              </w:rPr>
              <w:lastRenderedPageBreak/>
              <w:t>Age &lt; 5 years</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2" w14:textId="77777777" w:rsidR="00EE5FDB" w:rsidRDefault="00435B84">
            <w:pPr>
              <w:jc w:val="center"/>
            </w:pPr>
            <w:r>
              <w:rPr>
                <w:sz w:val="20"/>
                <w:szCs w:val="20"/>
              </w:rPr>
              <w:t>1.71</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3" w14:textId="7DC82CD5" w:rsidR="00EE5FDB" w:rsidRDefault="00435B84">
            <w:pPr>
              <w:jc w:val="center"/>
            </w:pPr>
            <w:r>
              <w:rPr>
                <w:sz w:val="20"/>
                <w:szCs w:val="20"/>
              </w:rPr>
              <w:t>[1.01</w:t>
            </w:r>
            <w:r w:rsidR="00433F1A">
              <w:rPr>
                <w:sz w:val="20"/>
                <w:szCs w:val="20"/>
              </w:rPr>
              <w:t>-</w:t>
            </w:r>
            <w:r>
              <w:rPr>
                <w:sz w:val="20"/>
                <w:szCs w:val="20"/>
              </w:rPr>
              <w:t>2.90]</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4" w14:textId="77777777" w:rsidR="00EE5FDB" w:rsidRDefault="00435B84">
            <w:pPr>
              <w:jc w:val="center"/>
            </w:pPr>
            <w:r>
              <w:rPr>
                <w:sz w:val="20"/>
                <w:szCs w:val="20"/>
              </w:rPr>
              <w:t>0.046</w:t>
            </w:r>
          </w:p>
        </w:tc>
      </w:tr>
      <w:tr w:rsidR="00EE5FDB" w14:paraId="72B98B2A" w14:textId="77777777">
        <w:tc>
          <w:tcPr>
            <w:tcW w:w="28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26" w14:textId="77777777" w:rsidR="00EE5FDB" w:rsidRPr="003828AA" w:rsidRDefault="00435B84">
            <w:pPr>
              <w:rPr>
                <w:lang w:val="en-GB"/>
              </w:rPr>
            </w:pPr>
            <w:r w:rsidRPr="003828AA">
              <w:rPr>
                <w:sz w:val="20"/>
                <w:szCs w:val="20"/>
                <w:lang w:val="en-GB"/>
              </w:rPr>
              <w:t>Central arrondissements (3rd/5th/6th)</w:t>
            </w:r>
          </w:p>
        </w:tc>
        <w:tc>
          <w:tcPr>
            <w:tcW w:w="14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27" w14:textId="77777777" w:rsidR="00EE5FDB" w:rsidRDefault="00435B84">
            <w:pPr>
              <w:jc w:val="center"/>
            </w:pPr>
            <w:r>
              <w:rPr>
                <w:sz w:val="20"/>
                <w:szCs w:val="20"/>
              </w:rPr>
              <w:t>1.90</w:t>
            </w:r>
          </w:p>
        </w:tc>
        <w:tc>
          <w:tcPr>
            <w:tcW w:w="19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28" w14:textId="008D7874" w:rsidR="00EE5FDB" w:rsidRDefault="00435B84">
            <w:pPr>
              <w:jc w:val="center"/>
            </w:pPr>
            <w:r>
              <w:rPr>
                <w:sz w:val="20"/>
                <w:szCs w:val="20"/>
              </w:rPr>
              <w:t>[1.12</w:t>
            </w:r>
            <w:r w:rsidR="00433F1A">
              <w:rPr>
                <w:sz w:val="20"/>
                <w:szCs w:val="20"/>
              </w:rPr>
              <w:t>-</w:t>
            </w:r>
            <w:r>
              <w:rPr>
                <w:sz w:val="20"/>
                <w:szCs w:val="20"/>
              </w:rPr>
              <w:t>3.23]</w:t>
            </w:r>
          </w:p>
        </w:tc>
        <w:tc>
          <w:tcPr>
            <w:tcW w:w="73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29" w14:textId="77777777" w:rsidR="00EE5FDB" w:rsidRDefault="00435B84">
            <w:pPr>
              <w:jc w:val="center"/>
            </w:pPr>
            <w:r>
              <w:rPr>
                <w:sz w:val="20"/>
                <w:szCs w:val="20"/>
              </w:rPr>
              <w:t>0.018</w:t>
            </w:r>
          </w:p>
        </w:tc>
      </w:tr>
      <w:tr w:rsidR="00EE5FDB" w14:paraId="72B98B2F"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B" w14:textId="77777777" w:rsidR="00EE5FDB" w:rsidRDefault="00435B84">
            <w:r>
              <w:rPr>
                <w:sz w:val="20"/>
                <w:szCs w:val="20"/>
              </w:rPr>
              <w:t>Self-medication</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C" w14:textId="77777777" w:rsidR="00EE5FDB" w:rsidRDefault="00435B84">
            <w:pPr>
              <w:jc w:val="center"/>
            </w:pPr>
            <w:r>
              <w:rPr>
                <w:sz w:val="20"/>
                <w:szCs w:val="20"/>
              </w:rPr>
              <w:t>1.44</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D" w14:textId="5517B55B" w:rsidR="00EE5FDB" w:rsidRDefault="00435B84">
            <w:pPr>
              <w:jc w:val="center"/>
            </w:pPr>
            <w:r>
              <w:rPr>
                <w:sz w:val="20"/>
                <w:szCs w:val="20"/>
              </w:rPr>
              <w:t>[0.83</w:t>
            </w:r>
            <w:r w:rsidR="00433F1A">
              <w:rPr>
                <w:sz w:val="20"/>
                <w:szCs w:val="20"/>
              </w:rPr>
              <w:t>-</w:t>
            </w:r>
            <w:r>
              <w:rPr>
                <w:sz w:val="20"/>
                <w:szCs w:val="20"/>
              </w:rPr>
              <w:t>2.48]</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2E" w14:textId="77777777" w:rsidR="00EE5FDB" w:rsidRDefault="00435B84">
            <w:pPr>
              <w:jc w:val="center"/>
            </w:pPr>
            <w:r>
              <w:rPr>
                <w:sz w:val="20"/>
                <w:szCs w:val="20"/>
              </w:rPr>
              <w:t>0.192</w:t>
            </w:r>
          </w:p>
        </w:tc>
      </w:tr>
      <w:tr w:rsidR="00EE5FDB" w14:paraId="72B98B34" w14:textId="77777777">
        <w:tc>
          <w:tcPr>
            <w:tcW w:w="28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30" w14:textId="77777777" w:rsidR="00EE5FDB" w:rsidRDefault="00435B84">
            <w:r>
              <w:rPr>
                <w:sz w:val="20"/>
                <w:szCs w:val="20"/>
              </w:rPr>
              <w:t>Male sex</w:t>
            </w:r>
          </w:p>
        </w:tc>
        <w:tc>
          <w:tcPr>
            <w:tcW w:w="14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31" w14:textId="77777777" w:rsidR="00EE5FDB" w:rsidRDefault="00435B84">
            <w:pPr>
              <w:jc w:val="center"/>
            </w:pPr>
            <w:r>
              <w:rPr>
                <w:sz w:val="20"/>
                <w:szCs w:val="20"/>
              </w:rPr>
              <w:t>0.83</w:t>
            </w:r>
          </w:p>
        </w:tc>
        <w:tc>
          <w:tcPr>
            <w:tcW w:w="19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32" w14:textId="3DA27028" w:rsidR="00EE5FDB" w:rsidRDefault="00435B84">
            <w:pPr>
              <w:jc w:val="center"/>
            </w:pPr>
            <w:r>
              <w:rPr>
                <w:sz w:val="20"/>
                <w:szCs w:val="20"/>
              </w:rPr>
              <w:t>[0.50</w:t>
            </w:r>
            <w:r w:rsidR="00433F1A">
              <w:rPr>
                <w:sz w:val="20"/>
                <w:szCs w:val="20"/>
              </w:rPr>
              <w:t>-</w:t>
            </w:r>
            <w:r>
              <w:rPr>
                <w:sz w:val="20"/>
                <w:szCs w:val="20"/>
              </w:rPr>
              <w:t>1.38]</w:t>
            </w:r>
          </w:p>
        </w:tc>
        <w:tc>
          <w:tcPr>
            <w:tcW w:w="73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33" w14:textId="77777777" w:rsidR="00EE5FDB" w:rsidRDefault="00435B84">
            <w:pPr>
              <w:jc w:val="center"/>
            </w:pPr>
            <w:r>
              <w:rPr>
                <w:sz w:val="20"/>
                <w:szCs w:val="20"/>
              </w:rPr>
              <w:t>0.479</w:t>
            </w:r>
          </w:p>
        </w:tc>
      </w:tr>
      <w:tr w:rsidR="00EE5FDB" w14:paraId="72B98B39"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35" w14:textId="77777777" w:rsidR="00EE5FDB" w:rsidRDefault="00435B84">
            <w:r>
              <w:rPr>
                <w:sz w:val="20"/>
                <w:szCs w:val="20"/>
              </w:rPr>
              <w:t>ITN use</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36" w14:textId="77777777" w:rsidR="00EE5FDB" w:rsidRDefault="00435B84">
            <w:pPr>
              <w:jc w:val="center"/>
            </w:pPr>
            <w:r>
              <w:rPr>
                <w:sz w:val="20"/>
                <w:szCs w:val="20"/>
              </w:rPr>
              <w:t>1.20</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37" w14:textId="1FCA2457" w:rsidR="00EE5FDB" w:rsidRDefault="00435B84">
            <w:pPr>
              <w:jc w:val="center"/>
            </w:pPr>
            <w:r>
              <w:rPr>
                <w:sz w:val="20"/>
                <w:szCs w:val="20"/>
              </w:rPr>
              <w:t>[0.72</w:t>
            </w:r>
            <w:r w:rsidR="00433F1A">
              <w:rPr>
                <w:sz w:val="20"/>
                <w:szCs w:val="20"/>
              </w:rPr>
              <w:t>-</w:t>
            </w:r>
            <w:r>
              <w:rPr>
                <w:sz w:val="20"/>
                <w:szCs w:val="20"/>
              </w:rPr>
              <w:t>2.03]</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38" w14:textId="77777777" w:rsidR="00EE5FDB" w:rsidRDefault="00435B84">
            <w:pPr>
              <w:jc w:val="center"/>
            </w:pPr>
            <w:r>
              <w:rPr>
                <w:sz w:val="20"/>
                <w:szCs w:val="20"/>
              </w:rPr>
              <w:t>0.483</w:t>
            </w:r>
          </w:p>
        </w:tc>
      </w:tr>
      <w:tr w:rsidR="00EE5FDB" w:rsidRPr="003828AA" w14:paraId="72B98B3B" w14:textId="77777777">
        <w:tc>
          <w:tcPr>
            <w:tcW w:w="0" w:type="auto"/>
            <w:gridSpan w:val="4"/>
            <w:tcBorders>
              <w:top w:val="single" w:sz="4" w:space="0" w:color="999999"/>
              <w:bottom w:val="single" w:sz="4" w:space="0" w:color="999999"/>
            </w:tcBorders>
            <w:shd w:val="clear" w:color="auto" w:fill="D9E2F3"/>
            <w:tcMar>
              <w:top w:w="40" w:type="dxa"/>
              <w:left w:w="80" w:type="dxa"/>
              <w:bottom w:w="40" w:type="dxa"/>
              <w:right w:w="80" w:type="dxa"/>
            </w:tcMar>
          </w:tcPr>
          <w:p w14:paraId="72B98B3A" w14:textId="6E90865C" w:rsidR="00EE5FDB" w:rsidRPr="003828AA" w:rsidRDefault="00435B84">
            <w:pPr>
              <w:rPr>
                <w:lang w:val="en-GB"/>
              </w:rPr>
            </w:pPr>
            <w:r w:rsidRPr="003828AA">
              <w:rPr>
                <w:b/>
                <w:bCs/>
                <w:color w:val="000000"/>
                <w:lang w:val="en-GB"/>
              </w:rPr>
              <w:t>Sensitivity analysis</w:t>
            </w:r>
            <w:r w:rsidR="0027120D" w:rsidRPr="0027120D">
              <w:rPr>
                <w:b/>
                <w:bCs/>
                <w:color w:val="000000"/>
                <w:lang w:val="en-GB"/>
              </w:rPr>
              <w:t xml:space="preserve">, </w:t>
            </w:r>
            <w:r w:rsidRPr="003828AA">
              <w:rPr>
                <w:b/>
                <w:bCs/>
                <w:color w:val="000000"/>
                <w:lang w:val="en-GB"/>
              </w:rPr>
              <w:t>Model B (N</w:t>
            </w:r>
            <w:r w:rsidR="002C5BBA" w:rsidRPr="002C5BBA">
              <w:rPr>
                <w:b/>
                <w:bCs/>
                <w:i/>
                <w:iCs/>
                <w:color w:val="000000"/>
                <w:lang w:val="en-GB"/>
              </w:rPr>
              <w:t>=</w:t>
            </w:r>
            <w:r w:rsidRPr="003828AA">
              <w:rPr>
                <w:b/>
                <w:bCs/>
                <w:color w:val="000000"/>
                <w:lang w:val="en-GB"/>
              </w:rPr>
              <w:t>317, delay as continuous variable)</w:t>
            </w:r>
          </w:p>
        </w:tc>
      </w:tr>
      <w:tr w:rsidR="00EE5FDB" w14:paraId="72B98B40" w14:textId="77777777">
        <w:tc>
          <w:tcPr>
            <w:tcW w:w="28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3C" w14:textId="77777777" w:rsidR="00EE5FDB" w:rsidRDefault="00435B84">
            <w:pPr>
              <w:jc w:val="center"/>
            </w:pPr>
            <w:r>
              <w:rPr>
                <w:b/>
                <w:bCs/>
                <w:color w:val="FFFFFF"/>
                <w:sz w:val="20"/>
                <w:szCs w:val="20"/>
              </w:rPr>
              <w:t>Variable</w:t>
            </w:r>
          </w:p>
        </w:tc>
        <w:tc>
          <w:tcPr>
            <w:tcW w:w="14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3D" w14:textId="77777777" w:rsidR="00EE5FDB" w:rsidRDefault="00435B84">
            <w:pPr>
              <w:jc w:val="center"/>
            </w:pPr>
            <w:r>
              <w:rPr>
                <w:b/>
                <w:bCs/>
                <w:color w:val="FFFFFF"/>
                <w:sz w:val="20"/>
                <w:szCs w:val="20"/>
              </w:rPr>
              <w:t>Adjusted OR</w:t>
            </w:r>
          </w:p>
        </w:tc>
        <w:tc>
          <w:tcPr>
            <w:tcW w:w="190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3E" w14:textId="77777777" w:rsidR="00EE5FDB" w:rsidRDefault="00435B84">
            <w:pPr>
              <w:jc w:val="center"/>
            </w:pPr>
            <w:r>
              <w:rPr>
                <w:b/>
                <w:bCs/>
                <w:color w:val="FFFFFF"/>
                <w:sz w:val="20"/>
                <w:szCs w:val="20"/>
              </w:rPr>
              <w:t>95% CI</w:t>
            </w:r>
          </w:p>
        </w:tc>
        <w:tc>
          <w:tcPr>
            <w:tcW w:w="730" w:type="dxa"/>
            <w:tcBorders>
              <w:top w:val="single" w:sz="4" w:space="0" w:color="999999"/>
              <w:left w:val="single" w:sz="4" w:space="0" w:color="999999"/>
              <w:bottom w:val="single" w:sz="4" w:space="0" w:color="999999"/>
              <w:right w:val="single" w:sz="4" w:space="0" w:color="999999"/>
            </w:tcBorders>
            <w:shd w:val="clear" w:color="auto" w:fill="1F3864"/>
            <w:tcMar>
              <w:top w:w="50" w:type="dxa"/>
              <w:left w:w="80" w:type="dxa"/>
              <w:bottom w:w="50" w:type="dxa"/>
              <w:right w:w="80" w:type="dxa"/>
            </w:tcMar>
            <w:vAlign w:val="center"/>
          </w:tcPr>
          <w:p w14:paraId="72B98B3F" w14:textId="77777777" w:rsidR="00EE5FDB" w:rsidRDefault="00435B84">
            <w:pPr>
              <w:jc w:val="center"/>
            </w:pPr>
            <w:r>
              <w:rPr>
                <w:b/>
                <w:bCs/>
                <w:color w:val="FFFFFF"/>
                <w:sz w:val="20"/>
                <w:szCs w:val="20"/>
              </w:rPr>
              <w:t>p</w:t>
            </w:r>
          </w:p>
        </w:tc>
      </w:tr>
      <w:tr w:rsidR="00EE5FDB" w14:paraId="72B98B45"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1" w14:textId="77777777" w:rsidR="00EE5FDB" w:rsidRDefault="00435B84">
            <w:r>
              <w:rPr>
                <w:sz w:val="20"/>
                <w:szCs w:val="20"/>
              </w:rPr>
              <w:t>Delay (days, continuous)</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2" w14:textId="77777777" w:rsidR="00EE5FDB" w:rsidRDefault="00435B84">
            <w:pPr>
              <w:jc w:val="center"/>
            </w:pPr>
            <w:r>
              <w:rPr>
                <w:sz w:val="20"/>
                <w:szCs w:val="20"/>
              </w:rPr>
              <w:t>1.09</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3" w14:textId="54B35970" w:rsidR="00EE5FDB" w:rsidRDefault="00435B84">
            <w:pPr>
              <w:jc w:val="center"/>
            </w:pPr>
            <w:r>
              <w:rPr>
                <w:sz w:val="20"/>
                <w:szCs w:val="20"/>
              </w:rPr>
              <w:t>[1.01</w:t>
            </w:r>
            <w:r w:rsidR="00433F1A">
              <w:rPr>
                <w:sz w:val="20"/>
                <w:szCs w:val="20"/>
              </w:rPr>
              <w:t>-</w:t>
            </w:r>
            <w:r>
              <w:rPr>
                <w:sz w:val="20"/>
                <w:szCs w:val="20"/>
              </w:rPr>
              <w:t>1.18]</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4" w14:textId="77777777" w:rsidR="00EE5FDB" w:rsidRDefault="00435B84">
            <w:pPr>
              <w:jc w:val="center"/>
            </w:pPr>
            <w:r>
              <w:rPr>
                <w:sz w:val="20"/>
                <w:szCs w:val="20"/>
              </w:rPr>
              <w:t>0.035</w:t>
            </w:r>
          </w:p>
        </w:tc>
      </w:tr>
      <w:tr w:rsidR="00EE5FDB" w14:paraId="72B98B4A" w14:textId="77777777">
        <w:tc>
          <w:tcPr>
            <w:tcW w:w="28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46" w14:textId="77777777" w:rsidR="00EE5FDB" w:rsidRDefault="00435B84">
            <w:r>
              <w:rPr>
                <w:sz w:val="20"/>
                <w:szCs w:val="20"/>
              </w:rPr>
              <w:t>Age &lt; 5 years</w:t>
            </w:r>
          </w:p>
        </w:tc>
        <w:tc>
          <w:tcPr>
            <w:tcW w:w="14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47" w14:textId="77777777" w:rsidR="00EE5FDB" w:rsidRDefault="00435B84">
            <w:pPr>
              <w:jc w:val="center"/>
            </w:pPr>
            <w:r>
              <w:rPr>
                <w:sz w:val="20"/>
                <w:szCs w:val="20"/>
              </w:rPr>
              <w:t>1.67</w:t>
            </w:r>
          </w:p>
        </w:tc>
        <w:tc>
          <w:tcPr>
            <w:tcW w:w="190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48" w14:textId="2B430A0B" w:rsidR="00EE5FDB" w:rsidRDefault="00435B84">
            <w:pPr>
              <w:jc w:val="center"/>
            </w:pPr>
            <w:r>
              <w:rPr>
                <w:sz w:val="20"/>
                <w:szCs w:val="20"/>
              </w:rPr>
              <w:t>[0.85</w:t>
            </w:r>
            <w:r w:rsidR="00433F1A">
              <w:rPr>
                <w:sz w:val="20"/>
                <w:szCs w:val="20"/>
              </w:rPr>
              <w:t>-</w:t>
            </w:r>
            <w:r>
              <w:rPr>
                <w:sz w:val="20"/>
                <w:szCs w:val="20"/>
              </w:rPr>
              <w:t>3.30]</w:t>
            </w:r>
          </w:p>
        </w:tc>
        <w:tc>
          <w:tcPr>
            <w:tcW w:w="730" w:type="dxa"/>
            <w:tcBorders>
              <w:top w:val="single" w:sz="4" w:space="0" w:color="999999"/>
              <w:left w:val="single" w:sz="4" w:space="0" w:color="999999"/>
              <w:bottom w:val="single" w:sz="4" w:space="0" w:color="999999"/>
              <w:right w:val="single" w:sz="4" w:space="0" w:color="999999"/>
            </w:tcBorders>
            <w:shd w:val="clear" w:color="auto" w:fill="E8E8E8"/>
            <w:tcMar>
              <w:top w:w="40" w:type="dxa"/>
              <w:left w:w="80" w:type="dxa"/>
              <w:bottom w:w="40" w:type="dxa"/>
              <w:right w:w="80" w:type="dxa"/>
            </w:tcMar>
          </w:tcPr>
          <w:p w14:paraId="72B98B49" w14:textId="77777777" w:rsidR="00EE5FDB" w:rsidRDefault="00435B84">
            <w:pPr>
              <w:jc w:val="center"/>
            </w:pPr>
            <w:r>
              <w:rPr>
                <w:sz w:val="20"/>
                <w:szCs w:val="20"/>
              </w:rPr>
              <w:t>0.136</w:t>
            </w:r>
          </w:p>
        </w:tc>
      </w:tr>
      <w:tr w:rsidR="00EE5FDB" w14:paraId="72B98B4F"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B" w14:textId="77777777" w:rsidR="00EE5FDB" w:rsidRDefault="00435B84">
            <w:r>
              <w:rPr>
                <w:sz w:val="20"/>
                <w:szCs w:val="20"/>
              </w:rPr>
              <w:t>Central arrondissements</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C" w14:textId="77777777" w:rsidR="00EE5FDB" w:rsidRDefault="00435B84">
            <w:pPr>
              <w:jc w:val="center"/>
            </w:pPr>
            <w:r>
              <w:rPr>
                <w:sz w:val="20"/>
                <w:szCs w:val="20"/>
              </w:rPr>
              <w:t>1.68</w:t>
            </w:r>
          </w:p>
        </w:tc>
        <w:tc>
          <w:tcPr>
            <w:tcW w:w="190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D" w14:textId="01DCE597" w:rsidR="00EE5FDB" w:rsidRDefault="00435B84">
            <w:pPr>
              <w:jc w:val="center"/>
            </w:pPr>
            <w:r>
              <w:rPr>
                <w:sz w:val="20"/>
                <w:szCs w:val="20"/>
              </w:rPr>
              <w:t>[0.78</w:t>
            </w:r>
            <w:r w:rsidR="00433F1A">
              <w:rPr>
                <w:sz w:val="20"/>
                <w:szCs w:val="20"/>
              </w:rPr>
              <w:t>-</w:t>
            </w:r>
            <w:r>
              <w:rPr>
                <w:sz w:val="20"/>
                <w:szCs w:val="20"/>
              </w:rPr>
              <w:t>3.64]</w:t>
            </w:r>
          </w:p>
        </w:tc>
        <w:tc>
          <w:tcPr>
            <w:tcW w:w="730" w:type="dxa"/>
            <w:tcBorders>
              <w:top w:val="single" w:sz="4" w:space="0" w:color="999999"/>
              <w:left w:val="single" w:sz="4" w:space="0" w:color="999999"/>
              <w:bottom w:val="single" w:sz="4" w:space="0" w:color="999999"/>
              <w:right w:val="single" w:sz="4" w:space="0" w:color="999999"/>
            </w:tcBorders>
            <w:shd w:val="clear" w:color="auto" w:fill="FFFFFF"/>
            <w:tcMar>
              <w:top w:w="40" w:type="dxa"/>
              <w:left w:w="80" w:type="dxa"/>
              <w:bottom w:w="40" w:type="dxa"/>
              <w:right w:w="80" w:type="dxa"/>
            </w:tcMar>
          </w:tcPr>
          <w:p w14:paraId="72B98B4E" w14:textId="77777777" w:rsidR="00EE5FDB" w:rsidRDefault="00435B84">
            <w:pPr>
              <w:jc w:val="center"/>
            </w:pPr>
            <w:r>
              <w:rPr>
                <w:sz w:val="20"/>
                <w:szCs w:val="20"/>
              </w:rPr>
              <w:t>0.188</w:t>
            </w:r>
          </w:p>
        </w:tc>
      </w:tr>
    </w:tbl>
    <w:p w14:paraId="72B98B50" w14:textId="332ABB87" w:rsidR="00EE5FDB" w:rsidRPr="003828AA" w:rsidRDefault="00435B84">
      <w:pPr>
        <w:spacing w:before="40" w:after="20" w:line="360" w:lineRule="auto"/>
        <w:rPr>
          <w:lang w:val="en-GB"/>
        </w:rPr>
      </w:pPr>
      <w:r w:rsidRPr="003828AA">
        <w:rPr>
          <w:i/>
          <w:iCs/>
          <w:color w:val="555555"/>
          <w:sz w:val="20"/>
          <w:szCs w:val="20"/>
          <w:lang w:val="en-GB"/>
        </w:rPr>
        <w:t>McFadden R²</w:t>
      </w:r>
      <w:r w:rsidR="002C5BBA" w:rsidRPr="002C5BBA">
        <w:rPr>
          <w:i/>
          <w:iCs/>
          <w:color w:val="555555"/>
          <w:sz w:val="20"/>
          <w:szCs w:val="20"/>
          <w:lang w:val="en-GB"/>
        </w:rPr>
        <w:t>=</w:t>
      </w:r>
      <w:r w:rsidRPr="003828AA">
        <w:rPr>
          <w:i/>
          <w:iCs/>
          <w:color w:val="555555"/>
          <w:sz w:val="20"/>
          <w:szCs w:val="20"/>
          <w:lang w:val="en-GB"/>
        </w:rPr>
        <w:t>0.032; AIC</w:t>
      </w:r>
      <w:r w:rsidR="002C5BBA" w:rsidRPr="002C5BBA">
        <w:rPr>
          <w:i/>
          <w:iCs/>
          <w:color w:val="555555"/>
          <w:sz w:val="20"/>
          <w:szCs w:val="20"/>
          <w:lang w:val="en-GB"/>
        </w:rPr>
        <w:t>=</w:t>
      </w:r>
      <w:r w:rsidRPr="003828AA">
        <w:rPr>
          <w:i/>
          <w:iCs/>
          <w:color w:val="555555"/>
          <w:sz w:val="20"/>
          <w:szCs w:val="20"/>
          <w:lang w:val="en-GB"/>
        </w:rPr>
        <w:t xml:space="preserve">398.1; LLR </w:t>
      </w:r>
      <w:r w:rsidR="00393EF7" w:rsidRPr="00393EF7">
        <w:rPr>
          <w:i/>
          <w:iCs/>
          <w:color w:val="555555"/>
          <w:sz w:val="20"/>
          <w:szCs w:val="20"/>
          <w:lang w:val="en-GB"/>
        </w:rPr>
        <w:t>p=</w:t>
      </w:r>
      <w:r w:rsidRPr="003828AA">
        <w:rPr>
          <w:i/>
          <w:iCs/>
          <w:color w:val="555555"/>
          <w:sz w:val="20"/>
          <w:szCs w:val="20"/>
          <w:lang w:val="en-GB"/>
        </w:rPr>
        <w:t>0.025 (Model A).</w:t>
      </w:r>
    </w:p>
    <w:p w14:paraId="72B98B51" w14:textId="77777777" w:rsidR="00EE5FDB" w:rsidRPr="003828AA" w:rsidRDefault="00EE5FDB">
      <w:pPr>
        <w:spacing w:before="40" w:after="40"/>
        <w:rPr>
          <w:lang w:val="en-GB"/>
        </w:rPr>
      </w:pPr>
    </w:p>
    <w:p w14:paraId="72B98B52" w14:textId="77777777" w:rsidR="00EE5FDB" w:rsidRPr="003828AA" w:rsidRDefault="00435B84">
      <w:pPr>
        <w:spacing w:before="200" w:after="80" w:line="480" w:lineRule="auto"/>
        <w:rPr>
          <w:lang w:val="en-GB"/>
        </w:rPr>
      </w:pPr>
      <w:r w:rsidRPr="003828AA">
        <w:rPr>
          <w:b/>
          <w:bCs/>
          <w:caps/>
          <w:color w:val="1F3864"/>
          <w:lang w:val="en-GB"/>
        </w:rPr>
        <w:t>4. Discussion</w:t>
      </w:r>
    </w:p>
    <w:p w14:paraId="72B98B53" w14:textId="77777777" w:rsidR="00EE5FDB" w:rsidRPr="003828AA" w:rsidRDefault="00435B84">
      <w:pPr>
        <w:spacing w:line="480" w:lineRule="auto"/>
        <w:ind w:firstLine="720"/>
        <w:jc w:val="both"/>
        <w:rPr>
          <w:lang w:val="en-GB"/>
        </w:rPr>
      </w:pPr>
      <w:r w:rsidRPr="003828AA">
        <w:rPr>
          <w:color w:val="000000"/>
          <w:lang w:val="en-GB"/>
        </w:rPr>
        <w:t xml:space="preserve">This hospital-based observational study of 441 children admitted with confirmed </w:t>
      </w:r>
      <w:r w:rsidRPr="003828AA">
        <w:rPr>
          <w:i/>
          <w:iCs/>
          <w:lang w:val="en-GB"/>
        </w:rPr>
        <w:t>Plasmodium falciparum</w:t>
      </w:r>
      <w:r w:rsidRPr="003828AA">
        <w:rPr>
          <w:color w:val="000000"/>
          <w:lang w:val="en-GB"/>
        </w:rPr>
        <w:t xml:space="preserve"> malaria in Brazzaville provides the first systematic characterisation of co-infection and comorbidity in this setting, and identifies sociodemographic factors independently associated with their occurrence.</w:t>
      </w:r>
    </w:p>
    <w:p w14:paraId="72B98B54" w14:textId="77777777" w:rsidR="00EE5FDB" w:rsidRPr="003828AA" w:rsidRDefault="00EE5FDB">
      <w:pPr>
        <w:spacing w:before="40" w:after="40"/>
        <w:rPr>
          <w:lang w:val="en-GB"/>
        </w:rPr>
      </w:pPr>
    </w:p>
    <w:p w14:paraId="72B98B55" w14:textId="066207EA" w:rsidR="00EE5FDB" w:rsidRPr="003828AA" w:rsidRDefault="00435B84">
      <w:pPr>
        <w:spacing w:line="480" w:lineRule="auto"/>
        <w:ind w:firstLine="720"/>
        <w:jc w:val="both"/>
        <w:rPr>
          <w:lang w:val="en-GB"/>
        </w:rPr>
      </w:pPr>
      <w:r w:rsidRPr="003828AA">
        <w:rPr>
          <w:color w:val="000000"/>
          <w:lang w:val="en-GB"/>
        </w:rPr>
        <w:t>The co-infection prevalence of 16.8% is compatible with estimates from comparable settings. Church and Maitland documented invasive bacterial infection in 5.58% of all hospitalised malaria cases across 11 African countries (Church and Maitland, 2014), a conservative lower bound given its restriction to microbiologically confirmed bacteraemia. In Libreville, Gabon, 21.0% of children with WHO-defined severe malaria had at least one documented co-infection (</w:t>
      </w:r>
      <w:proofErr w:type="spellStart"/>
      <w:r w:rsidRPr="003828AA">
        <w:rPr>
          <w:color w:val="000000"/>
          <w:lang w:val="en-GB"/>
        </w:rPr>
        <w:t>Essomeyo</w:t>
      </w:r>
      <w:proofErr w:type="spellEnd"/>
      <w:r w:rsidRPr="003828AA">
        <w:rPr>
          <w:color w:val="000000"/>
          <w:lang w:val="en-GB"/>
        </w:rPr>
        <w:t xml:space="preserve"> Ngue </w:t>
      </w:r>
      <w:proofErr w:type="spellStart"/>
      <w:r w:rsidRPr="003828AA">
        <w:rPr>
          <w:color w:val="000000"/>
          <w:lang w:val="en-GB"/>
        </w:rPr>
        <w:t>Mebale</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xml:space="preserve">., 2026). In Ouagadougou, a co-infection rate of 34.9% was reported, though that study included both confirmed and suspected cases (Lassina </w:t>
      </w:r>
      <w:r w:rsidR="00393EF7" w:rsidRPr="00393EF7">
        <w:rPr>
          <w:i/>
          <w:iCs/>
          <w:color w:val="000000"/>
          <w:lang w:val="en-GB"/>
        </w:rPr>
        <w:t>et al</w:t>
      </w:r>
      <w:r w:rsidRPr="003828AA">
        <w:rPr>
          <w:color w:val="000000"/>
          <w:lang w:val="en-GB"/>
        </w:rPr>
        <w:t>., 2026). The predominance of rhinopharyngitis, bronchopneumonia, and meningitis mirrors the Gabonese experience (</w:t>
      </w:r>
      <w:proofErr w:type="spellStart"/>
      <w:r w:rsidRPr="003828AA">
        <w:rPr>
          <w:color w:val="000000"/>
          <w:lang w:val="en-GB"/>
        </w:rPr>
        <w:t>Essomeyo</w:t>
      </w:r>
      <w:proofErr w:type="spellEnd"/>
      <w:r w:rsidRPr="003828AA">
        <w:rPr>
          <w:color w:val="000000"/>
          <w:lang w:val="en-GB"/>
        </w:rPr>
        <w:t xml:space="preserve"> Ngue </w:t>
      </w:r>
      <w:proofErr w:type="spellStart"/>
      <w:r w:rsidRPr="003828AA">
        <w:rPr>
          <w:color w:val="000000"/>
          <w:lang w:val="en-GB"/>
        </w:rPr>
        <w:t>Mebale</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xml:space="preserve">., 2026) and aligns with the seminal description of clinical overlap between malaria and acute respiratory infection in African children (English </w:t>
      </w:r>
      <w:r w:rsidR="00393EF7" w:rsidRPr="00393EF7">
        <w:rPr>
          <w:i/>
          <w:iCs/>
          <w:color w:val="000000"/>
          <w:lang w:val="en-GB"/>
        </w:rPr>
        <w:t>et al</w:t>
      </w:r>
      <w:r w:rsidRPr="003828AA">
        <w:rPr>
          <w:color w:val="000000"/>
          <w:lang w:val="en-GB"/>
        </w:rPr>
        <w:t xml:space="preserve">., 1996). In Uganda, Abdi </w:t>
      </w:r>
      <w:r w:rsidR="00393EF7" w:rsidRPr="00393EF7">
        <w:rPr>
          <w:i/>
          <w:iCs/>
          <w:color w:val="000000"/>
          <w:lang w:val="en-GB"/>
        </w:rPr>
        <w:t>et al</w:t>
      </w:r>
      <w:r w:rsidRPr="003828AA">
        <w:rPr>
          <w:color w:val="000000"/>
          <w:lang w:val="en-GB"/>
        </w:rPr>
        <w:t>. (2026) reported a co-infection prevalence of 14.5%, though that study was restricted to adults.</w:t>
      </w:r>
    </w:p>
    <w:p w14:paraId="72B98B56" w14:textId="77777777" w:rsidR="00EE5FDB" w:rsidRPr="003828AA" w:rsidRDefault="00EE5FDB">
      <w:pPr>
        <w:spacing w:before="40" w:after="40"/>
        <w:rPr>
          <w:lang w:val="en-GB"/>
        </w:rPr>
      </w:pPr>
    </w:p>
    <w:p w14:paraId="72B98B57" w14:textId="7152617A" w:rsidR="00EE5FDB" w:rsidRPr="003828AA" w:rsidRDefault="00435B84">
      <w:pPr>
        <w:spacing w:line="480" w:lineRule="auto"/>
        <w:ind w:firstLine="720"/>
        <w:jc w:val="both"/>
        <w:rPr>
          <w:lang w:val="en-GB"/>
        </w:rPr>
      </w:pPr>
      <w:r w:rsidRPr="003828AA">
        <w:rPr>
          <w:color w:val="000000"/>
          <w:lang w:val="en-GB"/>
        </w:rPr>
        <w:lastRenderedPageBreak/>
        <w:t>The independent association of age under five years with co-infection (</w:t>
      </w:r>
      <w:proofErr w:type="spellStart"/>
      <w:r w:rsidRPr="003828AA">
        <w:rPr>
          <w:color w:val="000000"/>
          <w:lang w:val="en-GB"/>
        </w:rPr>
        <w:t>aOR</w:t>
      </w:r>
      <w:proofErr w:type="spellEnd"/>
      <w:r w:rsidRPr="003828AA">
        <w:rPr>
          <w:color w:val="000000"/>
          <w:lang w:val="en-GB"/>
        </w:rPr>
        <w:t xml:space="preserve"> 1.71) is biologically plausible. Children in this age group have lost passively transferred maternal immunity without having developed sufficient acquired immunity against either </w:t>
      </w:r>
      <w:r w:rsidRPr="003828AA">
        <w:rPr>
          <w:i/>
          <w:iCs/>
          <w:lang w:val="en-GB"/>
        </w:rPr>
        <w:t>P. falciparum</w:t>
      </w:r>
      <w:r w:rsidRPr="003828AA">
        <w:rPr>
          <w:color w:val="000000"/>
          <w:lang w:val="en-GB"/>
        </w:rPr>
        <w:t xml:space="preserve"> or co-circulating pathogens (Tesema </w:t>
      </w:r>
      <w:r w:rsidR="00393EF7" w:rsidRPr="00393EF7">
        <w:rPr>
          <w:i/>
          <w:iCs/>
          <w:color w:val="000000"/>
          <w:lang w:val="en-GB"/>
        </w:rPr>
        <w:t>et al</w:t>
      </w:r>
      <w:r w:rsidRPr="003828AA">
        <w:rPr>
          <w:color w:val="000000"/>
          <w:lang w:val="en-GB"/>
        </w:rPr>
        <w:t xml:space="preserve">., 2023). This dual immunological vulnerability </w:t>
      </w:r>
      <w:r w:rsidRPr="003828AA">
        <w:rPr>
          <w:color w:val="000000"/>
          <w:highlight w:val="yellow"/>
          <w:lang w:val="en-GB"/>
        </w:rPr>
        <w:t>may be</w:t>
      </w:r>
      <w:r w:rsidRPr="003828AA">
        <w:rPr>
          <w:color w:val="000000"/>
          <w:lang w:val="en-GB"/>
        </w:rPr>
        <w:t xml:space="preserve"> compounded by </w:t>
      </w:r>
      <w:proofErr w:type="spellStart"/>
      <w:r w:rsidRPr="003828AA">
        <w:rPr>
          <w:color w:val="000000"/>
          <w:lang w:val="en-GB"/>
        </w:rPr>
        <w:t>haemozoin</w:t>
      </w:r>
      <w:proofErr w:type="spellEnd"/>
      <w:r w:rsidRPr="003828AA">
        <w:rPr>
          <w:color w:val="000000"/>
          <w:lang w:val="en-GB"/>
        </w:rPr>
        <w:t xml:space="preserve"> accumulation within leucocytes, impairing their functional capacity (Gomez-Pérez </w:t>
      </w:r>
      <w:r w:rsidR="00393EF7" w:rsidRPr="00393EF7">
        <w:rPr>
          <w:i/>
          <w:iCs/>
          <w:color w:val="000000"/>
          <w:lang w:val="en-GB"/>
        </w:rPr>
        <w:t>et al</w:t>
      </w:r>
      <w:r w:rsidRPr="003828AA">
        <w:rPr>
          <w:color w:val="000000"/>
          <w:lang w:val="en-GB"/>
        </w:rPr>
        <w:t>., 2014). The CHUMEFJE Libreville study identified age under five as the strongest predictor of co-infection in severe malaria (OR 1.76, 95% CI 1.12</w:t>
      </w:r>
      <w:r w:rsidR="00433F1A">
        <w:rPr>
          <w:color w:val="000000"/>
          <w:lang w:val="en-GB"/>
        </w:rPr>
        <w:t>-</w:t>
      </w:r>
      <w:r w:rsidRPr="003828AA">
        <w:rPr>
          <w:color w:val="000000"/>
          <w:lang w:val="en-GB"/>
        </w:rPr>
        <w:t xml:space="preserve">2.76; </w:t>
      </w:r>
      <w:proofErr w:type="spellStart"/>
      <w:r w:rsidRPr="003828AA">
        <w:rPr>
          <w:color w:val="000000"/>
          <w:lang w:val="en-GB"/>
        </w:rPr>
        <w:t>Essomeyo</w:t>
      </w:r>
      <w:proofErr w:type="spellEnd"/>
      <w:r w:rsidRPr="003828AA">
        <w:rPr>
          <w:color w:val="000000"/>
          <w:lang w:val="en-GB"/>
        </w:rPr>
        <w:t xml:space="preserve"> Ngue </w:t>
      </w:r>
      <w:proofErr w:type="spellStart"/>
      <w:r w:rsidRPr="003828AA">
        <w:rPr>
          <w:color w:val="000000"/>
          <w:lang w:val="en-GB"/>
        </w:rPr>
        <w:t>Mebale</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2026), remarkably consistent with our estimate. C-reactive protein has been proposed as a feasible co-infection screening tool in resource-limited settings (</w:t>
      </w:r>
      <w:proofErr w:type="spellStart"/>
      <w:r w:rsidRPr="003828AA">
        <w:rPr>
          <w:color w:val="000000"/>
          <w:lang w:val="en-GB"/>
        </w:rPr>
        <w:t>Ngwengi</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2023).</w:t>
      </w:r>
    </w:p>
    <w:p w14:paraId="72B98B58" w14:textId="77777777" w:rsidR="00EE5FDB" w:rsidRPr="003828AA" w:rsidRDefault="00EE5FDB">
      <w:pPr>
        <w:spacing w:before="40" w:after="40"/>
        <w:rPr>
          <w:lang w:val="en-GB"/>
        </w:rPr>
      </w:pPr>
    </w:p>
    <w:p w14:paraId="72B98B59" w14:textId="6825FD6D" w:rsidR="00EE5FDB" w:rsidRPr="003828AA" w:rsidRDefault="00435B84">
      <w:pPr>
        <w:spacing w:line="480" w:lineRule="auto"/>
        <w:ind w:firstLine="720"/>
        <w:jc w:val="both"/>
        <w:rPr>
          <w:lang w:val="en-GB"/>
        </w:rPr>
      </w:pPr>
      <w:r w:rsidRPr="003828AA">
        <w:rPr>
          <w:color w:val="000000"/>
          <w:lang w:val="en-GB"/>
        </w:rPr>
        <w:t>Residence in the central arrondissements (</w:t>
      </w:r>
      <w:proofErr w:type="spellStart"/>
      <w:r w:rsidRPr="003828AA">
        <w:rPr>
          <w:color w:val="000000"/>
          <w:lang w:val="en-GB"/>
        </w:rPr>
        <w:t>aOR</w:t>
      </w:r>
      <w:proofErr w:type="spellEnd"/>
      <w:r w:rsidRPr="003828AA">
        <w:rPr>
          <w:color w:val="000000"/>
          <w:lang w:val="en-GB"/>
        </w:rPr>
        <w:t xml:space="preserve"> 1.90) is a novel geographically specific finding. These districts are characterised by high population density, informal housing, limited sanitation, and proximity to drainage channels</w:t>
      </w:r>
      <w:r w:rsidR="0027120D" w:rsidRPr="0027120D">
        <w:rPr>
          <w:color w:val="000000"/>
          <w:lang w:val="en-GB"/>
        </w:rPr>
        <w:t xml:space="preserve">, </w:t>
      </w:r>
      <w:r w:rsidRPr="003828AA">
        <w:rPr>
          <w:color w:val="000000"/>
          <w:lang w:val="en-GB"/>
        </w:rPr>
        <w:t xml:space="preserve">features </w:t>
      </w:r>
      <w:r w:rsidRPr="003828AA">
        <w:rPr>
          <w:color w:val="000000"/>
          <w:highlight w:val="yellow"/>
          <w:lang w:val="en-GB"/>
        </w:rPr>
        <w:t xml:space="preserve">associated with </w:t>
      </w:r>
      <w:r w:rsidRPr="003828AA">
        <w:rPr>
          <w:color w:val="000000"/>
          <w:lang w:val="en-GB"/>
        </w:rPr>
        <w:t>increased transmission of both malaria and co-circulating respiratory pathogens (</w:t>
      </w:r>
      <w:proofErr w:type="spellStart"/>
      <w:r w:rsidRPr="003828AA">
        <w:rPr>
          <w:color w:val="000000"/>
          <w:lang w:val="en-GB"/>
        </w:rPr>
        <w:t>Merga</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xml:space="preserve">., 2025; Kabaria </w:t>
      </w:r>
      <w:r w:rsidR="00393EF7" w:rsidRPr="00393EF7">
        <w:rPr>
          <w:i/>
          <w:iCs/>
          <w:color w:val="000000"/>
          <w:lang w:val="en-GB"/>
        </w:rPr>
        <w:t>et al</w:t>
      </w:r>
      <w:r w:rsidRPr="003828AA">
        <w:rPr>
          <w:color w:val="000000"/>
          <w:lang w:val="en-GB"/>
        </w:rPr>
        <w:t xml:space="preserve">., 2017). The co-infection rate in </w:t>
      </w:r>
      <w:proofErr w:type="spellStart"/>
      <w:r w:rsidRPr="003828AA">
        <w:rPr>
          <w:color w:val="000000"/>
          <w:lang w:val="en-GB"/>
        </w:rPr>
        <w:t>Poto-Poto</w:t>
      </w:r>
      <w:proofErr w:type="spellEnd"/>
      <w:r w:rsidRPr="003828AA">
        <w:rPr>
          <w:color w:val="000000"/>
          <w:lang w:val="en-GB"/>
        </w:rPr>
        <w:t xml:space="preserve"> (32.3%) was markedly higher than in </w:t>
      </w:r>
      <w:proofErr w:type="spellStart"/>
      <w:r w:rsidRPr="003828AA">
        <w:rPr>
          <w:color w:val="000000"/>
          <w:lang w:val="en-GB"/>
        </w:rPr>
        <w:t>Madibou</w:t>
      </w:r>
      <w:proofErr w:type="spellEnd"/>
      <w:r w:rsidRPr="003828AA">
        <w:rPr>
          <w:color w:val="000000"/>
          <w:lang w:val="en-GB"/>
        </w:rPr>
        <w:t xml:space="preserve"> (13.1%) and </w:t>
      </w:r>
      <w:proofErr w:type="spellStart"/>
      <w:r w:rsidRPr="003828AA">
        <w:rPr>
          <w:color w:val="000000"/>
          <w:lang w:val="en-GB"/>
        </w:rPr>
        <w:t>Makélékélé</w:t>
      </w:r>
      <w:proofErr w:type="spellEnd"/>
      <w:r w:rsidRPr="003828AA">
        <w:rPr>
          <w:color w:val="000000"/>
          <w:lang w:val="en-GB"/>
        </w:rPr>
        <w:t xml:space="preserve"> (10.0%), despite the latter contributing the largest number of admissions. This spatial heterogeneity suggests that within-city ecological variation is a more important driver of co-infection risk than overall malaria burden, and identifies priority geographic zones for targeted interventions consistent with a One Health framework (Ramirez-Plascencia </w:t>
      </w:r>
      <w:r w:rsidR="00393EF7" w:rsidRPr="00393EF7">
        <w:rPr>
          <w:i/>
          <w:iCs/>
          <w:color w:val="000000"/>
          <w:lang w:val="en-GB"/>
        </w:rPr>
        <w:t>et al</w:t>
      </w:r>
      <w:r w:rsidRPr="003828AA">
        <w:rPr>
          <w:color w:val="000000"/>
          <w:lang w:val="en-GB"/>
        </w:rPr>
        <w:t>., 2025).</w:t>
      </w:r>
    </w:p>
    <w:p w14:paraId="72B98B5A" w14:textId="77777777" w:rsidR="00EE5FDB" w:rsidRPr="003828AA" w:rsidRDefault="00EE5FDB">
      <w:pPr>
        <w:spacing w:before="40" w:after="40"/>
        <w:rPr>
          <w:lang w:val="en-GB"/>
        </w:rPr>
      </w:pPr>
    </w:p>
    <w:p w14:paraId="72B98B5B" w14:textId="65B84BFB" w:rsidR="00EE5FDB" w:rsidRPr="003828AA" w:rsidRDefault="00435B84">
      <w:pPr>
        <w:spacing w:line="480" w:lineRule="auto"/>
        <w:ind w:firstLine="720"/>
        <w:jc w:val="both"/>
        <w:rPr>
          <w:lang w:val="en-GB"/>
        </w:rPr>
      </w:pPr>
      <w:r w:rsidRPr="003828AA">
        <w:rPr>
          <w:color w:val="000000"/>
          <w:lang w:val="en-GB"/>
        </w:rPr>
        <w:t xml:space="preserve">Consultation delay was </w:t>
      </w:r>
      <w:r w:rsidRPr="003828AA">
        <w:rPr>
          <w:color w:val="000000"/>
          <w:highlight w:val="yellow"/>
          <w:lang w:val="en-GB"/>
        </w:rPr>
        <w:t>associated with</w:t>
      </w:r>
      <w:r w:rsidRPr="003828AA">
        <w:rPr>
          <w:color w:val="000000"/>
          <w:lang w:val="en-GB"/>
        </w:rPr>
        <w:t xml:space="preserve"> co-infection in the sensitivity analysis (</w:t>
      </w:r>
      <w:proofErr w:type="spellStart"/>
      <w:r w:rsidRPr="003828AA">
        <w:rPr>
          <w:color w:val="000000"/>
          <w:lang w:val="en-GB"/>
        </w:rPr>
        <w:t>aOR</w:t>
      </w:r>
      <w:proofErr w:type="spellEnd"/>
      <w:r w:rsidRPr="003828AA">
        <w:rPr>
          <w:color w:val="000000"/>
          <w:lang w:val="en-GB"/>
        </w:rPr>
        <w:t xml:space="preserve"> 1.09/day). Prolonged untreated malaria sustains fever, metabolic perturbation, and mucosal immune impairment, creating conditions conducive to secondary bacterial infection (Moyen </w:t>
      </w:r>
      <w:r w:rsidR="00393EF7" w:rsidRPr="00393EF7">
        <w:rPr>
          <w:i/>
          <w:iCs/>
          <w:color w:val="000000"/>
          <w:lang w:val="en-GB"/>
        </w:rPr>
        <w:t>et al</w:t>
      </w:r>
      <w:r w:rsidRPr="003828AA">
        <w:rPr>
          <w:color w:val="000000"/>
          <w:lang w:val="en-GB"/>
        </w:rPr>
        <w:t xml:space="preserve">., 2022). This association is mechanistically supported by the pooled meta-analysis of Mousa </w:t>
      </w:r>
      <w:r w:rsidR="00393EF7" w:rsidRPr="00393EF7">
        <w:rPr>
          <w:i/>
          <w:iCs/>
          <w:color w:val="000000"/>
          <w:lang w:val="en-GB"/>
        </w:rPr>
        <w:t>et al</w:t>
      </w:r>
      <w:r w:rsidRPr="003828AA">
        <w:rPr>
          <w:color w:val="000000"/>
          <w:lang w:val="en-GB"/>
        </w:rPr>
        <w:t xml:space="preserve">. demonstrating that each additional day of delay significantly increased progression from uncomplicated to severe malaria (Mousa </w:t>
      </w:r>
      <w:r w:rsidR="00393EF7" w:rsidRPr="00393EF7">
        <w:rPr>
          <w:i/>
          <w:iCs/>
          <w:color w:val="000000"/>
          <w:lang w:val="en-GB"/>
        </w:rPr>
        <w:t>et al</w:t>
      </w:r>
      <w:r w:rsidRPr="003828AA">
        <w:rPr>
          <w:color w:val="000000"/>
          <w:lang w:val="en-GB"/>
        </w:rPr>
        <w:t>., 2020), and by evidence linking delayed presentation to neurological sequelae in cerebral malaria (</w:t>
      </w:r>
      <w:proofErr w:type="spellStart"/>
      <w:r w:rsidRPr="003828AA">
        <w:rPr>
          <w:color w:val="000000"/>
          <w:lang w:val="en-GB"/>
        </w:rPr>
        <w:t>Borgstein</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xml:space="preserve">., 2022). Pre-hospital self-medication </w:t>
      </w:r>
      <w:r w:rsidRPr="003828AA">
        <w:rPr>
          <w:color w:val="000000"/>
          <w:lang w:val="en-GB"/>
        </w:rPr>
        <w:lastRenderedPageBreak/>
        <w:t>(27.4%) showed a non-significant trend towards co-infection (</w:t>
      </w:r>
      <w:proofErr w:type="spellStart"/>
      <w:r w:rsidRPr="003828AA">
        <w:rPr>
          <w:color w:val="000000"/>
          <w:lang w:val="en-GB"/>
        </w:rPr>
        <w:t>aOR</w:t>
      </w:r>
      <w:proofErr w:type="spellEnd"/>
      <w:r w:rsidRPr="003828AA">
        <w:rPr>
          <w:color w:val="000000"/>
          <w:lang w:val="en-GB"/>
        </w:rPr>
        <w:t xml:space="preserve"> 1.44; </w:t>
      </w:r>
      <w:r w:rsidR="00393EF7" w:rsidRPr="00393EF7">
        <w:rPr>
          <w:i/>
          <w:iCs/>
          <w:color w:val="000000"/>
          <w:lang w:val="en-GB"/>
        </w:rPr>
        <w:t>p=</w:t>
      </w:r>
      <w:r w:rsidRPr="003828AA">
        <w:rPr>
          <w:color w:val="000000"/>
          <w:lang w:val="en-GB"/>
        </w:rPr>
        <w:t xml:space="preserve">0.192), consistent with the epidemiological literature on self-medication-related delays and antimicrobial stewardship risks (Amaka </w:t>
      </w:r>
      <w:r w:rsidR="00393EF7" w:rsidRPr="00393EF7">
        <w:rPr>
          <w:i/>
          <w:iCs/>
          <w:color w:val="000000"/>
          <w:lang w:val="en-GB"/>
        </w:rPr>
        <w:t>et al</w:t>
      </w:r>
      <w:r w:rsidRPr="003828AA">
        <w:rPr>
          <w:color w:val="000000"/>
          <w:lang w:val="en-GB"/>
        </w:rPr>
        <w:t xml:space="preserve">., 2025; Balogun </w:t>
      </w:r>
      <w:r w:rsidR="00393EF7" w:rsidRPr="00393EF7">
        <w:rPr>
          <w:i/>
          <w:iCs/>
          <w:color w:val="000000"/>
          <w:lang w:val="en-GB"/>
        </w:rPr>
        <w:t>et al</w:t>
      </w:r>
      <w:r w:rsidRPr="003828AA">
        <w:rPr>
          <w:color w:val="000000"/>
          <w:lang w:val="en-GB"/>
        </w:rPr>
        <w:t>., 2019).</w:t>
      </w:r>
    </w:p>
    <w:p w14:paraId="72B98B5C" w14:textId="77777777" w:rsidR="00EE5FDB" w:rsidRPr="003828AA" w:rsidRDefault="00EE5FDB">
      <w:pPr>
        <w:spacing w:before="40" w:after="40"/>
        <w:rPr>
          <w:lang w:val="en-GB"/>
        </w:rPr>
      </w:pPr>
    </w:p>
    <w:p w14:paraId="72B98B5D" w14:textId="28C16D7D" w:rsidR="00EE5FDB" w:rsidRPr="003828AA" w:rsidRDefault="00435B84">
      <w:pPr>
        <w:spacing w:line="480" w:lineRule="auto"/>
        <w:ind w:firstLine="720"/>
        <w:jc w:val="both"/>
        <w:rPr>
          <w:lang w:val="en-GB"/>
        </w:rPr>
      </w:pPr>
      <w:r w:rsidRPr="003828AA">
        <w:rPr>
          <w:color w:val="000000"/>
          <w:lang w:val="en-GB"/>
        </w:rPr>
        <w:t xml:space="preserve">Co-infected children were significantly more likely to meet WHO severe malaria criteria (51.4% vs 33.5%; </w:t>
      </w:r>
      <w:r w:rsidR="00393EF7" w:rsidRPr="00393EF7">
        <w:rPr>
          <w:i/>
          <w:iCs/>
          <w:color w:val="000000"/>
          <w:lang w:val="en-GB"/>
        </w:rPr>
        <w:t>p=</w:t>
      </w:r>
      <w:r w:rsidRPr="003828AA">
        <w:rPr>
          <w:color w:val="000000"/>
          <w:lang w:val="en-GB"/>
        </w:rPr>
        <w:t>0.004), had higher parasitaemia (</w:t>
      </w:r>
      <w:r w:rsidR="00F70D28" w:rsidRPr="00F70D28">
        <w:rPr>
          <w:i/>
          <w:iCs/>
          <w:color w:val="000000"/>
          <w:lang w:val="en-GB"/>
        </w:rPr>
        <w:t xml:space="preserve">p&lt; </w:t>
      </w:r>
      <w:r w:rsidRPr="003828AA">
        <w:rPr>
          <w:color w:val="000000"/>
          <w:lang w:val="en-GB"/>
        </w:rPr>
        <w:t>0.001), and higher leucocyte count (</w:t>
      </w:r>
      <w:r w:rsidR="00393EF7" w:rsidRPr="00393EF7">
        <w:rPr>
          <w:i/>
          <w:iCs/>
          <w:color w:val="000000"/>
          <w:lang w:val="en-GB"/>
        </w:rPr>
        <w:t>p=</w:t>
      </w:r>
      <w:r w:rsidRPr="003828AA">
        <w:rPr>
          <w:color w:val="000000"/>
          <w:lang w:val="en-GB"/>
        </w:rPr>
        <w:t xml:space="preserve">0.005), consistent with co-infection </w:t>
      </w:r>
      <w:r w:rsidRPr="003828AA">
        <w:rPr>
          <w:color w:val="000000"/>
          <w:highlight w:val="yellow"/>
          <w:lang w:val="en-GB"/>
        </w:rPr>
        <w:t>potentially contributing to</w:t>
      </w:r>
      <w:r w:rsidRPr="003828AA">
        <w:rPr>
          <w:color w:val="000000"/>
          <w:lang w:val="en-GB"/>
        </w:rPr>
        <w:t xml:space="preserve"> amplified systemic inflammation and impaired parasite clearance. Church and Maitland estimated that one-third of all severe malaria deaths were attributable to bacteraemia (Church and Maitland, 2014). Length of hospital stay was significantly prolonged in co-infected children (</w:t>
      </w:r>
      <w:r w:rsidR="00393EF7" w:rsidRPr="00393EF7">
        <w:rPr>
          <w:i/>
          <w:iCs/>
          <w:color w:val="000000"/>
          <w:lang w:val="en-GB"/>
        </w:rPr>
        <w:t>p=</w:t>
      </w:r>
      <w:r w:rsidRPr="003828AA">
        <w:rPr>
          <w:color w:val="000000"/>
          <w:lang w:val="en-GB"/>
        </w:rPr>
        <w:t>0.017), consistent with the Gabonese data (</w:t>
      </w:r>
      <w:proofErr w:type="spellStart"/>
      <w:r w:rsidRPr="003828AA">
        <w:rPr>
          <w:color w:val="000000"/>
          <w:lang w:val="en-GB"/>
        </w:rPr>
        <w:t>Essomeyo</w:t>
      </w:r>
      <w:proofErr w:type="spellEnd"/>
      <w:r w:rsidRPr="003828AA">
        <w:rPr>
          <w:color w:val="000000"/>
          <w:lang w:val="en-GB"/>
        </w:rPr>
        <w:t xml:space="preserve"> Ngue </w:t>
      </w:r>
      <w:proofErr w:type="spellStart"/>
      <w:r w:rsidRPr="003828AA">
        <w:rPr>
          <w:color w:val="000000"/>
          <w:lang w:val="en-GB"/>
        </w:rPr>
        <w:t>Mebale</w:t>
      </w:r>
      <w:proofErr w:type="spellEnd"/>
      <w:r w:rsidRPr="003828AA">
        <w:rPr>
          <w:color w:val="000000"/>
          <w:lang w:val="en-GB"/>
        </w:rPr>
        <w:t xml:space="preserve"> </w:t>
      </w:r>
      <w:r w:rsidR="00393EF7" w:rsidRPr="00393EF7">
        <w:rPr>
          <w:i/>
          <w:iCs/>
          <w:color w:val="000000"/>
          <w:lang w:val="en-GB"/>
        </w:rPr>
        <w:t>et al</w:t>
      </w:r>
      <w:r w:rsidRPr="003828AA">
        <w:rPr>
          <w:color w:val="000000"/>
          <w:lang w:val="en-GB"/>
        </w:rPr>
        <w:t xml:space="preserve">., 2026). In Uganda, Abdi </w:t>
      </w:r>
      <w:r w:rsidR="00393EF7" w:rsidRPr="00393EF7">
        <w:rPr>
          <w:i/>
          <w:iCs/>
          <w:color w:val="000000"/>
          <w:lang w:val="en-GB"/>
        </w:rPr>
        <w:t>et al</w:t>
      </w:r>
      <w:r w:rsidRPr="003828AA">
        <w:rPr>
          <w:color w:val="000000"/>
          <w:lang w:val="en-GB"/>
        </w:rPr>
        <w:t xml:space="preserve">. (2026) and Connon </w:t>
      </w:r>
      <w:r w:rsidR="00393EF7" w:rsidRPr="00393EF7">
        <w:rPr>
          <w:i/>
          <w:iCs/>
          <w:color w:val="000000"/>
          <w:lang w:val="en-GB"/>
        </w:rPr>
        <w:t>et al</w:t>
      </w:r>
      <w:r w:rsidRPr="003828AA">
        <w:rPr>
          <w:color w:val="000000"/>
          <w:lang w:val="en-GB"/>
        </w:rPr>
        <w:t xml:space="preserve">. (2024) identified </w:t>
      </w:r>
      <w:r w:rsidRPr="003828AA">
        <w:rPr>
          <w:i/>
          <w:iCs/>
          <w:lang w:val="en-GB"/>
        </w:rPr>
        <w:t>Salmonella</w:t>
      </w:r>
      <w:r w:rsidRPr="003828AA">
        <w:rPr>
          <w:color w:val="000000"/>
          <w:lang w:val="en-GB"/>
        </w:rPr>
        <w:t xml:space="preserve"> spp. as dominant co-infecting pathogens; routine blood cultures in our cohort would likely have revealed a similar pattern given the epidemiology of faecal-oral contamination in comparable urban settings. In-hospital mortality was not significantly different between groups (9.5% vs 6.5%; </w:t>
      </w:r>
      <w:r w:rsidR="00393EF7" w:rsidRPr="00393EF7">
        <w:rPr>
          <w:i/>
          <w:iCs/>
          <w:color w:val="000000"/>
          <w:lang w:val="en-GB"/>
        </w:rPr>
        <w:t>p=</w:t>
      </w:r>
      <w:r w:rsidRPr="003828AA">
        <w:rPr>
          <w:color w:val="000000"/>
          <w:lang w:val="en-GB"/>
        </w:rPr>
        <w:t>0.370), likely reflecting limited statistical power (n</w:t>
      </w:r>
      <w:r w:rsidR="002C5BBA" w:rsidRPr="002C5BBA">
        <w:rPr>
          <w:i/>
          <w:iCs/>
          <w:color w:val="000000"/>
          <w:lang w:val="en-GB"/>
        </w:rPr>
        <w:t>=</w:t>
      </w:r>
      <w:r w:rsidRPr="003828AA">
        <w:rPr>
          <w:color w:val="000000"/>
          <w:lang w:val="en-GB"/>
        </w:rPr>
        <w:t>31 total deaths).</w:t>
      </w:r>
    </w:p>
    <w:p w14:paraId="72B98B5E" w14:textId="77777777" w:rsidR="00EE5FDB" w:rsidRPr="003828AA" w:rsidRDefault="00EE5FDB">
      <w:pPr>
        <w:spacing w:before="40" w:after="40"/>
        <w:rPr>
          <w:lang w:val="en-GB"/>
        </w:rPr>
      </w:pPr>
    </w:p>
    <w:p w14:paraId="72B98B5F" w14:textId="250F7781" w:rsidR="00EE5FDB" w:rsidRPr="003828AA" w:rsidRDefault="00435B84">
      <w:pPr>
        <w:spacing w:line="480" w:lineRule="auto"/>
        <w:ind w:firstLine="720"/>
        <w:jc w:val="both"/>
        <w:rPr>
          <w:lang w:val="en-GB"/>
        </w:rPr>
      </w:pPr>
      <w:r w:rsidRPr="003828AA">
        <w:rPr>
          <w:color w:val="000000"/>
          <w:lang w:val="en-GB"/>
        </w:rPr>
        <w:t xml:space="preserve">Adult data from the same subregion offer a complementary perspective: Moutombi Ditombi </w:t>
      </w:r>
      <w:r w:rsidR="00393EF7" w:rsidRPr="00393EF7">
        <w:rPr>
          <w:i/>
          <w:iCs/>
          <w:color w:val="000000"/>
          <w:lang w:val="en-GB"/>
        </w:rPr>
        <w:t>et al</w:t>
      </w:r>
      <w:r w:rsidRPr="003828AA">
        <w:rPr>
          <w:color w:val="000000"/>
          <w:lang w:val="en-GB"/>
        </w:rPr>
        <w:t xml:space="preserve">. found that severe malaria was nearly four times more frequent among people living with HIV than HIV-negative adults in Libreville (48.2% vs 12.1%; Moutombi Ditombi </w:t>
      </w:r>
      <w:r w:rsidR="00393EF7" w:rsidRPr="00393EF7">
        <w:rPr>
          <w:i/>
          <w:iCs/>
          <w:color w:val="000000"/>
          <w:lang w:val="en-GB"/>
        </w:rPr>
        <w:t>et al</w:t>
      </w:r>
      <w:r w:rsidRPr="003828AA">
        <w:rPr>
          <w:color w:val="000000"/>
          <w:lang w:val="en-GB"/>
        </w:rPr>
        <w:t>., 2026), illustrating how host immunological status</w:t>
      </w:r>
      <w:r w:rsidR="0027120D" w:rsidRPr="0027120D">
        <w:rPr>
          <w:color w:val="000000"/>
          <w:lang w:val="en-GB"/>
        </w:rPr>
        <w:t xml:space="preserve">, </w:t>
      </w:r>
      <w:r w:rsidRPr="003828AA">
        <w:rPr>
          <w:color w:val="000000"/>
          <w:lang w:val="en-GB"/>
        </w:rPr>
        <w:t>whether determined by developmental immaturity in children or chronic infection in adults</w:t>
      </w:r>
      <w:r w:rsidR="0027120D" w:rsidRPr="0027120D">
        <w:rPr>
          <w:color w:val="000000"/>
          <w:lang w:val="en-GB"/>
        </w:rPr>
        <w:t xml:space="preserve">, </w:t>
      </w:r>
      <w:r w:rsidRPr="003828AA">
        <w:rPr>
          <w:color w:val="000000"/>
          <w:highlight w:val="yellow"/>
          <w:lang w:val="en-GB"/>
        </w:rPr>
        <w:t>is associated with</w:t>
      </w:r>
      <w:r w:rsidRPr="003828AA">
        <w:rPr>
          <w:color w:val="000000"/>
          <w:lang w:val="en-GB"/>
        </w:rPr>
        <w:t xml:space="preserve"> co-infection risk across the age spectrum.</w:t>
      </w:r>
    </w:p>
    <w:p w14:paraId="72B98B60" w14:textId="77777777" w:rsidR="00EE5FDB" w:rsidRPr="003828AA" w:rsidRDefault="00EE5FDB">
      <w:pPr>
        <w:spacing w:before="40" w:after="40"/>
        <w:rPr>
          <w:lang w:val="en-GB"/>
        </w:rPr>
      </w:pPr>
    </w:p>
    <w:p w14:paraId="72B98B61" w14:textId="77777777" w:rsidR="00EE5FDB" w:rsidRPr="003828AA" w:rsidRDefault="00435B84">
      <w:pPr>
        <w:spacing w:line="480" w:lineRule="auto"/>
        <w:ind w:firstLine="720"/>
        <w:jc w:val="both"/>
        <w:rPr>
          <w:lang w:val="en-GB"/>
        </w:rPr>
      </w:pPr>
      <w:r w:rsidRPr="003828AA">
        <w:rPr>
          <w:color w:val="000000"/>
          <w:lang w:val="en-GB"/>
        </w:rPr>
        <w:t xml:space="preserve">This study has several strengths: it is the first to systematically characterise co-infection in hospitalised malaria patients in the Republic of Congo, with geographically granular analysis at arrondissement level and pre-specified multivariable regression. Several limitations must be acknowledged. </w:t>
      </w:r>
      <w:r w:rsidRPr="003828AA">
        <w:rPr>
          <w:color w:val="000000"/>
          <w:highlight w:val="yellow"/>
          <w:lang w:val="en-GB"/>
        </w:rPr>
        <w:t xml:space="preserve">Most co-infections were clinically diagnosed without systematic microbiological confirmation, which may have resulted in misclassification and overestimation of some syndromic </w:t>
      </w:r>
      <w:r w:rsidRPr="003828AA">
        <w:rPr>
          <w:color w:val="000000"/>
          <w:highlight w:val="yellow"/>
          <w:lang w:val="en-GB"/>
        </w:rPr>
        <w:lastRenderedPageBreak/>
        <w:t xml:space="preserve">diagnoses, particularly respiratory infections; this is compounded by frequent shortages of laboratory reagents and blood culture media at CHU-Brazzaville, and by pre-hospital antibiotic use through informal pharmacies, which may have masked associated infections. </w:t>
      </w:r>
      <w:r w:rsidRPr="003828AA">
        <w:rPr>
          <w:color w:val="000000"/>
          <w:lang w:val="en-GB"/>
        </w:rPr>
        <w:t>Second, nutritional status data were available for fewer than 5% of participants and could not be controlled for, representing potential residual confounding. Third, consultation delay data were missing for 28.1% of participants, limiting power in the sensitivity model. Finally, as a single-centre study at the capital's principal referral hospital, findings may not fully represent district-level or rural malaria epidemiology across the Republic of Congo.</w:t>
      </w:r>
    </w:p>
    <w:p w14:paraId="72B98B62" w14:textId="77777777" w:rsidR="00EE5FDB" w:rsidRPr="003828AA" w:rsidRDefault="00EE5FDB">
      <w:pPr>
        <w:spacing w:before="40" w:after="40"/>
        <w:rPr>
          <w:lang w:val="en-GB"/>
        </w:rPr>
      </w:pPr>
    </w:p>
    <w:p w14:paraId="72B98B63" w14:textId="77777777" w:rsidR="00EE5FDB" w:rsidRPr="003828AA" w:rsidRDefault="00435B84">
      <w:pPr>
        <w:spacing w:before="200" w:after="80" w:line="480" w:lineRule="auto"/>
        <w:rPr>
          <w:lang w:val="en-GB"/>
        </w:rPr>
      </w:pPr>
      <w:r w:rsidRPr="003828AA">
        <w:rPr>
          <w:b/>
          <w:bCs/>
          <w:caps/>
          <w:color w:val="1F3864"/>
          <w:lang w:val="en-GB"/>
        </w:rPr>
        <w:t>5. Conclusion</w:t>
      </w:r>
    </w:p>
    <w:p w14:paraId="72B98B64" w14:textId="77777777" w:rsidR="00EE5FDB" w:rsidRPr="003828AA" w:rsidRDefault="00435B84">
      <w:pPr>
        <w:spacing w:line="480" w:lineRule="auto"/>
        <w:ind w:firstLine="720"/>
        <w:jc w:val="both"/>
        <w:rPr>
          <w:lang w:val="en-GB"/>
        </w:rPr>
      </w:pPr>
      <w:r w:rsidRPr="003828AA">
        <w:rPr>
          <w:color w:val="000000"/>
          <w:highlight w:val="yellow"/>
          <w:lang w:val="en-GB"/>
        </w:rPr>
        <w:t xml:space="preserve">Co-infection or comorbidity was common among children hospitalised with </w:t>
      </w:r>
      <w:r w:rsidRPr="003828AA">
        <w:rPr>
          <w:i/>
          <w:iCs/>
          <w:highlight w:val="yellow"/>
          <w:lang w:val="en-GB"/>
        </w:rPr>
        <w:t>P. falciparum</w:t>
      </w:r>
      <w:r w:rsidRPr="003828AA">
        <w:rPr>
          <w:color w:val="000000"/>
          <w:highlight w:val="yellow"/>
          <w:lang w:val="en-GB"/>
        </w:rPr>
        <w:t xml:space="preserve"> malaria in Brazzaville and was associated with younger age, delayed healthcare-seeking, and residence in densely populated urban districts. Co-infected children more frequently presented with severe malaria and prolonged hospitalisation. These findings support integrated clinical assessment strategies for febrile children with malaria in urban Central African referral hospitals.</w:t>
      </w:r>
    </w:p>
    <w:p w14:paraId="72B98B65" w14:textId="77777777" w:rsidR="00EE5FDB" w:rsidRPr="003828AA" w:rsidRDefault="00EE5FDB">
      <w:pPr>
        <w:spacing w:before="40" w:after="40"/>
        <w:rPr>
          <w:lang w:val="en-GB"/>
        </w:rPr>
      </w:pPr>
    </w:p>
    <w:p w14:paraId="72B98B66" w14:textId="77777777" w:rsidR="00EE5FDB" w:rsidRPr="003828AA" w:rsidRDefault="00435B84">
      <w:pPr>
        <w:spacing w:before="200" w:after="80" w:line="480" w:lineRule="auto"/>
        <w:rPr>
          <w:lang w:val="en-GB"/>
        </w:rPr>
      </w:pPr>
      <w:r w:rsidRPr="003828AA">
        <w:rPr>
          <w:b/>
          <w:bCs/>
          <w:caps/>
          <w:color w:val="1F3864"/>
          <w:lang w:val="en-GB"/>
        </w:rPr>
        <w:t>Competing Interests</w:t>
      </w:r>
    </w:p>
    <w:p w14:paraId="72B98B67" w14:textId="77777777" w:rsidR="00EE5FDB" w:rsidRPr="003828AA" w:rsidRDefault="00435B84">
      <w:pPr>
        <w:spacing w:line="480" w:lineRule="auto"/>
        <w:jc w:val="both"/>
        <w:rPr>
          <w:lang w:val="en-GB"/>
        </w:rPr>
      </w:pPr>
      <w:r w:rsidRPr="003828AA">
        <w:rPr>
          <w:color w:val="000000"/>
          <w:lang w:val="en-GB"/>
        </w:rPr>
        <w:t>Authors have declared no competing financial or non-financial interests.</w:t>
      </w:r>
    </w:p>
    <w:p w14:paraId="72B98B68" w14:textId="77777777" w:rsidR="00EE5FDB" w:rsidRPr="003828AA" w:rsidRDefault="00EE5FDB">
      <w:pPr>
        <w:spacing w:before="40" w:after="40"/>
        <w:rPr>
          <w:lang w:val="en-GB"/>
        </w:rPr>
      </w:pPr>
    </w:p>
    <w:p w14:paraId="72B98B69" w14:textId="77777777" w:rsidR="00EE5FDB" w:rsidRPr="003828AA" w:rsidRDefault="00435B84">
      <w:pPr>
        <w:spacing w:before="200" w:after="80" w:line="480" w:lineRule="auto"/>
        <w:rPr>
          <w:lang w:val="en-GB"/>
        </w:rPr>
      </w:pPr>
      <w:r w:rsidRPr="003828AA">
        <w:rPr>
          <w:b/>
          <w:bCs/>
          <w:caps/>
          <w:color w:val="1F3864"/>
          <w:lang w:val="en-GB"/>
        </w:rPr>
        <w:t>Disclaimer</w:t>
      </w:r>
    </w:p>
    <w:p w14:paraId="72B98B6A" w14:textId="77777777" w:rsidR="00EE5FDB" w:rsidRPr="003828AA" w:rsidRDefault="00435B84">
      <w:pPr>
        <w:spacing w:line="480" w:lineRule="auto"/>
        <w:jc w:val="both"/>
        <w:rPr>
          <w:lang w:val="en-GB"/>
        </w:rPr>
      </w:pPr>
      <w:r w:rsidRPr="003828AA">
        <w:rPr>
          <w:color w:val="000000"/>
          <w:lang w:val="en-GB"/>
        </w:rPr>
        <w:t>Authors declare that no generative AI technologies have been used during writing or editing of this manuscript.</w:t>
      </w:r>
    </w:p>
    <w:p w14:paraId="72B98B6B" w14:textId="77777777" w:rsidR="00EE5FDB" w:rsidRPr="003828AA" w:rsidRDefault="00EE5FDB">
      <w:pPr>
        <w:spacing w:before="40" w:after="40"/>
        <w:rPr>
          <w:lang w:val="en-GB"/>
        </w:rPr>
      </w:pPr>
    </w:p>
    <w:p w14:paraId="72B98B6C" w14:textId="77777777" w:rsidR="00EE5FDB" w:rsidRPr="003828AA" w:rsidRDefault="00435B84">
      <w:pPr>
        <w:spacing w:before="200" w:after="80" w:line="480" w:lineRule="auto"/>
        <w:rPr>
          <w:lang w:val="en-GB"/>
        </w:rPr>
      </w:pPr>
      <w:r w:rsidRPr="003828AA">
        <w:rPr>
          <w:b/>
          <w:bCs/>
          <w:caps/>
          <w:color w:val="1F3864"/>
          <w:lang w:val="en-GB"/>
        </w:rPr>
        <w:t>References</w:t>
      </w:r>
    </w:p>
    <w:p w14:paraId="72B98B6D" w14:textId="05412DD9" w:rsidR="00EE5FDB" w:rsidRPr="003828AA" w:rsidRDefault="00435B84">
      <w:pPr>
        <w:spacing w:after="80" w:line="360" w:lineRule="auto"/>
        <w:ind w:left="540" w:hanging="540"/>
        <w:jc w:val="both"/>
        <w:rPr>
          <w:lang w:val="en-GB"/>
        </w:rPr>
      </w:pPr>
      <w:r w:rsidRPr="003828AA">
        <w:rPr>
          <w:sz w:val="20"/>
          <w:szCs w:val="20"/>
          <w:lang w:val="en-GB"/>
        </w:rPr>
        <w:t xml:space="preserve">Abdi FD, Hirsi AM, Ali M </w:t>
      </w:r>
      <w:r w:rsidR="00393EF7" w:rsidRPr="00393EF7">
        <w:rPr>
          <w:i/>
          <w:iCs/>
          <w:sz w:val="20"/>
          <w:szCs w:val="20"/>
          <w:lang w:val="en-GB"/>
        </w:rPr>
        <w:t>et al</w:t>
      </w:r>
      <w:r w:rsidRPr="003828AA">
        <w:rPr>
          <w:sz w:val="20"/>
          <w:szCs w:val="20"/>
          <w:lang w:val="en-GB"/>
        </w:rPr>
        <w:t xml:space="preserve">. (2026) Prevalence and factors associated with concomitant </w:t>
      </w:r>
      <w:proofErr w:type="spellStart"/>
      <w:r w:rsidRPr="003828AA">
        <w:rPr>
          <w:sz w:val="20"/>
          <w:szCs w:val="20"/>
          <w:lang w:val="en-GB"/>
        </w:rPr>
        <w:t>bacteremia</w:t>
      </w:r>
      <w:proofErr w:type="spellEnd"/>
      <w:r w:rsidRPr="003828AA">
        <w:rPr>
          <w:sz w:val="20"/>
          <w:szCs w:val="20"/>
          <w:lang w:val="en-GB"/>
        </w:rPr>
        <w:t xml:space="preserve"> among adults admitted with severe malaria at Kayunga Regional Referral Hospital, Uganda. </w:t>
      </w:r>
      <w:r w:rsidRPr="003828AA">
        <w:rPr>
          <w:i/>
          <w:iCs/>
          <w:sz w:val="20"/>
          <w:szCs w:val="20"/>
          <w:lang w:val="en-GB"/>
        </w:rPr>
        <w:t>Malar J</w:t>
      </w:r>
      <w:r w:rsidRPr="003828AA">
        <w:rPr>
          <w:sz w:val="20"/>
          <w:szCs w:val="20"/>
          <w:lang w:val="en-GB"/>
        </w:rPr>
        <w:t>. 25:97. doi:10.1186/s12936-026-05793-4</w:t>
      </w:r>
    </w:p>
    <w:p w14:paraId="72B98B6E" w14:textId="03D662E2" w:rsidR="00EE5FDB" w:rsidRPr="003828AA" w:rsidRDefault="00435B84">
      <w:pPr>
        <w:spacing w:after="80" w:line="360" w:lineRule="auto"/>
        <w:ind w:left="540" w:hanging="540"/>
        <w:jc w:val="both"/>
        <w:rPr>
          <w:lang w:val="en-GB"/>
        </w:rPr>
      </w:pPr>
      <w:r w:rsidRPr="003828AA">
        <w:rPr>
          <w:sz w:val="20"/>
          <w:szCs w:val="20"/>
          <w:lang w:val="en-GB"/>
        </w:rPr>
        <w:lastRenderedPageBreak/>
        <w:t xml:space="preserve">Amaka JI, MacLeod E, Picozzi K </w:t>
      </w:r>
      <w:r w:rsidR="00393EF7" w:rsidRPr="00393EF7">
        <w:rPr>
          <w:i/>
          <w:iCs/>
          <w:sz w:val="20"/>
          <w:szCs w:val="20"/>
          <w:lang w:val="en-GB"/>
        </w:rPr>
        <w:t>et al</w:t>
      </w:r>
      <w:r w:rsidRPr="003828AA">
        <w:rPr>
          <w:sz w:val="20"/>
          <w:szCs w:val="20"/>
          <w:lang w:val="en-GB"/>
        </w:rPr>
        <w:t xml:space="preserve">. (2025) Issues associated with malaria self-medication in sub-Saharan Africa: a systematic literature review and meta-analysis. </w:t>
      </w:r>
      <w:r w:rsidRPr="003828AA">
        <w:rPr>
          <w:i/>
          <w:iCs/>
          <w:sz w:val="20"/>
          <w:szCs w:val="20"/>
          <w:lang w:val="en-GB"/>
        </w:rPr>
        <w:t>Malaria World J</w:t>
      </w:r>
      <w:r w:rsidRPr="003828AA">
        <w:rPr>
          <w:sz w:val="20"/>
          <w:szCs w:val="20"/>
          <w:lang w:val="en-GB"/>
        </w:rPr>
        <w:t>. 16:16. doi:10.5281/zenodo.17054133</w:t>
      </w:r>
    </w:p>
    <w:p w14:paraId="72B98B6F" w14:textId="77777777" w:rsidR="00EE5FDB" w:rsidRPr="003828AA" w:rsidRDefault="00435B84">
      <w:pPr>
        <w:spacing w:after="80" w:line="360" w:lineRule="auto"/>
        <w:ind w:left="540" w:hanging="540"/>
        <w:jc w:val="both"/>
        <w:rPr>
          <w:lang w:val="en-GB"/>
        </w:rPr>
      </w:pPr>
      <w:r w:rsidRPr="003828AA">
        <w:rPr>
          <w:sz w:val="20"/>
          <w:szCs w:val="20"/>
          <w:lang w:val="en-GB"/>
        </w:rPr>
        <w:t xml:space="preserve">Anjorin S, Okolie E, Yaya S. (2023) Malaria profile and socioeconomic predictors among under-five children: an analysis of 11 sub-Saharan African countries. </w:t>
      </w:r>
      <w:r w:rsidRPr="003828AA">
        <w:rPr>
          <w:i/>
          <w:iCs/>
          <w:sz w:val="20"/>
          <w:szCs w:val="20"/>
          <w:lang w:val="en-GB"/>
        </w:rPr>
        <w:t>Malar J</w:t>
      </w:r>
      <w:r w:rsidRPr="003828AA">
        <w:rPr>
          <w:sz w:val="20"/>
          <w:szCs w:val="20"/>
          <w:lang w:val="en-GB"/>
        </w:rPr>
        <w:t>. 22:58. doi:10.1186/s12936-023-04484-8. PMID: 36797701</w:t>
      </w:r>
    </w:p>
    <w:p w14:paraId="72B98B70" w14:textId="4A1B9723" w:rsidR="00EE5FDB" w:rsidRDefault="00435B84">
      <w:pPr>
        <w:spacing w:after="80" w:line="360" w:lineRule="auto"/>
        <w:ind w:left="540" w:hanging="540"/>
        <w:jc w:val="both"/>
      </w:pPr>
      <w:r w:rsidRPr="003828AA">
        <w:rPr>
          <w:sz w:val="20"/>
          <w:szCs w:val="20"/>
          <w:lang w:val="en-GB"/>
        </w:rPr>
        <w:t xml:space="preserve">Balogun ST, </w:t>
      </w:r>
      <w:proofErr w:type="spellStart"/>
      <w:r w:rsidRPr="003828AA">
        <w:rPr>
          <w:sz w:val="20"/>
          <w:szCs w:val="20"/>
          <w:lang w:val="en-GB"/>
        </w:rPr>
        <w:t>Sandabe</w:t>
      </w:r>
      <w:proofErr w:type="spellEnd"/>
      <w:r w:rsidRPr="003828AA">
        <w:rPr>
          <w:sz w:val="20"/>
          <w:szCs w:val="20"/>
          <w:lang w:val="en-GB"/>
        </w:rPr>
        <w:t xml:space="preserve"> UK, Okon KO </w:t>
      </w:r>
      <w:r w:rsidR="00393EF7" w:rsidRPr="00393EF7">
        <w:rPr>
          <w:i/>
          <w:iCs/>
          <w:sz w:val="20"/>
          <w:szCs w:val="20"/>
          <w:lang w:val="en-GB"/>
        </w:rPr>
        <w:t>et al</w:t>
      </w:r>
      <w:r w:rsidRPr="003828AA">
        <w:rPr>
          <w:sz w:val="20"/>
          <w:szCs w:val="20"/>
          <w:lang w:val="en-GB"/>
        </w:rPr>
        <w:t xml:space="preserve">. (2019) Malaria burden and pre-hospital medication among subjects with malaria in Maiduguri, Northeast Nigeria. </w:t>
      </w:r>
      <w:r>
        <w:rPr>
          <w:i/>
          <w:iCs/>
          <w:sz w:val="20"/>
          <w:szCs w:val="20"/>
        </w:rPr>
        <w:t>Heliyon</w:t>
      </w:r>
      <w:r>
        <w:rPr>
          <w:sz w:val="20"/>
          <w:szCs w:val="20"/>
        </w:rPr>
        <w:t>. 5:e02280. doi:10.1016/j.heliyon.2019.e02280</w:t>
      </w:r>
    </w:p>
    <w:p w14:paraId="72B98B71" w14:textId="5A51DEC3" w:rsidR="00EE5FDB" w:rsidRPr="003828AA" w:rsidRDefault="00435B84">
      <w:pPr>
        <w:spacing w:after="80" w:line="360" w:lineRule="auto"/>
        <w:ind w:left="540" w:hanging="540"/>
        <w:jc w:val="both"/>
        <w:rPr>
          <w:lang w:val="en-GB"/>
        </w:rPr>
      </w:pPr>
      <w:r>
        <w:rPr>
          <w:sz w:val="20"/>
          <w:szCs w:val="20"/>
        </w:rPr>
        <w:t xml:space="preserve">Borgstein A, Zhang B, Lam C </w:t>
      </w:r>
      <w:r w:rsidR="00393EF7" w:rsidRPr="00393EF7">
        <w:rPr>
          <w:i/>
          <w:iCs/>
          <w:sz w:val="20"/>
          <w:szCs w:val="20"/>
        </w:rPr>
        <w:t>et al</w:t>
      </w:r>
      <w:r>
        <w:rPr>
          <w:sz w:val="20"/>
          <w:szCs w:val="20"/>
        </w:rPr>
        <w:t xml:space="preserve">. </w:t>
      </w:r>
      <w:r w:rsidRPr="003828AA">
        <w:rPr>
          <w:sz w:val="20"/>
          <w:szCs w:val="20"/>
          <w:lang w:val="en-GB"/>
        </w:rPr>
        <w:t xml:space="preserve">(2022) Delayed presentation to hospital care is associated with sequelae but not mortality in children with cerebral malaria in Malawi. </w:t>
      </w:r>
      <w:r w:rsidRPr="003828AA">
        <w:rPr>
          <w:i/>
          <w:iCs/>
          <w:sz w:val="20"/>
          <w:szCs w:val="20"/>
          <w:lang w:val="en-GB"/>
        </w:rPr>
        <w:t>Malar J</w:t>
      </w:r>
      <w:r w:rsidRPr="003828AA">
        <w:rPr>
          <w:sz w:val="20"/>
          <w:szCs w:val="20"/>
          <w:lang w:val="en-GB"/>
        </w:rPr>
        <w:t>. 21:57. doi:10.1186/s12936-022-04080-2. PMID: 35193588</w:t>
      </w:r>
    </w:p>
    <w:p w14:paraId="72B98B72" w14:textId="363D11E4" w:rsidR="00EE5FDB" w:rsidRPr="003828AA" w:rsidRDefault="00435B84">
      <w:pPr>
        <w:spacing w:after="80" w:line="360" w:lineRule="auto"/>
        <w:ind w:left="540" w:hanging="540"/>
        <w:jc w:val="both"/>
        <w:rPr>
          <w:lang w:val="en-GB"/>
        </w:rPr>
      </w:pPr>
      <w:proofErr w:type="spellStart"/>
      <w:r w:rsidRPr="003828AA">
        <w:rPr>
          <w:sz w:val="20"/>
          <w:szCs w:val="20"/>
          <w:lang w:val="en-GB"/>
        </w:rPr>
        <w:t>Bouyou-Akotet</w:t>
      </w:r>
      <w:proofErr w:type="spellEnd"/>
      <w:r w:rsidRPr="003828AA">
        <w:rPr>
          <w:sz w:val="20"/>
          <w:szCs w:val="20"/>
          <w:lang w:val="en-GB"/>
        </w:rPr>
        <w:t xml:space="preserve"> MK, </w:t>
      </w:r>
      <w:proofErr w:type="spellStart"/>
      <w:r w:rsidRPr="003828AA">
        <w:rPr>
          <w:sz w:val="20"/>
          <w:szCs w:val="20"/>
          <w:lang w:val="en-GB"/>
        </w:rPr>
        <w:t>Mawili-Mboumba</w:t>
      </w:r>
      <w:proofErr w:type="spellEnd"/>
      <w:r w:rsidRPr="003828AA">
        <w:rPr>
          <w:sz w:val="20"/>
          <w:szCs w:val="20"/>
          <w:lang w:val="en-GB"/>
        </w:rPr>
        <w:t xml:space="preserve"> DP, </w:t>
      </w:r>
      <w:proofErr w:type="spellStart"/>
      <w:r w:rsidRPr="003828AA">
        <w:rPr>
          <w:sz w:val="20"/>
          <w:szCs w:val="20"/>
          <w:lang w:val="en-GB"/>
        </w:rPr>
        <w:t>Kendjo</w:t>
      </w:r>
      <w:proofErr w:type="spellEnd"/>
      <w:r w:rsidRPr="003828AA">
        <w:rPr>
          <w:sz w:val="20"/>
          <w:szCs w:val="20"/>
          <w:lang w:val="en-GB"/>
        </w:rPr>
        <w:t xml:space="preserve"> E </w:t>
      </w:r>
      <w:r w:rsidR="00393EF7" w:rsidRPr="00393EF7">
        <w:rPr>
          <w:i/>
          <w:iCs/>
          <w:sz w:val="20"/>
          <w:szCs w:val="20"/>
          <w:lang w:val="en-GB"/>
        </w:rPr>
        <w:t>et al</w:t>
      </w:r>
      <w:r w:rsidRPr="003828AA">
        <w:rPr>
          <w:sz w:val="20"/>
          <w:szCs w:val="20"/>
          <w:lang w:val="en-GB"/>
        </w:rPr>
        <w:t xml:space="preserve">. (2012) Complicated malaria and other severe febrile illness in a </w:t>
      </w:r>
      <w:proofErr w:type="spellStart"/>
      <w:r w:rsidRPr="003828AA">
        <w:rPr>
          <w:sz w:val="20"/>
          <w:szCs w:val="20"/>
          <w:lang w:val="en-GB"/>
        </w:rPr>
        <w:t>pediatric</w:t>
      </w:r>
      <w:proofErr w:type="spellEnd"/>
      <w:r w:rsidRPr="003828AA">
        <w:rPr>
          <w:sz w:val="20"/>
          <w:szCs w:val="20"/>
          <w:lang w:val="en-GB"/>
        </w:rPr>
        <w:t xml:space="preserve"> ward in Libreville, Gabon. </w:t>
      </w:r>
      <w:r w:rsidRPr="003828AA">
        <w:rPr>
          <w:i/>
          <w:iCs/>
          <w:sz w:val="20"/>
          <w:szCs w:val="20"/>
          <w:lang w:val="en-GB"/>
        </w:rPr>
        <w:t>BMC Infect Dis</w:t>
      </w:r>
      <w:r w:rsidRPr="003828AA">
        <w:rPr>
          <w:sz w:val="20"/>
          <w:szCs w:val="20"/>
          <w:lang w:val="en-GB"/>
        </w:rPr>
        <w:t>. 12:216. doi:10.1186/1471-2334-12-216. PMID: 22973831</w:t>
      </w:r>
    </w:p>
    <w:p w14:paraId="72B98B73" w14:textId="77777777" w:rsidR="00EE5FDB" w:rsidRPr="003828AA" w:rsidRDefault="00435B84">
      <w:pPr>
        <w:spacing w:after="80" w:line="360" w:lineRule="auto"/>
        <w:ind w:left="540" w:hanging="540"/>
        <w:jc w:val="both"/>
        <w:rPr>
          <w:lang w:val="en-GB"/>
        </w:rPr>
      </w:pPr>
      <w:r w:rsidRPr="003828AA">
        <w:rPr>
          <w:sz w:val="20"/>
          <w:szCs w:val="20"/>
          <w:lang w:val="en-GB"/>
        </w:rPr>
        <w:t xml:space="preserve">Church J, Maitland K. (2014) Invasive bacterial co-infection in African children with Plasmodium falciparum malaria: a systematic review. </w:t>
      </w:r>
      <w:r w:rsidRPr="003828AA">
        <w:rPr>
          <w:i/>
          <w:iCs/>
          <w:sz w:val="20"/>
          <w:szCs w:val="20"/>
          <w:lang w:val="en-GB"/>
        </w:rPr>
        <w:t>BMC Med</w:t>
      </w:r>
      <w:r w:rsidRPr="003828AA">
        <w:rPr>
          <w:sz w:val="20"/>
          <w:szCs w:val="20"/>
          <w:lang w:val="en-GB"/>
        </w:rPr>
        <w:t>. 12:31. doi:10.1186/1741-7015-12-31. PMID: 24548672</w:t>
      </w:r>
    </w:p>
    <w:p w14:paraId="72B98B74" w14:textId="4F80683C" w:rsidR="00EE5FDB" w:rsidRPr="003828AA" w:rsidRDefault="00435B84">
      <w:pPr>
        <w:spacing w:after="80" w:line="360" w:lineRule="auto"/>
        <w:ind w:left="540" w:hanging="540"/>
        <w:jc w:val="both"/>
        <w:rPr>
          <w:lang w:val="en-GB"/>
        </w:rPr>
      </w:pPr>
      <w:r w:rsidRPr="003828AA">
        <w:rPr>
          <w:sz w:val="20"/>
          <w:szCs w:val="20"/>
          <w:lang w:val="en-GB"/>
        </w:rPr>
        <w:t xml:space="preserve">Connon R, Olupot-Olupot P, Pistorius AMA </w:t>
      </w:r>
      <w:r w:rsidR="00393EF7" w:rsidRPr="00393EF7">
        <w:rPr>
          <w:i/>
          <w:iCs/>
          <w:sz w:val="20"/>
          <w:szCs w:val="20"/>
          <w:lang w:val="en-GB"/>
        </w:rPr>
        <w:t>et al</w:t>
      </w:r>
      <w:r w:rsidRPr="003828AA">
        <w:rPr>
          <w:sz w:val="20"/>
          <w:szCs w:val="20"/>
          <w:lang w:val="en-GB"/>
        </w:rPr>
        <w:t xml:space="preserve">. (2024) Azithromycin in severe malaria bacterial co-infection in African children (TABS-PKPD): a phase II randomised controlled trial. </w:t>
      </w:r>
      <w:r w:rsidRPr="003828AA">
        <w:rPr>
          <w:i/>
          <w:iCs/>
          <w:sz w:val="20"/>
          <w:szCs w:val="20"/>
          <w:lang w:val="en-GB"/>
        </w:rPr>
        <w:t>BMC Med</w:t>
      </w:r>
      <w:r w:rsidRPr="003828AA">
        <w:rPr>
          <w:sz w:val="20"/>
          <w:szCs w:val="20"/>
          <w:lang w:val="en-GB"/>
        </w:rPr>
        <w:t>. 22:3712. doi:10.1186/s12916-024-03712-5</w:t>
      </w:r>
    </w:p>
    <w:p w14:paraId="72B98B75" w14:textId="60417429" w:rsidR="00EE5FDB" w:rsidRPr="003828AA" w:rsidRDefault="00435B84">
      <w:pPr>
        <w:spacing w:after="80" w:line="360" w:lineRule="auto"/>
        <w:ind w:left="540" w:hanging="540"/>
        <w:jc w:val="both"/>
        <w:rPr>
          <w:lang w:val="en-GB"/>
        </w:rPr>
      </w:pPr>
      <w:r w:rsidRPr="003828AA">
        <w:rPr>
          <w:sz w:val="20"/>
          <w:szCs w:val="20"/>
          <w:lang w:val="en-GB"/>
        </w:rPr>
        <w:t xml:space="preserve">English M, Punt J, Mwangi I, McHugh K, Marsh K. (1996) Clinical overlap between malaria and severe pneumonia in African children in hospital. </w:t>
      </w:r>
      <w:r w:rsidRPr="003828AA">
        <w:rPr>
          <w:i/>
          <w:iCs/>
          <w:sz w:val="20"/>
          <w:szCs w:val="20"/>
          <w:lang w:val="en-GB"/>
        </w:rPr>
        <w:t xml:space="preserve">Trans R Soc Trop Med </w:t>
      </w:r>
      <w:proofErr w:type="spellStart"/>
      <w:r w:rsidRPr="003828AA">
        <w:rPr>
          <w:i/>
          <w:iCs/>
          <w:sz w:val="20"/>
          <w:szCs w:val="20"/>
          <w:lang w:val="en-GB"/>
        </w:rPr>
        <w:t>Hyg</w:t>
      </w:r>
      <w:proofErr w:type="spellEnd"/>
      <w:r w:rsidRPr="003828AA">
        <w:rPr>
          <w:sz w:val="20"/>
          <w:szCs w:val="20"/>
          <w:lang w:val="en-GB"/>
        </w:rPr>
        <w:t>. 90(6):658</w:t>
      </w:r>
      <w:r w:rsidR="00433F1A">
        <w:rPr>
          <w:sz w:val="20"/>
          <w:szCs w:val="20"/>
          <w:lang w:val="en-GB"/>
        </w:rPr>
        <w:t>-</w:t>
      </w:r>
      <w:r w:rsidRPr="003828AA">
        <w:rPr>
          <w:sz w:val="20"/>
          <w:szCs w:val="20"/>
          <w:lang w:val="en-GB"/>
        </w:rPr>
        <w:t>662. PMID: 9015508</w:t>
      </w:r>
    </w:p>
    <w:p w14:paraId="72B98B76" w14:textId="7F9DED22" w:rsidR="00EE5FDB" w:rsidRPr="003828AA" w:rsidRDefault="00435B84">
      <w:pPr>
        <w:spacing w:after="80" w:line="360" w:lineRule="auto"/>
        <w:ind w:left="540" w:hanging="540"/>
        <w:jc w:val="both"/>
        <w:rPr>
          <w:lang w:val="en-GB"/>
        </w:rPr>
      </w:pPr>
      <w:proofErr w:type="spellStart"/>
      <w:r w:rsidRPr="003828AA">
        <w:rPr>
          <w:sz w:val="20"/>
          <w:szCs w:val="20"/>
          <w:lang w:val="en-GB"/>
        </w:rPr>
        <w:t>Essomeyo</w:t>
      </w:r>
      <w:proofErr w:type="spellEnd"/>
      <w:r w:rsidRPr="003828AA">
        <w:rPr>
          <w:sz w:val="20"/>
          <w:szCs w:val="20"/>
          <w:lang w:val="en-GB"/>
        </w:rPr>
        <w:t xml:space="preserve"> Ngue </w:t>
      </w:r>
      <w:proofErr w:type="spellStart"/>
      <w:r w:rsidRPr="003828AA">
        <w:rPr>
          <w:sz w:val="20"/>
          <w:szCs w:val="20"/>
          <w:lang w:val="en-GB"/>
        </w:rPr>
        <w:t>Mebale</w:t>
      </w:r>
      <w:proofErr w:type="spellEnd"/>
      <w:r w:rsidRPr="003828AA">
        <w:rPr>
          <w:sz w:val="20"/>
          <w:szCs w:val="20"/>
          <w:lang w:val="en-GB"/>
        </w:rPr>
        <w:t xml:space="preserve"> M, </w:t>
      </w:r>
      <w:proofErr w:type="spellStart"/>
      <w:r w:rsidRPr="003828AA">
        <w:rPr>
          <w:sz w:val="20"/>
          <w:szCs w:val="20"/>
          <w:lang w:val="en-GB"/>
        </w:rPr>
        <w:t>Lembet</w:t>
      </w:r>
      <w:proofErr w:type="spellEnd"/>
      <w:r w:rsidRPr="003828AA">
        <w:rPr>
          <w:sz w:val="20"/>
          <w:szCs w:val="20"/>
          <w:lang w:val="en-GB"/>
        </w:rPr>
        <w:t xml:space="preserve"> Mikolo AM, Pemba M </w:t>
      </w:r>
      <w:r w:rsidR="00393EF7" w:rsidRPr="00393EF7">
        <w:rPr>
          <w:i/>
          <w:iCs/>
          <w:sz w:val="20"/>
          <w:szCs w:val="20"/>
          <w:lang w:val="en-GB"/>
        </w:rPr>
        <w:t>et al</w:t>
      </w:r>
      <w:r w:rsidRPr="003828AA">
        <w:rPr>
          <w:sz w:val="20"/>
          <w:szCs w:val="20"/>
          <w:lang w:val="en-GB"/>
        </w:rPr>
        <w:t xml:space="preserve">. (2026) Co-infections among children hospitalised with severe Plasmodium falciparum malaria in Gabon: a retrospective hospital-based study. </w:t>
      </w:r>
      <w:proofErr w:type="spellStart"/>
      <w:r w:rsidRPr="003828AA">
        <w:rPr>
          <w:i/>
          <w:iCs/>
          <w:sz w:val="20"/>
          <w:szCs w:val="20"/>
          <w:lang w:val="en-GB"/>
        </w:rPr>
        <w:t>Microbiol</w:t>
      </w:r>
      <w:proofErr w:type="spellEnd"/>
      <w:r w:rsidRPr="003828AA">
        <w:rPr>
          <w:i/>
          <w:iCs/>
          <w:sz w:val="20"/>
          <w:szCs w:val="20"/>
          <w:lang w:val="en-GB"/>
        </w:rPr>
        <w:t xml:space="preserve"> Infect Dis</w:t>
      </w:r>
      <w:r w:rsidRPr="003828AA">
        <w:rPr>
          <w:sz w:val="20"/>
          <w:szCs w:val="20"/>
          <w:lang w:val="en-GB"/>
        </w:rPr>
        <w:t>. 10(1):1</w:t>
      </w:r>
      <w:r w:rsidR="00433F1A">
        <w:rPr>
          <w:sz w:val="20"/>
          <w:szCs w:val="20"/>
          <w:lang w:val="en-GB"/>
        </w:rPr>
        <w:t>-</w:t>
      </w:r>
      <w:r w:rsidRPr="003828AA">
        <w:rPr>
          <w:sz w:val="20"/>
          <w:szCs w:val="20"/>
          <w:lang w:val="en-GB"/>
        </w:rPr>
        <w:t>6.</w:t>
      </w:r>
    </w:p>
    <w:p w14:paraId="72B98B77" w14:textId="77777777" w:rsidR="00EE5FDB" w:rsidRPr="003828AA" w:rsidRDefault="00435B84">
      <w:pPr>
        <w:spacing w:after="80" w:line="360" w:lineRule="auto"/>
        <w:ind w:left="540" w:hanging="540"/>
        <w:jc w:val="both"/>
        <w:rPr>
          <w:lang w:val="en-GB"/>
        </w:rPr>
      </w:pPr>
      <w:r w:rsidRPr="003828AA">
        <w:rPr>
          <w:sz w:val="20"/>
          <w:szCs w:val="20"/>
          <w:lang w:val="en-GB"/>
        </w:rPr>
        <w:t xml:space="preserve">Gomez-Pérez GP, Bruggen RV, </w:t>
      </w:r>
      <w:proofErr w:type="spellStart"/>
      <w:r w:rsidRPr="003828AA">
        <w:rPr>
          <w:sz w:val="20"/>
          <w:szCs w:val="20"/>
          <w:lang w:val="en-GB"/>
        </w:rPr>
        <w:t>Grobusch</w:t>
      </w:r>
      <w:proofErr w:type="spellEnd"/>
      <w:r w:rsidRPr="003828AA">
        <w:rPr>
          <w:sz w:val="20"/>
          <w:szCs w:val="20"/>
          <w:lang w:val="en-GB"/>
        </w:rPr>
        <w:t xml:space="preserve"> MP, </w:t>
      </w:r>
      <w:proofErr w:type="spellStart"/>
      <w:r w:rsidRPr="003828AA">
        <w:rPr>
          <w:sz w:val="20"/>
          <w:szCs w:val="20"/>
          <w:lang w:val="en-GB"/>
        </w:rPr>
        <w:t>Dobano</w:t>
      </w:r>
      <w:proofErr w:type="spellEnd"/>
      <w:r w:rsidRPr="003828AA">
        <w:rPr>
          <w:sz w:val="20"/>
          <w:szCs w:val="20"/>
          <w:lang w:val="en-GB"/>
        </w:rPr>
        <w:t xml:space="preserve"> C. (2014) Plasmodium falciparum malaria and invasive bacterial co-infection in young African children: the dysfunctional spleen hypothesis. </w:t>
      </w:r>
      <w:r w:rsidRPr="003828AA">
        <w:rPr>
          <w:i/>
          <w:iCs/>
          <w:sz w:val="20"/>
          <w:szCs w:val="20"/>
          <w:lang w:val="en-GB"/>
        </w:rPr>
        <w:t>Malar J</w:t>
      </w:r>
      <w:r w:rsidRPr="003828AA">
        <w:rPr>
          <w:sz w:val="20"/>
          <w:szCs w:val="20"/>
          <w:lang w:val="en-GB"/>
        </w:rPr>
        <w:t>. 13:335. doi:10.1186/1475-2875-13-335</w:t>
      </w:r>
    </w:p>
    <w:p w14:paraId="72B98B78" w14:textId="77777777" w:rsidR="00EE5FDB" w:rsidRPr="003828AA" w:rsidRDefault="00435B84">
      <w:pPr>
        <w:spacing w:after="80" w:line="360" w:lineRule="auto"/>
        <w:ind w:left="540" w:hanging="540"/>
        <w:jc w:val="both"/>
        <w:rPr>
          <w:lang w:val="en-GB"/>
        </w:rPr>
      </w:pPr>
      <w:r w:rsidRPr="003828AA">
        <w:rPr>
          <w:sz w:val="20"/>
          <w:szCs w:val="20"/>
          <w:lang w:val="en-GB"/>
        </w:rPr>
        <w:t xml:space="preserve">Kabaria CW, Gilbert M, Noor AM, Snow RW, Linard C. (2017) The impact of urbanization and population density on childhood Plasmodium falciparum parasite prevalence rates in Africa. </w:t>
      </w:r>
      <w:r w:rsidRPr="003828AA">
        <w:rPr>
          <w:i/>
          <w:iCs/>
          <w:sz w:val="20"/>
          <w:szCs w:val="20"/>
          <w:lang w:val="en-GB"/>
        </w:rPr>
        <w:t>Malar J</w:t>
      </w:r>
      <w:r w:rsidRPr="003828AA">
        <w:rPr>
          <w:sz w:val="20"/>
          <w:szCs w:val="20"/>
          <w:lang w:val="en-GB"/>
        </w:rPr>
        <w:t>. 16:49. doi:10.1186/s12936-017-1694-2. PMID: 28125996</w:t>
      </w:r>
    </w:p>
    <w:p w14:paraId="72B98B79" w14:textId="77777777" w:rsidR="00EE5FDB" w:rsidRDefault="00435B84">
      <w:pPr>
        <w:spacing w:after="80" w:line="360" w:lineRule="auto"/>
        <w:ind w:left="540" w:hanging="540"/>
        <w:jc w:val="both"/>
      </w:pPr>
      <w:proofErr w:type="spellStart"/>
      <w:r w:rsidRPr="003828AA">
        <w:rPr>
          <w:sz w:val="20"/>
          <w:szCs w:val="20"/>
          <w:lang w:val="en-GB"/>
        </w:rPr>
        <w:t>Koukouikila-Koussounda</w:t>
      </w:r>
      <w:proofErr w:type="spellEnd"/>
      <w:r w:rsidRPr="003828AA">
        <w:rPr>
          <w:sz w:val="20"/>
          <w:szCs w:val="20"/>
          <w:lang w:val="en-GB"/>
        </w:rPr>
        <w:t xml:space="preserve"> F, </w:t>
      </w:r>
      <w:proofErr w:type="spellStart"/>
      <w:r w:rsidRPr="003828AA">
        <w:rPr>
          <w:sz w:val="20"/>
          <w:szCs w:val="20"/>
          <w:lang w:val="en-GB"/>
        </w:rPr>
        <w:t>Ntoumi</w:t>
      </w:r>
      <w:proofErr w:type="spellEnd"/>
      <w:r w:rsidRPr="003828AA">
        <w:rPr>
          <w:sz w:val="20"/>
          <w:szCs w:val="20"/>
          <w:lang w:val="en-GB"/>
        </w:rPr>
        <w:t xml:space="preserve"> F. (2016) Malaria epidemiological research in the Republic of Congo. </w:t>
      </w:r>
      <w:r>
        <w:rPr>
          <w:i/>
          <w:iCs/>
          <w:sz w:val="20"/>
          <w:szCs w:val="20"/>
        </w:rPr>
        <w:t>Malar J</w:t>
      </w:r>
      <w:r>
        <w:rPr>
          <w:sz w:val="20"/>
          <w:szCs w:val="20"/>
        </w:rPr>
        <w:t>. 15:616. doi:10.1186/s12936-016-1617-7. PMID: 28007006</w:t>
      </w:r>
    </w:p>
    <w:p w14:paraId="72B98B7A" w14:textId="4028704B" w:rsidR="00EE5FDB" w:rsidRPr="00393EF7" w:rsidRDefault="00435B84">
      <w:pPr>
        <w:spacing w:after="80" w:line="360" w:lineRule="auto"/>
        <w:ind w:left="540" w:hanging="540"/>
        <w:jc w:val="both"/>
        <w:rPr>
          <w:lang w:val="fr-FR"/>
        </w:rPr>
      </w:pPr>
      <w:r>
        <w:rPr>
          <w:sz w:val="20"/>
          <w:szCs w:val="20"/>
        </w:rPr>
        <w:t xml:space="preserve">Lassina D, Lamoussa T, Dieudonné H </w:t>
      </w:r>
      <w:r w:rsidR="00393EF7" w:rsidRPr="00393EF7">
        <w:rPr>
          <w:i/>
          <w:iCs/>
          <w:sz w:val="20"/>
          <w:szCs w:val="20"/>
        </w:rPr>
        <w:t>et al</w:t>
      </w:r>
      <w:r>
        <w:rPr>
          <w:sz w:val="20"/>
          <w:szCs w:val="20"/>
        </w:rPr>
        <w:t xml:space="preserve">. </w:t>
      </w:r>
      <w:r w:rsidRPr="003828AA">
        <w:rPr>
          <w:sz w:val="20"/>
          <w:szCs w:val="20"/>
          <w:lang w:val="en-GB"/>
        </w:rPr>
        <w:t xml:space="preserve">(2026) Severe Malaria Comorbidity and Bacterial Infections in Children at the </w:t>
      </w:r>
      <w:proofErr w:type="spellStart"/>
      <w:r w:rsidRPr="003828AA">
        <w:rPr>
          <w:sz w:val="20"/>
          <w:szCs w:val="20"/>
          <w:lang w:val="en-GB"/>
        </w:rPr>
        <w:t>Pediatric</w:t>
      </w:r>
      <w:proofErr w:type="spellEnd"/>
      <w:r w:rsidRPr="003828AA">
        <w:rPr>
          <w:sz w:val="20"/>
          <w:szCs w:val="20"/>
          <w:lang w:val="en-GB"/>
        </w:rPr>
        <w:t xml:space="preserve"> Department of </w:t>
      </w:r>
      <w:proofErr w:type="spellStart"/>
      <w:r w:rsidRPr="003828AA">
        <w:rPr>
          <w:sz w:val="20"/>
          <w:szCs w:val="20"/>
          <w:lang w:val="en-GB"/>
        </w:rPr>
        <w:t>Tengandogo</w:t>
      </w:r>
      <w:proofErr w:type="spellEnd"/>
      <w:r w:rsidRPr="003828AA">
        <w:rPr>
          <w:sz w:val="20"/>
          <w:szCs w:val="20"/>
          <w:lang w:val="en-GB"/>
        </w:rPr>
        <w:t xml:space="preserve"> University Hospital. </w:t>
      </w:r>
      <w:r w:rsidRPr="003828AA">
        <w:rPr>
          <w:i/>
          <w:iCs/>
          <w:sz w:val="20"/>
          <w:szCs w:val="20"/>
          <w:lang w:val="en-GB"/>
        </w:rPr>
        <w:t>Open J Pediatr</w:t>
      </w:r>
      <w:r w:rsidRPr="003828AA">
        <w:rPr>
          <w:sz w:val="20"/>
          <w:szCs w:val="20"/>
          <w:lang w:val="en-GB"/>
        </w:rPr>
        <w:t xml:space="preserve">. </w:t>
      </w:r>
      <w:proofErr w:type="gramStart"/>
      <w:r w:rsidRPr="00393EF7">
        <w:rPr>
          <w:sz w:val="20"/>
          <w:szCs w:val="20"/>
          <w:lang w:val="fr-FR"/>
        </w:rPr>
        <w:t>16:</w:t>
      </w:r>
      <w:proofErr w:type="gramEnd"/>
      <w:r w:rsidRPr="00393EF7">
        <w:rPr>
          <w:sz w:val="20"/>
          <w:szCs w:val="20"/>
          <w:lang w:val="fr-FR"/>
        </w:rPr>
        <w:t>169</w:t>
      </w:r>
      <w:r w:rsidR="00433F1A" w:rsidRPr="00393EF7">
        <w:rPr>
          <w:sz w:val="20"/>
          <w:szCs w:val="20"/>
          <w:lang w:val="fr-FR"/>
        </w:rPr>
        <w:t>-</w:t>
      </w:r>
      <w:r w:rsidRPr="00393EF7">
        <w:rPr>
          <w:sz w:val="20"/>
          <w:szCs w:val="20"/>
          <w:lang w:val="fr-FR"/>
        </w:rPr>
        <w:t xml:space="preserve">176. </w:t>
      </w:r>
      <w:proofErr w:type="gramStart"/>
      <w:r w:rsidRPr="00393EF7">
        <w:rPr>
          <w:sz w:val="20"/>
          <w:szCs w:val="20"/>
          <w:lang w:val="fr-FR"/>
        </w:rPr>
        <w:t>doi:</w:t>
      </w:r>
      <w:proofErr w:type="gramEnd"/>
      <w:r w:rsidRPr="00393EF7">
        <w:rPr>
          <w:sz w:val="20"/>
          <w:szCs w:val="20"/>
          <w:lang w:val="fr-FR"/>
        </w:rPr>
        <w:t>10.4236/ojped.2026.161017</w:t>
      </w:r>
    </w:p>
    <w:p w14:paraId="72B98B7B" w14:textId="509089D4" w:rsidR="00EE5FDB" w:rsidRPr="003828AA" w:rsidRDefault="00435B84">
      <w:pPr>
        <w:spacing w:after="80" w:line="360" w:lineRule="auto"/>
        <w:ind w:left="540" w:hanging="540"/>
        <w:jc w:val="both"/>
        <w:rPr>
          <w:lang w:val="en-GB"/>
        </w:rPr>
      </w:pPr>
      <w:proofErr w:type="spellStart"/>
      <w:r w:rsidRPr="00393EF7">
        <w:rPr>
          <w:sz w:val="20"/>
          <w:szCs w:val="20"/>
          <w:lang w:val="fr-FR"/>
        </w:rPr>
        <w:t>Mayengue</w:t>
      </w:r>
      <w:proofErr w:type="spellEnd"/>
      <w:r w:rsidRPr="00393EF7">
        <w:rPr>
          <w:sz w:val="20"/>
          <w:szCs w:val="20"/>
          <w:lang w:val="fr-FR"/>
        </w:rPr>
        <w:t xml:space="preserve"> PI, </w:t>
      </w:r>
      <w:proofErr w:type="spellStart"/>
      <w:r w:rsidRPr="00393EF7">
        <w:rPr>
          <w:sz w:val="20"/>
          <w:szCs w:val="20"/>
          <w:lang w:val="fr-FR"/>
        </w:rPr>
        <w:t>Batsimba</w:t>
      </w:r>
      <w:proofErr w:type="spellEnd"/>
      <w:r w:rsidRPr="00393EF7">
        <w:rPr>
          <w:sz w:val="20"/>
          <w:szCs w:val="20"/>
          <w:lang w:val="fr-FR"/>
        </w:rPr>
        <w:t xml:space="preserve"> DK, Niama RF </w:t>
      </w:r>
      <w:r w:rsidR="00393EF7" w:rsidRPr="00393EF7">
        <w:rPr>
          <w:i/>
          <w:iCs/>
          <w:sz w:val="20"/>
          <w:szCs w:val="20"/>
          <w:lang w:val="fr-FR"/>
        </w:rPr>
        <w:t>et al</w:t>
      </w:r>
      <w:r w:rsidRPr="00393EF7">
        <w:rPr>
          <w:sz w:val="20"/>
          <w:szCs w:val="20"/>
          <w:lang w:val="fr-FR"/>
        </w:rPr>
        <w:t xml:space="preserve">. </w:t>
      </w:r>
      <w:r w:rsidRPr="003828AA">
        <w:rPr>
          <w:sz w:val="20"/>
          <w:szCs w:val="20"/>
          <w:lang w:val="en-GB"/>
        </w:rPr>
        <w:t xml:space="preserve">(2020) Variation of prevalence of malaria, parasite density and the multiplicity of Plasmodium falciparum infection throughout the year at three health </w:t>
      </w:r>
      <w:proofErr w:type="spellStart"/>
      <w:r w:rsidRPr="003828AA">
        <w:rPr>
          <w:sz w:val="20"/>
          <w:szCs w:val="20"/>
          <w:lang w:val="en-GB"/>
        </w:rPr>
        <w:t>centers</w:t>
      </w:r>
      <w:proofErr w:type="spellEnd"/>
      <w:r w:rsidRPr="003828AA">
        <w:rPr>
          <w:sz w:val="20"/>
          <w:szCs w:val="20"/>
          <w:lang w:val="en-GB"/>
        </w:rPr>
        <w:t xml:space="preserve"> in Brazzaville, Republic of Congo. </w:t>
      </w:r>
      <w:r w:rsidRPr="003828AA">
        <w:rPr>
          <w:i/>
          <w:iCs/>
          <w:sz w:val="20"/>
          <w:szCs w:val="20"/>
          <w:lang w:val="en-GB"/>
        </w:rPr>
        <w:t>BMC Infect Dis</w:t>
      </w:r>
      <w:r w:rsidRPr="003828AA">
        <w:rPr>
          <w:sz w:val="20"/>
          <w:szCs w:val="20"/>
          <w:lang w:val="en-GB"/>
        </w:rPr>
        <w:t>. 20:168. doi:10.1186/s12879-020-4913-3. PMID: 32122305</w:t>
      </w:r>
    </w:p>
    <w:p w14:paraId="72B98B7C" w14:textId="47357D34" w:rsidR="00EE5FDB" w:rsidRPr="003828AA" w:rsidRDefault="00435B84">
      <w:pPr>
        <w:spacing w:after="80" w:line="360" w:lineRule="auto"/>
        <w:ind w:left="540" w:hanging="540"/>
        <w:jc w:val="both"/>
        <w:rPr>
          <w:lang w:val="en-GB"/>
        </w:rPr>
      </w:pPr>
      <w:proofErr w:type="spellStart"/>
      <w:r w:rsidRPr="00393EF7">
        <w:rPr>
          <w:sz w:val="20"/>
          <w:szCs w:val="20"/>
          <w:lang w:val="fr-FR"/>
        </w:rPr>
        <w:lastRenderedPageBreak/>
        <w:t>Merga</w:t>
      </w:r>
      <w:proofErr w:type="spellEnd"/>
      <w:r w:rsidRPr="00393EF7">
        <w:rPr>
          <w:sz w:val="20"/>
          <w:szCs w:val="20"/>
          <w:lang w:val="fr-FR"/>
        </w:rPr>
        <w:t xml:space="preserve"> H, Degefa T, Birhanu Z </w:t>
      </w:r>
      <w:r w:rsidR="00393EF7" w:rsidRPr="00393EF7">
        <w:rPr>
          <w:i/>
          <w:iCs/>
          <w:sz w:val="20"/>
          <w:szCs w:val="20"/>
          <w:lang w:val="fr-FR"/>
        </w:rPr>
        <w:t>et al</w:t>
      </w:r>
      <w:r w:rsidRPr="00393EF7">
        <w:rPr>
          <w:sz w:val="20"/>
          <w:szCs w:val="20"/>
          <w:lang w:val="fr-FR"/>
        </w:rPr>
        <w:t xml:space="preserve">. </w:t>
      </w:r>
      <w:r w:rsidRPr="003828AA">
        <w:rPr>
          <w:sz w:val="20"/>
          <w:szCs w:val="20"/>
          <w:lang w:val="en-GB"/>
        </w:rPr>
        <w:t xml:space="preserve">(2025) Urban malaria in sub-Saharan Africa: a scoping review of epidemiologic studies. </w:t>
      </w:r>
      <w:r w:rsidRPr="003828AA">
        <w:rPr>
          <w:i/>
          <w:iCs/>
          <w:sz w:val="20"/>
          <w:szCs w:val="20"/>
          <w:lang w:val="en-GB"/>
        </w:rPr>
        <w:t>Malar J</w:t>
      </w:r>
      <w:r w:rsidRPr="003828AA">
        <w:rPr>
          <w:sz w:val="20"/>
          <w:szCs w:val="20"/>
          <w:lang w:val="en-GB"/>
        </w:rPr>
        <w:t>. 24:126. doi:10.1186/s12936-025-05368-9. PMID: 40253345</w:t>
      </w:r>
    </w:p>
    <w:p w14:paraId="72B98B7D" w14:textId="2DEC1237" w:rsidR="00EE5FDB" w:rsidRDefault="00435B84">
      <w:pPr>
        <w:spacing w:after="80" w:line="360" w:lineRule="auto"/>
        <w:ind w:left="540" w:hanging="540"/>
        <w:jc w:val="both"/>
      </w:pPr>
      <w:r w:rsidRPr="003828AA">
        <w:rPr>
          <w:sz w:val="20"/>
          <w:szCs w:val="20"/>
          <w:lang w:val="en-GB"/>
        </w:rPr>
        <w:t xml:space="preserve">Mousa A, Al-Taiar A, Anstey NM </w:t>
      </w:r>
      <w:r w:rsidR="00393EF7" w:rsidRPr="00393EF7">
        <w:rPr>
          <w:i/>
          <w:iCs/>
          <w:sz w:val="20"/>
          <w:szCs w:val="20"/>
          <w:lang w:val="en-GB"/>
        </w:rPr>
        <w:t>et al</w:t>
      </w:r>
      <w:r w:rsidRPr="003828AA">
        <w:rPr>
          <w:sz w:val="20"/>
          <w:szCs w:val="20"/>
          <w:lang w:val="en-GB"/>
        </w:rPr>
        <w:t xml:space="preserve">. (2020) The impact of delayed treatment of uncomplicated P. falciparum malaria on progression to severe malaria: a systematic review and a pooled multicentre individual-patient meta-analysis. </w:t>
      </w:r>
      <w:r>
        <w:rPr>
          <w:i/>
          <w:iCs/>
          <w:sz w:val="20"/>
          <w:szCs w:val="20"/>
        </w:rPr>
        <w:t>PLoS Med</w:t>
      </w:r>
      <w:r>
        <w:rPr>
          <w:sz w:val="20"/>
          <w:szCs w:val="20"/>
        </w:rPr>
        <w:t>. 17(10):e1003359. doi:10.1371/journal.pmed.1003359. PMID: 33075101</w:t>
      </w:r>
    </w:p>
    <w:p w14:paraId="72B98B7E" w14:textId="576B37E7" w:rsidR="00EE5FDB" w:rsidRDefault="00435B84">
      <w:pPr>
        <w:spacing w:after="80" w:line="360" w:lineRule="auto"/>
        <w:ind w:left="540" w:hanging="540"/>
        <w:jc w:val="both"/>
      </w:pPr>
      <w:r>
        <w:rPr>
          <w:sz w:val="20"/>
          <w:szCs w:val="20"/>
        </w:rPr>
        <w:t xml:space="preserve">Moutombi Ditombi BC, Lembet Mikolo AM, Ndong Ngomo JM </w:t>
      </w:r>
      <w:r w:rsidR="00393EF7" w:rsidRPr="00393EF7">
        <w:rPr>
          <w:i/>
          <w:iCs/>
          <w:sz w:val="20"/>
          <w:szCs w:val="20"/>
        </w:rPr>
        <w:t>et al</w:t>
      </w:r>
      <w:r>
        <w:rPr>
          <w:sz w:val="20"/>
          <w:szCs w:val="20"/>
        </w:rPr>
        <w:t xml:space="preserve">. </w:t>
      </w:r>
      <w:r w:rsidRPr="003828AA">
        <w:rPr>
          <w:sz w:val="20"/>
          <w:szCs w:val="20"/>
          <w:lang w:val="en-GB"/>
        </w:rPr>
        <w:t xml:space="preserve">(2026) Clinical and biological features of complicated and asymptomatic malaria among people living with HIV and HIV-negative adults in Libreville, Gabon. </w:t>
      </w:r>
      <w:r>
        <w:rPr>
          <w:i/>
          <w:iCs/>
          <w:sz w:val="20"/>
          <w:szCs w:val="20"/>
        </w:rPr>
        <w:t>PLoS One</w:t>
      </w:r>
      <w:r>
        <w:rPr>
          <w:sz w:val="20"/>
          <w:szCs w:val="20"/>
        </w:rPr>
        <w:t>. doi:10.1371/journal.pone.0327068</w:t>
      </w:r>
    </w:p>
    <w:p w14:paraId="72B98B7F" w14:textId="5B346A23" w:rsidR="00EE5FDB" w:rsidRPr="003828AA" w:rsidRDefault="00435B84">
      <w:pPr>
        <w:spacing w:after="80" w:line="360" w:lineRule="auto"/>
        <w:ind w:left="540" w:hanging="540"/>
        <w:jc w:val="both"/>
        <w:rPr>
          <w:lang w:val="en-GB"/>
        </w:rPr>
      </w:pPr>
      <w:r>
        <w:rPr>
          <w:sz w:val="20"/>
          <w:szCs w:val="20"/>
        </w:rPr>
        <w:t xml:space="preserve">Moyen E, Moukassa PJM, Sékangué Obili G </w:t>
      </w:r>
      <w:r w:rsidR="00393EF7" w:rsidRPr="00393EF7">
        <w:rPr>
          <w:i/>
          <w:iCs/>
          <w:sz w:val="20"/>
          <w:szCs w:val="20"/>
        </w:rPr>
        <w:t>et al</w:t>
      </w:r>
      <w:r>
        <w:rPr>
          <w:sz w:val="20"/>
          <w:szCs w:val="20"/>
        </w:rPr>
        <w:t xml:space="preserve">. </w:t>
      </w:r>
      <w:r w:rsidRPr="003828AA">
        <w:rPr>
          <w:sz w:val="20"/>
          <w:szCs w:val="20"/>
          <w:lang w:val="en-GB"/>
        </w:rPr>
        <w:t xml:space="preserve">(2022) Severe Childhood Malaria in Two Health Districts of Cuvette-Congo. </w:t>
      </w:r>
      <w:r w:rsidRPr="003828AA">
        <w:rPr>
          <w:i/>
          <w:iCs/>
          <w:sz w:val="20"/>
          <w:szCs w:val="20"/>
          <w:lang w:val="en-GB"/>
        </w:rPr>
        <w:t>Open J Pediatr</w:t>
      </w:r>
      <w:r w:rsidRPr="003828AA">
        <w:rPr>
          <w:sz w:val="20"/>
          <w:szCs w:val="20"/>
          <w:lang w:val="en-GB"/>
        </w:rPr>
        <w:t>. 12:582</w:t>
      </w:r>
      <w:r w:rsidR="00433F1A">
        <w:rPr>
          <w:sz w:val="20"/>
          <w:szCs w:val="20"/>
          <w:lang w:val="en-GB"/>
        </w:rPr>
        <w:t>-</w:t>
      </w:r>
      <w:r w:rsidRPr="003828AA">
        <w:rPr>
          <w:sz w:val="20"/>
          <w:szCs w:val="20"/>
          <w:lang w:val="en-GB"/>
        </w:rPr>
        <w:t>593. doi:10.4236/ojped.2022.123061</w:t>
      </w:r>
    </w:p>
    <w:p w14:paraId="72B98B80" w14:textId="77777777" w:rsidR="00EE5FDB" w:rsidRDefault="00435B84">
      <w:pPr>
        <w:spacing w:after="80" w:line="360" w:lineRule="auto"/>
        <w:ind w:left="540" w:hanging="540"/>
        <w:jc w:val="both"/>
      </w:pPr>
      <w:proofErr w:type="spellStart"/>
      <w:r w:rsidRPr="003828AA">
        <w:rPr>
          <w:sz w:val="20"/>
          <w:szCs w:val="20"/>
          <w:lang w:val="en-GB"/>
        </w:rPr>
        <w:t>Ngwengi</w:t>
      </w:r>
      <w:proofErr w:type="spellEnd"/>
      <w:r w:rsidRPr="003828AA">
        <w:rPr>
          <w:sz w:val="20"/>
          <w:szCs w:val="20"/>
          <w:lang w:val="en-GB"/>
        </w:rPr>
        <w:t xml:space="preserve"> Y, </w:t>
      </w:r>
      <w:proofErr w:type="spellStart"/>
      <w:r w:rsidRPr="003828AA">
        <w:rPr>
          <w:sz w:val="20"/>
          <w:szCs w:val="20"/>
          <w:lang w:val="en-GB"/>
        </w:rPr>
        <w:t>Ngaba</w:t>
      </w:r>
      <w:proofErr w:type="spellEnd"/>
      <w:r w:rsidRPr="003828AA">
        <w:rPr>
          <w:sz w:val="20"/>
          <w:szCs w:val="20"/>
          <w:lang w:val="en-GB"/>
        </w:rPr>
        <w:t xml:space="preserve"> GP, Nida M, </w:t>
      </w:r>
      <w:proofErr w:type="spellStart"/>
      <w:r w:rsidRPr="003828AA">
        <w:rPr>
          <w:sz w:val="20"/>
          <w:szCs w:val="20"/>
          <w:lang w:val="en-GB"/>
        </w:rPr>
        <w:t>Enyama</w:t>
      </w:r>
      <w:proofErr w:type="spellEnd"/>
      <w:r w:rsidRPr="003828AA">
        <w:rPr>
          <w:sz w:val="20"/>
          <w:szCs w:val="20"/>
          <w:lang w:val="en-GB"/>
        </w:rPr>
        <w:t xml:space="preserve"> D. (2023) Evaluation of CRP as a marker for bacterial infection and malaria in febrile children at the Douala </w:t>
      </w:r>
      <w:proofErr w:type="spellStart"/>
      <w:r w:rsidRPr="003828AA">
        <w:rPr>
          <w:sz w:val="20"/>
          <w:szCs w:val="20"/>
          <w:lang w:val="en-GB"/>
        </w:rPr>
        <w:t>Gyneco</w:t>
      </w:r>
      <w:proofErr w:type="spellEnd"/>
      <w:r w:rsidRPr="003828AA">
        <w:rPr>
          <w:sz w:val="20"/>
          <w:szCs w:val="20"/>
          <w:lang w:val="en-GB"/>
        </w:rPr>
        <w:t xml:space="preserve">-Obstetric and </w:t>
      </w:r>
      <w:proofErr w:type="spellStart"/>
      <w:r w:rsidRPr="003828AA">
        <w:rPr>
          <w:sz w:val="20"/>
          <w:szCs w:val="20"/>
          <w:lang w:val="en-GB"/>
        </w:rPr>
        <w:t>Pediatric</w:t>
      </w:r>
      <w:proofErr w:type="spellEnd"/>
      <w:r w:rsidRPr="003828AA">
        <w:rPr>
          <w:sz w:val="20"/>
          <w:szCs w:val="20"/>
          <w:lang w:val="en-GB"/>
        </w:rPr>
        <w:t xml:space="preserve"> Hospital. </w:t>
      </w:r>
      <w:r>
        <w:rPr>
          <w:i/>
          <w:iCs/>
          <w:sz w:val="20"/>
          <w:szCs w:val="20"/>
        </w:rPr>
        <w:t>PLoS One</w:t>
      </w:r>
      <w:r>
        <w:rPr>
          <w:sz w:val="20"/>
          <w:szCs w:val="20"/>
        </w:rPr>
        <w:t>. 18(7):e0289012. doi:10.1371/journal.pone.0289012</w:t>
      </w:r>
    </w:p>
    <w:p w14:paraId="72B98B81" w14:textId="0876BFAE" w:rsidR="00EE5FDB" w:rsidRDefault="00435B84">
      <w:pPr>
        <w:spacing w:after="80" w:line="360" w:lineRule="auto"/>
        <w:ind w:left="540" w:hanging="540"/>
        <w:jc w:val="both"/>
      </w:pPr>
      <w:r>
        <w:rPr>
          <w:sz w:val="20"/>
          <w:szCs w:val="20"/>
        </w:rPr>
        <w:t xml:space="preserve">Ramirez-Plascencia HHF, Colima-Fausto AG, Licona-Lasteros KC </w:t>
      </w:r>
      <w:r w:rsidR="00393EF7" w:rsidRPr="00393EF7">
        <w:rPr>
          <w:i/>
          <w:iCs/>
          <w:sz w:val="20"/>
          <w:szCs w:val="20"/>
        </w:rPr>
        <w:t>et al</w:t>
      </w:r>
      <w:r>
        <w:rPr>
          <w:sz w:val="20"/>
          <w:szCs w:val="20"/>
        </w:rPr>
        <w:t xml:space="preserve">. </w:t>
      </w:r>
      <w:r w:rsidRPr="003828AA">
        <w:rPr>
          <w:sz w:val="20"/>
          <w:szCs w:val="20"/>
          <w:lang w:val="en-GB"/>
        </w:rPr>
        <w:t xml:space="preserve">(2025) Presence of Microorganisms in the environment: One Health approach. </w:t>
      </w:r>
      <w:r w:rsidRPr="003828AA">
        <w:rPr>
          <w:i/>
          <w:iCs/>
          <w:sz w:val="20"/>
          <w:szCs w:val="20"/>
          <w:lang w:val="en-GB"/>
        </w:rPr>
        <w:t>Microorganisms</w:t>
      </w:r>
      <w:r w:rsidRPr="003828AA">
        <w:rPr>
          <w:sz w:val="20"/>
          <w:szCs w:val="20"/>
          <w:lang w:val="en-GB"/>
        </w:rPr>
        <w:t xml:space="preserve">. </w:t>
      </w:r>
      <w:r>
        <w:rPr>
          <w:sz w:val="20"/>
          <w:szCs w:val="20"/>
        </w:rPr>
        <w:t>13:2435. doi:10.3390/microorganisms13112435</w:t>
      </w:r>
    </w:p>
    <w:p w14:paraId="72B98B82" w14:textId="09A6C4B6" w:rsidR="00EE5FDB" w:rsidRPr="003828AA" w:rsidRDefault="00435B84">
      <w:pPr>
        <w:spacing w:after="80" w:line="360" w:lineRule="auto"/>
        <w:ind w:left="540" w:hanging="540"/>
        <w:jc w:val="both"/>
        <w:rPr>
          <w:lang w:val="en-GB"/>
        </w:rPr>
      </w:pPr>
      <w:r>
        <w:rPr>
          <w:sz w:val="20"/>
          <w:szCs w:val="20"/>
        </w:rPr>
        <w:t xml:space="preserve">Tesema GA, Kibret GD, Worku MG </w:t>
      </w:r>
      <w:r w:rsidR="00393EF7" w:rsidRPr="00393EF7">
        <w:rPr>
          <w:i/>
          <w:iCs/>
          <w:sz w:val="20"/>
          <w:szCs w:val="20"/>
        </w:rPr>
        <w:t>et al</w:t>
      </w:r>
      <w:r>
        <w:rPr>
          <w:sz w:val="20"/>
          <w:szCs w:val="20"/>
        </w:rPr>
        <w:t xml:space="preserve">. </w:t>
      </w:r>
      <w:r w:rsidRPr="003828AA">
        <w:rPr>
          <w:sz w:val="20"/>
          <w:szCs w:val="20"/>
          <w:lang w:val="en-GB"/>
        </w:rPr>
        <w:t>(2023) Pooled prevalence and risk factors of malaria among children aged 6</w:t>
      </w:r>
      <w:r w:rsidR="00433F1A">
        <w:rPr>
          <w:sz w:val="20"/>
          <w:szCs w:val="20"/>
          <w:lang w:val="en-GB"/>
        </w:rPr>
        <w:t>-</w:t>
      </w:r>
      <w:r w:rsidRPr="003828AA">
        <w:rPr>
          <w:sz w:val="20"/>
          <w:szCs w:val="20"/>
          <w:lang w:val="en-GB"/>
        </w:rPr>
        <w:t xml:space="preserve">59 months in 13 sub-Saharan African countries: a multilevel analysis. </w:t>
      </w:r>
      <w:proofErr w:type="spellStart"/>
      <w:r w:rsidRPr="003828AA">
        <w:rPr>
          <w:i/>
          <w:iCs/>
          <w:sz w:val="20"/>
          <w:szCs w:val="20"/>
          <w:lang w:val="en-GB"/>
        </w:rPr>
        <w:t>PLoS</w:t>
      </w:r>
      <w:proofErr w:type="spellEnd"/>
      <w:r w:rsidRPr="003828AA">
        <w:rPr>
          <w:i/>
          <w:iCs/>
          <w:sz w:val="20"/>
          <w:szCs w:val="20"/>
          <w:lang w:val="en-GB"/>
        </w:rPr>
        <w:t xml:space="preserve"> One</w:t>
      </w:r>
      <w:r w:rsidRPr="003828AA">
        <w:rPr>
          <w:sz w:val="20"/>
          <w:szCs w:val="20"/>
          <w:lang w:val="en-GB"/>
        </w:rPr>
        <w:t>. 18(5</w:t>
      </w:r>
      <w:proofErr w:type="gramStart"/>
      <w:r w:rsidRPr="003828AA">
        <w:rPr>
          <w:sz w:val="20"/>
          <w:szCs w:val="20"/>
          <w:lang w:val="en-GB"/>
        </w:rPr>
        <w:t>):e</w:t>
      </w:r>
      <w:proofErr w:type="gramEnd"/>
      <w:r w:rsidRPr="003828AA">
        <w:rPr>
          <w:sz w:val="20"/>
          <w:szCs w:val="20"/>
          <w:lang w:val="en-GB"/>
        </w:rPr>
        <w:t xml:space="preserve">0285265. </w:t>
      </w:r>
      <w:proofErr w:type="gramStart"/>
      <w:r w:rsidRPr="003828AA">
        <w:rPr>
          <w:sz w:val="20"/>
          <w:szCs w:val="20"/>
          <w:lang w:val="en-GB"/>
        </w:rPr>
        <w:t>doi:10.1371/journal.pone</w:t>
      </w:r>
      <w:proofErr w:type="gramEnd"/>
      <w:r w:rsidRPr="003828AA">
        <w:rPr>
          <w:sz w:val="20"/>
          <w:szCs w:val="20"/>
          <w:lang w:val="en-GB"/>
        </w:rPr>
        <w:t>.0285265. PMID: 37228156</w:t>
      </w:r>
    </w:p>
    <w:p w14:paraId="72B98B83" w14:textId="77777777" w:rsidR="00EE5FDB" w:rsidRPr="003828AA" w:rsidRDefault="00435B84">
      <w:pPr>
        <w:spacing w:after="80" w:line="360" w:lineRule="auto"/>
        <w:ind w:left="540" w:hanging="540"/>
        <w:jc w:val="both"/>
        <w:rPr>
          <w:lang w:val="en-GB"/>
        </w:rPr>
      </w:pPr>
      <w:r w:rsidRPr="003828AA">
        <w:rPr>
          <w:sz w:val="20"/>
          <w:szCs w:val="20"/>
          <w:lang w:val="en-GB"/>
        </w:rPr>
        <w:t xml:space="preserve">World Health Organization. (2025) World Malaria Report 2025. </w:t>
      </w:r>
      <w:r w:rsidRPr="003828AA">
        <w:rPr>
          <w:i/>
          <w:iCs/>
          <w:sz w:val="20"/>
          <w:szCs w:val="20"/>
          <w:lang w:val="en-GB"/>
        </w:rPr>
        <w:t>Geneva: WHO</w:t>
      </w:r>
      <w:r w:rsidRPr="003828AA">
        <w:rPr>
          <w:sz w:val="20"/>
          <w:szCs w:val="20"/>
          <w:lang w:val="en-GB"/>
        </w:rPr>
        <w:t>. Available from: https://www.who.int/teams/global-malaria-programme/reports/world-malaria-report-2025</w:t>
      </w:r>
    </w:p>
    <w:p w14:paraId="72B98B84" w14:textId="166EF3CE" w:rsidR="00EE5FDB" w:rsidRDefault="00435B84">
      <w:pPr>
        <w:spacing w:after="80" w:line="360" w:lineRule="auto"/>
        <w:ind w:left="540" w:hanging="540"/>
        <w:jc w:val="both"/>
      </w:pPr>
      <w:r w:rsidRPr="003828AA">
        <w:rPr>
          <w:sz w:val="20"/>
          <w:szCs w:val="20"/>
          <w:lang w:val="en-GB"/>
        </w:rPr>
        <w:t xml:space="preserve">World Health Organization. (2014) Severe malaria. </w:t>
      </w:r>
      <w:r w:rsidRPr="003828AA">
        <w:rPr>
          <w:i/>
          <w:iCs/>
          <w:sz w:val="20"/>
          <w:szCs w:val="20"/>
          <w:lang w:val="en-GB"/>
        </w:rPr>
        <w:t>Trop Med Int Health</w:t>
      </w:r>
      <w:r w:rsidRPr="003828AA">
        <w:rPr>
          <w:sz w:val="20"/>
          <w:szCs w:val="20"/>
          <w:lang w:val="en-GB"/>
        </w:rPr>
        <w:t>. 19(</w:t>
      </w:r>
      <w:proofErr w:type="spellStart"/>
      <w:r w:rsidRPr="003828AA">
        <w:rPr>
          <w:sz w:val="20"/>
          <w:szCs w:val="20"/>
          <w:lang w:val="en-GB"/>
        </w:rPr>
        <w:t>Suppl</w:t>
      </w:r>
      <w:proofErr w:type="spellEnd"/>
      <w:r w:rsidRPr="003828AA">
        <w:rPr>
          <w:sz w:val="20"/>
          <w:szCs w:val="20"/>
          <w:lang w:val="en-GB"/>
        </w:rPr>
        <w:t xml:space="preserve"> 1):7</w:t>
      </w:r>
      <w:r w:rsidR="00433F1A">
        <w:rPr>
          <w:sz w:val="20"/>
          <w:szCs w:val="20"/>
          <w:lang w:val="en-GB"/>
        </w:rPr>
        <w:t>-</w:t>
      </w:r>
      <w:r w:rsidRPr="003828AA">
        <w:rPr>
          <w:sz w:val="20"/>
          <w:szCs w:val="20"/>
          <w:lang w:val="en-GB"/>
        </w:rPr>
        <w:t xml:space="preserve">131. doi:10.1111/tmi.12313_2. </w:t>
      </w:r>
      <w:r>
        <w:rPr>
          <w:sz w:val="20"/>
          <w:szCs w:val="20"/>
        </w:rPr>
        <w:t>PMID: 25214480</w:t>
      </w:r>
    </w:p>
    <w:sectPr w:rsidR="00EE5FDB">
      <w:pgSz w:w="11906" w:h="16838"/>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A4579"/>
    <w:multiLevelType w:val="hybridMultilevel"/>
    <w:tmpl w:val="FF563AC6"/>
    <w:lvl w:ilvl="0" w:tplc="117E94E0">
      <w:start w:val="1"/>
      <w:numFmt w:val="bullet"/>
      <w:lvlText w:val="●"/>
      <w:lvlJc w:val="left"/>
      <w:pPr>
        <w:ind w:left="720" w:hanging="360"/>
      </w:pPr>
    </w:lvl>
    <w:lvl w:ilvl="1" w:tplc="DEB2E2CE">
      <w:start w:val="1"/>
      <w:numFmt w:val="bullet"/>
      <w:lvlText w:val="○"/>
      <w:lvlJc w:val="left"/>
      <w:pPr>
        <w:ind w:left="1440" w:hanging="360"/>
      </w:pPr>
    </w:lvl>
    <w:lvl w:ilvl="2" w:tplc="7E5ACD96">
      <w:start w:val="1"/>
      <w:numFmt w:val="bullet"/>
      <w:lvlText w:val="■"/>
      <w:lvlJc w:val="left"/>
      <w:pPr>
        <w:ind w:left="2160" w:hanging="360"/>
      </w:pPr>
    </w:lvl>
    <w:lvl w:ilvl="3" w:tplc="99DAB84C">
      <w:start w:val="1"/>
      <w:numFmt w:val="bullet"/>
      <w:lvlText w:val="●"/>
      <w:lvlJc w:val="left"/>
      <w:pPr>
        <w:ind w:left="2880" w:hanging="360"/>
      </w:pPr>
    </w:lvl>
    <w:lvl w:ilvl="4" w:tplc="B8C63162">
      <w:start w:val="1"/>
      <w:numFmt w:val="bullet"/>
      <w:lvlText w:val="○"/>
      <w:lvlJc w:val="left"/>
      <w:pPr>
        <w:ind w:left="3600" w:hanging="360"/>
      </w:pPr>
    </w:lvl>
    <w:lvl w:ilvl="5" w:tplc="E488B542">
      <w:start w:val="1"/>
      <w:numFmt w:val="bullet"/>
      <w:lvlText w:val="■"/>
      <w:lvlJc w:val="left"/>
      <w:pPr>
        <w:ind w:left="4320" w:hanging="360"/>
      </w:pPr>
    </w:lvl>
    <w:lvl w:ilvl="6" w:tplc="5C021A54">
      <w:start w:val="1"/>
      <w:numFmt w:val="bullet"/>
      <w:lvlText w:val="●"/>
      <w:lvlJc w:val="left"/>
      <w:pPr>
        <w:ind w:left="5040" w:hanging="360"/>
      </w:pPr>
    </w:lvl>
    <w:lvl w:ilvl="7" w:tplc="545E28FA">
      <w:start w:val="1"/>
      <w:numFmt w:val="bullet"/>
      <w:lvlText w:val="●"/>
      <w:lvlJc w:val="left"/>
      <w:pPr>
        <w:ind w:left="5760" w:hanging="360"/>
      </w:pPr>
    </w:lvl>
    <w:lvl w:ilvl="8" w:tplc="7D7C7F12">
      <w:start w:val="1"/>
      <w:numFmt w:val="bullet"/>
      <w:lvlText w:val="●"/>
      <w:lvlJc w:val="left"/>
      <w:pPr>
        <w:ind w:left="6480" w:hanging="360"/>
      </w:pPr>
    </w:lvl>
  </w:abstractNum>
  <w:num w:numId="1" w16cid:durableId="6949619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DB"/>
    <w:rsid w:val="0027120D"/>
    <w:rsid w:val="002C5BBA"/>
    <w:rsid w:val="003269CE"/>
    <w:rsid w:val="003828AA"/>
    <w:rsid w:val="00393EF7"/>
    <w:rsid w:val="00433F1A"/>
    <w:rsid w:val="00435B84"/>
    <w:rsid w:val="00443723"/>
    <w:rsid w:val="00447D52"/>
    <w:rsid w:val="007D2052"/>
    <w:rsid w:val="0086323C"/>
    <w:rsid w:val="00885FCC"/>
    <w:rsid w:val="00A02229"/>
    <w:rsid w:val="00EA701B"/>
    <w:rsid w:val="00EE5FDB"/>
    <w:rsid w:val="00F575C4"/>
    <w:rsid w:val="00F70D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8976"/>
  <w15:docId w15:val="{E9F6C8B3-D178-4C12-AC63-16FBCCEB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4764</Words>
  <Characters>27159</Characters>
  <Application>Microsoft Office Word</Application>
  <DocSecurity>0</DocSecurity>
  <Lines>226</Lines>
  <Paragraphs>63</Paragraphs>
  <ScaleCrop>false</ScaleCrop>
  <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1156</cp:lastModifiedBy>
  <cp:revision>3</cp:revision>
  <dcterms:created xsi:type="dcterms:W3CDTF">2026-05-18T04:51:00Z</dcterms:created>
  <dcterms:modified xsi:type="dcterms:W3CDTF">2026-05-19T11:00:00Z</dcterms:modified>
</cp:coreProperties>
</file>