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4095" w14:textId="77777777" w:rsidR="00E36190" w:rsidRPr="003B1B50" w:rsidRDefault="00E36190" w:rsidP="003B1B50">
      <w:pPr>
        <w:spacing w:before="100" w:beforeAutospacing="1" w:after="100" w:afterAutospacing="1" w:line="240" w:lineRule="auto"/>
        <w:jc w:val="both"/>
        <w:outlineLvl w:val="1"/>
        <w:rPr>
          <w:rFonts w:ascii="Times New Roman" w:eastAsia="Times New Roman" w:hAnsi="Times New Roman" w:cs="Times New Roman"/>
          <w:b/>
          <w:bCs/>
          <w:sz w:val="28"/>
          <w:szCs w:val="28"/>
          <w:lang w:val="en-US"/>
        </w:rPr>
      </w:pPr>
      <w:r w:rsidRPr="003B1B50">
        <w:rPr>
          <w:rFonts w:ascii="Times New Roman" w:eastAsia="Times New Roman" w:hAnsi="Times New Roman" w:cs="Times New Roman"/>
          <w:b/>
          <w:bCs/>
          <w:sz w:val="28"/>
          <w:szCs w:val="28"/>
          <w:lang w:val="en-US"/>
        </w:rPr>
        <w:t>Oral–Gut Microbial Translocation Axis in Periodontitis: A Critical Review of Mechanisms and Systemic Implications (2015–2025)</w:t>
      </w:r>
    </w:p>
    <w:p w14:paraId="6D517AC7"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69E01EA6" w14:textId="0FE88FEC" w:rsidR="00E36190" w:rsidRPr="00E36190" w:rsidRDefault="00E36190" w:rsidP="00E0313C">
      <w:pPr>
        <w:tabs>
          <w:tab w:val="left" w:pos="3202"/>
        </w:tabs>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Abstract</w:t>
      </w:r>
      <w:r w:rsidR="00E0313C">
        <w:rPr>
          <w:rFonts w:ascii="Times New Roman" w:eastAsia="Times New Roman" w:hAnsi="Times New Roman" w:cs="Times New Roman"/>
          <w:b/>
          <w:bCs/>
          <w:sz w:val="27"/>
          <w:szCs w:val="27"/>
          <w:lang w:val="en-US"/>
        </w:rPr>
        <w:tab/>
      </w:r>
    </w:p>
    <w:p w14:paraId="5604B7F8" w14:textId="189E9D89"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Periodontitis is a dysbiosis-driven chronic inflammatory disease affecting the tooth-supporting structures that extends its pathological influence well beyond the oral cavity. Over the past decade, the oral–gut microbial translocation axis has emerged as a biologically compelling framework through which periodontal dysbiosis may shape the composition and functional output of the intestinal microbiota, with downstream consequences for systemic health. This review critically examines the mechanistic basis of oral-to-gut bacterial translocation, addressing the survival of swallowed periodontal pathogens through the gastric environment, their disruption of intestinal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resistance, impairment of epithelial tight junction integrity, and induction of systemic immunological cascades involving Th17 cells, regulatory T cells, and inflammasome activation. </w:t>
      </w:r>
      <w:r w:rsidR="00233A90" w:rsidRPr="00897EE5">
        <w:rPr>
          <w:rFonts w:ascii="Times New Roman" w:eastAsia="Times New Roman" w:hAnsi="Times New Roman" w:cs="Times New Roman"/>
          <w:sz w:val="24"/>
          <w:szCs w:val="24"/>
          <w:highlight w:val="yellow"/>
          <w:lang w:val="en-US"/>
        </w:rPr>
        <w:t>A comprehensive literature search was conducted across the following electronic databases: PubMed/MEDLINE, Web of Science, Scopus, Embase, and Google Scholar.</w:t>
      </w:r>
      <w:r w:rsidR="00233A90"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sz w:val="24"/>
          <w:szCs w:val="24"/>
          <w:lang w:val="en-US"/>
        </w:rPr>
        <w:t xml:space="preserve">The roles of keystone periodontal pathogens—principally </w:t>
      </w:r>
      <w:r w:rsidRPr="00E36190">
        <w:rPr>
          <w:rFonts w:ascii="Times New Roman" w:eastAsia="Times New Roman" w:hAnsi="Times New Roman" w:cs="Times New Roman"/>
          <w:i/>
          <w:iCs/>
          <w:sz w:val="24"/>
          <w:szCs w:val="24"/>
          <w:lang w:val="en-US"/>
        </w:rPr>
        <w:t>Porphyromonas gingivalis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 xml:space="preserve">Fusobacterium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spp.—are </w:t>
      </w:r>
      <w:proofErr w:type="spellStart"/>
      <w:r w:rsidRPr="00E36190">
        <w:rPr>
          <w:rFonts w:ascii="Times New Roman" w:eastAsia="Times New Roman" w:hAnsi="Times New Roman" w:cs="Times New Roman"/>
          <w:sz w:val="24"/>
          <w:szCs w:val="24"/>
          <w:lang w:val="en-US"/>
        </w:rPr>
        <w:t>scrutinised</w:t>
      </w:r>
      <w:proofErr w:type="spellEnd"/>
      <w:r w:rsidRPr="00E36190">
        <w:rPr>
          <w:rFonts w:ascii="Times New Roman" w:eastAsia="Times New Roman" w:hAnsi="Times New Roman" w:cs="Times New Roman"/>
          <w:sz w:val="24"/>
          <w:szCs w:val="24"/>
          <w:lang w:val="en-US"/>
        </w:rPr>
        <w:t xml:space="preserve"> in both animal models and clinical studies. The review further evaluates evidence linking the oral–gut axis to inflammatory bowel disease, colorectal cancer, metabolic-associated </w:t>
      </w:r>
      <w:proofErr w:type="spellStart"/>
      <w:r w:rsidRPr="00E36190">
        <w:rPr>
          <w:rFonts w:ascii="Times New Roman" w:eastAsia="Times New Roman" w:hAnsi="Times New Roman" w:cs="Times New Roman"/>
          <w:sz w:val="24"/>
          <w:szCs w:val="24"/>
          <w:lang w:val="en-US"/>
        </w:rPr>
        <w:t>steatotic</w:t>
      </w:r>
      <w:proofErr w:type="spellEnd"/>
      <w:r w:rsidRPr="00E36190">
        <w:rPr>
          <w:rFonts w:ascii="Times New Roman" w:eastAsia="Times New Roman" w:hAnsi="Times New Roman" w:cs="Times New Roman"/>
          <w:sz w:val="24"/>
          <w:szCs w:val="24"/>
          <w:lang w:val="en-US"/>
        </w:rPr>
        <w:t xml:space="preserve"> liver disease, and cardiovascular disease. The effect of non-surgical periodontal therapy on gut microbial composition is assessed, alongside emerging microbiome-targeted therapeutic strategies including probiotics, prebiotics, and bacteriophage-based approaches. The synthesis of current evidence reveals a bidirectional and mechanistically intricate communication channel between the oral and intestinal ecosystems, yet causal inference from human data remains constrained by methodological heterogeneity, the preponderance of cross-sectional designs, and residual confounding. Future longitudinal and interventional research employing multi-omics platforms is necessary to translate the mechanistic insights reviewed herein into actionable clinical guidance.</w:t>
      </w:r>
    </w:p>
    <w:p w14:paraId="0E1293FE" w14:textId="60ABBB3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Keywords:</w:t>
      </w:r>
      <w:r w:rsidRPr="00E36190">
        <w:rPr>
          <w:rFonts w:ascii="Times New Roman" w:eastAsia="Times New Roman" w:hAnsi="Times New Roman" w:cs="Times New Roman"/>
          <w:sz w:val="24"/>
          <w:szCs w:val="24"/>
          <w:lang w:val="en-US"/>
        </w:rPr>
        <w:t xml:space="preserve"> </w:t>
      </w:r>
      <w:r w:rsidR="002D2092">
        <w:rPr>
          <w:rFonts w:ascii="Times New Roman" w:eastAsia="Times New Roman" w:hAnsi="Times New Roman" w:cs="Times New Roman"/>
          <w:sz w:val="24"/>
          <w:szCs w:val="24"/>
          <w:lang w:val="en-US"/>
        </w:rPr>
        <w:t>O</w:t>
      </w:r>
      <w:r w:rsidRPr="00E36190">
        <w:rPr>
          <w:rFonts w:ascii="Times New Roman" w:eastAsia="Times New Roman" w:hAnsi="Times New Roman" w:cs="Times New Roman"/>
          <w:sz w:val="24"/>
          <w:szCs w:val="24"/>
          <w:lang w:val="en-US"/>
        </w:rPr>
        <w:t xml:space="preserve">ral–gut axis; periodontitis; microbial translocation; </w:t>
      </w:r>
      <w:r w:rsidRPr="00E36190">
        <w:rPr>
          <w:rFonts w:ascii="Times New Roman" w:eastAsia="Times New Roman" w:hAnsi="Times New Roman" w:cs="Times New Roman"/>
          <w:i/>
          <w:iCs/>
          <w:sz w:val="24"/>
          <w:szCs w:val="24"/>
          <w:lang w:val="en-US"/>
        </w:rPr>
        <w:t>Porphyromonas gingivalis</w:t>
      </w:r>
      <w:r w:rsidRPr="00E36190">
        <w:rPr>
          <w:rFonts w:ascii="Times New Roman" w:eastAsia="Times New Roman" w:hAnsi="Times New Roman" w:cs="Times New Roman"/>
          <w:sz w:val="24"/>
          <w:szCs w:val="24"/>
          <w:lang w:val="en-US"/>
        </w:rPr>
        <w:t>; gut dysbiosis; intestinal barrier; inflammatory bowel disease; colorectal cancer; systemic inflammation; periodontal therapy.</w:t>
      </w:r>
    </w:p>
    <w:p w14:paraId="79C42427"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74ABE4CD" w14:textId="373A059F" w:rsidR="00E36190" w:rsidRPr="00897EE5" w:rsidRDefault="00E36190" w:rsidP="00897EE5">
      <w:pPr>
        <w:pStyle w:val="ListParagraph"/>
        <w:numPr>
          <w:ilvl w:val="0"/>
          <w:numId w:val="2"/>
        </w:num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897EE5">
        <w:rPr>
          <w:rFonts w:ascii="Times New Roman" w:eastAsia="Times New Roman" w:hAnsi="Times New Roman" w:cs="Times New Roman"/>
          <w:b/>
          <w:bCs/>
          <w:sz w:val="27"/>
          <w:szCs w:val="27"/>
          <w:lang w:val="en-US"/>
        </w:rPr>
        <w:t>Introduction</w:t>
      </w:r>
    </w:p>
    <w:p w14:paraId="51BE4CF2" w14:textId="59E509EC" w:rsidR="001F1424" w:rsidRPr="00897EE5" w:rsidRDefault="001F1424" w:rsidP="001F1424">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897EE5">
        <w:rPr>
          <w:rFonts w:ascii="Georgia" w:hAnsi="Georgia"/>
          <w:color w:val="1F1F1F"/>
          <w:highlight w:val="yellow"/>
        </w:rPr>
        <w:t>Periodontitis, a chronic inflammatory disease of the oral cavity, has been identified as a modifiable risk factor of the development of systemic and neurological disorders via a complicated interplay of microbiological, immunological, and neural interactions. Periodontal pathogens breach local immune homeostasis, are translocated to the gut and brain, and trigger a cascade of immune deregulation, leaky gut, and blood–brain barrier, thereby forming a tri-directional communication network that links local oral inflammation to systemic and neurovascular conditions</w:t>
      </w:r>
      <w:r w:rsidR="00A6756B" w:rsidRPr="00A6756B">
        <w:rPr>
          <w:rFonts w:ascii="Georgia" w:hAnsi="Georgia"/>
          <w:color w:val="1F1F1F"/>
          <w:highlight w:val="yellow"/>
        </w:rPr>
        <w:t xml:space="preserve"> (</w:t>
      </w:r>
      <w:r w:rsidR="00A6756B" w:rsidRPr="00897EE5">
        <w:rPr>
          <w:rFonts w:ascii="Arial" w:hAnsi="Arial" w:cs="Arial"/>
          <w:color w:val="222222"/>
          <w:sz w:val="20"/>
          <w:szCs w:val="20"/>
          <w:highlight w:val="yellow"/>
          <w:shd w:val="clear" w:color="auto" w:fill="FFFFFF"/>
        </w:rPr>
        <w:t>Pravin et al., 2026</w:t>
      </w:r>
      <w:r w:rsidR="00A6756B">
        <w:rPr>
          <w:rFonts w:ascii="Georgia" w:hAnsi="Georgia"/>
          <w:color w:val="1F1F1F"/>
          <w:highlight w:val="yellow"/>
        </w:rPr>
        <w:t>)</w:t>
      </w:r>
      <w:r w:rsidRPr="00897EE5">
        <w:rPr>
          <w:rFonts w:ascii="Georgia" w:hAnsi="Georgia"/>
          <w:color w:val="1F1F1F"/>
          <w:highlight w:val="yellow"/>
        </w:rPr>
        <w:t>.</w:t>
      </w:r>
      <w:r>
        <w:rPr>
          <w:rFonts w:ascii="Georgia" w:hAnsi="Georgia"/>
          <w:color w:val="1F1F1F"/>
        </w:rPr>
        <w:t> </w:t>
      </w:r>
      <w:r w:rsidR="00C50085" w:rsidRPr="00897EE5">
        <w:rPr>
          <w:rFonts w:ascii="Cambria" w:hAnsi="Cambria"/>
          <w:color w:val="1B1B1B"/>
          <w:sz w:val="24"/>
          <w:szCs w:val="24"/>
          <w:highlight w:val="yellow"/>
          <w:shd w:val="clear" w:color="auto" w:fill="FFFFFF"/>
        </w:rPr>
        <w:t>Periodontitis arises from a shift in the oral microbiome from a balanced (</w:t>
      </w:r>
      <w:proofErr w:type="spellStart"/>
      <w:r w:rsidR="00C50085" w:rsidRPr="00897EE5">
        <w:rPr>
          <w:rFonts w:ascii="Cambria" w:hAnsi="Cambria"/>
          <w:color w:val="1B1B1B"/>
          <w:sz w:val="24"/>
          <w:szCs w:val="24"/>
          <w:highlight w:val="yellow"/>
          <w:shd w:val="clear" w:color="auto" w:fill="FFFFFF"/>
        </w:rPr>
        <w:t>eubiotic</w:t>
      </w:r>
      <w:proofErr w:type="spellEnd"/>
      <w:r w:rsidR="00C50085" w:rsidRPr="00897EE5">
        <w:rPr>
          <w:rFonts w:ascii="Cambria" w:hAnsi="Cambria"/>
          <w:color w:val="1B1B1B"/>
          <w:sz w:val="24"/>
          <w:szCs w:val="24"/>
          <w:highlight w:val="yellow"/>
          <w:shd w:val="clear" w:color="auto" w:fill="FFFFFF"/>
        </w:rPr>
        <w:t xml:space="preserve">) to a </w:t>
      </w:r>
      <w:proofErr w:type="spellStart"/>
      <w:r w:rsidR="00C50085" w:rsidRPr="00897EE5">
        <w:rPr>
          <w:rFonts w:ascii="Cambria" w:hAnsi="Cambria"/>
          <w:color w:val="1B1B1B"/>
          <w:sz w:val="24"/>
          <w:szCs w:val="24"/>
          <w:highlight w:val="yellow"/>
          <w:shd w:val="clear" w:color="auto" w:fill="FFFFFF"/>
        </w:rPr>
        <w:t>dysbiotic</w:t>
      </w:r>
      <w:proofErr w:type="spellEnd"/>
      <w:r w:rsidR="00C50085" w:rsidRPr="00897EE5">
        <w:rPr>
          <w:rFonts w:ascii="Cambria" w:hAnsi="Cambria"/>
          <w:color w:val="1B1B1B"/>
          <w:sz w:val="24"/>
          <w:szCs w:val="24"/>
          <w:highlight w:val="yellow"/>
          <w:shd w:val="clear" w:color="auto" w:fill="FFFFFF"/>
        </w:rPr>
        <w:t xml:space="preserve"> state, progressing from early “plaque-based” theories to modern ecological and polymicrobial models that emphasize microbial interactions and host response. The current Polymicrobial Synergy </w:t>
      </w:r>
      <w:r w:rsidR="00C50085" w:rsidRPr="00897EE5">
        <w:rPr>
          <w:rFonts w:ascii="Cambria" w:hAnsi="Cambria"/>
          <w:color w:val="1B1B1B"/>
          <w:sz w:val="24"/>
          <w:szCs w:val="24"/>
          <w:highlight w:val="yellow"/>
          <w:shd w:val="clear" w:color="auto" w:fill="FFFFFF"/>
        </w:rPr>
        <w:lastRenderedPageBreak/>
        <w:t>and Dysbiosis model recognizes periodontitis as a community-driven disease that involves various bacterial, fungal and viral species that collectively sustain chronic inflammation and tissue destruction</w:t>
      </w:r>
      <w:r w:rsidR="00C50085">
        <w:rPr>
          <w:rFonts w:ascii="Cambria" w:hAnsi="Cambria"/>
          <w:color w:val="1B1B1B"/>
          <w:sz w:val="24"/>
          <w:szCs w:val="24"/>
          <w:highlight w:val="yellow"/>
          <w:shd w:val="clear" w:color="auto" w:fill="FFFFFF"/>
        </w:rPr>
        <w:t xml:space="preserve"> (</w:t>
      </w:r>
      <w:proofErr w:type="spellStart"/>
      <w:r w:rsidR="00C50085" w:rsidRPr="008C73D4">
        <w:rPr>
          <w:rFonts w:ascii="Times New Roman" w:eastAsia="Times New Roman" w:hAnsi="Times New Roman" w:cs="Times New Roman"/>
          <w:color w:val="1B1B1B"/>
          <w:highlight w:val="yellow"/>
          <w:lang w:val="en-US"/>
        </w:rPr>
        <w:t>Harrandah</w:t>
      </w:r>
      <w:proofErr w:type="spellEnd"/>
      <w:r w:rsidR="00C50085">
        <w:rPr>
          <w:rFonts w:ascii="Times New Roman" w:eastAsia="Times New Roman" w:hAnsi="Times New Roman" w:cs="Times New Roman"/>
          <w:color w:val="1B1B1B"/>
          <w:highlight w:val="yellow"/>
          <w:lang w:val="en-US"/>
        </w:rPr>
        <w:t>, 2025</w:t>
      </w:r>
      <w:r w:rsidR="00C50085">
        <w:rPr>
          <w:rFonts w:ascii="Cambria" w:hAnsi="Cambria"/>
          <w:color w:val="1B1B1B"/>
          <w:sz w:val="24"/>
          <w:szCs w:val="24"/>
          <w:highlight w:val="yellow"/>
          <w:shd w:val="clear" w:color="auto" w:fill="FFFFFF"/>
        </w:rPr>
        <w:t>)</w:t>
      </w:r>
      <w:r w:rsidR="00C50085" w:rsidRPr="00897EE5">
        <w:rPr>
          <w:rFonts w:ascii="Cambria" w:hAnsi="Cambria"/>
          <w:color w:val="1B1B1B"/>
          <w:sz w:val="24"/>
          <w:szCs w:val="24"/>
          <w:highlight w:val="yellow"/>
          <w:shd w:val="clear" w:color="auto" w:fill="FFFFFF"/>
        </w:rPr>
        <w:t>.</w:t>
      </w:r>
    </w:p>
    <w:p w14:paraId="01757766"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1.1 The Oral Cavity as a Microbial Reservoir</w:t>
      </w:r>
    </w:p>
    <w:p w14:paraId="12723F5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human oral cavity </w:t>
      </w:r>
      <w:proofErr w:type="spellStart"/>
      <w:r w:rsidRPr="00E36190">
        <w:rPr>
          <w:rFonts w:ascii="Times New Roman" w:eastAsia="Times New Roman" w:hAnsi="Times New Roman" w:cs="Times New Roman"/>
          <w:sz w:val="24"/>
          <w:szCs w:val="24"/>
          <w:lang w:val="en-US"/>
        </w:rPr>
        <w:t>harbours</w:t>
      </w:r>
      <w:proofErr w:type="spellEnd"/>
      <w:r w:rsidRPr="00E36190">
        <w:rPr>
          <w:rFonts w:ascii="Times New Roman" w:eastAsia="Times New Roman" w:hAnsi="Times New Roman" w:cs="Times New Roman"/>
          <w:sz w:val="24"/>
          <w:szCs w:val="24"/>
          <w:lang w:val="en-US"/>
        </w:rPr>
        <w:t xml:space="preserve"> one of the most compositionally diverse and ecologically complex microbial communities in the body, second in richness only to the gut. It is estimated that the oral microbiome comprises over 700 bacterial species distributed across distinct ecological niches—supragingival plaque, subgingival crevice, tongue dorsum, buccal mucosa, and saliva—each </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by distinct microbial assemblages (Kinane et al., 2017). Under conditions of health, this community maintains dynamic equilibrium with the host immune system through competitive exclusion of exogenous pathogens, elaboration of protective metabolites, and continuous immunological surveillance. Disruption of this equilibrium, whether by poor oral hygiene, systemic factors such as diabetes or smoking, or altered immune competence, precipitates a qualitative shift in microbial composition that is </w:t>
      </w:r>
      <w:proofErr w:type="spellStart"/>
      <w:r w:rsidRPr="00E36190">
        <w:rPr>
          <w:rFonts w:ascii="Times New Roman" w:eastAsia="Times New Roman" w:hAnsi="Times New Roman" w:cs="Times New Roman"/>
          <w:sz w:val="24"/>
          <w:szCs w:val="24"/>
          <w:lang w:val="en-US"/>
        </w:rPr>
        <w:t>recognised</w:t>
      </w:r>
      <w:proofErr w:type="spellEnd"/>
      <w:r w:rsidRPr="00E36190">
        <w:rPr>
          <w:rFonts w:ascii="Times New Roman" w:eastAsia="Times New Roman" w:hAnsi="Times New Roman" w:cs="Times New Roman"/>
          <w:sz w:val="24"/>
          <w:szCs w:val="24"/>
          <w:lang w:val="en-US"/>
        </w:rPr>
        <w:t xml:space="preserve"> as oral dysbiosis. When this dysbiosis affects the periodontium—the complex connective tissue apparatus anchoring teeth within the alveolar bone—the resulting condition is periodontitis.</w:t>
      </w:r>
    </w:p>
    <w:p w14:paraId="43F420A1"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1.2 Periodontitis: Epidemiology and Disease Burden</w:t>
      </w:r>
    </w:p>
    <w:p w14:paraId="07949ECA"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Periodontitis constitutes one of the most prevalent chronic non-communicable diseases affecting humanity. Epidemiological surveillance in the United States, based on full-mouth periodontal examination data from the National Health and Nutrition Examination Survey (NHANES), estimated that approximately 47.2% of adults aged 30 years or older exhibited some form of periodontitis, with 8.9% classified as severe (Eke et al., 2015). Global burden studies suggest that periodontitis ranks as the eleventh most prevalent condition worldwide, affecting approximately half of adults over 30 years of age and more than 70% of those over 65 years of age (Tanwar et al., 2024). The 2018 World Workshop on Periodontal and Peri-Implant Diseases introduced a revised classification system that stratifies periodontitis by stage (I–IV, reflecting severity and complexity) and grade (A–C, reflecting rate of progression and systemic risk), providing a </w:t>
      </w:r>
      <w:proofErr w:type="spellStart"/>
      <w:r w:rsidRPr="00E36190">
        <w:rPr>
          <w:rFonts w:ascii="Times New Roman" w:eastAsia="Times New Roman" w:hAnsi="Times New Roman" w:cs="Times New Roman"/>
          <w:sz w:val="24"/>
          <w:szCs w:val="24"/>
          <w:lang w:val="en-US"/>
        </w:rPr>
        <w:t>standardised</w:t>
      </w:r>
      <w:proofErr w:type="spellEnd"/>
      <w:r w:rsidRPr="00E36190">
        <w:rPr>
          <w:rFonts w:ascii="Times New Roman" w:eastAsia="Times New Roman" w:hAnsi="Times New Roman" w:cs="Times New Roman"/>
          <w:sz w:val="24"/>
          <w:szCs w:val="24"/>
          <w:lang w:val="en-US"/>
        </w:rPr>
        <w:t xml:space="preserve"> framework for clinical and research purposes (Tonetti et al., 2018). This classification has been widely adopted and underpins much of the contemporary literature reviewed herein.</w:t>
      </w:r>
    </w:p>
    <w:p w14:paraId="6B9C6287"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 xml:space="preserve">1.3 From </w:t>
      </w:r>
      <w:proofErr w:type="spellStart"/>
      <w:r w:rsidRPr="00E36190">
        <w:rPr>
          <w:rFonts w:ascii="Times New Roman" w:eastAsia="Times New Roman" w:hAnsi="Times New Roman" w:cs="Times New Roman"/>
          <w:b/>
          <w:bCs/>
          <w:sz w:val="24"/>
          <w:szCs w:val="24"/>
          <w:lang w:val="en-US"/>
        </w:rPr>
        <w:t>Localised</w:t>
      </w:r>
      <w:proofErr w:type="spellEnd"/>
      <w:r w:rsidRPr="00E36190">
        <w:rPr>
          <w:rFonts w:ascii="Times New Roman" w:eastAsia="Times New Roman" w:hAnsi="Times New Roman" w:cs="Times New Roman"/>
          <w:b/>
          <w:bCs/>
          <w:sz w:val="24"/>
          <w:szCs w:val="24"/>
          <w:lang w:val="en-US"/>
        </w:rPr>
        <w:t xml:space="preserve"> Disease to Systemic Pathology</w:t>
      </w:r>
    </w:p>
    <w:p w14:paraId="697CC941"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Early research on the systemic consequences of periodontal disease focused predominantly on </w:t>
      </w:r>
      <w:proofErr w:type="spellStart"/>
      <w:r w:rsidRPr="00E36190">
        <w:rPr>
          <w:rFonts w:ascii="Times New Roman" w:eastAsia="Times New Roman" w:hAnsi="Times New Roman" w:cs="Times New Roman"/>
          <w:sz w:val="24"/>
          <w:szCs w:val="24"/>
          <w:lang w:val="en-US"/>
        </w:rPr>
        <w:t>bacteraemic</w:t>
      </w:r>
      <w:proofErr w:type="spellEnd"/>
      <w:r w:rsidRPr="00E36190">
        <w:rPr>
          <w:rFonts w:ascii="Times New Roman" w:eastAsia="Times New Roman" w:hAnsi="Times New Roman" w:cs="Times New Roman"/>
          <w:sz w:val="24"/>
          <w:szCs w:val="24"/>
          <w:lang w:val="en-US"/>
        </w:rPr>
        <w:t xml:space="preserve"> dissemination—the transient escape of oral bacteria into the bloodstream during dental procedures, mastication, and toothbrushing. This </w:t>
      </w:r>
      <w:proofErr w:type="spellStart"/>
      <w:r w:rsidRPr="00E36190">
        <w:rPr>
          <w:rFonts w:ascii="Times New Roman" w:eastAsia="Times New Roman" w:hAnsi="Times New Roman" w:cs="Times New Roman"/>
          <w:sz w:val="24"/>
          <w:szCs w:val="24"/>
          <w:lang w:val="en-US"/>
        </w:rPr>
        <w:t>haematogenous</w:t>
      </w:r>
      <w:proofErr w:type="spellEnd"/>
      <w:r w:rsidRPr="00E36190">
        <w:rPr>
          <w:rFonts w:ascii="Times New Roman" w:eastAsia="Times New Roman" w:hAnsi="Times New Roman" w:cs="Times New Roman"/>
          <w:sz w:val="24"/>
          <w:szCs w:val="24"/>
          <w:lang w:val="en-US"/>
        </w:rPr>
        <w:t xml:space="preserve"> route provided an initial biological explanation for observed epidemiological associations between periodontitis and conditions including cardiovascular disease, preterm birth, diabetes, and rheumatoid arthritis (</w:t>
      </w:r>
      <w:proofErr w:type="spellStart"/>
      <w:r w:rsidRPr="00E36190">
        <w:rPr>
          <w:rFonts w:ascii="Times New Roman" w:eastAsia="Times New Roman" w:hAnsi="Times New Roman" w:cs="Times New Roman"/>
          <w:sz w:val="24"/>
          <w:szCs w:val="24"/>
          <w:lang w:val="en-US"/>
        </w:rPr>
        <w:t>Hajishengallis</w:t>
      </w:r>
      <w:proofErr w:type="spellEnd"/>
      <w:r w:rsidRPr="00E36190">
        <w:rPr>
          <w:rFonts w:ascii="Times New Roman" w:eastAsia="Times New Roman" w:hAnsi="Times New Roman" w:cs="Times New Roman"/>
          <w:sz w:val="24"/>
          <w:szCs w:val="24"/>
          <w:lang w:val="en-US"/>
        </w:rPr>
        <w:t xml:space="preserve"> &amp; </w:t>
      </w:r>
      <w:proofErr w:type="spellStart"/>
      <w:r w:rsidRPr="00E36190">
        <w:rPr>
          <w:rFonts w:ascii="Times New Roman" w:eastAsia="Times New Roman" w:hAnsi="Times New Roman" w:cs="Times New Roman"/>
          <w:sz w:val="24"/>
          <w:szCs w:val="24"/>
          <w:lang w:val="en-US"/>
        </w:rPr>
        <w:t>Chavakis</w:t>
      </w:r>
      <w:proofErr w:type="spellEnd"/>
      <w:r w:rsidRPr="00E36190">
        <w:rPr>
          <w:rFonts w:ascii="Times New Roman" w:eastAsia="Times New Roman" w:hAnsi="Times New Roman" w:cs="Times New Roman"/>
          <w:sz w:val="24"/>
          <w:szCs w:val="24"/>
          <w:lang w:val="en-US"/>
        </w:rPr>
        <w:t xml:space="preserve">, 2021). However, </w:t>
      </w:r>
      <w:proofErr w:type="spellStart"/>
      <w:r w:rsidRPr="00E36190">
        <w:rPr>
          <w:rFonts w:ascii="Times New Roman" w:eastAsia="Times New Roman" w:hAnsi="Times New Roman" w:cs="Times New Roman"/>
          <w:sz w:val="24"/>
          <w:szCs w:val="24"/>
          <w:lang w:val="en-US"/>
        </w:rPr>
        <w:t>bacteraemia</w:t>
      </w:r>
      <w:proofErr w:type="spellEnd"/>
      <w:r w:rsidRPr="00E36190">
        <w:rPr>
          <w:rFonts w:ascii="Times New Roman" w:eastAsia="Times New Roman" w:hAnsi="Times New Roman" w:cs="Times New Roman"/>
          <w:sz w:val="24"/>
          <w:szCs w:val="24"/>
          <w:lang w:val="en-US"/>
        </w:rPr>
        <w:t xml:space="preserve"> alone cannot fully account for the breadth and chronicity of the systemic inflammatory consequences attributed to periodontitis. More recent mechanistic inquiry has identified an alternative and sustained route of pathological influence: the enteral translocation of oral pathogens to the gut, where they disrupt indigenous microbial ecology, impair intestinal barrier function, and prime or sustain aberrant systemic immune responses.</w:t>
      </w:r>
    </w:p>
    <w:p w14:paraId="7341B853"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lastRenderedPageBreak/>
        <w:t>1.4 Emergence of the Oral–Gut Axis Concept</w:t>
      </w:r>
    </w:p>
    <w:p w14:paraId="3B492FB4"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w:t>
      </w:r>
      <w:proofErr w:type="spellStart"/>
      <w:r w:rsidRPr="00E36190">
        <w:rPr>
          <w:rFonts w:ascii="Times New Roman" w:eastAsia="Times New Roman" w:hAnsi="Times New Roman" w:cs="Times New Roman"/>
          <w:sz w:val="24"/>
          <w:szCs w:val="24"/>
          <w:lang w:val="en-US"/>
        </w:rPr>
        <w:t>conceptualisation</w:t>
      </w:r>
      <w:proofErr w:type="spellEnd"/>
      <w:r w:rsidRPr="00E36190">
        <w:rPr>
          <w:rFonts w:ascii="Times New Roman" w:eastAsia="Times New Roman" w:hAnsi="Times New Roman" w:cs="Times New Roman"/>
          <w:sz w:val="24"/>
          <w:szCs w:val="24"/>
          <w:lang w:val="en-US"/>
        </w:rPr>
        <w:t xml:space="preserve"> of an oral–gut axis arose from the convergence of several independent lines of inquiry. Molecular epidemiological studies detected oral-origin bacteria—including members of the genera </w:t>
      </w:r>
      <w:r w:rsidRPr="00E36190">
        <w:rPr>
          <w:rFonts w:ascii="Times New Roman" w:eastAsia="Times New Roman" w:hAnsi="Times New Roman" w:cs="Times New Roman"/>
          <w:i/>
          <w:iCs/>
          <w:sz w:val="24"/>
          <w:szCs w:val="24"/>
          <w:lang w:val="en-US"/>
        </w:rPr>
        <w:t>Porphyromonas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Treponema</w:t>
      </w:r>
      <w:r w:rsidRPr="00E36190">
        <w:rPr>
          <w:rFonts w:ascii="Times New Roman" w:eastAsia="Times New Roman" w:hAnsi="Times New Roman" w:cs="Times New Roman"/>
          <w:sz w:val="24"/>
          <w:szCs w:val="24"/>
          <w:lang w:val="en-US"/>
        </w:rPr>
        <w:t xml:space="preserve">—in stool samples, colonic mucosa, and colorectal </w:t>
      </w:r>
      <w:proofErr w:type="spellStart"/>
      <w:r w:rsidRPr="00E36190">
        <w:rPr>
          <w:rFonts w:ascii="Times New Roman" w:eastAsia="Times New Roman" w:hAnsi="Times New Roman" w:cs="Times New Roman"/>
          <w:sz w:val="24"/>
          <w:szCs w:val="24"/>
          <w:lang w:val="en-US"/>
        </w:rPr>
        <w:t>tumours</w:t>
      </w:r>
      <w:proofErr w:type="spellEnd"/>
      <w:r w:rsidRPr="00E36190">
        <w:rPr>
          <w:rFonts w:ascii="Times New Roman" w:eastAsia="Times New Roman" w:hAnsi="Times New Roman" w:cs="Times New Roman"/>
          <w:sz w:val="24"/>
          <w:szCs w:val="24"/>
          <w:lang w:val="en-US"/>
        </w:rPr>
        <w:t xml:space="preserve"> of patients with periodontal disease, raising the possibility of viable translocation beyond the stomach (Kageyama et al., 2023). Gnotobiotic animal experiments demonstrated that salivary bacteria from patients with inflammatory bowel disease (IBD), administered via oral gavage to germ-free mice, could </w:t>
      </w:r>
      <w:proofErr w:type="spellStart"/>
      <w:r w:rsidRPr="00E36190">
        <w:rPr>
          <w:rFonts w:ascii="Times New Roman" w:eastAsia="Times New Roman" w:hAnsi="Times New Roman" w:cs="Times New Roman"/>
          <w:sz w:val="24"/>
          <w:szCs w:val="24"/>
          <w:lang w:val="en-US"/>
        </w:rPr>
        <w:t>colonise</w:t>
      </w:r>
      <w:proofErr w:type="spellEnd"/>
      <w:r w:rsidRPr="00E36190">
        <w:rPr>
          <w:rFonts w:ascii="Times New Roman" w:eastAsia="Times New Roman" w:hAnsi="Times New Roman" w:cs="Times New Roman"/>
          <w:sz w:val="24"/>
          <w:szCs w:val="24"/>
          <w:lang w:val="en-US"/>
        </w:rPr>
        <w:t xml:space="preserve"> the intestine and induce robust, disease-relevant immune responses (</w:t>
      </w:r>
      <w:proofErr w:type="spellStart"/>
      <w:r w:rsidRPr="00E36190">
        <w:rPr>
          <w:rFonts w:ascii="Times New Roman" w:eastAsia="Times New Roman" w:hAnsi="Times New Roman" w:cs="Times New Roman"/>
          <w:sz w:val="24"/>
          <w:szCs w:val="24"/>
          <w:lang w:val="en-US"/>
        </w:rPr>
        <w:t>Atarashi</w:t>
      </w:r>
      <w:proofErr w:type="spellEnd"/>
      <w:r w:rsidRPr="00E36190">
        <w:rPr>
          <w:rFonts w:ascii="Times New Roman" w:eastAsia="Times New Roman" w:hAnsi="Times New Roman" w:cs="Times New Roman"/>
          <w:sz w:val="24"/>
          <w:szCs w:val="24"/>
          <w:lang w:val="en-US"/>
        </w:rPr>
        <w:t xml:space="preserve"> et al., 2017). Landmark mechanistic studies in murine models of periodontitis showed that oral inflammatory signals propagated both microbially and immunologically to the colon, exacerbating colitis through a dual mechanism involving translocated pathobionts and gut-tropic Th17 lymphocytes of oral origin (</w:t>
      </w: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 Together, these discoveries have reframed the oral–gut relationship from a passive anatomical continuity to an active and bidirectional biological axis with implications for the pathogenesis of multiple chronic diseases.</w:t>
      </w:r>
    </w:p>
    <w:p w14:paraId="01B7E76F"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1.5 Scope and Objectives</w:t>
      </w:r>
    </w:p>
    <w:p w14:paraId="0736350A"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This review critically examines the existing evidence—from fundamental mechanistic studies to clinical intervention trials—pertaining to the oral–gut microbial translocation axis in the context of periodontitis. The primary objectives are to delineate the biological mechanisms through which periodontal pathogens translocate to and </w:t>
      </w:r>
      <w:proofErr w:type="spellStart"/>
      <w:r w:rsidRPr="00E36190">
        <w:rPr>
          <w:rFonts w:ascii="Times New Roman" w:eastAsia="Times New Roman" w:hAnsi="Times New Roman" w:cs="Times New Roman"/>
          <w:sz w:val="24"/>
          <w:szCs w:val="24"/>
          <w:lang w:val="en-US"/>
        </w:rPr>
        <w:t>colonise</w:t>
      </w:r>
      <w:proofErr w:type="spellEnd"/>
      <w:r w:rsidRPr="00E36190">
        <w:rPr>
          <w:rFonts w:ascii="Times New Roman" w:eastAsia="Times New Roman" w:hAnsi="Times New Roman" w:cs="Times New Roman"/>
          <w:sz w:val="24"/>
          <w:szCs w:val="24"/>
          <w:lang w:val="en-US"/>
        </w:rPr>
        <w:t xml:space="preserve"> the gut, to assess the immunological consequences of this translocation, to evaluate the evidence linking the oral–gut axis to specific systemic diseases, to appraise the impact of periodontal therapy on gut ecology, and to identify methodological gaps that constrain causal inference. The review does not address periodontal–systemic associations mediated exclusively through </w:t>
      </w:r>
      <w:proofErr w:type="spellStart"/>
      <w:r w:rsidRPr="00E36190">
        <w:rPr>
          <w:rFonts w:ascii="Times New Roman" w:eastAsia="Times New Roman" w:hAnsi="Times New Roman" w:cs="Times New Roman"/>
          <w:sz w:val="24"/>
          <w:szCs w:val="24"/>
          <w:lang w:val="en-US"/>
        </w:rPr>
        <w:t>bacteraemia</w:t>
      </w:r>
      <w:proofErr w:type="spellEnd"/>
      <w:r w:rsidRPr="00E36190">
        <w:rPr>
          <w:rFonts w:ascii="Times New Roman" w:eastAsia="Times New Roman" w:hAnsi="Times New Roman" w:cs="Times New Roman"/>
          <w:sz w:val="24"/>
          <w:szCs w:val="24"/>
          <w:lang w:val="en-US"/>
        </w:rPr>
        <w:t>, the oral–lung axis, or the role of oral fungi and viruses, which warrant separate treatment.</w:t>
      </w:r>
    </w:p>
    <w:p w14:paraId="459D7E73"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4608ECFE"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2. Methods for Literature Selection</w:t>
      </w:r>
    </w:p>
    <w:p w14:paraId="5F78940E"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2.1 Databases and Search Strategy</w:t>
      </w:r>
    </w:p>
    <w:p w14:paraId="2FD4B760"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comprehensive literature search was conducted across the following electronic databases: PubMed/MEDLINE, Web of Science, Scopus, Embase, and Google Scholar. Field-specific databases were additionally searched, including the Cochrane Oral Health Database, </w:t>
      </w:r>
      <w:proofErr w:type="spellStart"/>
      <w:r w:rsidRPr="00E36190">
        <w:rPr>
          <w:rFonts w:ascii="Times New Roman" w:eastAsia="Times New Roman" w:hAnsi="Times New Roman" w:cs="Times New Roman"/>
          <w:sz w:val="24"/>
          <w:szCs w:val="24"/>
          <w:lang w:val="en-US"/>
        </w:rPr>
        <w:t>MicrobiomeDB</w:t>
      </w:r>
      <w:proofErr w:type="spellEnd"/>
      <w:r w:rsidRPr="00E36190">
        <w:rPr>
          <w:rFonts w:ascii="Times New Roman" w:eastAsia="Times New Roman" w:hAnsi="Times New Roman" w:cs="Times New Roman"/>
          <w:sz w:val="24"/>
          <w:szCs w:val="24"/>
          <w:lang w:val="en-US"/>
        </w:rPr>
        <w:t xml:space="preserve"> (for microbiome-specific genomic studies), the Human Oral Microbiome Database (HOMD), the Global Periodontal Health Observatory records, and ClinicalTrials.gov (for registered intervention studies of relevance). The search was restricted to the period January 2015 through May 2026, with no language restriction initially applied, although only English-language full-text articles were ultimately included.</w:t>
      </w:r>
    </w:p>
    <w:p w14:paraId="0E8BB2FF"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Search strings employed combinations of the following controlled vocabulary and free-text terms: "oral–gut axis," "oral-gut microbiome," "periodontitis AND gut microbiota," "</w:t>
      </w:r>
      <w:r w:rsidRPr="00E36190">
        <w:rPr>
          <w:rFonts w:ascii="Times New Roman" w:eastAsia="Times New Roman" w:hAnsi="Times New Roman" w:cs="Times New Roman"/>
          <w:i/>
          <w:iCs/>
          <w:sz w:val="24"/>
          <w:szCs w:val="24"/>
          <w:lang w:val="en-US"/>
        </w:rPr>
        <w:t>Porphyromonas gingivalis</w:t>
      </w:r>
      <w:r w:rsidRPr="00E36190">
        <w:rPr>
          <w:rFonts w:ascii="Times New Roman" w:eastAsia="Times New Roman" w:hAnsi="Times New Roman" w:cs="Times New Roman"/>
          <w:sz w:val="24"/>
          <w:szCs w:val="24"/>
          <w:lang w:val="en-US"/>
        </w:rPr>
        <w:t xml:space="preserve"> AND intestinal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w:t>
      </w:r>
      <w:r w:rsidRPr="00E36190">
        <w:rPr>
          <w:rFonts w:ascii="Times New Roman" w:eastAsia="Times New Roman" w:hAnsi="Times New Roman" w:cs="Times New Roman"/>
          <w:i/>
          <w:iCs/>
          <w:sz w:val="24"/>
          <w:szCs w:val="24"/>
          <w:lang w:val="en-US"/>
        </w:rPr>
        <w:t xml:space="preserve">Fusobacterium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AND colorectal cancer," "microbial translocation AND periodontitis," "oral pathobionts AND gut dysbiosis," "periodontal therapy AND gut microbiome," "inflammatory bowel disease AND </w:t>
      </w:r>
      <w:r w:rsidRPr="00E36190">
        <w:rPr>
          <w:rFonts w:ascii="Times New Roman" w:eastAsia="Times New Roman" w:hAnsi="Times New Roman" w:cs="Times New Roman"/>
          <w:sz w:val="24"/>
          <w:szCs w:val="24"/>
          <w:lang w:val="en-US"/>
        </w:rPr>
        <w:lastRenderedPageBreak/>
        <w:t>periodontitis," "oral microbiota AND systemic disease,"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resistance AND oral bacteria," and "tight junction AND periodontal pathogens." Boolean operators (AND, OR, NOT) were applied systematically to refine each search, and truncation symbols were used to capture variant terminologies.</w:t>
      </w:r>
    </w:p>
    <w:p w14:paraId="205EA14D"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2.2 Inclusion and Exclusion Criteria</w:t>
      </w:r>
    </w:p>
    <w:p w14:paraId="695ED772"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Studies were included if they fulfilled the following criteria: (</w:t>
      </w:r>
      <w:proofErr w:type="spellStart"/>
      <w:r w:rsidRPr="00E36190">
        <w:rPr>
          <w:rFonts w:ascii="Times New Roman" w:eastAsia="Times New Roman" w:hAnsi="Times New Roman" w:cs="Times New Roman"/>
          <w:sz w:val="24"/>
          <w:szCs w:val="24"/>
          <w:lang w:val="en-US"/>
        </w:rPr>
        <w:t>i</w:t>
      </w:r>
      <w:proofErr w:type="spellEnd"/>
      <w:r w:rsidRPr="00E36190">
        <w:rPr>
          <w:rFonts w:ascii="Times New Roman" w:eastAsia="Times New Roman" w:hAnsi="Times New Roman" w:cs="Times New Roman"/>
          <w:sz w:val="24"/>
          <w:szCs w:val="24"/>
          <w:lang w:val="en-US"/>
        </w:rPr>
        <w:t xml:space="preserve">) peer-reviewed publication in an indexed academic journal; (ii) direct relevance to the mechanisms, clinical consequences, or therapeutic modulation of the oral–gut microbial translocation axis in the context of periodontitis; (iii) employing human subjects, animal models, or in vitro systems with interpretive relevance to the research questions; and (iv) publication within the specified date range, with supplementary inclusion of seminal pre-2015 studies where their contribution to mechanistic understanding was considered foundational. Exclusion criteria encompassed: grey literature, book chapters, conference abstracts, patents, trade publications, and non-peer-reviewed commentaries. Studies addressing systemic associations mediated exclusively through </w:t>
      </w:r>
      <w:proofErr w:type="spellStart"/>
      <w:r w:rsidRPr="00E36190">
        <w:rPr>
          <w:rFonts w:ascii="Times New Roman" w:eastAsia="Times New Roman" w:hAnsi="Times New Roman" w:cs="Times New Roman"/>
          <w:sz w:val="24"/>
          <w:szCs w:val="24"/>
          <w:lang w:val="en-US"/>
        </w:rPr>
        <w:t>bacteraemia</w:t>
      </w:r>
      <w:proofErr w:type="spellEnd"/>
      <w:r w:rsidRPr="00E36190">
        <w:rPr>
          <w:rFonts w:ascii="Times New Roman" w:eastAsia="Times New Roman" w:hAnsi="Times New Roman" w:cs="Times New Roman"/>
          <w:sz w:val="24"/>
          <w:szCs w:val="24"/>
          <w:lang w:val="en-US"/>
        </w:rPr>
        <w:t>, without reference to the gut pathway, were generally excluded unless they provided essential contextual information.</w:t>
      </w:r>
    </w:p>
    <w:p w14:paraId="767C0D66"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2.3 Screening Workflow and Duplicate Handling</w:t>
      </w:r>
    </w:p>
    <w:p w14:paraId="101AEBDB"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Retrieved records were initially screened by title and abstract, followed by full-text assessment of potentially eligible papers. Duplicates identified across databases were removed prior to screening. Where multiple papers from a single research group addressed closely related topics, the most methodologically rigorous or most recent version was preferentially selected to avoid redundancy. Influential older studies (published before 2015) were identified through forward and backward citation analysis of included papers and were included as supplementary references to </w:t>
      </w:r>
      <w:proofErr w:type="spellStart"/>
      <w:r w:rsidRPr="00E36190">
        <w:rPr>
          <w:rFonts w:ascii="Times New Roman" w:eastAsia="Times New Roman" w:hAnsi="Times New Roman" w:cs="Times New Roman"/>
          <w:sz w:val="24"/>
          <w:szCs w:val="24"/>
          <w:lang w:val="en-US"/>
        </w:rPr>
        <w:t>contextualise</w:t>
      </w:r>
      <w:proofErr w:type="spellEnd"/>
      <w:r w:rsidRPr="00E36190">
        <w:rPr>
          <w:rFonts w:ascii="Times New Roman" w:eastAsia="Times New Roman" w:hAnsi="Times New Roman" w:cs="Times New Roman"/>
          <w:sz w:val="24"/>
          <w:szCs w:val="24"/>
          <w:lang w:val="en-US"/>
        </w:rPr>
        <w:t xml:space="preserve"> pivotal mechanistic discoveries.</w:t>
      </w:r>
    </w:p>
    <w:p w14:paraId="73D6F650"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2.4 Rationale for Narrative Review Approach</w:t>
      </w:r>
    </w:p>
    <w:p w14:paraId="18B45F6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narrative rather than systematic review approach was adopted for this article on the grounds that the field spans heterogeneous study designs—including gnotobiotic animal experiments, human observational cohorts, </w:t>
      </w:r>
      <w:proofErr w:type="spellStart"/>
      <w:r w:rsidRPr="00E36190">
        <w:rPr>
          <w:rFonts w:ascii="Times New Roman" w:eastAsia="Times New Roman" w:hAnsi="Times New Roman" w:cs="Times New Roman"/>
          <w:sz w:val="24"/>
          <w:szCs w:val="24"/>
          <w:lang w:val="en-US"/>
        </w:rPr>
        <w:t>randomised</w:t>
      </w:r>
      <w:proofErr w:type="spellEnd"/>
      <w:r w:rsidRPr="00E36190">
        <w:rPr>
          <w:rFonts w:ascii="Times New Roman" w:eastAsia="Times New Roman" w:hAnsi="Times New Roman" w:cs="Times New Roman"/>
          <w:sz w:val="24"/>
          <w:szCs w:val="24"/>
          <w:lang w:val="en-US"/>
        </w:rPr>
        <w:t xml:space="preserve"> clinical trials, and multi-omics analyses—that resist aggregation under formal meta-analytic protocols</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sz w:val="24"/>
          <w:szCs w:val="24"/>
          <w:lang w:val="en-US"/>
        </w:rPr>
        <w:t>Sukhera</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sz w:val="24"/>
          <w:szCs w:val="24"/>
          <w:lang w:val="en-US"/>
        </w:rPr>
        <w:t>2022</w:t>
      </w:r>
      <w:r>
        <w:rPr>
          <w:rFonts w:ascii="Times New Roman" w:eastAsia="Times New Roman" w:hAnsi="Times New Roman" w:cs="Times New Roman"/>
          <w:sz w:val="24"/>
          <w:szCs w:val="24"/>
          <w:lang w:val="en-US"/>
        </w:rPr>
        <w:t>)</w:t>
      </w:r>
      <w:r w:rsidRPr="00E36190">
        <w:rPr>
          <w:rFonts w:ascii="Times New Roman" w:eastAsia="Times New Roman" w:hAnsi="Times New Roman" w:cs="Times New Roman"/>
          <w:sz w:val="24"/>
          <w:szCs w:val="24"/>
          <w:lang w:val="en-US"/>
        </w:rPr>
        <w:t xml:space="preserve">. This approach permits integration of mechanistic and clinical evidence streams in a manner appropriate to the rapidly evolving state of knowledge in this area, in keeping with the conduct of comparable narrative reviews addressing the same oral–gut axis literature (Sulaiman et al., 2024). The narrative synthesis </w:t>
      </w:r>
      <w:proofErr w:type="spellStart"/>
      <w:r w:rsidRPr="00E36190">
        <w:rPr>
          <w:rFonts w:ascii="Times New Roman" w:eastAsia="Times New Roman" w:hAnsi="Times New Roman" w:cs="Times New Roman"/>
          <w:sz w:val="24"/>
          <w:szCs w:val="24"/>
          <w:lang w:val="en-US"/>
        </w:rPr>
        <w:t>prioritises</w:t>
      </w:r>
      <w:proofErr w:type="spellEnd"/>
      <w:r w:rsidRPr="00E36190">
        <w:rPr>
          <w:rFonts w:ascii="Times New Roman" w:eastAsia="Times New Roman" w:hAnsi="Times New Roman" w:cs="Times New Roman"/>
          <w:sz w:val="24"/>
          <w:szCs w:val="24"/>
          <w:lang w:val="en-US"/>
        </w:rPr>
        <w:t xml:space="preserve"> methodological </w:t>
      </w:r>
      <w:proofErr w:type="spellStart"/>
      <w:r w:rsidRPr="00E36190">
        <w:rPr>
          <w:rFonts w:ascii="Times New Roman" w:eastAsia="Times New Roman" w:hAnsi="Times New Roman" w:cs="Times New Roman"/>
          <w:sz w:val="24"/>
          <w:szCs w:val="24"/>
          <w:lang w:val="en-US"/>
        </w:rPr>
        <w:t>rigour</w:t>
      </w:r>
      <w:proofErr w:type="spellEnd"/>
      <w:r w:rsidRPr="00E36190">
        <w:rPr>
          <w:rFonts w:ascii="Times New Roman" w:eastAsia="Times New Roman" w:hAnsi="Times New Roman" w:cs="Times New Roman"/>
          <w:sz w:val="24"/>
          <w:szCs w:val="24"/>
          <w:lang w:val="en-US"/>
        </w:rPr>
        <w:t xml:space="preserve"> in the appraisal of individual studies while acknowledging the inherent limitations of subjective evidence integration.</w:t>
      </w:r>
    </w:p>
    <w:p w14:paraId="5ABC2A69"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7FB3E8FD"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3. The Oral Microbiome in Periodontitis: Dysbiosis and Keystone Pathogens</w:t>
      </w:r>
    </w:p>
    <w:p w14:paraId="33FE32DD"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3.1 From Homeostasis to Dysbiosis</w:t>
      </w:r>
    </w:p>
    <w:p w14:paraId="39F212FD"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In a periodontally healthy individual, the subgingival microbiome is dominated by Gram-positive aerobic and facultatively anaerobic taxa—including </w:t>
      </w:r>
      <w:r w:rsidRPr="00E36190">
        <w:rPr>
          <w:rFonts w:ascii="Times New Roman" w:eastAsia="Times New Roman" w:hAnsi="Times New Roman" w:cs="Times New Roman"/>
          <w:i/>
          <w:iCs/>
          <w:sz w:val="24"/>
          <w:szCs w:val="24"/>
          <w:lang w:val="en-US"/>
        </w:rPr>
        <w:t>Streptococcus</w:t>
      </w:r>
      <w:r w:rsidRPr="00E36190">
        <w:rPr>
          <w:rFonts w:ascii="Times New Roman" w:eastAsia="Times New Roman" w:hAnsi="Times New Roman" w:cs="Times New Roman"/>
          <w:sz w:val="24"/>
          <w:szCs w:val="24"/>
          <w:lang w:val="en-US"/>
        </w:rPr>
        <w:t xml:space="preserve"> spp., </w:t>
      </w:r>
      <w:r w:rsidRPr="00E36190">
        <w:rPr>
          <w:rFonts w:ascii="Times New Roman" w:eastAsia="Times New Roman" w:hAnsi="Times New Roman" w:cs="Times New Roman"/>
          <w:i/>
          <w:iCs/>
          <w:sz w:val="24"/>
          <w:szCs w:val="24"/>
          <w:lang w:val="en-US"/>
        </w:rPr>
        <w:t>Actinomyces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sz w:val="24"/>
          <w:szCs w:val="24"/>
          <w:lang w:val="en-US"/>
        </w:rPr>
        <w:lastRenderedPageBreak/>
        <w:t xml:space="preserve">spp., and </w:t>
      </w:r>
      <w:proofErr w:type="spellStart"/>
      <w:r w:rsidRPr="00E36190">
        <w:rPr>
          <w:rFonts w:ascii="Times New Roman" w:eastAsia="Times New Roman" w:hAnsi="Times New Roman" w:cs="Times New Roman"/>
          <w:i/>
          <w:iCs/>
          <w:sz w:val="24"/>
          <w:szCs w:val="24"/>
          <w:lang w:val="en-US"/>
        </w:rPr>
        <w:t>Rothia</w:t>
      </w:r>
      <w:proofErr w:type="spellEnd"/>
      <w:r w:rsidRPr="00E36190">
        <w:rPr>
          <w:rFonts w:ascii="Times New Roman" w:eastAsia="Times New Roman" w:hAnsi="Times New Roman" w:cs="Times New Roman"/>
          <w:sz w:val="24"/>
          <w:szCs w:val="24"/>
          <w:lang w:val="en-US"/>
        </w:rPr>
        <w:t xml:space="preserve"> spp.—that are metabolically compatible with the oxidative environment of shallow gingival crevices. The onset and progression of periodontitis is </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not merely by an increase in microbial biomass but, more critically, by a qualitative shift in community structure towards a </w:t>
      </w:r>
      <w:proofErr w:type="gramStart"/>
      <w:r w:rsidRPr="00E36190">
        <w:rPr>
          <w:rFonts w:ascii="Times New Roman" w:eastAsia="Times New Roman" w:hAnsi="Times New Roman" w:cs="Times New Roman"/>
          <w:sz w:val="24"/>
          <w:szCs w:val="24"/>
          <w:lang w:val="en-US"/>
        </w:rPr>
        <w:t>consortia</w:t>
      </w:r>
      <w:proofErr w:type="gramEnd"/>
      <w:r w:rsidRPr="00E36190">
        <w:rPr>
          <w:rFonts w:ascii="Times New Roman" w:eastAsia="Times New Roman" w:hAnsi="Times New Roman" w:cs="Times New Roman"/>
          <w:sz w:val="24"/>
          <w:szCs w:val="24"/>
          <w:lang w:val="en-US"/>
        </w:rPr>
        <w:t xml:space="preserve"> dominated by anaerobic, proteolytic, Gram-negative species. This ecological shift, termed dysbiosis, is driven by feedback interactions between the expanding microbial community and a dysregulated host inflammatory response. Early work classified the pathogens most strongly associated with disease progression into the "red complex"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i/>
          <w:iCs/>
          <w:sz w:val="24"/>
          <w:szCs w:val="24"/>
          <w:lang w:val="en-US"/>
        </w:rPr>
        <w:t>Tannerella</w:t>
      </w:r>
      <w:proofErr w:type="spellEnd"/>
      <w:r w:rsidRPr="00E36190">
        <w:rPr>
          <w:rFonts w:ascii="Times New Roman" w:eastAsia="Times New Roman" w:hAnsi="Times New Roman" w:cs="Times New Roman"/>
          <w:i/>
          <w:iCs/>
          <w:sz w:val="24"/>
          <w:szCs w:val="24"/>
          <w:lang w:val="en-US"/>
        </w:rPr>
        <w:t xml:space="preserve"> forsythia</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 xml:space="preserve">Treponema </w:t>
      </w:r>
      <w:proofErr w:type="spellStart"/>
      <w:r w:rsidRPr="00E36190">
        <w:rPr>
          <w:rFonts w:ascii="Times New Roman" w:eastAsia="Times New Roman" w:hAnsi="Times New Roman" w:cs="Times New Roman"/>
          <w:i/>
          <w:iCs/>
          <w:sz w:val="24"/>
          <w:szCs w:val="24"/>
          <w:lang w:val="en-US"/>
        </w:rPr>
        <w:t>denticola</w:t>
      </w:r>
      <w:proofErr w:type="spellEnd"/>
      <w:r w:rsidRPr="00E36190">
        <w:rPr>
          <w:rFonts w:ascii="Times New Roman" w:eastAsia="Times New Roman" w:hAnsi="Times New Roman" w:cs="Times New Roman"/>
          <w:sz w:val="24"/>
          <w:szCs w:val="24"/>
          <w:lang w:val="en-US"/>
        </w:rPr>
        <w:t>) and "orange complex" (</w:t>
      </w:r>
      <w:r w:rsidRPr="00E36190">
        <w:rPr>
          <w:rFonts w:ascii="Times New Roman" w:eastAsia="Times New Roman" w:hAnsi="Times New Roman" w:cs="Times New Roman"/>
          <w:i/>
          <w:iCs/>
          <w:sz w:val="24"/>
          <w:szCs w:val="24"/>
          <w:lang w:val="en-US"/>
        </w:rPr>
        <w:t xml:space="preserve">Fusobacterium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i/>
          <w:iCs/>
          <w:sz w:val="24"/>
          <w:szCs w:val="24"/>
          <w:lang w:val="en-US"/>
        </w:rPr>
        <w:t>Prevotella</w:t>
      </w:r>
      <w:proofErr w:type="spellEnd"/>
      <w:r w:rsidRPr="00E36190">
        <w:rPr>
          <w:rFonts w:ascii="Times New Roman" w:eastAsia="Times New Roman" w:hAnsi="Times New Roman" w:cs="Times New Roman"/>
          <w:i/>
          <w:iCs/>
          <w:sz w:val="24"/>
          <w:szCs w:val="24"/>
          <w:lang w:val="en-US"/>
        </w:rPr>
        <w:t xml:space="preserve"> intermedia</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Campylobacter rectus</w:t>
      </w:r>
      <w:r w:rsidRPr="00E36190">
        <w:rPr>
          <w:rFonts w:ascii="Times New Roman" w:eastAsia="Times New Roman" w:hAnsi="Times New Roman" w:cs="Times New Roman"/>
          <w:sz w:val="24"/>
          <w:szCs w:val="24"/>
          <w:lang w:val="en-US"/>
        </w:rPr>
        <w:t>) (Kinane et al., 2017).</w:t>
      </w:r>
    </w:p>
    <w:p w14:paraId="16CF516C"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paradigmatic shift in the understanding of periodontitis </w:t>
      </w:r>
      <w:proofErr w:type="spellStart"/>
      <w:r w:rsidRPr="00E36190">
        <w:rPr>
          <w:rFonts w:ascii="Times New Roman" w:eastAsia="Times New Roman" w:hAnsi="Times New Roman" w:cs="Times New Roman"/>
          <w:sz w:val="24"/>
          <w:szCs w:val="24"/>
          <w:lang w:val="en-US"/>
        </w:rPr>
        <w:t>aetiology</w:t>
      </w:r>
      <w:proofErr w:type="spellEnd"/>
      <w:r w:rsidRPr="00E36190">
        <w:rPr>
          <w:rFonts w:ascii="Times New Roman" w:eastAsia="Times New Roman" w:hAnsi="Times New Roman" w:cs="Times New Roman"/>
          <w:sz w:val="24"/>
          <w:szCs w:val="24"/>
          <w:lang w:val="en-US"/>
        </w:rPr>
        <w:t xml:space="preserve"> came with the recognition of keystone pathogens—low-abundance species capable of </w:t>
      </w:r>
      <w:proofErr w:type="spellStart"/>
      <w:r w:rsidRPr="00E36190">
        <w:rPr>
          <w:rFonts w:ascii="Times New Roman" w:eastAsia="Times New Roman" w:hAnsi="Times New Roman" w:cs="Times New Roman"/>
          <w:sz w:val="24"/>
          <w:szCs w:val="24"/>
          <w:lang w:val="en-US"/>
        </w:rPr>
        <w:t>remodelling</w:t>
      </w:r>
      <w:proofErr w:type="spellEnd"/>
      <w:r w:rsidRPr="00E36190">
        <w:rPr>
          <w:rFonts w:ascii="Times New Roman" w:eastAsia="Times New Roman" w:hAnsi="Times New Roman" w:cs="Times New Roman"/>
          <w:sz w:val="24"/>
          <w:szCs w:val="24"/>
          <w:lang w:val="en-US"/>
        </w:rPr>
        <w:t xml:space="preserve"> the entire community to a </w:t>
      </w:r>
      <w:proofErr w:type="spellStart"/>
      <w:r w:rsidRPr="00E36190">
        <w:rPr>
          <w:rFonts w:ascii="Times New Roman" w:eastAsia="Times New Roman" w:hAnsi="Times New Roman" w:cs="Times New Roman"/>
          <w:sz w:val="24"/>
          <w:szCs w:val="24"/>
          <w:lang w:val="en-US"/>
        </w:rPr>
        <w:t>dysbiotic</w:t>
      </w:r>
      <w:proofErr w:type="spellEnd"/>
      <w:r w:rsidRPr="00E36190">
        <w:rPr>
          <w:rFonts w:ascii="Times New Roman" w:eastAsia="Times New Roman" w:hAnsi="Times New Roman" w:cs="Times New Roman"/>
          <w:sz w:val="24"/>
          <w:szCs w:val="24"/>
          <w:lang w:val="en-US"/>
        </w:rPr>
        <w:t xml:space="preserve"> state.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is the most extensively studied keystone pathogen; it exerts this influence through evasion of complement-mediated killing, manipulation of toll-like receptor (TLR) </w:t>
      </w:r>
      <w:proofErr w:type="spellStart"/>
      <w:r w:rsidRPr="00E36190">
        <w:rPr>
          <w:rFonts w:ascii="Times New Roman" w:eastAsia="Times New Roman" w:hAnsi="Times New Roman" w:cs="Times New Roman"/>
          <w:sz w:val="24"/>
          <w:szCs w:val="24"/>
          <w:lang w:val="en-US"/>
        </w:rPr>
        <w:t>signalling</w:t>
      </w:r>
      <w:proofErr w:type="spellEnd"/>
      <w:r w:rsidRPr="00E36190">
        <w:rPr>
          <w:rFonts w:ascii="Times New Roman" w:eastAsia="Times New Roman" w:hAnsi="Times New Roman" w:cs="Times New Roman"/>
          <w:sz w:val="24"/>
          <w:szCs w:val="24"/>
          <w:lang w:val="en-US"/>
        </w:rPr>
        <w:t xml:space="preserve">, and selective suppression of neutrophil recruitment, thereby creating a nutrient-rich, anaerobic niche that </w:t>
      </w:r>
      <w:proofErr w:type="spellStart"/>
      <w:r w:rsidRPr="00E36190">
        <w:rPr>
          <w:rFonts w:ascii="Times New Roman" w:eastAsia="Times New Roman" w:hAnsi="Times New Roman" w:cs="Times New Roman"/>
          <w:sz w:val="24"/>
          <w:szCs w:val="24"/>
          <w:lang w:val="en-US"/>
        </w:rPr>
        <w:t>favours</w:t>
      </w:r>
      <w:proofErr w:type="spellEnd"/>
      <w:r w:rsidRPr="00E36190">
        <w:rPr>
          <w:rFonts w:ascii="Times New Roman" w:eastAsia="Times New Roman" w:hAnsi="Times New Roman" w:cs="Times New Roman"/>
          <w:sz w:val="24"/>
          <w:szCs w:val="24"/>
          <w:lang w:val="en-US"/>
        </w:rPr>
        <w:t xml:space="preserve"> the expansion of a cumulatively </w:t>
      </w:r>
      <w:proofErr w:type="spellStart"/>
      <w:r w:rsidRPr="00E36190">
        <w:rPr>
          <w:rFonts w:ascii="Times New Roman" w:eastAsia="Times New Roman" w:hAnsi="Times New Roman" w:cs="Times New Roman"/>
          <w:sz w:val="24"/>
          <w:szCs w:val="24"/>
          <w:lang w:val="en-US"/>
        </w:rPr>
        <w:t>dysbiotic</w:t>
      </w:r>
      <w:proofErr w:type="spellEnd"/>
      <w:r w:rsidRPr="00E36190">
        <w:rPr>
          <w:rFonts w:ascii="Times New Roman" w:eastAsia="Times New Roman" w:hAnsi="Times New Roman" w:cs="Times New Roman"/>
          <w:sz w:val="24"/>
          <w:szCs w:val="24"/>
          <w:lang w:val="en-US"/>
        </w:rPr>
        <w:t xml:space="preserve"> community (</w:t>
      </w:r>
      <w:proofErr w:type="spellStart"/>
      <w:r w:rsidRPr="00E36190">
        <w:rPr>
          <w:rFonts w:ascii="Times New Roman" w:eastAsia="Times New Roman" w:hAnsi="Times New Roman" w:cs="Times New Roman"/>
          <w:sz w:val="24"/>
          <w:szCs w:val="24"/>
          <w:lang w:val="en-US"/>
        </w:rPr>
        <w:t>Hajishengallis</w:t>
      </w:r>
      <w:proofErr w:type="spellEnd"/>
      <w:r w:rsidRPr="00E36190">
        <w:rPr>
          <w:rFonts w:ascii="Times New Roman" w:eastAsia="Times New Roman" w:hAnsi="Times New Roman" w:cs="Times New Roman"/>
          <w:sz w:val="24"/>
          <w:szCs w:val="24"/>
          <w:lang w:val="en-US"/>
        </w:rPr>
        <w:t xml:space="preserve">, 2015). The concept of keystone pathogenicity is critical to understanding why oral pathogens can exert systemic effects disproportionate to their local abundance. This review focuses particularly on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as the two periodontal pathogens with the most robust body of evidence linking them to the oral–gut translocation axis.</w:t>
      </w:r>
    </w:p>
    <w:p w14:paraId="2A736A16"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3.2 Microbiological Signatures of Periodontitis</w:t>
      </w:r>
    </w:p>
    <w:p w14:paraId="28B99D45"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Clinical studies employing 16S ribosomal RNA gene amplicon sequencing have consistently demonstrated that the subgingival microbiome in periodontitis is </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by reduced alpha diversity, enrichment of anaerobic Gram-negative taxa, and depletion of health-associated commensals. At the gut level, patients with severe periodontitis display alterations in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microbial composition compared to periodontally healthy controls, including enrichment of </w:t>
      </w:r>
      <w:r w:rsidRPr="00E36190">
        <w:rPr>
          <w:rFonts w:ascii="Times New Roman" w:eastAsia="Times New Roman" w:hAnsi="Times New Roman" w:cs="Times New Roman"/>
          <w:i/>
          <w:iCs/>
          <w:sz w:val="24"/>
          <w:szCs w:val="24"/>
          <w:lang w:val="en-US"/>
        </w:rPr>
        <w:t>Proteobacteria</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Fusobacteria</w:t>
      </w:r>
      <w:r w:rsidRPr="00E36190">
        <w:rPr>
          <w:rFonts w:ascii="Times New Roman" w:eastAsia="Times New Roman" w:hAnsi="Times New Roman" w:cs="Times New Roman"/>
          <w:sz w:val="24"/>
          <w:szCs w:val="24"/>
          <w:lang w:val="en-US"/>
        </w:rPr>
        <w:t xml:space="preserve"> and a reduction in butyrate-producing taxa such as </w:t>
      </w:r>
      <w:proofErr w:type="spellStart"/>
      <w:r w:rsidRPr="00E36190">
        <w:rPr>
          <w:rFonts w:ascii="Times New Roman" w:eastAsia="Times New Roman" w:hAnsi="Times New Roman" w:cs="Times New Roman"/>
          <w:i/>
          <w:iCs/>
          <w:sz w:val="24"/>
          <w:szCs w:val="24"/>
          <w:lang w:val="en-US"/>
        </w:rPr>
        <w:t>Faecalibacterium</w:t>
      </w:r>
      <w:proofErr w:type="spellEnd"/>
      <w:r w:rsidRPr="00E36190">
        <w:rPr>
          <w:rFonts w:ascii="Times New Roman" w:eastAsia="Times New Roman" w:hAnsi="Times New Roman" w:cs="Times New Roman"/>
          <w:sz w:val="24"/>
          <w:szCs w:val="24"/>
          <w:lang w:val="en-US"/>
        </w:rPr>
        <w:t xml:space="preserve"> and </w:t>
      </w:r>
      <w:proofErr w:type="spellStart"/>
      <w:r w:rsidRPr="00E36190">
        <w:rPr>
          <w:rFonts w:ascii="Times New Roman" w:eastAsia="Times New Roman" w:hAnsi="Times New Roman" w:cs="Times New Roman"/>
          <w:i/>
          <w:iCs/>
          <w:sz w:val="24"/>
          <w:szCs w:val="24"/>
          <w:lang w:val="en-US"/>
        </w:rPr>
        <w:t>Roseburia</w:t>
      </w:r>
      <w:proofErr w:type="spellEnd"/>
      <w:r w:rsidRPr="00E36190">
        <w:rPr>
          <w:rFonts w:ascii="Times New Roman" w:eastAsia="Times New Roman" w:hAnsi="Times New Roman" w:cs="Times New Roman"/>
          <w:sz w:val="24"/>
          <w:szCs w:val="24"/>
          <w:lang w:val="en-US"/>
        </w:rPr>
        <w:t xml:space="preserve"> (Kawamoto et al., 2021). A preliminary clinical study by Kawamoto et al. (2021) directly demonstrated that oral dysbiosis in severe periodontitis is significantly associated with gut dysbiosis, and that the abundance of oral pathobionts in subgingival sites is positively correlated with levels of salivary inflammatory mediators including interleukin-6 (IL-6) and chemokine CCL2. This bidirectional </w:t>
      </w:r>
      <w:proofErr w:type="spellStart"/>
      <w:r w:rsidRPr="00E36190">
        <w:rPr>
          <w:rFonts w:ascii="Times New Roman" w:eastAsia="Times New Roman" w:hAnsi="Times New Roman" w:cs="Times New Roman"/>
          <w:sz w:val="24"/>
          <w:szCs w:val="24"/>
          <w:lang w:val="en-US"/>
        </w:rPr>
        <w:t>dysbiotic</w:t>
      </w:r>
      <w:proofErr w:type="spellEnd"/>
      <w:r w:rsidRPr="00E36190">
        <w:rPr>
          <w:rFonts w:ascii="Times New Roman" w:eastAsia="Times New Roman" w:hAnsi="Times New Roman" w:cs="Times New Roman"/>
          <w:sz w:val="24"/>
          <w:szCs w:val="24"/>
          <w:lang w:val="en-US"/>
        </w:rPr>
        <w:t xml:space="preserve"> resonance forms the clinical foundation for mechanistic hypotheses regarding the oral–gut axis.</w:t>
      </w:r>
    </w:p>
    <w:p w14:paraId="73D31A48"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04A44188"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4. Mechanisms of Oral-to-Gut Microbial Translocation</w:t>
      </w:r>
    </w:p>
    <w:p w14:paraId="2C72BE2C"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4.1 The Salivary Route and Gastric Survival</w:t>
      </w:r>
    </w:p>
    <w:p w14:paraId="48F66790"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primary anatomical route through which oral bacteria reach the gastrointestinal tract is ingestion with saliva and food particles. It is estimated that humans swallow approximately 1.5 </w:t>
      </w:r>
      <w:proofErr w:type="spellStart"/>
      <w:r w:rsidRPr="00E36190">
        <w:rPr>
          <w:rFonts w:ascii="Times New Roman" w:eastAsia="Times New Roman" w:hAnsi="Times New Roman" w:cs="Times New Roman"/>
          <w:sz w:val="24"/>
          <w:szCs w:val="24"/>
          <w:lang w:val="en-US"/>
        </w:rPr>
        <w:t>litres</w:t>
      </w:r>
      <w:proofErr w:type="spellEnd"/>
      <w:r w:rsidRPr="00E36190">
        <w:rPr>
          <w:rFonts w:ascii="Times New Roman" w:eastAsia="Times New Roman" w:hAnsi="Times New Roman" w:cs="Times New Roman"/>
          <w:sz w:val="24"/>
          <w:szCs w:val="24"/>
          <w:lang w:val="en-US"/>
        </w:rPr>
        <w:t xml:space="preserve"> of saliva daily, a volume that carries a substantial bacterial load (</w:t>
      </w:r>
      <w:proofErr w:type="spellStart"/>
      <w:r w:rsidRPr="00E36190">
        <w:rPr>
          <w:rFonts w:ascii="Times New Roman" w:eastAsia="Times New Roman" w:hAnsi="Times New Roman" w:cs="Times New Roman"/>
          <w:sz w:val="24"/>
          <w:szCs w:val="24"/>
          <w:lang w:val="en-US"/>
        </w:rPr>
        <w:t>Atarashi</w:t>
      </w:r>
      <w:proofErr w:type="spellEnd"/>
      <w:r w:rsidRPr="00E36190">
        <w:rPr>
          <w:rFonts w:ascii="Times New Roman" w:eastAsia="Times New Roman" w:hAnsi="Times New Roman" w:cs="Times New Roman"/>
          <w:sz w:val="24"/>
          <w:szCs w:val="24"/>
          <w:lang w:val="en-US"/>
        </w:rPr>
        <w:t xml:space="preserve"> et al., 2017). In patients with untreated periodontitis, the total bacterial load in saliva is substantially elevated relative to healthy individuals, increasing the quantity of organisms delivered to the </w:t>
      </w:r>
      <w:r w:rsidRPr="00E36190">
        <w:rPr>
          <w:rFonts w:ascii="Times New Roman" w:eastAsia="Times New Roman" w:hAnsi="Times New Roman" w:cs="Times New Roman"/>
          <w:sz w:val="24"/>
          <w:szCs w:val="24"/>
          <w:lang w:val="en-US"/>
        </w:rPr>
        <w:lastRenderedPageBreak/>
        <w:t xml:space="preserve">gut per swallowing event (Xi et al., 2024). A principal biological barrier to this route is the acidic pH of the stomach, which effectively kills most swallowed organisms. However,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related Gram-negative anaerobes possess mucin-degrading capabilities and can form biofilms that confer partial protection against gastric acidity, enabling a subset of the swallowed community to survive passage into the small intestine and colon (Lu et al., 2023).</w:t>
      </w:r>
    </w:p>
    <w:p w14:paraId="2FEFE764"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landmark study by Nakajima et al. (2015) provided foundational experimental evidence for this process.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(strain W83) to C57BL/6 mice produced measurable changes in gut microbial community structure, upregulation of inflammatory gene expression in intestinal tissue, decreased expression of tight junction proteins (</w:t>
      </w:r>
      <w:proofErr w:type="spellStart"/>
      <w:r w:rsidRPr="00E36190">
        <w:rPr>
          <w:rFonts w:ascii="Times New Roman" w:eastAsia="Times New Roman" w:hAnsi="Times New Roman" w:cs="Times New Roman"/>
          <w:sz w:val="24"/>
          <w:szCs w:val="24"/>
          <w:lang w:val="en-US"/>
        </w:rPr>
        <w:t>occludin</w:t>
      </w:r>
      <w:proofErr w:type="spellEnd"/>
      <w:r w:rsidRPr="00E36190">
        <w:rPr>
          <w:rFonts w:ascii="Times New Roman" w:eastAsia="Times New Roman" w:hAnsi="Times New Roman" w:cs="Times New Roman"/>
          <w:sz w:val="24"/>
          <w:szCs w:val="24"/>
          <w:lang w:val="en-US"/>
        </w:rPr>
        <w:t xml:space="preserve"> and zonula occludens-1), and dissemination of enteric bacteria to the liver—all within a short time frame following a single oral inoculation. These observations were corroborated by subsequent murine studies demonstrating that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induces ileal inflammation and gut microbiota alteration via immunological mechanisms reliant on the altered microbiota rather than on direct mucosal invasion by the pathogen itself (Sohn et al., 2022). Together, these experiments firmly established that enteral translocation of periodontal pathogens is not merely theoretically possible but biologically consequential.</w:t>
      </w:r>
    </w:p>
    <w:p w14:paraId="218CA645"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Using full-length 16S rRNA gene amplicon sequencing with PacBio long-read technology combined with the amplicon sequence variant (ASV) approach—capable of resolving differences of as little as one nucleotide—Kageyama et al. (2023) examined 144 matched saliva and stool sample pairs from community-dwelling adults in Japan. The study confirmed the translocation of oral bacteria to the gut and identified poor periodontal status (specifically elevated probing depth and bleeding on probing) as a significant predictor of increased oral bacterial abundance in the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microbiome. This high-resolution study provided some of the most direct clinical evidence to date for the oral–gut translocation pathway in a non-experimental human population. Complementary work by </w:t>
      </w:r>
      <w:proofErr w:type="spellStart"/>
      <w:r w:rsidRPr="00E36190">
        <w:rPr>
          <w:rFonts w:ascii="Times New Roman" w:eastAsia="Times New Roman" w:hAnsi="Times New Roman" w:cs="Times New Roman"/>
          <w:sz w:val="24"/>
          <w:szCs w:val="24"/>
          <w:lang w:val="en-US"/>
        </w:rPr>
        <w:t>Buetas</w:t>
      </w:r>
      <w:proofErr w:type="spellEnd"/>
      <w:r w:rsidRPr="00E36190">
        <w:rPr>
          <w:rFonts w:ascii="Times New Roman" w:eastAsia="Times New Roman" w:hAnsi="Times New Roman" w:cs="Times New Roman"/>
          <w:sz w:val="24"/>
          <w:szCs w:val="24"/>
          <w:lang w:val="en-US"/>
        </w:rPr>
        <w:t xml:space="preserve"> et al. (2024), employing the same long-read sequencing approach in a case-control design comparing periodontitis patients and oral-healthy controls, demonstrated that the quantity of oral bacteria detectable in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samples was significantly greater in the periodontitis group, and that specific subgingival pathobionts were disproportionately represented among the translocated taxa.</w:t>
      </w:r>
    </w:p>
    <w:p w14:paraId="2BD36EB9"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 xml:space="preserve">4.2 Disruption of </w:t>
      </w:r>
      <w:proofErr w:type="spellStart"/>
      <w:r w:rsidRPr="00E36190">
        <w:rPr>
          <w:rFonts w:ascii="Times New Roman" w:eastAsia="Times New Roman" w:hAnsi="Times New Roman" w:cs="Times New Roman"/>
          <w:b/>
          <w:bCs/>
          <w:sz w:val="24"/>
          <w:szCs w:val="24"/>
          <w:lang w:val="en-US"/>
        </w:rPr>
        <w:t>Colonisation</w:t>
      </w:r>
      <w:proofErr w:type="spellEnd"/>
      <w:r w:rsidRPr="00E36190">
        <w:rPr>
          <w:rFonts w:ascii="Times New Roman" w:eastAsia="Times New Roman" w:hAnsi="Times New Roman" w:cs="Times New Roman"/>
          <w:b/>
          <w:bCs/>
          <w:sz w:val="24"/>
          <w:szCs w:val="24"/>
          <w:lang w:val="en-US"/>
        </w:rPr>
        <w:t xml:space="preserve"> Resistance</w:t>
      </w:r>
    </w:p>
    <w:p w14:paraId="694B77E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Under homeostatic conditions, the indigenous gut microbiome prevents the establishment of exogenous microorganisms through a phenomenon known as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resistance—a collective property mediated through competition for nutrients, production of antimicrobial peptides and secondary bile acids, and immune priming of intestinal epithelium. The elegant gnotobiotic experiments of </w:t>
      </w:r>
      <w:proofErr w:type="spellStart"/>
      <w:r w:rsidRPr="00E36190">
        <w:rPr>
          <w:rFonts w:ascii="Times New Roman" w:eastAsia="Times New Roman" w:hAnsi="Times New Roman" w:cs="Times New Roman"/>
          <w:sz w:val="24"/>
          <w:szCs w:val="24"/>
          <w:lang w:val="en-US"/>
        </w:rPr>
        <w:t>Atarashi</w:t>
      </w:r>
      <w:proofErr w:type="spellEnd"/>
      <w:r w:rsidRPr="00E36190">
        <w:rPr>
          <w:rFonts w:ascii="Times New Roman" w:eastAsia="Times New Roman" w:hAnsi="Times New Roman" w:cs="Times New Roman"/>
          <w:sz w:val="24"/>
          <w:szCs w:val="24"/>
          <w:lang w:val="en-US"/>
        </w:rPr>
        <w:t xml:space="preserve"> et al. (2017) demonstrated that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strains isolated from the saliva of patients with IBD were capable of </w:t>
      </w:r>
      <w:proofErr w:type="spellStart"/>
      <w:r w:rsidRPr="00E36190">
        <w:rPr>
          <w:rFonts w:ascii="Times New Roman" w:eastAsia="Times New Roman" w:hAnsi="Times New Roman" w:cs="Times New Roman"/>
          <w:sz w:val="24"/>
          <w:szCs w:val="24"/>
          <w:lang w:val="en-US"/>
        </w:rPr>
        <w:t>colonising</w:t>
      </w:r>
      <w:proofErr w:type="spellEnd"/>
      <w:r w:rsidRPr="00E36190">
        <w:rPr>
          <w:rFonts w:ascii="Times New Roman" w:eastAsia="Times New Roman" w:hAnsi="Times New Roman" w:cs="Times New Roman"/>
          <w:sz w:val="24"/>
          <w:szCs w:val="24"/>
          <w:lang w:val="en-US"/>
        </w:rPr>
        <w:t xml:space="preserve"> the intestine of germ-free mice and inducing robust Th1 cell responses. Critically, these strains failed to establish themselves in mice with an intact gut microbiome, confirming that disruption of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resistance is a prerequisite for successful ectopic gut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by oral bacteria. This finding has important clinical implications: patients with existing gut dysbiosis—including those with IBD, antibiotic exposure, metabolic disease, or ageing-associated microbiome depletion—are presumably more susceptible to oral pathobiont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of the gut.</w:t>
      </w:r>
    </w:p>
    <w:p w14:paraId="0F4320A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 extended this paradigm by demonstrating, in a murine periodontitis model, that inflammation of the oral mucosa fostered blooms of </w:t>
      </w:r>
      <w:r w:rsidRPr="00E36190">
        <w:rPr>
          <w:rFonts w:ascii="Times New Roman" w:eastAsia="Times New Roman" w:hAnsi="Times New Roman" w:cs="Times New Roman"/>
          <w:i/>
          <w:iCs/>
          <w:sz w:val="24"/>
          <w:szCs w:val="24"/>
          <w:lang w:val="en-US"/>
        </w:rPr>
        <w:t>Enterobacteriaceae</w:t>
      </w:r>
      <w:r w:rsidRPr="00E36190">
        <w:rPr>
          <w:rFonts w:ascii="Times New Roman" w:eastAsia="Times New Roman" w:hAnsi="Times New Roman" w:cs="Times New Roman"/>
          <w:sz w:val="24"/>
          <w:szCs w:val="24"/>
          <w:lang w:val="en-US"/>
        </w:rPr>
        <w:t xml:space="preserve"> (specifically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Enterobacter</w:t>
      </w:r>
      <w:r w:rsidRPr="00E36190">
        <w:rPr>
          <w:rFonts w:ascii="Times New Roman" w:eastAsia="Times New Roman" w:hAnsi="Times New Roman" w:cs="Times New Roman"/>
          <w:sz w:val="24"/>
          <w:szCs w:val="24"/>
          <w:lang w:val="en-US"/>
        </w:rPr>
        <w:t xml:space="preserve"> spp.) in the oral cavity that were subsequently </w:t>
      </w:r>
      <w:r w:rsidRPr="00E36190">
        <w:rPr>
          <w:rFonts w:ascii="Times New Roman" w:eastAsia="Times New Roman" w:hAnsi="Times New Roman" w:cs="Times New Roman"/>
          <w:sz w:val="24"/>
          <w:szCs w:val="24"/>
          <w:lang w:val="en-US"/>
        </w:rPr>
        <w:lastRenderedPageBreak/>
        <w:t>ingested and translocated to the gut. Once in the inflamed colon, these translocated oral pathobionts activated the NLRP3 inflammasome in colonic mononuclear phagocytes, triggering further intestinal inflammation. In parallel, periodontitis generated gut-tropic Th17 cells in the oral mucosa that migrated to the inflamed gut, where they were re-activated specifically by the translocated oral pathobionts—not by resident gut commensals—and triggered colitis. This dual mechanism (microbial translocation plus T-cell migration) represented a conceptually important advance in understanding how the oral cavity communicates pathologically with the intestine.</w:t>
      </w:r>
    </w:p>
    <w:p w14:paraId="1D484A56"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4.3 Tight Junction Impairment and Increased Intestinal Permeability</w:t>
      </w:r>
    </w:p>
    <w:p w14:paraId="79588A6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pivotal molecular consequence of oral pathobiont translocation is the degradation of intestinal epithelial tight junction (TJ) integrity. Tight junctions, comprising proteins such as claudins, </w:t>
      </w:r>
      <w:proofErr w:type="spellStart"/>
      <w:r w:rsidRPr="00E36190">
        <w:rPr>
          <w:rFonts w:ascii="Times New Roman" w:eastAsia="Times New Roman" w:hAnsi="Times New Roman" w:cs="Times New Roman"/>
          <w:sz w:val="24"/>
          <w:szCs w:val="24"/>
          <w:lang w:val="en-US"/>
        </w:rPr>
        <w:t>occludin</w:t>
      </w:r>
      <w:proofErr w:type="spellEnd"/>
      <w:r w:rsidRPr="00E36190">
        <w:rPr>
          <w:rFonts w:ascii="Times New Roman" w:eastAsia="Times New Roman" w:hAnsi="Times New Roman" w:cs="Times New Roman"/>
          <w:sz w:val="24"/>
          <w:szCs w:val="24"/>
          <w:lang w:val="en-US"/>
        </w:rPr>
        <w:t xml:space="preserve">, and zonula </w:t>
      </w:r>
      <w:proofErr w:type="spellStart"/>
      <w:r w:rsidRPr="00E36190">
        <w:rPr>
          <w:rFonts w:ascii="Times New Roman" w:eastAsia="Times New Roman" w:hAnsi="Times New Roman" w:cs="Times New Roman"/>
          <w:sz w:val="24"/>
          <w:szCs w:val="24"/>
          <w:lang w:val="en-US"/>
        </w:rPr>
        <w:t>occludens</w:t>
      </w:r>
      <w:proofErr w:type="spellEnd"/>
      <w:r w:rsidRPr="00E36190">
        <w:rPr>
          <w:rFonts w:ascii="Times New Roman" w:eastAsia="Times New Roman" w:hAnsi="Times New Roman" w:cs="Times New Roman"/>
          <w:sz w:val="24"/>
          <w:szCs w:val="24"/>
          <w:lang w:val="en-US"/>
        </w:rPr>
        <w:t xml:space="preserve"> (ZO-1), regulate paracellular permeability and are essential for maintaining the selective barrier that prevents luminal bacteria and their products from entering the systemic circulation. Multiple experimental models have shown that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its virulence factors—including gingipains, lipopolysaccharides (LPS), and outer membrane vesicles—downregulate the expression of </w:t>
      </w:r>
      <w:proofErr w:type="spellStart"/>
      <w:r w:rsidRPr="00E36190">
        <w:rPr>
          <w:rFonts w:ascii="Times New Roman" w:eastAsia="Times New Roman" w:hAnsi="Times New Roman" w:cs="Times New Roman"/>
          <w:sz w:val="24"/>
          <w:szCs w:val="24"/>
          <w:lang w:val="en-US"/>
        </w:rPr>
        <w:t>occludin</w:t>
      </w:r>
      <w:proofErr w:type="spellEnd"/>
      <w:r w:rsidRPr="00E36190">
        <w:rPr>
          <w:rFonts w:ascii="Times New Roman" w:eastAsia="Times New Roman" w:hAnsi="Times New Roman" w:cs="Times New Roman"/>
          <w:sz w:val="24"/>
          <w:szCs w:val="24"/>
          <w:lang w:val="en-US"/>
        </w:rPr>
        <w:t xml:space="preserve"> and ZO-1 in intestinal epithelial cell monolayers and in the intestinal tissue of orally inoculated mice (Xi et al., 2024). The resulting "leaky gut" phenotype allows bacterial LPS and other microbial-associated molecular patterns (MAMPs) to translocate into the portal circulation, contributing to systemic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 xml:space="preserve"> and hepatic inflammation (Nakajima et al., 2015).</w:t>
      </w:r>
    </w:p>
    <w:p w14:paraId="54C25DFE"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employs complementary mechanisms of barrier disruption. Its virulence adhesin </w:t>
      </w:r>
      <w:proofErr w:type="spellStart"/>
      <w:r w:rsidRPr="00E36190">
        <w:rPr>
          <w:rFonts w:ascii="Times New Roman" w:eastAsia="Times New Roman" w:hAnsi="Times New Roman" w:cs="Times New Roman"/>
          <w:sz w:val="24"/>
          <w:szCs w:val="24"/>
          <w:lang w:val="en-US"/>
        </w:rPr>
        <w:t>FadA</w:t>
      </w:r>
      <w:proofErr w:type="spellEnd"/>
      <w:r w:rsidRPr="00E36190">
        <w:rPr>
          <w:rFonts w:ascii="Times New Roman" w:eastAsia="Times New Roman" w:hAnsi="Times New Roman" w:cs="Times New Roman"/>
          <w:sz w:val="24"/>
          <w:szCs w:val="24"/>
          <w:lang w:val="en-US"/>
        </w:rPr>
        <w:t xml:space="preserve"> binds to E-cadherin on intestinal epithelial cells, activating β-catenin </w:t>
      </w:r>
      <w:proofErr w:type="spellStart"/>
      <w:r w:rsidRPr="00E36190">
        <w:rPr>
          <w:rFonts w:ascii="Times New Roman" w:eastAsia="Times New Roman" w:hAnsi="Times New Roman" w:cs="Times New Roman"/>
          <w:sz w:val="24"/>
          <w:szCs w:val="24"/>
          <w:lang w:val="en-US"/>
        </w:rPr>
        <w:t>signalling</w:t>
      </w:r>
      <w:proofErr w:type="spellEnd"/>
      <w:r w:rsidRPr="00E36190">
        <w:rPr>
          <w:rFonts w:ascii="Times New Roman" w:eastAsia="Times New Roman" w:hAnsi="Times New Roman" w:cs="Times New Roman"/>
          <w:sz w:val="24"/>
          <w:szCs w:val="24"/>
          <w:lang w:val="en-US"/>
        </w:rPr>
        <w:t xml:space="preserve"> and nuclear factor-</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 xml:space="preserve"> (NF-</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 pathways that upregulate pro-inflammatory cytokine production and increase epithelial permeability (Xi et al., 2024). Matrix metalloproteinase-9 (MMP-9), which is elevated both in inflamed periodontal tissues and in the intestine of patients with IBD, has been implicated as an upstream regulator of TJ degradation, operating through activation of myosin light chain kinase (MLCK) via the NF-</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 xml:space="preserve"> p65 pathway (Lu et al., 2023).</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1</w:t>
      </w:r>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sz w:val="24"/>
          <w:szCs w:val="24"/>
          <w:lang w:val="en-US"/>
        </w:rPr>
        <w:t>summarises</w:t>
      </w:r>
      <w:proofErr w:type="spellEnd"/>
      <w:r w:rsidRPr="00E36190">
        <w:rPr>
          <w:rFonts w:ascii="Times New Roman" w:eastAsia="Times New Roman" w:hAnsi="Times New Roman" w:cs="Times New Roman"/>
          <w:sz w:val="24"/>
          <w:szCs w:val="24"/>
          <w:lang w:val="en-US"/>
        </w:rPr>
        <w:t xml:space="preserve"> the principal molecular mechanisms through which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disrupt gut homeostasis following enteral translocation, drawing on the experimental studies reviewed in this section.</w:t>
      </w:r>
    </w:p>
    <w:p w14:paraId="3F9CCBB0"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7D3F06C9"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1.</w:t>
      </w:r>
      <w:r w:rsidRPr="00E36190">
        <w:rPr>
          <w:rFonts w:ascii="Times New Roman" w:eastAsia="Times New Roman" w:hAnsi="Times New Roman" w:cs="Times New Roman"/>
          <w:sz w:val="24"/>
          <w:szCs w:val="24"/>
          <w:lang w:val="en-US"/>
        </w:rPr>
        <w:t xml:space="preserve"> Principal mechanisms of gut barrier disruption by key periodontal pathobionts following enteral translocation.</w:t>
      </w:r>
    </w:p>
    <w:tbl>
      <w:tblPr>
        <w:tblStyle w:val="TableGrid"/>
        <w:tblW w:w="0" w:type="auto"/>
        <w:tblLook w:val="04A0" w:firstRow="1" w:lastRow="0" w:firstColumn="1" w:lastColumn="0" w:noHBand="0" w:noVBand="1"/>
      </w:tblPr>
      <w:tblGrid>
        <w:gridCol w:w="1927"/>
        <w:gridCol w:w="2973"/>
        <w:gridCol w:w="2727"/>
        <w:gridCol w:w="1615"/>
      </w:tblGrid>
      <w:tr w:rsidR="00E36190" w:rsidRPr="00E36190" w14:paraId="01E202D6" w14:textId="77777777" w:rsidTr="00E36190">
        <w:tc>
          <w:tcPr>
            <w:tcW w:w="0" w:type="auto"/>
            <w:hideMark/>
          </w:tcPr>
          <w:p w14:paraId="75F443C7"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Pathobiont</w:t>
            </w:r>
          </w:p>
        </w:tc>
        <w:tc>
          <w:tcPr>
            <w:tcW w:w="0" w:type="auto"/>
            <w:hideMark/>
          </w:tcPr>
          <w:p w14:paraId="36D925C0"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Virulence Factor / Mechanism</w:t>
            </w:r>
          </w:p>
        </w:tc>
        <w:tc>
          <w:tcPr>
            <w:tcW w:w="0" w:type="auto"/>
            <w:hideMark/>
          </w:tcPr>
          <w:p w14:paraId="438A055A"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Gut Consequence</w:t>
            </w:r>
          </w:p>
        </w:tc>
        <w:tc>
          <w:tcPr>
            <w:tcW w:w="0" w:type="auto"/>
            <w:hideMark/>
          </w:tcPr>
          <w:p w14:paraId="20FC15EE"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Evidence Source</w:t>
            </w:r>
          </w:p>
        </w:tc>
      </w:tr>
      <w:tr w:rsidR="00E36190" w:rsidRPr="00E36190" w14:paraId="3D26ACB5" w14:textId="77777777" w:rsidTr="00E36190">
        <w:tc>
          <w:tcPr>
            <w:tcW w:w="0" w:type="auto"/>
            <w:hideMark/>
          </w:tcPr>
          <w:p w14:paraId="56938822"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p>
        </w:tc>
        <w:tc>
          <w:tcPr>
            <w:tcW w:w="0" w:type="auto"/>
            <w:hideMark/>
          </w:tcPr>
          <w:p w14:paraId="74DA69A0"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Gingipains; LPS</w:t>
            </w:r>
          </w:p>
        </w:tc>
        <w:tc>
          <w:tcPr>
            <w:tcW w:w="0" w:type="auto"/>
            <w:hideMark/>
          </w:tcPr>
          <w:p w14:paraId="7A1317D5"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sz w:val="24"/>
                <w:szCs w:val="24"/>
                <w:lang w:val="en-US"/>
              </w:rPr>
              <w:t>Occludin</w:t>
            </w:r>
            <w:proofErr w:type="spellEnd"/>
            <w:r w:rsidRPr="00E36190">
              <w:rPr>
                <w:rFonts w:ascii="Times New Roman" w:eastAsia="Times New Roman" w:hAnsi="Times New Roman" w:cs="Times New Roman"/>
                <w:sz w:val="24"/>
                <w:szCs w:val="24"/>
                <w:lang w:val="en-US"/>
              </w:rPr>
              <w:t xml:space="preserve">, ↓ ZO-1; systemic </w:t>
            </w:r>
            <w:proofErr w:type="spellStart"/>
            <w:r w:rsidRPr="00E36190">
              <w:rPr>
                <w:rFonts w:ascii="Times New Roman" w:eastAsia="Times New Roman" w:hAnsi="Times New Roman" w:cs="Times New Roman"/>
                <w:sz w:val="24"/>
                <w:szCs w:val="24"/>
                <w:lang w:val="en-US"/>
              </w:rPr>
              <w:t>endotoxaemia</w:t>
            </w:r>
            <w:proofErr w:type="spellEnd"/>
          </w:p>
        </w:tc>
        <w:tc>
          <w:tcPr>
            <w:tcW w:w="0" w:type="auto"/>
            <w:hideMark/>
          </w:tcPr>
          <w:p w14:paraId="49863832"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Nakajima et al. (2015)</w:t>
            </w:r>
          </w:p>
        </w:tc>
      </w:tr>
      <w:tr w:rsidR="00E36190" w:rsidRPr="00E36190" w14:paraId="5388220C" w14:textId="77777777" w:rsidTr="00E36190">
        <w:tc>
          <w:tcPr>
            <w:tcW w:w="0" w:type="auto"/>
            <w:hideMark/>
          </w:tcPr>
          <w:p w14:paraId="0FBC6DBB"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p>
        </w:tc>
        <w:tc>
          <w:tcPr>
            <w:tcW w:w="0" w:type="auto"/>
            <w:hideMark/>
          </w:tcPr>
          <w:p w14:paraId="4ACA477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Indirect dysbiosis; altered gut microbiota</w:t>
            </w:r>
          </w:p>
        </w:tc>
        <w:tc>
          <w:tcPr>
            <w:tcW w:w="0" w:type="auto"/>
            <w:hideMark/>
          </w:tcPr>
          <w:p w14:paraId="4D24AAB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IL-9+CD4+ T cells; ileal inflammation</w:t>
            </w:r>
          </w:p>
        </w:tc>
        <w:tc>
          <w:tcPr>
            <w:tcW w:w="0" w:type="auto"/>
            <w:hideMark/>
          </w:tcPr>
          <w:p w14:paraId="12B5624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Sohn et al. (2022)</w:t>
            </w:r>
          </w:p>
        </w:tc>
      </w:tr>
      <w:tr w:rsidR="00E36190" w:rsidRPr="00E36190" w14:paraId="255721FA" w14:textId="77777777" w:rsidTr="00E36190">
        <w:tc>
          <w:tcPr>
            <w:tcW w:w="0" w:type="auto"/>
            <w:hideMark/>
          </w:tcPr>
          <w:p w14:paraId="288F018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p>
        </w:tc>
        <w:tc>
          <w:tcPr>
            <w:tcW w:w="0" w:type="auto"/>
            <w:hideMark/>
          </w:tcPr>
          <w:p w14:paraId="113B33E0"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PPAD (</w:t>
            </w:r>
            <w:proofErr w:type="spellStart"/>
            <w:r w:rsidRPr="00E36190">
              <w:rPr>
                <w:rFonts w:ascii="Times New Roman" w:eastAsia="Times New Roman" w:hAnsi="Times New Roman" w:cs="Times New Roman"/>
                <w:sz w:val="24"/>
                <w:szCs w:val="24"/>
                <w:lang w:val="en-US"/>
              </w:rPr>
              <w:t>peptidylarginine</w:t>
            </w:r>
            <w:proofErr w:type="spellEnd"/>
            <w:r w:rsidRPr="00E36190">
              <w:rPr>
                <w:rFonts w:ascii="Times New Roman" w:eastAsia="Times New Roman" w:hAnsi="Times New Roman" w:cs="Times New Roman"/>
                <w:sz w:val="24"/>
                <w:szCs w:val="24"/>
                <w:lang w:val="en-US"/>
              </w:rPr>
              <w:t xml:space="preserve"> deiminase)</w:t>
            </w:r>
          </w:p>
        </w:tc>
        <w:tc>
          <w:tcPr>
            <w:tcW w:w="0" w:type="auto"/>
            <w:hideMark/>
          </w:tcPr>
          <w:p w14:paraId="2741CDF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Th17; ↓ Treg; ulcerative colitis exacerbation</w:t>
            </w:r>
          </w:p>
        </w:tc>
        <w:tc>
          <w:tcPr>
            <w:tcW w:w="0" w:type="auto"/>
            <w:hideMark/>
          </w:tcPr>
          <w:p w14:paraId="2286B840"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Huang et al. (2024)</w:t>
            </w:r>
          </w:p>
        </w:tc>
      </w:tr>
      <w:tr w:rsidR="00E36190" w:rsidRPr="00E36190" w14:paraId="6CF51622" w14:textId="77777777" w:rsidTr="00E36190">
        <w:tc>
          <w:tcPr>
            <w:tcW w:w="0" w:type="auto"/>
            <w:hideMark/>
          </w:tcPr>
          <w:p w14:paraId="1ABF4C8A"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p>
        </w:tc>
        <w:tc>
          <w:tcPr>
            <w:tcW w:w="0" w:type="auto"/>
            <w:hideMark/>
          </w:tcPr>
          <w:p w14:paraId="37E80002" w14:textId="77777777" w:rsidR="00E36190" w:rsidRPr="00E36190" w:rsidRDefault="00E36190" w:rsidP="003B1B50">
            <w:pPr>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FadA</w:t>
            </w:r>
            <w:proofErr w:type="spellEnd"/>
            <w:r w:rsidRPr="00E36190">
              <w:rPr>
                <w:rFonts w:ascii="Times New Roman" w:eastAsia="Times New Roman" w:hAnsi="Times New Roman" w:cs="Times New Roman"/>
                <w:sz w:val="24"/>
                <w:szCs w:val="24"/>
                <w:lang w:val="en-US"/>
              </w:rPr>
              <w:t xml:space="preserve"> adhesin → E-</w:t>
            </w:r>
            <w:r w:rsidRPr="00E36190">
              <w:rPr>
                <w:rFonts w:ascii="Times New Roman" w:eastAsia="Times New Roman" w:hAnsi="Times New Roman" w:cs="Times New Roman"/>
                <w:sz w:val="24"/>
                <w:szCs w:val="24"/>
                <w:lang w:val="en-US"/>
              </w:rPr>
              <w:lastRenderedPageBreak/>
              <w:t>cadherin/β-catenin</w:t>
            </w:r>
          </w:p>
        </w:tc>
        <w:tc>
          <w:tcPr>
            <w:tcW w:w="0" w:type="auto"/>
            <w:hideMark/>
          </w:tcPr>
          <w:p w14:paraId="5A551734"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NF-</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 xml:space="preserve"> activation; </w:t>
            </w:r>
            <w:r w:rsidRPr="00E36190">
              <w:rPr>
                <w:rFonts w:ascii="Times New Roman" w:eastAsia="Times New Roman" w:hAnsi="Times New Roman" w:cs="Times New Roman"/>
                <w:sz w:val="24"/>
                <w:szCs w:val="24"/>
                <w:lang w:val="en-US"/>
              </w:rPr>
              <w:lastRenderedPageBreak/>
              <w:t>epithelial permeability ↑</w:t>
            </w:r>
          </w:p>
        </w:tc>
        <w:tc>
          <w:tcPr>
            <w:tcW w:w="0" w:type="auto"/>
            <w:hideMark/>
          </w:tcPr>
          <w:p w14:paraId="0D6814D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 xml:space="preserve">Xi et al. </w:t>
            </w:r>
            <w:r w:rsidRPr="00E36190">
              <w:rPr>
                <w:rFonts w:ascii="Times New Roman" w:eastAsia="Times New Roman" w:hAnsi="Times New Roman" w:cs="Times New Roman"/>
                <w:sz w:val="24"/>
                <w:szCs w:val="24"/>
                <w:lang w:val="en-US"/>
              </w:rPr>
              <w:lastRenderedPageBreak/>
              <w:t>(2024)</w:t>
            </w:r>
          </w:p>
        </w:tc>
      </w:tr>
      <w:tr w:rsidR="00E36190" w:rsidRPr="00E36190" w14:paraId="7311ED44" w14:textId="77777777" w:rsidTr="00E36190">
        <w:tc>
          <w:tcPr>
            <w:tcW w:w="0" w:type="auto"/>
            <w:hideMark/>
          </w:tcPr>
          <w:p w14:paraId="115F0ADE"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lastRenderedPageBreak/>
              <w:t xml:space="preserve">F. </w:t>
            </w:r>
            <w:proofErr w:type="spellStart"/>
            <w:r w:rsidRPr="00E36190">
              <w:rPr>
                <w:rFonts w:ascii="Times New Roman" w:eastAsia="Times New Roman" w:hAnsi="Times New Roman" w:cs="Times New Roman"/>
                <w:i/>
                <w:iCs/>
                <w:sz w:val="24"/>
                <w:szCs w:val="24"/>
                <w:lang w:val="en-US"/>
              </w:rPr>
              <w:t>nucleatum</w:t>
            </w:r>
            <w:proofErr w:type="spellEnd"/>
          </w:p>
        </w:tc>
        <w:tc>
          <w:tcPr>
            <w:tcW w:w="0" w:type="auto"/>
            <w:hideMark/>
          </w:tcPr>
          <w:p w14:paraId="0630AB8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CARD3/ERS pathway activation</w:t>
            </w:r>
          </w:p>
        </w:tc>
        <w:tc>
          <w:tcPr>
            <w:tcW w:w="0" w:type="auto"/>
            <w:hideMark/>
          </w:tcPr>
          <w:p w14:paraId="1430714C"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IL-17F/NF-</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-mediated barrier damage</w:t>
            </w:r>
          </w:p>
        </w:tc>
        <w:tc>
          <w:tcPr>
            <w:tcW w:w="0" w:type="auto"/>
            <w:hideMark/>
          </w:tcPr>
          <w:p w14:paraId="217726A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Xi et al. (2024)</w:t>
            </w:r>
          </w:p>
        </w:tc>
      </w:tr>
      <w:tr w:rsidR="00E36190" w:rsidRPr="00E36190" w14:paraId="614343D9" w14:textId="77777777" w:rsidTr="00E36190">
        <w:tc>
          <w:tcPr>
            <w:tcW w:w="0" w:type="auto"/>
            <w:hideMark/>
          </w:tcPr>
          <w:p w14:paraId="11C8306F"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spp. (oral-origin)</w:t>
            </w:r>
          </w:p>
        </w:tc>
        <w:tc>
          <w:tcPr>
            <w:tcW w:w="0" w:type="auto"/>
            <w:hideMark/>
          </w:tcPr>
          <w:p w14:paraId="47F6C700"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Ectopic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in </w:t>
            </w:r>
            <w:proofErr w:type="spellStart"/>
            <w:r w:rsidRPr="00E36190">
              <w:rPr>
                <w:rFonts w:ascii="Times New Roman" w:eastAsia="Times New Roman" w:hAnsi="Times New Roman" w:cs="Times New Roman"/>
                <w:sz w:val="24"/>
                <w:szCs w:val="24"/>
                <w:lang w:val="en-US"/>
              </w:rPr>
              <w:t>dysbiotic</w:t>
            </w:r>
            <w:proofErr w:type="spellEnd"/>
            <w:r w:rsidRPr="00E36190">
              <w:rPr>
                <w:rFonts w:ascii="Times New Roman" w:eastAsia="Times New Roman" w:hAnsi="Times New Roman" w:cs="Times New Roman"/>
                <w:sz w:val="24"/>
                <w:szCs w:val="24"/>
                <w:lang w:val="en-US"/>
              </w:rPr>
              <w:t xml:space="preserve"> gut</w:t>
            </w:r>
          </w:p>
        </w:tc>
        <w:tc>
          <w:tcPr>
            <w:tcW w:w="0" w:type="auto"/>
            <w:hideMark/>
          </w:tcPr>
          <w:p w14:paraId="613D191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Th1 cell induction; intestinal inflammation</w:t>
            </w:r>
          </w:p>
        </w:tc>
        <w:tc>
          <w:tcPr>
            <w:tcW w:w="0" w:type="auto"/>
            <w:hideMark/>
          </w:tcPr>
          <w:p w14:paraId="7FF7D214" w14:textId="77777777" w:rsidR="00E36190" w:rsidRPr="00E36190" w:rsidRDefault="00E36190" w:rsidP="003B1B50">
            <w:pPr>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Atarashi</w:t>
            </w:r>
            <w:proofErr w:type="spellEnd"/>
            <w:r w:rsidRPr="00E36190">
              <w:rPr>
                <w:rFonts w:ascii="Times New Roman" w:eastAsia="Times New Roman" w:hAnsi="Times New Roman" w:cs="Times New Roman"/>
                <w:sz w:val="24"/>
                <w:szCs w:val="24"/>
                <w:lang w:val="en-US"/>
              </w:rPr>
              <w:t xml:space="preserve"> et al. (2017)</w:t>
            </w:r>
          </w:p>
        </w:tc>
      </w:tr>
      <w:tr w:rsidR="00E36190" w:rsidRPr="00E36190" w14:paraId="60C252E5" w14:textId="77777777" w:rsidTr="00E36190">
        <w:tc>
          <w:tcPr>
            <w:tcW w:w="0" w:type="auto"/>
            <w:hideMark/>
          </w:tcPr>
          <w:p w14:paraId="6C8EBBF6"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Mixed oral pathobionts</w:t>
            </w:r>
          </w:p>
        </w:tc>
        <w:tc>
          <w:tcPr>
            <w:tcW w:w="0" w:type="auto"/>
            <w:hideMark/>
          </w:tcPr>
          <w:p w14:paraId="3ACDCE4B"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Inflammasome activation in colonic phagocytes</w:t>
            </w:r>
          </w:p>
        </w:tc>
        <w:tc>
          <w:tcPr>
            <w:tcW w:w="0" w:type="auto"/>
            <w:hideMark/>
          </w:tcPr>
          <w:p w14:paraId="046FEBE4"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Colitis exacerbation via NLRP3 pathway</w:t>
            </w:r>
          </w:p>
        </w:tc>
        <w:tc>
          <w:tcPr>
            <w:tcW w:w="0" w:type="auto"/>
            <w:hideMark/>
          </w:tcPr>
          <w:p w14:paraId="54B938BB" w14:textId="77777777" w:rsidR="00E36190" w:rsidRPr="00E36190" w:rsidRDefault="00E36190" w:rsidP="003B1B50">
            <w:pPr>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w:t>
            </w:r>
          </w:p>
        </w:tc>
      </w:tr>
    </w:tbl>
    <w:p w14:paraId="19F309CA"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LPS, lipopolysaccharide; ZO-1, zonula occludens-1; PPAD, P. gingivalis </w:t>
      </w:r>
      <w:proofErr w:type="spellStart"/>
      <w:r w:rsidRPr="00E36190">
        <w:rPr>
          <w:rFonts w:ascii="Times New Roman" w:eastAsia="Times New Roman" w:hAnsi="Times New Roman" w:cs="Times New Roman"/>
          <w:i/>
          <w:iCs/>
          <w:sz w:val="24"/>
          <w:szCs w:val="24"/>
          <w:lang w:val="en-US"/>
        </w:rPr>
        <w:t>peptidylarginine</w:t>
      </w:r>
      <w:proofErr w:type="spellEnd"/>
      <w:r w:rsidRPr="00E36190">
        <w:rPr>
          <w:rFonts w:ascii="Times New Roman" w:eastAsia="Times New Roman" w:hAnsi="Times New Roman" w:cs="Times New Roman"/>
          <w:i/>
          <w:iCs/>
          <w:sz w:val="24"/>
          <w:szCs w:val="24"/>
          <w:lang w:val="en-US"/>
        </w:rPr>
        <w:t xml:space="preserve"> deiminase; ERS, endoplasmic reticulum stress; NLRP3, NLR family pyrin domain-containing 3.</w:t>
      </w:r>
    </w:p>
    <w:p w14:paraId="1BCB41C2"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5FA66BDE"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4.4 Microbial Metabolite Pathways</w:t>
      </w:r>
    </w:p>
    <w:p w14:paraId="0E850CED"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Beyond direct bacterial translocation, periodontal dysbiosis influences the gut metabolic environment through alterations in the production of short-chain fatty acids (SCFAs), trimethylamine N-oxide (TMAO), and LPS-mediated </w:t>
      </w:r>
      <w:proofErr w:type="spellStart"/>
      <w:r w:rsidRPr="00E36190">
        <w:rPr>
          <w:rFonts w:ascii="Times New Roman" w:eastAsia="Times New Roman" w:hAnsi="Times New Roman" w:cs="Times New Roman"/>
          <w:sz w:val="24"/>
          <w:szCs w:val="24"/>
          <w:lang w:val="en-US"/>
        </w:rPr>
        <w:t>signalling</w:t>
      </w:r>
      <w:proofErr w:type="spellEnd"/>
      <w:r w:rsidRPr="00E36190">
        <w:rPr>
          <w:rFonts w:ascii="Times New Roman" w:eastAsia="Times New Roman" w:hAnsi="Times New Roman" w:cs="Times New Roman"/>
          <w:sz w:val="24"/>
          <w:szCs w:val="24"/>
          <w:lang w:val="en-US"/>
        </w:rPr>
        <w:t xml:space="preserve">. SCFAs—including butyrate, propionate, and acetate—are produced principally by fermentation of dietary </w:t>
      </w:r>
      <w:proofErr w:type="spellStart"/>
      <w:r w:rsidRPr="00E36190">
        <w:rPr>
          <w:rFonts w:ascii="Times New Roman" w:eastAsia="Times New Roman" w:hAnsi="Times New Roman" w:cs="Times New Roman"/>
          <w:sz w:val="24"/>
          <w:szCs w:val="24"/>
          <w:lang w:val="en-US"/>
        </w:rPr>
        <w:t>fibre</w:t>
      </w:r>
      <w:proofErr w:type="spellEnd"/>
      <w:r w:rsidRPr="00E36190">
        <w:rPr>
          <w:rFonts w:ascii="Times New Roman" w:eastAsia="Times New Roman" w:hAnsi="Times New Roman" w:cs="Times New Roman"/>
          <w:sz w:val="24"/>
          <w:szCs w:val="24"/>
          <w:lang w:val="en-US"/>
        </w:rPr>
        <w:t xml:space="preserve"> by colonic Firmicutes and Bacteroidetes and serve as critical regulators of intestinal epithelial barrier integrity, immune homeostasis, and metabolic function. Periodontitis-associated gut dysbiosis is </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by a reduction in SCFA-producing taxa, with consequent impairment of colonocyte energy metabolism and regulatory T-cell induction (</w:t>
      </w: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 TMAO, a hepatic oxidation product of trimethylamine (TMA) generated from dietary choline and carnitine by gut bacteria, has been detected at elevated concentrations in the serum of patients with severe periodontitis and in animal models of experimental periodontitis, implicating the oral–gut axis in the pathogenesis of atherosclerosis and metabolic disease (Li et al., 2022). Several oral bacteria, including </w:t>
      </w:r>
      <w:proofErr w:type="spellStart"/>
      <w:r w:rsidRPr="00E36190">
        <w:rPr>
          <w:rFonts w:ascii="Times New Roman" w:eastAsia="Times New Roman" w:hAnsi="Times New Roman" w:cs="Times New Roman"/>
          <w:i/>
          <w:iCs/>
          <w:sz w:val="24"/>
          <w:szCs w:val="24"/>
          <w:lang w:val="en-US"/>
        </w:rPr>
        <w:t>Prevotella</w:t>
      </w:r>
      <w:proofErr w:type="spellEnd"/>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species, are capable of producing TMA directly, suggesting a direct contribution of oral dysbiosis to the TMAO pathway independent of gut microbial alterations (Xi et al., 2024).</w:t>
      </w:r>
    </w:p>
    <w:p w14:paraId="214D9B71"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3951127F"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5. Immunological Crosstalk Along the Oral–Gut Axis</w:t>
      </w:r>
    </w:p>
    <w:p w14:paraId="763F60CF"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5.1 Th17/Treg Imbalance as a Systemic Driver</w:t>
      </w:r>
    </w:p>
    <w:p w14:paraId="7871DAC2"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adaptive immune arm of the oral–gut axis revolves largely around the balance between Th17 cells—which produce interleukin-17 (IL-17) and drive mucosal inflammation—and regulatory T cells (Tregs)—which suppress immune activation and maintain tissue homeostasis.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LPS and gingipains prime dendritic cells to skew naïve T-helper differentiation towards the Th17 lineage both locally in the periodontium and, following enteral translocation, within Peyer's patches of the intestine (Byrd &amp; Gulati, 2021). </w:t>
      </w: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 demonstrated that Th17 cells generated in the oral mucosa in response to periodontal inflammation acquired gut-homing properties (via upregulation of integrin α4β7 and CCR9 expression) and were recruited to the inflamed gut, where they amplified colitis upon re-encountering translocated oral pathobionts. Notably, these oral-origin Th17 cells did not respond to gut-resident commensals, indicating antigen-specific tropism rather than non-specific bystander activation. This elegant specificity illustrates how the oral immune </w:t>
      </w:r>
      <w:r w:rsidRPr="00E36190">
        <w:rPr>
          <w:rFonts w:ascii="Times New Roman" w:eastAsia="Times New Roman" w:hAnsi="Times New Roman" w:cs="Times New Roman"/>
          <w:sz w:val="24"/>
          <w:szCs w:val="24"/>
          <w:lang w:val="en-US"/>
        </w:rPr>
        <w:lastRenderedPageBreak/>
        <w:t xml:space="preserve">compartment can prime colitogenic immunity that is subsequently </w:t>
      </w:r>
      <w:proofErr w:type="spellStart"/>
      <w:r w:rsidRPr="00E36190">
        <w:rPr>
          <w:rFonts w:ascii="Times New Roman" w:eastAsia="Times New Roman" w:hAnsi="Times New Roman" w:cs="Times New Roman"/>
          <w:sz w:val="24"/>
          <w:szCs w:val="24"/>
          <w:lang w:val="en-US"/>
        </w:rPr>
        <w:t>realised</w:t>
      </w:r>
      <w:proofErr w:type="spellEnd"/>
      <w:r w:rsidRPr="00E36190">
        <w:rPr>
          <w:rFonts w:ascii="Times New Roman" w:eastAsia="Times New Roman" w:hAnsi="Times New Roman" w:cs="Times New Roman"/>
          <w:sz w:val="24"/>
          <w:szCs w:val="24"/>
          <w:lang w:val="en-US"/>
        </w:rPr>
        <w:t xml:space="preserve"> at distant mucosal sites.</w:t>
      </w:r>
    </w:p>
    <w:p w14:paraId="42E24487"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IL-9/IL-9-receptor </w:t>
      </w:r>
      <w:proofErr w:type="spellStart"/>
      <w:r w:rsidRPr="00E36190">
        <w:rPr>
          <w:rFonts w:ascii="Times New Roman" w:eastAsia="Times New Roman" w:hAnsi="Times New Roman" w:cs="Times New Roman"/>
          <w:sz w:val="24"/>
          <w:szCs w:val="24"/>
          <w:lang w:val="en-US"/>
        </w:rPr>
        <w:t>signalling</w:t>
      </w:r>
      <w:proofErr w:type="spellEnd"/>
      <w:r w:rsidRPr="00E36190">
        <w:rPr>
          <w:rFonts w:ascii="Times New Roman" w:eastAsia="Times New Roman" w:hAnsi="Times New Roman" w:cs="Times New Roman"/>
          <w:sz w:val="24"/>
          <w:szCs w:val="24"/>
          <w:lang w:val="en-US"/>
        </w:rPr>
        <w:t xml:space="preserve"> pathway has emerged as an additional mechanistic node connecting oral pathobiont translocation to intestinal inflammation. Sohn et al. (2022) demonstrated that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in mice significantly expanded a population of IL-9-producing CD4+ T cells in the small intestinal lamina propria, and that the abundance of these cells was negatively correlated with gut microbial alpha diversity. This expansion was dependent on alterations in gut microbial composition induced by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rather than on direct mucosal invasion by the pathogen, confirming an indirect immunological mechanism mediated through dysbiosis.</w:t>
      </w:r>
    </w:p>
    <w:p w14:paraId="7D6BD937"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 xml:space="preserve">5.2 Inflammasome Activation and </w:t>
      </w:r>
      <w:proofErr w:type="spellStart"/>
      <w:r w:rsidRPr="00E36190">
        <w:rPr>
          <w:rFonts w:ascii="Times New Roman" w:eastAsia="Times New Roman" w:hAnsi="Times New Roman" w:cs="Times New Roman"/>
          <w:b/>
          <w:bCs/>
          <w:sz w:val="24"/>
          <w:szCs w:val="24"/>
          <w:lang w:val="en-US"/>
        </w:rPr>
        <w:t>Endotoxaemia</w:t>
      </w:r>
      <w:proofErr w:type="spellEnd"/>
    </w:p>
    <w:p w14:paraId="2D78FB95"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Periodontitis-associated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 xml:space="preserve">—defined as the presence of elevated circulating LPS—has been directly linked to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oral administration in murine models. LPS translocating through a leaky gut epithelium engages TLR-4 receptors on intestinal macrophages and hepatic Kupffer cells, activating the NF-</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 xml:space="preserve"> pathway and the NLRP3 inflammasome, thereby perpetuating systemic low-grade inflammation (Lu et al., 2023). Crucially, the LPS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activates both TLR-2 and TLR-4—a dual receptor engagement that is atypical for conventional Gram-negative LPS and may confer distinct pro-inflammatory properties at the intestinal barrier (Xi et al., 2024). This dual activation contributes to a more complex and potentially more sustained inflammatory signal than that generated by enteric LPS from organisms such as </w:t>
      </w:r>
      <w:r w:rsidRPr="00E36190">
        <w:rPr>
          <w:rFonts w:ascii="Times New Roman" w:eastAsia="Times New Roman" w:hAnsi="Times New Roman" w:cs="Times New Roman"/>
          <w:i/>
          <w:iCs/>
          <w:sz w:val="24"/>
          <w:szCs w:val="24"/>
          <w:lang w:val="en-US"/>
        </w:rPr>
        <w:t>Escherichia coli</w:t>
      </w:r>
      <w:r w:rsidRPr="00E36190">
        <w:rPr>
          <w:rFonts w:ascii="Times New Roman" w:eastAsia="Times New Roman" w:hAnsi="Times New Roman" w:cs="Times New Roman"/>
          <w:sz w:val="24"/>
          <w:szCs w:val="24"/>
          <w:lang w:val="en-US"/>
        </w:rPr>
        <w:t>.</w:t>
      </w:r>
    </w:p>
    <w:p w14:paraId="15584C7D"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gut–liver axis further amplifies these signals: impaired intestinal barrier function promotes bacterial translocation to the portal circulation, hepatic exposure to microbiota-derived toxins, and activation of hepatic innate immune responses that contribute to hepatic steatosis, inflammation, and fibrosis (</w:t>
      </w: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 This cascade situates the oral–gut axis as a mechanistic link not only between periodontitis and intestinal disease, but also between periodontitis and hepatic pathology.</w:t>
      </w:r>
    </w:p>
    <w:p w14:paraId="777B0437"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5.3 The Bidirectionality of the Oral–Gut Axis</w:t>
      </w:r>
    </w:p>
    <w:p w14:paraId="455DA3A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Mounting evidence indicates that the relationship between oral and gut dysbiosis is genuinely bidirectional rather than unidirectional. Several animal studies have shown that gut dysbiosis induced by antibiotic administration, dextran sodium sulphate colitis, or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transplantation can exacerbate experimental periodontitis, increasing alveolar bone resorption and periodontal tissue inflammation through Th17/Treg imbalances and systemic cytokine elevation (Byrd &amp; Gulati, 2021). Mendelian </w:t>
      </w:r>
      <w:proofErr w:type="spellStart"/>
      <w:r w:rsidRPr="00E36190">
        <w:rPr>
          <w:rFonts w:ascii="Times New Roman" w:eastAsia="Times New Roman" w:hAnsi="Times New Roman" w:cs="Times New Roman"/>
          <w:sz w:val="24"/>
          <w:szCs w:val="24"/>
          <w:lang w:val="en-US"/>
        </w:rPr>
        <w:t>randomisation</w:t>
      </w:r>
      <w:proofErr w:type="spellEnd"/>
      <w:r w:rsidRPr="00E36190">
        <w:rPr>
          <w:rFonts w:ascii="Times New Roman" w:eastAsia="Times New Roman" w:hAnsi="Times New Roman" w:cs="Times New Roman"/>
          <w:sz w:val="24"/>
          <w:szCs w:val="24"/>
          <w:lang w:val="en-US"/>
        </w:rPr>
        <w:t xml:space="preserve"> analyses in human data have provided some of the strongest available evidence for this bidirectionality: one such study found that genetically predicted Crohn's disease was a risk factor for periodontitis, while genetically predicted periodontitis was associated with exacerbation of ulcerative colitis (Lu et al., 2023). These findings suggest that clinicians managing patients with either condition should consider screening for the other, and that therapeutic interventions targeting one disease may have off-target benefits for the other.</w:t>
      </w:r>
    </w:p>
    <w:p w14:paraId="345BDFE9"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43A9C7DC"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6. Systemic Implications: Disease-Specific Associations</w:t>
      </w:r>
    </w:p>
    <w:p w14:paraId="63651112"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lastRenderedPageBreak/>
        <w:t>6.1 Inflammatory Bowel Disease</w:t>
      </w:r>
    </w:p>
    <w:p w14:paraId="374CCAB0"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association between periodontitis and IBD is one of the most extensively investigated dimensions of the oral–gut axis. Meta-epidemiological analyses have consistently reported higher prevalence of periodontitis among IBD patients compared to healthy controls, with particularly strong signals for ulcerative colitis (Tanwar et al., 2024). Conversely, patients with active IBD exhibit qualitative changes in oral microbial composition, including enrichment of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species in the saliva and subgingival crevice. The review by Tanwar et al. (2024) in the </w:t>
      </w:r>
      <w:r w:rsidRPr="00E36190">
        <w:rPr>
          <w:rFonts w:ascii="Times New Roman" w:eastAsia="Times New Roman" w:hAnsi="Times New Roman" w:cs="Times New Roman"/>
          <w:i/>
          <w:iCs/>
          <w:sz w:val="24"/>
          <w:szCs w:val="24"/>
          <w:lang w:val="en-US"/>
        </w:rPr>
        <w:t>Journal of Crohn's and Colitis</w:t>
      </w:r>
      <w:r w:rsidRPr="00E36190">
        <w:rPr>
          <w:rFonts w:ascii="Times New Roman" w:eastAsia="Times New Roman" w:hAnsi="Times New Roman" w:cs="Times New Roman"/>
          <w:sz w:val="24"/>
          <w:szCs w:val="24"/>
          <w:lang w:val="en-US"/>
        </w:rPr>
        <w:t>, one of the most comprehensive analyses of this bidirectional relationship, identified multiple overlapping pathogenic mechanisms including shared genetic susceptibility loci (NOD2, IL-23R), convergent dysregulation of mucosal innate immunity, and microbially mediated barrier dysfunction. Byrd &amp; Gulati (2021) proposed the conceptual framework of the "gum–gut axis" to capture the hypothesis that once established, IBD can be perpetuated or worsened by microbiome and inflammatory changes originating in the gingival niche through saliva, thereby perpetuating a vicious inflammatory cycle.</w:t>
      </w:r>
    </w:p>
    <w:p w14:paraId="1808920A"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mechanistic study by Huang et al. (2024) specifically addressed the role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in IBD pathogenesis, demonstrating that PPAD—a unique virulence enzyme that citrullinates host proteins and thereby generates neo-autoantigens—amplifies Th17 responses and suppresses regulatory T-cell populations in a manner consistent with the immunological phenotype of IBD. Furthermore, experimental induction of periodontitis in colitis-susceptible mice has been shown to reproducibly worsen colitis severity, increase colon weight, shorten colon length, and elevate pro-inflammatory cytokines including TNF-α and IL-6 in both colonic tissue and systemic circulation (Lu et al., 2023).</w:t>
      </w:r>
    </w:p>
    <w:p w14:paraId="1BD743C8"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6.2 Colorectal Cancer</w:t>
      </w:r>
    </w:p>
    <w:p w14:paraId="2C50015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detection of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DNA and viable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in human colorectal cancer (CRC) tissue specimens—demonstrated independently in multiple genomic cohorts—has generated intense interest in the role of oral-origin bacteria in gastrointestinal oncogenesis (Mesa et al., 2022). Evidence for the oral origin of intratumoral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has been substantially strengthened by studies demonstrating that identical strains, identified by whole-genome sequencing, are present in the oral cavity and matched CRC </w:t>
      </w:r>
      <w:proofErr w:type="spellStart"/>
      <w:r w:rsidRPr="00E36190">
        <w:rPr>
          <w:rFonts w:ascii="Times New Roman" w:eastAsia="Times New Roman" w:hAnsi="Times New Roman" w:cs="Times New Roman"/>
          <w:sz w:val="24"/>
          <w:szCs w:val="24"/>
          <w:lang w:val="en-US"/>
        </w:rPr>
        <w:t>tumours</w:t>
      </w:r>
      <w:proofErr w:type="spellEnd"/>
      <w:r w:rsidRPr="00E36190">
        <w:rPr>
          <w:rFonts w:ascii="Times New Roman" w:eastAsia="Times New Roman" w:hAnsi="Times New Roman" w:cs="Times New Roman"/>
          <w:sz w:val="24"/>
          <w:szCs w:val="24"/>
          <w:lang w:val="en-US"/>
        </w:rPr>
        <w:t xml:space="preserve"> of individual patients (Xi et al., 2024). Two routes of translocation have been proposed: </w:t>
      </w:r>
      <w:proofErr w:type="spellStart"/>
      <w:r w:rsidRPr="00E36190">
        <w:rPr>
          <w:rFonts w:ascii="Times New Roman" w:eastAsia="Times New Roman" w:hAnsi="Times New Roman" w:cs="Times New Roman"/>
          <w:sz w:val="24"/>
          <w:szCs w:val="24"/>
          <w:lang w:val="en-US"/>
        </w:rPr>
        <w:t>haematogenous</w:t>
      </w:r>
      <w:proofErr w:type="spellEnd"/>
      <w:r w:rsidRPr="00E36190">
        <w:rPr>
          <w:rFonts w:ascii="Times New Roman" w:eastAsia="Times New Roman" w:hAnsi="Times New Roman" w:cs="Times New Roman"/>
          <w:sz w:val="24"/>
          <w:szCs w:val="24"/>
          <w:lang w:val="en-US"/>
        </w:rPr>
        <w:t xml:space="preserve"> dissemination from the periodontal pocket to established </w:t>
      </w:r>
      <w:proofErr w:type="spellStart"/>
      <w:r w:rsidRPr="00E36190">
        <w:rPr>
          <w:rFonts w:ascii="Times New Roman" w:eastAsia="Times New Roman" w:hAnsi="Times New Roman" w:cs="Times New Roman"/>
          <w:sz w:val="24"/>
          <w:szCs w:val="24"/>
          <w:lang w:val="en-US"/>
        </w:rPr>
        <w:t>tumour</w:t>
      </w:r>
      <w:proofErr w:type="spellEnd"/>
      <w:r w:rsidRPr="00E36190">
        <w:rPr>
          <w:rFonts w:ascii="Times New Roman" w:eastAsia="Times New Roman" w:hAnsi="Times New Roman" w:cs="Times New Roman"/>
          <w:sz w:val="24"/>
          <w:szCs w:val="24"/>
          <w:lang w:val="en-US"/>
        </w:rPr>
        <w:t xml:space="preserve"> lesions, and enteral passage from the oral cavity through the alimentary tract to the colorectum. The latter route is supported by the anatomical logic of </w:t>
      </w:r>
      <w:proofErr w:type="spellStart"/>
      <w:r w:rsidRPr="00E36190">
        <w:rPr>
          <w:rFonts w:ascii="Times New Roman" w:eastAsia="Times New Roman" w:hAnsi="Times New Roman" w:cs="Times New Roman"/>
          <w:sz w:val="24"/>
          <w:szCs w:val="24"/>
          <w:lang w:val="en-US"/>
        </w:rPr>
        <w:t>faeco</w:t>
      </w:r>
      <w:proofErr w:type="spellEnd"/>
      <w:r w:rsidRPr="00E36190">
        <w:rPr>
          <w:rFonts w:ascii="Times New Roman" w:eastAsia="Times New Roman" w:hAnsi="Times New Roman" w:cs="Times New Roman"/>
          <w:sz w:val="24"/>
          <w:szCs w:val="24"/>
          <w:lang w:val="en-US"/>
        </w:rPr>
        <w:t xml:space="preserve">-oral microbial continuity and by animal experiments demonstrating that orally administered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enriches in colonic tissue (Baima et al., 2023).</w:t>
      </w:r>
    </w:p>
    <w:p w14:paraId="14500421"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Mechanistically,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promotes CRC progression through several convergent pathways. Its </w:t>
      </w:r>
      <w:proofErr w:type="spellStart"/>
      <w:r w:rsidRPr="00E36190">
        <w:rPr>
          <w:rFonts w:ascii="Times New Roman" w:eastAsia="Times New Roman" w:hAnsi="Times New Roman" w:cs="Times New Roman"/>
          <w:sz w:val="24"/>
          <w:szCs w:val="24"/>
          <w:lang w:val="en-US"/>
        </w:rPr>
        <w:t>FadA</w:t>
      </w:r>
      <w:proofErr w:type="spellEnd"/>
      <w:r w:rsidRPr="00E36190">
        <w:rPr>
          <w:rFonts w:ascii="Times New Roman" w:eastAsia="Times New Roman" w:hAnsi="Times New Roman" w:cs="Times New Roman"/>
          <w:sz w:val="24"/>
          <w:szCs w:val="24"/>
          <w:lang w:val="en-US"/>
        </w:rPr>
        <w:t xml:space="preserve"> adhesin activates the </w:t>
      </w:r>
      <w:proofErr w:type="spellStart"/>
      <w:r w:rsidRPr="00E36190">
        <w:rPr>
          <w:rFonts w:ascii="Times New Roman" w:eastAsia="Times New Roman" w:hAnsi="Times New Roman" w:cs="Times New Roman"/>
          <w:sz w:val="24"/>
          <w:szCs w:val="24"/>
          <w:lang w:val="en-US"/>
        </w:rPr>
        <w:t>Wnt</w:t>
      </w:r>
      <w:proofErr w:type="spellEnd"/>
      <w:r w:rsidRPr="00E36190">
        <w:rPr>
          <w:rFonts w:ascii="Times New Roman" w:eastAsia="Times New Roman" w:hAnsi="Times New Roman" w:cs="Times New Roman"/>
          <w:sz w:val="24"/>
          <w:szCs w:val="24"/>
          <w:lang w:val="en-US"/>
        </w:rPr>
        <w:t>/β-catenin pathway in colonic epithelial cells, stimulating cellular proliferation and tumorigenesis. Its Fap2 adhesin binds to TIGIT receptors on natural killer cells and T cells, suppressing anti-</w:t>
      </w:r>
      <w:proofErr w:type="spellStart"/>
      <w:r w:rsidRPr="00E36190">
        <w:rPr>
          <w:rFonts w:ascii="Times New Roman" w:eastAsia="Times New Roman" w:hAnsi="Times New Roman" w:cs="Times New Roman"/>
          <w:sz w:val="24"/>
          <w:szCs w:val="24"/>
          <w:lang w:val="en-US"/>
        </w:rPr>
        <w:t>tumour</w:t>
      </w:r>
      <w:proofErr w:type="spellEnd"/>
      <w:r w:rsidRPr="00E36190">
        <w:rPr>
          <w:rFonts w:ascii="Times New Roman" w:eastAsia="Times New Roman" w:hAnsi="Times New Roman" w:cs="Times New Roman"/>
          <w:sz w:val="24"/>
          <w:szCs w:val="24"/>
          <w:lang w:val="en-US"/>
        </w:rPr>
        <w:t xml:space="preserve"> immunity. The bacterium also promotes the </w:t>
      </w:r>
      <w:proofErr w:type="spellStart"/>
      <w:r w:rsidRPr="00E36190">
        <w:rPr>
          <w:rFonts w:ascii="Times New Roman" w:eastAsia="Times New Roman" w:hAnsi="Times New Roman" w:cs="Times New Roman"/>
          <w:sz w:val="24"/>
          <w:szCs w:val="24"/>
          <w:lang w:val="en-US"/>
        </w:rPr>
        <w:t>polarisation</w:t>
      </w:r>
      <w:proofErr w:type="spellEnd"/>
      <w:r w:rsidRPr="00E36190">
        <w:rPr>
          <w:rFonts w:ascii="Times New Roman" w:eastAsia="Times New Roman" w:hAnsi="Times New Roman" w:cs="Times New Roman"/>
          <w:sz w:val="24"/>
          <w:szCs w:val="24"/>
          <w:lang w:val="en-US"/>
        </w:rPr>
        <w:t xml:space="preserve"> of pro-tumorigenic M2 macrophages through TLR-4 </w:t>
      </w:r>
      <w:proofErr w:type="spellStart"/>
      <w:r w:rsidRPr="00E36190">
        <w:rPr>
          <w:rFonts w:ascii="Times New Roman" w:eastAsia="Times New Roman" w:hAnsi="Times New Roman" w:cs="Times New Roman"/>
          <w:sz w:val="24"/>
          <w:szCs w:val="24"/>
          <w:lang w:val="en-US"/>
        </w:rPr>
        <w:t>signalling</w:t>
      </w:r>
      <w:proofErr w:type="spellEnd"/>
      <w:r w:rsidRPr="00E36190">
        <w:rPr>
          <w:rFonts w:ascii="Times New Roman" w:eastAsia="Times New Roman" w:hAnsi="Times New Roman" w:cs="Times New Roman"/>
          <w:sz w:val="24"/>
          <w:szCs w:val="24"/>
          <w:lang w:val="en-US"/>
        </w:rPr>
        <w:t xml:space="preserve"> and activates the endoplasmic reticulum stress pathway in colonic cells through CARD3-targeting activity (Xi et al., 2024). The narrative review by Baima et al. (2023) in </w:t>
      </w:r>
      <w:r w:rsidRPr="00E36190">
        <w:rPr>
          <w:rFonts w:ascii="Times New Roman" w:eastAsia="Times New Roman" w:hAnsi="Times New Roman" w:cs="Times New Roman"/>
          <w:i/>
          <w:iCs/>
          <w:sz w:val="24"/>
          <w:szCs w:val="24"/>
          <w:lang w:val="en-US"/>
        </w:rPr>
        <w:t>Cancers</w:t>
      </w:r>
      <w:r w:rsidRPr="00E36190">
        <w:rPr>
          <w:rFonts w:ascii="Times New Roman" w:eastAsia="Times New Roman" w:hAnsi="Times New Roman" w:cs="Times New Roman"/>
          <w:sz w:val="24"/>
          <w:szCs w:val="24"/>
          <w:lang w:val="en-US"/>
        </w:rPr>
        <w:t xml:space="preserve"> comprehensively evaluated the epidemiological and mechanistic evidence supporting the concept of the "gum–gut axis" in gastrointestinal cancer, concluding that the </w:t>
      </w:r>
      <w:r w:rsidRPr="00E36190">
        <w:rPr>
          <w:rFonts w:ascii="Times New Roman" w:eastAsia="Times New Roman" w:hAnsi="Times New Roman" w:cs="Times New Roman"/>
          <w:sz w:val="24"/>
          <w:szCs w:val="24"/>
          <w:lang w:val="en-US"/>
        </w:rPr>
        <w:lastRenderedPageBreak/>
        <w:t>evidence for a causal contribution of periodontal pathogens to CRC pathogenesis is biologically plausible but that prospective data linking periodontal disease severity to CRC incidence remain sparse.</w:t>
      </w:r>
    </w:p>
    <w:p w14:paraId="5CBB2F31"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 xml:space="preserve">6.3 Metabolic-Associated </w:t>
      </w:r>
      <w:proofErr w:type="spellStart"/>
      <w:r w:rsidRPr="00E36190">
        <w:rPr>
          <w:rFonts w:ascii="Times New Roman" w:eastAsia="Times New Roman" w:hAnsi="Times New Roman" w:cs="Times New Roman"/>
          <w:b/>
          <w:bCs/>
          <w:sz w:val="24"/>
          <w:szCs w:val="24"/>
          <w:lang w:val="en-US"/>
        </w:rPr>
        <w:t>Steatotic</w:t>
      </w:r>
      <w:proofErr w:type="spellEnd"/>
      <w:r w:rsidRPr="00E36190">
        <w:rPr>
          <w:rFonts w:ascii="Times New Roman" w:eastAsia="Times New Roman" w:hAnsi="Times New Roman" w:cs="Times New Roman"/>
          <w:b/>
          <w:bCs/>
          <w:sz w:val="24"/>
          <w:szCs w:val="24"/>
          <w:lang w:val="en-US"/>
        </w:rPr>
        <w:t xml:space="preserve"> Liver Disease</w:t>
      </w:r>
    </w:p>
    <w:p w14:paraId="140E5667"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Metabolic-associated </w:t>
      </w:r>
      <w:proofErr w:type="spellStart"/>
      <w:r w:rsidRPr="00E36190">
        <w:rPr>
          <w:rFonts w:ascii="Times New Roman" w:eastAsia="Times New Roman" w:hAnsi="Times New Roman" w:cs="Times New Roman"/>
          <w:sz w:val="24"/>
          <w:szCs w:val="24"/>
          <w:lang w:val="en-US"/>
        </w:rPr>
        <w:t>steatotic</w:t>
      </w:r>
      <w:proofErr w:type="spellEnd"/>
      <w:r w:rsidRPr="00E36190">
        <w:rPr>
          <w:rFonts w:ascii="Times New Roman" w:eastAsia="Times New Roman" w:hAnsi="Times New Roman" w:cs="Times New Roman"/>
          <w:sz w:val="24"/>
          <w:szCs w:val="24"/>
          <w:lang w:val="en-US"/>
        </w:rPr>
        <w:t xml:space="preserve"> liver disease (MASLD), formerly termed non-alcoholic fatty liver disease (NAFLD), is among the most prevalent chronic liver conditions globally and shares risk factors including insulin resistance, obesity, and systemic inflammation with periodontitis. </w:t>
      </w: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 published a comprehensive review in the </w:t>
      </w:r>
      <w:r w:rsidRPr="00E36190">
        <w:rPr>
          <w:rFonts w:ascii="Times New Roman" w:eastAsia="Times New Roman" w:hAnsi="Times New Roman" w:cs="Times New Roman"/>
          <w:i/>
          <w:iCs/>
          <w:sz w:val="24"/>
          <w:szCs w:val="24"/>
          <w:lang w:val="en-US"/>
        </w:rPr>
        <w:t>World Journal of Gastroenterology</w:t>
      </w:r>
      <w:r w:rsidRPr="00E36190">
        <w:rPr>
          <w:rFonts w:ascii="Times New Roman" w:eastAsia="Times New Roman" w:hAnsi="Times New Roman" w:cs="Times New Roman"/>
          <w:sz w:val="24"/>
          <w:szCs w:val="24"/>
          <w:lang w:val="en-US"/>
        </w:rPr>
        <w:t xml:space="preserve"> delineating two convergent pathways through which periodontitis may contribute to MASLD pathogenesis: a </w:t>
      </w:r>
      <w:proofErr w:type="spellStart"/>
      <w:r w:rsidRPr="00E36190">
        <w:rPr>
          <w:rFonts w:ascii="Times New Roman" w:eastAsia="Times New Roman" w:hAnsi="Times New Roman" w:cs="Times New Roman"/>
          <w:sz w:val="24"/>
          <w:szCs w:val="24"/>
          <w:lang w:val="en-US"/>
        </w:rPr>
        <w:t>haematogenous</w:t>
      </w:r>
      <w:proofErr w:type="spellEnd"/>
      <w:r w:rsidRPr="00E36190">
        <w:rPr>
          <w:rFonts w:ascii="Times New Roman" w:eastAsia="Times New Roman" w:hAnsi="Times New Roman" w:cs="Times New Roman"/>
          <w:sz w:val="24"/>
          <w:szCs w:val="24"/>
          <w:lang w:val="en-US"/>
        </w:rPr>
        <w:t xml:space="preserve"> route whereby periodontal bacteria and their products reach the liver via the hepatic artery, and an enteral route in which oral pathobionts induce gut dysbiosis that impairs intestinal barrier function, promotes portal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 and delivers hepatotoxins to the liver through the enterohepatic circulation. The second route—mediated through the oral–gut–liver axis—is mechanistically more compelling for chronic MASLD progression.</w:t>
      </w:r>
    </w:p>
    <w:p w14:paraId="05155A9B"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Animal studies have shown that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to high-fat-diet-fed mice exacerbates hepatic steatosis, elevates serum alanine transaminase, and increases hepatic pro-inflammatory cytokine expression, with effects transmissible by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microbiota transplantation—confirming the gut-mediated nature of the hepatic injury (Xi et al., 2024). Clinically, several cross-sectional studies have identified periodontitis as an independent risk factor for MASLD after adjustment for known metabolic confounders, though the directionality of causation remains difficult to establish in the absence of longitudinal data (</w:t>
      </w: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 The therapeutic implication—that periodontal treatment may, via improvement in gut ecology and reduced systemic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 xml:space="preserve">, attenuate hepatic inflammation—is biologically plausible and warrants formal testing in </w:t>
      </w:r>
      <w:proofErr w:type="spellStart"/>
      <w:r w:rsidRPr="00E36190">
        <w:rPr>
          <w:rFonts w:ascii="Times New Roman" w:eastAsia="Times New Roman" w:hAnsi="Times New Roman" w:cs="Times New Roman"/>
          <w:sz w:val="24"/>
          <w:szCs w:val="24"/>
          <w:lang w:val="en-US"/>
        </w:rPr>
        <w:t>randomised</w:t>
      </w:r>
      <w:proofErr w:type="spellEnd"/>
      <w:r w:rsidRPr="00E36190">
        <w:rPr>
          <w:rFonts w:ascii="Times New Roman" w:eastAsia="Times New Roman" w:hAnsi="Times New Roman" w:cs="Times New Roman"/>
          <w:sz w:val="24"/>
          <w:szCs w:val="24"/>
          <w:lang w:val="en-US"/>
        </w:rPr>
        <w:t xml:space="preserve"> controlled trials.</w:t>
      </w:r>
    </w:p>
    <w:p w14:paraId="1F418DBB"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 xml:space="preserve">6.4 </w:t>
      </w:r>
      <w:proofErr w:type="gramStart"/>
      <w:r w:rsidRPr="00E36190">
        <w:rPr>
          <w:rFonts w:ascii="Times New Roman" w:eastAsia="Times New Roman" w:hAnsi="Times New Roman" w:cs="Times New Roman"/>
          <w:b/>
          <w:bCs/>
          <w:sz w:val="24"/>
          <w:szCs w:val="24"/>
          <w:lang w:val="en-US"/>
        </w:rPr>
        <w:t>Cardiovascular Disease</w:t>
      </w:r>
      <w:proofErr w:type="gramEnd"/>
    </w:p>
    <w:p w14:paraId="30E6F2DC"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association between periodontitis and cardiovascular disease (CVD) is among the most extensively documented in the periodontal medicine literature and has multiple mechanistic underpinnings. In the context of the oral–gut axis specifically, two metabolic pathways merit attention. First, periodontitis-associated gut dysbiosis is </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by an increased abundance of TMAO-producing bacteria, and elevated circulating TMAO has been shown to promote atherosclerosis through impaired reverse cholesterol transport, foam cell formation, and platelet hyperreactivity, with activation of the TLR-4/NF-</w:t>
      </w:r>
      <w:proofErr w:type="spellStart"/>
      <w:r w:rsidRPr="00E36190">
        <w:rPr>
          <w:rFonts w:ascii="Times New Roman" w:eastAsia="Times New Roman" w:hAnsi="Times New Roman" w:cs="Times New Roman"/>
          <w:sz w:val="24"/>
          <w:szCs w:val="24"/>
          <w:lang w:val="en-US"/>
        </w:rPr>
        <w:t>κB</w:t>
      </w:r>
      <w:proofErr w:type="spellEnd"/>
      <w:r w:rsidRPr="00E36190">
        <w:rPr>
          <w:rFonts w:ascii="Times New Roman" w:eastAsia="Times New Roman" w:hAnsi="Times New Roman" w:cs="Times New Roman"/>
          <w:sz w:val="24"/>
          <w:szCs w:val="24"/>
          <w:lang w:val="en-US"/>
        </w:rPr>
        <w:t xml:space="preserve"> inflammatory cascade further amplifying endothelial dysfunction (Li et al., 2022). Second, LPS translocating through a periodontitis-impaired gut epithelium can directly damage vascular endothelium, promote endothelial adhesion molecule expression, and amplify systemic inflammatory circuits—including elevation of high-sensitivity C-reactive protein and IL-6—that drive atherogenesis (</w:t>
      </w:r>
      <w:proofErr w:type="spellStart"/>
      <w:r w:rsidRPr="00E36190">
        <w:rPr>
          <w:rFonts w:ascii="Times New Roman" w:eastAsia="Times New Roman" w:hAnsi="Times New Roman" w:cs="Times New Roman"/>
          <w:sz w:val="24"/>
          <w:szCs w:val="24"/>
          <w:lang w:val="en-US"/>
        </w:rPr>
        <w:t>Hajishengallis</w:t>
      </w:r>
      <w:proofErr w:type="spellEnd"/>
      <w:r w:rsidRPr="00E36190">
        <w:rPr>
          <w:rFonts w:ascii="Times New Roman" w:eastAsia="Times New Roman" w:hAnsi="Times New Roman" w:cs="Times New Roman"/>
          <w:sz w:val="24"/>
          <w:szCs w:val="24"/>
          <w:lang w:val="en-US"/>
        </w:rPr>
        <w:t xml:space="preserve"> &amp; </w:t>
      </w:r>
      <w:proofErr w:type="spellStart"/>
      <w:r w:rsidRPr="00E36190">
        <w:rPr>
          <w:rFonts w:ascii="Times New Roman" w:eastAsia="Times New Roman" w:hAnsi="Times New Roman" w:cs="Times New Roman"/>
          <w:sz w:val="24"/>
          <w:szCs w:val="24"/>
          <w:lang w:val="en-US"/>
        </w:rPr>
        <w:t>Chavakis</w:t>
      </w:r>
      <w:proofErr w:type="spellEnd"/>
      <w:r w:rsidRPr="00E36190">
        <w:rPr>
          <w:rFonts w:ascii="Times New Roman" w:eastAsia="Times New Roman" w:hAnsi="Times New Roman" w:cs="Times New Roman"/>
          <w:sz w:val="24"/>
          <w:szCs w:val="24"/>
          <w:lang w:val="en-US"/>
        </w:rPr>
        <w:t xml:space="preserve">, 2021). Several oral bacteria, including </w:t>
      </w:r>
      <w:proofErr w:type="spellStart"/>
      <w:r w:rsidRPr="00E36190">
        <w:rPr>
          <w:rFonts w:ascii="Times New Roman" w:eastAsia="Times New Roman" w:hAnsi="Times New Roman" w:cs="Times New Roman"/>
          <w:i/>
          <w:iCs/>
          <w:sz w:val="24"/>
          <w:szCs w:val="24"/>
          <w:lang w:val="en-US"/>
        </w:rPr>
        <w:t>Prevotella</w:t>
      </w:r>
      <w:proofErr w:type="spellEnd"/>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species, are capable of producing TMA directly, such that the oral–gut axis may contribute to TMAO-mediated vascular injury through both direct TMA production in the oral cavity and indirect modulation of gut community TMA output (Xi et al., 2024).</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2</w:t>
      </w:r>
      <w:r w:rsidRPr="00E36190">
        <w:rPr>
          <w:rFonts w:ascii="Times New Roman" w:eastAsia="Times New Roman" w:hAnsi="Times New Roman" w:cs="Times New Roman"/>
          <w:sz w:val="24"/>
          <w:szCs w:val="24"/>
          <w:lang w:val="en-US"/>
        </w:rPr>
        <w:t xml:space="preserve"> provides a consolidated overview of the systemic disease associations mediated through the oral–gut axis, </w:t>
      </w:r>
      <w:proofErr w:type="spellStart"/>
      <w:r w:rsidRPr="00E36190">
        <w:rPr>
          <w:rFonts w:ascii="Times New Roman" w:eastAsia="Times New Roman" w:hAnsi="Times New Roman" w:cs="Times New Roman"/>
          <w:sz w:val="24"/>
          <w:szCs w:val="24"/>
          <w:lang w:val="en-US"/>
        </w:rPr>
        <w:t>summarising</w:t>
      </w:r>
      <w:proofErr w:type="spellEnd"/>
      <w:r w:rsidRPr="00E36190">
        <w:rPr>
          <w:rFonts w:ascii="Times New Roman" w:eastAsia="Times New Roman" w:hAnsi="Times New Roman" w:cs="Times New Roman"/>
          <w:sz w:val="24"/>
          <w:szCs w:val="24"/>
          <w:lang w:val="en-US"/>
        </w:rPr>
        <w:t xml:space="preserve"> the key evidence and mechanistic pathways discussed in this section.</w:t>
      </w:r>
    </w:p>
    <w:p w14:paraId="26FFB70B"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3B1DE1A9"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2.</w:t>
      </w:r>
      <w:r w:rsidRPr="00E36190">
        <w:rPr>
          <w:rFonts w:ascii="Times New Roman" w:eastAsia="Times New Roman" w:hAnsi="Times New Roman" w:cs="Times New Roman"/>
          <w:sz w:val="24"/>
          <w:szCs w:val="24"/>
          <w:lang w:val="en-US"/>
        </w:rPr>
        <w:t xml:space="preserve"> Systemic diseases associated with the oral–gut microbial translocation axis in periodontitis.</w:t>
      </w:r>
    </w:p>
    <w:tbl>
      <w:tblPr>
        <w:tblStyle w:val="TableGrid"/>
        <w:tblW w:w="0" w:type="auto"/>
        <w:tblLook w:val="04A0" w:firstRow="1" w:lastRow="0" w:firstColumn="1" w:lastColumn="0" w:noHBand="0" w:noVBand="1"/>
      </w:tblPr>
      <w:tblGrid>
        <w:gridCol w:w="2086"/>
        <w:gridCol w:w="2960"/>
        <w:gridCol w:w="2146"/>
        <w:gridCol w:w="2050"/>
      </w:tblGrid>
      <w:tr w:rsidR="00E36190" w:rsidRPr="00E36190" w14:paraId="698E848E" w14:textId="77777777" w:rsidTr="00E36190">
        <w:tc>
          <w:tcPr>
            <w:tcW w:w="0" w:type="auto"/>
            <w:hideMark/>
          </w:tcPr>
          <w:p w14:paraId="0466E0DF"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Systemic Disease</w:t>
            </w:r>
          </w:p>
        </w:tc>
        <w:tc>
          <w:tcPr>
            <w:tcW w:w="0" w:type="auto"/>
            <w:hideMark/>
          </w:tcPr>
          <w:p w14:paraId="79CD81A2"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Mechanistic Pathways</w:t>
            </w:r>
          </w:p>
        </w:tc>
        <w:tc>
          <w:tcPr>
            <w:tcW w:w="0" w:type="auto"/>
            <w:hideMark/>
          </w:tcPr>
          <w:p w14:paraId="5BF30DA6"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Study / Evidence</w:t>
            </w:r>
          </w:p>
        </w:tc>
        <w:tc>
          <w:tcPr>
            <w:tcW w:w="0" w:type="auto"/>
            <w:hideMark/>
          </w:tcPr>
          <w:p w14:paraId="165F856E"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Study Design</w:t>
            </w:r>
          </w:p>
        </w:tc>
      </w:tr>
      <w:tr w:rsidR="00E36190" w:rsidRPr="00E36190" w14:paraId="06B37C8D" w14:textId="77777777" w:rsidTr="00E36190">
        <w:tc>
          <w:tcPr>
            <w:tcW w:w="0" w:type="auto"/>
            <w:hideMark/>
          </w:tcPr>
          <w:p w14:paraId="1B803340"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Inflammatory bowel disease</w:t>
            </w:r>
          </w:p>
        </w:tc>
        <w:tc>
          <w:tcPr>
            <w:tcW w:w="0" w:type="auto"/>
            <w:hideMark/>
          </w:tcPr>
          <w:p w14:paraId="203AD4C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Oral pathobiont gut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Th17/Treg imbalance; TJ disruption; PPAD-mediated citrullination</w:t>
            </w:r>
          </w:p>
        </w:tc>
        <w:tc>
          <w:tcPr>
            <w:tcW w:w="0" w:type="auto"/>
            <w:hideMark/>
          </w:tcPr>
          <w:p w14:paraId="0C0278F1" w14:textId="77777777" w:rsidR="00E36190" w:rsidRPr="00E36190" w:rsidRDefault="00E36190" w:rsidP="003B1B50">
            <w:pPr>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 Tanwar et al. (2024)</w:t>
            </w:r>
          </w:p>
        </w:tc>
        <w:tc>
          <w:tcPr>
            <w:tcW w:w="0" w:type="auto"/>
            <w:hideMark/>
          </w:tcPr>
          <w:p w14:paraId="55E67F6E"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Murine model; narrative review</w:t>
            </w:r>
          </w:p>
        </w:tc>
      </w:tr>
      <w:tr w:rsidR="00E36190" w:rsidRPr="00E36190" w14:paraId="2A886830" w14:textId="77777777" w:rsidTr="00E36190">
        <w:tc>
          <w:tcPr>
            <w:tcW w:w="0" w:type="auto"/>
            <w:hideMark/>
          </w:tcPr>
          <w:p w14:paraId="2EBDDBAE"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Colorectal cancer</w:t>
            </w:r>
          </w:p>
        </w:tc>
        <w:tc>
          <w:tcPr>
            <w:tcW w:w="0" w:type="auto"/>
            <w:hideMark/>
          </w:tcPr>
          <w:p w14:paraId="44A16D5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sz w:val="24"/>
                <w:szCs w:val="24"/>
                <w:lang w:val="en-US"/>
              </w:rPr>
              <w:t>FadA</w:t>
            </w:r>
            <w:proofErr w:type="spellEnd"/>
            <w:r w:rsidRPr="00E36190">
              <w:rPr>
                <w:rFonts w:ascii="Times New Roman" w:eastAsia="Times New Roman" w:hAnsi="Times New Roman" w:cs="Times New Roman"/>
                <w:sz w:val="24"/>
                <w:szCs w:val="24"/>
                <w:lang w:val="en-US"/>
              </w:rPr>
              <w:t xml:space="preserve"> → </w:t>
            </w:r>
            <w:proofErr w:type="spellStart"/>
            <w:r w:rsidRPr="00E36190">
              <w:rPr>
                <w:rFonts w:ascii="Times New Roman" w:eastAsia="Times New Roman" w:hAnsi="Times New Roman" w:cs="Times New Roman"/>
                <w:sz w:val="24"/>
                <w:szCs w:val="24"/>
                <w:lang w:val="en-US"/>
              </w:rPr>
              <w:t>Wnt</w:t>
            </w:r>
            <w:proofErr w:type="spellEnd"/>
            <w:r w:rsidRPr="00E36190">
              <w:rPr>
                <w:rFonts w:ascii="Times New Roman" w:eastAsia="Times New Roman" w:hAnsi="Times New Roman" w:cs="Times New Roman"/>
                <w:sz w:val="24"/>
                <w:szCs w:val="24"/>
                <w:lang w:val="en-US"/>
              </w:rPr>
              <w:t xml:space="preserve">/β-catenin; Fap2 → immune suppression; ectopic </w:t>
            </w:r>
            <w:proofErr w:type="spellStart"/>
            <w:r w:rsidRPr="00E36190">
              <w:rPr>
                <w:rFonts w:ascii="Times New Roman" w:eastAsia="Times New Roman" w:hAnsi="Times New Roman" w:cs="Times New Roman"/>
                <w:sz w:val="24"/>
                <w:szCs w:val="24"/>
                <w:lang w:val="en-US"/>
              </w:rPr>
              <w:t>tumour</w:t>
            </w:r>
            <w:proofErr w:type="spellEnd"/>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sz w:val="24"/>
                <w:szCs w:val="24"/>
                <w:lang w:val="en-US"/>
              </w:rPr>
              <w:t>colonisation</w:t>
            </w:r>
            <w:proofErr w:type="spellEnd"/>
          </w:p>
        </w:tc>
        <w:tc>
          <w:tcPr>
            <w:tcW w:w="0" w:type="auto"/>
            <w:hideMark/>
          </w:tcPr>
          <w:p w14:paraId="7FED69B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Mesa et al. (2022); Baima et al. (2023)</w:t>
            </w:r>
          </w:p>
        </w:tc>
        <w:tc>
          <w:tcPr>
            <w:tcW w:w="0" w:type="auto"/>
            <w:hideMark/>
          </w:tcPr>
          <w:p w14:paraId="51FE798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Clinical genomic; narrative review</w:t>
            </w:r>
          </w:p>
        </w:tc>
      </w:tr>
      <w:tr w:rsidR="00E36190" w:rsidRPr="00E36190" w14:paraId="2D101322" w14:textId="77777777" w:rsidTr="00E36190">
        <w:tc>
          <w:tcPr>
            <w:tcW w:w="0" w:type="auto"/>
            <w:hideMark/>
          </w:tcPr>
          <w:p w14:paraId="4E11CBDC"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MASLD/NAFLD</w:t>
            </w:r>
          </w:p>
        </w:tc>
        <w:tc>
          <w:tcPr>
            <w:tcW w:w="0" w:type="auto"/>
            <w:hideMark/>
          </w:tcPr>
          <w:p w14:paraId="1BC68945"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Oral–gut–liver axis; portal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 hepatic LPS accumulation; TMAO elevation</w:t>
            </w:r>
          </w:p>
        </w:tc>
        <w:tc>
          <w:tcPr>
            <w:tcW w:w="0" w:type="auto"/>
            <w:hideMark/>
          </w:tcPr>
          <w:p w14:paraId="2A8CE772" w14:textId="77777777" w:rsidR="00E36190" w:rsidRPr="00E36190" w:rsidRDefault="00E36190" w:rsidP="003B1B50">
            <w:pPr>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 Xi et al. (2024)</w:t>
            </w:r>
          </w:p>
        </w:tc>
        <w:tc>
          <w:tcPr>
            <w:tcW w:w="0" w:type="auto"/>
            <w:hideMark/>
          </w:tcPr>
          <w:p w14:paraId="7A97CFE9"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Narrative review; animal models</w:t>
            </w:r>
          </w:p>
        </w:tc>
      </w:tr>
      <w:tr w:rsidR="00E36190" w:rsidRPr="00E36190" w14:paraId="5C919347" w14:textId="77777777" w:rsidTr="00E36190">
        <w:tc>
          <w:tcPr>
            <w:tcW w:w="0" w:type="auto"/>
            <w:hideMark/>
          </w:tcPr>
          <w:p w14:paraId="5CBAD1FF"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Cardiovascular disease</w:t>
            </w:r>
          </w:p>
        </w:tc>
        <w:tc>
          <w:tcPr>
            <w:tcW w:w="0" w:type="auto"/>
            <w:hideMark/>
          </w:tcPr>
          <w:p w14:paraId="06170AE4"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TMAO production;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 systemic IL-6/CRP elevation; endothelial dysfunction</w:t>
            </w:r>
          </w:p>
        </w:tc>
        <w:tc>
          <w:tcPr>
            <w:tcW w:w="0" w:type="auto"/>
            <w:hideMark/>
          </w:tcPr>
          <w:p w14:paraId="3D098BD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Li et al. (2022); </w:t>
            </w:r>
            <w:proofErr w:type="spellStart"/>
            <w:r w:rsidRPr="00E36190">
              <w:rPr>
                <w:rFonts w:ascii="Times New Roman" w:eastAsia="Times New Roman" w:hAnsi="Times New Roman" w:cs="Times New Roman"/>
                <w:sz w:val="24"/>
                <w:szCs w:val="24"/>
                <w:lang w:val="en-US"/>
              </w:rPr>
              <w:t>Hajishengallis</w:t>
            </w:r>
            <w:proofErr w:type="spellEnd"/>
            <w:r w:rsidRPr="00E36190">
              <w:rPr>
                <w:rFonts w:ascii="Times New Roman" w:eastAsia="Times New Roman" w:hAnsi="Times New Roman" w:cs="Times New Roman"/>
                <w:sz w:val="24"/>
                <w:szCs w:val="24"/>
                <w:lang w:val="en-US"/>
              </w:rPr>
              <w:t xml:space="preserve"> &amp; </w:t>
            </w:r>
            <w:proofErr w:type="spellStart"/>
            <w:r w:rsidRPr="00E36190">
              <w:rPr>
                <w:rFonts w:ascii="Times New Roman" w:eastAsia="Times New Roman" w:hAnsi="Times New Roman" w:cs="Times New Roman"/>
                <w:sz w:val="24"/>
                <w:szCs w:val="24"/>
                <w:lang w:val="en-US"/>
              </w:rPr>
              <w:t>Chavakis</w:t>
            </w:r>
            <w:proofErr w:type="spellEnd"/>
            <w:r w:rsidRPr="00E36190">
              <w:rPr>
                <w:rFonts w:ascii="Times New Roman" w:eastAsia="Times New Roman" w:hAnsi="Times New Roman" w:cs="Times New Roman"/>
                <w:sz w:val="24"/>
                <w:szCs w:val="24"/>
                <w:lang w:val="en-US"/>
              </w:rPr>
              <w:t xml:space="preserve"> (2021)</w:t>
            </w:r>
          </w:p>
        </w:tc>
        <w:tc>
          <w:tcPr>
            <w:tcW w:w="0" w:type="auto"/>
            <w:hideMark/>
          </w:tcPr>
          <w:p w14:paraId="3246AE1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Review; epidemiological</w:t>
            </w:r>
          </w:p>
        </w:tc>
      </w:tr>
      <w:tr w:rsidR="00E36190" w:rsidRPr="00E36190" w14:paraId="16BDCBF7" w14:textId="77777777" w:rsidTr="00E36190">
        <w:tc>
          <w:tcPr>
            <w:tcW w:w="0" w:type="auto"/>
            <w:hideMark/>
          </w:tcPr>
          <w:p w14:paraId="57CBEC59"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Insulin resistance / T2DM</w:t>
            </w:r>
          </w:p>
        </w:tc>
        <w:tc>
          <w:tcPr>
            <w:tcW w:w="0" w:type="auto"/>
            <w:hideMark/>
          </w:tcPr>
          <w:p w14:paraId="4536FF34"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-mediated gut dysbiosis; impaired AHR </w:t>
            </w:r>
            <w:proofErr w:type="spellStart"/>
            <w:r w:rsidRPr="00E36190">
              <w:rPr>
                <w:rFonts w:ascii="Times New Roman" w:eastAsia="Times New Roman" w:hAnsi="Times New Roman" w:cs="Times New Roman"/>
                <w:sz w:val="24"/>
                <w:szCs w:val="24"/>
                <w:lang w:val="en-US"/>
              </w:rPr>
              <w:t>signalling</w:t>
            </w:r>
            <w:proofErr w:type="spellEnd"/>
            <w:r w:rsidRPr="00E36190">
              <w:rPr>
                <w:rFonts w:ascii="Times New Roman" w:eastAsia="Times New Roman" w:hAnsi="Times New Roman" w:cs="Times New Roman"/>
                <w:sz w:val="24"/>
                <w:szCs w:val="24"/>
                <w:lang w:val="en-US"/>
              </w:rPr>
              <w:t>; endotoxin-driven insulin resistance</w:t>
            </w:r>
          </w:p>
        </w:tc>
        <w:tc>
          <w:tcPr>
            <w:tcW w:w="0" w:type="auto"/>
            <w:hideMark/>
          </w:tcPr>
          <w:p w14:paraId="69E944CE"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Xi et al. (2024); Nakajima et al. (2015)</w:t>
            </w:r>
          </w:p>
        </w:tc>
        <w:tc>
          <w:tcPr>
            <w:tcW w:w="0" w:type="auto"/>
            <w:hideMark/>
          </w:tcPr>
          <w:p w14:paraId="350187A6"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Animal models</w:t>
            </w:r>
          </w:p>
        </w:tc>
      </w:tr>
    </w:tbl>
    <w:p w14:paraId="0A468259"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MASLD, metabolic-associated </w:t>
      </w:r>
      <w:proofErr w:type="spellStart"/>
      <w:r w:rsidRPr="00E36190">
        <w:rPr>
          <w:rFonts w:ascii="Times New Roman" w:eastAsia="Times New Roman" w:hAnsi="Times New Roman" w:cs="Times New Roman"/>
          <w:i/>
          <w:iCs/>
          <w:sz w:val="24"/>
          <w:szCs w:val="24"/>
          <w:lang w:val="en-US"/>
        </w:rPr>
        <w:t>steatotic</w:t>
      </w:r>
      <w:proofErr w:type="spellEnd"/>
      <w:r w:rsidRPr="00E36190">
        <w:rPr>
          <w:rFonts w:ascii="Times New Roman" w:eastAsia="Times New Roman" w:hAnsi="Times New Roman" w:cs="Times New Roman"/>
          <w:i/>
          <w:iCs/>
          <w:sz w:val="24"/>
          <w:szCs w:val="24"/>
          <w:lang w:val="en-US"/>
        </w:rPr>
        <w:t xml:space="preserve"> liver disease; NAFLD, non-alcoholic fatty liver disease; TJ, tight junction; PPAD, </w:t>
      </w:r>
      <w:proofErr w:type="spellStart"/>
      <w:r w:rsidRPr="00E36190">
        <w:rPr>
          <w:rFonts w:ascii="Times New Roman" w:eastAsia="Times New Roman" w:hAnsi="Times New Roman" w:cs="Times New Roman"/>
          <w:i/>
          <w:iCs/>
          <w:sz w:val="24"/>
          <w:szCs w:val="24"/>
          <w:lang w:val="en-US"/>
        </w:rPr>
        <w:t>peptidylarginine</w:t>
      </w:r>
      <w:proofErr w:type="spellEnd"/>
      <w:r w:rsidRPr="00E36190">
        <w:rPr>
          <w:rFonts w:ascii="Times New Roman" w:eastAsia="Times New Roman" w:hAnsi="Times New Roman" w:cs="Times New Roman"/>
          <w:i/>
          <w:iCs/>
          <w:sz w:val="24"/>
          <w:szCs w:val="24"/>
          <w:lang w:val="en-US"/>
        </w:rPr>
        <w:t xml:space="preserve"> deiminase; TMAO, trimethylamine N-oxide; CRP, C-reactive protein; AHR, aryl hydrocarbon receptor; T2DM, type 2 diabetes mellitus.</w:t>
      </w:r>
    </w:p>
    <w:p w14:paraId="4E034BF9"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6F867FC6"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7. Impact of Periodontal Therapy on the Gut Microbiome</w:t>
      </w:r>
    </w:p>
    <w:p w14:paraId="15E0B37D"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7.1 Non-Surgical Periodontal Therapy and Microbial Change</w:t>
      </w:r>
    </w:p>
    <w:p w14:paraId="68526CE4"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critical test of the oral–gut axis hypothesis is whether effective treatment of periodontitis produces measurable and sustained improvements in gut microbial composition. Non-surgical periodontal therapy (NSPT)—comprising full-mouth debridement through supragingival and subgingival scaling and root </w:t>
      </w:r>
      <w:proofErr w:type="spellStart"/>
      <w:r w:rsidRPr="00E36190">
        <w:rPr>
          <w:rFonts w:ascii="Times New Roman" w:eastAsia="Times New Roman" w:hAnsi="Times New Roman" w:cs="Times New Roman"/>
          <w:sz w:val="24"/>
          <w:szCs w:val="24"/>
          <w:lang w:val="en-US"/>
        </w:rPr>
        <w:t>planing</w:t>
      </w:r>
      <w:proofErr w:type="spellEnd"/>
      <w:r w:rsidRPr="00E36190">
        <w:rPr>
          <w:rFonts w:ascii="Times New Roman" w:eastAsia="Times New Roman" w:hAnsi="Times New Roman" w:cs="Times New Roman"/>
          <w:sz w:val="24"/>
          <w:szCs w:val="24"/>
          <w:lang w:val="en-US"/>
        </w:rPr>
        <w:t>—significantly reduces the total subgingival microbial load and shifts the subgingival community towards a health-compatible composition. Several clinical studies have sought to determine whether these oral changes are mirrored at the gut level, with increasingly rigorous methodology.</w:t>
      </w:r>
    </w:p>
    <w:p w14:paraId="3D2866A8"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study by Baima et al. (2024), published in the </w:t>
      </w:r>
      <w:r w:rsidRPr="00E36190">
        <w:rPr>
          <w:rFonts w:ascii="Times New Roman" w:eastAsia="Times New Roman" w:hAnsi="Times New Roman" w:cs="Times New Roman"/>
          <w:i/>
          <w:iCs/>
          <w:sz w:val="24"/>
          <w:szCs w:val="24"/>
          <w:lang w:val="en-US"/>
        </w:rPr>
        <w:t>Journal of Dental Research</w:t>
      </w:r>
      <w:r w:rsidRPr="00E36190">
        <w:rPr>
          <w:rFonts w:ascii="Times New Roman" w:eastAsia="Times New Roman" w:hAnsi="Times New Roman" w:cs="Times New Roman"/>
          <w:sz w:val="24"/>
          <w:szCs w:val="24"/>
          <w:lang w:val="en-US"/>
        </w:rPr>
        <w:t xml:space="preserve">, is among the most methodologically robust clinical investigations of the oral–gut axis in periodontitis. The </w:t>
      </w:r>
      <w:r w:rsidRPr="00E36190">
        <w:rPr>
          <w:rFonts w:ascii="Times New Roman" w:eastAsia="Times New Roman" w:hAnsi="Times New Roman" w:cs="Times New Roman"/>
          <w:sz w:val="24"/>
          <w:szCs w:val="24"/>
          <w:lang w:val="en-US"/>
        </w:rPr>
        <w:lastRenderedPageBreak/>
        <w:t xml:space="preserve">study enrolled 47 patients with </w:t>
      </w:r>
      <w:proofErr w:type="spellStart"/>
      <w:r w:rsidRPr="00E36190">
        <w:rPr>
          <w:rFonts w:ascii="Times New Roman" w:eastAsia="Times New Roman" w:hAnsi="Times New Roman" w:cs="Times New Roman"/>
          <w:sz w:val="24"/>
          <w:szCs w:val="24"/>
          <w:lang w:val="en-US"/>
        </w:rPr>
        <w:t>generalised</w:t>
      </w:r>
      <w:proofErr w:type="spellEnd"/>
      <w:r w:rsidRPr="00E36190">
        <w:rPr>
          <w:rFonts w:ascii="Times New Roman" w:eastAsia="Times New Roman" w:hAnsi="Times New Roman" w:cs="Times New Roman"/>
          <w:sz w:val="24"/>
          <w:szCs w:val="24"/>
          <w:lang w:val="en-US"/>
        </w:rPr>
        <w:t xml:space="preserve"> stage III/IV periodontitis, collected matched stool and saliva samples at baseline and three months after steps I–II of periodontal therapy, and </w:t>
      </w:r>
      <w:proofErr w:type="spellStart"/>
      <w:r w:rsidRPr="00E36190">
        <w:rPr>
          <w:rFonts w:ascii="Times New Roman" w:eastAsia="Times New Roman" w:hAnsi="Times New Roman" w:cs="Times New Roman"/>
          <w:sz w:val="24"/>
          <w:szCs w:val="24"/>
          <w:lang w:val="en-US"/>
        </w:rPr>
        <w:t>analysed</w:t>
      </w:r>
      <w:proofErr w:type="spellEnd"/>
      <w:r w:rsidRPr="00E36190">
        <w:rPr>
          <w:rFonts w:ascii="Times New Roman" w:eastAsia="Times New Roman" w:hAnsi="Times New Roman" w:cs="Times New Roman"/>
          <w:sz w:val="24"/>
          <w:szCs w:val="24"/>
          <w:lang w:val="en-US"/>
        </w:rPr>
        <w:t xml:space="preserve"> microbial composition using 16S rRNA gene amplicon sequencing. Non-surgical periodontal therapy was found to significantly reduce the relative abundance of periodontal pathogens in saliva and, notably, to alter gut microbial composition: Firmicutes-to-Bacteroidetes ratios, established markers of gut dysbiosis, improved following treatment, and there was a reduction in the gut abundance of pro-inflammatory taxa whose salivary counterparts had been reduced by therapy. This study thus provides direct clinical evidence that reducing oral microbial burden through standard periodontal intervention produces quantifiable changes in gut ecology, supporting the translational potential of the oral–gut axis concept.</w:t>
      </w:r>
    </w:p>
    <w:p w14:paraId="51F71039"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w:t>
      </w:r>
      <w:proofErr w:type="spellStart"/>
      <w:r w:rsidRPr="00E36190">
        <w:rPr>
          <w:rFonts w:ascii="Times New Roman" w:eastAsia="Times New Roman" w:hAnsi="Times New Roman" w:cs="Times New Roman"/>
          <w:sz w:val="24"/>
          <w:szCs w:val="24"/>
          <w:lang w:val="en-US"/>
        </w:rPr>
        <w:t>randomised</w:t>
      </w:r>
      <w:proofErr w:type="spellEnd"/>
      <w:r w:rsidRPr="00E36190">
        <w:rPr>
          <w:rFonts w:ascii="Times New Roman" w:eastAsia="Times New Roman" w:hAnsi="Times New Roman" w:cs="Times New Roman"/>
          <w:sz w:val="24"/>
          <w:szCs w:val="24"/>
          <w:lang w:val="en-US"/>
        </w:rPr>
        <w:t xml:space="preserve"> controlled clinical trial by de Oliveira et al. (2022) evaluated whether systemic probiotic supplementation as an adjunct to subgingival instrumentation offered additional benefits over NSPT alone for the oral–gut microbiota in periodontitis patients. While probiotic adjunction did not provide statistically significant additional clinical benefits in terms of periodontal pocket depth or clinical attachment level, the study identified that response to therapy was associated with distinct baseline oral–gut microbial profiles, suggesting that pre-existing microbiome configuration may modulate therapeutic outcomes. This finding has implications for precision periodontal medicine, wherein patient-specific microbiome profiling might eventually guide treatment selection.</w:t>
      </w:r>
    </w:p>
    <w:p w14:paraId="0E3648B5"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7.2 Therapeutic Modulation: Probiotics, Prebiotics, and Bacteriophage Approaches</w:t>
      </w:r>
    </w:p>
    <w:p w14:paraId="538FEDBE"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convergence of oral and gut microbial communities along the oral–gut axis has stimulated interest in microbiome-targeted therapeutic strategies that could simultaneously benefit periodontal and systemic health. Probiotics—specifically </w:t>
      </w:r>
      <w:r w:rsidRPr="00E36190">
        <w:rPr>
          <w:rFonts w:ascii="Times New Roman" w:eastAsia="Times New Roman" w:hAnsi="Times New Roman" w:cs="Times New Roman"/>
          <w:i/>
          <w:iCs/>
          <w:sz w:val="24"/>
          <w:szCs w:val="24"/>
          <w:lang w:val="en-US"/>
        </w:rPr>
        <w:t>Lactobacillus</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Bifidobacterium</w:t>
      </w:r>
      <w:r w:rsidRPr="00E36190">
        <w:rPr>
          <w:rFonts w:ascii="Times New Roman" w:eastAsia="Times New Roman" w:hAnsi="Times New Roman" w:cs="Times New Roman"/>
          <w:sz w:val="24"/>
          <w:szCs w:val="24"/>
          <w:lang w:val="en-US"/>
        </w:rPr>
        <w:t xml:space="preserve"> strains with demonstrable mucosal anti-inflammatory properties—have been investigated as adjuncts to conventional periodontal therapy, with some evidence of modest improvements in clinical parameters and </w:t>
      </w:r>
      <w:proofErr w:type="spellStart"/>
      <w:r w:rsidRPr="00E36190">
        <w:rPr>
          <w:rFonts w:ascii="Times New Roman" w:eastAsia="Times New Roman" w:hAnsi="Times New Roman" w:cs="Times New Roman"/>
          <w:sz w:val="24"/>
          <w:szCs w:val="24"/>
          <w:lang w:val="en-US"/>
        </w:rPr>
        <w:t>favourable</w:t>
      </w:r>
      <w:proofErr w:type="spellEnd"/>
      <w:r w:rsidRPr="00E36190">
        <w:rPr>
          <w:rFonts w:ascii="Times New Roman" w:eastAsia="Times New Roman" w:hAnsi="Times New Roman" w:cs="Times New Roman"/>
          <w:sz w:val="24"/>
          <w:szCs w:val="24"/>
          <w:lang w:val="en-US"/>
        </w:rPr>
        <w:t xml:space="preserve"> shifts in subgingival microbial composition (</w:t>
      </w: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 Prebiotics, including inulin, </w:t>
      </w:r>
      <w:proofErr w:type="spellStart"/>
      <w:r w:rsidRPr="00E36190">
        <w:rPr>
          <w:rFonts w:ascii="Times New Roman" w:eastAsia="Times New Roman" w:hAnsi="Times New Roman" w:cs="Times New Roman"/>
          <w:sz w:val="24"/>
          <w:szCs w:val="24"/>
          <w:lang w:val="en-US"/>
        </w:rPr>
        <w:t>fructooligosaccharides</w:t>
      </w:r>
      <w:proofErr w:type="spellEnd"/>
      <w:r w:rsidRPr="00E36190">
        <w:rPr>
          <w:rFonts w:ascii="Times New Roman" w:eastAsia="Times New Roman" w:hAnsi="Times New Roman" w:cs="Times New Roman"/>
          <w:sz w:val="24"/>
          <w:szCs w:val="24"/>
          <w:lang w:val="en-US"/>
        </w:rPr>
        <w:t xml:space="preserve">, and resistant starch, may promote the growth of butyrate-producing gut commensals reduced by periodontitis-associated dysbiosis, thereby reinforcing epithelial barrier function and dampening systemic </w:t>
      </w:r>
      <w:proofErr w:type="spellStart"/>
      <w:r w:rsidRPr="00E36190">
        <w:rPr>
          <w:rFonts w:ascii="Times New Roman" w:eastAsia="Times New Roman" w:hAnsi="Times New Roman" w:cs="Times New Roman"/>
          <w:sz w:val="24"/>
          <w:szCs w:val="24"/>
          <w:lang w:val="en-US"/>
        </w:rPr>
        <w:t>endotoxaemia</w:t>
      </w:r>
      <w:proofErr w:type="spellEnd"/>
      <w:r w:rsidRPr="00E36190">
        <w:rPr>
          <w:rFonts w:ascii="Times New Roman" w:eastAsia="Times New Roman" w:hAnsi="Times New Roman" w:cs="Times New Roman"/>
          <w:sz w:val="24"/>
          <w:szCs w:val="24"/>
          <w:lang w:val="en-US"/>
        </w:rPr>
        <w:t>.</w:t>
      </w:r>
    </w:p>
    <w:p w14:paraId="53A06F62"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microbiota transplantation (FMT) has been used in animal models to confirm that gut dysbiosis induced by oral pathobiont administration is sufficient to propagate intestinal inflammation in the absence of ongoing oral disease (</w:t>
      </w: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 Clinically, FMT has been applied successfully in recurrent </w:t>
      </w:r>
      <w:r w:rsidRPr="00E36190">
        <w:rPr>
          <w:rFonts w:ascii="Times New Roman" w:eastAsia="Times New Roman" w:hAnsi="Times New Roman" w:cs="Times New Roman"/>
          <w:i/>
          <w:iCs/>
          <w:sz w:val="24"/>
          <w:szCs w:val="24"/>
          <w:lang w:val="en-US"/>
        </w:rPr>
        <w:t>Clostridioides difficile</w:t>
      </w:r>
      <w:r w:rsidRPr="00E36190">
        <w:rPr>
          <w:rFonts w:ascii="Times New Roman" w:eastAsia="Times New Roman" w:hAnsi="Times New Roman" w:cs="Times New Roman"/>
          <w:sz w:val="24"/>
          <w:szCs w:val="24"/>
          <w:lang w:val="en-US"/>
        </w:rPr>
        <w:t xml:space="preserve"> infection and is under investigation for IBD; whether it could be exploited therapeutically in the context of periodontitis-associated gut dysbiosis has not yet been formally studied. Bacteriophage therapy targeting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—using phage FNU1, which selectively lysed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cells and eliminated the organism from CRC </w:t>
      </w:r>
      <w:proofErr w:type="spellStart"/>
      <w:r w:rsidRPr="00E36190">
        <w:rPr>
          <w:rFonts w:ascii="Times New Roman" w:eastAsia="Times New Roman" w:hAnsi="Times New Roman" w:cs="Times New Roman"/>
          <w:sz w:val="24"/>
          <w:szCs w:val="24"/>
          <w:lang w:val="en-US"/>
        </w:rPr>
        <w:t>tumour</w:t>
      </w:r>
      <w:proofErr w:type="spellEnd"/>
      <w:r w:rsidRPr="00E36190">
        <w:rPr>
          <w:rFonts w:ascii="Times New Roman" w:eastAsia="Times New Roman" w:hAnsi="Times New Roman" w:cs="Times New Roman"/>
          <w:sz w:val="24"/>
          <w:szCs w:val="24"/>
          <w:lang w:val="en-US"/>
        </w:rPr>
        <w:t xml:space="preserve"> tissue in experimental models—represents a precision antimicrobial approach that may eventually complement conventional periodontal treatment (Xi et al., 2024). Regulatory and safety challenges remain substantial before clinical application.</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3</w:t>
      </w:r>
      <w:r w:rsidRPr="00E36190">
        <w:rPr>
          <w:rFonts w:ascii="Times New Roman" w:eastAsia="Times New Roman" w:hAnsi="Times New Roman" w:cs="Times New Roman"/>
          <w:sz w:val="24"/>
          <w:szCs w:val="24"/>
          <w:lang w:val="en-US"/>
        </w:rPr>
        <w:t xml:space="preserve"> </w:t>
      </w:r>
      <w:proofErr w:type="spellStart"/>
      <w:r w:rsidRPr="00E36190">
        <w:rPr>
          <w:rFonts w:ascii="Times New Roman" w:eastAsia="Times New Roman" w:hAnsi="Times New Roman" w:cs="Times New Roman"/>
          <w:sz w:val="24"/>
          <w:szCs w:val="24"/>
          <w:lang w:val="en-US"/>
        </w:rPr>
        <w:t>summarises</w:t>
      </w:r>
      <w:proofErr w:type="spellEnd"/>
      <w:r w:rsidRPr="00E36190">
        <w:rPr>
          <w:rFonts w:ascii="Times New Roman" w:eastAsia="Times New Roman" w:hAnsi="Times New Roman" w:cs="Times New Roman"/>
          <w:sz w:val="24"/>
          <w:szCs w:val="24"/>
          <w:lang w:val="en-US"/>
        </w:rPr>
        <w:t xml:space="preserve"> the clinical and experimental evidence for therapeutic modulation of the oral–gut axis.</w:t>
      </w:r>
      <w:r>
        <w:rPr>
          <w:rFonts w:ascii="Times New Roman" w:eastAsia="Times New Roman" w:hAnsi="Times New Roman" w:cs="Times New Roman"/>
          <w:sz w:val="24"/>
          <w:szCs w:val="24"/>
          <w:lang w:val="en-US"/>
        </w:rPr>
        <w:t xml:space="preserve"> </w:t>
      </w:r>
    </w:p>
    <w:p w14:paraId="4CDDE8E1"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3.</w:t>
      </w:r>
      <w:r w:rsidRPr="00E36190">
        <w:rPr>
          <w:rFonts w:ascii="Times New Roman" w:eastAsia="Times New Roman" w:hAnsi="Times New Roman" w:cs="Times New Roman"/>
          <w:sz w:val="24"/>
          <w:szCs w:val="24"/>
          <w:lang w:val="en-US"/>
        </w:rPr>
        <w:t xml:space="preserve"> Therapeutic interventions targeting the oral–gut axis in periodontitis: summary of key evidence.</w:t>
      </w:r>
    </w:p>
    <w:tbl>
      <w:tblPr>
        <w:tblStyle w:val="TableGrid"/>
        <w:tblW w:w="0" w:type="auto"/>
        <w:tblLook w:val="04A0" w:firstRow="1" w:lastRow="0" w:firstColumn="1" w:lastColumn="0" w:noHBand="0" w:noVBand="1"/>
      </w:tblPr>
      <w:tblGrid>
        <w:gridCol w:w="2527"/>
        <w:gridCol w:w="2021"/>
        <w:gridCol w:w="2877"/>
        <w:gridCol w:w="1817"/>
      </w:tblGrid>
      <w:tr w:rsidR="00E36190" w:rsidRPr="00E36190" w14:paraId="5B07D1FA" w14:textId="77777777" w:rsidTr="00E36190">
        <w:tc>
          <w:tcPr>
            <w:tcW w:w="0" w:type="auto"/>
            <w:hideMark/>
          </w:tcPr>
          <w:p w14:paraId="783BD740"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lastRenderedPageBreak/>
              <w:t>Intervention</w:t>
            </w:r>
          </w:p>
        </w:tc>
        <w:tc>
          <w:tcPr>
            <w:tcW w:w="0" w:type="auto"/>
            <w:hideMark/>
          </w:tcPr>
          <w:p w14:paraId="2ABDB873"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Target / Mechanism</w:t>
            </w:r>
          </w:p>
        </w:tc>
        <w:tc>
          <w:tcPr>
            <w:tcW w:w="0" w:type="auto"/>
            <w:hideMark/>
          </w:tcPr>
          <w:p w14:paraId="4B59D38A"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Finding</w:t>
            </w:r>
          </w:p>
        </w:tc>
        <w:tc>
          <w:tcPr>
            <w:tcW w:w="0" w:type="auto"/>
            <w:hideMark/>
          </w:tcPr>
          <w:p w14:paraId="50154513"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Study Type</w:t>
            </w:r>
          </w:p>
        </w:tc>
      </w:tr>
      <w:tr w:rsidR="00E36190" w:rsidRPr="00E36190" w14:paraId="5C555C20" w14:textId="77777777" w:rsidTr="00E36190">
        <w:tc>
          <w:tcPr>
            <w:tcW w:w="0" w:type="auto"/>
            <w:hideMark/>
          </w:tcPr>
          <w:p w14:paraId="560F491F"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Non-surgical periodontal therapy (NSPT)</w:t>
            </w:r>
          </w:p>
        </w:tc>
        <w:tc>
          <w:tcPr>
            <w:tcW w:w="0" w:type="auto"/>
            <w:hideMark/>
          </w:tcPr>
          <w:p w14:paraId="23751A4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Reduction of subgingival microbial burden</w:t>
            </w:r>
          </w:p>
        </w:tc>
        <w:tc>
          <w:tcPr>
            <w:tcW w:w="0" w:type="auto"/>
            <w:hideMark/>
          </w:tcPr>
          <w:p w14:paraId="5E7E04D6"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Altered gut microbial composition; ↓ pro-inflammatory gut taxa</w:t>
            </w:r>
          </w:p>
        </w:tc>
        <w:tc>
          <w:tcPr>
            <w:tcW w:w="0" w:type="auto"/>
            <w:hideMark/>
          </w:tcPr>
          <w:p w14:paraId="238C66E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Clinical cohort (Baima et al., 2024)</w:t>
            </w:r>
          </w:p>
        </w:tc>
      </w:tr>
      <w:tr w:rsidR="00E36190" w:rsidRPr="00E36190" w14:paraId="348BFCEF" w14:textId="77777777" w:rsidTr="00E36190">
        <w:tc>
          <w:tcPr>
            <w:tcW w:w="0" w:type="auto"/>
            <w:hideMark/>
          </w:tcPr>
          <w:p w14:paraId="51BC2325"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Systemic probiotics + NSPT vs NSPT alone</w:t>
            </w:r>
          </w:p>
        </w:tc>
        <w:tc>
          <w:tcPr>
            <w:tcW w:w="0" w:type="auto"/>
            <w:hideMark/>
          </w:tcPr>
          <w:p w14:paraId="399D3562"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Modulation of oral–gut microbiota</w:t>
            </w:r>
          </w:p>
        </w:tc>
        <w:tc>
          <w:tcPr>
            <w:tcW w:w="0" w:type="auto"/>
            <w:hideMark/>
          </w:tcPr>
          <w:p w14:paraId="5F15BC81"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No additional clinical benefit; baseline microbiome predicts response</w:t>
            </w:r>
          </w:p>
        </w:tc>
        <w:tc>
          <w:tcPr>
            <w:tcW w:w="0" w:type="auto"/>
            <w:hideMark/>
          </w:tcPr>
          <w:p w14:paraId="5FED7AC7"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RCT (de Oliveira et al., 2022)</w:t>
            </w:r>
          </w:p>
        </w:tc>
      </w:tr>
      <w:tr w:rsidR="00E36190" w:rsidRPr="00E36190" w14:paraId="16956DDF" w14:textId="77777777" w:rsidTr="00E36190">
        <w:tc>
          <w:tcPr>
            <w:tcW w:w="0" w:type="auto"/>
            <w:hideMark/>
          </w:tcPr>
          <w:p w14:paraId="79733217" w14:textId="77777777" w:rsidR="00E36190" w:rsidRPr="00E36190" w:rsidRDefault="00E36190" w:rsidP="003B1B50">
            <w:pPr>
              <w:jc w:val="both"/>
              <w:rPr>
                <w:rFonts w:ascii="Times New Roman" w:eastAsia="Times New Roman" w:hAnsi="Times New Roman" w:cs="Times New Roman"/>
                <w:sz w:val="24"/>
                <w:szCs w:val="24"/>
                <w:lang w:val="en-US"/>
              </w:rPr>
            </w:pP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microbiota transplantation (FMT)</w:t>
            </w:r>
          </w:p>
        </w:tc>
        <w:tc>
          <w:tcPr>
            <w:tcW w:w="0" w:type="auto"/>
            <w:hideMark/>
          </w:tcPr>
          <w:p w14:paraId="53559151"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Corrects periodontitis-induced gut dysbiosis</w:t>
            </w:r>
          </w:p>
        </w:tc>
        <w:tc>
          <w:tcPr>
            <w:tcW w:w="0" w:type="auto"/>
            <w:hideMark/>
          </w:tcPr>
          <w:p w14:paraId="14B4BF19"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Transmissibility of intestinal inflammation via </w:t>
            </w:r>
            <w:proofErr w:type="spellStart"/>
            <w:r w:rsidRPr="00E36190">
              <w:rPr>
                <w:rFonts w:ascii="Times New Roman" w:eastAsia="Times New Roman" w:hAnsi="Times New Roman" w:cs="Times New Roman"/>
                <w:sz w:val="24"/>
                <w:szCs w:val="24"/>
                <w:lang w:val="en-US"/>
              </w:rPr>
              <w:t>dysbiotic</w:t>
            </w:r>
            <w:proofErr w:type="spellEnd"/>
            <w:r w:rsidRPr="00E36190">
              <w:rPr>
                <w:rFonts w:ascii="Times New Roman" w:eastAsia="Times New Roman" w:hAnsi="Times New Roman" w:cs="Times New Roman"/>
                <w:sz w:val="24"/>
                <w:szCs w:val="24"/>
                <w:lang w:val="en-US"/>
              </w:rPr>
              <w:t xml:space="preserve"> gut microbiota confirmed</w:t>
            </w:r>
          </w:p>
        </w:tc>
        <w:tc>
          <w:tcPr>
            <w:tcW w:w="0" w:type="auto"/>
            <w:hideMark/>
          </w:tcPr>
          <w:p w14:paraId="7513E06B"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Animal model (</w:t>
            </w:r>
            <w:proofErr w:type="spellStart"/>
            <w:r w:rsidRPr="00E36190">
              <w:rPr>
                <w:rFonts w:ascii="Times New Roman" w:eastAsia="Times New Roman" w:hAnsi="Times New Roman" w:cs="Times New Roman"/>
                <w:sz w:val="24"/>
                <w:szCs w:val="24"/>
                <w:lang w:val="en-US"/>
              </w:rPr>
              <w:t>Kitamoto</w:t>
            </w:r>
            <w:proofErr w:type="spellEnd"/>
            <w:r w:rsidRPr="00E36190">
              <w:rPr>
                <w:rFonts w:ascii="Times New Roman" w:eastAsia="Times New Roman" w:hAnsi="Times New Roman" w:cs="Times New Roman"/>
                <w:sz w:val="24"/>
                <w:szCs w:val="24"/>
                <w:lang w:val="en-US"/>
              </w:rPr>
              <w:t xml:space="preserve"> et al., 2020)</w:t>
            </w:r>
          </w:p>
        </w:tc>
      </w:tr>
      <w:tr w:rsidR="00E36190" w:rsidRPr="00E36190" w14:paraId="398094C2" w14:textId="77777777" w:rsidTr="00E36190">
        <w:tc>
          <w:tcPr>
            <w:tcW w:w="0" w:type="auto"/>
            <w:hideMark/>
          </w:tcPr>
          <w:p w14:paraId="7DA4C75E"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Bacteriophage therapy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-specific phage FNU1)</w:t>
            </w:r>
          </w:p>
        </w:tc>
        <w:tc>
          <w:tcPr>
            <w:tcW w:w="0" w:type="auto"/>
            <w:hideMark/>
          </w:tcPr>
          <w:p w14:paraId="35816CAA"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Targeted elimination of oral pathobiont</w:t>
            </w:r>
          </w:p>
        </w:tc>
        <w:tc>
          <w:tcPr>
            <w:tcW w:w="0" w:type="auto"/>
            <w:hideMark/>
          </w:tcPr>
          <w:p w14:paraId="413297F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Reduced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in CRC </w:t>
            </w:r>
            <w:proofErr w:type="spellStart"/>
            <w:r w:rsidRPr="00E36190">
              <w:rPr>
                <w:rFonts w:ascii="Times New Roman" w:eastAsia="Times New Roman" w:hAnsi="Times New Roman" w:cs="Times New Roman"/>
                <w:sz w:val="24"/>
                <w:szCs w:val="24"/>
                <w:lang w:val="en-US"/>
              </w:rPr>
              <w:t>tumour</w:t>
            </w:r>
            <w:proofErr w:type="spellEnd"/>
            <w:r w:rsidRPr="00E36190">
              <w:rPr>
                <w:rFonts w:ascii="Times New Roman" w:eastAsia="Times New Roman" w:hAnsi="Times New Roman" w:cs="Times New Roman"/>
                <w:sz w:val="24"/>
                <w:szCs w:val="24"/>
                <w:lang w:val="en-US"/>
              </w:rPr>
              <w:t xml:space="preserve"> tissue</w:t>
            </w:r>
          </w:p>
        </w:tc>
        <w:tc>
          <w:tcPr>
            <w:tcW w:w="0" w:type="auto"/>
            <w:hideMark/>
          </w:tcPr>
          <w:p w14:paraId="4CFDA3C5"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Laboratory / animal model (Xi et al., 2024)</w:t>
            </w:r>
          </w:p>
        </w:tc>
      </w:tr>
      <w:tr w:rsidR="00E36190" w:rsidRPr="00E36190" w14:paraId="71C1D36B" w14:textId="77777777" w:rsidTr="00E36190">
        <w:tc>
          <w:tcPr>
            <w:tcW w:w="0" w:type="auto"/>
            <w:hideMark/>
          </w:tcPr>
          <w:p w14:paraId="14D7A84D"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Prebiotic / dietary </w:t>
            </w:r>
            <w:proofErr w:type="spellStart"/>
            <w:r w:rsidRPr="00E36190">
              <w:rPr>
                <w:rFonts w:ascii="Times New Roman" w:eastAsia="Times New Roman" w:hAnsi="Times New Roman" w:cs="Times New Roman"/>
                <w:sz w:val="24"/>
                <w:szCs w:val="24"/>
                <w:lang w:val="en-US"/>
              </w:rPr>
              <w:t>fibre</w:t>
            </w:r>
            <w:proofErr w:type="spellEnd"/>
            <w:r w:rsidRPr="00E36190">
              <w:rPr>
                <w:rFonts w:ascii="Times New Roman" w:eastAsia="Times New Roman" w:hAnsi="Times New Roman" w:cs="Times New Roman"/>
                <w:sz w:val="24"/>
                <w:szCs w:val="24"/>
                <w:lang w:val="en-US"/>
              </w:rPr>
              <w:t xml:space="preserve"> supplementation</w:t>
            </w:r>
          </w:p>
        </w:tc>
        <w:tc>
          <w:tcPr>
            <w:tcW w:w="0" w:type="auto"/>
            <w:hideMark/>
          </w:tcPr>
          <w:p w14:paraId="306052F0"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SCFA restoration; Treg induction</w:t>
            </w:r>
          </w:p>
        </w:tc>
        <w:tc>
          <w:tcPr>
            <w:tcW w:w="0" w:type="auto"/>
            <w:hideMark/>
          </w:tcPr>
          <w:p w14:paraId="7A5A872B"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Biologically plausible; limited periodontitis-specific data available</w:t>
            </w:r>
          </w:p>
        </w:tc>
        <w:tc>
          <w:tcPr>
            <w:tcW w:w="0" w:type="auto"/>
            <w:hideMark/>
          </w:tcPr>
          <w:p w14:paraId="7E006F7C"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Narrative synthesis (</w:t>
            </w:r>
            <w:proofErr w:type="spellStart"/>
            <w:r w:rsidRPr="00E36190">
              <w:rPr>
                <w:rFonts w:ascii="Times New Roman" w:eastAsia="Times New Roman" w:hAnsi="Times New Roman" w:cs="Times New Roman"/>
                <w:sz w:val="24"/>
                <w:szCs w:val="24"/>
                <w:lang w:val="en-US"/>
              </w:rPr>
              <w:t>Kuraji</w:t>
            </w:r>
            <w:proofErr w:type="spellEnd"/>
            <w:r w:rsidRPr="00E36190">
              <w:rPr>
                <w:rFonts w:ascii="Times New Roman" w:eastAsia="Times New Roman" w:hAnsi="Times New Roman" w:cs="Times New Roman"/>
                <w:sz w:val="24"/>
                <w:szCs w:val="24"/>
                <w:lang w:val="en-US"/>
              </w:rPr>
              <w:t xml:space="preserve"> et al., 2023)</w:t>
            </w:r>
          </w:p>
        </w:tc>
      </w:tr>
    </w:tbl>
    <w:p w14:paraId="33D894F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NSPT, non-surgical periodontal therapy; RCT, </w:t>
      </w:r>
      <w:proofErr w:type="spellStart"/>
      <w:r w:rsidRPr="00E36190">
        <w:rPr>
          <w:rFonts w:ascii="Times New Roman" w:eastAsia="Times New Roman" w:hAnsi="Times New Roman" w:cs="Times New Roman"/>
          <w:i/>
          <w:iCs/>
          <w:sz w:val="24"/>
          <w:szCs w:val="24"/>
          <w:lang w:val="en-US"/>
        </w:rPr>
        <w:t>randomised</w:t>
      </w:r>
      <w:proofErr w:type="spellEnd"/>
      <w:r w:rsidRPr="00E36190">
        <w:rPr>
          <w:rFonts w:ascii="Times New Roman" w:eastAsia="Times New Roman" w:hAnsi="Times New Roman" w:cs="Times New Roman"/>
          <w:i/>
          <w:iCs/>
          <w:sz w:val="24"/>
          <w:szCs w:val="24"/>
          <w:lang w:val="en-US"/>
        </w:rPr>
        <w:t xml:space="preserve"> controlled trial; FMT, </w:t>
      </w:r>
      <w:proofErr w:type="spellStart"/>
      <w:r w:rsidRPr="00E36190">
        <w:rPr>
          <w:rFonts w:ascii="Times New Roman" w:eastAsia="Times New Roman" w:hAnsi="Times New Roman" w:cs="Times New Roman"/>
          <w:i/>
          <w:iCs/>
          <w:sz w:val="24"/>
          <w:szCs w:val="24"/>
          <w:lang w:val="en-US"/>
        </w:rPr>
        <w:t>faecal</w:t>
      </w:r>
      <w:proofErr w:type="spellEnd"/>
      <w:r w:rsidRPr="00E36190">
        <w:rPr>
          <w:rFonts w:ascii="Times New Roman" w:eastAsia="Times New Roman" w:hAnsi="Times New Roman" w:cs="Times New Roman"/>
          <w:i/>
          <w:iCs/>
          <w:sz w:val="24"/>
          <w:szCs w:val="24"/>
          <w:lang w:val="en-US"/>
        </w:rPr>
        <w:t xml:space="preserve"> microbiota transplantation; SCFA, short-chain fatty acids; CRC, colorectal cancer.</w:t>
      </w:r>
    </w:p>
    <w:p w14:paraId="16D70978"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5292F63E"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8. Critical Appraisal of the Evidence Base</w:t>
      </w:r>
    </w:p>
    <w:p w14:paraId="6AFD8475"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8.1 Strengths and Advances</w:t>
      </w:r>
    </w:p>
    <w:p w14:paraId="1ACF77D7"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past decade has witnessed substantial mechanistic and clinical advances in the </w:t>
      </w:r>
      <w:proofErr w:type="spellStart"/>
      <w:r w:rsidRPr="00E36190">
        <w:rPr>
          <w:rFonts w:ascii="Times New Roman" w:eastAsia="Times New Roman" w:hAnsi="Times New Roman" w:cs="Times New Roman"/>
          <w:sz w:val="24"/>
          <w:szCs w:val="24"/>
          <w:lang w:val="en-US"/>
        </w:rPr>
        <w:t>characterisation</w:t>
      </w:r>
      <w:proofErr w:type="spellEnd"/>
      <w:r w:rsidRPr="00E36190">
        <w:rPr>
          <w:rFonts w:ascii="Times New Roman" w:eastAsia="Times New Roman" w:hAnsi="Times New Roman" w:cs="Times New Roman"/>
          <w:sz w:val="24"/>
          <w:szCs w:val="24"/>
          <w:lang w:val="en-US"/>
        </w:rPr>
        <w:t xml:space="preserve"> of the oral–gut axis. The development of high-resolution long-read 16S rRNA sequencing has enabled strain-level identification of oral bacteria in gut samples, overcoming the taxonomic resolution limitations of conventional short-read platforms that confounded earlier studies (Kageyama et al., 2023). Gnotobiotic and single-pathogen oral gavage murine models have provided rigorous mechanistic insights that were previously unattainable. The translation of these mechanistic discoveries into human clinical studies—most notably the periodontal therapy trials with gut microbiome outcomes—represents meaningful progress towards establishing clinical relevance (Baima et al., 2024). Mendelian </w:t>
      </w:r>
      <w:proofErr w:type="spellStart"/>
      <w:r w:rsidRPr="00E36190">
        <w:rPr>
          <w:rFonts w:ascii="Times New Roman" w:eastAsia="Times New Roman" w:hAnsi="Times New Roman" w:cs="Times New Roman"/>
          <w:sz w:val="24"/>
          <w:szCs w:val="24"/>
          <w:lang w:val="en-US"/>
        </w:rPr>
        <w:t>randomisation</w:t>
      </w:r>
      <w:proofErr w:type="spellEnd"/>
      <w:r w:rsidRPr="00E36190">
        <w:rPr>
          <w:rFonts w:ascii="Times New Roman" w:eastAsia="Times New Roman" w:hAnsi="Times New Roman" w:cs="Times New Roman"/>
          <w:sz w:val="24"/>
          <w:szCs w:val="24"/>
          <w:lang w:val="en-US"/>
        </w:rPr>
        <w:t xml:space="preserve"> studies have begun to address causality, though their assumptions are constrained by the polygenic architecture of both periodontitis and its comorbidities.</w:t>
      </w:r>
    </w:p>
    <w:p w14:paraId="243525FC"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8.2 Methodological Limitations and Evidence Gaps</w:t>
      </w:r>
    </w:p>
    <w:p w14:paraId="25FEF4D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Despite these advances, the evidence base retains several important limitations. First, the majority of human studies examining the oral–gut axis </w:t>
      </w:r>
      <w:proofErr w:type="gramStart"/>
      <w:r w:rsidRPr="00E36190">
        <w:rPr>
          <w:rFonts w:ascii="Times New Roman" w:eastAsia="Times New Roman" w:hAnsi="Times New Roman" w:cs="Times New Roman"/>
          <w:sz w:val="24"/>
          <w:szCs w:val="24"/>
          <w:lang w:val="en-US"/>
        </w:rPr>
        <w:t>are</w:t>
      </w:r>
      <w:proofErr w:type="gramEnd"/>
      <w:r w:rsidRPr="00E36190">
        <w:rPr>
          <w:rFonts w:ascii="Times New Roman" w:eastAsia="Times New Roman" w:hAnsi="Times New Roman" w:cs="Times New Roman"/>
          <w:sz w:val="24"/>
          <w:szCs w:val="24"/>
          <w:lang w:val="en-US"/>
        </w:rPr>
        <w:t xml:space="preserve"> cross-sectional, precluding causal attribution: it is not possible to determine from such data whether oral dysbiosis precedes and causes gut dysbiosis, whether gut dysbiosis exacerbates oral disease, or whether both share common upstream determinants such as diet, smoking, or systemic inflammation. Second, there is substantial heterogeneity in the microbiological methodologies employed across </w:t>
      </w:r>
      <w:r w:rsidRPr="00E36190">
        <w:rPr>
          <w:rFonts w:ascii="Times New Roman" w:eastAsia="Times New Roman" w:hAnsi="Times New Roman" w:cs="Times New Roman"/>
          <w:sz w:val="24"/>
          <w:szCs w:val="24"/>
          <w:lang w:val="en-US"/>
        </w:rPr>
        <w:lastRenderedPageBreak/>
        <w:t>studies, including differences in sample type (saliva versus subgingival plaque), sequencing platform (V3–V4 amplicons versus full-length 16S rRNA), bioinformatic pipelines, and reference databases, making direct comparison difficult. Third, most murine models of periodontitis employ ligature-induced or oral gavage paradigms that do not fully replicate the slow, biofilm-mediated progression of human periodontitis, and the relevance of high-dose single-pathogen experiments to the low-dose polymicrobial exposure of natural disease is uncertain.</w:t>
      </w:r>
    </w:p>
    <w:p w14:paraId="410389BD"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Fourth, confounding is a pervasive concern in clinical studies of the oral–gut axis. Patients with severe periodontitis differ systematically from periodontally healthy controls in multiple dimensions relevant to gut microbial composition—including dietary quality, smoking status, body mass index, medication use, and socioeconomic factors—and most existing studies do not comprehensively control for these variables. Fifth, while the oral–gut axis framework is compelling, direct evidence that gut changes mediate the systemic disease consequences of periodontitis (rather than being a parallel consequence of shared risk factors) is limited in humans. Intervention studies with pre-specified gut microbiome and systemic inflammatory endpoints—such as the ongoing trial of periodontal therapy effects on gut microbiome in IBD patients registered at ClinicalTrials.gov (NCT04790825)—are needed to address this gap.</w:t>
      </w:r>
    </w:p>
    <w:p w14:paraId="3FC7E2E3"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8.3 Translational Considerations</w:t>
      </w:r>
    </w:p>
    <w:p w14:paraId="7258066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translation of oral–gut axis research into clinical practice requires resolution of several conceptual and practical challenges. Clinically, the threshold of periodontal disease severity sufficient to produce biologically significant gut dysbiosis has not been established; it is plausible that subclinical or mild periodontitis contributes negligibly to gut ecology, while severe disease with deep, heavily </w:t>
      </w:r>
      <w:proofErr w:type="spellStart"/>
      <w:r w:rsidRPr="00E36190">
        <w:rPr>
          <w:rFonts w:ascii="Times New Roman" w:eastAsia="Times New Roman" w:hAnsi="Times New Roman" w:cs="Times New Roman"/>
          <w:sz w:val="24"/>
          <w:szCs w:val="24"/>
          <w:lang w:val="en-US"/>
        </w:rPr>
        <w:t>colonised</w:t>
      </w:r>
      <w:proofErr w:type="spellEnd"/>
      <w:r w:rsidRPr="00E36190">
        <w:rPr>
          <w:rFonts w:ascii="Times New Roman" w:eastAsia="Times New Roman" w:hAnsi="Times New Roman" w:cs="Times New Roman"/>
          <w:sz w:val="24"/>
          <w:szCs w:val="24"/>
          <w:lang w:val="en-US"/>
        </w:rPr>
        <w:t xml:space="preserve"> periodontal pockets represents a sufficient source of pathobiont delivery. The duration of periodontal therapy benefit on the gut microbiome has not been </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over time frames longer than three months (Baima et al., 2024). The clinical applicability of microbiome profiling as a diagnostic or prognostic tool for systemic disease risk stratification in dental practice remains aspirational rather than evidence-based at present. Integration of periodontal care into holistic health management pathways—particularly for patients with IBD, metabolic liver disease, or cardiovascular risk—is conceptually supported by the evidence reviewed but requires formal health-economic analysis.</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4</w:t>
      </w:r>
      <w:r w:rsidRPr="00E36190">
        <w:rPr>
          <w:rFonts w:ascii="Times New Roman" w:eastAsia="Times New Roman" w:hAnsi="Times New Roman" w:cs="Times New Roman"/>
          <w:sz w:val="24"/>
          <w:szCs w:val="24"/>
          <w:lang w:val="en-US"/>
        </w:rPr>
        <w:t xml:space="preserve"> provides a concise overview of the major clinical associations within the oral–gut axis framework, their evidential grade, and key remaining research questions.</w:t>
      </w:r>
    </w:p>
    <w:p w14:paraId="35FA01B2"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531FDBB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4.</w:t>
      </w:r>
      <w:r w:rsidRPr="00E36190">
        <w:rPr>
          <w:rFonts w:ascii="Times New Roman" w:eastAsia="Times New Roman" w:hAnsi="Times New Roman" w:cs="Times New Roman"/>
          <w:sz w:val="24"/>
          <w:szCs w:val="24"/>
          <w:lang w:val="en-US"/>
        </w:rPr>
        <w:t xml:space="preserve"> Summary of oral–gut axis associations: evidence grade and key remaining research gaps.</w:t>
      </w:r>
    </w:p>
    <w:tbl>
      <w:tblPr>
        <w:tblStyle w:val="TableGrid"/>
        <w:tblW w:w="0" w:type="auto"/>
        <w:tblLook w:val="04A0" w:firstRow="1" w:lastRow="0" w:firstColumn="1" w:lastColumn="0" w:noHBand="0" w:noVBand="1"/>
      </w:tblPr>
      <w:tblGrid>
        <w:gridCol w:w="2713"/>
        <w:gridCol w:w="2967"/>
        <w:gridCol w:w="3562"/>
      </w:tblGrid>
      <w:tr w:rsidR="00E36190" w:rsidRPr="00E36190" w14:paraId="692E73A3" w14:textId="77777777" w:rsidTr="00E36190">
        <w:tc>
          <w:tcPr>
            <w:tcW w:w="0" w:type="auto"/>
            <w:hideMark/>
          </w:tcPr>
          <w:p w14:paraId="083CAAFD"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Association</w:t>
            </w:r>
          </w:p>
        </w:tc>
        <w:tc>
          <w:tcPr>
            <w:tcW w:w="0" w:type="auto"/>
            <w:hideMark/>
          </w:tcPr>
          <w:p w14:paraId="1A786588"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Evidence Grade*</w:t>
            </w:r>
          </w:p>
        </w:tc>
        <w:tc>
          <w:tcPr>
            <w:tcW w:w="0" w:type="auto"/>
            <w:hideMark/>
          </w:tcPr>
          <w:p w14:paraId="17DBE009" w14:textId="77777777" w:rsidR="00E36190" w:rsidRPr="00E36190" w:rsidRDefault="00E36190" w:rsidP="003B1B50">
            <w:pPr>
              <w:jc w:val="both"/>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Remaining Question</w:t>
            </w:r>
          </w:p>
        </w:tc>
      </w:tr>
      <w:tr w:rsidR="00E36190" w:rsidRPr="00E36190" w14:paraId="6E295594" w14:textId="77777777" w:rsidTr="00E36190">
        <w:tc>
          <w:tcPr>
            <w:tcW w:w="0" w:type="auto"/>
            <w:hideMark/>
          </w:tcPr>
          <w:p w14:paraId="36172129"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 gut dysbiosis (direct translocation)</w:t>
            </w:r>
          </w:p>
        </w:tc>
        <w:tc>
          <w:tcPr>
            <w:tcW w:w="0" w:type="auto"/>
            <w:hideMark/>
          </w:tcPr>
          <w:p w14:paraId="305FFFC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(strong in animals; moderate in humans)</w:t>
            </w:r>
          </w:p>
        </w:tc>
        <w:tc>
          <w:tcPr>
            <w:tcW w:w="0" w:type="auto"/>
            <w:hideMark/>
          </w:tcPr>
          <w:p w14:paraId="6DE465FC"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Dose–response relationship; clinically relevant threshold of disease severity</w:t>
            </w:r>
          </w:p>
        </w:tc>
      </w:tr>
      <w:tr w:rsidR="00E36190" w:rsidRPr="00E36190" w14:paraId="625AA00A" w14:textId="77777777" w:rsidTr="00E36190">
        <w:tc>
          <w:tcPr>
            <w:tcW w:w="0" w:type="auto"/>
            <w:hideMark/>
          </w:tcPr>
          <w:p w14:paraId="42C4F14C"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 IBD exacerbation</w:t>
            </w:r>
          </w:p>
        </w:tc>
        <w:tc>
          <w:tcPr>
            <w:tcW w:w="0" w:type="auto"/>
            <w:hideMark/>
          </w:tcPr>
          <w:p w14:paraId="1869C50E"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(bidirectional; epidemiological + mechanistic)</w:t>
            </w:r>
          </w:p>
        </w:tc>
        <w:tc>
          <w:tcPr>
            <w:tcW w:w="0" w:type="auto"/>
            <w:hideMark/>
          </w:tcPr>
          <w:p w14:paraId="2CB978C3"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Does periodontal treatment reduce IBD activity in RCTs?</w:t>
            </w:r>
          </w:p>
        </w:tc>
      </w:tr>
      <w:tr w:rsidR="00E36190" w:rsidRPr="00E36190" w14:paraId="368E325B" w14:textId="77777777" w:rsidTr="00E36190">
        <w:tc>
          <w:tcPr>
            <w:tcW w:w="0" w:type="auto"/>
            <w:hideMark/>
          </w:tcPr>
          <w:p w14:paraId="49BA793F"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 CRC promotion</w:t>
            </w:r>
          </w:p>
        </w:tc>
        <w:tc>
          <w:tcPr>
            <w:tcW w:w="0" w:type="auto"/>
            <w:hideMark/>
          </w:tcPr>
          <w:p w14:paraId="11CA4905"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(genomic; mechanistic animal data)</w:t>
            </w:r>
          </w:p>
        </w:tc>
        <w:tc>
          <w:tcPr>
            <w:tcW w:w="0" w:type="auto"/>
            <w:hideMark/>
          </w:tcPr>
          <w:p w14:paraId="18600435"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Prospective CRC incidence trials by periodontal disease severity</w:t>
            </w:r>
          </w:p>
        </w:tc>
      </w:tr>
      <w:tr w:rsidR="00E36190" w:rsidRPr="00E36190" w14:paraId="2E097491" w14:textId="77777777" w:rsidTr="00E36190">
        <w:tc>
          <w:tcPr>
            <w:tcW w:w="0" w:type="auto"/>
            <w:hideMark/>
          </w:tcPr>
          <w:p w14:paraId="082EA361"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Periodontitis → MASLD</w:t>
            </w:r>
          </w:p>
        </w:tc>
        <w:tc>
          <w:tcPr>
            <w:tcW w:w="0" w:type="auto"/>
            <w:hideMark/>
          </w:tcPr>
          <w:p w14:paraId="003E7D4F"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(animal; cross-sectional human data)</w:t>
            </w:r>
          </w:p>
        </w:tc>
        <w:tc>
          <w:tcPr>
            <w:tcW w:w="0" w:type="auto"/>
            <w:hideMark/>
          </w:tcPr>
          <w:p w14:paraId="7859F49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Longitudinal studies with histological MASLD endpoints</w:t>
            </w:r>
          </w:p>
        </w:tc>
      </w:tr>
      <w:tr w:rsidR="00E36190" w:rsidRPr="00E36190" w14:paraId="68EC9005" w14:textId="77777777" w:rsidTr="00E36190">
        <w:tc>
          <w:tcPr>
            <w:tcW w:w="0" w:type="auto"/>
            <w:hideMark/>
          </w:tcPr>
          <w:p w14:paraId="3BC99E97"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Periodontal therapy → gut microbiome improvement</w:t>
            </w:r>
          </w:p>
        </w:tc>
        <w:tc>
          <w:tcPr>
            <w:tcW w:w="0" w:type="auto"/>
            <w:hideMark/>
          </w:tcPr>
          <w:p w14:paraId="40D5DE5F"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Preliminary (single clinical study)</w:t>
            </w:r>
          </w:p>
        </w:tc>
        <w:tc>
          <w:tcPr>
            <w:tcW w:w="0" w:type="auto"/>
            <w:hideMark/>
          </w:tcPr>
          <w:p w14:paraId="67C0C258"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Reproducibility; durability; multi-</w:t>
            </w:r>
            <w:proofErr w:type="spellStart"/>
            <w:r w:rsidRPr="00E36190">
              <w:rPr>
                <w:rFonts w:ascii="Times New Roman" w:eastAsia="Times New Roman" w:hAnsi="Times New Roman" w:cs="Times New Roman"/>
                <w:sz w:val="24"/>
                <w:szCs w:val="24"/>
                <w:lang w:val="en-US"/>
              </w:rPr>
              <w:t>centre</w:t>
            </w:r>
            <w:proofErr w:type="spellEnd"/>
            <w:r w:rsidRPr="00E36190">
              <w:rPr>
                <w:rFonts w:ascii="Times New Roman" w:eastAsia="Times New Roman" w:hAnsi="Times New Roman" w:cs="Times New Roman"/>
                <w:sz w:val="24"/>
                <w:szCs w:val="24"/>
                <w:lang w:val="en-US"/>
              </w:rPr>
              <w:t xml:space="preserve"> RCTs</w:t>
            </w:r>
          </w:p>
        </w:tc>
      </w:tr>
      <w:tr w:rsidR="00E36190" w:rsidRPr="00E36190" w14:paraId="743D54EA" w14:textId="77777777" w:rsidTr="00E36190">
        <w:tc>
          <w:tcPr>
            <w:tcW w:w="0" w:type="auto"/>
            <w:hideMark/>
          </w:tcPr>
          <w:p w14:paraId="565DF8CA"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Gut dysbiosis → periodontitis exacerbation</w:t>
            </w:r>
          </w:p>
        </w:tc>
        <w:tc>
          <w:tcPr>
            <w:tcW w:w="0" w:type="auto"/>
            <w:hideMark/>
          </w:tcPr>
          <w:p w14:paraId="6E1E4994"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Preliminary (animal models; Mendelian </w:t>
            </w:r>
            <w:proofErr w:type="spellStart"/>
            <w:r w:rsidRPr="00E36190">
              <w:rPr>
                <w:rFonts w:ascii="Times New Roman" w:eastAsia="Times New Roman" w:hAnsi="Times New Roman" w:cs="Times New Roman"/>
                <w:sz w:val="24"/>
                <w:szCs w:val="24"/>
                <w:lang w:val="en-US"/>
              </w:rPr>
              <w:t>randomisation</w:t>
            </w:r>
            <w:proofErr w:type="spellEnd"/>
            <w:r w:rsidRPr="00E36190">
              <w:rPr>
                <w:rFonts w:ascii="Times New Roman" w:eastAsia="Times New Roman" w:hAnsi="Times New Roman" w:cs="Times New Roman"/>
                <w:sz w:val="24"/>
                <w:szCs w:val="24"/>
                <w:lang w:val="en-US"/>
              </w:rPr>
              <w:t>)</w:t>
            </w:r>
          </w:p>
        </w:tc>
        <w:tc>
          <w:tcPr>
            <w:tcW w:w="0" w:type="auto"/>
            <w:hideMark/>
          </w:tcPr>
          <w:p w14:paraId="1AF997B2" w14:textId="77777777" w:rsidR="00E36190" w:rsidRPr="00E36190" w:rsidRDefault="00E36190" w:rsidP="003B1B50">
            <w:pPr>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Human interventional data on gut modulation and periodontal outcomes</w:t>
            </w:r>
          </w:p>
        </w:tc>
      </w:tr>
    </w:tbl>
    <w:p w14:paraId="6FEF7942"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w:t>
      </w:r>
      <w:r w:rsidRPr="00E36190">
        <w:rPr>
          <w:rFonts w:ascii="Times New Roman" w:eastAsia="Times New Roman" w:hAnsi="Times New Roman" w:cs="Times New Roman"/>
          <w:i/>
          <w:iCs/>
          <w:sz w:val="24"/>
          <w:szCs w:val="24"/>
          <w:lang w:val="en-US"/>
        </w:rPr>
        <w:t>Grade assignment based on study design (RCT &gt; cohort &gt; cross-sectional &gt; animal &gt; in vitro), consistency across studies, and biological plausibility.</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 xml:space="preserve">RCT, </w:t>
      </w:r>
      <w:proofErr w:type="spellStart"/>
      <w:r w:rsidRPr="00E36190">
        <w:rPr>
          <w:rFonts w:ascii="Times New Roman" w:eastAsia="Times New Roman" w:hAnsi="Times New Roman" w:cs="Times New Roman"/>
          <w:i/>
          <w:iCs/>
          <w:sz w:val="24"/>
          <w:szCs w:val="24"/>
          <w:lang w:val="en-US"/>
        </w:rPr>
        <w:t>randomised</w:t>
      </w:r>
      <w:proofErr w:type="spellEnd"/>
      <w:r w:rsidRPr="00E36190">
        <w:rPr>
          <w:rFonts w:ascii="Times New Roman" w:eastAsia="Times New Roman" w:hAnsi="Times New Roman" w:cs="Times New Roman"/>
          <w:i/>
          <w:iCs/>
          <w:sz w:val="24"/>
          <w:szCs w:val="24"/>
          <w:lang w:val="en-US"/>
        </w:rPr>
        <w:t xml:space="preserve"> controlled trial; IBD, inflammatory bowel disease; CRC, colorectal cancer; MASLD, metabolic-associated </w:t>
      </w:r>
      <w:proofErr w:type="spellStart"/>
      <w:r w:rsidRPr="00E36190">
        <w:rPr>
          <w:rFonts w:ascii="Times New Roman" w:eastAsia="Times New Roman" w:hAnsi="Times New Roman" w:cs="Times New Roman"/>
          <w:i/>
          <w:iCs/>
          <w:sz w:val="24"/>
          <w:szCs w:val="24"/>
          <w:lang w:val="en-US"/>
        </w:rPr>
        <w:t>steatotic</w:t>
      </w:r>
      <w:proofErr w:type="spellEnd"/>
      <w:r w:rsidRPr="00E36190">
        <w:rPr>
          <w:rFonts w:ascii="Times New Roman" w:eastAsia="Times New Roman" w:hAnsi="Times New Roman" w:cs="Times New Roman"/>
          <w:i/>
          <w:iCs/>
          <w:sz w:val="24"/>
          <w:szCs w:val="24"/>
          <w:lang w:val="en-US"/>
        </w:rPr>
        <w:t xml:space="preserve"> liver disease.</w:t>
      </w:r>
    </w:p>
    <w:p w14:paraId="510BDAAD"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4ED108DF"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9. Future Directions</w:t>
      </w:r>
    </w:p>
    <w:p w14:paraId="444E2DAD"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9.1 Multi-Omics Integration</w:t>
      </w:r>
    </w:p>
    <w:p w14:paraId="063B177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integration of metagenomics, </w:t>
      </w:r>
      <w:proofErr w:type="spellStart"/>
      <w:r w:rsidRPr="00E36190">
        <w:rPr>
          <w:rFonts w:ascii="Times New Roman" w:eastAsia="Times New Roman" w:hAnsi="Times New Roman" w:cs="Times New Roman"/>
          <w:sz w:val="24"/>
          <w:szCs w:val="24"/>
          <w:lang w:val="en-US"/>
        </w:rPr>
        <w:t>metatranscriptomics</w:t>
      </w:r>
      <w:proofErr w:type="spellEnd"/>
      <w:r w:rsidRPr="00E36190">
        <w:rPr>
          <w:rFonts w:ascii="Times New Roman" w:eastAsia="Times New Roman" w:hAnsi="Times New Roman" w:cs="Times New Roman"/>
          <w:sz w:val="24"/>
          <w:szCs w:val="24"/>
          <w:lang w:val="en-US"/>
        </w:rPr>
        <w:t xml:space="preserve">, metabolomics, and proteomics across oral and gut compartments in the same individuals represents the most promising near-term advance for mechanistic </w:t>
      </w:r>
      <w:proofErr w:type="spellStart"/>
      <w:r w:rsidRPr="00E36190">
        <w:rPr>
          <w:rFonts w:ascii="Times New Roman" w:eastAsia="Times New Roman" w:hAnsi="Times New Roman" w:cs="Times New Roman"/>
          <w:sz w:val="24"/>
          <w:szCs w:val="24"/>
          <w:lang w:val="en-US"/>
        </w:rPr>
        <w:t>characterisation</w:t>
      </w:r>
      <w:proofErr w:type="spellEnd"/>
      <w:r w:rsidRPr="00E36190">
        <w:rPr>
          <w:rFonts w:ascii="Times New Roman" w:eastAsia="Times New Roman" w:hAnsi="Times New Roman" w:cs="Times New Roman"/>
          <w:sz w:val="24"/>
          <w:szCs w:val="24"/>
          <w:lang w:val="en-US"/>
        </w:rPr>
        <w:t xml:space="preserve"> of the oral–gut axis. Multi-omics approaches can identify not merely which bacterial taxa are present at each anatomical site, but what metabolic functions they are actively performing, which host responses they are eliciting, and how therapeutic interventions modulate these functional signatures. A recent multi-omics study by Baima et al. (2025) in the </w:t>
      </w:r>
      <w:r w:rsidRPr="00E36190">
        <w:rPr>
          <w:rFonts w:ascii="Times New Roman" w:eastAsia="Times New Roman" w:hAnsi="Times New Roman" w:cs="Times New Roman"/>
          <w:i/>
          <w:iCs/>
          <w:sz w:val="24"/>
          <w:szCs w:val="24"/>
          <w:lang w:val="en-US"/>
        </w:rPr>
        <w:t>Journal of Periodontal Research</w:t>
      </w:r>
      <w:r w:rsidRPr="00E36190">
        <w:rPr>
          <w:rFonts w:ascii="Times New Roman" w:eastAsia="Times New Roman" w:hAnsi="Times New Roman" w:cs="Times New Roman"/>
          <w:sz w:val="24"/>
          <w:szCs w:val="24"/>
          <w:lang w:val="en-US"/>
        </w:rPr>
        <w:t xml:space="preserve"> applied shotgun metagenomics and NMR metabolomics to reveal coordinated microbial and metabolic signatures of periodontitis across the oral–gut axis, demonstrating that periodontal therapy induces concomitant shifts in both microbial composition and metabolic output in both the oral and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compartments. This represents an important methodological advance over prior single-omics designs.</w:t>
      </w:r>
    </w:p>
    <w:p w14:paraId="23FF42D6"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9.2 Longitudinal Cohort Studies</w:t>
      </w:r>
    </w:p>
    <w:p w14:paraId="12B3DE17"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Longitudinal human cohort studies with repeated oral and gut microbiome sampling, detailed clinical periodontal phenotyping by the 2018 staging and grading system, and pre-specified systemic disease outcomes are urgently needed to establish temporality—an essential criterion for causal inference. Ideally, such studies would follow participants from periodontal health through gingivitis and early periodontitis to advanced disease, capturing dynamic changes in gut ecology at each stage and correlating these with systemic inflammatory and metabolic markers.</w:t>
      </w:r>
    </w:p>
    <w:p w14:paraId="195BE3BC" w14:textId="77777777" w:rsidR="00E36190" w:rsidRPr="00E36190" w:rsidRDefault="00E36190" w:rsidP="003B1B50">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9.3 Precision Medicine Approaches</w:t>
      </w:r>
    </w:p>
    <w:p w14:paraId="753C72CB"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identification by de Oliveira et al. (2022) of distinct baseline oral–gut microbial profiles that predict differential response to periodontal therapy supports the concept of microbiome-guided treatment stratification. Precision periodontal medicine may eventually incorporate metagenomic profiling of the oral and gut microbiome to identify patients at elevated systemic risk from their periodontal disease, to guide adjunctive microbiome-modulating </w:t>
      </w:r>
      <w:r w:rsidRPr="00E36190">
        <w:rPr>
          <w:rFonts w:ascii="Times New Roman" w:eastAsia="Times New Roman" w:hAnsi="Times New Roman" w:cs="Times New Roman"/>
          <w:sz w:val="24"/>
          <w:szCs w:val="24"/>
          <w:lang w:val="en-US"/>
        </w:rPr>
        <w:lastRenderedPageBreak/>
        <w:t xml:space="preserve">interventions, and to monitor therapeutic effectiveness. Biomarker discovery studies focused on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and salivary metabolites as proxies for oral–gut axis activation would complement clinical microbiome profiling.</w:t>
      </w:r>
    </w:p>
    <w:p w14:paraId="2B0CCB3C"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24DD8F72"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10. Conclusions</w:t>
      </w:r>
    </w:p>
    <w:p w14:paraId="62D4C94D"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oral–gut microbial translocation axis in periodontitis represents a scientifically compelling and increasingly well-</w:t>
      </w:r>
      <w:proofErr w:type="spellStart"/>
      <w:r w:rsidRPr="00E36190">
        <w:rPr>
          <w:rFonts w:ascii="Times New Roman" w:eastAsia="Times New Roman" w:hAnsi="Times New Roman" w:cs="Times New Roman"/>
          <w:sz w:val="24"/>
          <w:szCs w:val="24"/>
          <w:lang w:val="en-US"/>
        </w:rPr>
        <w:t>characterised</w:t>
      </w:r>
      <w:proofErr w:type="spellEnd"/>
      <w:r w:rsidRPr="00E36190">
        <w:rPr>
          <w:rFonts w:ascii="Times New Roman" w:eastAsia="Times New Roman" w:hAnsi="Times New Roman" w:cs="Times New Roman"/>
          <w:sz w:val="24"/>
          <w:szCs w:val="24"/>
          <w:lang w:val="en-US"/>
        </w:rPr>
        <w:t xml:space="preserve"> biological mechanism through which chronic oral dysbiosis propagates pathological signals to the intestinal environment and beyond. The evidence reviewed herein supports a coherent mechanistic narrative: periodontal pathogens—principally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 xml:space="preserve">F. </w:t>
      </w:r>
      <w:proofErr w:type="spellStart"/>
      <w:r w:rsidRPr="00E36190">
        <w:rPr>
          <w:rFonts w:ascii="Times New Roman" w:eastAsia="Times New Roman" w:hAnsi="Times New Roman" w:cs="Times New Roman"/>
          <w:i/>
          <w:iCs/>
          <w:sz w:val="24"/>
          <w:szCs w:val="24"/>
          <w:lang w:val="en-US"/>
        </w:rPr>
        <w:t>nucleatum</w:t>
      </w:r>
      <w:proofErr w:type="spellEnd"/>
      <w:r w:rsidRPr="00E36190">
        <w:rPr>
          <w:rFonts w:ascii="Times New Roman" w:eastAsia="Times New Roman" w:hAnsi="Times New Roman" w:cs="Times New Roman"/>
          <w:sz w:val="24"/>
          <w:szCs w:val="24"/>
          <w:lang w:val="en-US"/>
        </w:rPr>
        <w:t xml:space="preserve">, and oral-origin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spp.—survive gastric passage, disrupt intestinal </w:t>
      </w:r>
      <w:proofErr w:type="spellStart"/>
      <w:r w:rsidRPr="00E36190">
        <w:rPr>
          <w:rFonts w:ascii="Times New Roman" w:eastAsia="Times New Roman" w:hAnsi="Times New Roman" w:cs="Times New Roman"/>
          <w:sz w:val="24"/>
          <w:szCs w:val="24"/>
          <w:lang w:val="en-US"/>
        </w:rPr>
        <w:t>colonisation</w:t>
      </w:r>
      <w:proofErr w:type="spellEnd"/>
      <w:r w:rsidRPr="00E36190">
        <w:rPr>
          <w:rFonts w:ascii="Times New Roman" w:eastAsia="Times New Roman" w:hAnsi="Times New Roman" w:cs="Times New Roman"/>
          <w:sz w:val="24"/>
          <w:szCs w:val="24"/>
          <w:lang w:val="en-US"/>
        </w:rPr>
        <w:t xml:space="preserve"> resistance, degrade tight junction integrity, activate innate immune receptors, and generate gut-tropic adaptive immune responses that amplify systemic inflammation. These processes are not mere laboratory curiosities; they are supported by clinical evidence demonstrating that gut microbial composition differs measurably between periodontitis patients and healthy controls, that the burden of oral pathobionts in </w:t>
      </w:r>
      <w:proofErr w:type="spellStart"/>
      <w:r w:rsidRPr="00E36190">
        <w:rPr>
          <w:rFonts w:ascii="Times New Roman" w:eastAsia="Times New Roman" w:hAnsi="Times New Roman" w:cs="Times New Roman"/>
          <w:sz w:val="24"/>
          <w:szCs w:val="24"/>
          <w:lang w:val="en-US"/>
        </w:rPr>
        <w:t>faecal</w:t>
      </w:r>
      <w:proofErr w:type="spellEnd"/>
      <w:r w:rsidRPr="00E36190">
        <w:rPr>
          <w:rFonts w:ascii="Times New Roman" w:eastAsia="Times New Roman" w:hAnsi="Times New Roman" w:cs="Times New Roman"/>
          <w:sz w:val="24"/>
          <w:szCs w:val="24"/>
          <w:lang w:val="en-US"/>
        </w:rPr>
        <w:t xml:space="preserve"> samples correlates with periodontal severity, and that successful periodontal therapy produces downstream alterations in gut ecology.</w:t>
      </w:r>
    </w:p>
    <w:p w14:paraId="183B745A"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systemic implications of this axis are substantial. Associations between periodontitis and IBD, colorectal cancer, MASLD, and cardiovascular disease each have mechanistic pathways that can be at least partially attributed to oral-to-gut microbial translocation. However, the weight of evidence varies across these associations, and causal attribution in humans remains constrained by the predominance of cross-sectional and animal study designs. The field is at an inflection point: mechanistic understanding has matured sufficiently to inform well-designed interventional human studies, the results of which will determine whether the oral–gut axis concept can be translated from bench to bedside. The integration of periodontal care into holistic disease management—particularly for patients with concurrent IBD, liver disease, or cardiometabolic risk—is a logical extension of this science, even as its clinical evidence base continues to develop.</w:t>
      </w:r>
    </w:p>
    <w:p w14:paraId="3BEB7152"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52671B59" w14:textId="77777777"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11. Limitations</w:t>
      </w:r>
    </w:p>
    <w:p w14:paraId="589106E3"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This review carries several inherent limitations that should be acknowledged. As a narrative review, it does not apply the formal methodological standards of a systematic review, including predefined PICO-formatted research questions, GRADE evidence appraisal, or quantitative meta-analysis. The selection of studies, while guided by explicit inclusion and exclusion criteria, involved elements of judgement that could introduce bias towards influential or well-cited work. The search strategy, while broad, may not have captured all relevant studies, particularly recent publications that had not yet been indexed at the time of the search.</w:t>
      </w:r>
    </w:p>
    <w:p w14:paraId="4EC21F56"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substantial proportion of the mechanistic evidence base derives from murine or gnotobiotic models that may not faithfully replicate the microbial ecology, immunological context, or disease progression characteristics of human periodontitis. Single-pathogen oral gavage experiments in particular may overestimate the impact of individual species relative to their </w:t>
      </w:r>
      <w:r w:rsidRPr="00E36190">
        <w:rPr>
          <w:rFonts w:ascii="Times New Roman" w:eastAsia="Times New Roman" w:hAnsi="Times New Roman" w:cs="Times New Roman"/>
          <w:sz w:val="24"/>
          <w:szCs w:val="24"/>
          <w:lang w:val="en-US"/>
        </w:rPr>
        <w:lastRenderedPageBreak/>
        <w:t>contribution within the polymicrobial biofilm of the periodontal pocket. Human clinical studies in this field are predominantly cross-sectional, are frequently conducted in small cohorts, and often lack comprehensive control for dietary, pharmacological, and lifestyle confounders.</w:t>
      </w:r>
    </w:p>
    <w:p w14:paraId="0838FD2A" w14:textId="77777777" w:rsidR="00E36190" w:rsidRPr="00E36190" w:rsidRDefault="00E36190"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review does not address the potential contributions of oral fungi, viruses, or archaea to the oral–gut axis, nor does it consider the modulating influence of host genetic factors, age, sex, or ethnicity on translocation dynamics. These are important dimensions for future investigation that lie beyond the scope of the present work.</w:t>
      </w:r>
    </w:p>
    <w:p w14:paraId="0D54DC59" w14:textId="77777777" w:rsidR="00E36190" w:rsidRPr="00E36190" w:rsidRDefault="00E36190" w:rsidP="003B1B50">
      <w:pPr>
        <w:spacing w:after="0" w:line="240" w:lineRule="auto"/>
        <w:jc w:val="both"/>
        <w:rPr>
          <w:rFonts w:ascii="Times New Roman" w:eastAsia="Times New Roman" w:hAnsi="Times New Roman" w:cs="Times New Roman"/>
          <w:sz w:val="24"/>
          <w:szCs w:val="24"/>
          <w:lang w:val="en-US"/>
        </w:rPr>
      </w:pPr>
    </w:p>
    <w:p w14:paraId="646C3608" w14:textId="77777777" w:rsidR="0066502E" w:rsidRPr="00005ED1" w:rsidRDefault="0066502E" w:rsidP="003B1B50">
      <w:pPr>
        <w:pStyle w:val="NoSpacing"/>
        <w:jc w:val="both"/>
        <w:rPr>
          <w:rFonts w:ascii="Arial" w:hAnsi="Arial" w:cs="Arial"/>
          <w:highlight w:val="yellow"/>
        </w:rPr>
      </w:pPr>
      <w:bookmarkStart w:id="0" w:name="_Hlk198031404"/>
      <w:r w:rsidRPr="00005ED1">
        <w:rPr>
          <w:rFonts w:ascii="Arial" w:hAnsi="Arial" w:cs="Arial"/>
          <w:highlight w:val="yellow"/>
        </w:rPr>
        <w:t>Disclaimer (Artificial intelligence)</w:t>
      </w:r>
    </w:p>
    <w:p w14:paraId="2661BA2F" w14:textId="77777777" w:rsidR="0066502E" w:rsidRPr="00005ED1" w:rsidRDefault="0066502E" w:rsidP="003B1B50">
      <w:pPr>
        <w:pStyle w:val="NoSpacing"/>
        <w:jc w:val="both"/>
        <w:rPr>
          <w:rFonts w:ascii="Arial" w:hAnsi="Arial" w:cs="Arial"/>
          <w:highlight w:val="yellow"/>
        </w:rPr>
      </w:pPr>
    </w:p>
    <w:p w14:paraId="0E30586C" w14:textId="77777777" w:rsidR="0066502E" w:rsidRPr="00005ED1" w:rsidRDefault="0066502E" w:rsidP="003B1B50">
      <w:pPr>
        <w:pStyle w:val="NoSpacing"/>
        <w:jc w:val="both"/>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6B6D6D98" w14:textId="77777777" w:rsidR="0066502E" w:rsidRDefault="0066502E"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p>
    <w:p w14:paraId="3985FDF3" w14:textId="77777777" w:rsidR="0066502E" w:rsidRDefault="0066502E"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p>
    <w:p w14:paraId="0B95FCA1" w14:textId="60124FA3" w:rsidR="00E36190" w:rsidRPr="00E36190" w:rsidRDefault="00E36190" w:rsidP="003B1B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References</w:t>
      </w:r>
    </w:p>
    <w:p w14:paraId="14096C1B"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94EDF">
        <w:rPr>
          <w:rFonts w:ascii="Times New Roman" w:eastAsia="Times New Roman" w:hAnsi="Times New Roman" w:cs="Times New Roman"/>
          <w:sz w:val="24"/>
          <w:szCs w:val="24"/>
          <w:lang w:val="en-US"/>
        </w:rPr>
        <w:t>Atarashi</w:t>
      </w:r>
      <w:proofErr w:type="spellEnd"/>
      <w:r w:rsidRPr="00794EDF">
        <w:rPr>
          <w:rFonts w:ascii="Times New Roman" w:eastAsia="Times New Roman" w:hAnsi="Times New Roman" w:cs="Times New Roman"/>
          <w:sz w:val="24"/>
          <w:szCs w:val="24"/>
          <w:lang w:val="en-US"/>
        </w:rPr>
        <w:t xml:space="preserve">, K., Suda, W., Luo, C., Kawaguchi, T., </w:t>
      </w:r>
      <w:proofErr w:type="spellStart"/>
      <w:r w:rsidRPr="00794EDF">
        <w:rPr>
          <w:rFonts w:ascii="Times New Roman" w:eastAsia="Times New Roman" w:hAnsi="Times New Roman" w:cs="Times New Roman"/>
          <w:sz w:val="24"/>
          <w:szCs w:val="24"/>
          <w:lang w:val="en-US"/>
        </w:rPr>
        <w:t>Motoo</w:t>
      </w:r>
      <w:proofErr w:type="spellEnd"/>
      <w:r w:rsidRPr="00794EDF">
        <w:rPr>
          <w:rFonts w:ascii="Times New Roman" w:eastAsia="Times New Roman" w:hAnsi="Times New Roman" w:cs="Times New Roman"/>
          <w:sz w:val="24"/>
          <w:szCs w:val="24"/>
          <w:lang w:val="en-US"/>
        </w:rPr>
        <w:t xml:space="preserve">, I., </w:t>
      </w:r>
      <w:proofErr w:type="spellStart"/>
      <w:r w:rsidRPr="00794EDF">
        <w:rPr>
          <w:rFonts w:ascii="Times New Roman" w:eastAsia="Times New Roman" w:hAnsi="Times New Roman" w:cs="Times New Roman"/>
          <w:sz w:val="24"/>
          <w:szCs w:val="24"/>
          <w:lang w:val="en-US"/>
        </w:rPr>
        <w:t>Narushima</w:t>
      </w:r>
      <w:proofErr w:type="spellEnd"/>
      <w:r w:rsidRPr="00794EDF">
        <w:rPr>
          <w:rFonts w:ascii="Times New Roman" w:eastAsia="Times New Roman" w:hAnsi="Times New Roman" w:cs="Times New Roman"/>
          <w:sz w:val="24"/>
          <w:szCs w:val="24"/>
          <w:lang w:val="en-US"/>
        </w:rPr>
        <w:t xml:space="preserve">, S., </w:t>
      </w:r>
      <w:proofErr w:type="spellStart"/>
      <w:r w:rsidRPr="00794EDF">
        <w:rPr>
          <w:rFonts w:ascii="Times New Roman" w:eastAsia="Times New Roman" w:hAnsi="Times New Roman" w:cs="Times New Roman"/>
          <w:sz w:val="24"/>
          <w:szCs w:val="24"/>
          <w:lang w:val="en-US"/>
        </w:rPr>
        <w:t>Kiguchi</w:t>
      </w:r>
      <w:proofErr w:type="spellEnd"/>
      <w:r w:rsidRPr="00794EDF">
        <w:rPr>
          <w:rFonts w:ascii="Times New Roman" w:eastAsia="Times New Roman" w:hAnsi="Times New Roman" w:cs="Times New Roman"/>
          <w:sz w:val="24"/>
          <w:szCs w:val="24"/>
          <w:lang w:val="en-US"/>
        </w:rPr>
        <w:t xml:space="preserve">, Y., </w:t>
      </w:r>
      <w:proofErr w:type="spellStart"/>
      <w:r w:rsidRPr="00794EDF">
        <w:rPr>
          <w:rFonts w:ascii="Times New Roman" w:eastAsia="Times New Roman" w:hAnsi="Times New Roman" w:cs="Times New Roman"/>
          <w:sz w:val="24"/>
          <w:szCs w:val="24"/>
          <w:lang w:val="en-US"/>
        </w:rPr>
        <w:t>Yasuma</w:t>
      </w:r>
      <w:proofErr w:type="spellEnd"/>
      <w:r w:rsidRPr="00794EDF">
        <w:rPr>
          <w:rFonts w:ascii="Times New Roman" w:eastAsia="Times New Roman" w:hAnsi="Times New Roman" w:cs="Times New Roman"/>
          <w:sz w:val="24"/>
          <w:szCs w:val="24"/>
          <w:lang w:val="en-US"/>
        </w:rPr>
        <w:t xml:space="preserve">, K., Watanabe, E., Tanoue, T., Thaiss, C. A., Sato, M., Toyooka, K., Said, H. S., Yamagami, H., Rice, S. A., Gevers, D., Johnson, R. C., Segre, J. A., ... Honda, K. (2017). Ectopic colonization of oral bacteria in the intestine drives TH1 cell induction and inflammation. </w:t>
      </w:r>
      <w:r w:rsidRPr="00794EDF">
        <w:rPr>
          <w:rFonts w:ascii="Times New Roman" w:eastAsia="Times New Roman" w:hAnsi="Times New Roman" w:cs="Times New Roman"/>
          <w:i/>
          <w:iCs/>
          <w:sz w:val="24"/>
          <w:szCs w:val="24"/>
          <w:lang w:val="en-US"/>
        </w:rPr>
        <w:t>Science, 358</w:t>
      </w:r>
      <w:r w:rsidRPr="00794EDF">
        <w:rPr>
          <w:rFonts w:ascii="Times New Roman" w:eastAsia="Times New Roman" w:hAnsi="Times New Roman" w:cs="Times New Roman"/>
          <w:sz w:val="24"/>
          <w:szCs w:val="24"/>
          <w:lang w:val="en-US"/>
        </w:rPr>
        <w:t xml:space="preserve">(6361), 359–365. </w:t>
      </w:r>
      <w:hyperlink r:id="rId7" w:tgtFrame="_new" w:history="1">
        <w:r w:rsidRPr="00794EDF">
          <w:rPr>
            <w:rFonts w:ascii="Times New Roman" w:eastAsia="Times New Roman" w:hAnsi="Times New Roman" w:cs="Times New Roman"/>
            <w:color w:val="0000FF"/>
            <w:sz w:val="24"/>
            <w:szCs w:val="24"/>
            <w:u w:val="single"/>
            <w:lang w:val="en-US"/>
          </w:rPr>
          <w:t>https://doi.org/10.1126/science.aan4526</w:t>
        </w:r>
      </w:hyperlink>
    </w:p>
    <w:p w14:paraId="48850374" w14:textId="77777777" w:rsid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Baima, G., Dabdoub, S., </w:t>
      </w:r>
      <w:proofErr w:type="spellStart"/>
      <w:r w:rsidRPr="00794EDF">
        <w:rPr>
          <w:rFonts w:ascii="Times New Roman" w:eastAsia="Times New Roman" w:hAnsi="Times New Roman" w:cs="Times New Roman"/>
          <w:sz w:val="24"/>
          <w:szCs w:val="24"/>
          <w:lang w:val="en-US"/>
        </w:rPr>
        <w:t>Thumbigere</w:t>
      </w:r>
      <w:proofErr w:type="spellEnd"/>
      <w:r w:rsidRPr="00794EDF">
        <w:rPr>
          <w:rFonts w:ascii="Times New Roman" w:eastAsia="Times New Roman" w:hAnsi="Times New Roman" w:cs="Times New Roman"/>
          <w:sz w:val="24"/>
          <w:szCs w:val="24"/>
          <w:lang w:val="en-US"/>
        </w:rPr>
        <w:t xml:space="preserve">-Math, V., Ribaldone, D. G., Caviglia, G. P., </w:t>
      </w:r>
      <w:proofErr w:type="spellStart"/>
      <w:r w:rsidRPr="00794EDF">
        <w:rPr>
          <w:rFonts w:ascii="Times New Roman" w:eastAsia="Times New Roman" w:hAnsi="Times New Roman" w:cs="Times New Roman"/>
          <w:sz w:val="24"/>
          <w:szCs w:val="24"/>
          <w:lang w:val="en-US"/>
        </w:rPr>
        <w:t>Tenori</w:t>
      </w:r>
      <w:proofErr w:type="spellEnd"/>
      <w:r w:rsidRPr="00794EDF">
        <w:rPr>
          <w:rFonts w:ascii="Times New Roman" w:eastAsia="Times New Roman" w:hAnsi="Times New Roman" w:cs="Times New Roman"/>
          <w:sz w:val="24"/>
          <w:szCs w:val="24"/>
          <w:lang w:val="en-US"/>
        </w:rPr>
        <w:t xml:space="preserve">, L., </w:t>
      </w:r>
      <w:proofErr w:type="spellStart"/>
      <w:r w:rsidRPr="00794EDF">
        <w:rPr>
          <w:rFonts w:ascii="Times New Roman" w:eastAsia="Times New Roman" w:hAnsi="Times New Roman" w:cs="Times New Roman"/>
          <w:sz w:val="24"/>
          <w:szCs w:val="24"/>
          <w:lang w:val="en-US"/>
        </w:rPr>
        <w:t>Fantato</w:t>
      </w:r>
      <w:proofErr w:type="spellEnd"/>
      <w:r w:rsidRPr="00794EDF">
        <w:rPr>
          <w:rFonts w:ascii="Times New Roman" w:eastAsia="Times New Roman" w:hAnsi="Times New Roman" w:cs="Times New Roman"/>
          <w:sz w:val="24"/>
          <w:szCs w:val="24"/>
          <w:lang w:val="en-US"/>
        </w:rPr>
        <w:t xml:space="preserve">, L., Vignoli, A., </w:t>
      </w:r>
      <w:proofErr w:type="spellStart"/>
      <w:r w:rsidRPr="00794EDF">
        <w:rPr>
          <w:rFonts w:ascii="Times New Roman" w:eastAsia="Times New Roman" w:hAnsi="Times New Roman" w:cs="Times New Roman"/>
          <w:sz w:val="24"/>
          <w:szCs w:val="24"/>
          <w:lang w:val="en-US"/>
        </w:rPr>
        <w:t>Romandini</w:t>
      </w:r>
      <w:proofErr w:type="spellEnd"/>
      <w:r w:rsidRPr="00794EDF">
        <w:rPr>
          <w:rFonts w:ascii="Times New Roman" w:eastAsia="Times New Roman" w:hAnsi="Times New Roman" w:cs="Times New Roman"/>
          <w:sz w:val="24"/>
          <w:szCs w:val="24"/>
          <w:lang w:val="en-US"/>
        </w:rPr>
        <w:t xml:space="preserve">, M., Ferrocino, I., &amp; </w:t>
      </w:r>
      <w:proofErr w:type="spellStart"/>
      <w:r w:rsidRPr="00794EDF">
        <w:rPr>
          <w:rFonts w:ascii="Times New Roman" w:eastAsia="Times New Roman" w:hAnsi="Times New Roman" w:cs="Times New Roman"/>
          <w:sz w:val="24"/>
          <w:szCs w:val="24"/>
          <w:lang w:val="en-US"/>
        </w:rPr>
        <w:t>Aimetti</w:t>
      </w:r>
      <w:proofErr w:type="spellEnd"/>
      <w:r w:rsidRPr="00794EDF">
        <w:rPr>
          <w:rFonts w:ascii="Times New Roman" w:eastAsia="Times New Roman" w:hAnsi="Times New Roman" w:cs="Times New Roman"/>
          <w:sz w:val="24"/>
          <w:szCs w:val="24"/>
          <w:lang w:val="en-US"/>
        </w:rPr>
        <w:t xml:space="preserve">, M. (2025). Multi-omics signatures of periodontitis and periodontal therapy on the oral and gut microbiome. </w:t>
      </w:r>
      <w:r w:rsidRPr="00794EDF">
        <w:rPr>
          <w:rFonts w:ascii="Times New Roman" w:eastAsia="Times New Roman" w:hAnsi="Times New Roman" w:cs="Times New Roman"/>
          <w:i/>
          <w:iCs/>
          <w:sz w:val="24"/>
          <w:szCs w:val="24"/>
          <w:lang w:val="en-US"/>
        </w:rPr>
        <w:t>Journal of Periodontal Research, 60</w:t>
      </w:r>
      <w:r w:rsidRPr="00794EDF">
        <w:rPr>
          <w:rFonts w:ascii="Times New Roman" w:eastAsia="Times New Roman" w:hAnsi="Times New Roman" w:cs="Times New Roman"/>
          <w:sz w:val="24"/>
          <w:szCs w:val="24"/>
          <w:lang w:val="en-US"/>
        </w:rPr>
        <w:t xml:space="preserve">(12), 1237–1253. </w:t>
      </w:r>
      <w:hyperlink r:id="rId8" w:tgtFrame="_new" w:history="1">
        <w:r w:rsidRPr="00794EDF">
          <w:rPr>
            <w:rFonts w:ascii="Times New Roman" w:eastAsia="Times New Roman" w:hAnsi="Times New Roman" w:cs="Times New Roman"/>
            <w:color w:val="0000FF"/>
            <w:sz w:val="24"/>
            <w:szCs w:val="24"/>
            <w:u w:val="single"/>
            <w:lang w:val="en-US"/>
          </w:rPr>
          <w:t>https://doi.org/10.1111/jre.70055</w:t>
        </w:r>
      </w:hyperlink>
      <w:r w:rsidRPr="00794EDF">
        <w:rPr>
          <w:rFonts w:ascii="Times New Roman" w:eastAsia="Times New Roman" w:hAnsi="Times New Roman" w:cs="Times New Roman"/>
          <w:sz w:val="24"/>
          <w:szCs w:val="24"/>
          <w:lang w:val="en-US"/>
        </w:rPr>
        <w:t xml:space="preserve"> </w:t>
      </w:r>
    </w:p>
    <w:p w14:paraId="31E24319"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Baima, G., Ferrocino, I., Del Lupo, V., Colonna, E., </w:t>
      </w:r>
      <w:proofErr w:type="spellStart"/>
      <w:r w:rsidRPr="00794EDF">
        <w:rPr>
          <w:rFonts w:ascii="Times New Roman" w:eastAsia="Times New Roman" w:hAnsi="Times New Roman" w:cs="Times New Roman"/>
          <w:sz w:val="24"/>
          <w:szCs w:val="24"/>
          <w:lang w:val="en-US"/>
        </w:rPr>
        <w:t>Thumbigere</w:t>
      </w:r>
      <w:proofErr w:type="spellEnd"/>
      <w:r w:rsidRPr="00794EDF">
        <w:rPr>
          <w:rFonts w:ascii="Times New Roman" w:eastAsia="Times New Roman" w:hAnsi="Times New Roman" w:cs="Times New Roman"/>
          <w:sz w:val="24"/>
          <w:szCs w:val="24"/>
          <w:lang w:val="en-US"/>
        </w:rPr>
        <w:t xml:space="preserve">-Math, V., Caviglia, G. P., Franciosa, I., Mariani, G. M., </w:t>
      </w:r>
      <w:proofErr w:type="spellStart"/>
      <w:r w:rsidRPr="00794EDF">
        <w:rPr>
          <w:rFonts w:ascii="Times New Roman" w:eastAsia="Times New Roman" w:hAnsi="Times New Roman" w:cs="Times New Roman"/>
          <w:sz w:val="24"/>
          <w:szCs w:val="24"/>
          <w:lang w:val="en-US"/>
        </w:rPr>
        <w:t>Romandini</w:t>
      </w:r>
      <w:proofErr w:type="spellEnd"/>
      <w:r w:rsidRPr="00794EDF">
        <w:rPr>
          <w:rFonts w:ascii="Times New Roman" w:eastAsia="Times New Roman" w:hAnsi="Times New Roman" w:cs="Times New Roman"/>
          <w:sz w:val="24"/>
          <w:szCs w:val="24"/>
          <w:lang w:val="en-US"/>
        </w:rPr>
        <w:t xml:space="preserve">, M., </w:t>
      </w:r>
      <w:proofErr w:type="spellStart"/>
      <w:r w:rsidRPr="00794EDF">
        <w:rPr>
          <w:rFonts w:ascii="Times New Roman" w:eastAsia="Times New Roman" w:hAnsi="Times New Roman" w:cs="Times New Roman"/>
          <w:sz w:val="24"/>
          <w:szCs w:val="24"/>
          <w:lang w:val="en-US"/>
        </w:rPr>
        <w:t>Ribaldone</w:t>
      </w:r>
      <w:proofErr w:type="spellEnd"/>
      <w:r w:rsidRPr="00794EDF">
        <w:rPr>
          <w:rFonts w:ascii="Times New Roman" w:eastAsia="Times New Roman" w:hAnsi="Times New Roman" w:cs="Times New Roman"/>
          <w:sz w:val="24"/>
          <w:szCs w:val="24"/>
          <w:lang w:val="en-US"/>
        </w:rPr>
        <w:t xml:space="preserve">, D. G., Romano, F., &amp; </w:t>
      </w:r>
      <w:proofErr w:type="spellStart"/>
      <w:r w:rsidRPr="00794EDF">
        <w:rPr>
          <w:rFonts w:ascii="Times New Roman" w:eastAsia="Times New Roman" w:hAnsi="Times New Roman" w:cs="Times New Roman"/>
          <w:sz w:val="24"/>
          <w:szCs w:val="24"/>
          <w:lang w:val="en-US"/>
        </w:rPr>
        <w:t>Aimetti</w:t>
      </w:r>
      <w:proofErr w:type="spellEnd"/>
      <w:r w:rsidRPr="00794EDF">
        <w:rPr>
          <w:rFonts w:ascii="Times New Roman" w:eastAsia="Times New Roman" w:hAnsi="Times New Roman" w:cs="Times New Roman"/>
          <w:sz w:val="24"/>
          <w:szCs w:val="24"/>
          <w:lang w:val="en-US"/>
        </w:rPr>
        <w:t xml:space="preserve">, M. (2024). Effect of periodontitis and periodontal therapy on oral and gut microbiota. </w:t>
      </w:r>
      <w:r w:rsidRPr="00794EDF">
        <w:rPr>
          <w:rFonts w:ascii="Times New Roman" w:eastAsia="Times New Roman" w:hAnsi="Times New Roman" w:cs="Times New Roman"/>
          <w:i/>
          <w:iCs/>
          <w:sz w:val="24"/>
          <w:szCs w:val="24"/>
          <w:lang w:val="en-US"/>
        </w:rPr>
        <w:t>Journal of Dental Research, 103</w:t>
      </w:r>
      <w:r w:rsidRPr="00794EDF">
        <w:rPr>
          <w:rFonts w:ascii="Times New Roman" w:eastAsia="Times New Roman" w:hAnsi="Times New Roman" w:cs="Times New Roman"/>
          <w:sz w:val="24"/>
          <w:szCs w:val="24"/>
          <w:lang w:val="en-US"/>
        </w:rPr>
        <w:t xml:space="preserve">(4), 359–368. </w:t>
      </w:r>
      <w:hyperlink r:id="rId9" w:tgtFrame="_new" w:history="1">
        <w:r w:rsidRPr="00794EDF">
          <w:rPr>
            <w:rFonts w:ascii="Times New Roman" w:eastAsia="Times New Roman" w:hAnsi="Times New Roman" w:cs="Times New Roman"/>
            <w:color w:val="0000FF"/>
            <w:sz w:val="24"/>
            <w:szCs w:val="24"/>
            <w:u w:val="single"/>
            <w:lang w:val="en-US"/>
          </w:rPr>
          <w:t>https://doi.org/10.1177/00220345231222800</w:t>
        </w:r>
      </w:hyperlink>
    </w:p>
    <w:p w14:paraId="5034D446"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Baima, G., </w:t>
      </w:r>
      <w:proofErr w:type="spellStart"/>
      <w:r w:rsidRPr="00794EDF">
        <w:rPr>
          <w:rFonts w:ascii="Times New Roman" w:eastAsia="Times New Roman" w:hAnsi="Times New Roman" w:cs="Times New Roman"/>
          <w:sz w:val="24"/>
          <w:szCs w:val="24"/>
          <w:lang w:val="en-US"/>
        </w:rPr>
        <w:t>Ribaldone</w:t>
      </w:r>
      <w:proofErr w:type="spellEnd"/>
      <w:r w:rsidRPr="00794EDF">
        <w:rPr>
          <w:rFonts w:ascii="Times New Roman" w:eastAsia="Times New Roman" w:hAnsi="Times New Roman" w:cs="Times New Roman"/>
          <w:sz w:val="24"/>
          <w:szCs w:val="24"/>
          <w:lang w:val="en-US"/>
        </w:rPr>
        <w:t xml:space="preserve">, D. G., Romano, F., Aimetti, M., &amp; </w:t>
      </w:r>
      <w:proofErr w:type="spellStart"/>
      <w:r w:rsidRPr="00794EDF">
        <w:rPr>
          <w:rFonts w:ascii="Times New Roman" w:eastAsia="Times New Roman" w:hAnsi="Times New Roman" w:cs="Times New Roman"/>
          <w:sz w:val="24"/>
          <w:szCs w:val="24"/>
          <w:lang w:val="en-US"/>
        </w:rPr>
        <w:t>Romandini</w:t>
      </w:r>
      <w:proofErr w:type="spellEnd"/>
      <w:r w:rsidRPr="00794EDF">
        <w:rPr>
          <w:rFonts w:ascii="Times New Roman" w:eastAsia="Times New Roman" w:hAnsi="Times New Roman" w:cs="Times New Roman"/>
          <w:sz w:val="24"/>
          <w:szCs w:val="24"/>
          <w:lang w:val="en-US"/>
        </w:rPr>
        <w:t xml:space="preserve">, M. (2023). The gum–gut axis: Periodontitis and the risk of gastrointestinal cancers. </w:t>
      </w:r>
      <w:r w:rsidRPr="00794EDF">
        <w:rPr>
          <w:rFonts w:ascii="Times New Roman" w:eastAsia="Times New Roman" w:hAnsi="Times New Roman" w:cs="Times New Roman"/>
          <w:i/>
          <w:iCs/>
          <w:sz w:val="24"/>
          <w:szCs w:val="24"/>
          <w:lang w:val="en-US"/>
        </w:rPr>
        <w:t>Cancers, 15</w:t>
      </w:r>
      <w:r w:rsidRPr="00794EDF">
        <w:rPr>
          <w:rFonts w:ascii="Times New Roman" w:eastAsia="Times New Roman" w:hAnsi="Times New Roman" w:cs="Times New Roman"/>
          <w:sz w:val="24"/>
          <w:szCs w:val="24"/>
          <w:lang w:val="en-US"/>
        </w:rPr>
        <w:t xml:space="preserve">(18), 4594. </w:t>
      </w:r>
      <w:hyperlink r:id="rId10" w:tgtFrame="_new" w:history="1">
        <w:r w:rsidRPr="00794EDF">
          <w:rPr>
            <w:rFonts w:ascii="Times New Roman" w:eastAsia="Times New Roman" w:hAnsi="Times New Roman" w:cs="Times New Roman"/>
            <w:color w:val="0000FF"/>
            <w:sz w:val="24"/>
            <w:szCs w:val="24"/>
            <w:u w:val="single"/>
            <w:lang w:val="en-US"/>
          </w:rPr>
          <w:t>https://doi.org/10.3390/cancers15184594</w:t>
        </w:r>
      </w:hyperlink>
    </w:p>
    <w:p w14:paraId="15C05221"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94EDF">
        <w:rPr>
          <w:rFonts w:ascii="Times New Roman" w:eastAsia="Times New Roman" w:hAnsi="Times New Roman" w:cs="Times New Roman"/>
          <w:sz w:val="24"/>
          <w:szCs w:val="24"/>
          <w:lang w:val="en-US"/>
        </w:rPr>
        <w:t>Buetas</w:t>
      </w:r>
      <w:proofErr w:type="spellEnd"/>
      <w:r w:rsidRPr="00794EDF">
        <w:rPr>
          <w:rFonts w:ascii="Times New Roman" w:eastAsia="Times New Roman" w:hAnsi="Times New Roman" w:cs="Times New Roman"/>
          <w:sz w:val="24"/>
          <w:szCs w:val="24"/>
          <w:lang w:val="en-US"/>
        </w:rPr>
        <w:t>, E., Jordán-López, M., López-Roldán, A., Mira, A., &amp; Carda-</w:t>
      </w:r>
      <w:proofErr w:type="spellStart"/>
      <w:r w:rsidRPr="00794EDF">
        <w:rPr>
          <w:rFonts w:ascii="Times New Roman" w:eastAsia="Times New Roman" w:hAnsi="Times New Roman" w:cs="Times New Roman"/>
          <w:sz w:val="24"/>
          <w:szCs w:val="24"/>
          <w:lang w:val="en-US"/>
        </w:rPr>
        <w:t>Diéguez</w:t>
      </w:r>
      <w:proofErr w:type="spellEnd"/>
      <w:r w:rsidRPr="00794EDF">
        <w:rPr>
          <w:rFonts w:ascii="Times New Roman" w:eastAsia="Times New Roman" w:hAnsi="Times New Roman" w:cs="Times New Roman"/>
          <w:sz w:val="24"/>
          <w:szCs w:val="24"/>
          <w:lang w:val="en-US"/>
        </w:rPr>
        <w:t xml:space="preserve">, M. (2024). Impact of periodontitis on the leakage of oral bacteria to the gut. </w:t>
      </w:r>
      <w:r w:rsidRPr="00794EDF">
        <w:rPr>
          <w:rFonts w:ascii="Times New Roman" w:eastAsia="Times New Roman" w:hAnsi="Times New Roman" w:cs="Times New Roman"/>
          <w:i/>
          <w:iCs/>
          <w:sz w:val="24"/>
          <w:szCs w:val="24"/>
          <w:lang w:val="en-US"/>
        </w:rPr>
        <w:t>Journal of Dental Research, 103</w:t>
      </w:r>
      <w:r w:rsidRPr="00794EDF">
        <w:rPr>
          <w:rFonts w:ascii="Times New Roman" w:eastAsia="Times New Roman" w:hAnsi="Times New Roman" w:cs="Times New Roman"/>
          <w:sz w:val="24"/>
          <w:szCs w:val="24"/>
          <w:lang w:val="en-US"/>
        </w:rPr>
        <w:t xml:space="preserve">(3), 289–297. </w:t>
      </w:r>
      <w:hyperlink r:id="rId11" w:tgtFrame="_new" w:history="1">
        <w:r w:rsidRPr="00794EDF">
          <w:rPr>
            <w:rFonts w:ascii="Times New Roman" w:eastAsia="Times New Roman" w:hAnsi="Times New Roman" w:cs="Times New Roman"/>
            <w:color w:val="0000FF"/>
            <w:sz w:val="24"/>
            <w:szCs w:val="24"/>
            <w:u w:val="single"/>
            <w:lang w:val="en-US"/>
          </w:rPr>
          <w:t>https://doi.org/10.1177/00220345231221709</w:t>
        </w:r>
      </w:hyperlink>
    </w:p>
    <w:p w14:paraId="0E1B8785"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Byrd, K. M., &amp; Gulati, A. S. (2021). The “gum–gut” axis in inflammatory bowel diseases: A hypothesis-driven review of associations and advances. </w:t>
      </w:r>
      <w:r w:rsidRPr="00794EDF">
        <w:rPr>
          <w:rFonts w:ascii="Times New Roman" w:eastAsia="Times New Roman" w:hAnsi="Times New Roman" w:cs="Times New Roman"/>
          <w:i/>
          <w:iCs/>
          <w:sz w:val="24"/>
          <w:szCs w:val="24"/>
          <w:lang w:val="en-US"/>
        </w:rPr>
        <w:t>Frontiers in Immunology, 12</w:t>
      </w:r>
      <w:r w:rsidRPr="00794EDF">
        <w:rPr>
          <w:rFonts w:ascii="Times New Roman" w:eastAsia="Times New Roman" w:hAnsi="Times New Roman" w:cs="Times New Roman"/>
          <w:sz w:val="24"/>
          <w:szCs w:val="24"/>
          <w:lang w:val="en-US"/>
        </w:rPr>
        <w:t xml:space="preserve">, 620124. </w:t>
      </w:r>
      <w:hyperlink r:id="rId12" w:tgtFrame="_new" w:history="1">
        <w:r w:rsidRPr="00794EDF">
          <w:rPr>
            <w:rFonts w:ascii="Times New Roman" w:eastAsia="Times New Roman" w:hAnsi="Times New Roman" w:cs="Times New Roman"/>
            <w:color w:val="0000FF"/>
            <w:sz w:val="24"/>
            <w:szCs w:val="24"/>
            <w:u w:val="single"/>
            <w:lang w:val="en-US"/>
          </w:rPr>
          <w:t>https://doi.org/10.3389/fimmu.2021.620124</w:t>
        </w:r>
      </w:hyperlink>
    </w:p>
    <w:p w14:paraId="512AB063"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lastRenderedPageBreak/>
        <w:t xml:space="preserve">de Oliveira, A. M., Lourenço, T. G. B., &amp; Colombo, A. P. V. (2022). Impact of systemic probiotics as adjuncts to subgingival instrumentation on the oral-gut microbiota associated with periodontitis: A randomized controlled clinical trial. </w:t>
      </w:r>
      <w:r w:rsidRPr="00794EDF">
        <w:rPr>
          <w:rFonts w:ascii="Times New Roman" w:eastAsia="Times New Roman" w:hAnsi="Times New Roman" w:cs="Times New Roman"/>
          <w:i/>
          <w:iCs/>
          <w:sz w:val="24"/>
          <w:szCs w:val="24"/>
          <w:lang w:val="en-US"/>
        </w:rPr>
        <w:t>Journal of Periodontology, 93</w:t>
      </w:r>
      <w:r w:rsidRPr="00794EDF">
        <w:rPr>
          <w:rFonts w:ascii="Times New Roman" w:eastAsia="Times New Roman" w:hAnsi="Times New Roman" w:cs="Times New Roman"/>
          <w:sz w:val="24"/>
          <w:szCs w:val="24"/>
          <w:lang w:val="en-US"/>
        </w:rPr>
        <w:t xml:space="preserve">(1), 31–44. </w:t>
      </w:r>
      <w:hyperlink r:id="rId13" w:tgtFrame="_new" w:history="1">
        <w:r w:rsidRPr="00794EDF">
          <w:rPr>
            <w:rFonts w:ascii="Times New Roman" w:eastAsia="Times New Roman" w:hAnsi="Times New Roman" w:cs="Times New Roman"/>
            <w:color w:val="0000FF"/>
            <w:sz w:val="24"/>
            <w:szCs w:val="24"/>
            <w:u w:val="single"/>
            <w:lang w:val="en-US"/>
          </w:rPr>
          <w:t>https://doi.org/10.1002/JPER.21-0078</w:t>
        </w:r>
      </w:hyperlink>
    </w:p>
    <w:p w14:paraId="6DBDB335"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Eke, P. I., Dye, B. A., Wei, L., Slade, G. D., Thornton-Evans, G. O., Borgnakke, W. S., Taylor, G. W., Page, R. C., Beck, J. D., &amp; Genco, R. J. (2015). Update on prevalence of periodontitis in adults in the United States: NHANES 2009 to 2012. </w:t>
      </w:r>
      <w:r w:rsidRPr="00794EDF">
        <w:rPr>
          <w:rFonts w:ascii="Times New Roman" w:eastAsia="Times New Roman" w:hAnsi="Times New Roman" w:cs="Times New Roman"/>
          <w:i/>
          <w:iCs/>
          <w:sz w:val="24"/>
          <w:szCs w:val="24"/>
          <w:lang w:val="en-US"/>
        </w:rPr>
        <w:t>Journal of Periodontology, 86</w:t>
      </w:r>
      <w:r w:rsidRPr="00794EDF">
        <w:rPr>
          <w:rFonts w:ascii="Times New Roman" w:eastAsia="Times New Roman" w:hAnsi="Times New Roman" w:cs="Times New Roman"/>
          <w:sz w:val="24"/>
          <w:szCs w:val="24"/>
          <w:lang w:val="en-US"/>
        </w:rPr>
        <w:t xml:space="preserve">(5), 611–622. </w:t>
      </w:r>
      <w:hyperlink r:id="rId14" w:tgtFrame="_new" w:history="1">
        <w:r w:rsidRPr="00794EDF">
          <w:rPr>
            <w:rFonts w:ascii="Times New Roman" w:eastAsia="Times New Roman" w:hAnsi="Times New Roman" w:cs="Times New Roman"/>
            <w:color w:val="0000FF"/>
            <w:sz w:val="24"/>
            <w:szCs w:val="24"/>
            <w:u w:val="single"/>
            <w:lang w:val="en-US"/>
          </w:rPr>
          <w:t>https://doi.org/10.1902/jop.2015.140520</w:t>
        </w:r>
      </w:hyperlink>
    </w:p>
    <w:p w14:paraId="2190F204"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94EDF">
        <w:rPr>
          <w:rFonts w:ascii="Times New Roman" w:eastAsia="Times New Roman" w:hAnsi="Times New Roman" w:cs="Times New Roman"/>
          <w:sz w:val="24"/>
          <w:szCs w:val="24"/>
          <w:lang w:val="en-US"/>
        </w:rPr>
        <w:t>Hajishengallis</w:t>
      </w:r>
      <w:proofErr w:type="spellEnd"/>
      <w:r w:rsidRPr="00794EDF">
        <w:rPr>
          <w:rFonts w:ascii="Times New Roman" w:eastAsia="Times New Roman" w:hAnsi="Times New Roman" w:cs="Times New Roman"/>
          <w:sz w:val="24"/>
          <w:szCs w:val="24"/>
          <w:lang w:val="en-US"/>
        </w:rPr>
        <w:t xml:space="preserve">, G. (2015). Periodontitis: From microbial immune subversion to systemic inflammation. </w:t>
      </w:r>
      <w:r w:rsidRPr="00794EDF">
        <w:rPr>
          <w:rFonts w:ascii="Times New Roman" w:eastAsia="Times New Roman" w:hAnsi="Times New Roman" w:cs="Times New Roman"/>
          <w:i/>
          <w:iCs/>
          <w:sz w:val="24"/>
          <w:szCs w:val="24"/>
          <w:lang w:val="en-US"/>
        </w:rPr>
        <w:t>Nature Reviews Immunology, 15</w:t>
      </w:r>
      <w:r w:rsidRPr="00794EDF">
        <w:rPr>
          <w:rFonts w:ascii="Times New Roman" w:eastAsia="Times New Roman" w:hAnsi="Times New Roman" w:cs="Times New Roman"/>
          <w:sz w:val="24"/>
          <w:szCs w:val="24"/>
          <w:lang w:val="en-US"/>
        </w:rPr>
        <w:t xml:space="preserve">(1), 30–44. </w:t>
      </w:r>
      <w:hyperlink r:id="rId15" w:tgtFrame="_new" w:history="1">
        <w:r w:rsidRPr="00794EDF">
          <w:rPr>
            <w:rFonts w:ascii="Times New Roman" w:eastAsia="Times New Roman" w:hAnsi="Times New Roman" w:cs="Times New Roman"/>
            <w:color w:val="0000FF"/>
            <w:sz w:val="24"/>
            <w:szCs w:val="24"/>
            <w:u w:val="single"/>
            <w:lang w:val="en-US"/>
          </w:rPr>
          <w:t>https://doi.org/10.1038/nri3785</w:t>
        </w:r>
      </w:hyperlink>
    </w:p>
    <w:p w14:paraId="50A13D5F"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94EDF">
        <w:rPr>
          <w:rFonts w:ascii="Times New Roman" w:eastAsia="Times New Roman" w:hAnsi="Times New Roman" w:cs="Times New Roman"/>
          <w:sz w:val="24"/>
          <w:szCs w:val="24"/>
          <w:lang w:val="en-US"/>
        </w:rPr>
        <w:t>Hajishengallis</w:t>
      </w:r>
      <w:proofErr w:type="spellEnd"/>
      <w:r w:rsidRPr="00794EDF">
        <w:rPr>
          <w:rFonts w:ascii="Times New Roman" w:eastAsia="Times New Roman" w:hAnsi="Times New Roman" w:cs="Times New Roman"/>
          <w:sz w:val="24"/>
          <w:szCs w:val="24"/>
          <w:lang w:val="en-US"/>
        </w:rPr>
        <w:t xml:space="preserve">, G., &amp; </w:t>
      </w:r>
      <w:proofErr w:type="spellStart"/>
      <w:r w:rsidRPr="00794EDF">
        <w:rPr>
          <w:rFonts w:ascii="Times New Roman" w:eastAsia="Times New Roman" w:hAnsi="Times New Roman" w:cs="Times New Roman"/>
          <w:sz w:val="24"/>
          <w:szCs w:val="24"/>
          <w:lang w:val="en-US"/>
        </w:rPr>
        <w:t>Chavakis</w:t>
      </w:r>
      <w:proofErr w:type="spellEnd"/>
      <w:r w:rsidRPr="00794EDF">
        <w:rPr>
          <w:rFonts w:ascii="Times New Roman" w:eastAsia="Times New Roman" w:hAnsi="Times New Roman" w:cs="Times New Roman"/>
          <w:sz w:val="24"/>
          <w:szCs w:val="24"/>
          <w:lang w:val="en-US"/>
        </w:rPr>
        <w:t xml:space="preserve">, T. (2021). Local and systemic mechanisms linking periodontal disease and inflammatory comorbidities. </w:t>
      </w:r>
      <w:r w:rsidRPr="00794EDF">
        <w:rPr>
          <w:rFonts w:ascii="Times New Roman" w:eastAsia="Times New Roman" w:hAnsi="Times New Roman" w:cs="Times New Roman"/>
          <w:i/>
          <w:iCs/>
          <w:sz w:val="24"/>
          <w:szCs w:val="24"/>
          <w:lang w:val="en-US"/>
        </w:rPr>
        <w:t>Nature Reviews Immunology, 21</w:t>
      </w:r>
      <w:r w:rsidRPr="00794EDF">
        <w:rPr>
          <w:rFonts w:ascii="Times New Roman" w:eastAsia="Times New Roman" w:hAnsi="Times New Roman" w:cs="Times New Roman"/>
          <w:sz w:val="24"/>
          <w:szCs w:val="24"/>
          <w:lang w:val="en-US"/>
        </w:rPr>
        <w:t xml:space="preserve">(7), 426–440. </w:t>
      </w:r>
      <w:hyperlink r:id="rId16" w:tgtFrame="_new" w:history="1">
        <w:r w:rsidRPr="00794EDF">
          <w:rPr>
            <w:rFonts w:ascii="Times New Roman" w:eastAsia="Times New Roman" w:hAnsi="Times New Roman" w:cs="Times New Roman"/>
            <w:color w:val="0000FF"/>
            <w:sz w:val="24"/>
            <w:szCs w:val="24"/>
            <w:u w:val="single"/>
            <w:lang w:val="en-US"/>
          </w:rPr>
          <w:t>https://doi.org/10.1038/s41577-020-00488-6</w:t>
        </w:r>
      </w:hyperlink>
    </w:p>
    <w:p w14:paraId="54BC4F03"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Huang, X., Li, Y., Zhang, J., &amp; Feng, Q. (2024). Linking periodontitis with inflammatory bowel disease through the oral–gut axis: The potential role of </w:t>
      </w:r>
      <w:r w:rsidRPr="00794EDF">
        <w:rPr>
          <w:rFonts w:ascii="Times New Roman" w:eastAsia="Times New Roman" w:hAnsi="Times New Roman" w:cs="Times New Roman"/>
          <w:i/>
          <w:iCs/>
          <w:sz w:val="24"/>
          <w:szCs w:val="24"/>
          <w:lang w:val="en-US"/>
        </w:rPr>
        <w:t>Porphyromonas gingivalis</w:t>
      </w:r>
      <w:r w:rsidRPr="00794EDF">
        <w:rPr>
          <w:rFonts w:ascii="Times New Roman" w:eastAsia="Times New Roman" w:hAnsi="Times New Roman" w:cs="Times New Roman"/>
          <w:sz w:val="24"/>
          <w:szCs w:val="24"/>
          <w:lang w:val="en-US"/>
        </w:rPr>
        <w:t xml:space="preserve">. </w:t>
      </w:r>
      <w:r w:rsidRPr="00794EDF">
        <w:rPr>
          <w:rFonts w:ascii="Times New Roman" w:eastAsia="Times New Roman" w:hAnsi="Times New Roman" w:cs="Times New Roman"/>
          <w:i/>
          <w:iCs/>
          <w:sz w:val="24"/>
          <w:szCs w:val="24"/>
          <w:lang w:val="en-US"/>
        </w:rPr>
        <w:t>Biomedicines, 12</w:t>
      </w:r>
      <w:r w:rsidRPr="00794EDF">
        <w:rPr>
          <w:rFonts w:ascii="Times New Roman" w:eastAsia="Times New Roman" w:hAnsi="Times New Roman" w:cs="Times New Roman"/>
          <w:sz w:val="24"/>
          <w:szCs w:val="24"/>
          <w:lang w:val="en-US"/>
        </w:rPr>
        <w:t xml:space="preserve">(3), 685. </w:t>
      </w:r>
      <w:hyperlink r:id="rId17" w:tgtFrame="_new" w:history="1">
        <w:r w:rsidRPr="00794EDF">
          <w:rPr>
            <w:rFonts w:ascii="Times New Roman" w:eastAsia="Times New Roman" w:hAnsi="Times New Roman" w:cs="Times New Roman"/>
            <w:color w:val="0000FF"/>
            <w:sz w:val="24"/>
            <w:szCs w:val="24"/>
            <w:u w:val="single"/>
            <w:lang w:val="en-US"/>
          </w:rPr>
          <w:t>https://doi.org/10.3390/biomedicines12030685</w:t>
        </w:r>
      </w:hyperlink>
    </w:p>
    <w:p w14:paraId="572FF656"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Kageyama, S., Sakata, S., Ma, J., Asakawa, M., Takeshita, T., Furuta, M., Ninomiya, T., &amp; Yamashita, Y. (2023). High-resolution detection of translocation of oral bacteria to the gut. </w:t>
      </w:r>
      <w:r w:rsidRPr="00794EDF">
        <w:rPr>
          <w:rFonts w:ascii="Times New Roman" w:eastAsia="Times New Roman" w:hAnsi="Times New Roman" w:cs="Times New Roman"/>
          <w:i/>
          <w:iCs/>
          <w:sz w:val="24"/>
          <w:szCs w:val="24"/>
          <w:lang w:val="en-US"/>
        </w:rPr>
        <w:t>Journal of Dental Research, 102</w:t>
      </w:r>
      <w:r w:rsidRPr="00794EDF">
        <w:rPr>
          <w:rFonts w:ascii="Times New Roman" w:eastAsia="Times New Roman" w:hAnsi="Times New Roman" w:cs="Times New Roman"/>
          <w:sz w:val="24"/>
          <w:szCs w:val="24"/>
          <w:lang w:val="en-US"/>
        </w:rPr>
        <w:t xml:space="preserve">(7), 752–758. </w:t>
      </w:r>
      <w:hyperlink r:id="rId18" w:tgtFrame="_new" w:history="1">
        <w:r w:rsidRPr="00794EDF">
          <w:rPr>
            <w:rFonts w:ascii="Times New Roman" w:eastAsia="Times New Roman" w:hAnsi="Times New Roman" w:cs="Times New Roman"/>
            <w:color w:val="0000FF"/>
            <w:sz w:val="24"/>
            <w:szCs w:val="24"/>
            <w:u w:val="single"/>
            <w:lang w:val="en-US"/>
          </w:rPr>
          <w:t>https://doi.org/10.1177/00220345231160747</w:t>
        </w:r>
      </w:hyperlink>
    </w:p>
    <w:p w14:paraId="660A2FAF"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Kawamoto, D., Borges, R., Ribeiro, R. A., de Souza, R. F., Amado, P. P. P., Saraiva, L., </w:t>
      </w:r>
      <w:proofErr w:type="spellStart"/>
      <w:r w:rsidRPr="00794EDF">
        <w:rPr>
          <w:rFonts w:ascii="Times New Roman" w:eastAsia="Times New Roman" w:hAnsi="Times New Roman" w:cs="Times New Roman"/>
          <w:sz w:val="24"/>
          <w:szCs w:val="24"/>
          <w:lang w:val="en-US"/>
        </w:rPr>
        <w:t>Horliana</w:t>
      </w:r>
      <w:proofErr w:type="spellEnd"/>
      <w:r w:rsidRPr="00794EDF">
        <w:rPr>
          <w:rFonts w:ascii="Times New Roman" w:eastAsia="Times New Roman" w:hAnsi="Times New Roman" w:cs="Times New Roman"/>
          <w:sz w:val="24"/>
          <w:szCs w:val="24"/>
          <w:lang w:val="en-US"/>
        </w:rPr>
        <w:t xml:space="preserve">, A. C. R. T., </w:t>
      </w:r>
      <w:proofErr w:type="spellStart"/>
      <w:r w:rsidRPr="00794EDF">
        <w:rPr>
          <w:rFonts w:ascii="Times New Roman" w:eastAsia="Times New Roman" w:hAnsi="Times New Roman" w:cs="Times New Roman"/>
          <w:sz w:val="24"/>
          <w:szCs w:val="24"/>
          <w:lang w:val="en-US"/>
        </w:rPr>
        <w:t>Faveri</w:t>
      </w:r>
      <w:proofErr w:type="spellEnd"/>
      <w:r w:rsidRPr="00794EDF">
        <w:rPr>
          <w:rFonts w:ascii="Times New Roman" w:eastAsia="Times New Roman" w:hAnsi="Times New Roman" w:cs="Times New Roman"/>
          <w:sz w:val="24"/>
          <w:szCs w:val="24"/>
          <w:lang w:val="en-US"/>
        </w:rPr>
        <w:t xml:space="preserve">, M., &amp; Mayer, M. P. A. (2021). Oral dysbiosis in severe forms of periodontitis is associated with gut dysbiosis and correlated with salivary inflammatory mediators: A preliminary study. </w:t>
      </w:r>
      <w:r w:rsidRPr="00794EDF">
        <w:rPr>
          <w:rFonts w:ascii="Times New Roman" w:eastAsia="Times New Roman" w:hAnsi="Times New Roman" w:cs="Times New Roman"/>
          <w:i/>
          <w:iCs/>
          <w:sz w:val="24"/>
          <w:szCs w:val="24"/>
          <w:lang w:val="en-US"/>
        </w:rPr>
        <w:t>Frontiers in Oral Health, 2</w:t>
      </w:r>
      <w:r w:rsidRPr="00794EDF">
        <w:rPr>
          <w:rFonts w:ascii="Times New Roman" w:eastAsia="Times New Roman" w:hAnsi="Times New Roman" w:cs="Times New Roman"/>
          <w:sz w:val="24"/>
          <w:szCs w:val="24"/>
          <w:lang w:val="en-US"/>
        </w:rPr>
        <w:t xml:space="preserve">, 722495. </w:t>
      </w:r>
      <w:hyperlink r:id="rId19" w:tgtFrame="_new" w:history="1">
        <w:r w:rsidRPr="00794EDF">
          <w:rPr>
            <w:rFonts w:ascii="Times New Roman" w:eastAsia="Times New Roman" w:hAnsi="Times New Roman" w:cs="Times New Roman"/>
            <w:color w:val="0000FF"/>
            <w:sz w:val="24"/>
            <w:szCs w:val="24"/>
            <w:u w:val="single"/>
            <w:lang w:val="en-US"/>
          </w:rPr>
          <w:t>https://doi.org/10.3389/froh.2021.722495</w:t>
        </w:r>
      </w:hyperlink>
    </w:p>
    <w:p w14:paraId="2FD442BD"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Kinane, D. F., Stathopoulou, P. G., &amp; </w:t>
      </w:r>
      <w:proofErr w:type="spellStart"/>
      <w:r w:rsidRPr="00794EDF">
        <w:rPr>
          <w:rFonts w:ascii="Times New Roman" w:eastAsia="Times New Roman" w:hAnsi="Times New Roman" w:cs="Times New Roman"/>
          <w:sz w:val="24"/>
          <w:szCs w:val="24"/>
          <w:lang w:val="en-US"/>
        </w:rPr>
        <w:t>Papapanou</w:t>
      </w:r>
      <w:proofErr w:type="spellEnd"/>
      <w:r w:rsidRPr="00794EDF">
        <w:rPr>
          <w:rFonts w:ascii="Times New Roman" w:eastAsia="Times New Roman" w:hAnsi="Times New Roman" w:cs="Times New Roman"/>
          <w:sz w:val="24"/>
          <w:szCs w:val="24"/>
          <w:lang w:val="en-US"/>
        </w:rPr>
        <w:t xml:space="preserve">, P. N. (2017). Periodontal diseases. </w:t>
      </w:r>
      <w:r w:rsidRPr="00794EDF">
        <w:rPr>
          <w:rFonts w:ascii="Times New Roman" w:eastAsia="Times New Roman" w:hAnsi="Times New Roman" w:cs="Times New Roman"/>
          <w:i/>
          <w:iCs/>
          <w:sz w:val="24"/>
          <w:szCs w:val="24"/>
          <w:lang w:val="en-US"/>
        </w:rPr>
        <w:t>Nature Reviews Disease Primers, 3</w:t>
      </w:r>
      <w:r w:rsidRPr="00794EDF">
        <w:rPr>
          <w:rFonts w:ascii="Times New Roman" w:eastAsia="Times New Roman" w:hAnsi="Times New Roman" w:cs="Times New Roman"/>
          <w:sz w:val="24"/>
          <w:szCs w:val="24"/>
          <w:lang w:val="en-US"/>
        </w:rPr>
        <w:t xml:space="preserve">, 17038. </w:t>
      </w:r>
      <w:hyperlink r:id="rId20" w:tgtFrame="_new" w:history="1">
        <w:r w:rsidRPr="00794EDF">
          <w:rPr>
            <w:rFonts w:ascii="Times New Roman" w:eastAsia="Times New Roman" w:hAnsi="Times New Roman" w:cs="Times New Roman"/>
            <w:color w:val="0000FF"/>
            <w:sz w:val="24"/>
            <w:szCs w:val="24"/>
            <w:u w:val="single"/>
            <w:lang w:val="en-US"/>
          </w:rPr>
          <w:t>https://doi.org/10.1038/nrdp.2017.38</w:t>
        </w:r>
      </w:hyperlink>
    </w:p>
    <w:p w14:paraId="7D11114B"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94EDF">
        <w:rPr>
          <w:rFonts w:ascii="Times New Roman" w:eastAsia="Times New Roman" w:hAnsi="Times New Roman" w:cs="Times New Roman"/>
          <w:sz w:val="24"/>
          <w:szCs w:val="24"/>
          <w:lang w:val="en-US"/>
        </w:rPr>
        <w:t>Kitamoto</w:t>
      </w:r>
      <w:proofErr w:type="spellEnd"/>
      <w:r w:rsidRPr="00794EDF">
        <w:rPr>
          <w:rFonts w:ascii="Times New Roman" w:eastAsia="Times New Roman" w:hAnsi="Times New Roman" w:cs="Times New Roman"/>
          <w:sz w:val="24"/>
          <w:szCs w:val="24"/>
          <w:lang w:val="en-US"/>
        </w:rPr>
        <w:t>, S., Nagao-</w:t>
      </w:r>
      <w:proofErr w:type="spellStart"/>
      <w:r w:rsidRPr="00794EDF">
        <w:rPr>
          <w:rFonts w:ascii="Times New Roman" w:eastAsia="Times New Roman" w:hAnsi="Times New Roman" w:cs="Times New Roman"/>
          <w:sz w:val="24"/>
          <w:szCs w:val="24"/>
          <w:lang w:val="en-US"/>
        </w:rPr>
        <w:t>Kitamoto</w:t>
      </w:r>
      <w:proofErr w:type="spellEnd"/>
      <w:r w:rsidRPr="00794EDF">
        <w:rPr>
          <w:rFonts w:ascii="Times New Roman" w:eastAsia="Times New Roman" w:hAnsi="Times New Roman" w:cs="Times New Roman"/>
          <w:sz w:val="24"/>
          <w:szCs w:val="24"/>
          <w:lang w:val="en-US"/>
        </w:rPr>
        <w:t xml:space="preserve">, H., Jiao, Y., </w:t>
      </w:r>
      <w:proofErr w:type="spellStart"/>
      <w:r w:rsidRPr="00794EDF">
        <w:rPr>
          <w:rFonts w:ascii="Times New Roman" w:eastAsia="Times New Roman" w:hAnsi="Times New Roman" w:cs="Times New Roman"/>
          <w:sz w:val="24"/>
          <w:szCs w:val="24"/>
          <w:lang w:val="en-US"/>
        </w:rPr>
        <w:t>Gillilland</w:t>
      </w:r>
      <w:proofErr w:type="spellEnd"/>
      <w:r w:rsidRPr="00794EDF">
        <w:rPr>
          <w:rFonts w:ascii="Times New Roman" w:eastAsia="Times New Roman" w:hAnsi="Times New Roman" w:cs="Times New Roman"/>
          <w:sz w:val="24"/>
          <w:szCs w:val="24"/>
          <w:lang w:val="en-US"/>
        </w:rPr>
        <w:t xml:space="preserve">, M. G., III, Hayashi, A., Imai, J., Sugihara, K., Miyoshi, M., Brazil, J. C., Kuffa, P., Hill, B. D., Rizvi, S. M., Wen, F., Bishu, S., </w:t>
      </w:r>
      <w:proofErr w:type="spellStart"/>
      <w:r w:rsidRPr="00794EDF">
        <w:rPr>
          <w:rFonts w:ascii="Times New Roman" w:eastAsia="Times New Roman" w:hAnsi="Times New Roman" w:cs="Times New Roman"/>
          <w:sz w:val="24"/>
          <w:szCs w:val="24"/>
          <w:lang w:val="en-US"/>
        </w:rPr>
        <w:t>Inohara</w:t>
      </w:r>
      <w:proofErr w:type="spellEnd"/>
      <w:r w:rsidRPr="00794EDF">
        <w:rPr>
          <w:rFonts w:ascii="Times New Roman" w:eastAsia="Times New Roman" w:hAnsi="Times New Roman" w:cs="Times New Roman"/>
          <w:sz w:val="24"/>
          <w:szCs w:val="24"/>
          <w:lang w:val="en-US"/>
        </w:rPr>
        <w:t xml:space="preserve">, N., Eaton, K. A., Nusrat, A., Lei, Y. L., Giannobile, W. V., &amp; Kamada, N. (2020). The </w:t>
      </w:r>
      <w:proofErr w:type="spellStart"/>
      <w:r w:rsidRPr="00794EDF">
        <w:rPr>
          <w:rFonts w:ascii="Times New Roman" w:eastAsia="Times New Roman" w:hAnsi="Times New Roman" w:cs="Times New Roman"/>
          <w:sz w:val="24"/>
          <w:szCs w:val="24"/>
          <w:lang w:val="en-US"/>
        </w:rPr>
        <w:t>intermucosal</w:t>
      </w:r>
      <w:proofErr w:type="spellEnd"/>
      <w:r w:rsidRPr="00794EDF">
        <w:rPr>
          <w:rFonts w:ascii="Times New Roman" w:eastAsia="Times New Roman" w:hAnsi="Times New Roman" w:cs="Times New Roman"/>
          <w:sz w:val="24"/>
          <w:szCs w:val="24"/>
          <w:lang w:val="en-US"/>
        </w:rPr>
        <w:t xml:space="preserve"> connection between the mouth and gut in commensal pathobiont-driven colitis. </w:t>
      </w:r>
      <w:r w:rsidRPr="00794EDF">
        <w:rPr>
          <w:rFonts w:ascii="Times New Roman" w:eastAsia="Times New Roman" w:hAnsi="Times New Roman" w:cs="Times New Roman"/>
          <w:i/>
          <w:iCs/>
          <w:sz w:val="24"/>
          <w:szCs w:val="24"/>
          <w:lang w:val="en-US"/>
        </w:rPr>
        <w:t>Cell, 182</w:t>
      </w:r>
      <w:r w:rsidRPr="00794EDF">
        <w:rPr>
          <w:rFonts w:ascii="Times New Roman" w:eastAsia="Times New Roman" w:hAnsi="Times New Roman" w:cs="Times New Roman"/>
          <w:sz w:val="24"/>
          <w:szCs w:val="24"/>
          <w:lang w:val="en-US"/>
        </w:rPr>
        <w:t xml:space="preserve">(2), 447–462.e14. </w:t>
      </w:r>
      <w:hyperlink r:id="rId21" w:tgtFrame="_new" w:history="1">
        <w:r w:rsidRPr="00794EDF">
          <w:rPr>
            <w:rFonts w:ascii="Times New Roman" w:eastAsia="Times New Roman" w:hAnsi="Times New Roman" w:cs="Times New Roman"/>
            <w:color w:val="0000FF"/>
            <w:sz w:val="24"/>
            <w:szCs w:val="24"/>
            <w:u w:val="single"/>
            <w:lang w:val="en-US"/>
          </w:rPr>
          <w:t>https://doi.org/10.1016/j.cell.2020.05.048</w:t>
        </w:r>
      </w:hyperlink>
    </w:p>
    <w:p w14:paraId="12D152C6"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94EDF">
        <w:rPr>
          <w:rFonts w:ascii="Times New Roman" w:eastAsia="Times New Roman" w:hAnsi="Times New Roman" w:cs="Times New Roman"/>
          <w:sz w:val="24"/>
          <w:szCs w:val="24"/>
          <w:lang w:val="en-US"/>
        </w:rPr>
        <w:t>Kuraji</w:t>
      </w:r>
      <w:proofErr w:type="spellEnd"/>
      <w:r w:rsidRPr="00794EDF">
        <w:rPr>
          <w:rFonts w:ascii="Times New Roman" w:eastAsia="Times New Roman" w:hAnsi="Times New Roman" w:cs="Times New Roman"/>
          <w:sz w:val="24"/>
          <w:szCs w:val="24"/>
          <w:lang w:val="en-US"/>
        </w:rPr>
        <w:t xml:space="preserve">, R., Shiba, T., Dong, T. S., </w:t>
      </w:r>
      <w:proofErr w:type="spellStart"/>
      <w:r w:rsidRPr="00794EDF">
        <w:rPr>
          <w:rFonts w:ascii="Times New Roman" w:eastAsia="Times New Roman" w:hAnsi="Times New Roman" w:cs="Times New Roman"/>
          <w:sz w:val="24"/>
          <w:szCs w:val="24"/>
          <w:lang w:val="en-US"/>
        </w:rPr>
        <w:t>Numabe</w:t>
      </w:r>
      <w:proofErr w:type="spellEnd"/>
      <w:r w:rsidRPr="00794EDF">
        <w:rPr>
          <w:rFonts w:ascii="Times New Roman" w:eastAsia="Times New Roman" w:hAnsi="Times New Roman" w:cs="Times New Roman"/>
          <w:sz w:val="24"/>
          <w:szCs w:val="24"/>
          <w:lang w:val="en-US"/>
        </w:rPr>
        <w:t xml:space="preserve">, Y., &amp; Kapila, Y. L. (2023). Periodontal treatment and microbiome-targeted therapy in management of periodontitis-related nonalcoholic fatty liver disease with oral and gut dysbiosis. </w:t>
      </w:r>
      <w:r w:rsidRPr="00794EDF">
        <w:rPr>
          <w:rFonts w:ascii="Times New Roman" w:eastAsia="Times New Roman" w:hAnsi="Times New Roman" w:cs="Times New Roman"/>
          <w:i/>
          <w:iCs/>
          <w:sz w:val="24"/>
          <w:szCs w:val="24"/>
          <w:lang w:val="en-US"/>
        </w:rPr>
        <w:t>World Journal of Gastroenterology, 29</w:t>
      </w:r>
      <w:r w:rsidRPr="00794EDF">
        <w:rPr>
          <w:rFonts w:ascii="Times New Roman" w:eastAsia="Times New Roman" w:hAnsi="Times New Roman" w:cs="Times New Roman"/>
          <w:sz w:val="24"/>
          <w:szCs w:val="24"/>
          <w:lang w:val="en-US"/>
        </w:rPr>
        <w:t xml:space="preserve">(6), 967–996. </w:t>
      </w:r>
      <w:hyperlink r:id="rId22" w:tgtFrame="_new" w:history="1">
        <w:r w:rsidRPr="00794EDF">
          <w:rPr>
            <w:rFonts w:ascii="Times New Roman" w:eastAsia="Times New Roman" w:hAnsi="Times New Roman" w:cs="Times New Roman"/>
            <w:color w:val="0000FF"/>
            <w:sz w:val="24"/>
            <w:szCs w:val="24"/>
            <w:u w:val="single"/>
            <w:lang w:val="en-US"/>
          </w:rPr>
          <w:t>https://doi.org/10.3748/wjg.v29.i6.967</w:t>
        </w:r>
      </w:hyperlink>
    </w:p>
    <w:p w14:paraId="03613865"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Li, Y., Zhu, M., Liu, Y., Luo, B., Cui, J., Huang, L., Chen, K., &amp; Liu, Y. (2022). The oral microbiota and cardiometabolic health: A comprehensive review and emerging insights. </w:t>
      </w:r>
      <w:r w:rsidRPr="00794EDF">
        <w:rPr>
          <w:rFonts w:ascii="Times New Roman" w:eastAsia="Times New Roman" w:hAnsi="Times New Roman" w:cs="Times New Roman"/>
          <w:i/>
          <w:iCs/>
          <w:sz w:val="24"/>
          <w:szCs w:val="24"/>
          <w:lang w:val="en-US"/>
        </w:rPr>
        <w:t>Frontiers in Immunology, 13</w:t>
      </w:r>
      <w:r w:rsidRPr="00794EDF">
        <w:rPr>
          <w:rFonts w:ascii="Times New Roman" w:eastAsia="Times New Roman" w:hAnsi="Times New Roman" w:cs="Times New Roman"/>
          <w:sz w:val="24"/>
          <w:szCs w:val="24"/>
          <w:lang w:val="en-US"/>
        </w:rPr>
        <w:t xml:space="preserve">, 1010368. </w:t>
      </w:r>
      <w:hyperlink r:id="rId23" w:tgtFrame="_new" w:history="1">
        <w:r w:rsidRPr="00794EDF">
          <w:rPr>
            <w:rFonts w:ascii="Times New Roman" w:eastAsia="Times New Roman" w:hAnsi="Times New Roman" w:cs="Times New Roman"/>
            <w:color w:val="0000FF"/>
            <w:sz w:val="24"/>
            <w:szCs w:val="24"/>
            <w:u w:val="single"/>
            <w:lang w:val="en-US"/>
          </w:rPr>
          <w:t>https://doi.org/10.3389/fimmu.2022.1010368</w:t>
        </w:r>
      </w:hyperlink>
      <w:r w:rsidRPr="00794EDF">
        <w:rPr>
          <w:rFonts w:ascii="Times New Roman" w:eastAsia="Times New Roman" w:hAnsi="Times New Roman" w:cs="Times New Roman"/>
          <w:sz w:val="24"/>
          <w:szCs w:val="24"/>
          <w:lang w:val="en-US"/>
        </w:rPr>
        <w:t xml:space="preserve"> </w:t>
      </w:r>
    </w:p>
    <w:p w14:paraId="43BD3297"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lastRenderedPageBreak/>
        <w:t xml:space="preserve">Lu, Y., Li, Z., &amp; Peng, X. (2023). Regulatory effects of oral microbe on intestinal microbiota and the illness. </w:t>
      </w:r>
      <w:r w:rsidRPr="00794EDF">
        <w:rPr>
          <w:rFonts w:ascii="Times New Roman" w:eastAsia="Times New Roman" w:hAnsi="Times New Roman" w:cs="Times New Roman"/>
          <w:i/>
          <w:iCs/>
          <w:sz w:val="24"/>
          <w:szCs w:val="24"/>
          <w:lang w:val="en-US"/>
        </w:rPr>
        <w:t>Frontiers in Cellular and Infection Microbiology, 13</w:t>
      </w:r>
      <w:r w:rsidRPr="00794EDF">
        <w:rPr>
          <w:rFonts w:ascii="Times New Roman" w:eastAsia="Times New Roman" w:hAnsi="Times New Roman" w:cs="Times New Roman"/>
          <w:sz w:val="24"/>
          <w:szCs w:val="24"/>
          <w:lang w:val="en-US"/>
        </w:rPr>
        <w:t xml:space="preserve">, 1093967. </w:t>
      </w:r>
      <w:hyperlink r:id="rId24" w:tgtFrame="_new" w:history="1">
        <w:r w:rsidRPr="00794EDF">
          <w:rPr>
            <w:rFonts w:ascii="Times New Roman" w:eastAsia="Times New Roman" w:hAnsi="Times New Roman" w:cs="Times New Roman"/>
            <w:color w:val="0000FF"/>
            <w:sz w:val="24"/>
            <w:szCs w:val="24"/>
            <w:u w:val="single"/>
            <w:lang w:val="en-US"/>
          </w:rPr>
          <w:t>https://doi.org/10.3389/fcimb.2023.1093967</w:t>
        </w:r>
      </w:hyperlink>
    </w:p>
    <w:p w14:paraId="4C4A91AA"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Mesa, F., Mesa-López, M. J., Egea-Valenzuela, J., Benavides-Reyes, C., Nibali, L., Ide, M., </w:t>
      </w:r>
      <w:proofErr w:type="spellStart"/>
      <w:r w:rsidRPr="00794EDF">
        <w:rPr>
          <w:rFonts w:ascii="Times New Roman" w:eastAsia="Times New Roman" w:hAnsi="Times New Roman" w:cs="Times New Roman"/>
          <w:sz w:val="24"/>
          <w:szCs w:val="24"/>
          <w:lang w:val="en-US"/>
        </w:rPr>
        <w:t>Mainas</w:t>
      </w:r>
      <w:proofErr w:type="spellEnd"/>
      <w:r w:rsidRPr="00794EDF">
        <w:rPr>
          <w:rFonts w:ascii="Times New Roman" w:eastAsia="Times New Roman" w:hAnsi="Times New Roman" w:cs="Times New Roman"/>
          <w:sz w:val="24"/>
          <w:szCs w:val="24"/>
          <w:lang w:val="en-US"/>
        </w:rPr>
        <w:t xml:space="preserve">, G., Rizzo, M., &amp; Magan-Fernandez, A. (2022). A new comorbidity in periodontitis: </w:t>
      </w:r>
      <w:r w:rsidRPr="00794EDF">
        <w:rPr>
          <w:rFonts w:ascii="Times New Roman" w:eastAsia="Times New Roman" w:hAnsi="Times New Roman" w:cs="Times New Roman"/>
          <w:i/>
          <w:iCs/>
          <w:sz w:val="24"/>
          <w:szCs w:val="24"/>
          <w:lang w:val="en-US"/>
        </w:rPr>
        <w:t xml:space="preserve">Fusobacterium </w:t>
      </w:r>
      <w:proofErr w:type="spellStart"/>
      <w:r w:rsidRPr="00794EDF">
        <w:rPr>
          <w:rFonts w:ascii="Times New Roman" w:eastAsia="Times New Roman" w:hAnsi="Times New Roman" w:cs="Times New Roman"/>
          <w:i/>
          <w:iCs/>
          <w:sz w:val="24"/>
          <w:szCs w:val="24"/>
          <w:lang w:val="en-US"/>
        </w:rPr>
        <w:t>nucleatum</w:t>
      </w:r>
      <w:proofErr w:type="spellEnd"/>
      <w:r w:rsidRPr="00794EDF">
        <w:rPr>
          <w:rFonts w:ascii="Times New Roman" w:eastAsia="Times New Roman" w:hAnsi="Times New Roman" w:cs="Times New Roman"/>
          <w:sz w:val="24"/>
          <w:szCs w:val="24"/>
          <w:lang w:val="en-US"/>
        </w:rPr>
        <w:t xml:space="preserve"> and colorectal cancer. </w:t>
      </w:r>
      <w:r w:rsidRPr="00794EDF">
        <w:rPr>
          <w:rFonts w:ascii="Times New Roman" w:eastAsia="Times New Roman" w:hAnsi="Times New Roman" w:cs="Times New Roman"/>
          <w:i/>
          <w:iCs/>
          <w:sz w:val="24"/>
          <w:szCs w:val="24"/>
          <w:lang w:val="en-US"/>
        </w:rPr>
        <w:t>Medicina, 58</w:t>
      </w:r>
      <w:r w:rsidRPr="00794EDF">
        <w:rPr>
          <w:rFonts w:ascii="Times New Roman" w:eastAsia="Times New Roman" w:hAnsi="Times New Roman" w:cs="Times New Roman"/>
          <w:sz w:val="24"/>
          <w:szCs w:val="24"/>
          <w:lang w:val="en-US"/>
        </w:rPr>
        <w:t xml:space="preserve">(4), 546. </w:t>
      </w:r>
      <w:hyperlink r:id="rId25" w:tgtFrame="_new" w:history="1">
        <w:r w:rsidRPr="00794EDF">
          <w:rPr>
            <w:rFonts w:ascii="Times New Roman" w:eastAsia="Times New Roman" w:hAnsi="Times New Roman" w:cs="Times New Roman"/>
            <w:color w:val="0000FF"/>
            <w:sz w:val="24"/>
            <w:szCs w:val="24"/>
            <w:u w:val="single"/>
            <w:lang w:val="en-US"/>
          </w:rPr>
          <w:t>https://doi.org/10.3390/medicina58040546</w:t>
        </w:r>
      </w:hyperlink>
    </w:p>
    <w:p w14:paraId="63C2F32F"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Nakajima, M., </w:t>
      </w:r>
      <w:proofErr w:type="spellStart"/>
      <w:r w:rsidRPr="00794EDF">
        <w:rPr>
          <w:rFonts w:ascii="Times New Roman" w:eastAsia="Times New Roman" w:hAnsi="Times New Roman" w:cs="Times New Roman"/>
          <w:sz w:val="24"/>
          <w:szCs w:val="24"/>
          <w:lang w:val="en-US"/>
        </w:rPr>
        <w:t>Arimatsu</w:t>
      </w:r>
      <w:proofErr w:type="spellEnd"/>
      <w:r w:rsidRPr="00794EDF">
        <w:rPr>
          <w:rFonts w:ascii="Times New Roman" w:eastAsia="Times New Roman" w:hAnsi="Times New Roman" w:cs="Times New Roman"/>
          <w:sz w:val="24"/>
          <w:szCs w:val="24"/>
          <w:lang w:val="en-US"/>
        </w:rPr>
        <w:t xml:space="preserve">, K., Kato, T., Matsuda, Y., Minagawa, T., Takahashi, N., Ohno, H., &amp; Yamazaki, K. (2015). Oral administration of </w:t>
      </w:r>
      <w:r w:rsidRPr="00794EDF">
        <w:rPr>
          <w:rFonts w:ascii="Times New Roman" w:eastAsia="Times New Roman" w:hAnsi="Times New Roman" w:cs="Times New Roman"/>
          <w:i/>
          <w:iCs/>
          <w:sz w:val="24"/>
          <w:szCs w:val="24"/>
          <w:lang w:val="en-US"/>
        </w:rPr>
        <w:t>P. gingivalis</w:t>
      </w:r>
      <w:r w:rsidRPr="00794EDF">
        <w:rPr>
          <w:rFonts w:ascii="Times New Roman" w:eastAsia="Times New Roman" w:hAnsi="Times New Roman" w:cs="Times New Roman"/>
          <w:sz w:val="24"/>
          <w:szCs w:val="24"/>
          <w:lang w:val="en-US"/>
        </w:rPr>
        <w:t xml:space="preserve"> induces dysbiosis of gut microbiota and impaired barrier function leading to dissemination of enterobacteria to the liver. </w:t>
      </w:r>
      <w:r w:rsidRPr="00794EDF">
        <w:rPr>
          <w:rFonts w:ascii="Times New Roman" w:eastAsia="Times New Roman" w:hAnsi="Times New Roman" w:cs="Times New Roman"/>
          <w:i/>
          <w:iCs/>
          <w:sz w:val="24"/>
          <w:szCs w:val="24"/>
          <w:lang w:val="en-US"/>
        </w:rPr>
        <w:t>PLOS ONE, 10</w:t>
      </w:r>
      <w:r w:rsidRPr="00794EDF">
        <w:rPr>
          <w:rFonts w:ascii="Times New Roman" w:eastAsia="Times New Roman" w:hAnsi="Times New Roman" w:cs="Times New Roman"/>
          <w:sz w:val="24"/>
          <w:szCs w:val="24"/>
          <w:lang w:val="en-US"/>
        </w:rPr>
        <w:t xml:space="preserve">(7), e0134234. </w:t>
      </w:r>
      <w:hyperlink r:id="rId26" w:tgtFrame="_new" w:history="1">
        <w:r w:rsidRPr="00794EDF">
          <w:rPr>
            <w:rFonts w:ascii="Times New Roman" w:eastAsia="Times New Roman" w:hAnsi="Times New Roman" w:cs="Times New Roman"/>
            <w:color w:val="0000FF"/>
            <w:sz w:val="24"/>
            <w:szCs w:val="24"/>
            <w:u w:val="single"/>
            <w:lang w:val="en-US"/>
          </w:rPr>
          <w:t>https://doi.org/10.1371/journal.pone.0134234</w:t>
        </w:r>
      </w:hyperlink>
    </w:p>
    <w:p w14:paraId="48F83667"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Sohn, J., Li, L., Zhang, L., </w:t>
      </w:r>
      <w:proofErr w:type="spellStart"/>
      <w:r w:rsidRPr="00794EDF">
        <w:rPr>
          <w:rFonts w:ascii="Times New Roman" w:eastAsia="Times New Roman" w:hAnsi="Times New Roman" w:cs="Times New Roman"/>
          <w:sz w:val="24"/>
          <w:szCs w:val="24"/>
          <w:lang w:val="en-US"/>
        </w:rPr>
        <w:t>Settem</w:t>
      </w:r>
      <w:proofErr w:type="spellEnd"/>
      <w:r w:rsidRPr="00794EDF">
        <w:rPr>
          <w:rFonts w:ascii="Times New Roman" w:eastAsia="Times New Roman" w:hAnsi="Times New Roman" w:cs="Times New Roman"/>
          <w:sz w:val="24"/>
          <w:szCs w:val="24"/>
          <w:lang w:val="en-US"/>
        </w:rPr>
        <w:t xml:space="preserve">, R. P., Honma, K., Sharma, A., Falkner, K. L., Novak, J. M., Sun, Y., &amp; Kirkwood, K. L. (2022). </w:t>
      </w:r>
      <w:r w:rsidRPr="00794EDF">
        <w:rPr>
          <w:rFonts w:ascii="Times New Roman" w:eastAsia="Times New Roman" w:hAnsi="Times New Roman" w:cs="Times New Roman"/>
          <w:i/>
          <w:iCs/>
          <w:sz w:val="24"/>
          <w:szCs w:val="24"/>
          <w:lang w:val="en-US"/>
        </w:rPr>
        <w:t>Porphyromonas gingivalis</w:t>
      </w:r>
      <w:r w:rsidRPr="00794EDF">
        <w:rPr>
          <w:rFonts w:ascii="Times New Roman" w:eastAsia="Times New Roman" w:hAnsi="Times New Roman" w:cs="Times New Roman"/>
          <w:sz w:val="24"/>
          <w:szCs w:val="24"/>
          <w:lang w:val="en-US"/>
        </w:rPr>
        <w:t xml:space="preserve"> indirectly elicits intestinal inflammation by altering the gut microbiota and disrupting epithelial barrier function through IL9-producing CD4+ T cells. </w:t>
      </w:r>
      <w:r w:rsidRPr="00794EDF">
        <w:rPr>
          <w:rFonts w:ascii="Times New Roman" w:eastAsia="Times New Roman" w:hAnsi="Times New Roman" w:cs="Times New Roman"/>
          <w:i/>
          <w:iCs/>
          <w:sz w:val="24"/>
          <w:szCs w:val="24"/>
          <w:lang w:val="en-US"/>
        </w:rPr>
        <w:t>Molecular Oral Microbiology, 37</w:t>
      </w:r>
      <w:r w:rsidRPr="00794EDF">
        <w:rPr>
          <w:rFonts w:ascii="Times New Roman" w:eastAsia="Times New Roman" w:hAnsi="Times New Roman" w:cs="Times New Roman"/>
          <w:sz w:val="24"/>
          <w:szCs w:val="24"/>
          <w:lang w:val="en-US"/>
        </w:rPr>
        <w:t xml:space="preserve">(2), 42–52. </w:t>
      </w:r>
      <w:hyperlink r:id="rId27" w:tgtFrame="_new" w:history="1">
        <w:r w:rsidRPr="00794EDF">
          <w:rPr>
            <w:rFonts w:ascii="Times New Roman" w:eastAsia="Times New Roman" w:hAnsi="Times New Roman" w:cs="Times New Roman"/>
            <w:color w:val="0000FF"/>
            <w:sz w:val="24"/>
            <w:szCs w:val="24"/>
            <w:u w:val="single"/>
            <w:lang w:val="en-US"/>
          </w:rPr>
          <w:t>https://doi.org/10.1111/omi.12359</w:t>
        </w:r>
      </w:hyperlink>
    </w:p>
    <w:p w14:paraId="754BEF92"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Sukhera, J. (2022). Narrative reviews: Flexible, rigorous, and practical. </w:t>
      </w:r>
      <w:r w:rsidRPr="00794EDF">
        <w:rPr>
          <w:rFonts w:ascii="Times New Roman" w:eastAsia="Times New Roman" w:hAnsi="Times New Roman" w:cs="Times New Roman"/>
          <w:i/>
          <w:iCs/>
          <w:sz w:val="24"/>
          <w:szCs w:val="24"/>
          <w:lang w:val="en-US"/>
        </w:rPr>
        <w:t>Journal of Graduate Medical Education, 14</w:t>
      </w:r>
      <w:r w:rsidRPr="00794EDF">
        <w:rPr>
          <w:rFonts w:ascii="Times New Roman" w:eastAsia="Times New Roman" w:hAnsi="Times New Roman" w:cs="Times New Roman"/>
          <w:sz w:val="24"/>
          <w:szCs w:val="24"/>
          <w:lang w:val="en-US"/>
        </w:rPr>
        <w:t xml:space="preserve">(4), 414–417. </w:t>
      </w:r>
      <w:hyperlink r:id="rId28" w:tgtFrame="_new" w:history="1">
        <w:r w:rsidRPr="00794EDF">
          <w:rPr>
            <w:rFonts w:ascii="Times New Roman" w:eastAsia="Times New Roman" w:hAnsi="Times New Roman" w:cs="Times New Roman"/>
            <w:color w:val="0000FF"/>
            <w:sz w:val="24"/>
            <w:szCs w:val="24"/>
            <w:u w:val="single"/>
            <w:lang w:val="en-US"/>
          </w:rPr>
          <w:t>https://doi.org/10.4300/JGME-D-22-00480.1</w:t>
        </w:r>
      </w:hyperlink>
    </w:p>
    <w:p w14:paraId="7D32B24A"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Sulaiman, Y., </w:t>
      </w:r>
      <w:proofErr w:type="spellStart"/>
      <w:r w:rsidRPr="00794EDF">
        <w:rPr>
          <w:rFonts w:ascii="Times New Roman" w:eastAsia="Times New Roman" w:hAnsi="Times New Roman" w:cs="Times New Roman"/>
          <w:sz w:val="24"/>
          <w:szCs w:val="24"/>
          <w:lang w:val="en-US"/>
        </w:rPr>
        <w:t>Pacauskienė</w:t>
      </w:r>
      <w:proofErr w:type="spellEnd"/>
      <w:r w:rsidRPr="00794EDF">
        <w:rPr>
          <w:rFonts w:ascii="Times New Roman" w:eastAsia="Times New Roman" w:hAnsi="Times New Roman" w:cs="Times New Roman"/>
          <w:sz w:val="24"/>
          <w:szCs w:val="24"/>
          <w:lang w:val="en-US"/>
        </w:rPr>
        <w:t xml:space="preserve">, I. M., </w:t>
      </w:r>
      <w:proofErr w:type="spellStart"/>
      <w:r w:rsidRPr="00794EDF">
        <w:rPr>
          <w:rFonts w:ascii="Times New Roman" w:eastAsia="Times New Roman" w:hAnsi="Times New Roman" w:cs="Times New Roman"/>
          <w:sz w:val="24"/>
          <w:szCs w:val="24"/>
          <w:lang w:val="en-US"/>
        </w:rPr>
        <w:t>Šadzevičienė</w:t>
      </w:r>
      <w:proofErr w:type="spellEnd"/>
      <w:r w:rsidRPr="00794EDF">
        <w:rPr>
          <w:rFonts w:ascii="Times New Roman" w:eastAsia="Times New Roman" w:hAnsi="Times New Roman" w:cs="Times New Roman"/>
          <w:sz w:val="24"/>
          <w:szCs w:val="24"/>
          <w:lang w:val="en-US"/>
        </w:rPr>
        <w:t xml:space="preserve">, R., &amp; </w:t>
      </w:r>
      <w:proofErr w:type="spellStart"/>
      <w:r w:rsidRPr="00794EDF">
        <w:rPr>
          <w:rFonts w:ascii="Times New Roman" w:eastAsia="Times New Roman" w:hAnsi="Times New Roman" w:cs="Times New Roman"/>
          <w:sz w:val="24"/>
          <w:szCs w:val="24"/>
          <w:lang w:val="en-US"/>
        </w:rPr>
        <w:t>Anuzyte</w:t>
      </w:r>
      <w:proofErr w:type="spellEnd"/>
      <w:r w:rsidRPr="00794EDF">
        <w:rPr>
          <w:rFonts w:ascii="Times New Roman" w:eastAsia="Times New Roman" w:hAnsi="Times New Roman" w:cs="Times New Roman"/>
          <w:sz w:val="24"/>
          <w:szCs w:val="24"/>
          <w:lang w:val="en-US"/>
        </w:rPr>
        <w:t xml:space="preserve">, R. (2024). Oral and gut microbiota dysbiosis due to periodontitis: Systemic implications and links to gastrointestinal cancer: A narrative review. </w:t>
      </w:r>
      <w:r w:rsidRPr="00794EDF">
        <w:rPr>
          <w:rFonts w:ascii="Times New Roman" w:eastAsia="Times New Roman" w:hAnsi="Times New Roman" w:cs="Times New Roman"/>
          <w:i/>
          <w:iCs/>
          <w:sz w:val="24"/>
          <w:szCs w:val="24"/>
          <w:lang w:val="en-US"/>
        </w:rPr>
        <w:t>Medicina, 60</w:t>
      </w:r>
      <w:r w:rsidRPr="00794EDF">
        <w:rPr>
          <w:rFonts w:ascii="Times New Roman" w:eastAsia="Times New Roman" w:hAnsi="Times New Roman" w:cs="Times New Roman"/>
          <w:sz w:val="24"/>
          <w:szCs w:val="24"/>
          <w:lang w:val="en-US"/>
        </w:rPr>
        <w:t xml:space="preserve">(9), 1416. </w:t>
      </w:r>
      <w:hyperlink r:id="rId29" w:tgtFrame="_new" w:history="1">
        <w:r w:rsidRPr="00794EDF">
          <w:rPr>
            <w:rFonts w:ascii="Times New Roman" w:eastAsia="Times New Roman" w:hAnsi="Times New Roman" w:cs="Times New Roman"/>
            <w:color w:val="0000FF"/>
            <w:sz w:val="24"/>
            <w:szCs w:val="24"/>
            <w:u w:val="single"/>
            <w:lang w:val="en-US"/>
          </w:rPr>
          <w:t>https://doi.org/10.3390/medicina60091416</w:t>
        </w:r>
      </w:hyperlink>
    </w:p>
    <w:p w14:paraId="1CEEC3A3"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Tanwar, H., Gnanasekaran, J. M., Allison, D., Chuang, L.-S., He, X., Aimetti, M., Baima, G., Costalonga, M., Cross, R. K., Sears, C., Mehandru, S., Cho, J., Colombel, J.-F., Raufman, J.-P., &amp; </w:t>
      </w:r>
      <w:proofErr w:type="spellStart"/>
      <w:r w:rsidRPr="00794EDF">
        <w:rPr>
          <w:rFonts w:ascii="Times New Roman" w:eastAsia="Times New Roman" w:hAnsi="Times New Roman" w:cs="Times New Roman"/>
          <w:sz w:val="24"/>
          <w:szCs w:val="24"/>
          <w:lang w:val="en-US"/>
        </w:rPr>
        <w:t>Thumbigere</w:t>
      </w:r>
      <w:proofErr w:type="spellEnd"/>
      <w:r w:rsidRPr="00794EDF">
        <w:rPr>
          <w:rFonts w:ascii="Times New Roman" w:eastAsia="Times New Roman" w:hAnsi="Times New Roman" w:cs="Times New Roman"/>
          <w:sz w:val="24"/>
          <w:szCs w:val="24"/>
          <w:lang w:val="en-US"/>
        </w:rPr>
        <w:t xml:space="preserve">-Math, V. (2024). Unravelling the oral–gut axis: Interconnection between periodontitis and inflammatory bowel disease, current challenges, and future perspective. </w:t>
      </w:r>
      <w:r w:rsidRPr="00794EDF">
        <w:rPr>
          <w:rFonts w:ascii="Times New Roman" w:eastAsia="Times New Roman" w:hAnsi="Times New Roman" w:cs="Times New Roman"/>
          <w:i/>
          <w:iCs/>
          <w:sz w:val="24"/>
          <w:szCs w:val="24"/>
          <w:lang w:val="en-US"/>
        </w:rPr>
        <w:t>Journal of Crohn’s and Colitis, 18</w:t>
      </w:r>
      <w:r w:rsidRPr="00794EDF">
        <w:rPr>
          <w:rFonts w:ascii="Times New Roman" w:eastAsia="Times New Roman" w:hAnsi="Times New Roman" w:cs="Times New Roman"/>
          <w:sz w:val="24"/>
          <w:szCs w:val="24"/>
          <w:lang w:val="en-US"/>
        </w:rPr>
        <w:t xml:space="preserve">(8), 1319–1341. </w:t>
      </w:r>
      <w:hyperlink r:id="rId30" w:tgtFrame="_new" w:history="1">
        <w:r w:rsidRPr="00794EDF">
          <w:rPr>
            <w:rFonts w:ascii="Times New Roman" w:eastAsia="Times New Roman" w:hAnsi="Times New Roman" w:cs="Times New Roman"/>
            <w:color w:val="0000FF"/>
            <w:sz w:val="24"/>
            <w:szCs w:val="24"/>
            <w:u w:val="single"/>
            <w:lang w:val="en-US"/>
          </w:rPr>
          <w:t>https://doi.org/10.1093/ecco-jcc/jjae028</w:t>
        </w:r>
      </w:hyperlink>
    </w:p>
    <w:p w14:paraId="0ED3F658" w14:textId="77777777" w:rsidR="00794EDF" w:rsidRPr="00794EDF" w:rsidRDefault="00794EDF" w:rsidP="003B1B50">
      <w:pPr>
        <w:spacing w:before="100" w:beforeAutospacing="1" w:after="100" w:afterAutospacing="1" w:line="240" w:lineRule="auto"/>
        <w:jc w:val="both"/>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Tonetti, M. S., Greenwell, H., &amp; Kornman, K. S. (2018). Staging and grading of periodontitis: Framework and proposal of a new classification and case definition. </w:t>
      </w:r>
      <w:r w:rsidRPr="00794EDF">
        <w:rPr>
          <w:rFonts w:ascii="Times New Roman" w:eastAsia="Times New Roman" w:hAnsi="Times New Roman" w:cs="Times New Roman"/>
          <w:i/>
          <w:iCs/>
          <w:sz w:val="24"/>
          <w:szCs w:val="24"/>
          <w:lang w:val="en-US"/>
        </w:rPr>
        <w:t>Journal of Clinical Periodontology, 45</w:t>
      </w:r>
      <w:r w:rsidRPr="00794EDF">
        <w:rPr>
          <w:rFonts w:ascii="Times New Roman" w:eastAsia="Times New Roman" w:hAnsi="Times New Roman" w:cs="Times New Roman"/>
          <w:sz w:val="24"/>
          <w:szCs w:val="24"/>
          <w:lang w:val="en-US"/>
        </w:rPr>
        <w:t xml:space="preserve">(Suppl. 20), S149–S161. </w:t>
      </w:r>
      <w:hyperlink r:id="rId31" w:tgtFrame="_new" w:history="1">
        <w:r w:rsidRPr="00794EDF">
          <w:rPr>
            <w:rFonts w:ascii="Times New Roman" w:eastAsia="Times New Roman" w:hAnsi="Times New Roman" w:cs="Times New Roman"/>
            <w:color w:val="0000FF"/>
            <w:sz w:val="24"/>
            <w:szCs w:val="24"/>
            <w:u w:val="single"/>
            <w:lang w:val="en-US"/>
          </w:rPr>
          <w:t>https://doi.org/10.1111/jcpe.12945</w:t>
        </w:r>
      </w:hyperlink>
    </w:p>
    <w:p w14:paraId="749E554C" w14:textId="77777777" w:rsidR="00D75C9D" w:rsidRDefault="00794EDF" w:rsidP="003B1B50">
      <w:pPr>
        <w:spacing w:before="100" w:beforeAutospacing="1" w:after="100" w:afterAutospacing="1" w:line="240" w:lineRule="auto"/>
        <w:jc w:val="both"/>
      </w:pPr>
      <w:r w:rsidRPr="00794EDF">
        <w:rPr>
          <w:rFonts w:ascii="Times New Roman" w:eastAsia="Times New Roman" w:hAnsi="Times New Roman" w:cs="Times New Roman"/>
          <w:sz w:val="24"/>
          <w:szCs w:val="24"/>
          <w:lang w:val="en-US"/>
        </w:rPr>
        <w:t xml:space="preserve">Xi, M., Ruan, Q., Zhong, S., Li, J., Qi, W., Xie, C., Wang, X., </w:t>
      </w:r>
      <w:proofErr w:type="spellStart"/>
      <w:r w:rsidRPr="00794EDF">
        <w:rPr>
          <w:rFonts w:ascii="Times New Roman" w:eastAsia="Times New Roman" w:hAnsi="Times New Roman" w:cs="Times New Roman"/>
          <w:sz w:val="24"/>
          <w:szCs w:val="24"/>
          <w:lang w:val="en-US"/>
        </w:rPr>
        <w:t>Abuduxiku</w:t>
      </w:r>
      <w:proofErr w:type="spellEnd"/>
      <w:r w:rsidRPr="00794EDF">
        <w:rPr>
          <w:rFonts w:ascii="Times New Roman" w:eastAsia="Times New Roman" w:hAnsi="Times New Roman" w:cs="Times New Roman"/>
          <w:sz w:val="24"/>
          <w:szCs w:val="24"/>
          <w:lang w:val="en-US"/>
        </w:rPr>
        <w:t xml:space="preserve">, N., &amp; Ni, J. (2024). Periodontal bacteria influence systemic diseases through the gut microbiota. </w:t>
      </w:r>
      <w:r w:rsidRPr="00794EDF">
        <w:rPr>
          <w:rFonts w:ascii="Times New Roman" w:eastAsia="Times New Roman" w:hAnsi="Times New Roman" w:cs="Times New Roman"/>
          <w:i/>
          <w:iCs/>
          <w:sz w:val="24"/>
          <w:szCs w:val="24"/>
          <w:lang w:val="en-US"/>
        </w:rPr>
        <w:t>Frontiers in Cellular and Infection Microbiology, 14</w:t>
      </w:r>
      <w:r w:rsidRPr="00794EDF">
        <w:rPr>
          <w:rFonts w:ascii="Times New Roman" w:eastAsia="Times New Roman" w:hAnsi="Times New Roman" w:cs="Times New Roman"/>
          <w:sz w:val="24"/>
          <w:szCs w:val="24"/>
          <w:lang w:val="en-US"/>
        </w:rPr>
        <w:t xml:space="preserve">, 1478362. </w:t>
      </w:r>
      <w:hyperlink r:id="rId32" w:tgtFrame="_new" w:history="1">
        <w:r w:rsidRPr="00794EDF">
          <w:rPr>
            <w:rFonts w:ascii="Times New Roman" w:eastAsia="Times New Roman" w:hAnsi="Times New Roman" w:cs="Times New Roman"/>
            <w:color w:val="0000FF"/>
            <w:sz w:val="24"/>
            <w:szCs w:val="24"/>
            <w:u w:val="single"/>
            <w:lang w:val="en-US"/>
          </w:rPr>
          <w:t>https://doi.org/10.3389/fcimb.2024.1478362</w:t>
        </w:r>
      </w:hyperlink>
    </w:p>
    <w:p w14:paraId="06E90360" w14:textId="7AF3EEF0" w:rsidR="00A6756B" w:rsidRDefault="00A6756B" w:rsidP="003B1B50">
      <w:pPr>
        <w:spacing w:before="100" w:beforeAutospacing="1" w:after="100" w:afterAutospacing="1" w:line="240" w:lineRule="auto"/>
        <w:jc w:val="both"/>
        <w:rPr>
          <w:rFonts w:ascii="Arial" w:hAnsi="Arial" w:cs="Arial"/>
          <w:color w:val="222222"/>
          <w:sz w:val="20"/>
          <w:szCs w:val="20"/>
          <w:shd w:val="clear" w:color="auto" w:fill="FFFFFF"/>
        </w:rPr>
      </w:pPr>
      <w:r w:rsidRPr="00897EE5">
        <w:rPr>
          <w:rFonts w:ascii="Arial" w:hAnsi="Arial" w:cs="Arial"/>
          <w:color w:val="222222"/>
          <w:sz w:val="20"/>
          <w:szCs w:val="20"/>
          <w:highlight w:val="yellow"/>
          <w:shd w:val="clear" w:color="auto" w:fill="FFFFFF"/>
        </w:rPr>
        <w:t xml:space="preserve">Pravin, V., </w:t>
      </w:r>
      <w:proofErr w:type="spellStart"/>
      <w:r w:rsidRPr="00897EE5">
        <w:rPr>
          <w:rFonts w:ascii="Arial" w:hAnsi="Arial" w:cs="Arial"/>
          <w:color w:val="222222"/>
          <w:sz w:val="20"/>
          <w:szCs w:val="20"/>
          <w:highlight w:val="yellow"/>
          <w:shd w:val="clear" w:color="auto" w:fill="FFFFFF"/>
        </w:rPr>
        <w:t>Vellapandian</w:t>
      </w:r>
      <w:proofErr w:type="spellEnd"/>
      <w:r w:rsidRPr="00897EE5">
        <w:rPr>
          <w:rFonts w:ascii="Arial" w:hAnsi="Arial" w:cs="Arial"/>
          <w:color w:val="222222"/>
          <w:sz w:val="20"/>
          <w:szCs w:val="20"/>
          <w:highlight w:val="yellow"/>
          <w:shd w:val="clear" w:color="auto" w:fill="FFFFFF"/>
        </w:rPr>
        <w:t xml:space="preserve">, C., &amp; Kumar, V. N. (2026). The oral-gut-brain axis in periodontitis: microbial </w:t>
      </w:r>
      <w:proofErr w:type="spellStart"/>
      <w:r w:rsidRPr="00897EE5">
        <w:rPr>
          <w:rFonts w:ascii="Arial" w:hAnsi="Arial" w:cs="Arial"/>
          <w:color w:val="222222"/>
          <w:sz w:val="20"/>
          <w:szCs w:val="20"/>
          <w:highlight w:val="yellow"/>
          <w:shd w:val="clear" w:color="auto" w:fill="FFFFFF"/>
        </w:rPr>
        <w:t>signaling</w:t>
      </w:r>
      <w:proofErr w:type="spellEnd"/>
      <w:r w:rsidRPr="00897EE5">
        <w:rPr>
          <w:rFonts w:ascii="Arial" w:hAnsi="Arial" w:cs="Arial"/>
          <w:color w:val="222222"/>
          <w:sz w:val="20"/>
          <w:szCs w:val="20"/>
          <w:highlight w:val="yellow"/>
          <w:shd w:val="clear" w:color="auto" w:fill="FFFFFF"/>
        </w:rPr>
        <w:t xml:space="preserve"> in systemic and neuroinflammatory disease. </w:t>
      </w:r>
      <w:r w:rsidRPr="00897EE5">
        <w:rPr>
          <w:rFonts w:ascii="Arial" w:hAnsi="Arial" w:cs="Arial"/>
          <w:i/>
          <w:iCs/>
          <w:color w:val="222222"/>
          <w:sz w:val="20"/>
          <w:szCs w:val="20"/>
          <w:highlight w:val="yellow"/>
          <w:shd w:val="clear" w:color="auto" w:fill="FFFFFF"/>
        </w:rPr>
        <w:t>Brain Research</w:t>
      </w:r>
      <w:r w:rsidRPr="00897EE5">
        <w:rPr>
          <w:rFonts w:ascii="Arial" w:hAnsi="Arial" w:cs="Arial"/>
          <w:color w:val="222222"/>
          <w:sz w:val="20"/>
          <w:szCs w:val="20"/>
          <w:highlight w:val="yellow"/>
          <w:shd w:val="clear" w:color="auto" w:fill="FFFFFF"/>
        </w:rPr>
        <w:t>, 150168.</w:t>
      </w:r>
    </w:p>
    <w:p w14:paraId="30E7974E" w14:textId="77777777" w:rsidR="00C50085" w:rsidRPr="00897EE5" w:rsidRDefault="00C50085" w:rsidP="00C50085">
      <w:pPr>
        <w:shd w:val="clear" w:color="auto" w:fill="FFFFFF"/>
        <w:spacing w:after="0" w:line="240" w:lineRule="auto"/>
        <w:rPr>
          <w:rFonts w:ascii="Times New Roman" w:eastAsia="Times New Roman" w:hAnsi="Times New Roman" w:cs="Times New Roman"/>
          <w:color w:val="1B1B1B"/>
          <w:lang w:val="en-US"/>
        </w:rPr>
      </w:pPr>
      <w:proofErr w:type="spellStart"/>
      <w:r w:rsidRPr="00897EE5">
        <w:rPr>
          <w:rFonts w:ascii="Times New Roman" w:eastAsia="Times New Roman" w:hAnsi="Times New Roman" w:cs="Times New Roman"/>
          <w:color w:val="1B1B1B"/>
          <w:highlight w:val="yellow"/>
          <w:lang w:val="en-US"/>
        </w:rPr>
        <w:t>Harrandah</w:t>
      </w:r>
      <w:proofErr w:type="spellEnd"/>
      <w:r w:rsidRPr="00897EE5">
        <w:rPr>
          <w:rFonts w:ascii="Times New Roman" w:eastAsia="Times New Roman" w:hAnsi="Times New Roman" w:cs="Times New Roman"/>
          <w:color w:val="1B1B1B"/>
          <w:highlight w:val="yellow"/>
          <w:lang w:val="en-US"/>
        </w:rPr>
        <w:t xml:space="preserve"> AM. The Oral-Gut-Systemic Axis: Emerging Insights into Periodontitis, Microbiota Dysbiosis, and Systemic Disease Interplay. Diagnostics (Basel). 2025 Nov 3;15(21):2784. </w:t>
      </w:r>
      <w:proofErr w:type="spellStart"/>
      <w:r w:rsidRPr="00897EE5">
        <w:rPr>
          <w:rFonts w:ascii="Times New Roman" w:eastAsia="Times New Roman" w:hAnsi="Times New Roman" w:cs="Times New Roman"/>
          <w:color w:val="1B1B1B"/>
          <w:highlight w:val="yellow"/>
          <w:lang w:val="en-US"/>
        </w:rPr>
        <w:t>doi</w:t>
      </w:r>
      <w:proofErr w:type="spellEnd"/>
      <w:r w:rsidRPr="00897EE5">
        <w:rPr>
          <w:rFonts w:ascii="Times New Roman" w:eastAsia="Times New Roman" w:hAnsi="Times New Roman" w:cs="Times New Roman"/>
          <w:color w:val="1B1B1B"/>
          <w:highlight w:val="yellow"/>
          <w:lang w:val="en-US"/>
        </w:rPr>
        <w:t>: 10.3390/diagnostics15212784. PMID: 41226077; PMCID: PMC12609195.</w:t>
      </w:r>
    </w:p>
    <w:p w14:paraId="3FA464F3" w14:textId="77777777" w:rsidR="00C50085" w:rsidRPr="00C50085" w:rsidRDefault="00C50085" w:rsidP="00C50085">
      <w:pPr>
        <w:numPr>
          <w:ilvl w:val="0"/>
          <w:numId w:val="3"/>
        </w:numPr>
        <w:shd w:val="clear" w:color="auto" w:fill="FFFFFF"/>
        <w:spacing w:before="100" w:beforeAutospacing="1" w:after="0" w:line="240" w:lineRule="auto"/>
        <w:rPr>
          <w:rFonts w:ascii="Helvetica" w:eastAsia="Times New Roman" w:hAnsi="Helvetica" w:cs="Helvetica"/>
          <w:color w:val="1B1B1B"/>
          <w:sz w:val="24"/>
          <w:szCs w:val="24"/>
          <w:lang w:val="en-US"/>
        </w:rPr>
      </w:pPr>
    </w:p>
    <w:p w14:paraId="565A2D99" w14:textId="77777777" w:rsidR="00C50085" w:rsidRDefault="00C50085" w:rsidP="003B1B50">
      <w:pPr>
        <w:spacing w:before="100" w:beforeAutospacing="1" w:after="100" w:afterAutospacing="1" w:line="240" w:lineRule="auto"/>
        <w:jc w:val="both"/>
      </w:pPr>
    </w:p>
    <w:sectPr w:rsidR="00C50085"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A3B4" w14:textId="77777777" w:rsidR="00D14130" w:rsidRDefault="00D14130" w:rsidP="00FA798E">
      <w:pPr>
        <w:spacing w:after="0" w:line="240" w:lineRule="auto"/>
      </w:pPr>
      <w:r>
        <w:separator/>
      </w:r>
    </w:p>
  </w:endnote>
  <w:endnote w:type="continuationSeparator" w:id="0">
    <w:p w14:paraId="34A11035" w14:textId="77777777" w:rsidR="00D14130" w:rsidRDefault="00D14130" w:rsidP="00FA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23C" w14:textId="77777777" w:rsidR="00FA798E" w:rsidRDefault="00FA7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E9D1" w14:textId="77777777" w:rsidR="00FA798E" w:rsidRDefault="00FA7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B69" w14:textId="77777777" w:rsidR="00FA798E" w:rsidRDefault="00FA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BBAF" w14:textId="77777777" w:rsidR="00D14130" w:rsidRDefault="00D14130" w:rsidP="00FA798E">
      <w:pPr>
        <w:spacing w:after="0" w:line="240" w:lineRule="auto"/>
      </w:pPr>
      <w:r>
        <w:separator/>
      </w:r>
    </w:p>
  </w:footnote>
  <w:footnote w:type="continuationSeparator" w:id="0">
    <w:p w14:paraId="08AD4DF1" w14:textId="77777777" w:rsidR="00D14130" w:rsidRDefault="00D14130" w:rsidP="00FA7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1100" w14:textId="77777777" w:rsidR="00FA798E" w:rsidRDefault="00000000">
    <w:pPr>
      <w:pStyle w:val="Header"/>
    </w:pPr>
    <w:r>
      <w:rPr>
        <w:noProof/>
      </w:rPr>
      <w:pict w14:anchorId="7B2B4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22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3901" w14:textId="77777777" w:rsidR="00FA798E" w:rsidRDefault="00000000">
    <w:pPr>
      <w:pStyle w:val="Header"/>
    </w:pPr>
    <w:r>
      <w:rPr>
        <w:noProof/>
      </w:rPr>
      <w:pict w14:anchorId="455E0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22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F07" w14:textId="77777777" w:rsidR="00FA798E" w:rsidRDefault="00000000">
    <w:pPr>
      <w:pStyle w:val="Header"/>
    </w:pPr>
    <w:r>
      <w:rPr>
        <w:noProof/>
      </w:rPr>
      <w:pict w14:anchorId="42544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22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89A"/>
    <w:multiLevelType w:val="hybridMultilevel"/>
    <w:tmpl w:val="220A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A1B96"/>
    <w:multiLevelType w:val="multilevel"/>
    <w:tmpl w:val="E5E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5F52C8"/>
    <w:multiLevelType w:val="hybridMultilevel"/>
    <w:tmpl w:val="F5B8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792593">
    <w:abstractNumId w:val="2"/>
  </w:num>
  <w:num w:numId="2" w16cid:durableId="2134787156">
    <w:abstractNumId w:val="0"/>
  </w:num>
  <w:num w:numId="3" w16cid:durableId="174175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wNDW3MLE0MjczNjNR0lEKTi0uzszPAykwrAUAkoJ0YCwAAAA="/>
  </w:docVars>
  <w:rsids>
    <w:rsidRoot w:val="00E36190"/>
    <w:rsid w:val="00011BE1"/>
    <w:rsid w:val="00067A3D"/>
    <w:rsid w:val="001E4551"/>
    <w:rsid w:val="001F1424"/>
    <w:rsid w:val="00233A90"/>
    <w:rsid w:val="002D2092"/>
    <w:rsid w:val="003A104D"/>
    <w:rsid w:val="003B1B50"/>
    <w:rsid w:val="005503E5"/>
    <w:rsid w:val="0066502E"/>
    <w:rsid w:val="00794EDF"/>
    <w:rsid w:val="007D5FED"/>
    <w:rsid w:val="00897EE5"/>
    <w:rsid w:val="008F6B26"/>
    <w:rsid w:val="009A1800"/>
    <w:rsid w:val="00A2270F"/>
    <w:rsid w:val="00A6756B"/>
    <w:rsid w:val="00C02F50"/>
    <w:rsid w:val="00C248F0"/>
    <w:rsid w:val="00C50085"/>
    <w:rsid w:val="00CB6EB6"/>
    <w:rsid w:val="00D14130"/>
    <w:rsid w:val="00D75C9D"/>
    <w:rsid w:val="00E0313C"/>
    <w:rsid w:val="00E36190"/>
    <w:rsid w:val="00E77568"/>
    <w:rsid w:val="00F6047F"/>
    <w:rsid w:val="00FA798E"/>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C5DC"/>
  <w15:docId w15:val="{A3C9191E-AFF9-4CAE-BBD4-A52779D6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E36190"/>
    <w:rPr>
      <w:color w:val="0563C1" w:themeColor="hyperlink"/>
      <w:u w:val="single"/>
    </w:rPr>
  </w:style>
  <w:style w:type="table" w:styleId="TableGrid">
    <w:name w:val="Table Grid"/>
    <w:basedOn w:val="TableNormal"/>
    <w:uiPriority w:val="39"/>
    <w:rsid w:val="00E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EDF"/>
    <w:pPr>
      <w:ind w:left="720"/>
      <w:contextualSpacing/>
    </w:pPr>
  </w:style>
  <w:style w:type="paragraph" w:styleId="Header">
    <w:name w:val="header"/>
    <w:basedOn w:val="Normal"/>
    <w:link w:val="HeaderChar"/>
    <w:uiPriority w:val="99"/>
    <w:unhideWhenUsed/>
    <w:rsid w:val="00FA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8E"/>
  </w:style>
  <w:style w:type="paragraph" w:styleId="Footer">
    <w:name w:val="footer"/>
    <w:basedOn w:val="Normal"/>
    <w:link w:val="FooterChar"/>
    <w:uiPriority w:val="99"/>
    <w:unhideWhenUsed/>
    <w:rsid w:val="00FA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8E"/>
  </w:style>
  <w:style w:type="paragraph" w:styleId="NoSpacing">
    <w:name w:val="No Spacing"/>
    <w:uiPriority w:val="1"/>
    <w:qFormat/>
    <w:rsid w:val="0066502E"/>
    <w:pPr>
      <w:spacing w:after="0" w:line="240" w:lineRule="auto"/>
    </w:pPr>
  </w:style>
  <w:style w:type="paragraph" w:styleId="Revision">
    <w:name w:val="Revision"/>
    <w:hidden/>
    <w:uiPriority w:val="99"/>
    <w:semiHidden/>
    <w:rsid w:val="003B1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89020">
      <w:bodyDiv w:val="1"/>
      <w:marLeft w:val="0"/>
      <w:marRight w:val="0"/>
      <w:marTop w:val="0"/>
      <w:marBottom w:val="0"/>
      <w:divBdr>
        <w:top w:val="none" w:sz="0" w:space="0" w:color="auto"/>
        <w:left w:val="none" w:sz="0" w:space="0" w:color="auto"/>
        <w:bottom w:val="none" w:sz="0" w:space="0" w:color="auto"/>
        <w:right w:val="none" w:sz="0" w:space="0" w:color="auto"/>
      </w:divBdr>
      <w:divsChild>
        <w:div w:id="1212230810">
          <w:marLeft w:val="0"/>
          <w:marRight w:val="0"/>
          <w:marTop w:val="0"/>
          <w:marBottom w:val="0"/>
          <w:divBdr>
            <w:top w:val="none" w:sz="0" w:space="0" w:color="auto"/>
            <w:left w:val="none" w:sz="0" w:space="0" w:color="auto"/>
            <w:bottom w:val="none" w:sz="0" w:space="0" w:color="auto"/>
            <w:right w:val="none" w:sz="0" w:space="0" w:color="auto"/>
          </w:divBdr>
          <w:divsChild>
            <w:div w:id="70465418">
              <w:marLeft w:val="0"/>
              <w:marRight w:val="0"/>
              <w:marTop w:val="0"/>
              <w:marBottom w:val="0"/>
              <w:divBdr>
                <w:top w:val="none" w:sz="0" w:space="0" w:color="auto"/>
                <w:left w:val="none" w:sz="0" w:space="0" w:color="auto"/>
                <w:bottom w:val="none" w:sz="0" w:space="0" w:color="auto"/>
                <w:right w:val="none" w:sz="0" w:space="0" w:color="auto"/>
              </w:divBdr>
              <w:divsChild>
                <w:div w:id="1878276937">
                  <w:marLeft w:val="0"/>
                  <w:marRight w:val="0"/>
                  <w:marTop w:val="0"/>
                  <w:marBottom w:val="0"/>
                  <w:divBdr>
                    <w:top w:val="none" w:sz="0" w:space="0" w:color="auto"/>
                    <w:left w:val="none" w:sz="0" w:space="0" w:color="auto"/>
                    <w:bottom w:val="none" w:sz="0" w:space="0" w:color="auto"/>
                    <w:right w:val="none" w:sz="0" w:space="0" w:color="auto"/>
                  </w:divBdr>
                  <w:divsChild>
                    <w:div w:id="21437972">
                      <w:marLeft w:val="0"/>
                      <w:marRight w:val="0"/>
                      <w:marTop w:val="0"/>
                      <w:marBottom w:val="0"/>
                      <w:divBdr>
                        <w:top w:val="none" w:sz="0" w:space="0" w:color="auto"/>
                        <w:left w:val="none" w:sz="0" w:space="0" w:color="auto"/>
                        <w:bottom w:val="none" w:sz="0" w:space="0" w:color="auto"/>
                        <w:right w:val="none" w:sz="0" w:space="0" w:color="auto"/>
                      </w:divBdr>
                      <w:divsChild>
                        <w:div w:id="1285845567">
                          <w:marLeft w:val="0"/>
                          <w:marRight w:val="0"/>
                          <w:marTop w:val="0"/>
                          <w:marBottom w:val="0"/>
                          <w:divBdr>
                            <w:top w:val="none" w:sz="0" w:space="0" w:color="auto"/>
                            <w:left w:val="none" w:sz="0" w:space="0" w:color="auto"/>
                            <w:bottom w:val="none" w:sz="0" w:space="0" w:color="auto"/>
                            <w:right w:val="none" w:sz="0" w:space="0" w:color="auto"/>
                          </w:divBdr>
                          <w:divsChild>
                            <w:div w:id="461269789">
                              <w:marLeft w:val="0"/>
                              <w:marRight w:val="0"/>
                              <w:marTop w:val="0"/>
                              <w:marBottom w:val="0"/>
                              <w:divBdr>
                                <w:top w:val="none" w:sz="0" w:space="0" w:color="auto"/>
                                <w:left w:val="none" w:sz="0" w:space="0" w:color="auto"/>
                                <w:bottom w:val="none" w:sz="0" w:space="0" w:color="auto"/>
                                <w:right w:val="none" w:sz="0" w:space="0" w:color="auto"/>
                              </w:divBdr>
                              <w:divsChild>
                                <w:div w:id="1100875170">
                                  <w:marLeft w:val="0"/>
                                  <w:marRight w:val="0"/>
                                  <w:marTop w:val="0"/>
                                  <w:marBottom w:val="0"/>
                                  <w:divBdr>
                                    <w:top w:val="none" w:sz="0" w:space="0" w:color="auto"/>
                                    <w:left w:val="none" w:sz="0" w:space="0" w:color="auto"/>
                                    <w:bottom w:val="none" w:sz="0" w:space="0" w:color="auto"/>
                                    <w:right w:val="none" w:sz="0" w:space="0" w:color="auto"/>
                                  </w:divBdr>
                                  <w:divsChild>
                                    <w:div w:id="1974477898">
                                      <w:marLeft w:val="0"/>
                                      <w:marRight w:val="0"/>
                                      <w:marTop w:val="0"/>
                                      <w:marBottom w:val="0"/>
                                      <w:divBdr>
                                        <w:top w:val="none" w:sz="0" w:space="0" w:color="auto"/>
                                        <w:left w:val="none" w:sz="0" w:space="0" w:color="auto"/>
                                        <w:bottom w:val="none" w:sz="0" w:space="0" w:color="auto"/>
                                        <w:right w:val="none" w:sz="0" w:space="0" w:color="auto"/>
                                      </w:divBdr>
                                      <w:divsChild>
                                        <w:div w:id="1768623411">
                                          <w:marLeft w:val="0"/>
                                          <w:marRight w:val="0"/>
                                          <w:marTop w:val="0"/>
                                          <w:marBottom w:val="0"/>
                                          <w:divBdr>
                                            <w:top w:val="none" w:sz="0" w:space="0" w:color="auto"/>
                                            <w:left w:val="none" w:sz="0" w:space="0" w:color="auto"/>
                                            <w:bottom w:val="none" w:sz="0" w:space="0" w:color="auto"/>
                                            <w:right w:val="none" w:sz="0" w:space="0" w:color="auto"/>
                                          </w:divBdr>
                                          <w:divsChild>
                                            <w:div w:id="2068647312">
                                              <w:marLeft w:val="0"/>
                                              <w:marRight w:val="0"/>
                                              <w:marTop w:val="0"/>
                                              <w:marBottom w:val="0"/>
                                              <w:divBdr>
                                                <w:top w:val="none" w:sz="0" w:space="0" w:color="auto"/>
                                                <w:left w:val="none" w:sz="0" w:space="0" w:color="auto"/>
                                                <w:bottom w:val="none" w:sz="0" w:space="0" w:color="auto"/>
                                                <w:right w:val="none" w:sz="0" w:space="0" w:color="auto"/>
                                              </w:divBdr>
                                              <w:divsChild>
                                                <w:div w:id="2077825402">
                                                  <w:marLeft w:val="0"/>
                                                  <w:marRight w:val="0"/>
                                                  <w:marTop w:val="0"/>
                                                  <w:marBottom w:val="0"/>
                                                  <w:divBdr>
                                                    <w:top w:val="none" w:sz="0" w:space="0" w:color="auto"/>
                                                    <w:left w:val="none" w:sz="0" w:space="0" w:color="auto"/>
                                                    <w:bottom w:val="none" w:sz="0" w:space="0" w:color="auto"/>
                                                    <w:right w:val="none" w:sz="0" w:space="0" w:color="auto"/>
                                                  </w:divBdr>
                                                  <w:divsChild>
                                                    <w:div w:id="938676639">
                                                      <w:marLeft w:val="0"/>
                                                      <w:marRight w:val="0"/>
                                                      <w:marTop w:val="0"/>
                                                      <w:marBottom w:val="0"/>
                                                      <w:divBdr>
                                                        <w:top w:val="none" w:sz="0" w:space="0" w:color="auto"/>
                                                        <w:left w:val="none" w:sz="0" w:space="0" w:color="auto"/>
                                                        <w:bottom w:val="none" w:sz="0" w:space="0" w:color="auto"/>
                                                        <w:right w:val="none" w:sz="0" w:space="0" w:color="auto"/>
                                                      </w:divBdr>
                                                      <w:divsChild>
                                                        <w:div w:id="754589916">
                                                          <w:marLeft w:val="0"/>
                                                          <w:marRight w:val="0"/>
                                                          <w:marTop w:val="0"/>
                                                          <w:marBottom w:val="0"/>
                                                          <w:divBdr>
                                                            <w:top w:val="none" w:sz="0" w:space="0" w:color="auto"/>
                                                            <w:left w:val="none" w:sz="0" w:space="0" w:color="auto"/>
                                                            <w:bottom w:val="none" w:sz="0" w:space="0" w:color="auto"/>
                                                            <w:right w:val="none" w:sz="0" w:space="0" w:color="auto"/>
                                                          </w:divBdr>
                                                          <w:divsChild>
                                                            <w:div w:id="897328182">
                                                              <w:marLeft w:val="0"/>
                                                              <w:marRight w:val="0"/>
                                                              <w:marTop w:val="0"/>
                                                              <w:marBottom w:val="0"/>
                                                              <w:divBdr>
                                                                <w:top w:val="none" w:sz="0" w:space="0" w:color="auto"/>
                                                                <w:left w:val="none" w:sz="0" w:space="0" w:color="auto"/>
                                                                <w:bottom w:val="none" w:sz="0" w:space="0" w:color="auto"/>
                                                                <w:right w:val="none" w:sz="0" w:space="0" w:color="auto"/>
                                                              </w:divBdr>
                                                              <w:divsChild>
                                                                <w:div w:id="1039554948">
                                                                  <w:marLeft w:val="0"/>
                                                                  <w:marRight w:val="0"/>
                                                                  <w:marTop w:val="0"/>
                                                                  <w:marBottom w:val="0"/>
                                                                  <w:divBdr>
                                                                    <w:top w:val="none" w:sz="0" w:space="0" w:color="auto"/>
                                                                    <w:left w:val="none" w:sz="0" w:space="0" w:color="auto"/>
                                                                    <w:bottom w:val="none" w:sz="0" w:space="0" w:color="auto"/>
                                                                    <w:right w:val="none" w:sz="0" w:space="0" w:color="auto"/>
                                                                  </w:divBdr>
                                                                  <w:divsChild>
                                                                    <w:div w:id="414279192">
                                                                      <w:marLeft w:val="0"/>
                                                                      <w:marRight w:val="0"/>
                                                                      <w:marTop w:val="0"/>
                                                                      <w:marBottom w:val="0"/>
                                                                      <w:divBdr>
                                                                        <w:top w:val="none" w:sz="0" w:space="0" w:color="auto"/>
                                                                        <w:left w:val="none" w:sz="0" w:space="0" w:color="auto"/>
                                                                        <w:bottom w:val="none" w:sz="0" w:space="0" w:color="auto"/>
                                                                        <w:right w:val="none" w:sz="0" w:space="0" w:color="auto"/>
                                                                      </w:divBdr>
                                                                      <w:divsChild>
                                                                        <w:div w:id="1178882591">
                                                                          <w:marLeft w:val="0"/>
                                                                          <w:marRight w:val="0"/>
                                                                          <w:marTop w:val="0"/>
                                                                          <w:marBottom w:val="0"/>
                                                                          <w:divBdr>
                                                                            <w:top w:val="none" w:sz="0" w:space="0" w:color="auto"/>
                                                                            <w:left w:val="none" w:sz="0" w:space="0" w:color="auto"/>
                                                                            <w:bottom w:val="none" w:sz="0" w:space="0" w:color="auto"/>
                                                                            <w:right w:val="none" w:sz="0" w:space="0" w:color="auto"/>
                                                                          </w:divBdr>
                                                                          <w:divsChild>
                                                                            <w:div w:id="100344753">
                                                                              <w:marLeft w:val="0"/>
                                                                              <w:marRight w:val="0"/>
                                                                              <w:marTop w:val="0"/>
                                                                              <w:marBottom w:val="0"/>
                                                                              <w:divBdr>
                                                                                <w:top w:val="none" w:sz="0" w:space="0" w:color="auto"/>
                                                                                <w:left w:val="none" w:sz="0" w:space="0" w:color="auto"/>
                                                                                <w:bottom w:val="none" w:sz="0" w:space="0" w:color="auto"/>
                                                                                <w:right w:val="none" w:sz="0" w:space="0" w:color="auto"/>
                                                                              </w:divBdr>
                                                                              <w:divsChild>
                                                                                <w:div w:id="1755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655670">
                                          <w:marLeft w:val="0"/>
                                          <w:marRight w:val="0"/>
                                          <w:marTop w:val="0"/>
                                          <w:marBottom w:val="0"/>
                                          <w:divBdr>
                                            <w:top w:val="none" w:sz="0" w:space="0" w:color="auto"/>
                                            <w:left w:val="none" w:sz="0" w:space="0" w:color="auto"/>
                                            <w:bottom w:val="none" w:sz="0" w:space="0" w:color="auto"/>
                                            <w:right w:val="none" w:sz="0" w:space="0" w:color="auto"/>
                                          </w:divBdr>
                                          <w:divsChild>
                                            <w:div w:id="1911040334">
                                              <w:marLeft w:val="0"/>
                                              <w:marRight w:val="0"/>
                                              <w:marTop w:val="0"/>
                                              <w:marBottom w:val="0"/>
                                              <w:divBdr>
                                                <w:top w:val="none" w:sz="0" w:space="0" w:color="auto"/>
                                                <w:left w:val="none" w:sz="0" w:space="0" w:color="auto"/>
                                                <w:bottom w:val="none" w:sz="0" w:space="0" w:color="auto"/>
                                                <w:right w:val="none" w:sz="0" w:space="0" w:color="auto"/>
                                              </w:divBdr>
                                              <w:divsChild>
                                                <w:div w:id="998923197">
                                                  <w:marLeft w:val="0"/>
                                                  <w:marRight w:val="0"/>
                                                  <w:marTop w:val="0"/>
                                                  <w:marBottom w:val="0"/>
                                                  <w:divBdr>
                                                    <w:top w:val="none" w:sz="0" w:space="0" w:color="auto"/>
                                                    <w:left w:val="none" w:sz="0" w:space="0" w:color="auto"/>
                                                    <w:bottom w:val="none" w:sz="0" w:space="0" w:color="auto"/>
                                                    <w:right w:val="none" w:sz="0" w:space="0" w:color="auto"/>
                                                  </w:divBdr>
                                                  <w:divsChild>
                                                    <w:div w:id="806359763">
                                                      <w:marLeft w:val="0"/>
                                                      <w:marRight w:val="0"/>
                                                      <w:marTop w:val="0"/>
                                                      <w:marBottom w:val="0"/>
                                                      <w:divBdr>
                                                        <w:top w:val="none" w:sz="0" w:space="0" w:color="auto"/>
                                                        <w:left w:val="none" w:sz="0" w:space="0" w:color="auto"/>
                                                        <w:bottom w:val="none" w:sz="0" w:space="0" w:color="auto"/>
                                                        <w:right w:val="none" w:sz="0" w:space="0" w:color="auto"/>
                                                      </w:divBdr>
                                                      <w:divsChild>
                                                        <w:div w:id="844706647">
                                                          <w:marLeft w:val="0"/>
                                                          <w:marRight w:val="0"/>
                                                          <w:marTop w:val="0"/>
                                                          <w:marBottom w:val="0"/>
                                                          <w:divBdr>
                                                            <w:top w:val="none" w:sz="0" w:space="0" w:color="auto"/>
                                                            <w:left w:val="none" w:sz="0" w:space="0" w:color="auto"/>
                                                            <w:bottom w:val="none" w:sz="0" w:space="0" w:color="auto"/>
                                                            <w:right w:val="none" w:sz="0" w:space="0" w:color="auto"/>
                                                          </w:divBdr>
                                                          <w:divsChild>
                                                            <w:div w:id="1133789313">
                                                              <w:marLeft w:val="0"/>
                                                              <w:marRight w:val="0"/>
                                                              <w:marTop w:val="0"/>
                                                              <w:marBottom w:val="0"/>
                                                              <w:divBdr>
                                                                <w:top w:val="none" w:sz="0" w:space="0" w:color="auto"/>
                                                                <w:left w:val="none" w:sz="0" w:space="0" w:color="auto"/>
                                                                <w:bottom w:val="none" w:sz="0" w:space="0" w:color="auto"/>
                                                                <w:right w:val="none" w:sz="0" w:space="0" w:color="auto"/>
                                                              </w:divBdr>
                                                              <w:divsChild>
                                                                <w:div w:id="983970971">
                                                                  <w:marLeft w:val="0"/>
                                                                  <w:marRight w:val="0"/>
                                                                  <w:marTop w:val="0"/>
                                                                  <w:marBottom w:val="0"/>
                                                                  <w:divBdr>
                                                                    <w:top w:val="none" w:sz="0" w:space="0" w:color="auto"/>
                                                                    <w:left w:val="none" w:sz="0" w:space="0" w:color="auto"/>
                                                                    <w:bottom w:val="none" w:sz="0" w:space="0" w:color="auto"/>
                                                                    <w:right w:val="none" w:sz="0" w:space="0" w:color="auto"/>
                                                                  </w:divBdr>
                                                                  <w:divsChild>
                                                                    <w:div w:id="1746613076">
                                                                      <w:marLeft w:val="0"/>
                                                                      <w:marRight w:val="0"/>
                                                                      <w:marTop w:val="0"/>
                                                                      <w:marBottom w:val="0"/>
                                                                      <w:divBdr>
                                                                        <w:top w:val="none" w:sz="0" w:space="0" w:color="auto"/>
                                                                        <w:left w:val="none" w:sz="0" w:space="0" w:color="auto"/>
                                                                        <w:bottom w:val="none" w:sz="0" w:space="0" w:color="auto"/>
                                                                        <w:right w:val="none" w:sz="0" w:space="0" w:color="auto"/>
                                                                      </w:divBdr>
                                                                      <w:divsChild>
                                                                        <w:div w:id="1558779535">
                                                                          <w:marLeft w:val="0"/>
                                                                          <w:marRight w:val="0"/>
                                                                          <w:marTop w:val="0"/>
                                                                          <w:marBottom w:val="0"/>
                                                                          <w:divBdr>
                                                                            <w:top w:val="none" w:sz="0" w:space="0" w:color="auto"/>
                                                                            <w:left w:val="none" w:sz="0" w:space="0" w:color="auto"/>
                                                                            <w:bottom w:val="none" w:sz="0" w:space="0" w:color="auto"/>
                                                                            <w:right w:val="none" w:sz="0" w:space="0" w:color="auto"/>
                                                                          </w:divBdr>
                                                                          <w:divsChild>
                                                                            <w:div w:id="658731705">
                                                                              <w:marLeft w:val="0"/>
                                                                              <w:marRight w:val="0"/>
                                                                              <w:marTop w:val="0"/>
                                                                              <w:marBottom w:val="0"/>
                                                                              <w:divBdr>
                                                                                <w:top w:val="none" w:sz="0" w:space="0" w:color="auto"/>
                                                                                <w:left w:val="none" w:sz="0" w:space="0" w:color="auto"/>
                                                                                <w:bottom w:val="none" w:sz="0" w:space="0" w:color="auto"/>
                                                                                <w:right w:val="none" w:sz="0" w:space="0" w:color="auto"/>
                                                                              </w:divBdr>
                                                                              <w:divsChild>
                                                                                <w:div w:id="174924496">
                                                                                  <w:marLeft w:val="0"/>
                                                                                  <w:marRight w:val="0"/>
                                                                                  <w:marTop w:val="0"/>
                                                                                  <w:marBottom w:val="0"/>
                                                                                  <w:divBdr>
                                                                                    <w:top w:val="none" w:sz="0" w:space="0" w:color="auto"/>
                                                                                    <w:left w:val="none" w:sz="0" w:space="0" w:color="auto"/>
                                                                                    <w:bottom w:val="none" w:sz="0" w:space="0" w:color="auto"/>
                                                                                    <w:right w:val="none" w:sz="0" w:space="0" w:color="auto"/>
                                                                                  </w:divBdr>
                                                                                  <w:divsChild>
                                                                                    <w:div w:id="1230309390">
                                                                                      <w:marLeft w:val="0"/>
                                                                                      <w:marRight w:val="0"/>
                                                                                      <w:marTop w:val="0"/>
                                                                                      <w:marBottom w:val="0"/>
                                                                                      <w:divBdr>
                                                                                        <w:top w:val="none" w:sz="0" w:space="0" w:color="auto"/>
                                                                                        <w:left w:val="none" w:sz="0" w:space="0" w:color="auto"/>
                                                                                        <w:bottom w:val="none" w:sz="0" w:space="0" w:color="auto"/>
                                                                                        <w:right w:val="none" w:sz="0" w:space="0" w:color="auto"/>
                                                                                      </w:divBdr>
                                                                                      <w:divsChild>
                                                                                        <w:div w:id="17155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019338">
      <w:bodyDiv w:val="1"/>
      <w:marLeft w:val="0"/>
      <w:marRight w:val="0"/>
      <w:marTop w:val="0"/>
      <w:marBottom w:val="0"/>
      <w:divBdr>
        <w:top w:val="none" w:sz="0" w:space="0" w:color="auto"/>
        <w:left w:val="none" w:sz="0" w:space="0" w:color="auto"/>
        <w:bottom w:val="none" w:sz="0" w:space="0" w:color="auto"/>
        <w:right w:val="none" w:sz="0" w:space="0" w:color="auto"/>
      </w:divBdr>
      <w:divsChild>
        <w:div w:id="105391652">
          <w:marLeft w:val="0"/>
          <w:marRight w:val="0"/>
          <w:marTop w:val="0"/>
          <w:marBottom w:val="0"/>
          <w:divBdr>
            <w:top w:val="none" w:sz="0" w:space="0" w:color="auto"/>
            <w:left w:val="none" w:sz="0" w:space="0" w:color="auto"/>
            <w:bottom w:val="none" w:sz="0" w:space="0" w:color="auto"/>
            <w:right w:val="none" w:sz="0" w:space="0" w:color="auto"/>
          </w:divBdr>
          <w:divsChild>
            <w:div w:id="1827278742">
              <w:marLeft w:val="0"/>
              <w:marRight w:val="0"/>
              <w:marTop w:val="0"/>
              <w:marBottom w:val="0"/>
              <w:divBdr>
                <w:top w:val="none" w:sz="0" w:space="0" w:color="auto"/>
                <w:left w:val="none" w:sz="0" w:space="0" w:color="auto"/>
                <w:bottom w:val="none" w:sz="0" w:space="0" w:color="auto"/>
                <w:right w:val="none" w:sz="0" w:space="0" w:color="auto"/>
              </w:divBdr>
              <w:divsChild>
                <w:div w:id="793254803">
                  <w:marLeft w:val="0"/>
                  <w:marRight w:val="0"/>
                  <w:marTop w:val="0"/>
                  <w:marBottom w:val="0"/>
                  <w:divBdr>
                    <w:top w:val="none" w:sz="0" w:space="0" w:color="auto"/>
                    <w:left w:val="none" w:sz="0" w:space="0" w:color="auto"/>
                    <w:bottom w:val="none" w:sz="0" w:space="0" w:color="auto"/>
                    <w:right w:val="none" w:sz="0" w:space="0" w:color="auto"/>
                  </w:divBdr>
                  <w:divsChild>
                    <w:div w:id="1596397574">
                      <w:marLeft w:val="0"/>
                      <w:marRight w:val="0"/>
                      <w:marTop w:val="0"/>
                      <w:marBottom w:val="0"/>
                      <w:divBdr>
                        <w:top w:val="none" w:sz="0" w:space="0" w:color="auto"/>
                        <w:left w:val="none" w:sz="0" w:space="0" w:color="auto"/>
                        <w:bottom w:val="none" w:sz="0" w:space="0" w:color="auto"/>
                        <w:right w:val="none" w:sz="0" w:space="0" w:color="auto"/>
                      </w:divBdr>
                      <w:divsChild>
                        <w:div w:id="685525577">
                          <w:marLeft w:val="0"/>
                          <w:marRight w:val="0"/>
                          <w:marTop w:val="0"/>
                          <w:marBottom w:val="0"/>
                          <w:divBdr>
                            <w:top w:val="none" w:sz="0" w:space="0" w:color="auto"/>
                            <w:left w:val="none" w:sz="0" w:space="0" w:color="auto"/>
                            <w:bottom w:val="none" w:sz="0" w:space="0" w:color="auto"/>
                            <w:right w:val="none" w:sz="0" w:space="0" w:color="auto"/>
                          </w:divBdr>
                          <w:divsChild>
                            <w:div w:id="264851362">
                              <w:marLeft w:val="0"/>
                              <w:marRight w:val="0"/>
                              <w:marTop w:val="0"/>
                              <w:marBottom w:val="0"/>
                              <w:divBdr>
                                <w:top w:val="none" w:sz="0" w:space="0" w:color="auto"/>
                                <w:left w:val="none" w:sz="0" w:space="0" w:color="auto"/>
                                <w:bottom w:val="none" w:sz="0" w:space="0" w:color="auto"/>
                                <w:right w:val="none" w:sz="0" w:space="0" w:color="auto"/>
                              </w:divBdr>
                              <w:divsChild>
                                <w:div w:id="84621133">
                                  <w:marLeft w:val="0"/>
                                  <w:marRight w:val="0"/>
                                  <w:marTop w:val="0"/>
                                  <w:marBottom w:val="0"/>
                                  <w:divBdr>
                                    <w:top w:val="none" w:sz="0" w:space="0" w:color="auto"/>
                                    <w:left w:val="none" w:sz="0" w:space="0" w:color="auto"/>
                                    <w:bottom w:val="none" w:sz="0" w:space="0" w:color="auto"/>
                                    <w:right w:val="none" w:sz="0" w:space="0" w:color="auto"/>
                                  </w:divBdr>
                                  <w:divsChild>
                                    <w:div w:id="2017343345">
                                      <w:marLeft w:val="0"/>
                                      <w:marRight w:val="0"/>
                                      <w:marTop w:val="0"/>
                                      <w:marBottom w:val="0"/>
                                      <w:divBdr>
                                        <w:top w:val="none" w:sz="0" w:space="0" w:color="auto"/>
                                        <w:left w:val="none" w:sz="0" w:space="0" w:color="auto"/>
                                        <w:bottom w:val="none" w:sz="0" w:space="0" w:color="auto"/>
                                        <w:right w:val="none" w:sz="0" w:space="0" w:color="auto"/>
                                      </w:divBdr>
                                      <w:divsChild>
                                        <w:div w:id="2021076901">
                                          <w:marLeft w:val="0"/>
                                          <w:marRight w:val="0"/>
                                          <w:marTop w:val="0"/>
                                          <w:marBottom w:val="0"/>
                                          <w:divBdr>
                                            <w:top w:val="none" w:sz="0" w:space="0" w:color="auto"/>
                                            <w:left w:val="none" w:sz="0" w:space="0" w:color="auto"/>
                                            <w:bottom w:val="none" w:sz="0" w:space="0" w:color="auto"/>
                                            <w:right w:val="none" w:sz="0" w:space="0" w:color="auto"/>
                                          </w:divBdr>
                                          <w:divsChild>
                                            <w:div w:id="2123717415">
                                              <w:marLeft w:val="0"/>
                                              <w:marRight w:val="0"/>
                                              <w:marTop w:val="0"/>
                                              <w:marBottom w:val="0"/>
                                              <w:divBdr>
                                                <w:top w:val="none" w:sz="0" w:space="0" w:color="auto"/>
                                                <w:left w:val="none" w:sz="0" w:space="0" w:color="auto"/>
                                                <w:bottom w:val="none" w:sz="0" w:space="0" w:color="auto"/>
                                                <w:right w:val="none" w:sz="0" w:space="0" w:color="auto"/>
                                              </w:divBdr>
                                              <w:divsChild>
                                                <w:div w:id="2021665595">
                                                  <w:marLeft w:val="0"/>
                                                  <w:marRight w:val="0"/>
                                                  <w:marTop w:val="0"/>
                                                  <w:marBottom w:val="0"/>
                                                  <w:divBdr>
                                                    <w:top w:val="none" w:sz="0" w:space="0" w:color="auto"/>
                                                    <w:left w:val="none" w:sz="0" w:space="0" w:color="auto"/>
                                                    <w:bottom w:val="none" w:sz="0" w:space="0" w:color="auto"/>
                                                    <w:right w:val="none" w:sz="0" w:space="0" w:color="auto"/>
                                                  </w:divBdr>
                                                  <w:divsChild>
                                                    <w:div w:id="895042878">
                                                      <w:marLeft w:val="0"/>
                                                      <w:marRight w:val="0"/>
                                                      <w:marTop w:val="0"/>
                                                      <w:marBottom w:val="0"/>
                                                      <w:divBdr>
                                                        <w:top w:val="none" w:sz="0" w:space="0" w:color="auto"/>
                                                        <w:left w:val="none" w:sz="0" w:space="0" w:color="auto"/>
                                                        <w:bottom w:val="none" w:sz="0" w:space="0" w:color="auto"/>
                                                        <w:right w:val="none" w:sz="0" w:space="0" w:color="auto"/>
                                                      </w:divBdr>
                                                      <w:divsChild>
                                                        <w:div w:id="131990766">
                                                          <w:marLeft w:val="0"/>
                                                          <w:marRight w:val="0"/>
                                                          <w:marTop w:val="0"/>
                                                          <w:marBottom w:val="0"/>
                                                          <w:divBdr>
                                                            <w:top w:val="none" w:sz="0" w:space="0" w:color="auto"/>
                                                            <w:left w:val="none" w:sz="0" w:space="0" w:color="auto"/>
                                                            <w:bottom w:val="none" w:sz="0" w:space="0" w:color="auto"/>
                                                            <w:right w:val="none" w:sz="0" w:space="0" w:color="auto"/>
                                                          </w:divBdr>
                                                          <w:divsChild>
                                                            <w:div w:id="1302883933">
                                                              <w:marLeft w:val="0"/>
                                                              <w:marRight w:val="0"/>
                                                              <w:marTop w:val="0"/>
                                                              <w:marBottom w:val="0"/>
                                                              <w:divBdr>
                                                                <w:top w:val="none" w:sz="0" w:space="0" w:color="auto"/>
                                                                <w:left w:val="none" w:sz="0" w:space="0" w:color="auto"/>
                                                                <w:bottom w:val="none" w:sz="0" w:space="0" w:color="auto"/>
                                                                <w:right w:val="none" w:sz="0" w:space="0" w:color="auto"/>
                                                              </w:divBdr>
                                                              <w:divsChild>
                                                                <w:div w:id="1864439691">
                                                                  <w:marLeft w:val="0"/>
                                                                  <w:marRight w:val="0"/>
                                                                  <w:marTop w:val="0"/>
                                                                  <w:marBottom w:val="0"/>
                                                                  <w:divBdr>
                                                                    <w:top w:val="none" w:sz="0" w:space="0" w:color="auto"/>
                                                                    <w:left w:val="none" w:sz="0" w:space="0" w:color="auto"/>
                                                                    <w:bottom w:val="none" w:sz="0" w:space="0" w:color="auto"/>
                                                                    <w:right w:val="none" w:sz="0" w:space="0" w:color="auto"/>
                                                                  </w:divBdr>
                                                                  <w:divsChild>
                                                                    <w:div w:id="1273780553">
                                                                      <w:marLeft w:val="0"/>
                                                                      <w:marRight w:val="0"/>
                                                                      <w:marTop w:val="0"/>
                                                                      <w:marBottom w:val="0"/>
                                                                      <w:divBdr>
                                                                        <w:top w:val="none" w:sz="0" w:space="0" w:color="auto"/>
                                                                        <w:left w:val="none" w:sz="0" w:space="0" w:color="auto"/>
                                                                        <w:bottom w:val="none" w:sz="0" w:space="0" w:color="auto"/>
                                                                        <w:right w:val="none" w:sz="0" w:space="0" w:color="auto"/>
                                                                      </w:divBdr>
                                                                      <w:divsChild>
                                                                        <w:div w:id="1829397733">
                                                                          <w:marLeft w:val="0"/>
                                                                          <w:marRight w:val="0"/>
                                                                          <w:marTop w:val="0"/>
                                                                          <w:marBottom w:val="0"/>
                                                                          <w:divBdr>
                                                                            <w:top w:val="none" w:sz="0" w:space="0" w:color="auto"/>
                                                                            <w:left w:val="none" w:sz="0" w:space="0" w:color="auto"/>
                                                                            <w:bottom w:val="none" w:sz="0" w:space="0" w:color="auto"/>
                                                                            <w:right w:val="none" w:sz="0" w:space="0" w:color="auto"/>
                                                                          </w:divBdr>
                                                                          <w:divsChild>
                                                                            <w:div w:id="1334919475">
                                                                              <w:marLeft w:val="0"/>
                                                                              <w:marRight w:val="0"/>
                                                                              <w:marTop w:val="0"/>
                                                                              <w:marBottom w:val="0"/>
                                                                              <w:divBdr>
                                                                                <w:top w:val="none" w:sz="0" w:space="0" w:color="auto"/>
                                                                                <w:left w:val="none" w:sz="0" w:space="0" w:color="auto"/>
                                                                                <w:bottom w:val="none" w:sz="0" w:space="0" w:color="auto"/>
                                                                                <w:right w:val="none" w:sz="0" w:space="0" w:color="auto"/>
                                                                              </w:divBdr>
                                                                              <w:divsChild>
                                                                                <w:div w:id="21066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309984">
                                          <w:marLeft w:val="0"/>
                                          <w:marRight w:val="0"/>
                                          <w:marTop w:val="0"/>
                                          <w:marBottom w:val="0"/>
                                          <w:divBdr>
                                            <w:top w:val="none" w:sz="0" w:space="0" w:color="auto"/>
                                            <w:left w:val="none" w:sz="0" w:space="0" w:color="auto"/>
                                            <w:bottom w:val="none" w:sz="0" w:space="0" w:color="auto"/>
                                            <w:right w:val="none" w:sz="0" w:space="0" w:color="auto"/>
                                          </w:divBdr>
                                          <w:divsChild>
                                            <w:div w:id="289632949">
                                              <w:marLeft w:val="0"/>
                                              <w:marRight w:val="0"/>
                                              <w:marTop w:val="0"/>
                                              <w:marBottom w:val="0"/>
                                              <w:divBdr>
                                                <w:top w:val="none" w:sz="0" w:space="0" w:color="auto"/>
                                                <w:left w:val="none" w:sz="0" w:space="0" w:color="auto"/>
                                                <w:bottom w:val="none" w:sz="0" w:space="0" w:color="auto"/>
                                                <w:right w:val="none" w:sz="0" w:space="0" w:color="auto"/>
                                              </w:divBdr>
                                              <w:divsChild>
                                                <w:div w:id="51467951">
                                                  <w:marLeft w:val="0"/>
                                                  <w:marRight w:val="0"/>
                                                  <w:marTop w:val="0"/>
                                                  <w:marBottom w:val="0"/>
                                                  <w:divBdr>
                                                    <w:top w:val="none" w:sz="0" w:space="0" w:color="auto"/>
                                                    <w:left w:val="none" w:sz="0" w:space="0" w:color="auto"/>
                                                    <w:bottom w:val="none" w:sz="0" w:space="0" w:color="auto"/>
                                                    <w:right w:val="none" w:sz="0" w:space="0" w:color="auto"/>
                                                  </w:divBdr>
                                                  <w:divsChild>
                                                    <w:div w:id="476915067">
                                                      <w:marLeft w:val="0"/>
                                                      <w:marRight w:val="0"/>
                                                      <w:marTop w:val="0"/>
                                                      <w:marBottom w:val="0"/>
                                                      <w:divBdr>
                                                        <w:top w:val="none" w:sz="0" w:space="0" w:color="auto"/>
                                                        <w:left w:val="none" w:sz="0" w:space="0" w:color="auto"/>
                                                        <w:bottom w:val="none" w:sz="0" w:space="0" w:color="auto"/>
                                                        <w:right w:val="none" w:sz="0" w:space="0" w:color="auto"/>
                                                      </w:divBdr>
                                                      <w:divsChild>
                                                        <w:div w:id="1818690524">
                                                          <w:marLeft w:val="0"/>
                                                          <w:marRight w:val="0"/>
                                                          <w:marTop w:val="0"/>
                                                          <w:marBottom w:val="0"/>
                                                          <w:divBdr>
                                                            <w:top w:val="none" w:sz="0" w:space="0" w:color="auto"/>
                                                            <w:left w:val="none" w:sz="0" w:space="0" w:color="auto"/>
                                                            <w:bottom w:val="none" w:sz="0" w:space="0" w:color="auto"/>
                                                            <w:right w:val="none" w:sz="0" w:space="0" w:color="auto"/>
                                                          </w:divBdr>
                                                          <w:divsChild>
                                                            <w:div w:id="317079359">
                                                              <w:marLeft w:val="0"/>
                                                              <w:marRight w:val="0"/>
                                                              <w:marTop w:val="0"/>
                                                              <w:marBottom w:val="0"/>
                                                              <w:divBdr>
                                                                <w:top w:val="none" w:sz="0" w:space="0" w:color="auto"/>
                                                                <w:left w:val="none" w:sz="0" w:space="0" w:color="auto"/>
                                                                <w:bottom w:val="none" w:sz="0" w:space="0" w:color="auto"/>
                                                                <w:right w:val="none" w:sz="0" w:space="0" w:color="auto"/>
                                                              </w:divBdr>
                                                              <w:divsChild>
                                                                <w:div w:id="993293758">
                                                                  <w:marLeft w:val="0"/>
                                                                  <w:marRight w:val="0"/>
                                                                  <w:marTop w:val="0"/>
                                                                  <w:marBottom w:val="0"/>
                                                                  <w:divBdr>
                                                                    <w:top w:val="none" w:sz="0" w:space="0" w:color="auto"/>
                                                                    <w:left w:val="none" w:sz="0" w:space="0" w:color="auto"/>
                                                                    <w:bottom w:val="none" w:sz="0" w:space="0" w:color="auto"/>
                                                                    <w:right w:val="none" w:sz="0" w:space="0" w:color="auto"/>
                                                                  </w:divBdr>
                                                                  <w:divsChild>
                                                                    <w:div w:id="1829053250">
                                                                      <w:marLeft w:val="0"/>
                                                                      <w:marRight w:val="0"/>
                                                                      <w:marTop w:val="0"/>
                                                                      <w:marBottom w:val="0"/>
                                                                      <w:divBdr>
                                                                        <w:top w:val="none" w:sz="0" w:space="0" w:color="auto"/>
                                                                        <w:left w:val="none" w:sz="0" w:space="0" w:color="auto"/>
                                                                        <w:bottom w:val="none" w:sz="0" w:space="0" w:color="auto"/>
                                                                        <w:right w:val="none" w:sz="0" w:space="0" w:color="auto"/>
                                                                      </w:divBdr>
                                                                      <w:divsChild>
                                                                        <w:div w:id="1048846277">
                                                                          <w:marLeft w:val="0"/>
                                                                          <w:marRight w:val="0"/>
                                                                          <w:marTop w:val="0"/>
                                                                          <w:marBottom w:val="0"/>
                                                                          <w:divBdr>
                                                                            <w:top w:val="none" w:sz="0" w:space="0" w:color="auto"/>
                                                                            <w:left w:val="none" w:sz="0" w:space="0" w:color="auto"/>
                                                                            <w:bottom w:val="none" w:sz="0" w:space="0" w:color="auto"/>
                                                                            <w:right w:val="none" w:sz="0" w:space="0" w:color="auto"/>
                                                                          </w:divBdr>
                                                                          <w:divsChild>
                                                                            <w:div w:id="1937471191">
                                                                              <w:marLeft w:val="0"/>
                                                                              <w:marRight w:val="0"/>
                                                                              <w:marTop w:val="0"/>
                                                                              <w:marBottom w:val="0"/>
                                                                              <w:divBdr>
                                                                                <w:top w:val="none" w:sz="0" w:space="0" w:color="auto"/>
                                                                                <w:left w:val="none" w:sz="0" w:space="0" w:color="auto"/>
                                                                                <w:bottom w:val="none" w:sz="0" w:space="0" w:color="auto"/>
                                                                                <w:right w:val="none" w:sz="0" w:space="0" w:color="auto"/>
                                                                              </w:divBdr>
                                                                              <w:divsChild>
                                                                                <w:div w:id="1245408246">
                                                                                  <w:marLeft w:val="0"/>
                                                                                  <w:marRight w:val="0"/>
                                                                                  <w:marTop w:val="0"/>
                                                                                  <w:marBottom w:val="0"/>
                                                                                  <w:divBdr>
                                                                                    <w:top w:val="none" w:sz="0" w:space="0" w:color="auto"/>
                                                                                    <w:left w:val="none" w:sz="0" w:space="0" w:color="auto"/>
                                                                                    <w:bottom w:val="none" w:sz="0" w:space="0" w:color="auto"/>
                                                                                    <w:right w:val="none" w:sz="0" w:space="0" w:color="auto"/>
                                                                                  </w:divBdr>
                                                                                  <w:divsChild>
                                                                                    <w:div w:id="305281190">
                                                                                      <w:marLeft w:val="0"/>
                                                                                      <w:marRight w:val="0"/>
                                                                                      <w:marTop w:val="0"/>
                                                                                      <w:marBottom w:val="0"/>
                                                                                      <w:divBdr>
                                                                                        <w:top w:val="none" w:sz="0" w:space="0" w:color="auto"/>
                                                                                        <w:left w:val="none" w:sz="0" w:space="0" w:color="auto"/>
                                                                                        <w:bottom w:val="none" w:sz="0" w:space="0" w:color="auto"/>
                                                                                        <w:right w:val="none" w:sz="0" w:space="0" w:color="auto"/>
                                                                                      </w:divBdr>
                                                                                      <w:divsChild>
                                                                                        <w:div w:id="18425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158303">
      <w:bodyDiv w:val="1"/>
      <w:marLeft w:val="0"/>
      <w:marRight w:val="0"/>
      <w:marTop w:val="0"/>
      <w:marBottom w:val="0"/>
      <w:divBdr>
        <w:top w:val="none" w:sz="0" w:space="0" w:color="auto"/>
        <w:left w:val="none" w:sz="0" w:space="0" w:color="auto"/>
        <w:bottom w:val="none" w:sz="0" w:space="0" w:color="auto"/>
        <w:right w:val="none" w:sz="0" w:space="0" w:color="auto"/>
      </w:divBdr>
      <w:divsChild>
        <w:div w:id="346643105">
          <w:marLeft w:val="0"/>
          <w:marRight w:val="0"/>
          <w:marTop w:val="0"/>
          <w:marBottom w:val="0"/>
          <w:divBdr>
            <w:top w:val="none" w:sz="0" w:space="0" w:color="auto"/>
            <w:left w:val="none" w:sz="0" w:space="0" w:color="auto"/>
            <w:bottom w:val="none" w:sz="0" w:space="0" w:color="auto"/>
            <w:right w:val="none" w:sz="0" w:space="0" w:color="auto"/>
          </w:divBdr>
        </w:div>
        <w:div w:id="59257475">
          <w:marLeft w:val="0"/>
          <w:marRight w:val="0"/>
          <w:marTop w:val="0"/>
          <w:marBottom w:val="0"/>
          <w:divBdr>
            <w:top w:val="none" w:sz="0" w:space="0" w:color="auto"/>
            <w:left w:val="none" w:sz="0" w:space="0" w:color="auto"/>
            <w:bottom w:val="none" w:sz="0" w:space="0" w:color="auto"/>
            <w:right w:val="none" w:sz="0" w:space="0" w:color="auto"/>
          </w:divBdr>
        </w:div>
        <w:div w:id="1713650950">
          <w:marLeft w:val="0"/>
          <w:marRight w:val="0"/>
          <w:marTop w:val="0"/>
          <w:marBottom w:val="0"/>
          <w:divBdr>
            <w:top w:val="none" w:sz="0" w:space="0" w:color="auto"/>
            <w:left w:val="none" w:sz="0" w:space="0" w:color="auto"/>
            <w:bottom w:val="none" w:sz="0" w:space="0" w:color="auto"/>
            <w:right w:val="none" w:sz="0" w:space="0" w:color="auto"/>
          </w:divBdr>
        </w:div>
        <w:div w:id="905065371">
          <w:marLeft w:val="0"/>
          <w:marRight w:val="0"/>
          <w:marTop w:val="0"/>
          <w:marBottom w:val="0"/>
          <w:divBdr>
            <w:top w:val="none" w:sz="0" w:space="0" w:color="auto"/>
            <w:left w:val="none" w:sz="0" w:space="0" w:color="auto"/>
            <w:bottom w:val="none" w:sz="0" w:space="0" w:color="auto"/>
            <w:right w:val="none" w:sz="0" w:space="0" w:color="auto"/>
          </w:divBdr>
        </w:div>
      </w:divsChild>
    </w:div>
    <w:div w:id="2147239694">
      <w:bodyDiv w:val="1"/>
      <w:marLeft w:val="0"/>
      <w:marRight w:val="0"/>
      <w:marTop w:val="0"/>
      <w:marBottom w:val="0"/>
      <w:divBdr>
        <w:top w:val="none" w:sz="0" w:space="0" w:color="auto"/>
        <w:left w:val="none" w:sz="0" w:space="0" w:color="auto"/>
        <w:bottom w:val="none" w:sz="0" w:space="0" w:color="auto"/>
        <w:right w:val="none" w:sz="0" w:space="0" w:color="auto"/>
      </w:divBdr>
      <w:divsChild>
        <w:div w:id="570501724">
          <w:marLeft w:val="0"/>
          <w:marRight w:val="0"/>
          <w:marTop w:val="0"/>
          <w:marBottom w:val="0"/>
          <w:divBdr>
            <w:top w:val="none" w:sz="0" w:space="0" w:color="auto"/>
            <w:left w:val="none" w:sz="0" w:space="0" w:color="auto"/>
            <w:bottom w:val="none" w:sz="0" w:space="0" w:color="auto"/>
            <w:right w:val="none" w:sz="0" w:space="0" w:color="auto"/>
          </w:divBdr>
        </w:div>
        <w:div w:id="468672130">
          <w:marLeft w:val="0"/>
          <w:marRight w:val="0"/>
          <w:marTop w:val="0"/>
          <w:marBottom w:val="0"/>
          <w:divBdr>
            <w:top w:val="none" w:sz="0" w:space="0" w:color="auto"/>
            <w:left w:val="none" w:sz="0" w:space="0" w:color="auto"/>
            <w:bottom w:val="none" w:sz="0" w:space="0" w:color="auto"/>
            <w:right w:val="none" w:sz="0" w:space="0" w:color="auto"/>
          </w:divBdr>
        </w:div>
        <w:div w:id="927688882">
          <w:marLeft w:val="0"/>
          <w:marRight w:val="0"/>
          <w:marTop w:val="0"/>
          <w:marBottom w:val="0"/>
          <w:divBdr>
            <w:top w:val="none" w:sz="0" w:space="0" w:color="auto"/>
            <w:left w:val="none" w:sz="0" w:space="0" w:color="auto"/>
            <w:bottom w:val="none" w:sz="0" w:space="0" w:color="auto"/>
            <w:right w:val="none" w:sz="0" w:space="0" w:color="auto"/>
          </w:divBdr>
        </w:div>
        <w:div w:id="19616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PER.21-0078" TargetMode="External"/><Relationship Id="rId18" Type="http://schemas.openxmlformats.org/officeDocument/2006/relationships/hyperlink" Target="https://doi.org/10.1177/00220345231160747" TargetMode="External"/><Relationship Id="rId26" Type="http://schemas.openxmlformats.org/officeDocument/2006/relationships/hyperlink" Target="https://doi.org/10.1371/journal.pone.0134234" TargetMode="External"/><Relationship Id="rId39" Type="http://schemas.openxmlformats.org/officeDocument/2006/relationships/fontTable" Target="fontTable.xml"/><Relationship Id="rId21" Type="http://schemas.openxmlformats.org/officeDocument/2006/relationships/hyperlink" Target="https://doi.org/10.1016/j.cell.2020.05.048" TargetMode="External"/><Relationship Id="rId34" Type="http://schemas.openxmlformats.org/officeDocument/2006/relationships/header" Target="header2.xml"/><Relationship Id="rId7" Type="http://schemas.openxmlformats.org/officeDocument/2006/relationships/hyperlink" Target="https://doi.org/10.1126/science.aan4526" TargetMode="External"/><Relationship Id="rId12" Type="http://schemas.openxmlformats.org/officeDocument/2006/relationships/hyperlink" Target="https://doi.org/10.3389/fimmu.2021.620124" TargetMode="External"/><Relationship Id="rId17" Type="http://schemas.openxmlformats.org/officeDocument/2006/relationships/hyperlink" Target="https://doi.org/10.3390/biomedicines12030685" TargetMode="External"/><Relationship Id="rId25" Type="http://schemas.openxmlformats.org/officeDocument/2006/relationships/hyperlink" Target="https://doi.org/10.3390/medicina5804054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577-020-00488-6" TargetMode="External"/><Relationship Id="rId20" Type="http://schemas.openxmlformats.org/officeDocument/2006/relationships/hyperlink" Target="https://doi.org/10.1038/nrdp.2017.38" TargetMode="External"/><Relationship Id="rId29" Type="http://schemas.openxmlformats.org/officeDocument/2006/relationships/hyperlink" Target="https://doi.org/10.3390/medicina60091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220345231221709" TargetMode="External"/><Relationship Id="rId24" Type="http://schemas.openxmlformats.org/officeDocument/2006/relationships/hyperlink" Target="https://doi.org/10.3389/fcimb.2023.1093967" TargetMode="External"/><Relationship Id="rId32" Type="http://schemas.openxmlformats.org/officeDocument/2006/relationships/hyperlink" Target="https://doi.org/10.3389/fcimb.2024.147836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nri3785" TargetMode="External"/><Relationship Id="rId23" Type="http://schemas.openxmlformats.org/officeDocument/2006/relationships/hyperlink" Target="https://doi.org/10.3389/fimmu.2022.1010368" TargetMode="External"/><Relationship Id="rId28" Type="http://schemas.openxmlformats.org/officeDocument/2006/relationships/hyperlink" Target="https://doi.org/10.4300/JGME-D-22-00480.1" TargetMode="External"/><Relationship Id="rId36" Type="http://schemas.openxmlformats.org/officeDocument/2006/relationships/footer" Target="footer2.xml"/><Relationship Id="rId10" Type="http://schemas.openxmlformats.org/officeDocument/2006/relationships/hyperlink" Target="https://doi.org/10.3390/cancers15184594" TargetMode="External"/><Relationship Id="rId19" Type="http://schemas.openxmlformats.org/officeDocument/2006/relationships/hyperlink" Target="https://doi.org/10.3389/froh.2021.722495" TargetMode="External"/><Relationship Id="rId31" Type="http://schemas.openxmlformats.org/officeDocument/2006/relationships/hyperlink" Target="https://doi.org/10.1111/jcpe.12945" TargetMode="External"/><Relationship Id="rId4" Type="http://schemas.openxmlformats.org/officeDocument/2006/relationships/webSettings" Target="webSettings.xml"/><Relationship Id="rId9" Type="http://schemas.openxmlformats.org/officeDocument/2006/relationships/hyperlink" Target="https://doi.org/10.1177/00220345231222800" TargetMode="External"/><Relationship Id="rId14" Type="http://schemas.openxmlformats.org/officeDocument/2006/relationships/hyperlink" Target="https://doi.org/10.1902/jop.2015.140520" TargetMode="External"/><Relationship Id="rId22" Type="http://schemas.openxmlformats.org/officeDocument/2006/relationships/hyperlink" Target="https://doi.org/10.3748/wjg.v29.i6.967" TargetMode="External"/><Relationship Id="rId27" Type="http://schemas.openxmlformats.org/officeDocument/2006/relationships/hyperlink" Target="https://doi.org/10.1111/omi.12359" TargetMode="External"/><Relationship Id="rId30" Type="http://schemas.openxmlformats.org/officeDocument/2006/relationships/hyperlink" Target="https://doi.org/10.1093/ecco-jcc/jjae028" TargetMode="External"/><Relationship Id="rId35" Type="http://schemas.openxmlformats.org/officeDocument/2006/relationships/footer" Target="footer1.xml"/><Relationship Id="rId8" Type="http://schemas.openxmlformats.org/officeDocument/2006/relationships/hyperlink" Target="https://doi.org/10.1111/jre.700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21</Pages>
  <Words>9961</Words>
  <Characters>56780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15</cp:revision>
  <dcterms:created xsi:type="dcterms:W3CDTF">2026-05-18T12:16:00Z</dcterms:created>
  <dcterms:modified xsi:type="dcterms:W3CDTF">2026-05-21T06:51:00Z</dcterms:modified>
</cp:coreProperties>
</file>